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line="360" w:lineRule="auto"/>
        <w:jc w:val="center"/>
        <w:rPr>
          <w:rFonts w:hint="eastAsia" w:ascii="宋体" w:hAnsi="宋体" w:eastAsia="宋体" w:cs="宋体"/>
          <w:color w:val="auto"/>
          <w:sz w:val="52"/>
          <w:szCs w:val="52"/>
          <w:highlight w:val="none"/>
        </w:rPr>
      </w:pPr>
      <w:bookmarkStart w:id="1433" w:name="_GoBack"/>
      <w:r>
        <w:drawing>
          <wp:inline distT="0" distB="0" distL="114300" distR="114300">
            <wp:extent cx="5862955" cy="8324215"/>
            <wp:effectExtent l="0" t="0" r="4445" b="635"/>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21"/>
                    <a:stretch>
                      <a:fillRect/>
                    </a:stretch>
                  </pic:blipFill>
                  <pic:spPr>
                    <a:xfrm>
                      <a:off x="0" y="0"/>
                      <a:ext cx="5862955" cy="8324215"/>
                    </a:xfrm>
                    <a:prstGeom prst="rect">
                      <a:avLst/>
                    </a:prstGeom>
                    <a:noFill/>
                    <a:ln>
                      <a:noFill/>
                    </a:ln>
                  </pic:spPr>
                </pic:pic>
              </a:graphicData>
            </a:graphic>
          </wp:inline>
        </w:drawing>
      </w:r>
      <w:bookmarkEnd w:id="1433"/>
      <w:r>
        <w:rPr>
          <w:rFonts w:hint="eastAsia" w:ascii="宋体" w:hAnsi="宋体" w:eastAsia="宋体" w:cs="宋体"/>
          <w:color w:val="auto"/>
          <w:sz w:val="52"/>
          <w:szCs w:val="52"/>
          <w:highlight w:val="none"/>
        </w:rPr>
        <w:t>南宁市政府采购</w:t>
      </w:r>
    </w:p>
    <w:p>
      <w:pPr>
        <w:spacing w:beforeLines="50" w:line="360" w:lineRule="auto"/>
        <w:jc w:val="center"/>
        <w:rPr>
          <w:rFonts w:ascii="宋体"/>
          <w:color w:val="auto"/>
          <w:sz w:val="52"/>
          <w:szCs w:val="52"/>
          <w:highlight w:val="none"/>
        </w:rPr>
      </w:pPr>
      <w:r>
        <w:rPr>
          <w:rFonts w:hint="eastAsia" w:ascii="宋体" w:hAnsi="宋体"/>
          <w:color w:val="auto"/>
          <w:sz w:val="52"/>
          <w:szCs w:val="52"/>
          <w:highlight w:val="none"/>
        </w:rPr>
        <w:t>竞争性磋商文件（</w:t>
      </w:r>
      <w:r>
        <w:rPr>
          <w:rFonts w:hint="eastAsia" w:ascii="宋体" w:hAnsi="宋体"/>
          <w:color w:val="auto"/>
          <w:sz w:val="52"/>
          <w:szCs w:val="52"/>
          <w:highlight w:val="none"/>
          <w:lang w:val="en-US" w:eastAsia="zh-CN"/>
        </w:rPr>
        <w:t>工程</w:t>
      </w:r>
      <w:r>
        <w:rPr>
          <w:rFonts w:hint="eastAsia" w:ascii="宋体" w:hAnsi="宋体"/>
          <w:color w:val="auto"/>
          <w:sz w:val="52"/>
          <w:szCs w:val="52"/>
          <w:highlight w:val="none"/>
        </w:rPr>
        <w:t>类）</w:t>
      </w:r>
    </w:p>
    <w:p>
      <w:pPr>
        <w:spacing w:beforeLines="50" w:line="360" w:lineRule="auto"/>
        <w:jc w:val="center"/>
        <w:rPr>
          <w:rFonts w:ascii="宋体"/>
          <w:color w:val="auto"/>
          <w:sz w:val="36"/>
          <w:szCs w:val="36"/>
          <w:highlight w:val="none"/>
        </w:rPr>
      </w:pPr>
    </w:p>
    <w:p>
      <w:pPr>
        <w:snapToGrid w:val="0"/>
        <w:spacing w:beforeLines="50" w:line="360" w:lineRule="auto"/>
        <w:jc w:val="center"/>
        <w:rPr>
          <w:rFonts w:ascii="方正小标宋简体" w:hAnsi="方正小标宋简体" w:eastAsia="方正小标宋简体" w:cs="方正小标宋简体"/>
          <w:color w:val="auto"/>
          <w:sz w:val="44"/>
          <w:szCs w:val="44"/>
          <w:highlight w:val="none"/>
        </w:rPr>
      </w:pPr>
      <w:r>
        <w:rPr>
          <w:rFonts w:hint="eastAsia" w:ascii="华文新魏" w:hAnsi="宋体" w:eastAsia="华文新魏"/>
          <w:color w:val="auto"/>
          <w:sz w:val="72"/>
          <w:szCs w:val="72"/>
          <w:highlight w:val="none"/>
        </w:rPr>
        <w:t>竞争性磋商文件</w:t>
      </w:r>
    </w:p>
    <w:p>
      <w:pPr>
        <w:spacing w:beforeLines="100" w:afterLines="50" w:line="360" w:lineRule="auto"/>
        <w:jc w:val="center"/>
        <w:rPr>
          <w:rFonts w:ascii="宋体"/>
          <w:color w:val="auto"/>
          <w:szCs w:val="21"/>
          <w:highlight w:val="none"/>
        </w:rPr>
      </w:pPr>
      <w:r>
        <w:rPr>
          <w:rFonts w:hint="eastAsia" w:ascii="宋体" w:hAnsi="宋体"/>
          <w:color w:val="auto"/>
          <w:szCs w:val="21"/>
          <w:highlight w:val="none"/>
        </w:rPr>
        <w:t>（全流程电子化评标）</w:t>
      </w:r>
    </w:p>
    <w:p>
      <w:pPr>
        <w:spacing w:before="156" w:beforeLines="50" w:line="360" w:lineRule="auto"/>
        <w:jc w:val="center"/>
        <w:rPr>
          <w:rFonts w:hint="eastAsia" w:ascii="宋体" w:hAnsi="宋体" w:eastAsia="宋体" w:cs="宋体"/>
          <w:color w:val="auto"/>
          <w:sz w:val="36"/>
          <w:szCs w:val="36"/>
          <w:highlight w:val="none"/>
        </w:rPr>
      </w:pPr>
    </w:p>
    <w:p>
      <w:pPr>
        <w:spacing w:line="360" w:lineRule="auto"/>
        <w:jc w:val="both"/>
        <w:rPr>
          <w:rFonts w:hint="eastAsia" w:ascii="宋体" w:hAnsi="宋体" w:eastAsia="宋体" w:cs="宋体"/>
          <w:b/>
          <w:color w:val="auto"/>
          <w:sz w:val="32"/>
          <w:szCs w:val="32"/>
          <w:highlight w:val="none"/>
        </w:rPr>
      </w:pPr>
    </w:p>
    <w:p>
      <w:pPr>
        <w:pStyle w:val="22"/>
        <w:rPr>
          <w:rFonts w:hint="eastAsia"/>
          <w:color w:val="auto"/>
          <w:highlight w:val="none"/>
        </w:rPr>
      </w:pPr>
    </w:p>
    <w:p>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项目名称：</w:t>
      </w:r>
      <w:r>
        <w:rPr>
          <w:rFonts w:hint="eastAsia" w:ascii="仿宋" w:hAnsi="仿宋" w:eastAsia="仿宋" w:cs="仿宋"/>
          <w:b/>
          <w:color w:val="auto"/>
          <w:sz w:val="32"/>
          <w:szCs w:val="32"/>
          <w:highlight w:val="none"/>
          <w:lang w:eastAsia="zh-CN"/>
        </w:rPr>
        <w:t>隆安县那桐镇浪湾片区集中供水改造工程</w:t>
      </w:r>
    </w:p>
    <w:p>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项目编号：NNZC2024-C2-230184-GXJH</w:t>
      </w:r>
      <w:r>
        <w:rPr>
          <w:rFonts w:hint="eastAsia" w:ascii="仿宋" w:hAnsi="仿宋" w:eastAsia="仿宋" w:cs="仿宋"/>
          <w:b/>
          <w:color w:val="auto"/>
          <w:sz w:val="32"/>
          <w:szCs w:val="32"/>
          <w:highlight w:val="none"/>
          <w:lang w:eastAsia="zh-CN"/>
        </w:rPr>
        <w:t xml:space="preserve">    </w:t>
      </w:r>
    </w:p>
    <w:p>
      <w:pPr>
        <w:spacing w:line="360" w:lineRule="auto"/>
        <w:ind w:firstLine="1285" w:firstLineChars="400"/>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rPr>
        <w:t>项目所属区划：南宁市</w:t>
      </w:r>
      <w:r>
        <w:rPr>
          <w:rFonts w:hint="eastAsia" w:ascii="仿宋" w:hAnsi="仿宋" w:eastAsia="仿宋" w:cs="仿宋"/>
          <w:b/>
          <w:color w:val="auto"/>
          <w:sz w:val="32"/>
          <w:szCs w:val="32"/>
          <w:highlight w:val="none"/>
          <w:lang w:val="en-US" w:eastAsia="zh-CN"/>
        </w:rPr>
        <w:t>隆安县</w:t>
      </w:r>
    </w:p>
    <w:p>
      <w:pPr>
        <w:spacing w:line="360" w:lineRule="auto"/>
        <w:ind w:firstLine="1285" w:firstLineChars="40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 xml:space="preserve">采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 xml:space="preserve">购 </w:t>
      </w:r>
      <w:r>
        <w:rPr>
          <w:rFonts w:hint="eastAsia" w:ascii="仿宋" w:hAnsi="仿宋" w:eastAsia="仿宋" w:cs="仿宋"/>
          <w:b/>
          <w:color w:val="auto"/>
          <w:sz w:val="32"/>
          <w:szCs w:val="32"/>
          <w:highlight w:val="none"/>
          <w:lang w:val="en-US" w:eastAsia="zh-CN"/>
        </w:rPr>
        <w:t xml:space="preserve">  </w:t>
      </w:r>
      <w:r>
        <w:rPr>
          <w:rFonts w:hint="eastAsia" w:ascii="仿宋" w:hAnsi="仿宋" w:eastAsia="仿宋" w:cs="仿宋"/>
          <w:b/>
          <w:color w:val="auto"/>
          <w:sz w:val="32"/>
          <w:szCs w:val="32"/>
          <w:highlight w:val="none"/>
        </w:rPr>
        <w:t>人：</w:t>
      </w:r>
      <w:r>
        <w:rPr>
          <w:rFonts w:hint="eastAsia" w:ascii="仿宋" w:hAnsi="仿宋" w:eastAsia="仿宋" w:cs="仿宋"/>
          <w:b/>
          <w:color w:val="auto"/>
          <w:sz w:val="32"/>
          <w:szCs w:val="32"/>
          <w:highlight w:val="none"/>
          <w:lang w:eastAsia="zh-CN"/>
        </w:rPr>
        <w:t>隆安县水利局</w:t>
      </w:r>
    </w:p>
    <w:p>
      <w:pPr>
        <w:spacing w:line="360" w:lineRule="auto"/>
        <w:ind w:firstLine="1285" w:firstLineChars="400"/>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rPr>
        <w:t>采购代理机构：</w:t>
      </w:r>
      <w:r>
        <w:rPr>
          <w:rFonts w:hint="eastAsia" w:ascii="仿宋" w:hAnsi="仿宋" w:eastAsia="仿宋" w:cs="仿宋"/>
          <w:b/>
          <w:color w:val="auto"/>
          <w:sz w:val="32"/>
          <w:szCs w:val="32"/>
          <w:highlight w:val="none"/>
          <w:lang w:eastAsia="zh-CN"/>
        </w:rPr>
        <w:t>广西佳鸿工程咨询有限公司</w:t>
      </w:r>
    </w:p>
    <w:p>
      <w:pPr>
        <w:outlineLvl w:val="9"/>
        <w:rPr>
          <w:rFonts w:hint="eastAsia"/>
          <w:color w:val="auto"/>
          <w:highlight w:val="none"/>
          <w:lang w:val="en-US" w:eastAsia="zh-CN"/>
        </w:rPr>
      </w:pPr>
    </w:p>
    <w:p>
      <w:pPr>
        <w:spacing w:line="360" w:lineRule="auto"/>
        <w:jc w:val="center"/>
        <w:rPr>
          <w:rFonts w:hint="eastAsia" w:ascii="仿宋" w:hAnsi="仿宋" w:eastAsia="仿宋" w:cs="仿宋"/>
          <w:b/>
          <w:color w:val="auto"/>
          <w:sz w:val="32"/>
          <w:szCs w:val="32"/>
          <w:highlight w:val="none"/>
          <w:lang w:val="en-US" w:eastAsia="zh-CN"/>
        </w:rPr>
      </w:pPr>
      <w:r>
        <w:rPr>
          <w:rFonts w:hint="eastAsia" w:ascii="仿宋" w:hAnsi="仿宋" w:eastAsia="仿宋" w:cs="仿宋"/>
          <w:b/>
          <w:color w:val="auto"/>
          <w:sz w:val="32"/>
          <w:szCs w:val="32"/>
          <w:highlight w:val="none"/>
          <w:lang w:eastAsia="zh-CN"/>
        </w:rPr>
        <w:t>202</w:t>
      </w:r>
      <w:r>
        <w:rPr>
          <w:rFonts w:hint="eastAsia" w:ascii="仿宋" w:hAnsi="仿宋" w:eastAsia="仿宋" w:cs="仿宋"/>
          <w:b/>
          <w:color w:val="auto"/>
          <w:sz w:val="32"/>
          <w:szCs w:val="32"/>
          <w:highlight w:val="none"/>
          <w:lang w:val="en-US" w:eastAsia="zh-CN"/>
        </w:rPr>
        <w:t>4</w:t>
      </w:r>
      <w:r>
        <w:rPr>
          <w:rFonts w:hint="eastAsia" w:ascii="仿宋" w:hAnsi="仿宋" w:eastAsia="仿宋" w:cs="仿宋"/>
          <w:b/>
          <w:color w:val="auto"/>
          <w:sz w:val="32"/>
          <w:szCs w:val="32"/>
          <w:highlight w:val="none"/>
          <w:lang w:eastAsia="zh-CN"/>
        </w:rPr>
        <w:t>年</w:t>
      </w:r>
      <w:r>
        <w:rPr>
          <w:rFonts w:hint="eastAsia" w:ascii="仿宋" w:hAnsi="仿宋" w:eastAsia="仿宋" w:cs="仿宋"/>
          <w:b/>
          <w:color w:val="auto"/>
          <w:sz w:val="32"/>
          <w:szCs w:val="32"/>
          <w:highlight w:val="none"/>
          <w:lang w:val="en-US" w:eastAsia="zh-CN"/>
        </w:rPr>
        <w:t>6</w:t>
      </w:r>
      <w:r>
        <w:rPr>
          <w:rFonts w:hint="eastAsia" w:ascii="仿宋" w:hAnsi="仿宋" w:eastAsia="仿宋" w:cs="仿宋"/>
          <w:b/>
          <w:color w:val="auto"/>
          <w:sz w:val="32"/>
          <w:szCs w:val="32"/>
          <w:highlight w:val="none"/>
          <w:lang w:eastAsia="zh-CN"/>
        </w:rPr>
        <w:t>月</w:t>
      </w:r>
      <w:r>
        <w:rPr>
          <w:rFonts w:hint="eastAsia" w:ascii="仿宋_GB2312" w:hAnsi="宋体" w:eastAsia="仿宋_GB2312"/>
          <w:b/>
          <w:sz w:val="32"/>
          <w:szCs w:val="32"/>
          <w:highlight w:val="none"/>
          <w:lang w:val="en-US" w:eastAsia="zh-CN"/>
        </w:rPr>
        <w:t>21</w:t>
      </w:r>
      <w:r>
        <w:rPr>
          <w:rFonts w:hint="eastAsia" w:ascii="仿宋_GB2312" w:hAnsi="宋体" w:eastAsia="仿宋_GB2312"/>
          <w:b/>
          <w:sz w:val="32"/>
          <w:szCs w:val="32"/>
          <w:highlight w:val="none"/>
        </w:rPr>
        <w:t>日</w:t>
      </w:r>
    </w:p>
    <w:p>
      <w:pPr>
        <w:pStyle w:val="22"/>
        <w:rPr>
          <w:rFonts w:hint="eastAsia" w:ascii="仿宋" w:hAnsi="仿宋" w:eastAsia="仿宋" w:cs="仿宋"/>
          <w:b/>
          <w:color w:val="auto"/>
          <w:sz w:val="32"/>
          <w:szCs w:val="32"/>
          <w:highlight w:val="none"/>
          <w:lang w:val="en-US" w:eastAsia="zh-CN"/>
        </w:rPr>
      </w:pPr>
    </w:p>
    <w:p>
      <w:pPr>
        <w:rPr>
          <w:rFonts w:hint="default"/>
          <w:color w:val="auto"/>
          <w:highlight w:val="none"/>
          <w:lang w:val="en-US"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pPr>
        <w:spacing w:line="360" w:lineRule="auto"/>
        <w:jc w:val="center"/>
        <w:outlineLvl w:val="9"/>
        <w:rPr>
          <w:rFonts w:hint="eastAsia" w:ascii="宋体" w:hAnsi="宋体" w:eastAsia="宋体" w:cs="宋体"/>
          <w:b w:val="0"/>
          <w:color w:val="auto"/>
          <w:sz w:val="44"/>
          <w:szCs w:val="44"/>
          <w:highlight w:val="none"/>
        </w:rPr>
      </w:pPr>
      <w:bookmarkStart w:id="0" w:name="_Toc22635"/>
      <w:bookmarkStart w:id="1" w:name="_Toc21342"/>
      <w:bookmarkStart w:id="2" w:name="_Toc15289"/>
      <w:r>
        <w:rPr>
          <w:rFonts w:hint="eastAsia" w:ascii="宋体" w:hAnsi="宋体" w:eastAsia="宋体" w:cs="宋体"/>
          <w:b/>
          <w:bCs/>
          <w:color w:val="auto"/>
          <w:sz w:val="36"/>
          <w:szCs w:val="36"/>
          <w:highlight w:val="none"/>
        </w:rPr>
        <w:t>目   录</w:t>
      </w:r>
      <w:bookmarkEnd w:id="0"/>
      <w:bookmarkEnd w:id="1"/>
      <w:bookmarkEnd w:id="2"/>
    </w:p>
    <w:p>
      <w:pPr>
        <w:pStyle w:val="20"/>
        <w:tabs>
          <w:tab w:val="right" w:leader="dot" w:pos="9746"/>
        </w:tabs>
        <w:rPr>
          <w:color w:val="auto"/>
          <w:highlight w:val="none"/>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"1-3" \h \z \u </w:instrText>
      </w:r>
      <w:r>
        <w:rPr>
          <w:rFonts w:hint="eastAsia" w:ascii="宋体" w:hAnsi="宋体" w:eastAsia="宋体" w:cs="宋体"/>
          <w:b/>
          <w:color w:val="auto"/>
          <w:sz w:val="24"/>
          <w:szCs w:val="24"/>
          <w:highlight w:val="none"/>
        </w:rPr>
        <w:fldChar w:fldCharType="separate"/>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_Toc2884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第一章 </w:t>
      </w:r>
      <w:r>
        <w:rPr>
          <w:rFonts w:hint="eastAsia" w:ascii="宋体" w:hAnsi="宋体" w:eastAsia="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rPr>
        <w:t>竞争性磋商公告</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_Toc2884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_Toc15775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第二章 </w:t>
      </w:r>
      <w:r>
        <w:rPr>
          <w:rFonts w:hint="eastAsia" w:ascii="宋体" w:hAnsi="宋体" w:eastAsia="宋体" w:cs="宋体"/>
          <w:bCs/>
          <w:color w:val="auto"/>
          <w:sz w:val="28"/>
          <w:szCs w:val="28"/>
          <w:highlight w:val="none"/>
          <w:lang w:val="en-US" w:eastAsia="zh-CN"/>
        </w:rPr>
        <w:t xml:space="preserve"> 采购需求</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_Toc15775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_Toc23956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第三章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供应商须知</w:t>
      </w:r>
      <w:r>
        <w:rPr>
          <w:rFonts w:hint="eastAsia" w:ascii="宋体" w:hAnsi="宋体" w:cs="宋体"/>
          <w:color w:val="auto"/>
          <w:sz w:val="28"/>
          <w:szCs w:val="28"/>
          <w:highlight w:val="none"/>
        </w:rPr>
        <w:tab/>
      </w:r>
      <w:r>
        <w:rPr>
          <w:rFonts w:hint="eastAsia" w:ascii="宋体" w:hAnsi="宋体" w:cs="宋体"/>
          <w:color w:val="auto"/>
          <w:sz w:val="28"/>
          <w:szCs w:val="28"/>
          <w:highlight w:val="none"/>
          <w:lang w:val="en-US" w:eastAsia="zh-CN"/>
        </w:rPr>
        <w:t>1</w:t>
      </w:r>
      <w:r>
        <w:rPr>
          <w:rFonts w:hint="eastAsia" w:ascii="宋体" w:hAnsi="宋体" w:eastAsia="宋体" w:cs="宋体"/>
          <w:color w:val="auto"/>
          <w:sz w:val="28"/>
          <w:szCs w:val="28"/>
          <w:highlight w:val="none"/>
        </w:rPr>
        <w:fldChar w:fldCharType="end"/>
      </w:r>
      <w:r>
        <w:rPr>
          <w:rFonts w:hint="eastAsia" w:ascii="宋体" w:hAnsi="宋体" w:cs="宋体"/>
          <w:color w:val="auto"/>
          <w:sz w:val="28"/>
          <w:szCs w:val="28"/>
          <w:highlight w:val="none"/>
          <w:lang w:val="en-US" w:eastAsia="zh-CN"/>
        </w:rPr>
        <w:t>2</w:t>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_Toc14829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第四章  评审程序、评审方法和评审标准</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_Toc14829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30</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_Toc8541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 xml:space="preserve">第五章 </w:t>
      </w:r>
      <w:r>
        <w:rPr>
          <w:rFonts w:hint="eastAsia" w:ascii="宋体" w:hAnsi="宋体" w:eastAsia="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响应文件格式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_Toc8541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39</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_Toc25466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第六章  合同文本</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_Toc25466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76</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_Toc13697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 xml:space="preserve">第七章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工程量清单（另册）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_Toc13697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143</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rFonts w:hint="eastAsia" w:ascii="宋体" w:hAnsi="宋体" w:cs="宋体"/>
          <w:color w:val="auto"/>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_Toc948 </w:instrText>
      </w:r>
      <w:r>
        <w:rPr>
          <w:rFonts w:hint="eastAsia" w:ascii="宋体" w:hAnsi="宋体" w:eastAsia="宋体" w:cs="宋体"/>
          <w:color w:val="auto"/>
          <w:sz w:val="28"/>
          <w:szCs w:val="28"/>
          <w:highlight w:val="none"/>
        </w:rPr>
        <w:fldChar w:fldCharType="separate"/>
      </w:r>
      <w:r>
        <w:rPr>
          <w:rFonts w:hint="eastAsia" w:ascii="宋体" w:hAnsi="宋体" w:eastAsia="宋体" w:cs="宋体"/>
          <w:color w:val="auto"/>
          <w:sz w:val="28"/>
          <w:szCs w:val="28"/>
          <w:highlight w:val="none"/>
        </w:rPr>
        <w:t>第</w:t>
      </w:r>
      <w:r>
        <w:rPr>
          <w:rFonts w:hint="eastAsia" w:ascii="宋体" w:hAnsi="宋体" w:eastAsia="宋体" w:cs="宋体"/>
          <w:color w:val="auto"/>
          <w:sz w:val="28"/>
          <w:szCs w:val="28"/>
          <w:highlight w:val="none"/>
          <w:lang w:val="en-US" w:eastAsia="zh-CN"/>
        </w:rPr>
        <w:t>八</w:t>
      </w:r>
      <w:r>
        <w:rPr>
          <w:rFonts w:hint="eastAsia" w:ascii="宋体" w:hAnsi="宋体" w:eastAsia="宋体" w:cs="宋体"/>
          <w:color w:val="auto"/>
          <w:sz w:val="28"/>
          <w:szCs w:val="28"/>
          <w:highlight w:val="none"/>
        </w:rPr>
        <w:t xml:space="preserve">章 </w:t>
      </w:r>
      <w:r>
        <w:rPr>
          <w:rFonts w:hint="eastAsia" w:ascii="宋体" w:hAnsi="宋体" w:cs="宋体"/>
          <w:color w:val="auto"/>
          <w:sz w:val="28"/>
          <w:szCs w:val="28"/>
          <w:highlight w:val="none"/>
          <w:lang w:val="en-US" w:eastAsia="zh-CN"/>
        </w:rPr>
        <w:t xml:space="preserve"> </w:t>
      </w:r>
      <w:r>
        <w:rPr>
          <w:rFonts w:hint="eastAsia" w:ascii="宋体" w:hAnsi="宋体" w:eastAsia="宋体" w:cs="宋体"/>
          <w:color w:val="auto"/>
          <w:sz w:val="28"/>
          <w:szCs w:val="28"/>
          <w:highlight w:val="none"/>
          <w:lang w:val="en-US" w:eastAsia="zh-CN"/>
        </w:rPr>
        <w:t>图纸（另册）</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_Toc948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144</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keepNext w:val="0"/>
        <w:keepLines w:val="0"/>
        <w:pageBreakBefore w:val="0"/>
        <w:widowControl w:val="0"/>
        <w:tabs>
          <w:tab w:val="right" w:leader="dot" w:pos="9746"/>
        </w:tabs>
        <w:kinsoku/>
        <w:wordWrap/>
        <w:overflowPunct/>
        <w:topLinePunct w:val="0"/>
        <w:autoSpaceDE/>
        <w:autoSpaceDN/>
        <w:bidi w:val="0"/>
        <w:adjustRightInd/>
        <w:snapToGrid/>
        <w:spacing w:line="600" w:lineRule="auto"/>
        <w:textAlignment w:val="auto"/>
        <w:rPr>
          <w:color w:val="auto"/>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 HYPERLINK \l _Toc11110 </w:instrText>
      </w:r>
      <w:r>
        <w:rPr>
          <w:rFonts w:hint="eastAsia" w:ascii="宋体" w:hAnsi="宋体" w:eastAsia="宋体" w:cs="宋体"/>
          <w:color w:val="auto"/>
          <w:sz w:val="28"/>
          <w:szCs w:val="28"/>
          <w:highlight w:val="none"/>
        </w:rPr>
        <w:fldChar w:fldCharType="separate"/>
      </w:r>
      <w:r>
        <w:rPr>
          <w:rFonts w:hint="eastAsia" w:ascii="宋体" w:hAnsi="宋体" w:eastAsia="宋体" w:cs="宋体"/>
          <w:bCs/>
          <w:color w:val="auto"/>
          <w:sz w:val="28"/>
          <w:szCs w:val="28"/>
          <w:highlight w:val="none"/>
        </w:rPr>
        <w:t>第</w:t>
      </w:r>
      <w:r>
        <w:rPr>
          <w:rFonts w:hint="eastAsia" w:ascii="宋体" w:hAnsi="宋体" w:eastAsia="宋体" w:cs="宋体"/>
          <w:bCs/>
          <w:color w:val="auto"/>
          <w:sz w:val="28"/>
          <w:szCs w:val="28"/>
          <w:highlight w:val="none"/>
          <w:lang w:val="en-US" w:eastAsia="zh-CN"/>
        </w:rPr>
        <w:t>九</w:t>
      </w:r>
      <w:r>
        <w:rPr>
          <w:rFonts w:hint="eastAsia" w:ascii="宋体" w:hAnsi="宋体" w:eastAsia="宋体" w:cs="宋体"/>
          <w:bCs/>
          <w:color w:val="auto"/>
          <w:sz w:val="28"/>
          <w:szCs w:val="28"/>
          <w:highlight w:val="none"/>
        </w:rPr>
        <w:t xml:space="preserve">章 </w:t>
      </w:r>
      <w:r>
        <w:rPr>
          <w:rFonts w:hint="eastAsia" w:ascii="宋体" w:hAnsi="宋体" w:cs="宋体"/>
          <w:bCs/>
          <w:color w:val="auto"/>
          <w:sz w:val="28"/>
          <w:szCs w:val="28"/>
          <w:highlight w:val="none"/>
          <w:lang w:val="en-US" w:eastAsia="zh-CN"/>
        </w:rPr>
        <w:t xml:space="preserve"> </w:t>
      </w:r>
      <w:r>
        <w:rPr>
          <w:rFonts w:hint="eastAsia" w:ascii="宋体" w:hAnsi="宋体" w:eastAsia="宋体" w:cs="宋体"/>
          <w:bCs/>
          <w:color w:val="auto"/>
          <w:sz w:val="28"/>
          <w:szCs w:val="28"/>
          <w:highlight w:val="none"/>
        </w:rPr>
        <w:t>质疑、投诉材料格式</w:t>
      </w:r>
      <w:r>
        <w:rPr>
          <w:rFonts w:hint="eastAsia" w:ascii="宋体" w:hAnsi="宋体" w:cs="宋体"/>
          <w:color w:val="auto"/>
          <w:sz w:val="28"/>
          <w:szCs w:val="28"/>
          <w:highlight w:val="none"/>
        </w:rPr>
        <w:tab/>
      </w:r>
      <w:r>
        <w:rPr>
          <w:rFonts w:hint="eastAsia" w:ascii="宋体" w:hAnsi="宋体" w:cs="宋体"/>
          <w:color w:val="auto"/>
          <w:sz w:val="28"/>
          <w:szCs w:val="28"/>
          <w:highlight w:val="none"/>
        </w:rPr>
        <w:fldChar w:fldCharType="begin"/>
      </w:r>
      <w:r>
        <w:rPr>
          <w:rFonts w:hint="eastAsia" w:ascii="宋体" w:hAnsi="宋体" w:cs="宋体"/>
          <w:color w:val="auto"/>
          <w:sz w:val="28"/>
          <w:szCs w:val="28"/>
          <w:highlight w:val="none"/>
        </w:rPr>
        <w:instrText xml:space="preserve"> PAGEREF _Toc11110 \h </w:instrText>
      </w:r>
      <w:r>
        <w:rPr>
          <w:rFonts w:hint="eastAsia" w:ascii="宋体" w:hAnsi="宋体" w:cs="宋体"/>
          <w:color w:val="auto"/>
          <w:sz w:val="28"/>
          <w:szCs w:val="28"/>
          <w:highlight w:val="none"/>
        </w:rPr>
        <w:fldChar w:fldCharType="separate"/>
      </w:r>
      <w:r>
        <w:rPr>
          <w:rFonts w:hint="eastAsia" w:ascii="宋体" w:hAnsi="宋体" w:cs="宋体"/>
          <w:color w:val="auto"/>
          <w:sz w:val="28"/>
          <w:szCs w:val="28"/>
          <w:highlight w:val="none"/>
        </w:rPr>
        <w:t>145</w:t>
      </w:r>
      <w:r>
        <w:rPr>
          <w:rFonts w:hint="eastAsia" w:ascii="宋体" w:hAnsi="宋体" w:cs="宋体"/>
          <w:color w:val="auto"/>
          <w:sz w:val="28"/>
          <w:szCs w:val="28"/>
          <w:highlight w:val="none"/>
        </w:rPr>
        <w:fldChar w:fldCharType="end"/>
      </w:r>
      <w:r>
        <w:rPr>
          <w:rFonts w:hint="eastAsia" w:ascii="宋体" w:hAnsi="宋体" w:eastAsia="宋体" w:cs="宋体"/>
          <w:color w:val="auto"/>
          <w:sz w:val="28"/>
          <w:szCs w:val="28"/>
          <w:highlight w:val="none"/>
        </w:rPr>
        <w:fldChar w:fldCharType="end"/>
      </w:r>
    </w:p>
    <w:p>
      <w:pPr>
        <w:pStyle w:val="20"/>
        <w:tabs>
          <w:tab w:val="right" w:leader="dot" w:pos="8306"/>
        </w:tabs>
        <w:spacing w:line="360" w:lineRule="auto"/>
        <w:rPr>
          <w:rFonts w:hint="eastAsia" w:ascii="宋体" w:hAnsi="宋体" w:eastAsia="宋体" w:cs="宋体"/>
          <w:b/>
          <w:color w:val="auto"/>
          <w:sz w:val="24"/>
          <w:szCs w:val="24"/>
          <w:highlight w:val="none"/>
        </w:rPr>
      </w:pPr>
      <w:r>
        <w:rPr>
          <w:rFonts w:hint="eastAsia" w:ascii="宋体" w:hAnsi="宋体" w:eastAsia="宋体" w:cs="宋体"/>
          <w:color w:val="auto"/>
          <w:szCs w:val="24"/>
          <w:highlight w:val="none"/>
        </w:rPr>
        <w:fldChar w:fldCharType="end"/>
      </w:r>
    </w:p>
    <w:p>
      <w:pPr>
        <w:spacing w:line="360" w:lineRule="auto"/>
        <w:rPr>
          <w:rFonts w:hint="eastAsia" w:ascii="宋体" w:hAnsi="宋体" w:eastAsia="宋体" w:cs="宋体"/>
          <w:b/>
          <w:color w:val="auto"/>
          <w:sz w:val="32"/>
          <w:szCs w:val="32"/>
          <w:highlight w:val="none"/>
        </w:rPr>
        <w:sectPr>
          <w:pgSz w:w="11906" w:h="16838"/>
          <w:pgMar w:top="1440" w:right="1080" w:bottom="1440" w:left="1080" w:header="851" w:footer="992" w:gutter="0"/>
          <w:pgBorders w:offsetFrom="page">
            <w:top w:val="none" w:sz="0" w:space="0"/>
            <w:left w:val="none" w:sz="0" w:space="0"/>
            <w:bottom w:val="none" w:sz="0" w:space="0"/>
            <w:right w:val="none" w:sz="0" w:space="0"/>
          </w:pgBorders>
          <w:pgNumType w:start="0"/>
          <w:cols w:space="720" w:num="1"/>
          <w:titlePg/>
          <w:docGrid w:type="lines" w:linePitch="312" w:charSpace="0"/>
        </w:sectPr>
      </w:pPr>
    </w:p>
    <w:p>
      <w:pPr>
        <w:pStyle w:val="3"/>
        <w:spacing w:line="360" w:lineRule="auto"/>
        <w:jc w:val="center"/>
        <w:rPr>
          <w:rFonts w:hint="eastAsia" w:ascii="宋体" w:hAnsi="宋体" w:eastAsia="宋体" w:cs="宋体"/>
          <w:color w:val="auto"/>
          <w:highlight w:val="none"/>
          <w:lang w:eastAsia="zh-CN"/>
        </w:rPr>
      </w:pPr>
      <w:bookmarkStart w:id="3" w:name="_Toc21181"/>
      <w:bookmarkStart w:id="4" w:name="_Toc23020"/>
      <w:bookmarkStart w:id="5" w:name="_Toc2884"/>
      <w:r>
        <w:rPr>
          <w:rFonts w:hint="eastAsia" w:ascii="宋体" w:hAnsi="宋体" w:eastAsia="宋体" w:cs="宋体"/>
          <w:color w:val="auto"/>
          <w:highlight w:val="none"/>
        </w:rPr>
        <w:t>第一章 竞争性磋商公告</w:t>
      </w:r>
      <w:bookmarkEnd w:id="3"/>
      <w:bookmarkEnd w:id="4"/>
      <w:bookmarkEnd w:id="5"/>
      <w:bookmarkStart w:id="6" w:name="_Toc35393798"/>
      <w:bookmarkStart w:id="7" w:name="_Toc28359012"/>
      <w:bookmarkStart w:id="8" w:name="_Toc28359089"/>
      <w:bookmarkStart w:id="9" w:name="_Toc44229878"/>
      <w:bookmarkStart w:id="10" w:name="_Toc35393629"/>
      <w:bookmarkStart w:id="11" w:name="_Toc28359004"/>
      <w:bookmarkStart w:id="12" w:name="_Toc35393792"/>
      <w:bookmarkStart w:id="13" w:name="_Toc28359081"/>
      <w:bookmarkStart w:id="14" w:name="_Toc35393623"/>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0" w:firstLineChars="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项目概况</w:t>
      </w:r>
    </w:p>
    <w:p>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lang w:eastAsia="zh-CN"/>
        </w:rPr>
      </w:pPr>
      <w:r>
        <w:rPr>
          <w:rFonts w:hint="eastAsia" w:ascii="宋体" w:hAnsi="宋体" w:cs="宋体"/>
          <w:color w:val="auto"/>
          <w:szCs w:val="21"/>
          <w:highlight w:val="none"/>
          <w:u w:val="single"/>
          <w:lang w:eastAsia="zh-CN"/>
        </w:rPr>
        <w:t>隆安县那桐镇浪湾片区集中供水改造工程</w:t>
      </w:r>
      <w:r>
        <w:rPr>
          <w:rFonts w:hint="eastAsia" w:ascii="宋体" w:hAnsi="宋体" w:eastAsia="宋体" w:cs="宋体"/>
          <w:color w:val="auto"/>
          <w:szCs w:val="21"/>
          <w:highlight w:val="none"/>
        </w:rPr>
        <w:t>项目的潜在供应商应在</w:t>
      </w:r>
      <w:r>
        <w:rPr>
          <w:rFonts w:hint="eastAsia" w:ascii="宋体" w:hAnsi="宋体" w:eastAsia="宋体" w:cs="宋体"/>
          <w:color w:val="auto"/>
          <w:sz w:val="21"/>
          <w:szCs w:val="21"/>
          <w:highlight w:val="none"/>
        </w:rPr>
        <w:t>政采云平台（</w:t>
      </w:r>
      <w:r>
        <w:rPr>
          <w:rFonts w:hint="eastAsia" w:ascii="宋体" w:hAnsi="宋体" w:eastAsia="宋体" w:cs="宋体"/>
          <w:snapToGrid w:val="0"/>
          <w:color w:val="auto"/>
          <w:szCs w:val="21"/>
          <w:highlight w:val="none"/>
        </w:rPr>
        <w:t>https://www.zcygov.cn/）</w:t>
      </w:r>
      <w:r>
        <w:rPr>
          <w:rFonts w:hint="eastAsia" w:ascii="宋体" w:hAnsi="宋体" w:eastAsia="宋体" w:cs="宋体"/>
          <w:snapToGrid w:val="0"/>
          <w:color w:val="auto"/>
          <w:highlight w:val="none"/>
        </w:rPr>
        <w:t>获取（下载）</w:t>
      </w:r>
      <w:r>
        <w:rPr>
          <w:rFonts w:hint="eastAsia" w:ascii="宋体" w:hAnsi="宋体" w:eastAsia="宋体" w:cs="宋体"/>
          <w:color w:val="auto"/>
          <w:szCs w:val="21"/>
          <w:highlight w:val="none"/>
        </w:rPr>
        <w:t>竞争性磋商文件，并于</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10时30分</w:t>
      </w:r>
      <w:r>
        <w:rPr>
          <w:rFonts w:hint="eastAsia" w:ascii="宋体" w:hAnsi="宋体" w:eastAsia="宋体" w:cs="宋体"/>
          <w:bCs/>
          <w:color w:val="auto"/>
          <w:szCs w:val="21"/>
          <w:highlight w:val="none"/>
        </w:rPr>
        <w:t>（</w:t>
      </w:r>
      <w:r>
        <w:rPr>
          <w:rFonts w:hint="eastAsia" w:ascii="宋体" w:hAnsi="宋体" w:eastAsia="宋体" w:cs="宋体"/>
          <w:bCs/>
          <w:color w:val="auto"/>
          <w:szCs w:val="21"/>
          <w:highlight w:val="none"/>
        </w:rPr>
        <w:t>北京时间）前提交响应文件</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color w:val="auto"/>
          <w:kern w:val="44"/>
          <w:sz w:val="24"/>
          <w:highlight w:val="none"/>
        </w:rPr>
      </w:pPr>
      <w:r>
        <w:rPr>
          <w:rFonts w:hint="eastAsia" w:ascii="宋体" w:hAnsi="宋体" w:eastAsia="宋体" w:cs="宋体"/>
          <w:b/>
          <w:color w:val="auto"/>
          <w:kern w:val="44"/>
          <w:sz w:val="24"/>
          <w:highlight w:val="none"/>
        </w:rPr>
        <w:t>一、项目基本情况</w:t>
      </w:r>
      <w:bookmarkEnd w:id="6"/>
      <w:bookmarkEnd w:id="7"/>
      <w:bookmarkEnd w:id="8"/>
      <w:bookmarkEnd w:id="9"/>
      <w:bookmarkEnd w:id="10"/>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1.项目编号：NNZC2024-C2-230184-GXJH</w:t>
      </w:r>
      <w:r>
        <w:rPr>
          <w:rFonts w:hint="eastAsia" w:ascii="宋体" w:hAnsi="宋体" w:cs="宋体"/>
          <w:color w:val="auto"/>
          <w:szCs w:val="21"/>
          <w:highlight w:val="none"/>
          <w:lang w:eastAsia="zh-CN"/>
        </w:rPr>
        <w:t xml:space="preserve">    </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color w:val="auto"/>
          <w:highlight w:val="none"/>
          <w:lang w:eastAsia="zh-CN"/>
        </w:rPr>
      </w:pPr>
      <w:r>
        <w:rPr>
          <w:rFonts w:hint="eastAsia" w:ascii="宋体" w:hAnsi="宋体" w:eastAsia="宋体" w:cs="宋体"/>
          <w:color w:val="auto"/>
          <w:szCs w:val="21"/>
          <w:highlight w:val="none"/>
        </w:rPr>
        <w:t>2.项目名称：</w:t>
      </w:r>
      <w:r>
        <w:rPr>
          <w:rFonts w:hint="eastAsia" w:ascii="宋体" w:hAnsi="宋体" w:cs="宋体"/>
          <w:color w:val="auto"/>
          <w:spacing w:val="-4"/>
          <w:szCs w:val="21"/>
          <w:highlight w:val="none"/>
          <w:lang w:eastAsia="zh-CN"/>
        </w:rPr>
        <w:t>隆安县那桐镇浪湾片区集中供水改造工程</w:t>
      </w:r>
    </w:p>
    <w:p>
      <w:pPr>
        <w:keepNext w:val="0"/>
        <w:keepLines w:val="0"/>
        <w:pageBreakBefore w:val="0"/>
        <w:tabs>
          <w:tab w:val="left" w:pos="6358"/>
        </w:tabs>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3.采购方式：竞争性磋商</w:t>
      </w:r>
      <w:r>
        <w:rPr>
          <w:rFonts w:hint="eastAsia" w:ascii="宋体" w:hAnsi="宋体" w:eastAsia="宋体" w:cs="宋体"/>
          <w:color w:val="auto"/>
          <w:szCs w:val="21"/>
          <w:highlight w:val="none"/>
          <w:lang w:eastAsia="zh-CN"/>
        </w:rPr>
        <w:tab/>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4.预算金额：</w:t>
      </w:r>
      <w:r>
        <w:rPr>
          <w:rFonts w:hint="eastAsia" w:ascii="宋体" w:hAnsi="宋体" w:cs="宋体"/>
          <w:b w:val="0"/>
          <w:bCs w:val="0"/>
          <w:color w:val="auto"/>
          <w:szCs w:val="21"/>
          <w:highlight w:val="none"/>
          <w:lang w:eastAsia="zh-CN"/>
        </w:rPr>
        <w:t>2003529.56</w:t>
      </w:r>
      <w:r>
        <w:rPr>
          <w:rFonts w:hint="eastAsia" w:ascii="宋体" w:hAnsi="宋体" w:eastAsia="宋体" w:cs="宋体"/>
          <w:b w:val="0"/>
          <w:bCs w:val="0"/>
          <w:color w:val="auto"/>
          <w:szCs w:val="21"/>
          <w:highlight w:val="none"/>
          <w:lang w:val="en-US" w:eastAsia="zh-CN"/>
        </w:rPr>
        <w:t>元</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default" w:ascii="宋体" w:hAnsi="宋体" w:eastAsia="宋体" w:cs="宋体"/>
          <w:b w:val="0"/>
          <w:bCs w:val="0"/>
          <w:color w:val="auto"/>
          <w:szCs w:val="21"/>
          <w:highlight w:val="none"/>
          <w:lang w:val="en-US" w:eastAsia="zh-CN"/>
        </w:rPr>
      </w:pPr>
      <w:r>
        <w:rPr>
          <w:rFonts w:hint="eastAsia" w:ascii="宋体" w:hAnsi="宋体" w:eastAsia="宋体" w:cs="宋体"/>
          <w:b w:val="0"/>
          <w:bCs w:val="0"/>
          <w:color w:val="auto"/>
          <w:szCs w:val="21"/>
          <w:highlight w:val="none"/>
        </w:rPr>
        <w:t>5.</w:t>
      </w:r>
      <w:r>
        <w:rPr>
          <w:rFonts w:hint="eastAsia" w:ascii="宋体" w:hAnsi="宋体" w:eastAsia="宋体" w:cs="Times New Roman"/>
          <w:b w:val="0"/>
          <w:bCs w:val="0"/>
          <w:color w:val="auto"/>
          <w:sz w:val="21"/>
          <w:szCs w:val="21"/>
          <w:highlight w:val="none"/>
        </w:rPr>
        <w:t>最高限价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lang w:eastAsia="zh-CN"/>
        </w:rPr>
        <w:t>招标控制价</w:t>
      </w:r>
      <w:r>
        <w:rPr>
          <w:rFonts w:hint="eastAsia" w:ascii="宋体" w:hAnsi="宋体" w:eastAsia="宋体" w:cs="Times New Roman"/>
          <w:b w:val="0"/>
          <w:bCs w:val="0"/>
          <w:color w:val="auto"/>
          <w:sz w:val="21"/>
          <w:szCs w:val="21"/>
          <w:highlight w:val="none"/>
          <w:lang w:eastAsia="zh-CN"/>
        </w:rPr>
        <w:t>）</w:t>
      </w:r>
      <w:r>
        <w:rPr>
          <w:rFonts w:hint="eastAsia" w:ascii="宋体" w:hAnsi="宋体" w:eastAsia="宋体" w:cs="宋体"/>
          <w:b w:val="0"/>
          <w:bCs w:val="0"/>
          <w:color w:val="auto"/>
          <w:szCs w:val="21"/>
          <w:highlight w:val="none"/>
        </w:rPr>
        <w:t>：</w:t>
      </w:r>
      <w:r>
        <w:rPr>
          <w:rFonts w:hint="eastAsia" w:ascii="宋体" w:hAnsi="宋体" w:cs="宋体"/>
          <w:b w:val="0"/>
          <w:bCs w:val="0"/>
          <w:color w:val="auto"/>
          <w:szCs w:val="21"/>
          <w:highlight w:val="none"/>
          <w:lang w:eastAsia="zh-CN"/>
        </w:rPr>
        <w:t>2003529.56</w:t>
      </w:r>
      <w:r>
        <w:rPr>
          <w:rFonts w:hint="eastAsia" w:ascii="宋体" w:hAnsi="宋体" w:eastAsia="宋体" w:cs="宋体"/>
          <w:b w:val="0"/>
          <w:bCs w:val="0"/>
          <w:color w:val="auto"/>
          <w:szCs w:val="21"/>
          <w:highlight w:val="none"/>
          <w:lang w:val="en-US" w:eastAsia="zh-CN"/>
        </w:rPr>
        <w:t>元</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rPr>
        <w:t>6.采购需求：</w:t>
      </w:r>
      <w:r>
        <w:rPr>
          <w:rFonts w:hint="eastAsia" w:ascii="宋体" w:hAnsi="宋体" w:cs="宋体"/>
          <w:color w:val="auto"/>
          <w:szCs w:val="21"/>
          <w:highlight w:val="none"/>
          <w:lang w:eastAsia="zh-CN"/>
        </w:rPr>
        <w:t>隆安县那桐镇浪湾片区集中供水改造工程</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具体内容详见施工图纸及工程量清单所包含的内容</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7.</w:t>
      </w:r>
      <w:r>
        <w:rPr>
          <w:rFonts w:hint="eastAsia" w:ascii="宋体" w:hAnsi="宋体" w:cs="宋体"/>
          <w:color w:val="auto"/>
          <w:sz w:val="21"/>
          <w:szCs w:val="21"/>
          <w:highlight w:val="none"/>
        </w:rPr>
        <w:t>合同履</w:t>
      </w:r>
      <w:r>
        <w:rPr>
          <w:rFonts w:hint="eastAsia" w:ascii="宋体" w:hAnsi="宋体" w:eastAsia="宋体" w:cs="宋体"/>
          <w:color w:val="auto"/>
          <w:sz w:val="21"/>
          <w:szCs w:val="21"/>
          <w:highlight w:val="none"/>
        </w:rPr>
        <w:t>行期限（工期）</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180日历天</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8.本项目是否接受联合体：□是，</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否。</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bookmarkStart w:id="15" w:name="_Toc35393799"/>
      <w:bookmarkStart w:id="16" w:name="_Toc28359013"/>
      <w:bookmarkStart w:id="17" w:name="_Toc35393630"/>
      <w:bookmarkStart w:id="18" w:name="_Toc44229879"/>
      <w:bookmarkStart w:id="19" w:name="_Toc28359090"/>
      <w:r>
        <w:rPr>
          <w:rFonts w:hint="eastAsia" w:ascii="宋体" w:hAnsi="宋体" w:eastAsia="宋体" w:cs="宋体"/>
          <w:b/>
          <w:color w:val="auto"/>
          <w:kern w:val="44"/>
          <w:sz w:val="24"/>
          <w:highlight w:val="none"/>
        </w:rPr>
        <w:t>二、供应商的资格条件</w:t>
      </w:r>
      <w:bookmarkEnd w:id="15"/>
      <w:bookmarkEnd w:id="16"/>
      <w:bookmarkEnd w:id="17"/>
      <w:bookmarkEnd w:id="18"/>
      <w:bookmarkEnd w:id="19"/>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1.满足《中华人民共和国政府采购法》第二十二条规定；</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lang w:eastAsia="zh-CN"/>
        </w:rPr>
      </w:pPr>
      <w:r>
        <w:rPr>
          <w:rFonts w:hint="eastAsia" w:ascii="宋体" w:hAnsi="宋体" w:eastAsia="宋体" w:cs="宋体"/>
          <w:color w:val="auto"/>
          <w:spacing w:val="0"/>
          <w:w w:val="100"/>
          <w:position w:val="0"/>
          <w:sz w:val="21"/>
          <w:szCs w:val="21"/>
          <w:highlight w:val="none"/>
        </w:rPr>
        <w:t>2.落实政府采购政策需满足的资格要求</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cs="宋体"/>
          <w:color w:val="auto"/>
          <w:spacing w:val="0"/>
          <w:w w:val="100"/>
          <w:position w:val="0"/>
          <w:sz w:val="21"/>
          <w:szCs w:val="21"/>
          <w:highlight w:val="none"/>
          <w:lang w:eastAsia="zh-CN"/>
        </w:rPr>
        <w:t>本项目</w:t>
      </w:r>
      <w:r>
        <w:rPr>
          <w:rFonts w:hint="eastAsia" w:ascii="宋体" w:hAnsi="宋体" w:eastAsia="宋体" w:cs="宋体"/>
          <w:color w:val="auto"/>
          <w:spacing w:val="0"/>
          <w:w w:val="100"/>
          <w:position w:val="0"/>
          <w:sz w:val="21"/>
          <w:szCs w:val="21"/>
          <w:highlight w:val="none"/>
          <w:lang w:eastAsia="zh-CN"/>
        </w:rPr>
        <w:t>专门面向</w:t>
      </w:r>
      <w:r>
        <w:rPr>
          <w:rFonts w:hint="eastAsia" w:ascii="宋体" w:hAnsi="宋体" w:cs="宋体"/>
          <w:color w:val="auto"/>
          <w:spacing w:val="0"/>
          <w:w w:val="100"/>
          <w:position w:val="0"/>
          <w:sz w:val="21"/>
          <w:szCs w:val="21"/>
          <w:highlight w:val="none"/>
          <w:lang w:val="en-US" w:eastAsia="zh-CN"/>
        </w:rPr>
        <w:t>小微</w:t>
      </w:r>
      <w:r>
        <w:rPr>
          <w:rFonts w:hint="eastAsia" w:ascii="宋体" w:hAnsi="宋体" w:eastAsia="宋体" w:cs="宋体"/>
          <w:color w:val="auto"/>
          <w:spacing w:val="0"/>
          <w:w w:val="100"/>
          <w:position w:val="0"/>
          <w:sz w:val="21"/>
          <w:szCs w:val="21"/>
          <w:highlight w:val="none"/>
          <w:lang w:eastAsia="zh-CN"/>
        </w:rPr>
        <w:t>企业采购的项目（供应商应为小</w:t>
      </w:r>
      <w:r>
        <w:rPr>
          <w:rFonts w:hint="eastAsia" w:ascii="宋体" w:hAnsi="宋体" w:cs="宋体"/>
          <w:color w:val="auto"/>
          <w:spacing w:val="0"/>
          <w:w w:val="100"/>
          <w:position w:val="0"/>
          <w:sz w:val="21"/>
          <w:szCs w:val="21"/>
          <w:highlight w:val="none"/>
          <w:lang w:eastAsia="zh-CN"/>
        </w:rPr>
        <w:t>微</w:t>
      </w:r>
      <w:r>
        <w:rPr>
          <w:rFonts w:hint="eastAsia" w:ascii="宋体" w:hAnsi="宋体" w:eastAsia="宋体" w:cs="宋体"/>
          <w:color w:val="auto"/>
          <w:spacing w:val="0"/>
          <w:w w:val="100"/>
          <w:position w:val="0"/>
          <w:sz w:val="21"/>
          <w:szCs w:val="21"/>
          <w:highlight w:val="none"/>
          <w:lang w:eastAsia="zh-CN"/>
        </w:rPr>
        <w:t>企业或监狱企业或残疾人福利性单位）</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pacing w:val="0"/>
          <w:w w:val="100"/>
          <w:position w:val="0"/>
          <w:sz w:val="21"/>
          <w:szCs w:val="21"/>
          <w:highlight w:val="none"/>
          <w:u w:val="none"/>
          <w:lang w:eastAsia="zh-CN"/>
        </w:rPr>
      </w:pPr>
      <w:r>
        <w:rPr>
          <w:rFonts w:hint="eastAsia" w:ascii="宋体" w:hAnsi="宋体" w:eastAsia="宋体" w:cs="宋体"/>
          <w:color w:val="auto"/>
          <w:spacing w:val="0"/>
          <w:w w:val="100"/>
          <w:position w:val="0"/>
          <w:sz w:val="21"/>
          <w:szCs w:val="21"/>
          <w:highlight w:val="none"/>
        </w:rPr>
        <w:t>3.本项目的特定资格要求</w:t>
      </w:r>
      <w:r>
        <w:rPr>
          <w:rFonts w:hint="eastAsia" w:ascii="宋体" w:hAnsi="宋体" w:eastAsia="宋体" w:cs="宋体"/>
          <w:color w:val="auto"/>
          <w:spacing w:val="0"/>
          <w:w w:val="100"/>
          <w:position w:val="0"/>
          <w:sz w:val="21"/>
          <w:szCs w:val="21"/>
          <w:highlight w:val="none"/>
          <w:u w:val="none"/>
          <w:lang w:eastAsia="zh-CN"/>
        </w:rPr>
        <w:t>：</w:t>
      </w:r>
    </w:p>
    <w:p>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（1）具备</w:t>
      </w:r>
      <w:r>
        <w:rPr>
          <w:rFonts w:hint="eastAsia" w:ascii="宋体" w:hAnsi="宋体" w:cs="宋体"/>
          <w:color w:val="auto"/>
          <w:szCs w:val="21"/>
          <w:highlight w:val="none"/>
          <w:lang w:eastAsia="zh-CN"/>
        </w:rPr>
        <w:t>水利水电工程施工总承包叁级以上</w:t>
      </w:r>
      <w:r>
        <w:rPr>
          <w:rFonts w:hint="eastAsia" w:ascii="宋体" w:hAnsi="宋体" w:eastAsia="宋体" w:cs="宋体"/>
          <w:color w:val="auto"/>
          <w:szCs w:val="21"/>
          <w:highlight w:val="none"/>
        </w:rPr>
        <w:t>（含叁级）资质，并在人员、设备、资金等方面具备相应的施工能力。</w:t>
      </w:r>
    </w:p>
    <w:p>
      <w:pPr>
        <w:keepNext w:val="0"/>
        <w:keepLines w:val="0"/>
        <w:pageBreakBefore w:val="0"/>
        <w:kinsoku/>
        <w:wordWrap/>
        <w:overflowPunct/>
        <w:topLinePunct w:val="0"/>
        <w:autoSpaceDE/>
        <w:autoSpaceDN/>
        <w:bidi w:val="0"/>
        <w:adjustRightInd/>
        <w:spacing w:line="440" w:lineRule="exact"/>
        <w:ind w:firstLine="630" w:firstLineChars="3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（2）拟派项目经理须具备</w:t>
      </w:r>
      <w:r>
        <w:rPr>
          <w:rFonts w:hint="eastAsia" w:ascii="宋体" w:hAnsi="宋体" w:cs="宋体"/>
          <w:color w:val="auto"/>
          <w:szCs w:val="21"/>
          <w:highlight w:val="none"/>
          <w:lang w:eastAsia="zh-CN"/>
        </w:rPr>
        <w:t>水利水电工程专业贰级以上</w:t>
      </w:r>
      <w:r>
        <w:rPr>
          <w:rFonts w:hint="eastAsia" w:ascii="宋体" w:hAnsi="宋体" w:eastAsia="宋体" w:cs="宋体"/>
          <w:color w:val="auto"/>
          <w:szCs w:val="21"/>
          <w:highlight w:val="none"/>
        </w:rPr>
        <w:t>（含贰级）注册建造师执业资格，具备有效的安全生产考核合格证书（B类）。本项目不接受有在建、已中标未开工或已列为本项目或其他项目中标候选人第一名的建造师作为项目经理。</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
          <w:bCs/>
          <w:color w:val="auto"/>
          <w:spacing w:val="0"/>
          <w:w w:val="100"/>
          <w:position w:val="0"/>
          <w:sz w:val="21"/>
          <w:szCs w:val="21"/>
          <w:highlight w:val="none"/>
          <w:u w:val="none"/>
          <w:lang w:val="en-US" w:eastAsia="zh-CN"/>
        </w:rPr>
      </w:pPr>
      <w:r>
        <w:rPr>
          <w:rFonts w:hint="eastAsia" w:ascii="宋体" w:hAnsi="宋体" w:eastAsia="宋体" w:cs="宋体"/>
          <w:color w:val="auto"/>
          <w:spacing w:val="0"/>
          <w:w w:val="100"/>
          <w:position w:val="0"/>
          <w:sz w:val="21"/>
          <w:szCs w:val="21"/>
          <w:highlight w:val="none"/>
          <w:u w:val="none"/>
        </w:rPr>
        <w:t>4</w:t>
      </w:r>
      <w:r>
        <w:rPr>
          <w:rFonts w:hint="eastAsia" w:ascii="宋体" w:hAnsi="宋体" w:eastAsia="宋体" w:cs="宋体"/>
          <w:color w:val="auto"/>
          <w:spacing w:val="0"/>
          <w:w w:val="100"/>
          <w:position w:val="0"/>
          <w:sz w:val="21"/>
          <w:szCs w:val="21"/>
          <w:highlight w:val="none"/>
          <w:u w:val="none"/>
          <w:lang w:eastAsia="zh-CN"/>
        </w:rPr>
        <w:t>.</w:t>
      </w:r>
      <w:r>
        <w:rPr>
          <w:rFonts w:hint="eastAsia" w:ascii="宋体" w:hAnsi="宋体" w:eastAsia="宋体" w:cs="宋体"/>
          <w:color w:val="auto"/>
          <w:spacing w:val="0"/>
          <w:w w:val="100"/>
          <w:position w:val="0"/>
          <w:sz w:val="21"/>
          <w:szCs w:val="21"/>
          <w:highlight w:val="none"/>
          <w:u w:val="none"/>
        </w:rPr>
        <w:t>本项目的特定条件</w:t>
      </w:r>
      <w:r>
        <w:rPr>
          <w:rFonts w:hint="eastAsia" w:ascii="宋体" w:hAnsi="宋体" w:eastAsia="宋体" w:cs="宋体"/>
          <w:b w:val="0"/>
          <w:bCs w:val="0"/>
          <w:color w:val="auto"/>
          <w:spacing w:val="0"/>
          <w:w w:val="100"/>
          <w:position w:val="0"/>
          <w:sz w:val="21"/>
          <w:szCs w:val="21"/>
          <w:highlight w:val="none"/>
          <w:u w:val="none"/>
          <w:lang w:eastAsia="zh-CN"/>
        </w:rPr>
        <w:t>：</w:t>
      </w:r>
      <w:r>
        <w:rPr>
          <w:rFonts w:hint="eastAsia" w:ascii="宋体" w:hAnsi="宋体" w:eastAsia="宋体" w:cs="宋体"/>
          <w:b w:val="0"/>
          <w:bCs w:val="0"/>
          <w:color w:val="auto"/>
          <w:spacing w:val="0"/>
          <w:w w:val="100"/>
          <w:position w:val="0"/>
          <w:sz w:val="21"/>
          <w:szCs w:val="21"/>
          <w:highlight w:val="none"/>
          <w:lang w:eastAsia="zh-CN"/>
        </w:rPr>
        <w:t>无</w:t>
      </w:r>
      <w:r>
        <w:rPr>
          <w:rFonts w:hint="eastAsia" w:ascii="宋体" w:hAnsi="宋体" w:eastAsia="宋体" w:cs="宋体"/>
          <w:b w:val="0"/>
          <w:bCs w:val="0"/>
          <w:color w:val="auto"/>
          <w:spacing w:val="0"/>
          <w:w w:val="100"/>
          <w:position w:val="0"/>
          <w:sz w:val="21"/>
          <w:szCs w:val="21"/>
          <w:highlight w:val="none"/>
          <w:u w:val="none"/>
          <w:lang w:eastAsia="zh-CN"/>
        </w:rPr>
        <w:t>。</w:t>
      </w:r>
    </w:p>
    <w:p>
      <w:pPr>
        <w:keepNext w:val="0"/>
        <w:keepLines w:val="0"/>
        <w:pageBreakBefore w:val="0"/>
        <w:kinsoku/>
        <w:wordWrap/>
        <w:overflowPunct/>
        <w:topLinePunct w:val="0"/>
        <w:autoSpaceDE/>
        <w:autoSpaceDN/>
        <w:bidi w:val="0"/>
        <w:adjustRightInd/>
        <w:snapToGrid w:val="0"/>
        <w:spacing w:line="440" w:lineRule="exact"/>
        <w:ind w:firstLine="420" w:firstLineChars="200"/>
        <w:jc w:val="left"/>
        <w:textAlignment w:val="auto"/>
        <w:rPr>
          <w:rFonts w:hint="eastAsia" w:ascii="宋体" w:hAnsi="宋体" w:eastAsia="宋体" w:cs="宋体"/>
          <w:color w:val="auto"/>
          <w:spacing w:val="0"/>
          <w:w w:val="100"/>
          <w:position w:val="0"/>
          <w:sz w:val="21"/>
          <w:szCs w:val="21"/>
          <w:highlight w:val="none"/>
        </w:rPr>
      </w:pPr>
      <w:r>
        <w:rPr>
          <w:rFonts w:hint="eastAsia" w:ascii="宋体" w:hAnsi="宋体" w:eastAsia="宋体" w:cs="宋体"/>
          <w:color w:val="auto"/>
          <w:spacing w:val="0"/>
          <w:w w:val="100"/>
          <w:position w:val="0"/>
          <w:sz w:val="21"/>
          <w:szCs w:val="21"/>
          <w:highlight w:val="none"/>
        </w:rPr>
        <w:t>5</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pacing w:val="0"/>
          <w:w w:val="100"/>
          <w:position w:val="0"/>
          <w:sz w:val="21"/>
          <w:szCs w:val="21"/>
          <w:highlight w:val="none"/>
        </w:rPr>
        <w:t>6</w:t>
      </w:r>
      <w:r>
        <w:rPr>
          <w:rFonts w:hint="eastAsia" w:ascii="宋体" w:hAnsi="宋体" w:eastAsia="宋体" w:cs="宋体"/>
          <w:color w:val="auto"/>
          <w:spacing w:val="0"/>
          <w:w w:val="100"/>
          <w:position w:val="0"/>
          <w:sz w:val="21"/>
          <w:szCs w:val="21"/>
          <w:highlight w:val="none"/>
          <w:lang w:eastAsia="zh-CN"/>
        </w:rPr>
        <w:t>.</w:t>
      </w:r>
      <w:r>
        <w:rPr>
          <w:rFonts w:hint="eastAsia" w:ascii="宋体" w:hAnsi="宋体" w:eastAsia="宋体" w:cs="宋体"/>
          <w:color w:val="auto"/>
          <w:spacing w:val="0"/>
          <w:w w:val="100"/>
          <w:position w:val="0"/>
          <w:sz w:val="21"/>
          <w:szCs w:val="21"/>
          <w:highlight w:val="none"/>
        </w:rPr>
        <w:t>对在“信用中国”网站(www.creditchina.gov.cn) 、中国政府采购网(www.ccgp.gov.cn)被列入失信被执行人、重大税收违法</w:t>
      </w:r>
      <w:r>
        <w:rPr>
          <w:rFonts w:hint="eastAsia" w:ascii="宋体" w:hAnsi="宋体" w:eastAsia="宋体" w:cs="宋体"/>
          <w:color w:val="auto"/>
          <w:spacing w:val="0"/>
          <w:w w:val="100"/>
          <w:position w:val="0"/>
          <w:sz w:val="21"/>
          <w:szCs w:val="21"/>
          <w:highlight w:val="none"/>
          <w:lang w:eastAsia="zh-CN"/>
        </w:rPr>
        <w:t>失信主体</w:t>
      </w:r>
      <w:r>
        <w:rPr>
          <w:rFonts w:hint="eastAsia" w:ascii="宋体" w:hAnsi="宋体" w:eastAsia="宋体" w:cs="宋体"/>
          <w:color w:val="auto"/>
          <w:spacing w:val="0"/>
          <w:w w:val="100"/>
          <w:position w:val="0"/>
          <w:sz w:val="21"/>
          <w:szCs w:val="21"/>
          <w:highlight w:val="none"/>
        </w:rPr>
        <w:t>、政府采购严重违法失信行为记录名单及其他不符合《中华人民共和国政府采购法》第二十二条规定条件的供应商，不得参与政府采购活动。</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三、获取竞争性磋商文件</w:t>
      </w:r>
      <w:bookmarkEnd w:id="11"/>
      <w:bookmarkEnd w:id="12"/>
      <w:bookmarkEnd w:id="13"/>
      <w:bookmarkEnd w:id="14"/>
    </w:p>
    <w:p>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bookmarkStart w:id="20" w:name="_Toc28359082"/>
      <w:bookmarkStart w:id="21" w:name="_Toc28359005"/>
      <w:bookmarkStart w:id="22" w:name="_Toc35393624"/>
      <w:bookmarkStart w:id="23" w:name="_Toc35393793"/>
      <w:r>
        <w:rPr>
          <w:rFonts w:hint="eastAsia" w:ascii="宋体" w:hAnsi="宋体" w:eastAsia="宋体" w:cs="宋体"/>
          <w:color w:val="auto"/>
          <w:szCs w:val="21"/>
          <w:highlight w:val="none"/>
        </w:rPr>
        <w:t>时间：自公告发布之日起。</w:t>
      </w:r>
    </w:p>
    <w:p>
      <w:pPr>
        <w:spacing w:line="360" w:lineRule="auto"/>
        <w:ind w:firstLine="420" w:firstLineChars="200"/>
        <w:rPr>
          <w:rFonts w:hint="eastAsia" w:ascii="黑体" w:hAnsi="黑体" w:eastAsia="黑体"/>
          <w:b/>
          <w:bCs/>
          <w:color w:val="auto"/>
          <w:sz w:val="24"/>
          <w:highlight w:val="none"/>
        </w:rPr>
      </w:pPr>
      <w:r>
        <w:rPr>
          <w:rFonts w:hint="eastAsia" w:ascii="宋体" w:hAnsi="宋体" w:eastAsia="宋体" w:cs="宋体"/>
          <w:color w:val="auto"/>
          <w:szCs w:val="21"/>
          <w:highlight w:val="none"/>
        </w:rPr>
        <w:t>获取方式</w:t>
      </w:r>
      <w:r>
        <w:rPr>
          <w:rFonts w:hint="eastAsia" w:ascii="宋体" w:hAnsi="宋体" w:eastAsia="宋体" w:cs="宋体"/>
          <w:color w:val="auto"/>
          <w:szCs w:val="21"/>
          <w:highlight w:val="none"/>
          <w:lang w:eastAsia="zh-CN"/>
        </w:rPr>
        <w:t>：</w:t>
      </w:r>
      <w:r>
        <w:rPr>
          <w:rFonts w:hint="eastAsia" w:ascii="宋体" w:hAnsi="宋体" w:eastAsia="宋体" w:cs="Times New Roman"/>
          <w:color w:val="auto"/>
          <w:szCs w:val="21"/>
        </w:rPr>
        <w:t>网上下载。</w:t>
      </w:r>
      <w:r>
        <w:rPr>
          <w:rFonts w:hint="eastAsia" w:ascii="宋体" w:hAnsi="宋体"/>
          <w:color w:val="auto"/>
          <w:szCs w:val="21"/>
          <w:highlight w:val="none"/>
        </w:rPr>
        <w:t>本项目不发放纸质采购文件，供应商可自行在</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）下载采购文件（操作路径：登录</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-项目采购-获取采购文件-找到本项目-点击“申请获取采购文件”），电子响应文件制作需要基于</w:t>
      </w:r>
      <w:r>
        <w:rPr>
          <w:rFonts w:hint="eastAsia" w:ascii="宋体" w:hAnsi="宋体"/>
          <w:color w:val="auto"/>
          <w:szCs w:val="21"/>
          <w:highlight w:val="none"/>
          <w:lang w:eastAsia="zh-CN"/>
        </w:rPr>
        <w:t>广西政府采购云平台</w:t>
      </w:r>
      <w:r>
        <w:rPr>
          <w:rFonts w:hint="eastAsia" w:ascii="宋体" w:hAnsi="宋体"/>
          <w:color w:val="auto"/>
          <w:szCs w:val="21"/>
          <w:highlight w:val="none"/>
        </w:rPr>
        <w:t>（</w:t>
      </w:r>
      <w:r>
        <w:rPr>
          <w:rFonts w:hint="eastAsia" w:ascii="宋体" w:hAnsi="宋体"/>
          <w:color w:val="auto"/>
          <w:szCs w:val="21"/>
          <w:highlight w:val="none"/>
          <w:lang w:eastAsia="zh-CN"/>
        </w:rPr>
        <w:t>https://www.gcy.zfcg.gxzf.gov.cn/</w:t>
      </w:r>
      <w:r>
        <w:rPr>
          <w:rFonts w:hint="eastAsia" w:ascii="宋体" w:hAnsi="宋体"/>
          <w:color w:val="auto"/>
          <w:szCs w:val="21"/>
          <w:highlight w:val="none"/>
        </w:rPr>
        <w:t>）获取的采购文件编制。</w:t>
      </w:r>
    </w:p>
    <w:p>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售价：0元。</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四、</w:t>
      </w:r>
      <w:bookmarkEnd w:id="20"/>
      <w:bookmarkEnd w:id="21"/>
      <w:bookmarkEnd w:id="22"/>
      <w:bookmarkEnd w:id="23"/>
      <w:r>
        <w:rPr>
          <w:rFonts w:hint="eastAsia" w:ascii="宋体" w:hAnsi="宋体" w:eastAsia="宋体" w:cs="宋体"/>
          <w:b/>
          <w:bCs/>
          <w:color w:val="auto"/>
          <w:sz w:val="24"/>
          <w:highlight w:val="none"/>
        </w:rPr>
        <w:t>响应文件提交</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1.首次响应文件提交截止时间</w:t>
      </w:r>
      <w:r>
        <w:rPr>
          <w:rFonts w:hint="eastAsia" w:ascii="宋体" w:hAnsi="宋体" w:eastAsia="宋体" w:cs="宋体"/>
          <w:bCs/>
          <w:color w:val="auto"/>
          <w:szCs w:val="21"/>
          <w:highlight w:val="none"/>
        </w:rPr>
        <w:t>（北京时间）：</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10时30分</w:t>
      </w:r>
      <w:r>
        <w:rPr>
          <w:rFonts w:hint="eastAsia" w:ascii="宋体" w:hAnsi="宋体" w:eastAsia="宋体" w:cs="宋体"/>
          <w:color w:val="auto"/>
          <w:szCs w:val="21"/>
          <w:highlight w:val="none"/>
        </w:rPr>
        <w:t>。</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2.首次响应文件提交地点：</w:t>
      </w:r>
    </w:p>
    <w:p>
      <w:pPr>
        <w:keepNext w:val="0"/>
        <w:keepLines w:val="0"/>
        <w:pageBreakBefore w:val="0"/>
        <w:widowControl/>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（1）响应文件提交方式：</w:t>
      </w:r>
      <w:r>
        <w:rPr>
          <w:rFonts w:hint="eastAsia" w:ascii="宋体" w:hAnsi="宋体"/>
          <w:color w:val="auto"/>
          <w:szCs w:val="21"/>
        </w:rPr>
        <w:t>本项目为南宁市全流程电子化项目，通过广西政府采购云平台（ https://www.gcy.zfcg.gxzf.gov.cn/）实行在线电子投标，供应商应先安装“新版客户端”【请自行前往广西政府采购网（访问地址</w:t>
      </w:r>
      <w:r>
        <w:rPr>
          <w:rFonts w:hint="eastAsia" w:ascii="宋体" w:hAnsi="宋体"/>
          <w:b/>
          <w:bCs/>
          <w:color w:val="auto"/>
          <w:szCs w:val="21"/>
        </w:rPr>
        <w:t>http://zfcg.gxzf.gov.cn/</w:t>
      </w:r>
      <w:r>
        <w:rPr>
          <w:rFonts w:hint="eastAsia" w:ascii="宋体" w:hAnsi="宋体"/>
          <w:color w:val="auto"/>
          <w:szCs w:val="21"/>
        </w:rPr>
        <w:t>）—办事服务—下载专区】，并按照本项目招标文件和广西政府采购云平台的要求编制、加密后在投标截止时间前通过网络上传至广西政府采购云平台，</w:t>
      </w:r>
      <w:r>
        <w:rPr>
          <w:rFonts w:hint="eastAsia" w:ascii="宋体" w:hAnsi="宋体"/>
          <w:b/>
          <w:color w:val="auto"/>
          <w:szCs w:val="21"/>
        </w:rPr>
        <w:t>供应商在</w:t>
      </w:r>
      <w:r>
        <w:rPr>
          <w:rFonts w:hint="eastAsia" w:ascii="宋体" w:hAnsi="宋体"/>
          <w:b/>
          <w:bCs/>
          <w:color w:val="auto"/>
          <w:szCs w:val="21"/>
        </w:rPr>
        <w:t>广西政府采购云平台提交电子版响应文件时，请填写参加远程开标活动经办人联系方式</w:t>
      </w:r>
      <w:r>
        <w:rPr>
          <w:rFonts w:hint="eastAsia" w:ascii="宋体" w:hAnsi="宋体" w:eastAsia="宋体" w:cs="宋体"/>
          <w:color w:val="auto"/>
          <w:szCs w:val="21"/>
          <w:highlight w:val="none"/>
        </w:rPr>
        <w:t>。</w:t>
      </w:r>
    </w:p>
    <w:p>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（2）未进行网上注册并办理数字证书（CA认证）的供应商将无法参与本项目政府采购活动，潜在供应商应当在投标截止时间前，完成电子交易平台上的CA数字证书办理及</w:t>
      </w:r>
      <w:r>
        <w:rPr>
          <w:rFonts w:hint="eastAsia" w:ascii="宋体" w:hAnsi="宋体"/>
          <w:color w:val="auto"/>
          <w:szCs w:val="21"/>
          <w:highlight w:val="none"/>
        </w:rPr>
        <w:t>响应文件</w:t>
      </w:r>
      <w:r>
        <w:rPr>
          <w:rFonts w:hint="eastAsia" w:ascii="宋体" w:hAnsi="宋体"/>
          <w:color w:val="auto"/>
          <w:szCs w:val="21"/>
        </w:rPr>
        <w:t>的提交。完成CA数字证书办理预计7日左右，</w:t>
      </w:r>
      <w:r>
        <w:rPr>
          <w:rFonts w:hint="eastAsia" w:ascii="宋体" w:hAnsi="宋体"/>
          <w:bCs/>
          <w:color w:val="auto"/>
          <w:szCs w:val="21"/>
          <w:lang w:val="en-US" w:eastAsia="zh-CN"/>
        </w:rPr>
        <w:t>供应商</w:t>
      </w:r>
      <w:r>
        <w:rPr>
          <w:rFonts w:hint="eastAsia" w:ascii="宋体" w:hAnsi="宋体" w:cs="宋体"/>
          <w:color w:val="auto"/>
          <w:szCs w:val="21"/>
        </w:rPr>
        <w:t>只需办理其中一家CA数字证书及签章，</w:t>
      </w:r>
      <w:r>
        <w:rPr>
          <w:rFonts w:hint="eastAsia" w:ascii="宋体" w:hAnsi="宋体"/>
          <w:color w:val="auto"/>
          <w:szCs w:val="21"/>
        </w:rPr>
        <w:t>建议各</w:t>
      </w:r>
      <w:r>
        <w:rPr>
          <w:rFonts w:hint="eastAsia" w:ascii="宋体" w:hAnsi="宋体"/>
          <w:bCs/>
          <w:color w:val="auto"/>
          <w:szCs w:val="21"/>
          <w:lang w:val="en-US" w:eastAsia="zh-CN"/>
        </w:rPr>
        <w:t>供应商</w:t>
      </w:r>
      <w:r>
        <w:rPr>
          <w:rFonts w:hint="eastAsia" w:ascii="宋体" w:hAnsi="宋体"/>
          <w:color w:val="auto"/>
          <w:szCs w:val="21"/>
        </w:rPr>
        <w:t>抓紧时间办理。</w:t>
      </w:r>
    </w:p>
    <w:p>
      <w:pPr>
        <w:widowControl/>
        <w:spacing w:line="360" w:lineRule="auto"/>
        <w:ind w:firstLine="420" w:firstLineChars="200"/>
        <w:jc w:val="left"/>
        <w:rPr>
          <w:rFonts w:hint="eastAsia" w:ascii="宋体" w:hAnsi="宋体"/>
          <w:color w:val="auto"/>
          <w:szCs w:val="21"/>
        </w:rPr>
      </w:pPr>
      <w:r>
        <w:rPr>
          <w:rFonts w:hint="eastAsia" w:ascii="宋体" w:hAnsi="宋体"/>
          <w:color w:val="auto"/>
          <w:szCs w:val="21"/>
        </w:rPr>
        <w:t>（3）为确保网上操作合法、有效和安全，请投标供应商确保在电子投标过程中能够对相关数据电文进行加密和使用电子签章，妥善保管CA数字证书并使用有效的CA数字证书参与整个招标活动。</w:t>
      </w:r>
    </w:p>
    <w:p>
      <w:pPr>
        <w:widowControl/>
        <w:spacing w:line="360" w:lineRule="auto"/>
        <w:ind w:firstLine="420" w:firstLineChars="200"/>
        <w:jc w:val="left"/>
        <w:rPr>
          <w:rFonts w:hint="eastAsia" w:ascii="宋体" w:hAnsi="宋体" w:eastAsia="宋体" w:cs="Times New Roman"/>
          <w:color w:val="auto"/>
          <w:szCs w:val="21"/>
        </w:rPr>
      </w:pPr>
      <w:r>
        <w:rPr>
          <w:rFonts w:hint="eastAsia" w:ascii="宋体" w:hAnsi="宋体"/>
          <w:bCs/>
          <w:color w:val="auto"/>
          <w:szCs w:val="21"/>
        </w:rPr>
        <w:t>注：</w:t>
      </w:r>
      <w:r>
        <w:rPr>
          <w:rFonts w:hint="eastAsia" w:ascii="宋体" w:hAnsi="宋体"/>
          <w:bCs/>
          <w:color w:val="auto"/>
          <w:szCs w:val="21"/>
          <w:lang w:val="en-US" w:eastAsia="zh-CN"/>
        </w:rPr>
        <w:t>供应商</w:t>
      </w:r>
      <w:r>
        <w:rPr>
          <w:rFonts w:hint="eastAsia" w:ascii="宋体" w:hAnsi="宋体"/>
          <w:bCs/>
          <w:color w:val="auto"/>
          <w:szCs w:val="21"/>
        </w:rPr>
        <w:t>应当在投标截止时间前完成电子</w:t>
      </w:r>
      <w:r>
        <w:rPr>
          <w:rFonts w:hint="eastAsia" w:ascii="宋体" w:hAnsi="宋体"/>
          <w:color w:val="auto"/>
          <w:szCs w:val="21"/>
          <w:highlight w:val="none"/>
        </w:rPr>
        <w:t>响应文件</w:t>
      </w:r>
      <w:r>
        <w:rPr>
          <w:rFonts w:hint="eastAsia" w:ascii="宋体" w:hAnsi="宋体"/>
          <w:bCs/>
          <w:color w:val="auto"/>
          <w:szCs w:val="21"/>
        </w:rPr>
        <w:t>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广西政府采购</w:t>
      </w:r>
      <w:r>
        <w:rPr>
          <w:rFonts w:hint="eastAsia" w:ascii="宋体" w:hAnsi="宋体" w:eastAsia="宋体" w:cs="Times New Roman"/>
          <w:color w:val="auto"/>
          <w:szCs w:val="21"/>
        </w:rPr>
        <w:t>云平台将予以拒收。</w:t>
      </w:r>
    </w:p>
    <w:p>
      <w:pPr>
        <w:widowControl/>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（4）开标地点：本次</w:t>
      </w:r>
      <w:r>
        <w:rPr>
          <w:rFonts w:hint="eastAsia" w:ascii="宋体" w:hAnsi="宋体" w:eastAsia="宋体" w:cs="Times New Roman"/>
          <w:color w:val="auto"/>
          <w:szCs w:val="21"/>
          <w:lang w:val="en-US" w:eastAsia="zh-CN"/>
        </w:rPr>
        <w:t>采购</w:t>
      </w:r>
      <w:r>
        <w:rPr>
          <w:rFonts w:hint="eastAsia" w:ascii="宋体" w:hAnsi="宋体" w:eastAsia="宋体" w:cs="Times New Roman"/>
          <w:color w:val="auto"/>
          <w:szCs w:val="21"/>
        </w:rPr>
        <w:t>在广西政府采购云平台电子开标大厅开标。</w:t>
      </w:r>
    </w:p>
    <w:p>
      <w:pPr>
        <w:widowControl/>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（5）因未注册入库、未办理CA数字证书、CA证书故障、操作不当等原因造成无法参与或磋商失败等后果由供应商自行承担。</w:t>
      </w:r>
    </w:p>
    <w:p>
      <w:pPr>
        <w:widowControl/>
        <w:spacing w:line="360" w:lineRule="auto"/>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w:t>
      </w:r>
      <w:r>
        <w:rPr>
          <w:rFonts w:hint="eastAsia" w:ascii="宋体" w:hAnsi="宋体" w:eastAsia="宋体" w:cs="Times New Roman"/>
          <w:color w:val="auto"/>
          <w:szCs w:val="21"/>
          <w:lang w:val="en-US" w:eastAsia="zh-CN"/>
        </w:rPr>
        <w:t>6</w:t>
      </w:r>
      <w:r>
        <w:rPr>
          <w:rFonts w:hint="eastAsia" w:ascii="宋体" w:hAnsi="宋体" w:eastAsia="宋体" w:cs="Times New Roman"/>
          <w:color w:val="auto"/>
          <w:szCs w:val="21"/>
        </w:rPr>
        <w:t>）CA证书在线解密：供应商投标时，需携带制作投标文件时用来加密的有效数字证书（CA认证）登录广西政府采购云平台电子开标大厅现场按规定时间对加密的投标文件进行解密，未能按要求进行解密的，由此产生的后果由</w:t>
      </w:r>
      <w:r>
        <w:rPr>
          <w:rFonts w:hint="eastAsia" w:ascii="宋体" w:hAnsi="宋体" w:eastAsia="宋体" w:cs="Times New Roman"/>
          <w:color w:val="auto"/>
          <w:szCs w:val="21"/>
          <w:lang w:val="en-US" w:eastAsia="zh-CN"/>
        </w:rPr>
        <w:t>供应商</w:t>
      </w:r>
      <w:r>
        <w:rPr>
          <w:rFonts w:hint="eastAsia" w:ascii="宋体" w:hAnsi="宋体" w:eastAsia="宋体" w:cs="Times New Roman"/>
          <w:color w:val="auto"/>
          <w:szCs w:val="21"/>
        </w:rPr>
        <w:t>自行承担。</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五、开启（首次响应文件开启时间）</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1.时间</w:t>
      </w:r>
      <w:r>
        <w:rPr>
          <w:rFonts w:hint="eastAsia" w:ascii="宋体" w:hAnsi="宋体" w:eastAsia="宋体" w:cs="宋体"/>
          <w:bCs/>
          <w:color w:val="auto"/>
          <w:szCs w:val="21"/>
          <w:highlight w:val="none"/>
        </w:rPr>
        <w:t>（北京时间）</w:t>
      </w:r>
      <w:r>
        <w:rPr>
          <w:rFonts w:hint="eastAsia" w:ascii="宋体" w:hAnsi="宋体" w:eastAsia="宋体" w:cs="宋体"/>
          <w:color w:val="auto"/>
          <w:szCs w:val="21"/>
          <w:highlight w:val="none"/>
        </w:rPr>
        <w:t>：</w:t>
      </w:r>
      <w:r>
        <w:rPr>
          <w:rFonts w:hint="eastAsia" w:ascii="宋体" w:hAnsi="宋体" w:cs="宋体"/>
          <w:color w:val="auto"/>
          <w:szCs w:val="21"/>
          <w:highlight w:val="none"/>
          <w:u w:val="single"/>
          <w:lang w:eastAsia="zh-CN"/>
        </w:rPr>
        <w:t>2024年</w:t>
      </w:r>
      <w:r>
        <w:rPr>
          <w:rFonts w:hint="eastAsia" w:ascii="宋体" w:hAnsi="宋体" w:cs="宋体"/>
          <w:color w:val="auto"/>
          <w:szCs w:val="21"/>
          <w:highlight w:val="none"/>
          <w:u w:val="single"/>
          <w:lang w:val="en-US" w:eastAsia="zh-CN"/>
        </w:rPr>
        <w:t>07</w:t>
      </w:r>
      <w:r>
        <w:rPr>
          <w:rFonts w:hint="eastAsia" w:ascii="宋体" w:hAnsi="宋体" w:cs="宋体"/>
          <w:color w:val="auto"/>
          <w:szCs w:val="21"/>
          <w:highlight w:val="none"/>
          <w:u w:val="single"/>
          <w:lang w:eastAsia="zh-CN"/>
        </w:rPr>
        <w:t>月</w:t>
      </w:r>
      <w:r>
        <w:rPr>
          <w:rFonts w:hint="eastAsia" w:ascii="宋体" w:hAnsi="宋体" w:cs="宋体"/>
          <w:color w:val="auto"/>
          <w:szCs w:val="21"/>
          <w:highlight w:val="none"/>
          <w:u w:val="single"/>
          <w:lang w:val="en-US" w:eastAsia="zh-CN"/>
        </w:rPr>
        <w:t>03</w:t>
      </w:r>
      <w:r>
        <w:rPr>
          <w:rFonts w:hint="eastAsia" w:ascii="宋体" w:hAnsi="宋体" w:cs="宋体"/>
          <w:color w:val="auto"/>
          <w:szCs w:val="21"/>
          <w:highlight w:val="none"/>
          <w:u w:val="single"/>
          <w:lang w:eastAsia="zh-CN"/>
        </w:rPr>
        <w:t>日</w:t>
      </w:r>
      <w:r>
        <w:rPr>
          <w:rFonts w:hint="eastAsia" w:ascii="宋体" w:hAnsi="宋体" w:cs="宋体"/>
          <w:color w:val="auto"/>
          <w:szCs w:val="21"/>
          <w:highlight w:val="none"/>
          <w:u w:val="single"/>
          <w:lang w:val="en-US" w:eastAsia="zh-CN"/>
        </w:rPr>
        <w:t>10时30分</w:t>
      </w:r>
      <w:r>
        <w:rPr>
          <w:rFonts w:hint="eastAsia" w:ascii="宋体" w:hAnsi="宋体" w:eastAsia="宋体" w:cs="宋体"/>
          <w:color w:val="auto"/>
          <w:szCs w:val="21"/>
          <w:highlight w:val="none"/>
        </w:rPr>
        <w:t>后</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bCs/>
          <w:color w:val="auto"/>
          <w:szCs w:val="21"/>
          <w:highlight w:val="none"/>
          <w:u w:val="single"/>
        </w:rPr>
      </w:pPr>
      <w:r>
        <w:rPr>
          <w:rFonts w:hint="eastAsia" w:ascii="宋体" w:hAnsi="宋体" w:eastAsia="宋体" w:cs="宋体"/>
          <w:color w:val="auto"/>
          <w:szCs w:val="21"/>
          <w:highlight w:val="none"/>
        </w:rPr>
        <w:t>2.地点：广西政府采购云平台平台开标大厅</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4" w:name="_Toc35393794"/>
      <w:bookmarkStart w:id="25" w:name="_Toc28359084"/>
      <w:bookmarkStart w:id="26" w:name="_Toc28359007"/>
      <w:bookmarkStart w:id="27" w:name="_Toc35393625"/>
      <w:r>
        <w:rPr>
          <w:rFonts w:hint="eastAsia" w:ascii="宋体" w:hAnsi="宋体" w:eastAsia="宋体" w:cs="宋体"/>
          <w:b/>
          <w:bCs/>
          <w:color w:val="auto"/>
          <w:sz w:val="24"/>
          <w:highlight w:val="none"/>
        </w:rPr>
        <w:t>六、公告期限</w:t>
      </w:r>
      <w:bookmarkEnd w:id="24"/>
      <w:bookmarkEnd w:id="25"/>
      <w:bookmarkEnd w:id="26"/>
      <w:bookmarkEnd w:id="27"/>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自本公告发布之日起</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个工作日。</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
          <w:bCs/>
          <w:color w:val="auto"/>
          <w:sz w:val="24"/>
          <w:highlight w:val="none"/>
        </w:rPr>
      </w:pPr>
      <w:bookmarkStart w:id="28" w:name="_Toc35393795"/>
      <w:bookmarkStart w:id="29" w:name="_Toc35393626"/>
      <w:r>
        <w:rPr>
          <w:rFonts w:hint="eastAsia" w:ascii="宋体" w:hAnsi="宋体" w:eastAsia="宋体" w:cs="宋体"/>
          <w:b/>
          <w:bCs/>
          <w:color w:val="auto"/>
          <w:sz w:val="24"/>
          <w:highlight w:val="none"/>
        </w:rPr>
        <w:t>七、其他补充事宜</w:t>
      </w:r>
      <w:bookmarkEnd w:id="28"/>
      <w:bookmarkEnd w:id="29"/>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1.磋商保证金：本项目不收取磋商保证金</w:t>
      </w:r>
    </w:p>
    <w:p>
      <w:pPr>
        <w:keepNext w:val="0"/>
        <w:keepLines w:val="0"/>
        <w:pageBreakBefore w:val="0"/>
        <w:kinsoku/>
        <w:wordWrap/>
        <w:overflowPunct/>
        <w:topLinePunct w:val="0"/>
        <w:autoSpaceDE/>
        <w:autoSpaceDN/>
        <w:bidi w:val="0"/>
        <w:adjustRightInd/>
        <w:spacing w:line="440" w:lineRule="exact"/>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2.采购意向公开链接：http://www.ccgp-guangxi.gov.cn/site/detail?parentId=66601&amp;articleId=EyGOiw1J8qanzPUzCJluGA==&amp;utm=site.site-PC-38919.1024-pc-wsg-secondLevelPage-front.6.e7c22b10fb8811ee945e394b1d42f122</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bookmarkStart w:id="30" w:name="_Hlk37429585"/>
      <w:r>
        <w:rPr>
          <w:rFonts w:hint="eastAsia" w:ascii="宋体" w:hAnsi="宋体" w:eastAsia="宋体" w:cs="宋体"/>
          <w:color w:val="auto"/>
          <w:kern w:val="0"/>
          <w:szCs w:val="21"/>
          <w:highlight w:val="none"/>
        </w:rPr>
        <w:t>3.</w:t>
      </w:r>
      <w:bookmarkStart w:id="31" w:name="_Hlk37429595"/>
      <w:r>
        <w:rPr>
          <w:rFonts w:hint="eastAsia" w:ascii="宋体" w:hAnsi="宋体" w:eastAsia="宋体" w:cs="宋体"/>
          <w:color w:val="auto"/>
          <w:kern w:val="0"/>
          <w:szCs w:val="21"/>
          <w:highlight w:val="none"/>
        </w:rPr>
        <w:t>网上查询地址</w:t>
      </w:r>
    </w:p>
    <w:bookmarkEnd w:id="30"/>
    <w:bookmarkEnd w:id="31"/>
    <w:p>
      <w:pPr>
        <w:spacing w:line="440" w:lineRule="exact"/>
        <w:ind w:firstLine="420" w:firstLineChars="200"/>
        <w:rPr>
          <w:rFonts w:hint="eastAsia" w:ascii="宋体" w:eastAsia="宋体" w:cs="宋体"/>
          <w:color w:val="auto"/>
          <w:kern w:val="0"/>
          <w:szCs w:val="21"/>
          <w:highlight w:val="none"/>
          <w:lang w:eastAsia="zh-CN"/>
        </w:rPr>
      </w:pPr>
      <w:bookmarkStart w:id="32" w:name="_Hlk37429674"/>
      <w:r>
        <w:rPr>
          <w:rFonts w:ascii="宋体" w:hAnsi="宋体"/>
          <w:color w:val="auto"/>
          <w:szCs w:val="21"/>
          <w:highlight w:val="none"/>
        </w:rPr>
        <w:t>http://www.ccgp.gov.cn/</w:t>
      </w:r>
      <w:r>
        <w:rPr>
          <w:rFonts w:hint="eastAsia" w:ascii="宋体" w:hAnsi="宋体"/>
          <w:color w:val="auto"/>
          <w:szCs w:val="21"/>
          <w:highlight w:val="none"/>
        </w:rPr>
        <w:t>（中国政府采购网）、</w:t>
      </w:r>
      <w:r>
        <w:rPr>
          <w:rFonts w:ascii="宋体" w:hAnsi="宋体"/>
          <w:color w:val="auto"/>
          <w:szCs w:val="21"/>
          <w:highlight w:val="none"/>
        </w:rPr>
        <w:t>http://www.ccgp-guangxi.gov.cn/ (</w:t>
      </w:r>
      <w:r>
        <w:rPr>
          <w:rFonts w:hint="eastAsia" w:ascii="宋体" w:hAnsi="宋体"/>
          <w:color w:val="auto"/>
          <w:szCs w:val="21"/>
          <w:highlight w:val="none"/>
        </w:rPr>
        <w:t>广西壮族自治区政府采购网</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http://ggzy.jgswj.gxzf.gov.cn/nnggzy/</w:t>
      </w:r>
      <w:r>
        <w:rPr>
          <w:rFonts w:hint="eastAsia" w:ascii="宋体" w:hAnsi="宋体"/>
          <w:color w:val="auto"/>
          <w:szCs w:val="21"/>
          <w:highlight w:val="none"/>
        </w:rPr>
        <w:t>（全国公共资源交易平台（广西</w:t>
      </w:r>
      <w:r>
        <w:rPr>
          <w:rFonts w:ascii="宋体"/>
          <w:color w:val="auto"/>
          <w:szCs w:val="21"/>
          <w:highlight w:val="none"/>
        </w:rPr>
        <w:t>.</w:t>
      </w:r>
      <w:r>
        <w:rPr>
          <w:rFonts w:hint="eastAsia" w:ascii="宋体" w:hAnsi="宋体"/>
          <w:color w:val="auto"/>
          <w:szCs w:val="21"/>
          <w:highlight w:val="none"/>
        </w:rPr>
        <w:t>南宁））</w:t>
      </w:r>
      <w:r>
        <w:rPr>
          <w:rFonts w:hint="eastAsia" w:ascii="宋体" w:hAnsi="宋体"/>
          <w:color w:val="auto"/>
          <w:szCs w:val="21"/>
          <w:highlight w:val="none"/>
          <w:lang w:eastAsia="zh-CN"/>
        </w:rPr>
        <w:t>、</w:t>
      </w:r>
      <w:r>
        <w:rPr>
          <w:rFonts w:hint="eastAsia" w:ascii="宋体" w:hAnsi="宋体" w:cs="宋体"/>
          <w:color w:val="auto"/>
          <w:kern w:val="0"/>
          <w:szCs w:val="21"/>
          <w:lang w:val="en-US" w:eastAsia="zh-CN"/>
        </w:rPr>
        <w:t>广西佳鸿工程咨询有限公司网（http://www.gxjhgczx.com）。</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本项目需要落实的政府采购政策</w:t>
      </w:r>
    </w:p>
    <w:bookmarkEnd w:id="32"/>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（1）政府采购促进中小企业发展。</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（2）政府采购支持采用本国产品的政策。</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（3）强制采购节能产品；优先采购节能产品、环境标志产品。</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（4）政府采购促进残疾人就业政策。</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政府采购支持监狱企业发展。</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lang w:eastAsia="zh-CN"/>
        </w:rPr>
        <w:t>）</w:t>
      </w:r>
      <w:r>
        <w:rPr>
          <w:rFonts w:hint="eastAsia" w:ascii="宋体" w:hAnsi="宋体" w:eastAsia="宋体" w:cs="宋体"/>
          <w:color w:val="auto"/>
          <w:kern w:val="0"/>
          <w:szCs w:val="21"/>
          <w:highlight w:val="none"/>
        </w:rPr>
        <w:t>扶持不发达地区和少数民族地区政策。</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供应商认为采购文件使自己的权益受到损害的，可以自获取采购文件之日或者采购文件公告期限届满之日（公告期限届满后获取采购文件的，以公告期限届满之日为准）起7个工作日内且应当在采购响应截止时间之前，以书面形式一次性向采购人和采购代理机构提出同一环节的质疑。否则，逾期的质疑采购人及招标代理机构可不予接受。质疑供应商对采购人、采购代理机构的答复不满意或者采购人、采购代理机构未在规定的时间内作出答复的，可以在答复期满后十五个工作日内向同级政府采购监督管理部门投诉。</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6.若对项目采购电子交易系统操作有疑问，可登录“</w:t>
      </w:r>
      <w:r>
        <w:rPr>
          <w:rFonts w:hint="eastAsia" w:ascii="宋体" w:hAnsi="宋体" w:cs="宋体"/>
          <w:color w:val="auto"/>
          <w:kern w:val="0"/>
          <w:szCs w:val="21"/>
          <w:highlight w:val="none"/>
          <w:lang w:eastAsia="zh-CN"/>
        </w:rPr>
        <w:t>广西政府采购云平台</w:t>
      </w:r>
      <w:r>
        <w:rPr>
          <w:rFonts w:hint="eastAsia" w:ascii="宋体" w:hAnsi="宋体" w:eastAsia="宋体" w:cs="宋体"/>
          <w:color w:val="auto"/>
          <w:kern w:val="0"/>
          <w:szCs w:val="21"/>
          <w:highlight w:val="none"/>
        </w:rPr>
        <w:t>”（https://www.zcygov.cn/），点击右侧咨询小采，获取采小蜜智能服务管家帮助，或拨打政采云服务热线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rPr>
        <w:t xml:space="preserve">获取热线服务帮助。 </w:t>
      </w:r>
    </w:p>
    <w:p>
      <w:pPr>
        <w:keepNext w:val="0"/>
        <w:keepLines w:val="0"/>
        <w:pageBreakBefore w:val="0"/>
        <w:kinsoku/>
        <w:wordWrap/>
        <w:overflowPunct/>
        <w:topLinePunct w:val="0"/>
        <w:autoSpaceDE/>
        <w:autoSpaceDN/>
        <w:bidi w:val="0"/>
        <w:adjustRightInd/>
        <w:spacing w:line="440" w:lineRule="exact"/>
        <w:ind w:firstLine="482" w:firstLineChars="200"/>
        <w:textAlignment w:val="auto"/>
        <w:rPr>
          <w:rFonts w:hint="eastAsia" w:ascii="宋体" w:hAnsi="宋体" w:eastAsia="宋体" w:cs="宋体"/>
          <w:bCs/>
          <w:color w:val="auto"/>
          <w:sz w:val="24"/>
          <w:highlight w:val="none"/>
        </w:rPr>
      </w:pPr>
      <w:r>
        <w:rPr>
          <w:rFonts w:hint="eastAsia" w:ascii="宋体" w:hAnsi="宋体" w:eastAsia="宋体" w:cs="宋体"/>
          <w:b/>
          <w:color w:val="auto"/>
          <w:kern w:val="44"/>
          <w:sz w:val="24"/>
          <w:highlight w:val="none"/>
        </w:rPr>
        <w:t>八、凡对本次采购提出询问，请按以下方式联系</w:t>
      </w:r>
    </w:p>
    <w:p>
      <w:pPr>
        <w:keepNext w:val="0"/>
        <w:keepLines w:val="0"/>
        <w:pageBreakBefore w:val="0"/>
        <w:kinsoku/>
        <w:wordWrap/>
        <w:overflowPunct/>
        <w:topLinePunct w:val="0"/>
        <w:autoSpaceDE/>
        <w:autoSpaceDN/>
        <w:bidi w:val="0"/>
        <w:adjustRightInd/>
        <w:spacing w:line="440" w:lineRule="exact"/>
        <w:ind w:firstLine="735" w:firstLineChars="350"/>
        <w:jc w:val="left"/>
        <w:textAlignment w:val="auto"/>
        <w:rPr>
          <w:rFonts w:hint="eastAsia" w:ascii="宋体" w:hAnsi="宋体" w:eastAsia="宋体" w:cs="宋体"/>
          <w:color w:val="auto"/>
          <w:szCs w:val="21"/>
          <w:highlight w:val="none"/>
        </w:rPr>
      </w:pPr>
      <w:bookmarkStart w:id="33" w:name="_Toc15775"/>
      <w:bookmarkStart w:id="34" w:name="_Toc20817"/>
      <w:bookmarkStart w:id="35" w:name="_Toc24059"/>
      <w:r>
        <w:rPr>
          <w:rFonts w:hint="eastAsia" w:ascii="宋体" w:hAnsi="宋体" w:eastAsia="宋体" w:cs="宋体"/>
          <w:color w:val="auto"/>
          <w:szCs w:val="21"/>
          <w:highlight w:val="none"/>
        </w:rPr>
        <w:t>1.采购人信息</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隆安县水利局</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bCs/>
          <w:color w:val="auto"/>
          <w:szCs w:val="21"/>
          <w:highlight w:val="none"/>
          <w:lang w:eastAsia="zh-CN"/>
        </w:rPr>
        <w:t>隆安县城厢镇蝶城路405号</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rPr>
        <w:t>项目联系人：</w:t>
      </w:r>
      <w:r>
        <w:rPr>
          <w:rFonts w:hint="eastAsia" w:ascii="宋体" w:hAnsi="宋体" w:cs="宋体"/>
          <w:color w:val="auto"/>
          <w:highlight w:val="none"/>
          <w:lang w:eastAsia="zh-CN"/>
        </w:rPr>
        <w:t>何工</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0771-6529831</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2.采购代理机构信息</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名称：</w:t>
      </w:r>
      <w:r>
        <w:rPr>
          <w:rFonts w:hint="eastAsia" w:ascii="宋体" w:hAnsi="宋体" w:cs="宋体"/>
          <w:color w:val="auto"/>
          <w:szCs w:val="21"/>
          <w:highlight w:val="none"/>
          <w:lang w:eastAsia="zh-CN"/>
        </w:rPr>
        <w:t>广西佳鸿工程咨询有限公司</w:t>
      </w:r>
    </w:p>
    <w:p>
      <w:pPr>
        <w:keepNext w:val="0"/>
        <w:keepLines w:val="0"/>
        <w:pageBreakBefore w:val="0"/>
        <w:kinsoku/>
        <w:wordWrap/>
        <w:overflowPunct/>
        <w:topLinePunct w:val="0"/>
        <w:autoSpaceDE/>
        <w:autoSpaceDN/>
        <w:bidi w:val="0"/>
        <w:adjustRightInd/>
        <w:spacing w:line="440" w:lineRule="exact"/>
        <w:ind w:left="1457" w:leftChars="370" w:hanging="680" w:hangingChars="324"/>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地址：</w:t>
      </w:r>
      <w:r>
        <w:rPr>
          <w:rFonts w:hint="eastAsia" w:ascii="宋体" w:hAnsi="宋体" w:cs="宋体"/>
          <w:color w:val="auto"/>
          <w:szCs w:val="21"/>
          <w:highlight w:val="none"/>
          <w:lang w:eastAsia="zh-CN"/>
        </w:rPr>
        <w:t>隆安县城厢镇康安街30号</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马工</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0771-6509080 </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3.项目联系方式</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项目联系人：</w:t>
      </w:r>
      <w:r>
        <w:rPr>
          <w:rFonts w:hint="eastAsia" w:ascii="宋体" w:hAnsi="宋体" w:cs="宋体"/>
          <w:color w:val="auto"/>
          <w:szCs w:val="21"/>
          <w:highlight w:val="none"/>
          <w:lang w:eastAsia="zh-CN"/>
        </w:rPr>
        <w:t>马工</w:t>
      </w:r>
    </w:p>
    <w:p>
      <w:pPr>
        <w:keepNext w:val="0"/>
        <w:keepLines w:val="0"/>
        <w:pageBreakBefore w:val="0"/>
        <w:kinsoku/>
        <w:wordWrap/>
        <w:overflowPunct/>
        <w:topLinePunct w:val="0"/>
        <w:autoSpaceDE/>
        <w:autoSpaceDN/>
        <w:bidi w:val="0"/>
        <w:adjustRightInd/>
        <w:spacing w:line="440" w:lineRule="exact"/>
        <w:ind w:left="1041" w:leftChars="371" w:hanging="262" w:hangingChars="125"/>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电话：</w:t>
      </w:r>
      <w:r>
        <w:rPr>
          <w:rFonts w:hint="eastAsia" w:ascii="宋体" w:hAnsi="宋体" w:cs="宋体"/>
          <w:color w:val="auto"/>
          <w:szCs w:val="21"/>
          <w:highlight w:val="none"/>
          <w:lang w:eastAsia="zh-CN"/>
        </w:rPr>
        <w:t>0771-6509080 </w:t>
      </w:r>
    </w:p>
    <w:p>
      <w:pPr>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rPr>
      </w:pPr>
    </w:p>
    <w:p>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附件：</w:t>
      </w:r>
    </w:p>
    <w:p>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1.CA证书申请方式及操作指南下载地址（登陆</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"http://nncz.nanning.gov.cn/" </w:instrText>
      </w:r>
      <w:r>
        <w:rPr>
          <w:rFonts w:hint="eastAsia" w:ascii="宋体" w:hAnsi="宋体" w:eastAsia="宋体" w:cs="宋体"/>
          <w:color w:val="auto"/>
          <w:szCs w:val="21"/>
          <w:highlight w:val="none"/>
        </w:rPr>
        <w:fldChar w:fldCharType="separate"/>
      </w:r>
      <w:r>
        <w:rPr>
          <w:rFonts w:hint="eastAsia" w:ascii="宋体" w:hAnsi="宋体" w:eastAsia="宋体" w:cs="宋体"/>
          <w:color w:val="auto"/>
          <w:szCs w:val="21"/>
          <w:highlight w:val="none"/>
        </w:rPr>
        <w:t>http://nncz.nanning.gov.cn/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（南宁市财政局官网）-业务专题-政府采购监督管理-资料下载-“广西政采云西部CA办理方式”或“南宁市政采云CA证书办理操作指南”）</w:t>
      </w:r>
    </w:p>
    <w:p>
      <w:pPr>
        <w:pStyle w:val="11"/>
        <w:keepNext w:val="0"/>
        <w:keepLines w:val="0"/>
        <w:pageBreakBefore w:val="0"/>
        <w:kinsoku/>
        <w:wordWrap/>
        <w:overflowPunct/>
        <w:topLinePunct w:val="0"/>
        <w:autoSpaceDE/>
        <w:autoSpaceDN/>
        <w:bidi w:val="0"/>
        <w:adjustRightInd/>
        <w:spacing w:line="440" w:lineRule="exact"/>
        <w:ind w:firstLine="420" w:firstLineChars="200"/>
        <w:jc w:val="both"/>
        <w:textAlignment w:val="auto"/>
        <w:rPr>
          <w:rFonts w:hint="eastAsia" w:ascii="宋体" w:hAnsi="宋体" w:eastAsia="宋体" w:cs="宋体"/>
          <w:color w:val="auto"/>
          <w:highlight w:val="none"/>
        </w:rPr>
      </w:pPr>
      <w:r>
        <w:rPr>
          <w:rFonts w:hint="eastAsia" w:ascii="宋体" w:hAnsi="宋体" w:eastAsia="宋体" w:cs="宋体"/>
          <w:color w:val="auto"/>
          <w:szCs w:val="21"/>
          <w:highlight w:val="none"/>
          <w:lang w:val="en-US" w:eastAsia="zh-CN"/>
        </w:rPr>
        <w:t>2.电子投标文件制作与投送教程（在此网址下载：</w:t>
      </w:r>
      <w:r>
        <w:rPr>
          <w:rFonts w:hint="eastAsia" w:ascii="宋体" w:hAnsi="宋体" w:eastAsia="宋体" w:cs="宋体"/>
          <w:color w:val="auto"/>
          <w:szCs w:val="21"/>
          <w:highlight w:val="none"/>
          <w:lang w:val="en-US" w:eastAsia="zh-CN"/>
        </w:rPr>
        <w:fldChar w:fldCharType="begin"/>
      </w:r>
      <w:r>
        <w:rPr>
          <w:rFonts w:hint="eastAsia" w:ascii="宋体" w:hAnsi="宋体" w:eastAsia="宋体" w:cs="宋体"/>
          <w:color w:val="auto"/>
          <w:szCs w:val="21"/>
          <w:highlight w:val="none"/>
          <w:lang w:val="en-US" w:eastAsia="zh-CN"/>
        </w:rPr>
        <w:instrText xml:space="preserve"> HYPERLINK "http://nncz.nanning.gov.cn/" </w:instrText>
      </w:r>
      <w:r>
        <w:rPr>
          <w:rFonts w:hint="eastAsia" w:ascii="宋体" w:hAnsi="宋体" w:eastAsia="宋体" w:cs="宋体"/>
          <w:color w:val="auto"/>
          <w:szCs w:val="21"/>
          <w:highlight w:val="none"/>
          <w:lang w:val="en-US" w:eastAsia="zh-CN"/>
        </w:rPr>
        <w:fldChar w:fldCharType="separate"/>
      </w:r>
      <w:r>
        <w:rPr>
          <w:rFonts w:hint="eastAsia" w:ascii="宋体" w:hAnsi="宋体" w:eastAsia="宋体" w:cs="宋体"/>
          <w:color w:val="auto"/>
          <w:szCs w:val="21"/>
          <w:highlight w:val="none"/>
          <w:lang w:val="en-US" w:eastAsia="zh-CN"/>
        </w:rPr>
        <w:t>http://nncz.nanning.gov.cn/</w:t>
      </w:r>
      <w:r>
        <w:rPr>
          <w:rFonts w:hint="eastAsia" w:ascii="宋体" w:hAnsi="宋体" w:eastAsia="宋体" w:cs="宋体"/>
          <w:color w:val="auto"/>
          <w:szCs w:val="21"/>
          <w:highlight w:val="none"/>
          <w:lang w:val="en-US" w:eastAsia="zh-CN"/>
        </w:rPr>
        <w:fldChar w:fldCharType="end"/>
      </w:r>
      <w:r>
        <w:rPr>
          <w:rFonts w:hint="eastAsia" w:ascii="宋体" w:hAnsi="宋体" w:eastAsia="宋体" w:cs="宋体"/>
          <w:color w:val="auto"/>
          <w:szCs w:val="21"/>
          <w:highlight w:val="none"/>
          <w:lang w:val="en-US" w:eastAsia="zh-CN"/>
        </w:rPr>
        <w:t>（南宁市财政局官网）-业务专题-政府采购监督管理-资料下载-南宁市政府采购项目全流程电子化交易操作指南）</w:t>
      </w:r>
    </w:p>
    <w:p>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pPr>
        <w:pStyle w:val="11"/>
        <w:keepNext w:val="0"/>
        <w:keepLines w:val="0"/>
        <w:pageBreakBefore w:val="0"/>
        <w:kinsoku/>
        <w:wordWrap/>
        <w:overflowPunct/>
        <w:topLinePunct w:val="0"/>
        <w:autoSpaceDE/>
        <w:autoSpaceDN/>
        <w:bidi w:val="0"/>
        <w:adjustRightInd/>
        <w:spacing w:line="440" w:lineRule="exact"/>
        <w:ind w:firstLine="420" w:firstLineChars="200"/>
        <w:textAlignment w:val="auto"/>
        <w:rPr>
          <w:rFonts w:hint="eastAsia" w:ascii="宋体" w:hAnsi="宋体" w:eastAsia="宋体" w:cs="宋体"/>
          <w:color w:val="auto"/>
          <w:szCs w:val="21"/>
          <w:highlight w:val="none"/>
          <w:lang w:eastAsia="zh-CN"/>
        </w:rPr>
      </w:pPr>
    </w:p>
    <w:p>
      <w:pPr>
        <w:pStyle w:val="11"/>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u w:val="none"/>
          <w:lang w:eastAsia="zh-CN"/>
        </w:rPr>
        <w:t>广西佳鸿工程咨询有限公司</w:t>
      </w:r>
    </w:p>
    <w:p>
      <w:pPr>
        <w:keepNext w:val="0"/>
        <w:keepLines w:val="0"/>
        <w:pageBreakBefore w:val="0"/>
        <w:kinsoku/>
        <w:wordWrap/>
        <w:overflowPunct/>
        <w:topLinePunct w:val="0"/>
        <w:autoSpaceDE/>
        <w:autoSpaceDN/>
        <w:bidi w:val="0"/>
        <w:adjustRightInd/>
        <w:spacing w:line="440" w:lineRule="exact"/>
        <w:ind w:firstLine="420" w:firstLineChars="200"/>
        <w:jc w:val="right"/>
        <w:textAlignment w:val="auto"/>
        <w:rPr>
          <w:rFonts w:hint="eastAsia" w:ascii="宋体" w:hAnsi="宋体" w:eastAsia="宋体" w:cs="宋体"/>
          <w:color w:val="auto"/>
          <w:szCs w:val="21"/>
          <w:highlight w:val="none"/>
          <w:lang w:eastAsia="zh-CN"/>
        </w:rPr>
        <w:sectPr>
          <w:footerReference r:id="rId9"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start="1"/>
          <w:cols w:space="720" w:num="1"/>
        </w:sectPr>
      </w:pPr>
      <w:r>
        <w:rPr>
          <w:rFonts w:hint="eastAsia" w:ascii="宋体" w:hAnsi="宋体" w:eastAsia="宋体" w:cs="宋体"/>
          <w:color w:val="auto"/>
          <w:szCs w:val="21"/>
          <w:highlight w:val="none"/>
          <w:lang w:eastAsia="zh-CN"/>
        </w:rPr>
        <w:t>202</w:t>
      </w: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lang w:eastAsia="zh-CN"/>
        </w:rPr>
        <w:t>年</w:t>
      </w:r>
      <w:r>
        <w:rPr>
          <w:rFonts w:hint="eastAsia" w:ascii="宋体" w:hAnsi="宋体" w:cs="宋体"/>
          <w:color w:val="auto"/>
          <w:szCs w:val="21"/>
          <w:highlight w:val="none"/>
          <w:lang w:val="en-US" w:eastAsia="zh-CN"/>
        </w:rPr>
        <w:t>06</w:t>
      </w:r>
      <w:r>
        <w:rPr>
          <w:rFonts w:hint="eastAsia" w:ascii="宋体" w:hAnsi="宋体" w:eastAsia="宋体" w:cs="宋体"/>
          <w:color w:val="auto"/>
          <w:szCs w:val="21"/>
          <w:highlight w:val="none"/>
          <w:lang w:eastAsia="zh-CN"/>
        </w:rPr>
        <w:t>月</w:t>
      </w:r>
      <w:r>
        <w:rPr>
          <w:rFonts w:hint="eastAsia" w:ascii="宋体" w:hAnsi="宋体" w:cs="宋体"/>
          <w:color w:val="auto"/>
          <w:szCs w:val="21"/>
          <w:highlight w:val="none"/>
          <w:lang w:val="en-US" w:eastAsia="zh-CN"/>
        </w:rPr>
        <w:t>21</w:t>
      </w:r>
      <w:r>
        <w:rPr>
          <w:rFonts w:hint="eastAsia" w:ascii="宋体" w:hAnsi="宋体" w:eastAsia="宋体" w:cs="宋体"/>
          <w:color w:val="auto"/>
          <w:szCs w:val="21"/>
          <w:highlight w:val="none"/>
          <w:lang w:eastAsia="zh-CN"/>
        </w:rPr>
        <w:t>日</w:t>
      </w:r>
    </w:p>
    <w:p>
      <w:pPr>
        <w:pStyle w:val="3"/>
        <w:spacing w:line="360" w:lineRule="auto"/>
        <w:jc w:val="center"/>
        <w:rPr>
          <w:rFonts w:hint="eastAsia" w:ascii="宋体" w:hAnsi="宋体" w:eastAsia="宋体" w:cs="宋体"/>
          <w:b/>
          <w:bCs/>
          <w:color w:val="auto"/>
          <w:highlight w:val="none"/>
          <w:lang w:val="en-US" w:eastAsia="zh-CN"/>
        </w:rPr>
      </w:pPr>
      <w:r>
        <w:rPr>
          <w:rFonts w:hint="eastAsia" w:ascii="宋体" w:hAnsi="宋体" w:eastAsia="宋体" w:cs="宋体"/>
          <w:b/>
          <w:bCs/>
          <w:color w:val="auto"/>
          <w:highlight w:val="none"/>
        </w:rPr>
        <w:t xml:space="preserve">第二章 </w:t>
      </w:r>
      <w:r>
        <w:rPr>
          <w:rFonts w:hint="eastAsia" w:ascii="宋体" w:hAnsi="宋体" w:eastAsia="宋体" w:cs="宋体"/>
          <w:b/>
          <w:bCs/>
          <w:color w:val="auto"/>
          <w:highlight w:val="none"/>
          <w:lang w:val="en-US" w:eastAsia="zh-CN"/>
        </w:rPr>
        <w:t>采购需求</w:t>
      </w:r>
      <w:bookmarkEnd w:id="33"/>
      <w:bookmarkEnd w:id="34"/>
      <w:bookmarkEnd w:id="35"/>
    </w:p>
    <w:p>
      <w:pPr>
        <w:keepNext w:val="0"/>
        <w:keepLines w:val="0"/>
        <w:pageBreakBefore w:val="0"/>
        <w:kinsoku/>
        <w:wordWrap/>
        <w:overflowPunct/>
        <w:topLinePunct w:val="0"/>
        <w:autoSpaceDE/>
        <w:autoSpaceDN/>
        <w:bidi w:val="0"/>
        <w:adjustRightInd/>
        <w:snapToGrid/>
        <w:spacing w:line="400" w:lineRule="exact"/>
        <w:jc w:val="left"/>
        <w:textAlignment w:val="auto"/>
        <w:rPr>
          <w:rFonts w:ascii="宋体" w:hAnsi="宋体" w:cs="宋体"/>
          <w:color w:val="auto"/>
          <w:szCs w:val="21"/>
          <w:highlight w:val="none"/>
        </w:rPr>
      </w:pPr>
      <w:r>
        <w:rPr>
          <w:rFonts w:hint="eastAsia" w:ascii="宋体" w:hAnsi="宋体" w:cs="宋体"/>
          <w:color w:val="auto"/>
          <w:szCs w:val="21"/>
          <w:highlight w:val="none"/>
        </w:rPr>
        <w:t>说明：</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olor w:val="auto"/>
          <w:highlight w:val="none"/>
        </w:rPr>
        <w:t>1. 为落实政府采购政策需满足的要求</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（1）本竞争性磋商采购文件所称中小企业必须符合《政府采购促进中小企业发展管理办法》（财库〔2020〕46号）的规定。</w:t>
      </w:r>
    </w:p>
    <w:p>
      <w:pPr>
        <w:keepNext w:val="0"/>
        <w:keepLines w:val="0"/>
        <w:pageBreakBefore w:val="0"/>
        <w:tabs>
          <w:tab w:val="left" w:pos="180"/>
          <w:tab w:val="left" w:pos="1620"/>
        </w:tabs>
        <w:kinsoku/>
        <w:wordWrap/>
        <w:overflowPunct/>
        <w:topLinePunct w:val="0"/>
        <w:autoSpaceDE/>
        <w:autoSpaceDN/>
        <w:bidi w:val="0"/>
        <w:adjustRightInd/>
        <w:snapToGrid/>
        <w:spacing w:line="400" w:lineRule="exact"/>
        <w:ind w:firstLine="420" w:firstLineChars="200"/>
        <w:textAlignment w:val="auto"/>
        <w:rPr>
          <w:rFonts w:ascii="宋体" w:hAnsi="宋体" w:cs="宋体"/>
          <w:b/>
          <w:bCs/>
          <w:color w:val="auto"/>
          <w:szCs w:val="21"/>
          <w:highlight w:val="none"/>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项目中包含货物的，根据《财政部 发展改革委 生态环境部 市场监管总局关于调整优化节能产品、环境标志产品政府采购执行机制的通知》（财库〔2019〕9号）和《关于印发节能产品政府采购品目清单的通知》（财库〔2019〕19号）的规定，采购需求中的产品属于节能产品政府采购品目清单内标注“★”的，供应商必须在响应文件中提供所竞标产品的节能产品认证证书复印件（加盖供应商公章），否则响应文件作无效处理。如本项目包含的配套货物属于品目清单内非标注“★”的产品时，应优先采购，具体详见“第四章 评审程序和评定成交的标准”。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工程</w:t>
      </w:r>
      <w:r>
        <w:rPr>
          <w:rFonts w:hint="eastAsia" w:ascii="宋体" w:hAnsi="宋体" w:cs="宋体"/>
          <w:color w:val="auto"/>
          <w:szCs w:val="21"/>
          <w:highlight w:val="none"/>
        </w:rPr>
        <w:t>项目中伴随的货物包含列入《网络关键设备和网络安全专产品目录》的网络安全专用产品，应当按照《信息安全技术 网络安全专用产品安全技术要求》等相关国家标准的强制性要求，提供具备资格的机构安全认证合格或者安全检测证明材料(加盖投标人公章)，否投标文件作无效处理。</w:t>
      </w:r>
    </w:p>
    <w:p>
      <w:pPr>
        <w:keepNext w:val="0"/>
        <w:keepLines w:val="0"/>
        <w:pageBreakBefore w:val="0"/>
        <w:kinsoku/>
        <w:wordWrap/>
        <w:overflowPunct/>
        <w:topLinePunct w:val="0"/>
        <w:autoSpaceDE/>
        <w:autoSpaceDN/>
        <w:bidi w:val="0"/>
        <w:adjustRightInd/>
        <w:snapToGrid/>
        <w:spacing w:line="400" w:lineRule="exact"/>
        <w:ind w:firstLine="413" w:firstLineChars="196"/>
        <w:textAlignment w:val="auto"/>
        <w:rPr>
          <w:rFonts w:ascii="宋体" w:hAnsi="宋体" w:cs="宋体"/>
          <w:b/>
          <w:bCs/>
          <w:color w:val="auto"/>
          <w:szCs w:val="21"/>
          <w:highlight w:val="none"/>
        </w:rPr>
      </w:pPr>
      <w:r>
        <w:rPr>
          <w:rFonts w:hint="eastAsia" w:ascii="宋体" w:hAnsi="宋体" w:cs="宋体"/>
          <w:b/>
          <w:bCs/>
          <w:color w:val="auto"/>
          <w:szCs w:val="21"/>
          <w:highlight w:val="none"/>
        </w:rPr>
        <w:t>2.“实质性要求”是指采购需求中带“▲”的条款或者不能负偏离的条款或者已经指明不满足按响应文件作无效处理的条款。</w:t>
      </w:r>
      <w:r>
        <w:rPr>
          <w:rFonts w:hint="eastAsia" w:ascii="宋体" w:hAnsi="宋体" w:cs="宋体"/>
          <w:b/>
          <w:color w:val="auto"/>
          <w:szCs w:val="21"/>
          <w:highlight w:val="none"/>
        </w:rPr>
        <w:t>本项目凡标注“▲”的条款或要求不响应或不满足的，其响应文件即作无效竞标处理。</w:t>
      </w:r>
    </w:p>
    <w:p>
      <w:pPr>
        <w:keepNext w:val="0"/>
        <w:keepLines w:val="0"/>
        <w:pageBreakBefore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color w:val="auto"/>
          <w:highlight w:val="none"/>
        </w:rPr>
      </w:pPr>
      <w:r>
        <w:rPr>
          <w:rFonts w:hint="eastAsia" w:ascii="宋体" w:hAnsi="宋体" w:cs="宋体"/>
          <w:color w:val="auto"/>
          <w:szCs w:val="21"/>
          <w:highlight w:val="none"/>
        </w:rPr>
        <w:t xml:space="preserve">3. </w:t>
      </w:r>
      <w:r>
        <w:rPr>
          <w:rFonts w:hint="eastAsia" w:ascii="宋体" w:hAnsi="宋体"/>
          <w:color w:val="auto"/>
          <w:highlight w:val="none"/>
        </w:rPr>
        <w:t>如投标人投标</w:t>
      </w:r>
      <w:r>
        <w:rPr>
          <w:rFonts w:ascii="宋体" w:hAnsi="宋体"/>
          <w:color w:val="auto"/>
          <w:highlight w:val="none"/>
        </w:rPr>
        <w:t>产品</w:t>
      </w:r>
      <w:r>
        <w:rPr>
          <w:rFonts w:hint="eastAsia" w:ascii="宋体" w:hAnsi="宋体"/>
          <w:color w:val="auto"/>
          <w:highlight w:val="none"/>
        </w:rPr>
        <w:t>存在</w:t>
      </w:r>
      <w:r>
        <w:rPr>
          <w:rFonts w:ascii="宋体" w:hAnsi="宋体"/>
          <w:color w:val="auto"/>
          <w:highlight w:val="none"/>
        </w:rPr>
        <w:t>侵犯</w:t>
      </w:r>
      <w:r>
        <w:rPr>
          <w:rFonts w:hint="eastAsia" w:ascii="宋体" w:hAnsi="宋体"/>
          <w:color w:val="auto"/>
          <w:highlight w:val="none"/>
        </w:rPr>
        <w:t>他人的知识产权或者专利成果行为的，应</w:t>
      </w:r>
      <w:r>
        <w:rPr>
          <w:rFonts w:ascii="宋体" w:hAnsi="宋体"/>
          <w:color w:val="auto"/>
          <w:highlight w:val="none"/>
        </w:rPr>
        <w:t>承担相应法律责任</w:t>
      </w:r>
      <w:r>
        <w:rPr>
          <w:rFonts w:hint="eastAsia" w:ascii="宋体" w:hAnsi="宋体"/>
          <w:color w:val="auto"/>
          <w:highlight w:val="none"/>
        </w:rPr>
        <w:t>。</w:t>
      </w:r>
    </w:p>
    <w:p>
      <w:pPr>
        <w:outlineLvl w:val="9"/>
        <w:rPr>
          <w:rFonts w:hint="eastAsia" w:ascii="宋体" w:hAnsi="宋体"/>
          <w:color w:val="auto"/>
          <w:highlight w:val="none"/>
        </w:rPr>
      </w:pPr>
    </w:p>
    <w:p>
      <w:pPr>
        <w:outlineLvl w:val="9"/>
        <w:rPr>
          <w:rFonts w:hint="eastAsia" w:ascii="宋体" w:hAnsi="宋体"/>
          <w:color w:val="auto"/>
          <w:highlight w:val="none"/>
        </w:rPr>
      </w:pPr>
    </w:p>
    <w:p>
      <w:pPr>
        <w:outlineLvl w:val="9"/>
        <w:rPr>
          <w:rFonts w:hint="eastAsia" w:ascii="宋体" w:hAnsi="宋体"/>
          <w:color w:val="auto"/>
          <w:highlight w:val="none"/>
        </w:rPr>
      </w:pPr>
    </w:p>
    <w:p>
      <w:pPr>
        <w:outlineLvl w:val="9"/>
        <w:rPr>
          <w:rFonts w:hint="eastAsia" w:ascii="宋体" w:hAnsi="宋体"/>
          <w:color w:val="auto"/>
          <w:highlight w:val="none"/>
        </w:rPr>
      </w:pPr>
    </w:p>
    <w:p>
      <w:pPr>
        <w:outlineLvl w:val="9"/>
        <w:rPr>
          <w:rFonts w:hint="eastAsia" w:ascii="宋体" w:hAnsi="宋体"/>
          <w:color w:val="auto"/>
          <w:highlight w:val="none"/>
        </w:rPr>
      </w:pPr>
    </w:p>
    <w:p>
      <w:pPr>
        <w:outlineLvl w:val="9"/>
        <w:rPr>
          <w:rFonts w:hint="eastAsia" w:ascii="宋体" w:hAnsi="宋体"/>
          <w:color w:val="auto"/>
          <w:highlight w:val="none"/>
        </w:rPr>
      </w:pPr>
    </w:p>
    <w:p>
      <w:pPr>
        <w:outlineLvl w:val="9"/>
        <w:rPr>
          <w:rFonts w:hint="eastAsia" w:ascii="宋体" w:hAnsi="宋体"/>
          <w:color w:val="auto"/>
          <w:highlight w:val="none"/>
        </w:rPr>
      </w:pPr>
    </w:p>
    <w:p>
      <w:pPr>
        <w:outlineLvl w:val="9"/>
        <w:rPr>
          <w:rFonts w:hint="eastAsia"/>
          <w:color w:val="auto"/>
          <w:highlight w:val="none"/>
        </w:rPr>
      </w:pPr>
    </w:p>
    <w:p>
      <w:pPr>
        <w:outlineLvl w:val="9"/>
        <w:rPr>
          <w:rFonts w:hint="eastAsia" w:ascii="宋体" w:hAnsi="宋体"/>
          <w:color w:val="auto"/>
          <w:highlight w:val="none"/>
        </w:rPr>
      </w:pPr>
    </w:p>
    <w:p>
      <w:pPr>
        <w:outlineLvl w:val="9"/>
        <w:rPr>
          <w:rFonts w:hint="eastAsia" w:ascii="宋体" w:hAnsi="宋体"/>
          <w:color w:val="auto"/>
          <w:highlight w:val="none"/>
        </w:rPr>
      </w:pPr>
    </w:p>
    <w:p>
      <w:pPr>
        <w:outlineLvl w:val="9"/>
        <w:rPr>
          <w:rFonts w:hint="eastAsia" w:ascii="宋体" w:hAnsi="宋体"/>
          <w:color w:val="auto"/>
          <w:highlight w:val="none"/>
        </w:rPr>
      </w:pPr>
    </w:p>
    <w:p>
      <w:pPr>
        <w:pStyle w:val="18"/>
        <w:rPr>
          <w:rFonts w:hint="eastAsia" w:ascii="宋体" w:hAnsi="宋体"/>
          <w:color w:val="auto"/>
          <w:highlight w:val="none"/>
        </w:rPr>
      </w:pPr>
    </w:p>
    <w:p>
      <w:pPr>
        <w:pStyle w:val="18"/>
        <w:rPr>
          <w:rFonts w:hint="eastAsia" w:ascii="宋体" w:hAnsi="宋体"/>
          <w:color w:val="auto"/>
          <w:highlight w:val="none"/>
        </w:rPr>
      </w:pPr>
    </w:p>
    <w:p>
      <w:pPr>
        <w:pStyle w:val="18"/>
        <w:rPr>
          <w:rFonts w:hint="eastAsia" w:ascii="宋体" w:hAnsi="宋体"/>
          <w:color w:val="auto"/>
          <w:highlight w:val="none"/>
        </w:rPr>
      </w:pPr>
    </w:p>
    <w:p>
      <w:pPr>
        <w:outlineLvl w:val="9"/>
        <w:rPr>
          <w:rFonts w:hint="eastAsia"/>
          <w:color w:val="auto"/>
          <w:highlight w:val="none"/>
        </w:rPr>
      </w:pPr>
    </w:p>
    <w:p>
      <w:pPr>
        <w:outlineLvl w:val="9"/>
        <w:rPr>
          <w:rFonts w:hint="eastAsia"/>
          <w:color w:val="auto"/>
          <w:highlight w:val="none"/>
        </w:rPr>
      </w:pPr>
    </w:p>
    <w:p>
      <w:pPr>
        <w:outlineLvl w:val="9"/>
        <w:rPr>
          <w:rFonts w:hint="eastAsia" w:ascii="宋体" w:hAnsi="宋体"/>
          <w:color w:val="auto"/>
          <w:highlight w:val="none"/>
        </w:rPr>
      </w:pPr>
    </w:p>
    <w:tbl>
      <w:tblPr>
        <w:tblStyle w:val="24"/>
        <w:tblW w:w="100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5"/>
        <w:gridCol w:w="545"/>
        <w:gridCol w:w="990"/>
        <w:gridCol w:w="525"/>
        <w:gridCol w:w="375"/>
        <w:gridCol w:w="4500"/>
        <w:gridCol w:w="1380"/>
        <w:gridCol w:w="116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10023" w:type="dxa"/>
            <w:gridSpan w:val="8"/>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宋体" w:hAnsi="宋体" w:cs="Arial"/>
                <w:b/>
                <w:color w:val="auto"/>
                <w:sz w:val="32"/>
                <w:szCs w:val="32"/>
                <w:highlight w:val="none"/>
              </w:rPr>
            </w:pPr>
          </w:p>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b/>
                <w:color w:val="auto"/>
                <w:sz w:val="32"/>
                <w:szCs w:val="32"/>
                <w:highlight w:val="none"/>
              </w:rPr>
            </w:pPr>
            <w:r>
              <w:rPr>
                <w:rFonts w:hint="eastAsia" w:ascii="宋体" w:hAnsi="宋体" w:cs="Arial"/>
                <w:b/>
                <w:color w:val="auto"/>
                <w:sz w:val="32"/>
                <w:szCs w:val="32"/>
                <w:highlight w:val="none"/>
              </w:rPr>
              <w:t>采购需求一览表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jc w:val="center"/>
        </w:trPr>
        <w:tc>
          <w:tcPr>
            <w:tcW w:w="545"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采购清单及技术参数</w:t>
            </w:r>
          </w:p>
        </w:tc>
        <w:tc>
          <w:tcPr>
            <w:tcW w:w="54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序号</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标的的名称</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单位</w:t>
            </w:r>
          </w:p>
        </w:tc>
        <w:tc>
          <w:tcPr>
            <w:tcW w:w="37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s="宋体"/>
                <w:color w:val="auto"/>
                <w:szCs w:val="21"/>
                <w:highlight w:val="none"/>
              </w:rPr>
              <w:t>数量</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eastAsia="宋体" w:cs="宋体"/>
                <w:color w:val="auto"/>
                <w:szCs w:val="21"/>
                <w:highlight w:val="none"/>
              </w:rPr>
              <w:t>工程概况及采购范围</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color w:val="auto"/>
                <w:szCs w:val="21"/>
                <w:highlight w:val="none"/>
              </w:rPr>
            </w:pPr>
            <w:r>
              <w:rPr>
                <w:rFonts w:hint="eastAsia" w:ascii="宋体" w:hAnsi="宋体"/>
                <w:b/>
                <w:szCs w:val="21"/>
              </w:rPr>
              <w:t>最高限价（元）</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s="宋体"/>
                <w:color w:val="auto"/>
                <w:szCs w:val="21"/>
                <w:highlight w:val="none"/>
              </w:rPr>
            </w:pPr>
            <w:r>
              <w:rPr>
                <w:rFonts w:hint="eastAsia" w:ascii="宋体" w:hAnsi="宋体"/>
                <w:color w:val="auto"/>
                <w:sz w:val="21"/>
                <w:szCs w:val="21"/>
                <w:highlight w:val="none"/>
              </w:rPr>
              <w:t>中小企业划分标准所属行业名称（行业名称及划分见本章附件2）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7" w:hRule="atLeast"/>
          <w:jc w:val="center"/>
        </w:trPr>
        <w:tc>
          <w:tcPr>
            <w:tcW w:w="545" w:type="dxa"/>
            <w:vMerge w:val="continue"/>
            <w:tcBorders>
              <w:left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b/>
                <w:bCs/>
                <w:color w:val="auto"/>
                <w:szCs w:val="21"/>
                <w:highlight w:val="none"/>
              </w:rPr>
            </w:pPr>
          </w:p>
        </w:tc>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1</w:t>
            </w:r>
          </w:p>
        </w:tc>
        <w:tc>
          <w:tcPr>
            <w:tcW w:w="99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eastAsia" w:ascii="宋体" w:hAnsi="宋体" w:eastAsia="宋体"/>
                <w:color w:val="auto"/>
                <w:szCs w:val="21"/>
                <w:highlight w:val="none"/>
                <w:lang w:eastAsia="zh-CN"/>
              </w:rPr>
            </w:pPr>
            <w:r>
              <w:rPr>
                <w:rFonts w:hint="eastAsia" w:ascii="宋体" w:hAnsi="宋体"/>
                <w:color w:val="auto"/>
                <w:szCs w:val="21"/>
                <w:highlight w:val="none"/>
                <w:lang w:eastAsia="zh-CN"/>
              </w:rPr>
              <w:t xml:space="preserve">隆安县那桐镇浪湾片区集中供水改造工程 </w:t>
            </w:r>
          </w:p>
        </w:tc>
        <w:tc>
          <w:tcPr>
            <w:tcW w:w="52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项</w:t>
            </w:r>
          </w:p>
        </w:tc>
        <w:tc>
          <w:tcPr>
            <w:tcW w:w="375"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45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highlight w:val="none"/>
                <w:lang w:val="en-US" w:eastAsia="zh-CN"/>
              </w:rPr>
            </w:pPr>
            <w:r>
              <w:rPr>
                <w:rFonts w:hint="eastAsia" w:ascii="宋体" w:hAnsi="宋体" w:eastAsia="宋体" w:cs="宋体"/>
                <w:b/>
                <w:bCs/>
                <w:color w:val="auto"/>
                <w:szCs w:val="21"/>
                <w:highlight w:val="none"/>
              </w:rPr>
              <w:t>1.</w:t>
            </w:r>
            <w:r>
              <w:rPr>
                <w:rFonts w:hint="eastAsia"/>
                <w:b/>
                <w:bCs/>
                <w:color w:val="auto"/>
                <w:highlight w:val="none"/>
              </w:rPr>
              <w:t>工程概况</w:t>
            </w:r>
            <w:r>
              <w:rPr>
                <w:rFonts w:hint="eastAsia"/>
                <w:b/>
                <w:bCs/>
                <w:color w:val="auto"/>
                <w:highlight w:val="none"/>
                <w:lang w:eastAsia="zh-CN"/>
              </w:rPr>
              <w:t>及</w:t>
            </w:r>
            <w:r>
              <w:rPr>
                <w:rFonts w:hint="eastAsia" w:ascii="宋体" w:hAnsi="宋体" w:eastAsia="宋体" w:cs="宋体"/>
                <w:b/>
                <w:bCs/>
                <w:color w:val="auto"/>
                <w:szCs w:val="21"/>
                <w:highlight w:val="none"/>
                <w:lang w:val="en-US" w:eastAsia="zh-CN"/>
              </w:rPr>
              <w:t>采购</w:t>
            </w:r>
            <w:r>
              <w:rPr>
                <w:rFonts w:hint="eastAsia" w:ascii="宋体" w:hAnsi="宋体" w:eastAsia="宋体" w:cs="宋体"/>
                <w:b/>
                <w:bCs/>
                <w:color w:val="auto"/>
                <w:szCs w:val="21"/>
                <w:highlight w:val="none"/>
              </w:rPr>
              <w:t>范围</w:t>
            </w:r>
            <w:r>
              <w:rPr>
                <w:rFonts w:hint="eastAsia"/>
                <w:b/>
                <w:bCs/>
                <w:color w:val="auto"/>
                <w:highlight w:val="none"/>
              </w:rPr>
              <w:t>：</w:t>
            </w:r>
            <w:r>
              <w:rPr>
                <w:rFonts w:hint="eastAsia"/>
                <w:color w:val="auto"/>
                <w:highlight w:val="none"/>
                <w:lang w:val="en-US" w:eastAsia="zh-CN"/>
              </w:rPr>
              <w:t xml:space="preserve"> 隆安县那桐镇浪湾片区集中供水改造工程，具体内容详见施工图纸及工程量清单所包含的内容。</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val="en-US" w:eastAsia="zh-CN"/>
              </w:rPr>
              <w:t>2.</w:t>
            </w:r>
            <w:r>
              <w:rPr>
                <w:rFonts w:hint="eastAsia" w:ascii="宋体" w:hAnsi="宋体" w:eastAsia="宋体" w:cs="宋体"/>
                <w:b/>
                <w:bCs/>
                <w:color w:val="auto"/>
                <w:szCs w:val="21"/>
                <w:highlight w:val="none"/>
              </w:rPr>
              <w:t>建设地点：</w:t>
            </w:r>
            <w:r>
              <w:rPr>
                <w:rFonts w:hint="eastAsia" w:ascii="宋体" w:hAnsi="宋体" w:eastAsia="宋体" w:cs="宋体"/>
                <w:b w:val="0"/>
                <w:bCs w:val="0"/>
                <w:color w:val="auto"/>
                <w:szCs w:val="21"/>
                <w:highlight w:val="none"/>
                <w:lang w:eastAsia="zh-CN"/>
              </w:rPr>
              <w:t>隆安县那桐镇浪湾片区</w:t>
            </w:r>
            <w:r>
              <w:rPr>
                <w:rFonts w:hint="eastAsia" w:ascii="宋体" w:hAnsi="宋体" w:cs="宋体"/>
                <w:b w:val="0"/>
                <w:bCs w:val="0"/>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rPr>
              <w:t>3</w:t>
            </w:r>
            <w:r>
              <w:rPr>
                <w:rFonts w:hint="eastAsia" w:ascii="宋体" w:hAnsi="宋体" w:cs="宋体"/>
                <w:b/>
                <w:bCs/>
                <w:color w:val="auto"/>
                <w:szCs w:val="21"/>
                <w:highlight w:val="none"/>
                <w:lang w:eastAsia="zh-CN"/>
              </w:rPr>
              <w:t>.工程建设地点的现场条件：</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（1）现场自然条件：满足施工要求。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（2）现场施工条件：符合施工要求。</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w:t>
            </w:r>
            <w:r>
              <w:rPr>
                <w:rFonts w:hint="eastAsia" w:ascii="宋体" w:hAnsi="宋体" w:eastAsia="宋体" w:cs="Times New Roman"/>
                <w:b/>
                <w:bCs/>
                <w:color w:val="auto"/>
                <w:kern w:val="0"/>
                <w:szCs w:val="21"/>
                <w:highlight w:val="none"/>
                <w:lang w:val="en-US" w:eastAsia="zh-CN"/>
              </w:rPr>
              <w:t>4.</w:t>
            </w:r>
            <w:r>
              <w:rPr>
                <w:rFonts w:hint="eastAsia" w:ascii="宋体" w:hAnsi="宋体" w:eastAsia="宋体" w:cs="Times New Roman"/>
                <w:b/>
                <w:bCs/>
                <w:color w:val="auto"/>
                <w:kern w:val="0"/>
                <w:szCs w:val="21"/>
                <w:highlight w:val="none"/>
              </w:rPr>
              <w:t>人员最低配备要求</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拟投入本工程的人员必须是本单位的在岗人员，并持有相应的执业资格证书，对相关人员的具体条件要求如下：</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（1）项目经理：持有贰级或贰级以上建造师注册证书，专业是水利水电工程专业（以建造师注册证书中“专业类别”栏所填写的专业为准）；持有省级或省级以上水行政主管部门或其授权部门（机构）颁发的 B 类安全生产考核合格证书。项目经理不得在任何在建工程中担任任何管理职务。</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（2）技术负责人：持有中级及以上技术职称，专业是水利水电工程类专业（专业以技术职称证书所填写专业为准）。</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（3）质量管理员：持有省级或省级以上水行政主管部门或其授权部门（机构）颁发的质量检查员证书。</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（4）安全管理员：持有省级或省级以上水行政主管部门或其授权部门（机构）颁发的 c 类安全生产考核合格证书。</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（5）施工员：须持有工程施工员岗位证书。</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ascii="宋体" w:hAnsi="宋体"/>
                <w:color w:val="auto"/>
                <w:kern w:val="0"/>
                <w:szCs w:val="21"/>
                <w:highlight w:val="none"/>
                <w:lang w:val="en-US" w:eastAsia="zh-CN"/>
              </w:rPr>
            </w:pPr>
            <w:r>
              <w:rPr>
                <w:rFonts w:hint="eastAsia" w:ascii="宋体" w:hAnsi="宋体"/>
                <w:color w:val="auto"/>
                <w:kern w:val="0"/>
                <w:szCs w:val="21"/>
                <w:highlight w:val="none"/>
                <w:lang w:val="en-US" w:eastAsia="zh-CN"/>
              </w:rPr>
              <w:t>（6）材料员：须持有工程材料员岗位证书。</w:t>
            </w:r>
          </w:p>
          <w:p>
            <w:pPr>
              <w:keepNext w:val="0"/>
              <w:keepLines w:val="0"/>
              <w:pageBreakBefore w:val="0"/>
              <w:widowControl/>
              <w:kinsoku/>
              <w:wordWrap/>
              <w:overflowPunct/>
              <w:topLinePunct w:val="0"/>
              <w:autoSpaceDE/>
              <w:autoSpaceDN/>
              <w:bidi w:val="0"/>
              <w:adjustRightInd/>
              <w:snapToGrid/>
              <w:spacing w:line="312" w:lineRule="auto"/>
              <w:ind w:firstLine="420" w:firstLineChars="200"/>
              <w:textAlignment w:val="auto"/>
              <w:rPr>
                <w:rFonts w:hint="eastAsia"/>
                <w:color w:val="auto"/>
                <w:lang w:eastAsia="zh-CN"/>
              </w:rPr>
            </w:pPr>
            <w:r>
              <w:rPr>
                <w:rFonts w:hint="eastAsia" w:ascii="宋体" w:hAnsi="宋体"/>
                <w:color w:val="auto"/>
                <w:kern w:val="0"/>
                <w:szCs w:val="21"/>
                <w:highlight w:val="none"/>
                <w:lang w:val="en-US" w:eastAsia="zh-CN"/>
              </w:rPr>
              <w:t>上述（1）~（6）项人员应附相关证书的复印件，并提供上述人员[2023年12月至2024年  05月]内任意连续三个月的依法缴纳社会保障资金的缴费凭证复印件。</w:t>
            </w:r>
          </w:p>
        </w:tc>
        <w:tc>
          <w:tcPr>
            <w:tcW w:w="13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宋体" w:hAnsi="宋体" w:eastAsia="宋体"/>
                <w:color w:val="auto"/>
                <w:kern w:val="0"/>
                <w:szCs w:val="21"/>
                <w:highlight w:val="none"/>
                <w:lang w:eastAsia="zh-CN"/>
              </w:rPr>
            </w:pPr>
            <w:r>
              <w:rPr>
                <w:rFonts w:hint="eastAsia" w:ascii="宋体" w:hAnsi="宋体"/>
                <w:color w:val="auto"/>
                <w:kern w:val="0"/>
                <w:szCs w:val="21"/>
                <w:highlight w:val="none"/>
                <w:lang w:eastAsia="zh-CN"/>
              </w:rPr>
              <w:t>2003529.56</w:t>
            </w:r>
          </w:p>
        </w:tc>
        <w:tc>
          <w:tcPr>
            <w:tcW w:w="11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建筑业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1"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商务条款</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lang w:eastAsia="zh-CN"/>
              </w:rPr>
            </w:pPr>
            <w:r>
              <w:rPr>
                <w:rFonts w:hint="eastAsia" w:ascii="宋体" w:hAnsi="宋体" w:eastAsia="宋体" w:cs="Times New Roman"/>
                <w:color w:val="auto"/>
                <w:szCs w:val="21"/>
                <w:highlight w:val="none"/>
              </w:rPr>
              <w:t>▲一、合同签订期：自成交通知书发出之日起25日内</w:t>
            </w:r>
            <w:r>
              <w:rPr>
                <w:rFonts w:hint="eastAsia" w:ascii="宋体" w:hAnsi="宋体" w:cs="Times New Roman"/>
                <w:color w:val="auto"/>
                <w:szCs w:val="21"/>
                <w:highlight w:val="none"/>
                <w:lang w:val="en-US"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▲二、</w:t>
            </w:r>
            <w:r>
              <w:rPr>
                <w:rFonts w:hint="eastAsia" w:ascii="宋体" w:hAnsi="宋体" w:eastAsia="宋体" w:cs="宋体"/>
                <w:color w:val="auto"/>
                <w:szCs w:val="21"/>
              </w:rPr>
              <w:t>合同履行期限</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工期</w:t>
            </w:r>
            <w:r>
              <w:rPr>
                <w:rFonts w:hint="eastAsia" w:ascii="宋体" w:hAnsi="宋体" w:eastAsia="宋体" w:cs="宋体"/>
                <w:color w:val="auto"/>
                <w:szCs w:val="21"/>
                <w:lang w:eastAsia="zh-CN"/>
              </w:rPr>
              <w:t>）</w:t>
            </w:r>
            <w:r>
              <w:rPr>
                <w:rFonts w:hint="eastAsia" w:ascii="宋体" w:hAnsi="宋体" w:eastAsia="宋体" w:cs="宋体"/>
                <w:color w:val="auto"/>
                <w:kern w:val="0"/>
                <w:szCs w:val="21"/>
              </w:rPr>
              <w:t>：</w:t>
            </w:r>
            <w:r>
              <w:rPr>
                <w:rFonts w:hint="eastAsia" w:ascii="宋体" w:hAnsi="宋体" w:cs="宋体"/>
                <w:color w:val="auto"/>
                <w:kern w:val="0"/>
                <w:szCs w:val="21"/>
                <w:lang w:val="en-US" w:eastAsia="zh-CN"/>
              </w:rPr>
              <w:t>180日历天</w:t>
            </w:r>
            <w:r>
              <w:rPr>
                <w:rFonts w:hint="eastAsia" w:ascii="宋体" w:hAnsi="宋体" w:eastAsia="宋体" w:cs="宋体"/>
                <w:color w:val="auto"/>
                <w:szCs w:val="21"/>
                <w:highlight w:val="none"/>
              </w:rPr>
              <w:t>。</w:t>
            </w:r>
          </w:p>
          <w:p>
            <w:pPr>
              <w:spacing w:line="360" w:lineRule="auto"/>
              <w:rPr>
                <w:rFonts w:hint="eastAsia" w:ascii="宋体" w:hAnsi="宋体"/>
                <w:color w:val="auto"/>
                <w:szCs w:val="21"/>
              </w:rPr>
            </w:pPr>
            <w:r>
              <w:rPr>
                <w:rFonts w:hint="eastAsia" w:ascii="宋体" w:hAnsi="宋体" w:eastAsia="宋体" w:cs="Times New Roman"/>
                <w:color w:val="auto"/>
                <w:szCs w:val="21"/>
                <w:highlight w:val="none"/>
              </w:rPr>
              <w:t>▲</w:t>
            </w:r>
            <w:r>
              <w:rPr>
                <w:rFonts w:hint="eastAsia" w:ascii="宋体" w:hAnsi="宋体"/>
                <w:color w:val="auto"/>
                <w:szCs w:val="21"/>
                <w:lang w:eastAsia="zh-CN"/>
              </w:rPr>
              <w:t>三</w:t>
            </w:r>
            <w:r>
              <w:rPr>
                <w:rFonts w:hint="eastAsia" w:ascii="宋体" w:hAnsi="宋体"/>
                <w:color w:val="auto"/>
                <w:szCs w:val="21"/>
              </w:rPr>
              <w:t>、开工时间：具体以采购人（监理）开工令为准。</w:t>
            </w:r>
          </w:p>
          <w:p>
            <w:pPr>
              <w:spacing w:line="360" w:lineRule="auto"/>
              <w:rPr>
                <w:rFonts w:hint="eastAsia" w:ascii="宋体" w:hAnsi="宋体"/>
                <w:color w:val="auto"/>
                <w:szCs w:val="21"/>
              </w:rPr>
            </w:pPr>
            <w:r>
              <w:rPr>
                <w:rFonts w:hint="eastAsia" w:ascii="宋体" w:hAnsi="宋体" w:eastAsia="宋体" w:cs="Times New Roman"/>
                <w:color w:val="auto"/>
                <w:szCs w:val="21"/>
                <w:highlight w:val="none"/>
              </w:rPr>
              <w:t>▲</w:t>
            </w:r>
            <w:r>
              <w:rPr>
                <w:rFonts w:hint="eastAsia" w:ascii="宋体" w:hAnsi="宋体"/>
                <w:color w:val="auto"/>
                <w:szCs w:val="21"/>
                <w:lang w:eastAsia="zh-CN"/>
              </w:rPr>
              <w:t>四</w:t>
            </w:r>
            <w:r>
              <w:rPr>
                <w:rFonts w:hint="eastAsia" w:ascii="宋体" w:hAnsi="宋体"/>
                <w:color w:val="auto"/>
                <w:szCs w:val="21"/>
              </w:rPr>
              <w:t>、工程质量要求：</w:t>
            </w:r>
            <w:r>
              <w:rPr>
                <w:rFonts w:hint="eastAsia" w:ascii="宋体" w:hAnsi="宋体"/>
                <w:color w:val="auto"/>
                <w:szCs w:val="21"/>
                <w:highlight w:val="none"/>
              </w:rPr>
              <w:t>达到国家施工验收规范合格标准</w:t>
            </w:r>
            <w:r>
              <w:rPr>
                <w:rFonts w:hint="eastAsia" w:ascii="宋体" w:hAnsi="宋体"/>
                <w:color w:val="auto"/>
                <w:szCs w:val="21"/>
              </w:rPr>
              <w:t>。</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eastAsia="zh-CN"/>
              </w:rPr>
              <w:t>五</w:t>
            </w:r>
            <w:r>
              <w:rPr>
                <w:rFonts w:hint="eastAsia" w:ascii="宋体" w:hAnsi="宋体" w:eastAsia="宋体" w:cs="Times New Roman"/>
                <w:color w:val="auto"/>
                <w:szCs w:val="21"/>
                <w:highlight w:val="none"/>
              </w:rPr>
              <w:t>、项目实施要求：</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1.处理问题响应时间：接到采购人处理问题通知后2小时内到达采购人指定现场。</w:t>
            </w:r>
          </w:p>
          <w:p>
            <w:pPr>
              <w:spacing w:line="360" w:lineRule="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2.成交人如需更换项目管理人员，需向采购人书面申请，经采购人审批许可，替换的人员所具备的资质不得低于原人员的资质。</w:t>
            </w:r>
          </w:p>
          <w:p>
            <w:pPr>
              <w:spacing w:line="360" w:lineRule="auto"/>
              <w:rPr>
                <w:rFonts w:hint="eastAsia" w:ascii="宋体" w:hAnsi="宋体"/>
                <w:color w:val="auto"/>
              </w:rPr>
            </w:pPr>
            <w:r>
              <w:rPr>
                <w:rFonts w:hint="eastAsia" w:ascii="宋体" w:hAnsi="宋体" w:eastAsia="宋体" w:cs="Times New Roman"/>
                <w:color w:val="auto"/>
                <w:szCs w:val="21"/>
                <w:highlight w:val="none"/>
              </w:rPr>
              <w:t>3.如因成交人原因导致本项目竣工验收不合格的，成交人应整改至通过竣工验收为止且自行承担相应的费用，采购人不另行支付费用。如因成交人原因导致本项目竣工验收不合格的，采购人不予支付合同款项并按合同扣罚违约金</w:t>
            </w:r>
            <w:r>
              <w:rPr>
                <w:rFonts w:hint="eastAsia" w:ascii="宋体" w:hAnsi="宋体"/>
                <w:color w:val="auto"/>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六</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付款方式</w:t>
            </w:r>
            <w:r>
              <w:rPr>
                <w:rFonts w:hint="eastAsia" w:ascii="宋体" w:hAnsi="宋体" w:eastAsia="宋体" w:cs="Times New Roman"/>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（1）本工程无预付款。</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工程进度款按已完成实际工作量计算，合同内工程支付限额为实际已完成工作量的90%，合同外工程支付限额为实际完成工作量的90%。在工程交工验收合格，完成工程结算并通过财政投资评审单位审核施工单位缴纳质量保证金后，工程款支付至结算总价的100%（含已支付的）。承包人向发包人开具增值税发票后发包人才进行工程款的拨付。（注：工程款项支付时，需按隆安县财政、税务部门的规定在项目所在地缴纳相关税费。</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w:t>
            </w:r>
            <w:r>
              <w:rPr>
                <w:rFonts w:hint="eastAsia" w:ascii="宋体" w:hAnsi="宋体" w:cs="Times New Roman"/>
                <w:color w:val="auto"/>
                <w:szCs w:val="21"/>
                <w:highlight w:val="none"/>
                <w:lang w:val="en-US" w:eastAsia="zh-CN"/>
              </w:rPr>
              <w:t>七</w:t>
            </w:r>
            <w:r>
              <w:rPr>
                <w:rFonts w:hint="eastAsia" w:ascii="宋体" w:hAnsi="宋体" w:eastAsia="宋体" w:cs="Times New Roman"/>
                <w:color w:val="auto"/>
                <w:szCs w:val="21"/>
                <w:highlight w:val="none"/>
              </w:rPr>
              <w:t>、</w:t>
            </w:r>
            <w:r>
              <w:rPr>
                <w:rFonts w:hint="eastAsia" w:ascii="宋体" w:hAnsi="宋体" w:eastAsia="宋体" w:cs="Times New Roman"/>
                <w:color w:val="auto"/>
                <w:szCs w:val="21"/>
                <w:highlight w:val="none"/>
                <w:lang w:val="en-US" w:eastAsia="zh-CN"/>
              </w:rPr>
              <w:t>报价要求</w:t>
            </w:r>
            <w:r>
              <w:rPr>
                <w:rFonts w:hint="eastAsia" w:ascii="宋体" w:hAnsi="宋体" w:eastAsia="宋体" w:cs="Times New Roman"/>
                <w:color w:val="auto"/>
                <w:szCs w:val="21"/>
                <w:highlight w:val="none"/>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szCs w:val="21"/>
                <w:highlight w:val="none"/>
              </w:rPr>
            </w:pPr>
            <w:r>
              <w:rPr>
                <w:rFonts w:hint="eastAsia" w:ascii="宋体" w:hAnsi="宋体" w:cs="宋体"/>
                <w:b/>
                <w:bCs/>
                <w:color w:val="auto"/>
                <w:szCs w:val="21"/>
                <w:highlight w:val="none"/>
                <w:lang w:val="en-US" w:eastAsia="zh-CN"/>
              </w:rPr>
              <w:t>1.</w:t>
            </w:r>
            <w:r>
              <w:rPr>
                <w:rFonts w:hint="eastAsia" w:ascii="宋体" w:hAnsi="宋体" w:eastAsia="宋体" w:cs="宋体"/>
                <w:b/>
                <w:bCs/>
                <w:color w:val="auto"/>
                <w:szCs w:val="21"/>
                <w:highlight w:val="none"/>
              </w:rPr>
              <w:t>本项目采用工程量清单报价方式。</w:t>
            </w:r>
            <w:r>
              <w:rPr>
                <w:rFonts w:hint="eastAsia" w:ascii="宋体" w:hAnsi="宋体" w:eastAsia="宋体" w:cs="宋体"/>
                <w:b/>
                <w:bCs/>
                <w:color w:val="auto"/>
                <w:szCs w:val="21"/>
                <w:highlight w:val="none"/>
                <w:lang w:val="en-US" w:eastAsia="zh-CN"/>
              </w:rPr>
              <w:t>磋商</w:t>
            </w:r>
            <w:r>
              <w:rPr>
                <w:rFonts w:hint="eastAsia" w:ascii="宋体" w:hAnsi="宋体" w:eastAsia="宋体" w:cs="宋体"/>
                <w:b/>
                <w:bCs/>
                <w:color w:val="auto"/>
                <w:szCs w:val="21"/>
                <w:highlight w:val="none"/>
              </w:rPr>
              <w:t>报价不得高于最高限价，否则竞标无效；本项目采用二次报价方式，</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的最终报价如有变动，则必须以工程量清单报价表的格式编制提交，</w:t>
            </w:r>
            <w:r>
              <w:rPr>
                <w:rFonts w:hint="eastAsia" w:ascii="宋体" w:hAnsi="宋体" w:eastAsia="宋体" w:cs="宋体"/>
                <w:b/>
                <w:bCs/>
                <w:color w:val="auto"/>
                <w:szCs w:val="21"/>
                <w:highlight w:val="none"/>
                <w:lang w:val="en-US" w:eastAsia="zh-CN"/>
              </w:rPr>
              <w:t>供应商</w:t>
            </w:r>
            <w:r>
              <w:rPr>
                <w:rFonts w:hint="eastAsia" w:ascii="宋体" w:hAnsi="宋体" w:eastAsia="宋体" w:cs="宋体"/>
                <w:b/>
                <w:bCs/>
                <w:color w:val="auto"/>
                <w:szCs w:val="21"/>
                <w:highlight w:val="none"/>
              </w:rPr>
              <w:t>须提前做好相关准备并按时递交最终报价文件，否则报价无效。</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报价必须包含以下部分，包括：</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①满足本项目全部采购需求，包含投标服务、货物、工程的成本、运输（含保险）、安装（如有）、调试、检验、技术服务、培训等所有费用。</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420" w:firstLineChars="200"/>
              <w:textAlignment w:val="auto"/>
              <w:rPr>
                <w:rFonts w:hint="default"/>
                <w:color w:val="auto"/>
                <w:highlight w:val="none"/>
                <w:lang w:val="en-US" w:eastAsia="zh-CN"/>
              </w:rPr>
            </w:pPr>
            <w:r>
              <w:rPr>
                <w:rFonts w:hint="eastAsia" w:ascii="宋体" w:hAnsi="宋体" w:eastAsia="宋体" w:cs="Times New Roman"/>
                <w:color w:val="auto"/>
                <w:szCs w:val="21"/>
                <w:highlight w:val="none"/>
              </w:rPr>
              <w:t>②必要的保险费和各项税金</w:t>
            </w:r>
            <w:r>
              <w:rPr>
                <w:rFonts w:hint="eastAsia" w:ascii="宋体" w:hAnsi="宋体" w:cs="宋体"/>
                <w:color w:val="auto"/>
                <w:szCs w:val="21"/>
                <w:highlight w:val="none"/>
                <w:lang w:bidi="ar"/>
              </w:rPr>
              <w:t>（成交供应商需为该工程购买工程一切险）</w:t>
            </w:r>
            <w:r>
              <w:rPr>
                <w:rFonts w:hint="eastAsia" w:ascii="宋体" w:hAnsi="宋体" w:eastAsia="宋体" w:cs="Times New Roman"/>
                <w:color w:val="auto"/>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6" w:hRule="atLeast"/>
          <w:jc w:val="center"/>
        </w:trPr>
        <w:tc>
          <w:tcPr>
            <w:tcW w:w="54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宋体" w:hAnsi="宋体"/>
                <w:color w:val="auto"/>
                <w:szCs w:val="21"/>
                <w:highlight w:val="none"/>
              </w:rPr>
            </w:pPr>
            <w:r>
              <w:rPr>
                <w:rFonts w:hint="eastAsia" w:ascii="宋体" w:hAnsi="宋体"/>
                <w:color w:val="auto"/>
                <w:szCs w:val="21"/>
                <w:highlight w:val="none"/>
              </w:rPr>
              <w:t>其他说明</w:t>
            </w:r>
          </w:p>
        </w:tc>
        <w:tc>
          <w:tcPr>
            <w:tcW w:w="9478"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tabs>
                <w:tab w:val="left" w:pos="180"/>
                <w:tab w:val="left" w:pos="1620"/>
              </w:tabs>
              <w:kinsoku/>
              <w:wordWrap/>
              <w:overflowPunct/>
              <w:topLinePunct w:val="0"/>
              <w:autoSpaceDE/>
              <w:autoSpaceDN/>
              <w:bidi w:val="0"/>
              <w:adjustRightInd/>
              <w:snapToGrid/>
              <w:spacing w:line="360" w:lineRule="auto"/>
              <w:textAlignment w:val="auto"/>
              <w:rPr>
                <w:rFonts w:hint="eastAsia" w:ascii="宋体" w:hAnsi="宋体"/>
                <w:color w:val="auto"/>
                <w:szCs w:val="21"/>
                <w:highlight w:val="none"/>
              </w:rPr>
            </w:pPr>
            <w:r>
              <w:rPr>
                <w:rFonts w:hint="eastAsia" w:ascii="宋体" w:hAnsi="宋体"/>
                <w:color w:val="auto"/>
                <w:szCs w:val="21"/>
                <w:highlight w:val="none"/>
              </w:rPr>
              <w:t>一、与本项目有关的施工图纸、清单等</w:t>
            </w:r>
            <w:r>
              <w:rPr>
                <w:rFonts w:hint="eastAsia" w:ascii="宋体" w:hAnsi="宋体" w:eastAsia="宋体" w:cs="宋体"/>
                <w:color w:val="auto"/>
                <w:spacing w:val="0"/>
                <w:w w:val="100"/>
                <w:kern w:val="0"/>
                <w:position w:val="0"/>
                <w:sz w:val="21"/>
                <w:szCs w:val="21"/>
                <w:highlight w:val="none"/>
                <w:lang w:val="en-US" w:eastAsia="zh-CN" w:bidi="ar-SA"/>
              </w:rPr>
              <w:t>附件资料获取方式：网上下载。供应商可自行在“</w:t>
            </w:r>
            <w:r>
              <w:rPr>
                <w:rFonts w:hint="eastAsia" w:ascii="宋体" w:hAnsi="宋体" w:cs="宋体"/>
                <w:color w:val="auto"/>
                <w:spacing w:val="0"/>
                <w:w w:val="100"/>
                <w:kern w:val="0"/>
                <w:position w:val="0"/>
                <w:sz w:val="21"/>
                <w:szCs w:val="21"/>
                <w:highlight w:val="none"/>
                <w:lang w:val="en-US" w:eastAsia="zh-CN" w:bidi="ar-SA"/>
              </w:rPr>
              <w:t>广西</w:t>
            </w:r>
            <w:r>
              <w:rPr>
                <w:rFonts w:hint="eastAsia" w:ascii="宋体" w:hAnsi="宋体" w:eastAsia="宋体" w:cs="宋体"/>
                <w:color w:val="auto"/>
                <w:spacing w:val="0"/>
                <w:w w:val="100"/>
                <w:kern w:val="0"/>
                <w:position w:val="0"/>
                <w:sz w:val="21"/>
                <w:szCs w:val="21"/>
                <w:highlight w:val="none"/>
                <w:lang w:val="en-US" w:eastAsia="zh-CN" w:bidi="ar-SA"/>
              </w:rPr>
              <w:t>政采云平台”自行下载。</w:t>
            </w:r>
          </w:p>
          <w:p>
            <w:pPr>
              <w:keepNext w:val="0"/>
              <w:keepLines w:val="0"/>
              <w:pageBreakBefore w:val="0"/>
              <w:widowControl/>
              <w:shd w:val="clear" w:color="auto" w:fill="FFFFFF"/>
              <w:kinsoku/>
              <w:wordWrap/>
              <w:overflowPunct/>
              <w:topLinePunct w:val="0"/>
              <w:autoSpaceDE/>
              <w:autoSpaceDN/>
              <w:bidi w:val="0"/>
              <w:adjustRightInd/>
              <w:snapToGrid/>
              <w:spacing w:line="360" w:lineRule="auto"/>
              <w:textAlignment w:val="auto"/>
              <w:rPr>
                <w:rFonts w:ascii="宋体" w:hAnsi="宋体"/>
                <w:color w:val="auto"/>
                <w:szCs w:val="21"/>
                <w:highlight w:val="none"/>
              </w:rPr>
            </w:pPr>
            <w:r>
              <w:rPr>
                <w:rFonts w:hint="eastAsia" w:ascii="宋体" w:hAnsi="宋体"/>
                <w:color w:val="auto"/>
                <w:szCs w:val="21"/>
                <w:highlight w:val="none"/>
              </w:rPr>
              <w:t>二、现场踏勘：</w:t>
            </w:r>
            <w:r>
              <w:rPr>
                <w:rFonts w:hint="eastAsia" w:ascii="Tahoma" w:hAnsi="Tahoma" w:eastAsia="宋体" w:cs="Times New Roman"/>
                <w:b w:val="0"/>
                <w:bCs w:val="0"/>
                <w:color w:val="auto"/>
                <w:kern w:val="2"/>
                <w:sz w:val="21"/>
                <w:szCs w:val="21"/>
                <w:highlight w:val="none"/>
                <w:lang w:val="en-US" w:eastAsia="zh-CN"/>
              </w:rPr>
              <w:t>不组织。</w:t>
            </w:r>
          </w:p>
        </w:tc>
      </w:tr>
    </w:tbl>
    <w:p>
      <w:pPr>
        <w:spacing w:line="360" w:lineRule="auto"/>
        <w:rPr>
          <w:rFonts w:hint="eastAsia" w:ascii="宋体" w:hAnsi="宋体" w:eastAsia="宋体" w:cs="宋体"/>
          <w:color w:val="auto"/>
          <w:sz w:val="32"/>
          <w:szCs w:val="32"/>
          <w:highlight w:val="none"/>
        </w:rPr>
        <w:sectPr>
          <w:footerReference r:id="rId10" w:type="default"/>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p>
    <w:p>
      <w:pPr>
        <w:spacing w:line="428" w:lineRule="exact"/>
        <w:rPr>
          <w:rFonts w:ascii="Arial Unicode MS" w:hAnsi="Arial Unicode MS" w:eastAsia="Times New Roman" w:cs="Arial Unicode MS"/>
          <w:color w:val="auto"/>
          <w:sz w:val="17"/>
          <w:szCs w:val="17"/>
          <w:highlight w:val="none"/>
        </w:rPr>
      </w:pPr>
      <w:bookmarkStart w:id="36" w:name="_Toc17962"/>
      <w:bookmarkStart w:id="37" w:name="_Toc23956"/>
      <w:bookmarkStart w:id="38" w:name="_Toc30087"/>
      <w:r>
        <w:rPr>
          <w:rFonts w:hint="eastAsia" w:ascii="微软雅黑" w:hAnsi="微软雅黑" w:eastAsia="微软雅黑" w:cs="微软雅黑"/>
          <w:color w:val="auto"/>
          <w:sz w:val="32"/>
          <w:szCs w:val="32"/>
          <w:highlight w:val="none"/>
        </w:rPr>
        <w:t>附件</w:t>
      </w:r>
      <w:r>
        <w:rPr>
          <w:rFonts w:ascii="微软雅黑" w:hAnsi="微软雅黑" w:eastAsia="微软雅黑" w:cs="微软雅黑"/>
          <w:color w:val="auto"/>
          <w:sz w:val="32"/>
          <w:szCs w:val="32"/>
          <w:highlight w:val="none"/>
        </w:rPr>
        <w:t>1</w:t>
      </w:r>
      <w:r>
        <w:rPr>
          <w:rFonts w:hint="eastAsia" w:ascii="微软雅黑" w:hAnsi="微软雅黑" w:eastAsia="微软雅黑" w:cs="微软雅黑"/>
          <w:color w:val="auto"/>
          <w:sz w:val="32"/>
          <w:szCs w:val="32"/>
          <w:highlight w:val="none"/>
        </w:rPr>
        <w:t>：</w:t>
      </w:r>
    </w:p>
    <w:p>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节能产品政府采购品目清单</w:t>
      </w:r>
    </w:p>
    <w:tbl>
      <w:tblPr>
        <w:tblStyle w:val="24"/>
        <w:tblW w:w="9655" w:type="dxa"/>
        <w:tblInd w:w="93" w:type="dxa"/>
        <w:tblLayout w:type="fixed"/>
        <w:tblCellMar>
          <w:top w:w="0" w:type="dxa"/>
          <w:left w:w="108" w:type="dxa"/>
          <w:bottom w:w="0" w:type="dxa"/>
          <w:right w:w="108" w:type="dxa"/>
        </w:tblCellMar>
      </w:tblPr>
      <w:tblGrid>
        <w:gridCol w:w="641"/>
        <w:gridCol w:w="1116"/>
        <w:gridCol w:w="1516"/>
        <w:gridCol w:w="2018"/>
        <w:gridCol w:w="4364"/>
      </w:tblGrid>
      <w:tr>
        <w:tblPrEx>
          <w:tblCellMar>
            <w:top w:w="0" w:type="dxa"/>
            <w:left w:w="108" w:type="dxa"/>
            <w:bottom w:w="0" w:type="dxa"/>
            <w:right w:w="108" w:type="dxa"/>
          </w:tblCellMar>
        </w:tblPrEx>
        <w:trPr>
          <w:trHeight w:val="555" w:hRule="atLeast"/>
        </w:trPr>
        <w:tc>
          <w:tcPr>
            <w:tcW w:w="641" w:type="dxa"/>
            <w:tcBorders>
              <w:top w:val="single" w:color="000000" w:sz="8" w:space="0"/>
              <w:left w:val="single" w:color="000000" w:sz="8" w:space="0"/>
              <w:bottom w:val="single" w:color="000000" w:sz="8" w:space="0"/>
              <w:right w:val="single" w:color="000000" w:sz="8" w:space="0"/>
            </w:tcBorders>
            <w:noWrap w:val="0"/>
            <w:vAlign w:val="top"/>
          </w:tcPr>
          <w:p>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品目序号</w:t>
            </w:r>
          </w:p>
        </w:tc>
        <w:tc>
          <w:tcPr>
            <w:tcW w:w="4650" w:type="dxa"/>
            <w:gridSpan w:val="3"/>
            <w:tcBorders>
              <w:top w:val="single" w:color="000000" w:sz="8" w:space="0"/>
              <w:left w:val="nil"/>
              <w:bottom w:val="single" w:color="000000" w:sz="8" w:space="0"/>
              <w:right w:val="single" w:color="000000" w:sz="8" w:space="0"/>
            </w:tcBorders>
            <w:noWrap w:val="0"/>
            <w:vAlign w:val="center"/>
          </w:tcPr>
          <w:p>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名称</w:t>
            </w:r>
          </w:p>
        </w:tc>
        <w:tc>
          <w:tcPr>
            <w:tcW w:w="4364" w:type="dxa"/>
            <w:tcBorders>
              <w:top w:val="single" w:color="000000" w:sz="8" w:space="0"/>
              <w:left w:val="nil"/>
              <w:bottom w:val="single" w:color="000000" w:sz="8" w:space="0"/>
              <w:right w:val="single" w:color="000000" w:sz="8" w:space="0"/>
            </w:tcBorders>
            <w:noWrap w:val="0"/>
            <w:vAlign w:val="center"/>
          </w:tcPr>
          <w:p>
            <w:pPr>
              <w:widowControl/>
              <w:jc w:val="center"/>
              <w:rPr>
                <w:rFonts w:ascii="宋体" w:cs="宋体"/>
                <w:b/>
                <w:bCs/>
                <w:color w:val="auto"/>
                <w:kern w:val="0"/>
                <w:sz w:val="22"/>
                <w:szCs w:val="22"/>
                <w:highlight w:val="none"/>
              </w:rPr>
            </w:pPr>
            <w:r>
              <w:rPr>
                <w:rFonts w:hint="eastAsia" w:ascii="宋体" w:cs="宋体"/>
                <w:b/>
                <w:bCs/>
                <w:color w:val="auto"/>
                <w:kern w:val="0"/>
                <w:sz w:val="22"/>
                <w:szCs w:val="22"/>
                <w:highlight w:val="none"/>
              </w:rPr>
              <w:t>依据的标准</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A020101计算机设备</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A02010104台式计算机</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A02010105便携式计算机</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A02010107平板式微型计算机</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《微型计算机能效限定值及能效等级》（</w:t>
            </w:r>
            <w:r>
              <w:rPr>
                <w:rFonts w:ascii="宋体" w:hAnsi="宋体" w:eastAsia="Times New Roman" w:cs="宋体"/>
                <w:color w:val="auto"/>
                <w:kern w:val="0"/>
                <w:sz w:val="20"/>
                <w:szCs w:val="20"/>
                <w:highlight w:val="none"/>
              </w:rPr>
              <w:t>GB28380）</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2</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A020106输入输出设备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A02010601打印设备</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A0201060101喷墨打印机</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tblPrEx>
          <w:tblCellMar>
            <w:top w:w="0" w:type="dxa"/>
            <w:left w:w="108" w:type="dxa"/>
            <w:bottom w:w="0" w:type="dxa"/>
            <w:right w:w="108" w:type="dxa"/>
          </w:tblCellMar>
        </w:tblPrEx>
        <w:trPr>
          <w:trHeight w:val="648"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A0201060102激光打印机</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A0201060104针式打印机</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A02010604显示设备</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A0201060401液晶显示器</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《计算机显示器能效限定值及能效等级》（</w:t>
            </w:r>
            <w:r>
              <w:rPr>
                <w:rFonts w:ascii="宋体" w:hAnsi="宋体" w:eastAsia="Times New Roman" w:cs="宋体"/>
                <w:color w:val="auto"/>
                <w:kern w:val="0"/>
                <w:sz w:val="20"/>
                <w:szCs w:val="20"/>
                <w:highlight w:val="none"/>
              </w:rPr>
              <w:t>GB21520）</w:t>
            </w:r>
          </w:p>
        </w:tc>
      </w:tr>
      <w:tr>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A02010609图形图像输入设备</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A0201060901扫描仪</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参照《复印机、打印机和传真机能效限定值及能效等级》（</w:t>
            </w:r>
            <w:r>
              <w:rPr>
                <w:rFonts w:ascii="宋体" w:hAnsi="宋体" w:eastAsia="Times New Roman" w:cs="宋体"/>
                <w:color w:val="auto"/>
                <w:kern w:val="0"/>
                <w:sz w:val="20"/>
                <w:szCs w:val="20"/>
                <w:highlight w:val="none"/>
              </w:rPr>
              <w:t>GB21521中打印速度为15页/分的针式打印机相关要求中打印速度为15页/分的针式打印机相关要求</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3</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A020202投影仪</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《投影机能效限定值及能效等级》（</w:t>
            </w:r>
            <w:r>
              <w:rPr>
                <w:rFonts w:ascii="宋体" w:hAnsi="宋体" w:eastAsia="Times New Roman" w:cs="宋体"/>
                <w:color w:val="auto"/>
                <w:kern w:val="0"/>
                <w:sz w:val="20"/>
                <w:szCs w:val="20"/>
                <w:highlight w:val="none"/>
              </w:rPr>
              <w:t>GB32028）</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4</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A020204多功能一体机</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《复印机、打印机和传真机能效限定值及能效等级》（</w:t>
            </w:r>
            <w:r>
              <w:rPr>
                <w:rFonts w:ascii="宋体" w:hAnsi="宋体" w:eastAsia="Times New Roman" w:cs="宋体"/>
                <w:color w:val="auto"/>
                <w:kern w:val="0"/>
                <w:sz w:val="20"/>
                <w:szCs w:val="20"/>
                <w:highlight w:val="none"/>
              </w:rPr>
              <w:t>GB21521）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5</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A020519泵</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A02051901离心泵</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《清水离心泵能效限定值及节能评价值》（</w:t>
            </w:r>
            <w:r>
              <w:rPr>
                <w:rFonts w:ascii="宋体" w:hAnsi="宋体" w:eastAsia="Times New Roman" w:cs="宋体"/>
                <w:color w:val="auto"/>
                <w:kern w:val="0"/>
                <w:sz w:val="20"/>
                <w:szCs w:val="20"/>
                <w:highlight w:val="none"/>
              </w:rPr>
              <w:t>GB19762）</w:t>
            </w:r>
          </w:p>
        </w:tc>
      </w:tr>
      <w:tr>
        <w:tblPrEx>
          <w:tblCellMar>
            <w:top w:w="0" w:type="dxa"/>
            <w:left w:w="108" w:type="dxa"/>
            <w:bottom w:w="0" w:type="dxa"/>
            <w:right w:w="108" w:type="dxa"/>
          </w:tblCellMar>
        </w:tblPrEx>
        <w:trPr>
          <w:trHeight w:val="73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6</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A020523制冷空调设备</w:t>
            </w: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A02052301制冷压缩机</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冷水机组</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《冷水机组能效限定值及能效等级》（</w:t>
            </w:r>
            <w:r>
              <w:rPr>
                <w:rFonts w:ascii="宋体" w:hAnsi="宋体" w:eastAsia="Times New Roman" w:cs="宋体"/>
                <w:color w:val="auto"/>
                <w:kern w:val="0"/>
                <w:sz w:val="20"/>
                <w:szCs w:val="20"/>
                <w:highlight w:val="none"/>
              </w:rPr>
              <w:t>GB19577），《低环境温度空气源热泵（冷水）机组能效限定值及能效等级》（GB37480）</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水源热泵机组</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《水（地）源热泵机组能效限定值及能效等级》（</w:t>
            </w:r>
            <w:r>
              <w:rPr>
                <w:rFonts w:ascii="宋体" w:hAnsi="宋体" w:eastAsia="Times New Roman" w:cs="宋体"/>
                <w:color w:val="auto"/>
                <w:kern w:val="0"/>
                <w:sz w:val="20"/>
                <w:szCs w:val="20"/>
                <w:highlight w:val="none"/>
              </w:rPr>
              <w:t>GB30721）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《溴化锂吸收式冷水机组能效限定值及能效等级》（</w:t>
            </w:r>
            <w:r>
              <w:rPr>
                <w:rFonts w:ascii="宋体" w:hAnsi="宋体" w:eastAsia="Times New Roman" w:cs="宋体"/>
                <w:color w:val="auto"/>
                <w:kern w:val="0"/>
                <w:sz w:val="20"/>
                <w:szCs w:val="20"/>
                <w:highlight w:val="none"/>
              </w:rPr>
              <w:t>GB29540）</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A02052305空调机组</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w:t>
            </w:r>
            <w:r>
              <w:rPr>
                <w:rFonts w:ascii="宋体" w:hAnsi="宋体" w:eastAsia="Times New Roman" w:cs="宋体"/>
                <w:color w:val="auto"/>
                <w:kern w:val="0"/>
                <w:sz w:val="20"/>
                <w:szCs w:val="20"/>
                <w:highlight w:val="none"/>
              </w:rPr>
              <w:t>(制冷量&gt;14000W)</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(制冷量&gt;14000W</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GB19576）《风管送风式空调机组能效限定值及能效等级》（GB37479）</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A02052309专用制冷、空调设备</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机房空调</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《单元式空气调节机能效限定值及能效等级》（</w:t>
            </w:r>
            <w:r>
              <w:rPr>
                <w:rFonts w:ascii="宋体" w:hAnsi="宋体" w:eastAsia="Times New Roman" w:cs="宋体"/>
                <w:color w:val="auto"/>
                <w:kern w:val="0"/>
                <w:sz w:val="20"/>
                <w:szCs w:val="20"/>
                <w:highlight w:val="none"/>
              </w:rPr>
              <w:t>GB19576）</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A02052399其他制冷空调设备</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冷却塔</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《机械通风冷却塔第</w:t>
            </w:r>
            <w:r>
              <w:rPr>
                <w:rFonts w:ascii="宋体" w:hAnsi="宋体" w:eastAsia="Times New Roman" w:cs="宋体"/>
                <w:color w:val="auto"/>
                <w:kern w:val="0"/>
                <w:sz w:val="20"/>
                <w:szCs w:val="20"/>
                <w:highlight w:val="none"/>
              </w:rPr>
              <w:t>1部分：中小型开式冷却塔》（GB/T7190.1）；《机械通风冷却塔第2部分：大型开式冷却塔》（GB/T7190.2）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7</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A020601电机</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《中小型三相异步电动机能效限定值及能效等级》（</w:t>
            </w:r>
            <w:r>
              <w:rPr>
                <w:rFonts w:ascii="宋体" w:hAnsi="宋体" w:eastAsia="Times New Roman" w:cs="宋体"/>
                <w:color w:val="auto"/>
                <w:kern w:val="0"/>
                <w:sz w:val="20"/>
                <w:szCs w:val="20"/>
                <w:highlight w:val="none"/>
              </w:rPr>
              <w:t>GB18613）</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8</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A020602变压器</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配电变压器</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《三相配电变压器能效限定值及能效等级》（</w:t>
            </w:r>
            <w:r>
              <w:rPr>
                <w:rFonts w:ascii="宋体" w:hAnsi="宋体" w:eastAsia="Times New Roman" w:cs="宋体"/>
                <w:color w:val="auto"/>
                <w:kern w:val="0"/>
                <w:sz w:val="20"/>
                <w:szCs w:val="20"/>
                <w:highlight w:val="none"/>
              </w:rPr>
              <w:t>GB20052）</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9</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A020609镇流器</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管型荧光灯镇流器</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《管形荧光灯镇流器能效限定值及能效等级》（</w:t>
            </w:r>
            <w:r>
              <w:rPr>
                <w:rFonts w:ascii="宋体" w:hAnsi="宋体" w:eastAsia="Times New Roman" w:cs="宋体"/>
                <w:color w:val="auto"/>
                <w:kern w:val="0"/>
                <w:sz w:val="20"/>
                <w:szCs w:val="20"/>
                <w:highlight w:val="none"/>
              </w:rPr>
              <w:t>GB17896）</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10</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A020618生活用电器</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A0206180101电冰箱</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《家用电冰箱耗电量限定值及能效等级》（</w:t>
            </w:r>
            <w:r>
              <w:rPr>
                <w:rFonts w:ascii="宋体" w:hAnsi="宋体" w:eastAsia="Times New Roman" w:cs="宋体"/>
                <w:color w:val="auto"/>
                <w:kern w:val="0"/>
                <w:sz w:val="20"/>
                <w:szCs w:val="20"/>
                <w:highlight w:val="none"/>
              </w:rPr>
              <w:t>GB 12021.2）</w:t>
            </w:r>
          </w:p>
        </w:tc>
      </w:tr>
      <w:tr>
        <w:tblPrEx>
          <w:tblCellMar>
            <w:top w:w="0" w:type="dxa"/>
            <w:left w:w="108" w:type="dxa"/>
            <w:bottom w:w="0" w:type="dxa"/>
            <w:right w:w="108" w:type="dxa"/>
          </w:tblCellMar>
        </w:tblPrEx>
        <w:trPr>
          <w:trHeight w:val="97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A0206180203空调机</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房间空气调节器</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《转速可控型房间空气调节器能效限定值及能效等级》（</w:t>
            </w:r>
            <w:r>
              <w:rPr>
                <w:rFonts w:ascii="宋体" w:hAnsi="宋体" w:eastAsia="Times New Roman" w:cs="宋体"/>
                <w:color w:val="auto"/>
                <w:kern w:val="0"/>
                <w:sz w:val="20"/>
                <w:szCs w:val="20"/>
                <w:highlight w:val="none"/>
              </w:rPr>
              <w:t>GB21455-2013），待2019年修订发布后，按《房间空气调节器能效限定值及能效等级》（GB21455-2019实施。</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多联式空调（热泵）机组（制冷量≤</w:t>
            </w:r>
            <w:r>
              <w:rPr>
                <w:rFonts w:ascii="宋体" w:hAnsi="宋体" w:eastAsia="Times New Roman" w:cs="宋体"/>
                <w:color w:val="auto"/>
                <w:kern w:val="0"/>
                <w:sz w:val="20"/>
                <w:szCs w:val="20"/>
                <w:highlight w:val="none"/>
              </w:rPr>
              <w:t xml:space="preserve"> 14000W）</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《多联式空调（热泵）机组能效限定值及能源效率等级》（</w:t>
            </w:r>
            <w:r>
              <w:rPr>
                <w:rFonts w:ascii="宋体" w:hAnsi="宋体" w:eastAsia="Times New Roman" w:cs="宋体"/>
                <w:color w:val="auto"/>
                <w:kern w:val="0"/>
                <w:sz w:val="20"/>
                <w:szCs w:val="20"/>
                <w:highlight w:val="none"/>
              </w:rPr>
              <w:t>GB21454）</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单元式空气调节机</w:t>
            </w:r>
            <w:r>
              <w:rPr>
                <w:rFonts w:ascii="宋体" w:hAnsi="宋体" w:eastAsia="Times New Roman" w:cs="宋体"/>
                <w:color w:val="auto"/>
                <w:kern w:val="0"/>
                <w:sz w:val="20"/>
                <w:szCs w:val="20"/>
                <w:highlight w:val="none"/>
              </w:rPr>
              <w:t>(制冷量≤14000W)</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《单元式空气调节机能效限定值及能源效率等级》（</w:t>
            </w:r>
            <w:r>
              <w:rPr>
                <w:rFonts w:ascii="宋体" w:hAnsi="宋体" w:eastAsia="Times New Roman" w:cs="宋体"/>
                <w:color w:val="auto"/>
                <w:kern w:val="0"/>
                <w:sz w:val="20"/>
                <w:szCs w:val="20"/>
                <w:highlight w:val="none"/>
              </w:rPr>
              <w:t>GB19576）《风管送风式空调机组能效限定值及能效等级》（GB37479）</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A0206180301洗衣机</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《电动洗衣机能效水效限定值及等级》（</w:t>
            </w:r>
            <w:r>
              <w:rPr>
                <w:rFonts w:ascii="宋体" w:hAnsi="宋体" w:eastAsia="Times New Roman" w:cs="宋体"/>
                <w:color w:val="auto"/>
                <w:kern w:val="0"/>
                <w:sz w:val="20"/>
                <w:szCs w:val="20"/>
                <w:highlight w:val="none"/>
              </w:rPr>
              <w:t>GB12021.4）</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A02061808热水器</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★电热水器</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《储水式电热水器能效限定值及能效等级》（</w:t>
            </w:r>
            <w:r>
              <w:rPr>
                <w:rFonts w:ascii="宋体" w:hAnsi="宋体" w:eastAsia="Times New Roman" w:cs="宋体"/>
                <w:color w:val="auto"/>
                <w:kern w:val="0"/>
                <w:sz w:val="20"/>
                <w:szCs w:val="20"/>
                <w:highlight w:val="none"/>
              </w:rPr>
              <w:t>GB21519）</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燃气热水器</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《家用燃气快速热水器和燃气采暖热水炉能效限定值及能效等级》（</w:t>
            </w:r>
            <w:r>
              <w:rPr>
                <w:rFonts w:ascii="宋体" w:hAnsi="宋体" w:eastAsia="Times New Roman" w:cs="宋体"/>
                <w:color w:val="auto"/>
                <w:kern w:val="0"/>
                <w:sz w:val="20"/>
                <w:szCs w:val="20"/>
                <w:highlight w:val="none"/>
              </w:rPr>
              <w:t>GB20665）</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热泵热水器</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《热泵热水机（器）能效限定值及能效等级》（</w:t>
            </w:r>
            <w:r>
              <w:rPr>
                <w:rFonts w:ascii="宋体" w:hAnsi="宋体" w:eastAsia="Times New Roman" w:cs="宋体"/>
                <w:color w:val="auto"/>
                <w:kern w:val="0"/>
                <w:sz w:val="20"/>
                <w:szCs w:val="20"/>
                <w:highlight w:val="none"/>
              </w:rPr>
              <w:t>GB29541）</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太阳能热水系统</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《家用太阳能热水系统能效限定值及能效等级》（</w:t>
            </w:r>
            <w:r>
              <w:rPr>
                <w:rFonts w:ascii="宋体" w:hAnsi="宋体" w:eastAsia="Times New Roman" w:cs="宋体"/>
                <w:color w:val="auto"/>
                <w:kern w:val="0"/>
                <w:sz w:val="20"/>
                <w:szCs w:val="20"/>
                <w:highlight w:val="none"/>
              </w:rPr>
              <w:t>GB26969）</w:t>
            </w:r>
          </w:p>
        </w:tc>
      </w:tr>
      <w:tr>
        <w:tblPrEx>
          <w:tblCellMar>
            <w:top w:w="0" w:type="dxa"/>
            <w:left w:w="108" w:type="dxa"/>
            <w:bottom w:w="0" w:type="dxa"/>
            <w:right w:w="108" w:type="dxa"/>
          </w:tblCellMar>
        </w:tblPrEx>
        <w:trPr>
          <w:trHeight w:val="49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11</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A020619照明设备</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《普通照明用双端荧光灯能效限定值及能效等级》（</w:t>
            </w:r>
            <w:r>
              <w:rPr>
                <w:rFonts w:ascii="宋体" w:hAnsi="宋体" w:eastAsia="Times New Roman" w:cs="宋体"/>
                <w:color w:val="auto"/>
                <w:kern w:val="0"/>
                <w:sz w:val="20"/>
                <w:szCs w:val="20"/>
                <w:highlight w:val="none"/>
              </w:rPr>
              <w:t>GB19043）</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LED道路/隧道照明产品</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《道路和隧道照明用</w:t>
            </w:r>
            <w:r>
              <w:rPr>
                <w:rFonts w:ascii="宋体" w:hAnsi="宋体" w:eastAsia="Times New Roman" w:cs="宋体"/>
                <w:color w:val="auto"/>
                <w:kern w:val="0"/>
                <w:sz w:val="20"/>
                <w:szCs w:val="20"/>
                <w:highlight w:val="none"/>
              </w:rPr>
              <w:t>LED灯具能效限定值及能效等级》（GB37478）</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LED筒灯</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tblPrEx>
          <w:tblCellMar>
            <w:top w:w="0" w:type="dxa"/>
            <w:left w:w="108" w:type="dxa"/>
            <w:bottom w:w="0" w:type="dxa"/>
            <w:right w:w="108" w:type="dxa"/>
          </w:tblCellMar>
        </w:tblPrEx>
        <w:trPr>
          <w:trHeight w:val="73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普通照明用非定向自镇流</w:t>
            </w:r>
            <w:r>
              <w:rPr>
                <w:rFonts w:ascii="宋体" w:hAnsi="宋体" w:eastAsia="Times New Roman" w:cs="宋体"/>
                <w:color w:val="auto"/>
                <w:kern w:val="0"/>
                <w:sz w:val="20"/>
                <w:szCs w:val="20"/>
                <w:highlight w:val="none"/>
              </w:rPr>
              <w:t>LED灯</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《室内照明用</w:t>
            </w:r>
            <w:r>
              <w:rPr>
                <w:rFonts w:ascii="宋体" w:hAnsi="宋体" w:eastAsia="Times New Roman" w:cs="宋体"/>
                <w:color w:val="auto"/>
                <w:kern w:val="0"/>
                <w:sz w:val="20"/>
                <w:szCs w:val="20"/>
                <w:highlight w:val="none"/>
              </w:rPr>
              <w:t>LED产品能效限定值及能效等级》（GB30255）</w:t>
            </w:r>
          </w:p>
        </w:tc>
      </w:tr>
      <w:tr>
        <w:tblPrEx>
          <w:tblCellMar>
            <w:top w:w="0" w:type="dxa"/>
            <w:left w:w="108" w:type="dxa"/>
            <w:bottom w:w="0" w:type="dxa"/>
            <w:right w:w="108" w:type="dxa"/>
          </w:tblCellMar>
        </w:tblPrEx>
        <w:trPr>
          <w:trHeight w:val="73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12</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A020910电视设备</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A02091001普通电视设备（电视机）</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《平板电视能效限定值及能效等级》（</w:t>
            </w:r>
            <w:r>
              <w:rPr>
                <w:rFonts w:ascii="宋体" w:hAnsi="宋体" w:eastAsia="Times New Roman" w:cs="宋体"/>
                <w:color w:val="auto"/>
                <w:kern w:val="0"/>
                <w:sz w:val="20"/>
                <w:szCs w:val="20"/>
                <w:highlight w:val="none"/>
              </w:rPr>
              <w:t>GB24850）</w:t>
            </w:r>
          </w:p>
        </w:tc>
      </w:tr>
      <w:tr>
        <w:tblPrEx>
          <w:tblCellMar>
            <w:top w:w="0" w:type="dxa"/>
            <w:left w:w="108" w:type="dxa"/>
            <w:bottom w:w="0" w:type="dxa"/>
            <w:right w:w="108" w:type="dxa"/>
          </w:tblCellMar>
        </w:tblPrEx>
        <w:trPr>
          <w:trHeight w:val="97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13</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A020911视频设备</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A02091107视频监控设备</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监视器</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以射频信号为主要信号输入的监视器应符合《平板电视能效限定值及能效等级》（</w:t>
            </w:r>
            <w:r>
              <w:rPr>
                <w:rFonts w:ascii="宋体" w:hAnsi="宋体" w:eastAsia="Times New Roman" w:cs="宋体"/>
                <w:color w:val="auto"/>
                <w:kern w:val="0"/>
                <w:sz w:val="20"/>
                <w:szCs w:val="20"/>
                <w:highlight w:val="none"/>
              </w:rPr>
              <w:t>GB24850），以数字信号为主要信号输入的监视器应符合《计算机显示器能效限定值及能效等级》（GB21520）</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14</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A031210饮食炊事机械</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商用燃气灶具</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《商用燃气灶具能效限定值及能效等级》（</w:t>
            </w:r>
            <w:r>
              <w:rPr>
                <w:rFonts w:ascii="宋体" w:hAnsi="宋体" w:eastAsia="Times New Roman" w:cs="宋体"/>
                <w:color w:val="auto"/>
                <w:kern w:val="0"/>
                <w:sz w:val="20"/>
                <w:szCs w:val="20"/>
                <w:highlight w:val="none"/>
              </w:rPr>
              <w:t>GB30531）</w:t>
            </w:r>
          </w:p>
        </w:tc>
      </w:tr>
      <w:tr>
        <w:tblPrEx>
          <w:tblCellMar>
            <w:top w:w="0" w:type="dxa"/>
            <w:left w:w="108" w:type="dxa"/>
            <w:bottom w:w="0" w:type="dxa"/>
            <w:right w:w="108" w:type="dxa"/>
          </w:tblCellMar>
        </w:tblPrEx>
        <w:trPr>
          <w:trHeight w:val="285" w:hRule="atLeast"/>
        </w:trPr>
        <w:tc>
          <w:tcPr>
            <w:tcW w:w="641"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15</w:t>
            </w:r>
          </w:p>
        </w:tc>
        <w:tc>
          <w:tcPr>
            <w:tcW w:w="1116" w:type="dxa"/>
            <w:vMerge w:val="restart"/>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A060805便器</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坐便器</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《坐便器水效限定值及水效等级》（</w:t>
            </w:r>
            <w:r>
              <w:rPr>
                <w:rFonts w:ascii="宋体" w:hAnsi="宋体" w:eastAsia="Times New Roman" w:cs="宋体"/>
                <w:color w:val="auto"/>
                <w:kern w:val="0"/>
                <w:sz w:val="20"/>
                <w:szCs w:val="20"/>
                <w:highlight w:val="none"/>
              </w:rPr>
              <w:t>GB25502）</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蹲便器</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《蹲便器用水效率限定值及用水效率等级》（</w:t>
            </w:r>
            <w:r>
              <w:rPr>
                <w:rFonts w:ascii="宋体" w:hAnsi="宋体" w:eastAsia="Times New Roman" w:cs="宋体"/>
                <w:color w:val="auto"/>
                <w:kern w:val="0"/>
                <w:sz w:val="20"/>
                <w:szCs w:val="20"/>
                <w:highlight w:val="none"/>
              </w:rPr>
              <w:t>GB30717）</w:t>
            </w:r>
          </w:p>
        </w:tc>
      </w:tr>
      <w:tr>
        <w:tblPrEx>
          <w:tblCellMar>
            <w:top w:w="0" w:type="dxa"/>
            <w:left w:w="108" w:type="dxa"/>
            <w:bottom w:w="0" w:type="dxa"/>
            <w:right w:w="108" w:type="dxa"/>
          </w:tblCellMar>
        </w:tblPrEx>
        <w:trPr>
          <w:trHeight w:val="495" w:hRule="atLeast"/>
        </w:trPr>
        <w:tc>
          <w:tcPr>
            <w:tcW w:w="641"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116" w:type="dxa"/>
            <w:vMerge w:val="continue"/>
            <w:tcBorders>
              <w:top w:val="nil"/>
              <w:left w:val="single" w:color="000000" w:sz="8" w:space="0"/>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小便器</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《小便器用水效率限定值及用水效率等级》（</w:t>
            </w:r>
            <w:r>
              <w:rPr>
                <w:rFonts w:ascii="宋体" w:hAnsi="宋体" w:eastAsia="Times New Roman" w:cs="宋体"/>
                <w:color w:val="auto"/>
                <w:kern w:val="0"/>
                <w:sz w:val="20"/>
                <w:szCs w:val="20"/>
                <w:highlight w:val="none"/>
              </w:rPr>
              <w:t>GB28377）</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16</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w:t>
            </w:r>
            <w:r>
              <w:rPr>
                <w:rFonts w:ascii="宋体" w:hAnsi="宋体" w:eastAsia="Times New Roman" w:cs="宋体"/>
                <w:color w:val="auto"/>
                <w:kern w:val="0"/>
                <w:sz w:val="20"/>
                <w:szCs w:val="20"/>
                <w:highlight w:val="none"/>
              </w:rPr>
              <w:t>A060806水嘴</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《水嘴用水效率限定值及用水效率等级》（</w:t>
            </w:r>
            <w:r>
              <w:rPr>
                <w:rFonts w:ascii="宋体" w:hAnsi="宋体" w:eastAsia="Times New Roman" w:cs="宋体"/>
                <w:color w:val="auto"/>
                <w:kern w:val="0"/>
                <w:sz w:val="20"/>
                <w:szCs w:val="20"/>
                <w:highlight w:val="none"/>
              </w:rPr>
              <w:t>GB 25501）</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17</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A060807便器冲洗阀</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《便器冲洗阀用水效率限定值及用水效率等级》（</w:t>
            </w:r>
            <w:r>
              <w:rPr>
                <w:rFonts w:ascii="宋体" w:hAnsi="宋体" w:eastAsia="Times New Roman" w:cs="宋体"/>
                <w:color w:val="auto"/>
                <w:kern w:val="0"/>
                <w:sz w:val="20"/>
                <w:szCs w:val="20"/>
                <w:highlight w:val="none"/>
              </w:rPr>
              <w:t>GB28379）</w:t>
            </w:r>
          </w:p>
        </w:tc>
      </w:tr>
      <w:tr>
        <w:tblPrEx>
          <w:tblCellMar>
            <w:top w:w="0" w:type="dxa"/>
            <w:left w:w="108" w:type="dxa"/>
            <w:bottom w:w="0" w:type="dxa"/>
            <w:right w:w="108" w:type="dxa"/>
          </w:tblCellMar>
        </w:tblPrEx>
        <w:trPr>
          <w:trHeight w:val="495" w:hRule="atLeast"/>
        </w:trPr>
        <w:tc>
          <w:tcPr>
            <w:tcW w:w="641" w:type="dxa"/>
            <w:tcBorders>
              <w:top w:val="nil"/>
              <w:left w:val="single" w:color="000000" w:sz="8" w:space="0"/>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18</w:t>
            </w:r>
          </w:p>
        </w:tc>
        <w:tc>
          <w:tcPr>
            <w:tcW w:w="11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ascii="宋体" w:hAnsi="宋体" w:eastAsia="Times New Roman" w:cs="宋体"/>
                <w:color w:val="auto"/>
                <w:kern w:val="0"/>
                <w:sz w:val="20"/>
                <w:szCs w:val="20"/>
                <w:highlight w:val="none"/>
              </w:rPr>
              <w:t>A060810淋浴器</w:t>
            </w:r>
          </w:p>
        </w:tc>
        <w:tc>
          <w:tcPr>
            <w:tcW w:w="1516"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2018" w:type="dxa"/>
            <w:tcBorders>
              <w:top w:val="nil"/>
              <w:left w:val="nil"/>
              <w:bottom w:val="single" w:color="000000" w:sz="8" w:space="0"/>
              <w:right w:val="single" w:color="000000" w:sz="8" w:space="0"/>
            </w:tcBorders>
            <w:noWrap w:val="0"/>
            <w:vAlign w:val="center"/>
          </w:tcPr>
          <w:p>
            <w:pPr>
              <w:widowControl/>
              <w:jc w:val="center"/>
              <w:rPr>
                <w:rFonts w:ascii="宋体" w:cs="宋体"/>
                <w:color w:val="auto"/>
                <w:kern w:val="0"/>
                <w:sz w:val="20"/>
                <w:szCs w:val="20"/>
                <w:highlight w:val="none"/>
              </w:rPr>
            </w:pPr>
            <w:r>
              <w:rPr>
                <w:rFonts w:hint="eastAsia" w:ascii="宋体" w:cs="宋体"/>
                <w:color w:val="auto"/>
                <w:kern w:val="0"/>
                <w:sz w:val="20"/>
                <w:szCs w:val="20"/>
                <w:highlight w:val="none"/>
              </w:rPr>
              <w:t>　</w:t>
            </w:r>
          </w:p>
        </w:tc>
        <w:tc>
          <w:tcPr>
            <w:tcW w:w="4364" w:type="dxa"/>
            <w:tcBorders>
              <w:top w:val="nil"/>
              <w:left w:val="nil"/>
              <w:bottom w:val="single" w:color="000000" w:sz="8" w:space="0"/>
              <w:right w:val="single" w:color="000000" w:sz="8" w:space="0"/>
            </w:tcBorders>
            <w:noWrap w:val="0"/>
            <w:vAlign w:val="center"/>
          </w:tcPr>
          <w:p>
            <w:pPr>
              <w:widowControl/>
              <w:jc w:val="left"/>
              <w:rPr>
                <w:rFonts w:ascii="宋体" w:cs="宋体"/>
                <w:color w:val="auto"/>
                <w:kern w:val="0"/>
                <w:sz w:val="20"/>
                <w:szCs w:val="20"/>
                <w:highlight w:val="none"/>
              </w:rPr>
            </w:pPr>
            <w:r>
              <w:rPr>
                <w:rFonts w:hint="eastAsia" w:ascii="宋体" w:cs="宋体"/>
                <w:color w:val="auto"/>
                <w:kern w:val="0"/>
                <w:sz w:val="20"/>
                <w:szCs w:val="20"/>
                <w:highlight w:val="none"/>
              </w:rPr>
              <w:t>《淋浴器用水效率限定值及用水效率等级》（</w:t>
            </w:r>
            <w:r>
              <w:rPr>
                <w:rFonts w:ascii="宋体" w:hAnsi="宋体" w:eastAsia="Times New Roman" w:cs="宋体"/>
                <w:color w:val="auto"/>
                <w:kern w:val="0"/>
                <w:sz w:val="20"/>
                <w:szCs w:val="20"/>
                <w:highlight w:val="none"/>
              </w:rPr>
              <w:t>GB28378）</w:t>
            </w:r>
          </w:p>
        </w:tc>
      </w:tr>
    </w:tbl>
    <w:p>
      <w:pPr>
        <w:pStyle w:val="13"/>
        <w:spacing w:line="360" w:lineRule="auto"/>
        <w:rPr>
          <w:rFonts w:ascii="宋体"/>
          <w:color w:val="auto"/>
          <w:szCs w:val="21"/>
          <w:highlight w:val="none"/>
        </w:rPr>
      </w:pPr>
      <w:r>
        <w:rPr>
          <w:rFonts w:hint="eastAsia"/>
          <w:color w:val="auto"/>
          <w:spacing w:val="-3"/>
          <w:szCs w:val="21"/>
          <w:highlight w:val="none"/>
        </w:rPr>
        <w:t>注：</w:t>
      </w:r>
      <w:r>
        <w:rPr>
          <w:color w:val="auto"/>
          <w:spacing w:val="-3"/>
          <w:szCs w:val="21"/>
          <w:highlight w:val="none"/>
        </w:rPr>
        <w:t>1.</w:t>
      </w:r>
      <w:r>
        <w:rPr>
          <w:rFonts w:hint="eastAsia"/>
          <w:color w:val="auto"/>
          <w:spacing w:val="-3"/>
          <w:szCs w:val="21"/>
          <w:highlight w:val="none"/>
        </w:rPr>
        <w:t>节能产品认证应依据相关国家标准的最新版本，依据国家标准中二级能效（水效）</w:t>
      </w:r>
      <w:r>
        <w:rPr>
          <w:rFonts w:hint="eastAsia"/>
          <w:color w:val="auto"/>
          <w:szCs w:val="21"/>
          <w:highlight w:val="none"/>
        </w:rPr>
        <w:t>指标。</w:t>
      </w:r>
    </w:p>
    <w:p>
      <w:pPr>
        <w:pStyle w:val="16"/>
        <w:jc w:val="left"/>
        <w:rPr>
          <w:rFonts w:ascii="Arial Unicode MS" w:hAnsi="Arial Unicode MS" w:eastAsia="Times New Roman" w:cs="Arial Unicode MS"/>
          <w:color w:val="auto"/>
          <w:sz w:val="32"/>
          <w:szCs w:val="32"/>
          <w:highlight w:val="none"/>
        </w:rPr>
      </w:pPr>
      <w:r>
        <w:rPr>
          <w:rFonts w:hAnsi="宋体"/>
          <w:color w:val="auto"/>
          <w:highlight w:val="none"/>
        </w:rPr>
        <w:t xml:space="preserve">    </w:t>
      </w:r>
      <w:r>
        <w:rPr>
          <w:color w:val="auto"/>
          <w:highlight w:val="none"/>
        </w:rPr>
        <w:t>2.</w:t>
      </w:r>
      <w:r>
        <w:rPr>
          <w:rFonts w:hint="eastAsia"/>
          <w:color w:val="auto"/>
          <w:highlight w:val="none"/>
        </w:rPr>
        <w:t>以</w:t>
      </w:r>
      <w:r>
        <w:rPr>
          <w:color w:val="auto"/>
          <w:highlight w:val="none"/>
        </w:rPr>
        <w:t>“</w:t>
      </w:r>
      <w:r>
        <w:rPr>
          <w:rFonts w:hint="eastAsia"/>
          <w:color w:val="auto"/>
          <w:highlight w:val="none"/>
        </w:rPr>
        <w:t>★</w:t>
      </w:r>
      <w:r>
        <w:rPr>
          <w:color w:val="auto"/>
          <w:highlight w:val="none"/>
        </w:rPr>
        <w:t>”</w:t>
      </w:r>
      <w:r>
        <w:rPr>
          <w:rFonts w:hint="eastAsia"/>
          <w:color w:val="auto"/>
          <w:highlight w:val="none"/>
        </w:rPr>
        <w:t>标注的为政府强制采购产品。</w:t>
      </w:r>
      <w:r>
        <w:rPr>
          <w:color w:val="auto"/>
          <w:highlight w:val="none"/>
        </w:rPr>
        <w:br w:type="page"/>
      </w:r>
      <w:r>
        <w:rPr>
          <w:rFonts w:hint="eastAsia" w:ascii="微软雅黑" w:hAnsi="微软雅黑" w:eastAsia="微软雅黑" w:cs="微软雅黑"/>
          <w:color w:val="auto"/>
          <w:sz w:val="32"/>
          <w:szCs w:val="32"/>
          <w:highlight w:val="none"/>
        </w:rPr>
        <w:t>附件</w:t>
      </w:r>
      <w:r>
        <w:rPr>
          <w:rFonts w:ascii="Arial Unicode MS" w:hAnsi="Arial Unicode MS" w:eastAsia="Times New Roman" w:cs="Arial Unicode MS"/>
          <w:color w:val="auto"/>
          <w:sz w:val="32"/>
          <w:szCs w:val="32"/>
          <w:highlight w:val="none"/>
        </w:rPr>
        <w:t>2</w:t>
      </w:r>
      <w:r>
        <w:rPr>
          <w:rFonts w:hint="eastAsia" w:ascii="微软雅黑" w:hAnsi="微软雅黑" w:eastAsia="微软雅黑" w:cs="微软雅黑"/>
          <w:color w:val="auto"/>
          <w:sz w:val="32"/>
          <w:szCs w:val="32"/>
          <w:highlight w:val="none"/>
        </w:rPr>
        <w:t>：</w:t>
      </w:r>
    </w:p>
    <w:p>
      <w:pPr>
        <w:spacing w:line="528" w:lineRule="exact"/>
        <w:jc w:val="center"/>
        <w:rPr>
          <w:rFonts w:ascii="Arial Unicode MS" w:hAnsi="Arial Unicode MS" w:eastAsia="Times New Roman" w:cs="Arial Unicode MS"/>
          <w:color w:val="auto"/>
          <w:sz w:val="40"/>
          <w:szCs w:val="40"/>
          <w:highlight w:val="none"/>
        </w:rPr>
      </w:pPr>
      <w:r>
        <w:rPr>
          <w:rFonts w:hint="eastAsia" w:ascii="微软雅黑" w:hAnsi="微软雅黑" w:eastAsia="微软雅黑" w:cs="微软雅黑"/>
          <w:color w:val="auto"/>
          <w:sz w:val="40"/>
          <w:szCs w:val="40"/>
          <w:highlight w:val="none"/>
        </w:rPr>
        <w:t>中小微企业划型标准</w:t>
      </w:r>
    </w:p>
    <w:tbl>
      <w:tblPr>
        <w:tblStyle w:val="24"/>
        <w:tblW w:w="9500" w:type="dxa"/>
        <w:tblInd w:w="250" w:type="dxa"/>
        <w:tblLayout w:type="fixed"/>
        <w:tblCellMar>
          <w:top w:w="0" w:type="dxa"/>
          <w:left w:w="108" w:type="dxa"/>
          <w:bottom w:w="0" w:type="dxa"/>
          <w:right w:w="108" w:type="dxa"/>
        </w:tblCellMar>
      </w:tblPr>
      <w:tblGrid>
        <w:gridCol w:w="1985"/>
        <w:gridCol w:w="1985"/>
        <w:gridCol w:w="851"/>
        <w:gridCol w:w="1836"/>
        <w:gridCol w:w="1709"/>
        <w:gridCol w:w="1134"/>
      </w:tblGrid>
      <w:tr>
        <w:tblPrEx>
          <w:tblCellMar>
            <w:top w:w="0" w:type="dxa"/>
            <w:left w:w="108" w:type="dxa"/>
            <w:bottom w:w="0" w:type="dxa"/>
            <w:right w:w="108" w:type="dxa"/>
          </w:tblCellMar>
        </w:tblPrEx>
        <w:trPr>
          <w:trHeight w:val="285" w:hRule="atLeast"/>
        </w:trPr>
        <w:tc>
          <w:tcPr>
            <w:tcW w:w="198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行业名称</w:t>
            </w:r>
          </w:p>
        </w:tc>
        <w:tc>
          <w:tcPr>
            <w:tcW w:w="1985"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指标名称</w:t>
            </w:r>
          </w:p>
        </w:tc>
        <w:tc>
          <w:tcPr>
            <w:tcW w:w="851"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计量单位</w:t>
            </w:r>
          </w:p>
        </w:tc>
        <w:tc>
          <w:tcPr>
            <w:tcW w:w="1836"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中型</w:t>
            </w:r>
          </w:p>
        </w:tc>
        <w:tc>
          <w:tcPr>
            <w:tcW w:w="1709"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小型</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微型</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农、林、牧、渔</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工业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建筑业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6000≤Y＜80000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300≤Y＜6000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Y＜300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5000≤Z＜80000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300≤Z＜5000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Z＜300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批发业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5≤X＜20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X＜5</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5000≤Y＜40000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零售业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10≤X＜50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100≤Y＜500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交通运输业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200≤Y＜3000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仓储业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邮政业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X＜20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2000≤Y＜30000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住宿业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餐饮业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100≤Y＜2000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信息传输业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100≤X＜2000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软件和信息技术服务业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房地产开发经营</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1000≤Y＜200000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5000≤Z＜10000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2000≤Y＜5000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Y＜2000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bottom"/>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物业管理</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300≤X＜1000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营业收入（Y）</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1000≤Y＜5000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500≤Y＜1000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Y＜500</w:t>
            </w:r>
          </w:p>
        </w:tc>
      </w:tr>
      <w:tr>
        <w:tblPrEx>
          <w:tblCellMar>
            <w:top w:w="0" w:type="dxa"/>
            <w:left w:w="108" w:type="dxa"/>
            <w:bottom w:w="0" w:type="dxa"/>
            <w:right w:w="108" w:type="dxa"/>
          </w:tblCellMar>
        </w:tblPrEx>
        <w:trPr>
          <w:trHeight w:val="225" w:hRule="atLeast"/>
        </w:trPr>
        <w:tc>
          <w:tcPr>
            <w:tcW w:w="1985"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租赁和商务服务业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r>
        <w:tblPrEx>
          <w:tblCellMar>
            <w:top w:w="0" w:type="dxa"/>
            <w:left w:w="108" w:type="dxa"/>
            <w:bottom w:w="0" w:type="dxa"/>
            <w:right w:w="108" w:type="dxa"/>
          </w:tblCellMar>
        </w:tblPrEx>
        <w:trPr>
          <w:trHeight w:val="225" w:hRule="atLeast"/>
        </w:trPr>
        <w:tc>
          <w:tcPr>
            <w:tcW w:w="1985" w:type="dxa"/>
            <w:vMerge w:val="continue"/>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资产总额（Z）</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万元</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8000≤Z＜120000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100≤Z＜8000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Y＜100</w:t>
            </w:r>
          </w:p>
        </w:tc>
      </w:tr>
      <w:tr>
        <w:tblPrEx>
          <w:tblCellMar>
            <w:top w:w="0" w:type="dxa"/>
            <w:left w:w="108" w:type="dxa"/>
            <w:bottom w:w="0" w:type="dxa"/>
            <w:right w:w="108" w:type="dxa"/>
          </w:tblCellMar>
        </w:tblPrEx>
        <w:trPr>
          <w:trHeight w:val="225" w:hRule="atLeast"/>
        </w:trPr>
        <w:tc>
          <w:tcPr>
            <w:tcW w:w="1985"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bCs/>
                <w:color w:val="auto"/>
                <w:kern w:val="0"/>
                <w:sz w:val="18"/>
                <w:szCs w:val="18"/>
                <w:highlight w:val="none"/>
              </w:rPr>
            </w:pPr>
            <w:r>
              <w:rPr>
                <w:rFonts w:hint="eastAsia" w:ascii="仿宋" w:hAnsi="仿宋" w:eastAsia="仿宋" w:cs="仿宋"/>
                <w:b/>
                <w:bCs/>
                <w:color w:val="auto"/>
                <w:kern w:val="0"/>
                <w:sz w:val="18"/>
                <w:szCs w:val="18"/>
                <w:highlight w:val="none"/>
              </w:rPr>
              <w:t>其他未列明行业</w:t>
            </w:r>
          </w:p>
        </w:tc>
        <w:tc>
          <w:tcPr>
            <w:tcW w:w="1985"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从业人员（X）</w:t>
            </w:r>
          </w:p>
        </w:tc>
        <w:tc>
          <w:tcPr>
            <w:tcW w:w="851"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人</w:t>
            </w:r>
          </w:p>
        </w:tc>
        <w:tc>
          <w:tcPr>
            <w:tcW w:w="1836"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100≤X＜300</w:t>
            </w:r>
          </w:p>
        </w:tc>
        <w:tc>
          <w:tcPr>
            <w:tcW w:w="1709"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10≤X＜100</w:t>
            </w:r>
          </w:p>
        </w:tc>
        <w:tc>
          <w:tcPr>
            <w:tcW w:w="1134" w:type="dxa"/>
            <w:tcBorders>
              <w:top w:val="nil"/>
              <w:left w:val="nil"/>
              <w:bottom w:val="single" w:color="auto" w:sz="4" w:space="0"/>
              <w:right w:val="single" w:color="auto" w:sz="4" w:space="0"/>
            </w:tcBorders>
            <w:noWrap w:val="0"/>
            <w:vAlign w:val="center"/>
          </w:tcPr>
          <w:p>
            <w:pPr>
              <w:widowControl/>
              <w:jc w:val="left"/>
              <w:rPr>
                <w:rFonts w:hint="eastAsia" w:ascii="仿宋" w:hAnsi="仿宋" w:eastAsia="仿宋" w:cs="仿宋"/>
                <w:color w:val="auto"/>
                <w:kern w:val="0"/>
                <w:sz w:val="18"/>
                <w:szCs w:val="18"/>
                <w:highlight w:val="none"/>
              </w:rPr>
            </w:pPr>
            <w:r>
              <w:rPr>
                <w:rFonts w:hint="eastAsia" w:ascii="仿宋" w:hAnsi="仿宋" w:eastAsia="仿宋" w:cs="仿宋"/>
                <w:color w:val="auto"/>
                <w:kern w:val="0"/>
                <w:sz w:val="18"/>
                <w:szCs w:val="18"/>
                <w:highlight w:val="none"/>
              </w:rPr>
              <w:t>X＜10</w:t>
            </w:r>
          </w:p>
        </w:tc>
      </w:tr>
    </w:tbl>
    <w:p>
      <w:pPr>
        <w:spacing w:line="560" w:lineRule="exact"/>
        <w:ind w:firstLine="525" w:firstLineChars="250"/>
        <w:rPr>
          <w:rFonts w:ascii="宋体"/>
          <w:color w:val="auto"/>
          <w:kern w:val="0"/>
          <w:sz w:val="20"/>
          <w:szCs w:val="21"/>
          <w:highlight w:val="none"/>
        </w:rPr>
        <w:sectPr>
          <w:footerReference r:id="rId11" w:type="default"/>
          <w:pgSz w:w="11906" w:h="16838"/>
          <w:pgMar w:top="1134" w:right="1134" w:bottom="1134" w:left="1134" w:header="720" w:footer="720" w:gutter="0"/>
          <w:cols w:space="720" w:num="1"/>
          <w:docGrid w:type="lines" w:linePitch="331" w:charSpace="0"/>
        </w:sectPr>
      </w:pPr>
      <w:r>
        <w:rPr>
          <w:rFonts w:hint="eastAsia" w:ascii="仿宋_GB2312" w:hAnsi="仿宋" w:eastAsia="仿宋_GB2312"/>
          <w:color w:val="auto"/>
          <w:szCs w:val="21"/>
          <w:highlight w:val="none"/>
        </w:rPr>
        <w:t>说明：上述标准参照《关于印发中小企业划型标准规定的通知》（工信部联企业</w:t>
      </w:r>
      <w:r>
        <w:rPr>
          <w:rFonts w:ascii="仿宋_GB2312" w:hAnsi="仿宋" w:eastAsia="仿宋_GB2312"/>
          <w:color w:val="auto"/>
          <w:szCs w:val="21"/>
          <w:highlight w:val="none"/>
        </w:rPr>
        <w:t>[2011]300</w:t>
      </w:r>
      <w:r>
        <w:rPr>
          <w:rFonts w:hint="eastAsia" w:ascii="仿宋_GB2312" w:hAnsi="仿宋" w:eastAsia="仿宋_GB2312"/>
          <w:color w:val="auto"/>
          <w:szCs w:val="21"/>
          <w:highlight w:val="none"/>
        </w:rPr>
        <w:t>号），大型、中型和小型企业须同时满足所列指标的下限，否则下划一档；微型企业只须满足所列指标中的一项即可。</w:t>
      </w:r>
    </w:p>
    <w:p>
      <w:pPr>
        <w:pStyle w:val="3"/>
        <w:spacing w:line="360" w:lineRule="auto"/>
        <w:jc w:val="center"/>
        <w:rPr>
          <w:rFonts w:hint="eastAsia" w:ascii="宋体" w:hAnsi="宋体" w:eastAsia="宋体" w:cs="宋体"/>
          <w:b/>
          <w:bCs/>
          <w:color w:val="auto"/>
          <w:highlight w:val="none"/>
        </w:rPr>
      </w:pPr>
      <w:r>
        <w:rPr>
          <w:rFonts w:hint="eastAsia" w:ascii="宋体" w:hAnsi="宋体" w:eastAsia="宋体" w:cs="宋体"/>
          <w:b/>
          <w:bCs/>
          <w:color w:val="auto"/>
          <w:highlight w:val="none"/>
        </w:rPr>
        <w:t>第三章 供应商须知</w:t>
      </w:r>
      <w:bookmarkEnd w:id="36"/>
      <w:bookmarkEnd w:id="37"/>
      <w:bookmarkEnd w:id="38"/>
    </w:p>
    <w:p>
      <w:pPr>
        <w:pStyle w:val="4"/>
        <w:spacing w:line="360" w:lineRule="auto"/>
        <w:jc w:val="center"/>
        <w:rPr>
          <w:rFonts w:hint="eastAsia" w:ascii="宋体" w:hAnsi="宋体" w:eastAsia="宋体" w:cs="宋体"/>
          <w:b w:val="0"/>
          <w:color w:val="auto"/>
          <w:highlight w:val="none"/>
        </w:rPr>
      </w:pPr>
      <w:bookmarkStart w:id="39" w:name="_Toc24946"/>
      <w:bookmarkStart w:id="40" w:name="_Toc23940"/>
      <w:bookmarkStart w:id="41" w:name="_Toc28335"/>
      <w:r>
        <w:rPr>
          <w:rFonts w:hint="eastAsia" w:ascii="宋体" w:hAnsi="宋体" w:eastAsia="宋体" w:cs="宋体"/>
          <w:b w:val="0"/>
          <w:color w:val="auto"/>
          <w:highlight w:val="none"/>
          <w:lang w:eastAsia="zh-CN"/>
        </w:rPr>
        <w:t xml:space="preserve">第一节 </w:t>
      </w:r>
      <w:r>
        <w:rPr>
          <w:rFonts w:hint="eastAsia" w:ascii="宋体" w:hAnsi="宋体" w:eastAsia="宋体" w:cs="宋体"/>
          <w:b w:val="0"/>
          <w:color w:val="auto"/>
          <w:highlight w:val="none"/>
        </w:rPr>
        <w:t>供应商须知前附表</w:t>
      </w:r>
      <w:bookmarkEnd w:id="39"/>
      <w:bookmarkEnd w:id="40"/>
      <w:bookmarkEnd w:id="41"/>
    </w:p>
    <w:tbl>
      <w:tblPr>
        <w:tblStyle w:val="24"/>
        <w:tblW w:w="990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3"/>
        <w:gridCol w:w="2244"/>
        <w:gridCol w:w="67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3" w:hRule="atLeast"/>
          <w:jc w:val="center"/>
        </w:trPr>
        <w:tc>
          <w:tcPr>
            <w:tcW w:w="903"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条款号</w:t>
            </w:r>
          </w:p>
        </w:tc>
        <w:tc>
          <w:tcPr>
            <w:tcW w:w="2244"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条款内容</w:t>
            </w:r>
          </w:p>
        </w:tc>
        <w:tc>
          <w:tcPr>
            <w:tcW w:w="6760" w:type="dxa"/>
            <w:noWrap w:val="0"/>
            <w:vAlign w:val="center"/>
          </w:tcPr>
          <w:p>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具体要求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w:t>
            </w:r>
          </w:p>
        </w:tc>
        <w:tc>
          <w:tcPr>
            <w:tcW w:w="6760"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供应商资格条件要求详见公告。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是否接受联合体竞标</w:t>
            </w:r>
          </w:p>
        </w:tc>
        <w:tc>
          <w:tcPr>
            <w:tcW w:w="6760" w:type="dxa"/>
            <w:noWrap w:val="0"/>
            <w:vAlign w:val="center"/>
          </w:tcPr>
          <w:p>
            <w:pPr>
              <w:spacing w:line="360" w:lineRule="auto"/>
              <w:jc w:val="left"/>
              <w:rPr>
                <w:rFonts w:hint="eastAsia" w:ascii="宋体" w:hAnsi="宋体" w:eastAsia="宋体" w:cs="宋体"/>
                <w:color w:val="auto"/>
                <w:szCs w:val="21"/>
                <w:highlight w:val="none"/>
                <w:lang w:val="en-US"/>
              </w:rPr>
            </w:pPr>
            <w:r>
              <w:rPr>
                <w:rFonts w:hint="eastAsia" w:ascii="宋体" w:hAnsi="宋体" w:eastAsia="宋体" w:cs="宋体"/>
                <w:color w:val="auto"/>
                <w:szCs w:val="21"/>
                <w:highlight w:val="none"/>
                <w:lang w:val="en-US" w:eastAsia="zh-CN"/>
              </w:rPr>
              <w:t>□是/☑否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联合体竞标要求</w:t>
            </w:r>
          </w:p>
        </w:tc>
        <w:tc>
          <w:tcPr>
            <w:tcW w:w="6760"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是否允许分包</w:t>
            </w:r>
          </w:p>
        </w:tc>
        <w:tc>
          <w:tcPr>
            <w:tcW w:w="6760" w:type="dxa"/>
            <w:noWrap w:val="0"/>
            <w:vAlign w:val="center"/>
          </w:tcPr>
          <w:p>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☑不允许分包</w:t>
            </w:r>
          </w:p>
          <w:p>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□允许分包</w:t>
            </w:r>
          </w:p>
          <w:p>
            <w:pPr>
              <w:pStyle w:val="11"/>
              <w:spacing w:line="360" w:lineRule="auto"/>
              <w:jc w:val="left"/>
              <w:rPr>
                <w:rFonts w:hint="eastAsia" w:ascii="宋体" w:hAnsi="宋体" w:eastAsia="宋体" w:cs="宋体"/>
                <w:color w:val="auto"/>
                <w:szCs w:val="21"/>
                <w:highlight w:val="none"/>
                <w:u w:val="single"/>
                <w:lang w:val="en-US" w:eastAsia="zh-CN"/>
              </w:rPr>
            </w:pPr>
            <w:r>
              <w:rPr>
                <w:rFonts w:hint="eastAsia" w:ascii="宋体" w:hAnsi="宋体" w:eastAsia="宋体" w:cs="宋体"/>
                <w:color w:val="auto"/>
                <w:szCs w:val="21"/>
                <w:highlight w:val="none"/>
                <w:lang w:val="en-US" w:eastAsia="zh-CN"/>
              </w:rPr>
              <w:t>分包内容：</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w:t>
            </w:r>
            <w:r>
              <w:rPr>
                <w:rFonts w:hint="eastAsia" w:asciiTheme="minorEastAsia" w:hAnsiTheme="minorEastAsia" w:eastAsiaTheme="minorEastAsia"/>
                <w:kern w:val="2"/>
                <w:sz w:val="21"/>
                <w:szCs w:val="21"/>
                <w:u w:val="single"/>
              </w:rPr>
              <w:t xml:space="preserve"> </w:t>
            </w:r>
            <w:r>
              <w:rPr>
                <w:rFonts w:hint="eastAsia" w:ascii="宋体" w:hAnsi="宋体" w:eastAsia="宋体" w:cs="宋体"/>
                <w:color w:val="auto"/>
                <w:szCs w:val="21"/>
                <w:highlight w:val="none"/>
                <w:u w:val="single"/>
                <w:lang w:val="en-US" w:eastAsia="zh-CN"/>
              </w:rPr>
              <w:t xml:space="preserve">    。</w:t>
            </w:r>
          </w:p>
          <w:p>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分包金额或者比例：</w:t>
            </w:r>
            <w:r>
              <w:rPr>
                <w:rFonts w:hint="eastAsia" w:ascii="宋体" w:hAnsi="宋体" w:eastAsia="宋体" w:cs="宋体"/>
                <w:color w:val="auto"/>
                <w:szCs w:val="21"/>
                <w:highlight w:val="none"/>
                <w:u w:val="single"/>
                <w:lang w:val="en-US" w:eastAsia="zh-CN"/>
              </w:rPr>
              <w:t xml:space="preserve">   </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w:t>
            </w:r>
            <w:r>
              <w:rPr>
                <w:rFonts w:hint="eastAsia" w:asciiTheme="minorEastAsia" w:hAnsiTheme="minorEastAsia" w:eastAsiaTheme="minorEastAsia"/>
                <w:kern w:val="2"/>
                <w:sz w:val="21"/>
                <w:szCs w:val="21"/>
                <w:u w:val="single"/>
              </w:rPr>
              <w:t xml:space="preserve"> </w:t>
            </w:r>
            <w:r>
              <w:rPr>
                <w:rFonts w:hint="eastAsia" w:asciiTheme="minorEastAsia" w:hAnsiTheme="minorEastAsia" w:eastAsiaTheme="minorEastAsia"/>
                <w:kern w:val="2"/>
                <w:sz w:val="21"/>
                <w:szCs w:val="21"/>
                <w:u w:val="single"/>
                <w:lang w:val="en-US" w:eastAsia="zh-CN"/>
              </w:rPr>
              <w:t xml:space="preserve"> </w:t>
            </w:r>
            <w:r>
              <w:rPr>
                <w:rFonts w:hint="eastAsia" w:ascii="宋体" w:hAnsi="宋体" w:eastAsia="宋体" w:cs="宋体"/>
                <w:color w:val="auto"/>
                <w:szCs w:val="21"/>
                <w:highlight w:val="none"/>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w:t>
            </w:r>
          </w:p>
        </w:tc>
        <w:tc>
          <w:tcPr>
            <w:tcW w:w="2244"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资格证明文件组成</w:t>
            </w:r>
          </w:p>
        </w:tc>
        <w:tc>
          <w:tcPr>
            <w:tcW w:w="6760" w:type="dxa"/>
            <w:noWrap w:val="0"/>
            <w:vAlign w:val="center"/>
          </w:tcPr>
          <w:p>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lang w:val="en-US" w:eastAsia="zh-CN"/>
              </w:rPr>
              <w:t>供应商为法人或者其他组织的提供其营业执照等证明文件（如营业执照或者事业单位法人证书或者执业许可证等）复印件，供应商为自然人的提供其身份证复印件；（</w:t>
            </w:r>
            <w:r>
              <w:rPr>
                <w:rFonts w:hint="eastAsia" w:ascii="宋体" w:hAnsi="宋体" w:eastAsia="宋体" w:cs="宋体"/>
                <w:b/>
                <w:color w:val="auto"/>
                <w:szCs w:val="21"/>
                <w:highlight w:val="none"/>
                <w:lang w:val="en-US" w:eastAsia="zh-CN"/>
              </w:rPr>
              <w:t>必须提供，否则响应文件按无效响应处理</w:t>
            </w:r>
            <w:r>
              <w:rPr>
                <w:rFonts w:hint="eastAsia" w:ascii="宋体" w:hAnsi="宋体" w:eastAsia="宋体" w:cs="宋体"/>
                <w:color w:val="auto"/>
                <w:szCs w:val="21"/>
                <w:highlight w:val="none"/>
                <w:lang w:val="en-US" w:eastAsia="zh-CN"/>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供应商依法缴纳税收的相关材料[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个月的依法缴纳税收的凭据复印件；</w:t>
            </w:r>
            <w:r>
              <w:rPr>
                <w:rFonts w:hint="eastAsia" w:ascii="宋体" w:hAnsi="宋体" w:cs="宋体"/>
                <w:color w:val="auto"/>
                <w:szCs w:val="21"/>
              </w:rPr>
              <w:t>依</w:t>
            </w:r>
            <w:r>
              <w:rPr>
                <w:rFonts w:hint="eastAsia" w:ascii="宋体" w:hAnsi="宋体"/>
                <w:color w:val="auto"/>
                <w:szCs w:val="21"/>
              </w:rPr>
              <w:t>法免税的供应商，必须提供相应文件证明其依法免税。</w:t>
            </w:r>
            <w:r>
              <w:rPr>
                <w:rFonts w:hint="eastAsia" w:ascii="宋体" w:hAnsi="宋体" w:cs="宋体"/>
                <w:color w:val="auto"/>
                <w:szCs w:val="21"/>
              </w:rPr>
              <w:t>从取得营业执照时间起到投标文件提交截止时间为止不足要求月数的，只需提供从取得营业执照起的依法缴纳税收</w:t>
            </w:r>
            <w:r>
              <w:rPr>
                <w:rFonts w:hint="eastAsia" w:ascii="宋体" w:hAnsi="宋体"/>
                <w:color w:val="auto"/>
                <w:szCs w:val="21"/>
              </w:rPr>
              <w:t>相应证明文件</w:t>
            </w:r>
            <w:r>
              <w:rPr>
                <w:rFonts w:hint="eastAsia" w:ascii="宋体" w:hAnsi="宋体" w:cs="宋体"/>
                <w:color w:val="auto"/>
                <w:szCs w:val="21"/>
              </w:rPr>
              <w:t>）</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供应商依法缴纳社会保障资金的相关材料[</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12</w:t>
            </w:r>
            <w:r>
              <w:rPr>
                <w:rFonts w:hint="eastAsia" w:ascii="宋体" w:hAnsi="宋体" w:eastAsia="宋体" w:cs="宋体"/>
                <w:color w:val="auto"/>
                <w:szCs w:val="21"/>
                <w:highlight w:val="none"/>
              </w:rPr>
              <w:t>月至</w:t>
            </w:r>
            <w:r>
              <w:rPr>
                <w:rFonts w:hint="eastAsia" w:ascii="宋体" w:hAnsi="宋体" w:eastAsia="宋体" w:cs="宋体"/>
                <w:color w:val="auto"/>
                <w:szCs w:val="21"/>
                <w:highlight w:val="none"/>
                <w:u w:val="single"/>
              </w:rPr>
              <w:t>202</w:t>
            </w:r>
            <w:r>
              <w:rPr>
                <w:rFonts w:hint="eastAsia" w:ascii="宋体" w:hAnsi="宋体" w:cs="宋体"/>
                <w:color w:val="auto"/>
                <w:szCs w:val="21"/>
                <w:highlight w:val="none"/>
                <w:u w:val="single"/>
                <w:lang w:val="en-US" w:eastAsia="zh-CN"/>
              </w:rPr>
              <w:t>4</w:t>
            </w:r>
            <w:r>
              <w:rPr>
                <w:rFonts w:hint="eastAsia" w:ascii="宋体" w:hAnsi="宋体" w:eastAsia="宋体" w:cs="宋体"/>
                <w:color w:val="auto"/>
                <w:szCs w:val="21"/>
                <w:highlight w:val="none"/>
              </w:rPr>
              <w:t>年</w:t>
            </w:r>
            <w:r>
              <w:rPr>
                <w:rFonts w:hint="eastAsia" w:ascii="宋体" w:hAnsi="宋体" w:cs="宋体"/>
                <w:color w:val="auto"/>
                <w:szCs w:val="21"/>
                <w:highlight w:val="none"/>
                <w:u w:val="single"/>
                <w:lang w:val="en-US" w:eastAsia="zh-CN"/>
              </w:rPr>
              <w:t>05</w:t>
            </w:r>
            <w:r>
              <w:rPr>
                <w:rFonts w:hint="eastAsia" w:ascii="宋体" w:hAnsi="宋体" w:eastAsia="宋体" w:cs="宋体"/>
                <w:color w:val="auto"/>
                <w:szCs w:val="21"/>
                <w:highlight w:val="none"/>
              </w:rPr>
              <w:t>月</w:t>
            </w:r>
            <w:r>
              <w:rPr>
                <w:rFonts w:hint="eastAsia" w:ascii="宋体" w:hAnsi="宋体" w:cs="宋体"/>
                <w:color w:val="auto"/>
                <w:szCs w:val="21"/>
                <w:highlight w:val="none"/>
                <w:u w:val="single"/>
                <w:lang w:val="en-US" w:eastAsia="zh-CN"/>
              </w:rPr>
              <w:t>]内</w:t>
            </w:r>
            <w:r>
              <w:rPr>
                <w:rFonts w:hint="eastAsia" w:ascii="宋体" w:hAnsi="宋体" w:cs="宋体"/>
                <w:color w:val="auto"/>
                <w:szCs w:val="21"/>
                <w:highlight w:val="none"/>
                <w:lang w:val="en-US" w:eastAsia="zh-CN"/>
              </w:rPr>
              <w:t>连续</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3</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个月的依法缴纳社会保障资金的缴费凭证（专用收据或者社会保险缴纳清单）复印件；依法不需要缴纳社会保障资金的供应商，必须提供相应文件证明不需要缴纳社会保障资金。从取得营业执照时间起到响应文件提交截止时间为止不足要求月数的只需提供从取得营业执照起的依法缴纳社会保障资金的相应证明文件；（</w:t>
            </w:r>
            <w:r>
              <w:rPr>
                <w:rFonts w:hint="eastAsia" w:ascii="宋体" w:hAnsi="宋体" w:eastAsia="宋体" w:cs="宋体"/>
                <w:b/>
                <w:color w:val="auto"/>
                <w:szCs w:val="21"/>
                <w:highlight w:val="none"/>
              </w:rPr>
              <w:t>必须提供，否则作无效竞标处理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供应商财务状况报告</w:t>
            </w:r>
            <w:r>
              <w:rPr>
                <w:rFonts w:hint="eastAsia" w:asciiTheme="minorEastAsia" w:hAnsiTheme="minorEastAsia" w:eastAsiaTheme="minorEastAsia"/>
                <w:szCs w:val="21"/>
              </w:rPr>
              <w:t>[</w:t>
            </w:r>
            <w:r>
              <w:rPr>
                <w:rFonts w:hint="eastAsia" w:asciiTheme="minorEastAsia" w:hAnsiTheme="minorEastAsia" w:eastAsiaTheme="minorEastAsia"/>
                <w:szCs w:val="21"/>
                <w:u w:val="single"/>
                <w:lang w:val="en-US" w:eastAsia="zh-CN"/>
              </w:rPr>
              <w:t>2022</w:t>
            </w:r>
            <w:r>
              <w:rPr>
                <w:rFonts w:hint="eastAsia" w:asciiTheme="minorEastAsia" w:hAnsiTheme="minorEastAsia" w:eastAsiaTheme="minorEastAsia"/>
                <w:szCs w:val="21"/>
                <w:u w:val="single"/>
              </w:rPr>
              <w:t>年</w:t>
            </w:r>
            <w:r>
              <w:rPr>
                <w:rFonts w:hint="eastAsia" w:asciiTheme="minorEastAsia" w:hAnsiTheme="minorEastAsia" w:eastAsiaTheme="minorEastAsia"/>
                <w:szCs w:val="21"/>
                <w:u w:val="single"/>
                <w:lang w:val="en-US" w:eastAsia="zh-CN"/>
              </w:rPr>
              <w:t>或2023年</w:t>
            </w:r>
            <w:r>
              <w:rPr>
                <w:rFonts w:hint="eastAsia" w:asciiTheme="minorEastAsia" w:hAnsiTheme="minorEastAsia" w:eastAsiaTheme="minorEastAsia"/>
                <w:szCs w:val="21"/>
              </w:rPr>
              <w:t>]财务状况报告复印件；供应商成立不满一年的应按提供首次响应文件提交截止时间上一个月的财务状况报告复印件。（上述财务状况报告包括：供应商执行《企业会计准则》的，提供资产负债表、利润表、现金流量表、所有者权益变动表及其附注（以下称“四表一注”）；供应商执行《小企业会计准则》的，提供资产负债表、利润表、现金流量表及其附注（以下称“三表一注”）；供应商执行《政府会计制度》的，提供资产负债表、收入费用表和净资产变动表及其附注)；</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必须提供，否则响应文件按无效响应处理</w:t>
            </w:r>
            <w:r>
              <w:rPr>
                <w:rFonts w:hint="eastAsia" w:cs="宋体" w:asciiTheme="minorEastAsia" w:hAnsiTheme="minorEastAsia" w:eastAsiaTheme="minorEastAsia"/>
                <w:szCs w:val="21"/>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供应商直接控股、管理关系信息表；（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资格声明</w:t>
            </w:r>
            <w:r>
              <w:rPr>
                <w:rFonts w:hint="eastAsia" w:ascii="宋体" w:hAnsi="宋体" w:eastAsia="宋体" w:cs="宋体"/>
                <w:color w:val="auto"/>
                <w:szCs w:val="21"/>
                <w:highlight w:val="none"/>
                <w:lang w:eastAsia="zh-CN"/>
              </w:rPr>
              <w:t>函</w:t>
            </w:r>
            <w:r>
              <w:rPr>
                <w:rFonts w:hint="eastAsia" w:ascii="宋体" w:hAnsi="宋体" w:eastAsia="宋体" w:cs="宋体"/>
                <w:color w:val="auto"/>
                <w:szCs w:val="21"/>
                <w:highlight w:val="none"/>
              </w:rPr>
              <w:t>；（</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cs="宋体"/>
                <w:color w:val="auto"/>
                <w:szCs w:val="21"/>
                <w:highlight w:val="none"/>
                <w:lang w:val="en-US" w:eastAsia="zh-CN"/>
              </w:rPr>
              <w:t>.</w:t>
            </w:r>
            <w:r>
              <w:rPr>
                <w:rFonts w:hint="eastAsia" w:ascii="宋体" w:hAnsi="宋体" w:eastAsia="宋体" w:cs="宋体"/>
                <w:color w:val="auto"/>
                <w:szCs w:val="21"/>
                <w:highlight w:val="none"/>
              </w:rPr>
              <w:t>联合体协议书原件；（</w:t>
            </w:r>
            <w:r>
              <w:rPr>
                <w:rFonts w:hint="eastAsia" w:ascii="宋体" w:hAnsi="宋体" w:eastAsia="宋体" w:cs="宋体"/>
                <w:b/>
                <w:color w:val="auto"/>
                <w:szCs w:val="21"/>
                <w:highlight w:val="none"/>
              </w:rPr>
              <w:t>联合体竞标时必须提供，否则响应文件按无效响应处理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8</w:t>
            </w:r>
            <w:r>
              <w:rPr>
                <w:rFonts w:hint="eastAsia" w:ascii="宋体" w:hAnsi="宋体" w:cs="宋体"/>
                <w:color w:val="auto"/>
                <w:szCs w:val="21"/>
                <w:highlight w:val="none"/>
                <w:lang w:val="en-US" w:eastAsia="zh-CN"/>
              </w:rPr>
              <w:t>.</w:t>
            </w:r>
            <w:r>
              <w:rPr>
                <w:rFonts w:hint="eastAsia" w:ascii="宋体" w:hAnsi="宋体"/>
                <w:color w:val="auto"/>
                <w:szCs w:val="21"/>
                <w:highlight w:val="none"/>
                <w:lang w:eastAsia="zh-CN"/>
              </w:rPr>
              <w:t>中小</w:t>
            </w:r>
            <w:r>
              <w:rPr>
                <w:rFonts w:hint="eastAsia" w:ascii="宋体" w:hAnsi="宋体"/>
                <w:color w:val="auto"/>
                <w:szCs w:val="21"/>
                <w:highlight w:val="none"/>
              </w:rPr>
              <w:t>企业声明函或残疾人福利性单位声明函或供应商属于监狱企业的证明材料</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b/>
                <w:bCs/>
                <w:color w:val="auto"/>
                <w:szCs w:val="21"/>
                <w:highlight w:val="none"/>
                <w:lang w:val="en-US" w:eastAsia="zh-CN"/>
              </w:rPr>
              <w:t>本项目专门面向小微企业采购，</w:t>
            </w:r>
            <w:r>
              <w:rPr>
                <w:rFonts w:hint="eastAsia" w:ascii="宋体" w:hAnsi="宋体" w:eastAsia="宋体" w:cs="宋体"/>
                <w:b/>
                <w:bCs/>
                <w:color w:val="auto"/>
                <w:szCs w:val="21"/>
                <w:highlight w:val="none"/>
              </w:rPr>
              <w:t>必须</w:t>
            </w:r>
            <w:r>
              <w:rPr>
                <w:rFonts w:hint="eastAsia" w:ascii="宋体" w:hAnsi="宋体" w:eastAsia="宋体" w:cs="宋体"/>
                <w:b/>
                <w:color w:val="auto"/>
                <w:szCs w:val="21"/>
                <w:highlight w:val="none"/>
              </w:rPr>
              <w:t>提供，否则响应文件按无效响应处理</w:t>
            </w:r>
            <w:r>
              <w:rPr>
                <w:rFonts w:hint="eastAsia" w:ascii="宋体" w:hAnsi="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9.</w:t>
            </w:r>
            <w:r>
              <w:rPr>
                <w:rFonts w:hint="eastAsia" w:ascii="宋体" w:hAnsi="宋体" w:eastAsia="宋体" w:cs="宋体"/>
                <w:color w:val="auto"/>
                <w:szCs w:val="21"/>
                <w:highlight w:val="none"/>
              </w:rPr>
              <w:t>特定资格要求的资格证明材料</w:t>
            </w:r>
            <w:r>
              <w:rPr>
                <w:rFonts w:hint="eastAsia" w:ascii="宋体" w:hAnsi="宋体" w:cs="宋体"/>
                <w:color w:val="auto"/>
                <w:szCs w:val="21"/>
                <w:highlight w:val="none"/>
                <w:lang w:eastAsia="zh-CN"/>
              </w:rPr>
              <w:t>：（1）具备水利水电工程施工总承包叁级以上（含叁级）资质，并在人员、设备、资金等方面具备相应的施工能力。（2）拟派项目经理须具备水利水电工程专业贰级以上（含贰级）注册建造师执业资格，具备有效的安全生产考核合格证书（B类）。本项目不接受有在建、已中标未开工或已列为本项目或其他项目中标候选人第一名的建造师作为项目经理</w:t>
            </w:r>
            <w:r>
              <w:rPr>
                <w:rFonts w:hint="eastAsia" w:ascii="宋体" w:hAnsi="宋体" w:eastAsia="宋体" w:cs="宋体"/>
                <w:color w:val="auto"/>
                <w:szCs w:val="21"/>
                <w:highlight w:val="none"/>
              </w:rPr>
              <w:t>；</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b/>
                <w:color w:val="auto"/>
                <w:spacing w:val="0"/>
                <w:w w:val="100"/>
                <w:position w:val="0"/>
                <w:sz w:val="21"/>
                <w:szCs w:val="21"/>
                <w:highlight w:val="none"/>
              </w:rPr>
              <w:t>必须提供，否则响应文件按无效响应处理</w:t>
            </w:r>
            <w:r>
              <w:rPr>
                <w:rFonts w:hint="eastAsia" w:ascii="宋体" w:hAnsi="宋体" w:eastAsia="宋体" w:cs="宋体"/>
                <w:color w:val="auto"/>
                <w:spacing w:val="0"/>
                <w:w w:val="100"/>
                <w:position w:val="0"/>
                <w:sz w:val="21"/>
                <w:szCs w:val="21"/>
                <w:highlight w:val="none"/>
              </w:rPr>
              <w:t>）</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b/>
                <w:color w:val="auto"/>
                <w:szCs w:val="21"/>
                <w:highlight w:val="none"/>
              </w:rPr>
            </w:pP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除磋商文件规定必须提供以外，供应商认为需要提供的其他证明材料。</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ind w:firstLine="413" w:firstLineChars="196"/>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rPr>
              <w:t>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商务文件组成</w:t>
            </w:r>
          </w:p>
        </w:tc>
        <w:tc>
          <w:tcPr>
            <w:tcW w:w="6760" w:type="dxa"/>
            <w:noWrap w:val="0"/>
            <w:vAlign w:val="center"/>
          </w:tcPr>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1.无串通竞标行为的承诺函；（</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2.法定代表人身份证明书及法定代表人有效身份证正反面复印件；</w:t>
            </w:r>
            <w:r>
              <w:rPr>
                <w:rFonts w:hint="eastAsia" w:ascii="宋体" w:hAnsi="宋体" w:cs="宋体"/>
                <w:color w:val="auto"/>
                <w:szCs w:val="21"/>
                <w:highlight w:val="none"/>
              </w:rPr>
              <w:t>（</w:t>
            </w:r>
            <w:r>
              <w:rPr>
                <w:rFonts w:hint="eastAsia" w:ascii="宋体" w:hAnsi="宋体" w:cs="宋体"/>
                <w:b/>
                <w:bCs/>
                <w:color w:val="auto"/>
                <w:szCs w:val="21"/>
                <w:highlight w:val="none"/>
              </w:rPr>
              <w:t>除自然人竞标外</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jc w:val="left"/>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3.法定代表人授权委托书及委托代理人有效身份证正反面复印件；（</w:t>
            </w:r>
            <w:r>
              <w:rPr>
                <w:rFonts w:hint="eastAsia" w:ascii="宋体" w:hAnsi="宋体" w:eastAsia="宋体" w:cs="宋体"/>
                <w:b/>
                <w:color w:val="auto"/>
                <w:szCs w:val="21"/>
                <w:highlight w:val="none"/>
              </w:rPr>
              <w:t>委托时必须提供，否则响应文件按无效响应处理</w:t>
            </w:r>
            <w:r>
              <w:rPr>
                <w:rFonts w:hint="eastAsia" w:ascii="宋体" w:hAnsi="宋体" w:eastAsia="宋体" w:cs="宋体"/>
                <w:color w:val="auto"/>
                <w:szCs w:val="21"/>
                <w:highlight w:val="none"/>
              </w:rPr>
              <w:t>）</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5.竞标人情况介绍；</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bookmarkStart w:id="42" w:name="_Hlk106537541"/>
            <w:r>
              <w:rPr>
                <w:rFonts w:hint="eastAsia" w:ascii="宋体" w:hAnsi="宋体" w:cs="宋体"/>
                <w:color w:val="auto"/>
                <w:szCs w:val="21"/>
                <w:highlight w:val="none"/>
                <w:lang w:val="en-US" w:eastAsia="zh-CN"/>
              </w:rPr>
              <w:t>6.</w:t>
            </w:r>
            <w:r>
              <w:rPr>
                <w:rFonts w:hint="eastAsia" w:ascii="宋体" w:hAnsi="宋体" w:cs="宋体"/>
                <w:color w:val="000000" w:themeColor="text1"/>
                <w:szCs w:val="21"/>
                <w:highlight w:val="none"/>
                <w14:textFill>
                  <w14:solidFill>
                    <w14:schemeClr w14:val="tx1"/>
                  </w14:solidFill>
                </w14:textFill>
              </w:rPr>
              <w:t>供应商类似业绩的证明文件；</w:t>
            </w:r>
            <w:r>
              <w:rPr>
                <w:rFonts w:hint="eastAsia" w:ascii="宋体" w:hAnsi="宋体" w:cs="宋体"/>
                <w:b/>
                <w:bCs/>
                <w:color w:val="000000" w:themeColor="text1"/>
                <w:szCs w:val="21"/>
                <w:highlight w:val="none"/>
                <w14:textFill>
                  <w14:solidFill>
                    <w14:schemeClr w14:val="tx1"/>
                  </w14:solidFill>
                </w14:textFill>
              </w:rPr>
              <w:t>（如有）</w:t>
            </w:r>
          </w:p>
          <w:p>
            <w:pPr>
              <w:spacing w:line="360" w:lineRule="auto"/>
              <w:jc w:val="left"/>
              <w:rPr>
                <w:rFonts w:hint="eastAsia" w:ascii="宋体" w:hAnsi="宋体" w:eastAsia="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eastAsia="宋体" w:cs="宋体"/>
                <w:color w:val="000000" w:themeColor="text1"/>
                <w:szCs w:val="21"/>
                <w:highlight w:val="none"/>
                <w14:textFill>
                  <w14:solidFill>
                    <w14:schemeClr w14:val="tx1"/>
                  </w14:solidFill>
                </w14:textFill>
              </w:rPr>
              <w:t>.</w:t>
            </w:r>
            <w:bookmarkEnd w:id="42"/>
            <w:r>
              <w:rPr>
                <w:rFonts w:hint="eastAsia" w:ascii="宋体" w:hAnsi="宋体" w:eastAsia="宋体" w:cs="宋体"/>
                <w:color w:val="000000" w:themeColor="text1"/>
                <w:szCs w:val="21"/>
                <w:highlight w:val="none"/>
                <w14:textFill>
                  <w14:solidFill>
                    <w14:schemeClr w14:val="tx1"/>
                  </w14:solidFill>
                </w14:textFill>
              </w:rPr>
              <w:t>供应商认为需要提供的其他有关资料。</w:t>
            </w:r>
          </w:p>
          <w:p>
            <w:pPr>
              <w:snapToGrid w:val="0"/>
              <w:spacing w:line="360" w:lineRule="auto"/>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注：</w:t>
            </w:r>
          </w:p>
          <w:p>
            <w:pPr>
              <w:snapToGrid w:val="0"/>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1.法定代表人授权委托书必须由法定代表人及委托代理人签字，并加盖供应商公章，否则响应文件按无效响应处理。</w:t>
            </w:r>
          </w:p>
          <w:p>
            <w:pPr>
              <w:spacing w:line="360" w:lineRule="auto"/>
              <w:ind w:firstLine="413" w:firstLineChars="196"/>
              <w:jc w:val="left"/>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244" w:type="dxa"/>
            <w:noWrap w:val="0"/>
            <w:vAlign w:val="center"/>
          </w:tcPr>
          <w:p>
            <w:pPr>
              <w:spacing w:line="360" w:lineRule="auto"/>
              <w:jc w:val="center"/>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技术文件组成</w:t>
            </w:r>
          </w:p>
        </w:tc>
        <w:tc>
          <w:tcPr>
            <w:tcW w:w="6760" w:type="dxa"/>
            <w:noWrap w:val="0"/>
            <w:vAlign w:val="center"/>
          </w:tcPr>
          <w:p>
            <w:pPr>
              <w:spacing w:line="360" w:lineRule="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采购需求内容响应</w:t>
            </w:r>
            <w:r>
              <w:rPr>
                <w:rFonts w:hint="eastAsia" w:ascii="宋体" w:hAnsi="宋体" w:eastAsia="宋体" w:cs="宋体"/>
                <w:color w:val="auto"/>
                <w:szCs w:val="21"/>
                <w:highlight w:val="none"/>
              </w:rPr>
              <w:t>偏离表；（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.企业概况表；（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ascii="宋体" w:hAnsi="宋体" w:cs="宋体"/>
                <w:color w:val="auto"/>
                <w:szCs w:val="21"/>
                <w:highlight w:val="none"/>
              </w:rPr>
              <w:t>.</w:t>
            </w:r>
            <w:r>
              <w:rPr>
                <w:rFonts w:hint="eastAsia" w:ascii="宋体" w:hAnsi="宋体" w:cs="宋体"/>
                <w:color w:val="auto"/>
                <w:szCs w:val="21"/>
                <w:highlight w:val="none"/>
              </w:rPr>
              <w:t>项目经理（或建造师）简历表；（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ascii="宋体" w:hAnsi="宋体" w:cs="宋体"/>
                <w:color w:val="auto"/>
                <w:szCs w:val="21"/>
                <w:highlight w:val="none"/>
              </w:rPr>
              <w:t>.</w:t>
            </w:r>
            <w:r>
              <w:rPr>
                <w:rFonts w:hint="eastAsia" w:ascii="宋体" w:hAnsi="宋体" w:cs="宋体"/>
                <w:color w:val="auto"/>
                <w:szCs w:val="21"/>
                <w:highlight w:val="none"/>
              </w:rPr>
              <w:t>项目管理机构配备情况表；（</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5</w:t>
            </w:r>
            <w:r>
              <w:rPr>
                <w:rFonts w:ascii="宋体" w:hAnsi="宋体" w:cs="宋体"/>
                <w:color w:val="auto"/>
                <w:szCs w:val="21"/>
                <w:highlight w:val="none"/>
              </w:rPr>
              <w:t>.</w:t>
            </w:r>
            <w:r>
              <w:rPr>
                <w:rFonts w:hint="eastAsia" w:ascii="宋体" w:hAnsi="宋体" w:cs="宋体"/>
                <w:color w:val="auto"/>
                <w:szCs w:val="21"/>
                <w:highlight w:val="none"/>
              </w:rPr>
              <w:t>施工组织设计；（</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numPr>
                <w:ilvl w:val="0"/>
                <w:numId w:val="0"/>
              </w:numPr>
              <w:spacing w:line="360" w:lineRule="auto"/>
              <w:ind w:left="0" w:leftChars="0" w:firstLine="0" w:firstLineChars="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供应商认为需要提供的其他有关资料。</w:t>
            </w:r>
          </w:p>
          <w:p>
            <w:pPr>
              <w:numPr>
                <w:ilvl w:val="0"/>
                <w:numId w:val="0"/>
              </w:numPr>
              <w:spacing w:line="360" w:lineRule="auto"/>
              <w:ind w:leftChars="0"/>
              <w:jc w:val="left"/>
              <w:rPr>
                <w:rFonts w:hint="eastAsia" w:ascii="宋体" w:hAnsi="宋体" w:eastAsia="宋体" w:cs="宋体"/>
                <w:color w:val="auto"/>
                <w:szCs w:val="21"/>
                <w:highlight w:val="none"/>
              </w:rPr>
            </w:pPr>
            <w:r>
              <w:rPr>
                <w:rFonts w:hint="eastAsia" w:ascii="宋体" w:hAnsi="宋体" w:eastAsia="宋体" w:cs="宋体"/>
                <w:b/>
                <w:color w:val="auto"/>
                <w:szCs w:val="21"/>
                <w:highlight w:val="none"/>
              </w:rPr>
              <w:t>注：1.以上标明“必须提供”的材料属于复印件的扫描件的，必须加盖供应商电子公章，否则响应文件按无效响应处理。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报价文件组成</w:t>
            </w:r>
          </w:p>
        </w:tc>
        <w:tc>
          <w:tcPr>
            <w:tcW w:w="6760" w:type="dxa"/>
            <w:noWrap w:val="0"/>
            <w:vAlign w:val="center"/>
          </w:tcPr>
          <w:p>
            <w:pPr>
              <w:tabs>
                <w:tab w:val="left" w:pos="459"/>
              </w:tabs>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1.响应函；</w:t>
            </w:r>
            <w:r>
              <w:rPr>
                <w:rFonts w:hint="eastAsia" w:ascii="宋体" w:hAnsi="宋体" w:eastAsia="宋体" w:cs="宋体"/>
                <w:b/>
                <w:color w:val="auto"/>
                <w:szCs w:val="21"/>
                <w:highlight w:val="none"/>
              </w:rPr>
              <w:t>（必须提供，否则作无效响应处理）</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2.响应报价表；（</w:t>
            </w:r>
            <w:r>
              <w:rPr>
                <w:rFonts w:hint="eastAsia" w:ascii="宋体" w:hAnsi="宋体" w:eastAsia="宋体" w:cs="宋体"/>
                <w:b/>
                <w:color w:val="auto"/>
                <w:szCs w:val="21"/>
                <w:highlight w:val="none"/>
              </w:rPr>
              <w:t>必须提供，否则响应文件按无效响应处理</w:t>
            </w:r>
            <w:r>
              <w:rPr>
                <w:rFonts w:hint="eastAsia" w:ascii="宋体" w:hAnsi="宋体" w:eastAsia="宋体" w:cs="宋体"/>
                <w:color w:val="auto"/>
                <w:szCs w:val="21"/>
                <w:highlight w:val="none"/>
              </w:rPr>
              <w:t>）</w:t>
            </w:r>
          </w:p>
          <w:p>
            <w:pPr>
              <w:spacing w:line="360" w:lineRule="auto"/>
              <w:jc w:val="left"/>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已标价工程量清单</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b/>
                <w:color w:val="auto"/>
                <w:szCs w:val="21"/>
                <w:highlight w:val="none"/>
              </w:rPr>
              <w:t>必须提供，否则响应文件按无效响应处理</w:t>
            </w:r>
            <w:r>
              <w:rPr>
                <w:rFonts w:hint="eastAsia" w:ascii="宋体" w:hAnsi="宋体" w:cs="宋体"/>
                <w:color w:val="auto"/>
                <w:szCs w:val="21"/>
                <w:highlight w:val="none"/>
              </w:rPr>
              <w:t>）</w:t>
            </w:r>
          </w:p>
          <w:p>
            <w:pPr>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eastAsia="宋体" w:cs="宋体"/>
                <w:color w:val="auto"/>
                <w:szCs w:val="21"/>
                <w:highlight w:val="none"/>
              </w:rPr>
              <w:t>.供应商认为需要提供的其他有关资料。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响应文件电子版要求</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1.响应文件电子版要求：按照本采购文件“第五章 响应文件格式”编写（第五章未附格式的，由供应商自行拟定），不可涂改并在规定加盖公章处加盖电子公章，</w:t>
            </w:r>
            <w:r>
              <w:rPr>
                <w:rFonts w:hint="eastAsia" w:ascii="宋体" w:hAnsi="宋体" w:eastAsia="宋体" w:cs="宋体"/>
                <w:b/>
                <w:color w:val="auto"/>
                <w:szCs w:val="21"/>
                <w:highlight w:val="none"/>
              </w:rPr>
              <w:t>否则响应文件按无效响应处理</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2.响应文件电子版密封方式：电子响应文件通过平台有效CA加密后在“</w:t>
            </w:r>
            <w:r>
              <w:rPr>
                <w:rFonts w:hint="eastAsia" w:ascii="宋体" w:hAnsi="宋体" w:cs="宋体"/>
                <w:color w:val="auto"/>
                <w:szCs w:val="21"/>
                <w:highlight w:val="none"/>
                <w:lang w:val="en-US" w:eastAsia="zh-CN"/>
              </w:rPr>
              <w:t>广西</w:t>
            </w:r>
            <w:r>
              <w:rPr>
                <w:rFonts w:hint="eastAsia" w:ascii="宋体" w:hAnsi="宋体" w:eastAsia="宋体" w:cs="宋体"/>
                <w:color w:val="auto"/>
                <w:szCs w:val="21"/>
                <w:highlight w:val="none"/>
              </w:rPr>
              <w:t>政采云平台”投送。（操作方式见公告附件“电子响应文件制作与投送教程”）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响应报价要求</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报价必须包含：</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①满足本项目全部采购需求，包含投标服务、货物、工程的成本、运输（含保险）、安装（如有）、调试、检验、技术服务、培训等所有费用。</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eastAsia="zh-CN"/>
              </w:rPr>
              <w:t>②必要的保险费和各项税金（成交供应商需为该工程购买工程一切险）。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竞标有效期</w:t>
            </w:r>
          </w:p>
        </w:tc>
        <w:tc>
          <w:tcPr>
            <w:tcW w:w="6760" w:type="dxa"/>
            <w:noWrap w:val="0"/>
            <w:vAlign w:val="center"/>
          </w:tcPr>
          <w:p>
            <w:pPr>
              <w:pStyle w:val="10"/>
              <w:widowControl w:val="0"/>
              <w:numPr>
                <w:ilvl w:val="0"/>
                <w:numId w:val="0"/>
              </w:numPr>
              <w:tabs>
                <w:tab w:val="left" w:pos="720"/>
                <w:tab w:val="left" w:pos="840"/>
              </w:tabs>
              <w:snapToGrid w:val="0"/>
              <w:spacing w:afterLines="0" w:line="360" w:lineRule="auto"/>
              <w:ind w:left="-283" w:leftChars="-135" w:firstLine="0" w:firstLineChars="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自</w:t>
            </w:r>
            <w:r>
              <w:rPr>
                <w:rFonts w:hint="eastAsia" w:cs="宋体" w:asciiTheme="minorEastAsia" w:hAnsiTheme="minorEastAsia" w:eastAsiaTheme="minorEastAsia"/>
                <w:kern w:val="2"/>
                <w:sz w:val="21"/>
                <w:szCs w:val="21"/>
              </w:rPr>
              <w:t>自</w:t>
            </w:r>
            <w:r>
              <w:rPr>
                <w:rFonts w:hint="eastAsia" w:cs="宋体" w:asciiTheme="minorEastAsia" w:hAnsiTheme="minorEastAsia" w:eastAsiaTheme="minorEastAsia"/>
                <w:kern w:val="2"/>
                <w:sz w:val="21"/>
                <w:szCs w:val="21"/>
                <w:lang w:eastAsia="zh-CN"/>
              </w:rPr>
              <w:t>首</w:t>
            </w:r>
            <w:r>
              <w:rPr>
                <w:rFonts w:hint="eastAsia" w:ascii="宋体" w:hAnsi="宋体" w:eastAsia="宋体" w:cs="宋体"/>
                <w:color w:val="auto"/>
                <w:kern w:val="2"/>
                <w:sz w:val="21"/>
                <w:szCs w:val="21"/>
                <w:highlight w:val="none"/>
              </w:rPr>
              <w:t>次响应文件提交截止之日起</w:t>
            </w:r>
            <w:r>
              <w:rPr>
                <w:rFonts w:hint="eastAsia" w:ascii="宋体" w:hAnsi="宋体" w:eastAsia="宋体" w:cs="宋体"/>
                <w:color w:val="auto"/>
                <w:kern w:val="2"/>
                <w:sz w:val="21"/>
                <w:szCs w:val="21"/>
                <w:highlight w:val="none"/>
                <w:u w:val="single"/>
              </w:rPr>
              <w:t xml:space="preserve"> 60 </w:t>
            </w:r>
            <w:r>
              <w:rPr>
                <w:rFonts w:hint="eastAsia" w:ascii="宋体" w:hAnsi="宋体" w:eastAsia="宋体" w:cs="宋体"/>
                <w:color w:val="auto"/>
                <w:kern w:val="2"/>
                <w:sz w:val="21"/>
                <w:szCs w:val="21"/>
                <w:highlight w:val="none"/>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17.1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磋商保证金</w:t>
            </w:r>
          </w:p>
        </w:tc>
        <w:tc>
          <w:tcPr>
            <w:tcW w:w="6760" w:type="dxa"/>
            <w:noWrap w:val="0"/>
            <w:vAlign w:val="center"/>
          </w:tcPr>
          <w:p>
            <w:pPr>
              <w:autoSpaceDE w:val="0"/>
              <w:autoSpaceDN w:val="0"/>
              <w:snapToGrid w:val="0"/>
              <w:spacing w:line="360" w:lineRule="auto"/>
              <w:jc w:val="left"/>
              <w:textAlignment w:val="bottom"/>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8" w:hRule="atLeast"/>
          <w:jc w:val="center"/>
        </w:trPr>
        <w:tc>
          <w:tcPr>
            <w:tcW w:w="90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首次响应文件提交起止时间</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首次响应文件提交地点</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20.6</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备份响应文件</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本项目不接受备份响应文件。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2" w:hRule="atLeast"/>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首次响应文件的退回</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详见竞争性磋商公告。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4" w:hRule="atLeast"/>
          <w:jc w:val="center"/>
        </w:trPr>
        <w:tc>
          <w:tcPr>
            <w:tcW w:w="90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负偏离要求</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商务条款评审中允许负偏离的条款数为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p>
            <w:pPr>
              <w:snapToGrid w:val="0"/>
              <w:spacing w:line="36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技术</w:t>
            </w:r>
            <w:r>
              <w:rPr>
                <w:rFonts w:hint="eastAsia" w:ascii="宋体" w:hAnsi="宋体" w:eastAsia="宋体" w:cs="宋体"/>
                <w:color w:val="auto"/>
                <w:szCs w:val="21"/>
                <w:highlight w:val="none"/>
              </w:rPr>
              <w:t>需求评审中允许负偏离的条款数为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0</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244" w:type="dxa"/>
            <w:noWrap w:val="0"/>
            <w:vAlign w:val="center"/>
          </w:tcPr>
          <w:p>
            <w:pPr>
              <w:snapToGrid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磋商的顺序</w:t>
            </w:r>
          </w:p>
        </w:tc>
        <w:tc>
          <w:tcPr>
            <w:tcW w:w="6760" w:type="dxa"/>
            <w:noWrap w:val="0"/>
            <w:vAlign w:val="center"/>
          </w:tcPr>
          <w:p>
            <w:pPr>
              <w:pStyle w:val="11"/>
              <w:spacing w:line="360" w:lineRule="auto"/>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按照提交首次响应文件的顺序，通知磋商时，若某供应商不在通知现场时，该供应商排序到最后磋商，按照签到的顺序由其下一位供应商先参与磋商。</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随机排序。</w:t>
            </w:r>
          </w:p>
          <w:p>
            <w:pPr>
              <w:pStyle w:val="11"/>
              <w:spacing w:line="360" w:lineRule="auto"/>
              <w:jc w:val="left"/>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参与磋商前，供应商法定代表人或者委托代理人必须向磋商小组出示本人有效证件原件[有效证件可以是身份证（含临时身份证明）、机动车驾驶证、社会保障卡或者护照的其中一项]，若参与磋商的委托代理人不是响应文件中授权的委托代理人时，必须同时出示有效的法定代表人授权委托书原件，否则磋商小组将拒绝其参与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28</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履约保证金</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本项目收取履约保证金</w:t>
            </w:r>
            <w:r>
              <w:rPr>
                <w:rFonts w:hint="eastAsia" w:ascii="宋体" w:hAnsi="宋体" w:cs="宋体"/>
                <w:color w:val="auto"/>
                <w:szCs w:val="21"/>
                <w:highlight w:val="none"/>
                <w:lang w:eastAsia="zh-CN"/>
              </w:rPr>
              <w:t>：按中标金额的2%。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29.5</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签订合同携带的材料</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使用的有效CA证书加盖单位电子公章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restart"/>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接收质疑函方式</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以书面形式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质疑联系部门及联系方式</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（1）</w:t>
            </w:r>
            <w:r>
              <w:rPr>
                <w:rFonts w:hint="eastAsia" w:ascii="宋体" w:hAnsi="宋体" w:cs="宋体"/>
                <w:color w:val="auto"/>
                <w:szCs w:val="21"/>
                <w:highlight w:val="none"/>
                <w:u w:val="single"/>
                <w:lang w:eastAsia="zh-CN"/>
              </w:rPr>
              <w:t>广西佳鸿工程咨询有限公司</w:t>
            </w:r>
            <w:r>
              <w:rPr>
                <w:rFonts w:hint="eastAsia" w:ascii="宋体" w:hAnsi="宋体" w:eastAsia="宋体" w:cs="宋体"/>
                <w:color w:val="auto"/>
                <w:szCs w:val="21"/>
                <w:highlight w:val="none"/>
              </w:rPr>
              <w:t>；</w:t>
            </w:r>
          </w:p>
          <w:p>
            <w:pPr>
              <w:snapToGrid w:val="0"/>
              <w:spacing w:line="360" w:lineRule="auto"/>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val="en-US" w:eastAsia="zh-CN"/>
              </w:rPr>
              <w:t>0771-6509080 </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隆安县城厢镇康安街30号</w:t>
            </w:r>
          </w:p>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u w:val="none"/>
              </w:rPr>
              <w:t>（2）</w:t>
            </w:r>
            <w:r>
              <w:rPr>
                <w:rFonts w:hint="eastAsia" w:ascii="宋体" w:hAnsi="宋体" w:cs="宋体"/>
                <w:color w:val="auto"/>
                <w:szCs w:val="21"/>
                <w:highlight w:val="none"/>
                <w:u w:val="single"/>
                <w:lang w:eastAsia="zh-CN"/>
              </w:rPr>
              <w:t>隆安县水利局</w:t>
            </w:r>
            <w:r>
              <w:rPr>
                <w:rFonts w:hint="eastAsia" w:ascii="宋体" w:hAnsi="宋体" w:eastAsia="宋体" w:cs="宋体"/>
                <w:color w:val="auto"/>
                <w:szCs w:val="21"/>
                <w:highlight w:val="none"/>
              </w:rPr>
              <w:t>；</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联系电话：</w:t>
            </w:r>
            <w:r>
              <w:rPr>
                <w:rFonts w:hint="eastAsia" w:ascii="宋体" w:hAnsi="宋体" w:cs="宋体"/>
                <w:color w:val="auto"/>
                <w:szCs w:val="21"/>
                <w:highlight w:val="none"/>
                <w:lang w:eastAsia="zh-CN"/>
              </w:rPr>
              <w:t>0771-6529831</w:t>
            </w:r>
          </w:p>
          <w:p>
            <w:pPr>
              <w:snapToGrid w:val="0"/>
              <w:spacing w:line="360" w:lineRule="auto"/>
              <w:jc w:val="lef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通讯地址：</w:t>
            </w:r>
            <w:r>
              <w:rPr>
                <w:rFonts w:hint="eastAsia" w:ascii="宋体" w:hAnsi="宋体" w:cs="宋体"/>
                <w:color w:val="auto"/>
                <w:szCs w:val="21"/>
                <w:highlight w:val="none"/>
                <w:lang w:eastAsia="zh-CN"/>
              </w:rPr>
              <w:t>隆安县城厢镇蝶城路405号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vMerge w:val="continue"/>
            <w:noWrap w:val="0"/>
            <w:vAlign w:val="center"/>
          </w:tcPr>
          <w:p>
            <w:pPr>
              <w:spacing w:line="360" w:lineRule="auto"/>
              <w:jc w:val="center"/>
              <w:rPr>
                <w:rFonts w:hint="eastAsia" w:ascii="宋体" w:hAnsi="宋体" w:eastAsia="宋体" w:cs="宋体"/>
                <w:color w:val="auto"/>
                <w:szCs w:val="21"/>
                <w:highlight w:val="none"/>
              </w:rPr>
            </w:pP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现场提交质疑办理业务时间</w:t>
            </w:r>
          </w:p>
        </w:tc>
        <w:tc>
          <w:tcPr>
            <w:tcW w:w="6760" w:type="dxa"/>
            <w:noWrap w:val="0"/>
            <w:vAlign w:val="center"/>
          </w:tcPr>
          <w:p>
            <w:pPr>
              <w:snapToGrid w:val="0"/>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highlight w:val="none"/>
              </w:rPr>
              <w:t>质疑期内每个工作日</w:t>
            </w:r>
            <w:r>
              <w:rPr>
                <w:rFonts w:hint="eastAsia" w:ascii="宋体" w:hAnsi="宋体" w:eastAsia="宋体" w:cs="宋体"/>
                <w:color w:val="auto"/>
                <w:highlight w:val="none"/>
                <w:u w:val="single"/>
                <w:lang w:val="en-US" w:eastAsia="zh-CN"/>
              </w:rPr>
              <w:t>9</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rPr>
              <w:t>12</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w:t>
            </w:r>
            <w:r>
              <w:rPr>
                <w:rFonts w:hint="eastAsia" w:ascii="宋体" w:hAnsi="宋体" w:eastAsia="宋体" w:cs="宋体"/>
                <w:color w:val="auto"/>
                <w:highlight w:val="none"/>
                <w:u w:val="single"/>
              </w:rPr>
              <w:t>15</w:t>
            </w:r>
            <w:r>
              <w:rPr>
                <w:rFonts w:hint="eastAsia" w:ascii="宋体" w:hAnsi="宋体" w:eastAsia="宋体" w:cs="宋体"/>
                <w:color w:val="auto"/>
                <w:highlight w:val="none"/>
              </w:rPr>
              <w:t>时</w:t>
            </w:r>
            <w:r>
              <w:rPr>
                <w:rFonts w:hint="eastAsia" w:ascii="宋体" w:hAnsi="宋体" w:eastAsia="宋体" w:cs="宋体"/>
                <w:color w:val="auto"/>
                <w:highlight w:val="none"/>
                <w:u w:val="single"/>
              </w:rPr>
              <w:t>00</w:t>
            </w:r>
            <w:r>
              <w:rPr>
                <w:rFonts w:hint="eastAsia" w:ascii="宋体" w:hAnsi="宋体" w:eastAsia="宋体" w:cs="宋体"/>
                <w:color w:val="auto"/>
                <w:highlight w:val="none"/>
              </w:rPr>
              <w:t>分到</w:t>
            </w:r>
            <w:r>
              <w:rPr>
                <w:rFonts w:hint="eastAsia" w:ascii="宋体" w:hAnsi="宋体" w:eastAsia="宋体" w:cs="宋体"/>
                <w:color w:val="auto"/>
                <w:highlight w:val="none"/>
                <w:u w:val="single"/>
                <w:lang w:val="en-US" w:eastAsia="zh-CN"/>
              </w:rPr>
              <w:t>17</w:t>
            </w:r>
            <w:r>
              <w:rPr>
                <w:rFonts w:hint="eastAsia" w:ascii="宋体" w:hAnsi="宋体" w:eastAsia="宋体" w:cs="宋体"/>
                <w:color w:val="auto"/>
                <w:highlight w:val="none"/>
              </w:rPr>
              <w:t>时</w:t>
            </w:r>
            <w:r>
              <w:rPr>
                <w:rFonts w:hint="eastAsia" w:ascii="宋体" w:hAnsi="宋体" w:eastAsia="宋体" w:cs="宋体"/>
                <w:color w:val="auto"/>
                <w:highlight w:val="none"/>
                <w:u w:val="single"/>
                <w:lang w:val="en-US" w:eastAsia="zh-CN"/>
              </w:rPr>
              <w:t>3</w:t>
            </w:r>
            <w:r>
              <w:rPr>
                <w:rFonts w:hint="eastAsia" w:ascii="宋体" w:hAnsi="宋体" w:eastAsia="宋体" w:cs="宋体"/>
                <w:color w:val="auto"/>
                <w:highlight w:val="none"/>
                <w:u w:val="single"/>
              </w:rPr>
              <w:t>0</w:t>
            </w:r>
            <w:r>
              <w:rPr>
                <w:rFonts w:hint="eastAsia" w:ascii="宋体" w:hAnsi="宋体" w:eastAsia="宋体" w:cs="宋体"/>
                <w:color w:val="auto"/>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31.6</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受理投诉方式</w:t>
            </w:r>
          </w:p>
        </w:tc>
        <w:tc>
          <w:tcPr>
            <w:tcW w:w="6760" w:type="dxa"/>
            <w:noWrap w:val="0"/>
            <w:vAlign w:val="center"/>
          </w:tcPr>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1、受理方式：纸质方式受理，投诉书正、副本（经过质疑的事项才可投诉）。</w:t>
            </w:r>
          </w:p>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2、邮寄地址：</w:t>
            </w:r>
          </w:p>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名称：隆安县财政局</w:t>
            </w:r>
          </w:p>
          <w:p>
            <w:pPr>
              <w:snapToGrid w:val="0"/>
              <w:spacing w:line="360" w:lineRule="auto"/>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地址：</w:t>
            </w:r>
            <w:r>
              <w:rPr>
                <w:rFonts w:hint="eastAsia" w:ascii="宋体" w:hAnsi="宋体" w:eastAsia="宋体" w:cs="宋体"/>
                <w:color w:val="auto"/>
                <w:szCs w:val="21"/>
                <w:highlight w:val="none"/>
                <w:lang w:bidi="ar"/>
              </w:rPr>
              <w:t>隆安县广场路8号</w:t>
            </w:r>
            <w:r>
              <w:rPr>
                <w:rFonts w:hint="eastAsia" w:ascii="宋体" w:hAnsi="宋体" w:eastAsia="宋体" w:cs="宋体"/>
                <w:color w:val="auto"/>
                <w:szCs w:val="21"/>
                <w:highlight w:val="none"/>
                <w:lang w:eastAsia="zh-CN"/>
              </w:rPr>
              <w:t xml:space="preserve"> </w:t>
            </w:r>
            <w:r>
              <w:rPr>
                <w:rFonts w:hint="eastAsia" w:ascii="宋体" w:hAnsi="宋体" w:eastAsia="宋体" w:cs="宋体"/>
                <w:color w:val="auto"/>
                <w:szCs w:val="21"/>
                <w:highlight w:val="none"/>
              </w:rPr>
              <w:t xml:space="preserve"> </w:t>
            </w:r>
          </w:p>
          <w:p>
            <w:pPr>
              <w:snapToGrid w:val="0"/>
              <w:spacing w:line="360" w:lineRule="auto"/>
              <w:jc w:val="both"/>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 xml:space="preserve">联系电话：0771-6531019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33</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采购代理费</w:t>
            </w:r>
          </w:p>
        </w:tc>
        <w:tc>
          <w:tcPr>
            <w:tcW w:w="6760" w:type="dxa"/>
            <w:noWrap w:val="0"/>
            <w:vAlign w:val="center"/>
          </w:tcPr>
          <w:p>
            <w:pPr>
              <w:pStyle w:val="16"/>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1. 是否收取采购代理费：</w:t>
            </w:r>
          </w:p>
          <w:p>
            <w:pPr>
              <w:pStyle w:val="16"/>
              <w:snapToGrid w:val="0"/>
              <w:spacing w:line="360" w:lineRule="auto"/>
              <w:rPr>
                <w:rFonts w:hAnsi="宋体" w:eastAsia="Times New Roman" w:cs="宋体"/>
                <w:color w:val="auto"/>
                <w:sz w:val="21"/>
                <w:szCs w:val="21"/>
                <w:highlight w:val="none"/>
              </w:rPr>
            </w:pPr>
            <w:r>
              <w:rPr>
                <w:rFonts w:hint="eastAsia" w:ascii="MS Mincho" w:hAnsi="MS Mincho" w:eastAsia="MS Mincho" w:cs="MS Mincho"/>
                <w:color w:val="auto"/>
                <w:sz w:val="21"/>
                <w:szCs w:val="21"/>
                <w:highlight w:val="none"/>
              </w:rPr>
              <w:t>☑</w:t>
            </w:r>
            <w:r>
              <w:rPr>
                <w:rFonts w:hAnsi="宋体" w:eastAsia="Times New Roman" w:cs="宋体"/>
                <w:color w:val="auto"/>
                <w:sz w:val="21"/>
                <w:szCs w:val="21"/>
                <w:highlight w:val="none"/>
              </w:rPr>
              <w:t>是    □ 否</w:t>
            </w:r>
          </w:p>
          <w:p>
            <w:pPr>
              <w:pStyle w:val="16"/>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2.采购代理费支付方式：</w:t>
            </w:r>
          </w:p>
          <w:p>
            <w:pPr>
              <w:pStyle w:val="16"/>
              <w:snapToGrid w:val="0"/>
              <w:spacing w:line="360" w:lineRule="auto"/>
              <w:rPr>
                <w:rFonts w:hAnsi="宋体" w:eastAsia="Times New Roman" w:cs="宋体"/>
                <w:color w:val="auto"/>
                <w:sz w:val="21"/>
                <w:szCs w:val="21"/>
                <w:highlight w:val="none"/>
              </w:rPr>
            </w:pPr>
            <w:r>
              <w:rPr>
                <w:rFonts w:hint="eastAsia" w:ascii="MS Mincho" w:hAnsi="MS Mincho" w:eastAsia="宋体" w:cs="MS Mincho"/>
                <w:color w:val="auto"/>
                <w:sz w:val="21"/>
                <w:szCs w:val="21"/>
                <w:highlight w:val="none"/>
                <w:lang w:eastAsia="zh-CN"/>
              </w:rPr>
              <w:t>□</w:t>
            </w:r>
            <w:r>
              <w:rPr>
                <w:rFonts w:hAnsi="宋体" w:eastAsia="Times New Roman" w:cs="宋体"/>
                <w:color w:val="auto"/>
                <w:sz w:val="21"/>
                <w:szCs w:val="21"/>
                <w:highlight w:val="none"/>
              </w:rPr>
              <w:t>本项目代理服务费由</w:t>
            </w:r>
            <w:r>
              <w:rPr>
                <w:rFonts w:hAnsi="宋体" w:eastAsia="Times New Roman" w:cs="宋体"/>
                <w:color w:val="auto"/>
                <w:sz w:val="21"/>
                <w:szCs w:val="21"/>
                <w:highlight w:val="none"/>
                <w:u w:val="single"/>
              </w:rPr>
              <w:t>成交供应商</w:t>
            </w:r>
            <w:r>
              <w:rPr>
                <w:rFonts w:hAnsi="宋体" w:eastAsia="Times New Roman" w:cs="宋体"/>
                <w:color w:val="auto"/>
                <w:sz w:val="21"/>
                <w:szCs w:val="21"/>
                <w:highlight w:val="none"/>
              </w:rPr>
              <w:t>领取成交通知书前，一次性向采购代理机构支付。</w:t>
            </w:r>
          </w:p>
          <w:p>
            <w:pPr>
              <w:pStyle w:val="16"/>
              <w:snapToGrid w:val="0"/>
              <w:spacing w:line="360" w:lineRule="auto"/>
              <w:rPr>
                <w:rFonts w:hAnsi="宋体" w:eastAsia="Times New Roman" w:cs="宋体"/>
                <w:color w:val="auto"/>
                <w:sz w:val="21"/>
                <w:szCs w:val="21"/>
                <w:highlight w:val="none"/>
              </w:rPr>
            </w:pPr>
            <w:r>
              <w:rPr>
                <w:rFonts w:hint="eastAsia" w:hAnsi="宋体" w:eastAsia="宋体" w:cs="宋体"/>
                <w:color w:val="auto"/>
                <w:sz w:val="21"/>
                <w:szCs w:val="21"/>
                <w:highlight w:val="none"/>
                <w:lang w:eastAsia="zh-CN"/>
              </w:rPr>
              <w:t>☑</w:t>
            </w:r>
            <w:r>
              <w:rPr>
                <w:rFonts w:hAnsi="宋体" w:eastAsia="Times New Roman" w:cs="宋体"/>
                <w:color w:val="auto"/>
                <w:sz w:val="21"/>
                <w:szCs w:val="21"/>
                <w:highlight w:val="none"/>
              </w:rPr>
              <w:t>采购人支付。</w:t>
            </w:r>
          </w:p>
          <w:p>
            <w:pPr>
              <w:pStyle w:val="16"/>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3.采购代理费收取标准</w:t>
            </w:r>
            <w:r>
              <w:rPr>
                <w:rFonts w:hint="eastAsia" w:hAnsi="宋体" w:cs="宋体"/>
                <w:color w:val="auto"/>
                <w:sz w:val="21"/>
                <w:szCs w:val="21"/>
                <w:highlight w:val="none"/>
                <w:lang w:eastAsia="zh-CN"/>
              </w:rPr>
              <w:t>：</w:t>
            </w:r>
            <w:r>
              <w:rPr>
                <w:rFonts w:hint="eastAsia" w:hAnsi="宋体" w:cs="宋体"/>
                <w:color w:val="auto"/>
                <w:sz w:val="21"/>
                <w:szCs w:val="21"/>
                <w:highlight w:val="none"/>
                <w:lang w:val="en-US" w:eastAsia="zh-CN"/>
              </w:rPr>
              <w:t>参考</w:t>
            </w:r>
            <w:r>
              <w:rPr>
                <w:rFonts w:hint="eastAsia" w:ascii="宋体" w:hAnsi="宋体" w:eastAsia="宋体" w:cs="宋体"/>
                <w:color w:val="auto"/>
                <w:sz w:val="21"/>
                <w:szCs w:val="21"/>
                <w:highlight w:val="none"/>
              </w:rPr>
              <w:t>国家发展计划委员会计价格[2002]1980号《招标代理服务收费管理暂行办法》和《国家发展改革委办公厅关于采购代理服务费的通知》（发改办价格[2003]857号）文件规定的工程类收费标准收取。</w:t>
            </w:r>
          </w:p>
          <w:p>
            <w:pPr>
              <w:pStyle w:val="16"/>
              <w:snapToGrid w:val="0"/>
              <w:spacing w:line="360" w:lineRule="auto"/>
              <w:rPr>
                <w:rFonts w:hAnsi="宋体" w:eastAsia="Times New Roman" w:cs="宋体"/>
                <w:color w:val="auto"/>
                <w:sz w:val="21"/>
                <w:szCs w:val="21"/>
                <w:highlight w:val="none"/>
              </w:rPr>
            </w:pPr>
            <w:r>
              <w:rPr>
                <w:rFonts w:hAnsi="宋体" w:eastAsia="Times New Roman" w:cs="宋体"/>
                <w:color w:val="auto"/>
                <w:sz w:val="21"/>
                <w:szCs w:val="21"/>
                <w:highlight w:val="none"/>
              </w:rPr>
              <w:t>4.采购代理费收取银行账户</w:t>
            </w:r>
          </w:p>
          <w:p>
            <w:pPr>
              <w:pStyle w:val="16"/>
              <w:snapToGrid w:val="0"/>
              <w:spacing w:line="360" w:lineRule="auto"/>
              <w:rPr>
                <w:rFonts w:hint="eastAsia" w:ascii="宋体" w:hAnsi="宋体" w:eastAsia="Times New Roman" w:cs="宋体"/>
                <w:color w:val="auto"/>
                <w:sz w:val="21"/>
                <w:szCs w:val="21"/>
                <w:highlight w:val="none"/>
                <w:lang w:val="en-US" w:eastAsia="zh-CN"/>
              </w:rPr>
            </w:pPr>
            <w:r>
              <w:rPr>
                <w:rFonts w:hint="eastAsia" w:ascii="宋体" w:hAnsi="宋体" w:eastAsia="Times New Roman" w:cs="宋体"/>
                <w:color w:val="auto"/>
                <w:sz w:val="21"/>
                <w:szCs w:val="21"/>
                <w:highlight w:val="none"/>
                <w:lang w:val="en-US" w:eastAsia="zh-CN"/>
              </w:rPr>
              <w:t>开户名称：</w:t>
            </w:r>
            <w:r>
              <w:rPr>
                <w:rFonts w:hint="eastAsia" w:hAnsi="宋体" w:eastAsia="Times New Roman" w:cs="宋体"/>
                <w:color w:val="auto"/>
                <w:sz w:val="21"/>
                <w:szCs w:val="21"/>
                <w:highlight w:val="none"/>
                <w:lang w:val="en-US" w:eastAsia="zh-CN"/>
              </w:rPr>
              <w:t>广西佳鸿工程咨询有限公司</w:t>
            </w:r>
          </w:p>
          <w:p>
            <w:pPr>
              <w:pStyle w:val="16"/>
              <w:snapToGrid w:val="0"/>
              <w:spacing w:line="360" w:lineRule="auto"/>
              <w:rPr>
                <w:rFonts w:hint="eastAsia" w:hAnsi="宋体" w:cs="宋体"/>
                <w:color w:val="auto"/>
                <w:sz w:val="21"/>
                <w:lang w:val="en-US" w:eastAsia="zh-CN"/>
              </w:rPr>
            </w:pPr>
            <w:r>
              <w:rPr>
                <w:rFonts w:hint="eastAsia" w:hAnsi="宋体" w:cs="宋体"/>
                <w:color w:val="auto"/>
                <w:sz w:val="21"/>
                <w:lang w:val="en-US" w:eastAsia="zh-CN"/>
              </w:rPr>
              <w:t xml:space="preserve">开户银行：广西隆安农村商业银行股份有限公司屏山支行 </w:t>
            </w:r>
          </w:p>
          <w:p>
            <w:pPr>
              <w:pStyle w:val="16"/>
              <w:snapToGrid w:val="0"/>
              <w:spacing w:line="360" w:lineRule="auto"/>
              <w:rPr>
                <w:rFonts w:hint="eastAsia" w:hAnsi="宋体" w:cs="宋体"/>
                <w:color w:val="auto"/>
                <w:sz w:val="21"/>
                <w:lang w:val="en-US" w:eastAsia="zh-CN"/>
              </w:rPr>
            </w:pPr>
            <w:r>
              <w:rPr>
                <w:rFonts w:hint="eastAsia" w:hAnsi="宋体" w:cs="宋体"/>
                <w:color w:val="auto"/>
                <w:sz w:val="21"/>
                <w:lang w:val="en-US" w:eastAsia="zh-CN"/>
              </w:rPr>
              <w:t>银行账号：128412010107195901</w:t>
            </w:r>
          </w:p>
          <w:p>
            <w:pPr>
              <w:pStyle w:val="16"/>
              <w:snapToGrid w:val="0"/>
              <w:spacing w:line="360" w:lineRule="auto"/>
              <w:rPr>
                <w:rFonts w:hint="eastAsia" w:ascii="宋体" w:hAnsi="宋体" w:eastAsia="宋体" w:cs="宋体"/>
                <w:color w:val="auto"/>
                <w:sz w:val="21"/>
                <w:highlight w:val="none"/>
                <w:lang w:val="en-US" w:eastAsia="zh-CN"/>
              </w:rPr>
            </w:pPr>
            <w:r>
              <w:rPr>
                <w:rFonts w:hint="eastAsia" w:ascii="宋体" w:hAnsi="宋体" w:eastAsia="宋体" w:cs="Times New Roman"/>
                <w:color w:val="auto"/>
                <w:kern w:val="2"/>
                <w:sz w:val="21"/>
                <w:szCs w:val="21"/>
                <w:highlight w:val="none"/>
                <w:lang w:val="en-US" w:eastAsia="zh-CN" w:bidi="ar-SA"/>
              </w:rPr>
              <w:t>备注信息：某项目编号或项目名称采购代理服务费。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highlight w:val="none"/>
              </w:rPr>
              <w:t>解释</w:t>
            </w:r>
          </w:p>
        </w:tc>
        <w:tc>
          <w:tcPr>
            <w:tcW w:w="6760" w:type="dxa"/>
            <w:noWrap w:val="0"/>
            <w:vAlign w:val="center"/>
          </w:tcPr>
          <w:p>
            <w:pPr>
              <w:pStyle w:val="16"/>
              <w:snapToGrid w:val="0"/>
              <w:spacing w:line="360" w:lineRule="auto"/>
              <w:jc w:val="left"/>
              <w:rPr>
                <w:rFonts w:hint="eastAsia" w:ascii="宋体" w:hAnsi="宋体" w:eastAsia="宋体" w:cs="宋体"/>
                <w:b/>
                <w:color w:val="auto"/>
                <w:sz w:val="21"/>
                <w:highlight w:val="none"/>
                <w:lang w:val="en-US" w:eastAsia="zh-CN"/>
              </w:rPr>
            </w:pPr>
            <w:r>
              <w:rPr>
                <w:rFonts w:hint="eastAsia" w:ascii="宋体" w:hAnsi="宋体" w:eastAsia="宋体" w:cs="宋体"/>
                <w:b/>
                <w:color w:val="auto"/>
                <w:sz w:val="21"/>
                <w:highlight w:val="none"/>
                <w:lang w:val="en-US" w:eastAsia="zh-CN"/>
              </w:rPr>
              <w:t>解释权：</w:t>
            </w:r>
            <w:r>
              <w:rPr>
                <w:rFonts w:hint="eastAsia" w:ascii="宋体" w:hAnsi="宋体" w:eastAsia="宋体" w:cs="宋体"/>
                <w:color w:val="auto"/>
                <w:sz w:val="21"/>
                <w:highlight w:val="none"/>
                <w:lang w:val="en-US" w:eastAsia="zh-CN"/>
              </w:rPr>
              <w:t>构成本磋商文件的各个组成文件应互为解释，互为说明；除磋商文件中有特别规定外，仅适用于竞标阶段的规定，按更正公告（澄清公告）、竞争性磋商公告、供应商须知、采购需求、评审程序、评审方法和评审标准、响应文件格式、合同文本的先后顺序解释；同一组成文件中就同一事项的规定或者约定不一致的，以编排顺序在后者为准；同一组成文件不同版本之间有不一致的，以形成时间在后者为准；更正公告（澄清公告）与同步更新的磋商文件不一致时以更正公告（澄清公告）为准。按本款前述规定仍不能形成结论的，</w:t>
            </w:r>
            <w:r>
              <w:rPr>
                <w:rFonts w:hint="eastAsia" w:ascii="宋体" w:hAnsi="宋体" w:eastAsia="宋体" w:cs="宋体"/>
                <w:b/>
                <w:color w:val="auto"/>
                <w:sz w:val="21"/>
                <w:highlight w:val="none"/>
                <w:lang w:val="en-US" w:eastAsia="zh-CN"/>
              </w:rPr>
              <w:t>由采购人或者采购代理机构负责解释。</w:t>
            </w:r>
          </w:p>
          <w:p>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b/>
                <w:color w:val="auto"/>
                <w:sz w:val="21"/>
                <w:highlight w:val="none"/>
                <w:lang w:val="en-US" w:eastAsia="zh-CN"/>
              </w:rPr>
              <w:t>法律责任：</w:t>
            </w:r>
            <w:r>
              <w:rPr>
                <w:rFonts w:hint="eastAsia" w:ascii="宋体" w:hAnsi="宋体" w:eastAsia="宋体" w:cs="宋体"/>
                <w:color w:val="auto"/>
                <w:sz w:val="21"/>
                <w:highlight w:val="none"/>
                <w:lang w:val="en-US" w:eastAsia="zh-CN"/>
              </w:rPr>
              <w:t>本采购文件根据《中华人民共和国政府采购法》、《中华人民共和国民法典》；《中华人民共和国政府采购法实施条例》、《政府采购竞争性磋商采购方式管理暂行办法》等有关法律、法规编制，参与本项目的各政府采购当事人依法享有上述法律法规所赋予的权利与义务。</w:t>
            </w:r>
          </w:p>
          <w:p>
            <w:pPr>
              <w:pStyle w:val="16"/>
              <w:snapToGrid w:val="0"/>
              <w:spacing w:line="360" w:lineRule="auto"/>
              <w:jc w:val="left"/>
              <w:rPr>
                <w:rFonts w:hint="eastAsia" w:ascii="宋体" w:hAnsi="宋体" w:eastAsia="宋体" w:cs="宋体"/>
                <w:color w:val="auto"/>
                <w:kern w:val="2"/>
                <w:sz w:val="21"/>
                <w:highlight w:val="none"/>
                <w:lang w:val="en-US" w:eastAsia="zh-CN"/>
              </w:rPr>
            </w:pPr>
            <w:r>
              <w:rPr>
                <w:rFonts w:hint="eastAsia" w:ascii="宋体" w:hAnsi="宋体" w:eastAsia="宋体" w:cs="宋体"/>
                <w:b/>
                <w:bCs/>
                <w:color w:val="auto"/>
                <w:sz w:val="21"/>
                <w:highlight w:val="none"/>
                <w:lang w:val="en-US" w:eastAsia="zh-CN"/>
              </w:rPr>
              <w:t>2.本项目采购代理机构应严格按照“政采云”平台项目采购全流程电子化电子开评标规程执行项目采购活动，代理机构在“政采云”平台的“项目管理”—“采购文件管理”内开评标规则设置作为本采购文件的组成部分，截标之后不可更改，因代理机构开评标规则设置错误导致采购活动无法开展下去的情况，由代理机构负责解释并承担其后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03"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w:t>
            </w:r>
          </w:p>
        </w:tc>
        <w:tc>
          <w:tcPr>
            <w:tcW w:w="2244" w:type="dxa"/>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6760" w:type="dxa"/>
            <w:noWrap w:val="0"/>
            <w:vAlign w:val="center"/>
          </w:tcPr>
          <w:p>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1.本磋商文件中描述供应商的“公章”是指根据我国对公章的管理规定，用供应商法定主体行为名称制作的印章，除本磋商文件有特殊规定外，供应商的财务章、部门章、分公司章、工会章、合同章、竞标/投标专用章、业务专用章及银行的转账章、现金收讫章、现金付讫章等其他形式印章均不能代替公章。</w:t>
            </w:r>
          </w:p>
          <w:p>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3.本磋商文件中描述供应商的“签字”是指供应商的法定代表人或者委托代理人亲自在文件规定签署处亲笔写上个人的名字的行为，私章、签字章、印鉴、影印等其他形式均不能代替亲笔签字。</w:t>
            </w:r>
          </w:p>
          <w:p>
            <w:pPr>
              <w:pStyle w:val="16"/>
              <w:snapToGrid w:val="0"/>
              <w:spacing w:line="360" w:lineRule="auto"/>
              <w:jc w:val="left"/>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lang w:val="en-US" w:eastAsia="zh-CN"/>
              </w:rPr>
              <w:t>4.自然人竞标的，磋商文件规定盖公章处由自然人摁手指指印。</w:t>
            </w:r>
          </w:p>
          <w:p>
            <w:pPr>
              <w:pStyle w:val="16"/>
              <w:snapToGrid w:val="0"/>
              <w:spacing w:line="360" w:lineRule="auto"/>
              <w:jc w:val="left"/>
              <w:rPr>
                <w:rFonts w:hint="eastAsia"/>
                <w:lang w:val="en-US" w:eastAsia="zh-CN"/>
              </w:rPr>
            </w:pPr>
            <w:r>
              <w:rPr>
                <w:rFonts w:hint="eastAsia" w:ascii="宋体" w:hAnsi="宋体" w:eastAsia="宋体" w:cs="宋体"/>
                <w:color w:val="auto"/>
                <w:sz w:val="21"/>
                <w:highlight w:val="none"/>
                <w:lang w:val="en-US" w:eastAsia="zh-CN"/>
              </w:rPr>
              <w:t>5.本磋商文件所称的“以上”“以下”“以内”“届满”，包括本数；所称的“不满”“超过”“以外”，不包括本数。</w:t>
            </w:r>
          </w:p>
        </w:tc>
      </w:tr>
    </w:tbl>
    <w:p>
      <w:pPr>
        <w:pStyle w:val="4"/>
        <w:spacing w:line="360" w:lineRule="auto"/>
        <w:jc w:val="center"/>
        <w:rPr>
          <w:rFonts w:hint="eastAsia" w:ascii="宋体" w:hAnsi="宋体" w:eastAsia="宋体" w:cs="宋体"/>
          <w:b w:val="0"/>
          <w:color w:val="auto"/>
          <w:highlight w:val="none"/>
        </w:rPr>
      </w:pPr>
      <w:r>
        <w:rPr>
          <w:rFonts w:hint="eastAsia" w:ascii="宋体" w:hAnsi="宋体" w:eastAsia="宋体" w:cs="宋体"/>
          <w:b w:val="0"/>
          <w:color w:val="auto"/>
          <w:highlight w:val="none"/>
        </w:rPr>
        <w:br w:type="page"/>
      </w:r>
      <w:bookmarkStart w:id="43" w:name="_Toc3460"/>
      <w:bookmarkStart w:id="44" w:name="_Toc28698"/>
      <w:bookmarkStart w:id="45" w:name="_Toc18606"/>
      <w:r>
        <w:rPr>
          <w:rFonts w:hint="eastAsia" w:ascii="宋体" w:hAnsi="宋体" w:eastAsia="宋体" w:cs="宋体"/>
          <w:b w:val="0"/>
          <w:color w:val="auto"/>
          <w:highlight w:val="none"/>
        </w:rPr>
        <w:t>第二节 供应商须知正文</w:t>
      </w:r>
      <w:bookmarkEnd w:id="43"/>
      <w:bookmarkEnd w:id="44"/>
      <w:bookmarkEnd w:id="45"/>
    </w:p>
    <w:p>
      <w:pPr>
        <w:pStyle w:val="5"/>
        <w:spacing w:before="0" w:after="0" w:line="360" w:lineRule="auto"/>
        <w:rPr>
          <w:rFonts w:hint="eastAsia" w:ascii="宋体" w:hAnsi="宋体" w:eastAsia="宋体" w:cs="宋体"/>
          <w:b/>
          <w:bCs w:val="0"/>
          <w:color w:val="auto"/>
          <w:highlight w:val="none"/>
        </w:rPr>
      </w:pPr>
      <w:bookmarkStart w:id="46" w:name="_Toc6602"/>
      <w:bookmarkStart w:id="47" w:name="_Toc4039"/>
      <w:bookmarkStart w:id="48" w:name="_Toc5632"/>
      <w:r>
        <w:rPr>
          <w:rFonts w:hint="eastAsia" w:ascii="宋体" w:hAnsi="宋体" w:eastAsia="宋体" w:cs="宋体"/>
          <w:b/>
          <w:bCs w:val="0"/>
          <w:color w:val="auto"/>
          <w:highlight w:val="none"/>
        </w:rPr>
        <w:t>一、总则</w:t>
      </w:r>
      <w:bookmarkEnd w:id="46"/>
      <w:bookmarkEnd w:id="47"/>
      <w:bookmarkEnd w:id="48"/>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1.适用范围</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本项目采购人、采购代理机构、供应商、磋商小组的相关行为均受《中华人民共和国政府采购法》《中华人民共和国政府采购法实施条例》《政府采购竞争性磋商采购方式管理暂行办法》《财政部关于政府采购竞争性磋商采购方式管理暂行办法有关问题的补充通知》及本项目本级和上级财政部门政府采购有关规定的约束和保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w:t>
      </w:r>
      <w:r>
        <w:rPr>
          <w:rFonts w:hint="eastAsia" w:ascii="宋体" w:hAnsi="宋体" w:eastAsia="宋体" w:cs="宋体"/>
          <w:color w:val="auto"/>
          <w:spacing w:val="-6"/>
          <w:szCs w:val="21"/>
          <w:highlight w:val="none"/>
        </w:rPr>
        <w:t>本竞争性磋商文件（以下简称磋商文件）适用于本项目的所有采购程序和环节（法律、法规另有规定的，从其规定）。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2.定义</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2.1“采购人”是指依法进行政府采购的国家机关、事业单位、团体组织。</w:t>
      </w:r>
    </w:p>
    <w:p>
      <w:pPr>
        <w:spacing w:line="360" w:lineRule="auto"/>
        <w:ind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2.2“采购代理机构”是指政府采购集中采购机构和集中采购机构以外的采购代理机构。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2.3“供应商”是指向采购人提供货物、工程或者服务的法人、其他组织或者自然人。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w:t>
      </w:r>
      <w:r>
        <w:rPr>
          <w:rFonts w:hint="eastAsia" w:ascii="宋体" w:hAnsi="宋体"/>
          <w:szCs w:val="21"/>
        </w:rPr>
        <w:t>“工程”是指除货物和服务以外的其他政府采购对象</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2.5“竞标”是指供应商按照本项目竞争性磋商公告或者邀请函规定的方式获取磋商文件、提交响应文件并希望获得标的的行为。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2.6“响应文件”</w:t>
      </w:r>
      <w:r>
        <w:rPr>
          <w:rFonts w:hint="eastAsia" w:ascii="宋体" w:hAnsi="宋体" w:eastAsia="宋体" w:cs="宋体"/>
          <w:color w:val="auto"/>
          <w:spacing w:val="-6"/>
          <w:szCs w:val="21"/>
          <w:highlight w:val="none"/>
        </w:rPr>
        <w:t>是指：供应商根据本磋商文件要求，编制包含资格证明、报价商务技术等所有内容的文件。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2.7“实质性要求”是指磋商文件中已经指明不满足则响应文件按无效响应处理的条款，或者不能负偏离的条款，或者采购需求中带“▲”的条款。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2.8“正偏离”，是指响应文件对磋商文件“采购需求”中有关条款作出的响应优于条款要求并有利于采购人的情形。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2.9“负偏离”，是指响应文件对磋商文件“采购需求”中有关条款作出的响应不满足条款要求，导致采购人要求不能得到满足的情形。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2.10“允许负偏离的条款”是指采购需求中的不属于“实质性要求”的条款。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2.11“书面形式”是指合同书、信件和数据电文（包括电报、电传、传真、电子数据交换和电子邮件）等可以有形地表现所载内容的形式。</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2.12“首次报价”是指供应商提交的首次响应文件中的报价。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2.13“评审报价”是指供应商提交的最后报价并经修正（如有）和政策功能价格扣除（如有）后的价格。</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3.供应商的资格条件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供应商的资格条件详见“供应商须知前附表”。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4.磋商费用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供应商应承担参与本次采购活动有关的所有费用，包括但不限于、勘</w:t>
      </w:r>
      <w:r>
        <w:rPr>
          <w:rFonts w:hint="eastAsia" w:ascii="宋体" w:hAnsi="宋体" w:cs="宋体"/>
          <w:color w:val="auto"/>
          <w:szCs w:val="21"/>
          <w:highlight w:val="none"/>
          <w:lang w:val="en-US" w:eastAsia="zh-CN"/>
        </w:rPr>
        <w:t>察</w:t>
      </w:r>
      <w:r>
        <w:rPr>
          <w:rFonts w:hint="eastAsia" w:ascii="宋体" w:hAnsi="宋体" w:eastAsia="宋体" w:cs="宋体"/>
          <w:color w:val="auto"/>
          <w:szCs w:val="21"/>
          <w:highlight w:val="none"/>
        </w:rPr>
        <w:t>现场、编制和提交响应文件、参加磋商与应答、签订合同等，不论竞标结果如何，均应自行承担。</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5.联合体竞标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5.1本项目是否接受联合体竞标，详见“供应商须知前附表”。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w:t>
      </w:r>
      <w:r>
        <w:rPr>
          <w:rFonts w:hint="eastAsia" w:ascii="宋体" w:hAnsi="宋体" w:eastAsia="宋体" w:cs="宋体"/>
          <w:color w:val="auto"/>
          <w:highlight w:val="none"/>
        </w:rPr>
        <w:t>如接受联合体竞标，</w:t>
      </w:r>
      <w:r>
        <w:rPr>
          <w:rFonts w:hint="eastAsia" w:ascii="宋体" w:hAnsi="宋体" w:eastAsia="宋体" w:cs="宋体"/>
          <w:color w:val="auto"/>
          <w:szCs w:val="21"/>
          <w:highlight w:val="none"/>
        </w:rPr>
        <w:t>联合体竞标要求详见“供应商须知前附表”。</w:t>
      </w:r>
    </w:p>
    <w:p>
      <w:pPr>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5.3根据《政府采购促进中小企业发展管理办法》（财库[2020]46号）第九条及《广西壮族自治区财政厅关于进一步发挥政府采购政策功能促进企业发展的通知》（桂财采〔2022〕30号）规定，接受大中型企业与小微企业组成联合体的采购项目，对于联合协议约定小微企业的合同份额占到合同总金额 30%以上的，采购人、采购代理机构应当对联合体的报价给予 1%—2%的扣除，用扣除后的价格参加评审。组成联合体的小微企业与联合体内其他企业、分包企业之间存在直接控股、管理关系的，不享受价格扣除优惠政策。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 xml:space="preserve">6.转包与分包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6.1本项目是否允许分包详见“供应商须知前附表”，本项目不允许违法分包。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w:t>
      </w:r>
      <w:r>
        <w:rPr>
          <w:rFonts w:hint="eastAsia" w:ascii="宋体" w:hAnsi="宋体"/>
          <w:bCs/>
          <w:szCs w:val="21"/>
        </w:rPr>
        <w:t>根据《政府采购促进中小企业发展管理办法》（财库[2020]46号）第九条及《广西壮族自治区财政厅关于进一步发挥政府采购政策功能促进企业发展的通知》（桂财采〔2022〕30号</w:t>
      </w:r>
      <w:r>
        <w:rPr>
          <w:rFonts w:hint="eastAsia" w:ascii="仿宋_GB2312" w:hAnsi="Calibri" w:eastAsia="仿宋_GB2312"/>
          <w:sz w:val="24"/>
        </w:rPr>
        <w:t>）</w:t>
      </w:r>
      <w:r>
        <w:rPr>
          <w:rFonts w:hint="eastAsia" w:ascii="宋体" w:hAnsi="宋体"/>
          <w:bCs/>
          <w:szCs w:val="21"/>
        </w:rPr>
        <w:t>规定，允许大中型企业向一家或者多家小微企业分包的采购项目，对于分包意向协议约定小微企业的合同份额占到合同总金额 30%以上的，采购人、采购代理机构应当对大中型企业的报价给予 1%-2%的扣除，用扣除后的价格参加评审。接受分包的小微企业与分包企业之间存在直接控股、管理关系的，不享受价格扣除优惠政策</w:t>
      </w:r>
      <w:r>
        <w:rPr>
          <w:rFonts w:hint="eastAsia" w:ascii="宋体" w:hAnsi="宋体" w:eastAsia="宋体" w:cs="宋体"/>
          <w:bCs/>
          <w:color w:val="auto"/>
          <w:szCs w:val="21"/>
          <w:highlight w:val="none"/>
        </w:rPr>
        <w:t>。</w:t>
      </w:r>
    </w:p>
    <w:p>
      <w:pPr>
        <w:spacing w:line="360" w:lineRule="auto"/>
        <w:ind w:firstLine="482" w:firstLineChars="200"/>
        <w:rPr>
          <w:rFonts w:hint="eastAsia" w:ascii="宋体" w:hAnsi="宋体" w:eastAsia="宋体" w:cs="宋体"/>
          <w:b/>
          <w:bCs/>
          <w:color w:val="auto"/>
          <w:sz w:val="24"/>
          <w:highlight w:val="none"/>
        </w:rPr>
      </w:pPr>
      <w:bookmarkStart w:id="49" w:name="_Toc254970532"/>
      <w:bookmarkStart w:id="50" w:name="_Toc254970673"/>
      <w:r>
        <w:rPr>
          <w:rFonts w:hint="eastAsia" w:ascii="宋体" w:hAnsi="宋体" w:eastAsia="宋体" w:cs="宋体"/>
          <w:b/>
          <w:bCs/>
          <w:color w:val="auto"/>
          <w:sz w:val="24"/>
          <w:highlight w:val="none"/>
        </w:rPr>
        <w:t>7.特别说明</w:t>
      </w:r>
      <w:bookmarkEnd w:id="49"/>
      <w:bookmarkEnd w:id="50"/>
    </w:p>
    <w:p>
      <w:pPr>
        <w:spacing w:line="360" w:lineRule="auto"/>
        <w:ind w:firstLine="420" w:firstLineChars="200"/>
        <w:rPr>
          <w:rFonts w:hint="eastAsia" w:ascii="宋体" w:hAnsi="宋体" w:eastAsia="宋体" w:cs="宋体"/>
          <w:color w:val="auto"/>
          <w:szCs w:val="21"/>
          <w:highlight w:val="none"/>
        </w:rPr>
      </w:pPr>
      <w:bookmarkStart w:id="51" w:name="_8.1提供相同品牌产品且通过资格审查、符合性审查的不同投标人参加同一合"/>
      <w:bookmarkEnd w:id="51"/>
      <w:r>
        <w:rPr>
          <w:rFonts w:hint="eastAsia" w:ascii="宋体" w:hAnsi="宋体" w:eastAsia="宋体" w:cs="宋体"/>
          <w:color w:val="auto"/>
          <w:szCs w:val="21"/>
          <w:highlight w:val="none"/>
        </w:rPr>
        <w:t>7.1</w:t>
      </w:r>
      <w:bookmarkStart w:id="52" w:name="_Hlk65832145"/>
      <w:r>
        <w:rPr>
          <w:rFonts w:hint="eastAsia" w:ascii="宋体" w:hAnsi="宋体" w:eastAsia="宋体" w:cs="宋体"/>
          <w:color w:val="auto"/>
          <w:szCs w:val="21"/>
          <w:highlight w:val="none"/>
        </w:rPr>
        <w:t>如果本磋商文件要求提供供应商或制造商的资格、信誉、荣誉、业绩与企业认证等材料的，资格、信誉、荣誉、业绩与企业认证等必须为供应商或者制造商所拥有或自身获得 。</w:t>
      </w:r>
    </w:p>
    <w:bookmarkEnd w:id="52"/>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7.2供应商应仔细阅读磋商文件的所有内容，按照磋商文件的要求提交响应文件，并对所提供的全部资料的真实性承担法律责任。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7.3供应商在竞标活动中提供任何疑似虚假材料，将报监管部门查处；签订合同后发现的，成交供应商须依照《中华人民共和国消费者权益保护法》规定赔偿采购人，且民事赔偿并不免除违法供应商的行政与刑事责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7.4在政府采购活动中，采购人员及相关人员与供应商有下列利害关系之一的，应当回避：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（1）参加采购活动前3年内与供应商存在劳动关系；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（2）参加采购活动前3年内担任供应商的董事、监事；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（3）参加采购活动前3年内是供应商的控股股东或者实际控制人；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（4）与供应商的法定代表人或者负责人有夫妻、直系血亲、三代以内旁系血亲或者近姻亲关系；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（5）与供应商有其他可能影响政府采购活动公平、公正进行的关系。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7.5有下列情形之一的视为供应商相互串通竞标，响应文件将被视为无效：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（1）不同供应商的响应文件由同一单位或者个人编制；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（2）不同供应商委托同一单位或者个人办理竞标事宜；</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（3）不同的供应商的响应文件载明的项目管理员为同一个人；</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（4）不同供应商的响应文件异常一致或者报价呈规律性差异；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（5）不同供应商的响应文件相互混装；</w:t>
      </w:r>
    </w:p>
    <w:p>
      <w:pPr>
        <w:tabs>
          <w:tab w:val="left" w:pos="6931"/>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（6）不同供应商的磋商保证金从同一单位或者个人账户转出。</w:t>
      </w:r>
      <w:r>
        <w:rPr>
          <w:rFonts w:hint="eastAsia" w:ascii="宋体" w:hAnsi="宋体" w:eastAsia="宋体" w:cs="宋体"/>
          <w:color w:val="auto"/>
          <w:szCs w:val="21"/>
          <w:highlight w:val="none"/>
        </w:rPr>
        <w:tab/>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7.6供应商有下列情形之一的，属于恶意串通行为，将报同级监督管理部门：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（1）供应商直接或者间接从采购人或者采购代理机构处获得其他供应商的相关信息并修改其响应文件；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（2）供应商按照采购人或者采购代理机构的授意撤换、修改响应文件；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（3）供应商之间协商报价、技术方案等响应文件或者响应文件的实质性内容；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（4）属于同一集团、协会、商会等组织成员的供应商按照该组织要求协同参加政府采购活动；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（5）供应商之间事先约定一致抬高或者压低报价，或者在政府采购活动中事先约定轮流以高价位或者低价位成交，或者事先约定由某一特定供应商成交，然后再参加竞标；</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（6）供应商之间商定部分供应商放弃参加政府采购活动或者放弃成交；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（7）供应商与采购人或者采购代理机构之间、供应商相互之间，为谋求特定供应商成交或者排斥其他供应商的其他串通行为。</w:t>
      </w:r>
    </w:p>
    <w:p>
      <w:pPr>
        <w:bidi w:val="0"/>
        <w:spacing w:line="360" w:lineRule="auto"/>
        <w:rPr>
          <w:rFonts w:hint="eastAsia" w:ascii="宋体" w:hAnsi="宋体" w:eastAsia="宋体" w:cs="宋体"/>
          <w:color w:val="auto"/>
          <w:highlight w:val="none"/>
        </w:rPr>
      </w:pPr>
      <w:bookmarkStart w:id="53" w:name="_Toc254970534"/>
      <w:bookmarkStart w:id="54" w:name="_Toc254970675"/>
    </w:p>
    <w:p>
      <w:pPr>
        <w:pStyle w:val="5"/>
        <w:spacing w:before="0" w:after="0" w:line="360" w:lineRule="auto"/>
        <w:rPr>
          <w:rFonts w:hint="eastAsia" w:ascii="宋体" w:hAnsi="宋体" w:eastAsia="宋体" w:cs="宋体"/>
          <w:b/>
          <w:bCs w:val="0"/>
          <w:color w:val="auto"/>
          <w:highlight w:val="none"/>
        </w:rPr>
      </w:pPr>
      <w:bookmarkStart w:id="55" w:name="_Toc25818"/>
      <w:bookmarkStart w:id="56" w:name="_Toc22797"/>
      <w:bookmarkStart w:id="57" w:name="_Toc16003"/>
      <w:r>
        <w:rPr>
          <w:rFonts w:hint="eastAsia" w:ascii="宋体" w:hAnsi="宋体" w:eastAsia="宋体" w:cs="宋体"/>
          <w:b/>
          <w:bCs w:val="0"/>
          <w:color w:val="auto"/>
          <w:highlight w:val="none"/>
        </w:rPr>
        <w:t>二、磋商文件</w:t>
      </w:r>
      <w:bookmarkEnd w:id="53"/>
      <w:bookmarkEnd w:id="54"/>
      <w:bookmarkEnd w:id="55"/>
      <w:bookmarkEnd w:id="56"/>
      <w:bookmarkEnd w:id="57"/>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8.磋商文件的构成</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第一章 竞争性磋商公告；</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第二章 采购需求；</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第三章 供应商须知； </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第四章 评审程序、评审方法和评审标准；</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第五章 响应文件格式；</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第六章 合同文本；</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 xml:space="preserve">第七章 </w:t>
      </w:r>
      <w:r>
        <w:rPr>
          <w:rFonts w:hint="eastAsia" w:ascii="宋体" w:hAnsi="宋体" w:cs="宋体"/>
          <w:color w:val="auto"/>
          <w:szCs w:val="21"/>
          <w:highlight w:val="none"/>
          <w:lang w:val="en-US" w:eastAsia="zh-CN"/>
        </w:rPr>
        <w:t>工程量清单</w:t>
      </w:r>
    </w:p>
    <w:p>
      <w:pPr>
        <w:spacing w:line="360" w:lineRule="auto"/>
        <w:ind w:firstLine="420" w:firstLineChars="200"/>
        <w:jc w:val="left"/>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 xml:space="preserve">章 </w:t>
      </w:r>
      <w:r>
        <w:rPr>
          <w:rFonts w:hint="eastAsia" w:ascii="宋体" w:hAnsi="宋体" w:cs="宋体"/>
          <w:color w:val="auto"/>
          <w:szCs w:val="21"/>
          <w:highlight w:val="none"/>
          <w:lang w:val="en-US" w:eastAsia="zh-CN"/>
        </w:rPr>
        <w:t>图纸</w:t>
      </w:r>
    </w:p>
    <w:p>
      <w:pPr>
        <w:spacing w:line="360" w:lineRule="auto"/>
        <w:ind w:firstLine="420" w:firstLineChars="200"/>
        <w:jc w:val="lef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 xml:space="preserve">第九章 </w:t>
      </w:r>
      <w:r>
        <w:rPr>
          <w:rFonts w:hint="eastAsia" w:ascii="宋体" w:hAnsi="宋体" w:eastAsia="宋体" w:cs="宋体"/>
          <w:color w:val="auto"/>
          <w:szCs w:val="21"/>
          <w:highlight w:val="none"/>
        </w:rPr>
        <w:t>质疑、投诉材料格式。</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9.供应商的询问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供应商应认真阅读磋商文件的采购需求，如供应商对磋商文件有疑问的，如要求采购人作出澄清或者修改的，供应商尽应在提交首次响应文件截止之日前，以书面形式向采购人、采购代理机构提出。</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10.磋商文件的澄清和修改</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10.1已获取磋商文件的潜在供应商，若有问题需要澄清，应于应标截止时间前，以书面形式向采购代理机构提出，采购代理机构与采购人研究后，对认为有必要回答的问题，按照本章10.3的内容处理。</w:t>
      </w:r>
    </w:p>
    <w:p>
      <w:pPr>
        <w:spacing w:line="360" w:lineRule="auto"/>
        <w:ind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10.2采购人或者采购代理机构可以对已发出的磋商文件进行必要的澄清或者修改，但不得改变采购标的和资格条件。澄清或者修改应当在原公告发布媒体上发布澄清公告。澄清或者修改的内容为磋商文件的组成部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10.3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或者磋商小组在提交首次响应文件截止之日3个工作日前，以书面形式（目前为网上公告和系统短信等形式）通知所有获取磋商文件的供应商，不足3个工作日的，应当顺延提交首次响应文件截止之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10.4</w:t>
      </w:r>
      <w:r>
        <w:rPr>
          <w:rFonts w:hint="eastAsia" w:ascii="宋体" w:hAnsi="宋体" w:eastAsia="宋体" w:cs="宋体"/>
          <w:color w:val="auto"/>
          <w:highlight w:val="none"/>
          <w:shd w:val="clear" w:color="auto" w:fill="FFFFFF"/>
        </w:rPr>
        <w:t>采购信息更正公告的内容应当包括采购人和采购代理机构名称、地址、联系方式，原</w:t>
      </w:r>
      <w:r>
        <w:rPr>
          <w:rFonts w:hint="eastAsia" w:ascii="宋体" w:hAnsi="宋体" w:eastAsia="宋体" w:cs="宋体"/>
          <w:color w:val="auto"/>
          <w:szCs w:val="21"/>
          <w:highlight w:val="none"/>
        </w:rPr>
        <w:t>公告的采购项目名称及首次公告日期，更正事项、内容及日期，采购项目联系人和电话。</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 采购人和采购代理机构可以视采购具体情况，变更提交首次响应文件截止时间和竞谈时间，将变更时间将在“采购文件公告”中“七、其他补充事宜3.网上查询地址”规定的政府采购信息发布媒体上发布更正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w:t>
      </w:r>
      <w:r>
        <w:rPr>
          <w:rFonts w:hint="eastAsia" w:ascii="宋体" w:hAnsi="宋体" w:eastAsia="宋体" w:cs="宋体"/>
          <w:b/>
          <w:color w:val="auto"/>
          <w:kern w:val="0"/>
          <w:szCs w:val="21"/>
          <w:highlight w:val="none"/>
        </w:rPr>
        <w:t>响应文件未按磋商文件的澄清、修改的内容编制，又不符合实质性要求的，其响应文件作无效处理。</w:t>
      </w:r>
    </w:p>
    <w:p>
      <w:pPr>
        <w:pStyle w:val="5"/>
        <w:spacing w:before="0" w:after="0" w:line="360" w:lineRule="auto"/>
        <w:rPr>
          <w:rFonts w:hint="eastAsia" w:ascii="宋体" w:hAnsi="宋体" w:eastAsia="宋体" w:cs="宋体"/>
          <w:b/>
          <w:bCs w:val="0"/>
          <w:color w:val="auto"/>
          <w:highlight w:val="none"/>
        </w:rPr>
      </w:pPr>
      <w:bookmarkStart w:id="58" w:name="_Toc18572"/>
      <w:bookmarkStart w:id="59" w:name="_Toc30069"/>
      <w:bookmarkStart w:id="60" w:name="_Toc30454"/>
      <w:r>
        <w:rPr>
          <w:rFonts w:hint="eastAsia" w:ascii="宋体" w:hAnsi="宋体" w:eastAsia="宋体" w:cs="宋体"/>
          <w:b/>
          <w:bCs w:val="0"/>
          <w:color w:val="auto"/>
          <w:highlight w:val="none"/>
        </w:rPr>
        <w:t>三、响应文件的编制</w:t>
      </w:r>
      <w:bookmarkEnd w:id="58"/>
      <w:bookmarkEnd w:id="59"/>
      <w:bookmarkEnd w:id="60"/>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11.响应文件的编制原则</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供应商必须按照磋商文件的要求编制响应文件，并对其提交的响应文件的真实性、合法性承担法律责任。响应文件必须对磋商文件作出实质性响应。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12.响应文件的组成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12.1响应文件由资格证明文件、报价文件、商务和技术文件三部分组成。</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12.1.1资格证明文件：详见须知前附表</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12.1.2商务技术文件：详见须知前附表</w:t>
      </w:r>
    </w:p>
    <w:p>
      <w:pPr>
        <w:spacing w:line="360" w:lineRule="auto"/>
        <w:ind w:left="420" w:leftChars="20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12.1.3报价文件：详见须知前附表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12.2响应文件电子版：详见须知前附表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13.计量单位</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磋商文件已有明确规定的，使用磋商文件规定的计量单位；磋商文件没有规定的，应采用中华人民共和国法定计量单位，货币种类为人民币，否则视同未响应。</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14.竞标的风险</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供应商没有按照磋商文件要求提供全部资料，或者供应商没有对磋商文件在各方面作出实质性响应可能导致其响应无效，是供应商应当考虑的风险。</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15.响应报价要求和构成</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15.1响应报价应按“第五章 响应文件格式”中“响应报价表”格式填写。</w:t>
      </w:r>
    </w:p>
    <w:p>
      <w:pPr>
        <w:tabs>
          <w:tab w:val="left" w:pos="2492"/>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15.2响应报价的价格构成见“供应商须知前附表”。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15.3响应报价要求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15.3.1供应商的响应报价应符合以下要求，否则响应文件按无效响应处理：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（1）供应商必须就“采购需求”中所竞标的每个分标的全部内容分别作完整唯一总价报价，不得存在漏项报价；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（2）供应商必须就所竞标的分标的单项内容作唯一报价。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15.3.2响应报价（包含首次报价、最后报价）超过所竞标分标规定的采购预算金额或者最高限价的，其响应文件将作无效处理。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15.3.3</w:t>
      </w:r>
      <w:bookmarkStart w:id="61" w:name="_Hlk42592874"/>
      <w:r>
        <w:rPr>
          <w:rFonts w:hint="eastAsia" w:ascii="宋体" w:hAnsi="宋体" w:eastAsia="宋体" w:cs="宋体"/>
          <w:color w:val="auto"/>
          <w:szCs w:val="21"/>
          <w:highlight w:val="none"/>
        </w:rPr>
        <w:t>响应报价（包含首次报价、最后报价）超过分项采购预算金额或者最高限价的，其响应文件将作无效处理。</w:t>
      </w:r>
    </w:p>
    <w:p>
      <w:pPr>
        <w:spacing w:line="360" w:lineRule="auto"/>
        <w:ind w:firstLine="420" w:firstLineChars="200"/>
        <w:rPr>
          <w:rFonts w:hint="eastAsia"/>
          <w:color w:val="auto"/>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.4本工程报价按工程量清单报价，具体信息价等详见工程量清单说明。</w:t>
      </w:r>
    </w:p>
    <w:bookmarkEnd w:id="61"/>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16.竞标有效期</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16.1竞标有效期是指为保证采购人有足够的时间在提交响应文件后完成评审、确定成交供应商、合同签订等工作而要求供应商提交的响应文件在一定时间内保持有效的期限。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16.2 竞标有效期应由供应商按“供应商须知前附表”规定的期限作出响应。</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16.3供应商的响应文件在竞标有效期内均保持有效。</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17.磋商保证金</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18.响应文件编制的要求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18.1各供应商在编制响应文件时请按照磋商文件“第五章 响应文件格式”规定的格式进行，混乱的编排导致响应文件被误读或磋商小组查找不到有效文件是供应商的风险。不完整、编排混乱导致响应文件被误读、漏读或者查找不到相关内容的，</w:t>
      </w:r>
      <w:r>
        <w:rPr>
          <w:rFonts w:hint="eastAsia" w:ascii="宋体" w:hAnsi="宋体" w:eastAsia="宋体" w:cs="宋体"/>
          <w:color w:val="auto"/>
          <w:highlight w:val="none"/>
        </w:rPr>
        <w:t>由此引发的</w:t>
      </w:r>
      <w:r>
        <w:rPr>
          <w:rFonts w:hint="eastAsia" w:ascii="宋体" w:hAnsi="宋体" w:eastAsia="宋体" w:cs="宋体"/>
          <w:color w:val="auto"/>
          <w:szCs w:val="21"/>
          <w:highlight w:val="none"/>
        </w:rPr>
        <w:t>后果由供应商承担。</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18.2响应文件应按资格证明、报价分别编制，商务技术文件合并编制，本磋商只接受电子版响应文件，要求见本章“12.2响应文件电子版要求”。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bookmarkStart w:id="62" w:name="_Hlk65832699"/>
      <w:r>
        <w:rPr>
          <w:rFonts w:hint="eastAsia" w:ascii="宋体" w:hAnsi="宋体" w:eastAsia="宋体" w:cs="宋体"/>
          <w:color w:val="auto"/>
          <w:szCs w:val="21"/>
          <w:highlight w:val="none"/>
        </w:rPr>
        <w:t>3响应文件须由供应商在</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第五章 响应文件格式</w:t>
      </w:r>
      <w:r>
        <w:rPr>
          <w:rFonts w:hint="eastAsia" w:ascii="宋体" w:hAnsi="宋体" w:eastAsia="宋体" w:cs="宋体"/>
          <w:color w:val="auto"/>
          <w:kern w:val="0"/>
          <w:szCs w:val="21"/>
          <w:highlight w:val="none"/>
          <w:lang w:val="zh-CN"/>
        </w:rPr>
        <w:t>”</w:t>
      </w:r>
      <w:r>
        <w:rPr>
          <w:rFonts w:hint="eastAsia" w:ascii="宋体" w:hAnsi="宋体" w:eastAsia="宋体" w:cs="宋体"/>
          <w:color w:val="auto"/>
          <w:szCs w:val="21"/>
          <w:highlight w:val="none"/>
        </w:rPr>
        <w:t>规定位置进行签署、盖章</w:t>
      </w:r>
      <w:bookmarkEnd w:id="62"/>
      <w:r>
        <w:rPr>
          <w:rFonts w:hint="eastAsia" w:ascii="宋体" w:hAnsi="宋体" w:eastAsia="宋体" w:cs="宋体"/>
          <w:color w:val="auto"/>
          <w:szCs w:val="21"/>
          <w:highlight w:val="none"/>
        </w:rPr>
        <w:t>，否则其响应文件按无效响应处理。骑缝盖公章不视为在规定位置盖章。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18.4响应文件中标注的供应商名称应与营业执照（事业单位法人证书、执业许可证、自然人身份证）及电子公章一致，否则其响应文件按无效响应处理。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18.5响应文件应避免涂改、行间插字或者删除，否则其响应文件按无效响应处理。</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19.响应文件的密封和标记</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19.1供应商进行电子交易应安装客户端软件—“政采云电子交易客户端”，并按照磋商文件和电子交易平台的要求编制并加密响应文件。供应商未按规定加密的响应文件，电子交易平台将拒收并提示。</w:t>
      </w:r>
    </w:p>
    <w:p>
      <w:pPr>
        <w:spacing w:line="360" w:lineRule="auto"/>
        <w:ind w:firstLine="420" w:firstLineChars="200"/>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19.2使用“政采云电子交易客户端”需要提前申领CA数字证书，申领流程见该项目采购公告附件。</w:t>
      </w:r>
    </w:p>
    <w:p>
      <w:pPr>
        <w:pStyle w:val="16"/>
        <w:spacing w:line="360" w:lineRule="auto"/>
        <w:ind w:firstLine="420" w:firstLineChars="200"/>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19</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3</w:t>
      </w:r>
      <w:r>
        <w:rPr>
          <w:rFonts w:hint="eastAsia" w:ascii="宋体" w:hAnsi="宋体" w:eastAsia="宋体" w:cs="宋体"/>
          <w:color w:val="auto"/>
          <w:sz w:val="21"/>
          <w:highlight w:val="none"/>
        </w:rPr>
        <w:t>为确保网上操作合法、有效和安全，供应商应当在响应文件提交截止时间前完成在“政府采购云平台”的身份认证，确保在电子交易过程中能够对相关数据电文进行加密和使用电子签名。</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20.响应文件的提交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20.1供应商必须在“供应商须知前附表”规定的时间和地点提交响应文件。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20.2 在响应文件提交截止时间以后，不能补充、修改响应文件。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20.3 在提交“最后报价”后，供应商不能退出谈判。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20.4 电子交易平台收到响应文件，将妥善保存并即时向供应商发出确认回执通知。在响应文件提交截止时间前，除供应商补充、修改或者撤回响应文件外，任何单位和个人不得解密或提取响应文件。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20.5 采购机构不可视情况延长提交响应文件的截止时间。</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color w:val="auto"/>
          <w:szCs w:val="21"/>
          <w:highlight w:val="none"/>
        </w:rPr>
        <w:t>20.6备份响应文件。</w:t>
      </w:r>
      <w:r>
        <w:rPr>
          <w:rFonts w:hint="eastAsia" w:ascii="宋体" w:hAnsi="宋体" w:eastAsia="宋体" w:cs="宋体"/>
          <w:bCs/>
          <w:color w:val="auto"/>
          <w:szCs w:val="21"/>
          <w:highlight w:val="none"/>
        </w:rPr>
        <w:t>详见在“供应商须知前附表”。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21.首次响应文件的补充、修改与撤回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详见“供应商须知前附表”。</w:t>
      </w:r>
    </w:p>
    <w:p>
      <w:pPr>
        <w:spacing w:line="360" w:lineRule="auto"/>
        <w:ind w:firstLine="482" w:firstLineChars="200"/>
        <w:rPr>
          <w:rFonts w:hint="eastAsia" w:ascii="宋体" w:hAnsi="宋体" w:eastAsia="宋体" w:cs="宋体"/>
          <w:b/>
          <w:bCs/>
          <w:color w:val="auto"/>
          <w:sz w:val="24"/>
          <w:highlight w:val="none"/>
        </w:rPr>
      </w:pPr>
      <w:bookmarkStart w:id="63" w:name="_Hlk45702405"/>
      <w:r>
        <w:rPr>
          <w:rFonts w:hint="eastAsia" w:ascii="宋体" w:hAnsi="宋体" w:eastAsia="宋体" w:cs="宋体"/>
          <w:b/>
          <w:bCs/>
          <w:color w:val="auto"/>
          <w:sz w:val="24"/>
          <w:highlight w:val="none"/>
        </w:rPr>
        <w:t>22. 首次响应文件的退回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在首次响应文件提交截止时间止提交响应文件的供应商不足3家时电子响应文件由代理机构在“政采云”平台操作退回，除此之外采购人和采购代理机构对已提交的电子响应文件概不退回。</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23. 截止时间后的撤回</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本项目不收取磋商保证金，供应商在首次响应文件提交截止时间后可向采购人、采购代理机构书面申请撤回电子响应文件。</w:t>
      </w:r>
      <w:bookmarkEnd w:id="63"/>
    </w:p>
    <w:p>
      <w:pPr>
        <w:pStyle w:val="13"/>
        <w:spacing w:line="360" w:lineRule="auto"/>
        <w:rPr>
          <w:rFonts w:hint="eastAsia" w:ascii="宋体" w:hAnsi="宋体" w:eastAsia="宋体" w:cs="宋体"/>
          <w:color w:val="auto"/>
          <w:highlight w:val="none"/>
        </w:rPr>
      </w:pPr>
    </w:p>
    <w:p>
      <w:pPr>
        <w:pStyle w:val="5"/>
        <w:spacing w:before="0" w:after="0" w:line="360" w:lineRule="auto"/>
        <w:rPr>
          <w:rFonts w:hint="eastAsia" w:ascii="宋体" w:hAnsi="宋体" w:eastAsia="宋体" w:cs="宋体"/>
          <w:b/>
          <w:bCs w:val="0"/>
          <w:color w:val="auto"/>
          <w:highlight w:val="none"/>
        </w:rPr>
      </w:pPr>
      <w:bookmarkStart w:id="64" w:name="_Toc25351"/>
      <w:bookmarkStart w:id="65" w:name="_Toc30168"/>
      <w:bookmarkStart w:id="66" w:name="_Toc27120"/>
      <w:r>
        <w:rPr>
          <w:rFonts w:hint="eastAsia" w:ascii="宋体" w:hAnsi="宋体" w:eastAsia="宋体" w:cs="宋体"/>
          <w:b/>
          <w:bCs w:val="0"/>
          <w:color w:val="auto"/>
          <w:highlight w:val="none"/>
        </w:rPr>
        <w:t>四、评审及磋商</w:t>
      </w:r>
      <w:bookmarkEnd w:id="64"/>
      <w:bookmarkEnd w:id="65"/>
      <w:bookmarkEnd w:id="66"/>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24.磋商小组成立</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24.1磋商小组由采购人代表和评审专家共3人以上单数组成，其中评审专家人数不得少于磋商小组成员总数的2/3。采购人代表不得以评审专家身份参加本部门或者本单位采购项目的评审。采购代理机构人员不得参加本机构代理的采购项目的评审。达到公开招标数额标准的货物或者服务采购项目，或者达到公开招标规模标准的政府采购工程，经批准采用竞争性磋商方式采购的，磋商小组由5人以上单数组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25.首次响应文件的开启</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25.1首次响应文件由磋商小组或者采购代理机构在“供应商须知前附表”规定的时间开启。</w:t>
      </w:r>
    </w:p>
    <w:p>
      <w:pPr>
        <w:pStyle w:val="16"/>
        <w:spacing w:line="360" w:lineRule="auto"/>
        <w:ind w:firstLine="420" w:firstLineChars="200"/>
        <w:rPr>
          <w:rFonts w:hint="eastAsia" w:ascii="宋体" w:hAnsi="宋体" w:eastAsia="宋体" w:cs="宋体"/>
          <w:bCs/>
          <w:color w:val="auto"/>
          <w:sz w:val="21"/>
          <w:highlight w:val="none"/>
        </w:rPr>
      </w:pPr>
      <w:r>
        <w:rPr>
          <w:rFonts w:hint="eastAsia" w:ascii="宋体" w:hAnsi="宋体" w:eastAsia="宋体" w:cs="宋体"/>
          <w:color w:val="auto"/>
          <w:sz w:val="21"/>
          <w:highlight w:val="none"/>
        </w:rPr>
        <w:t xml:space="preserve">25.2 </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文件解密</w:t>
      </w:r>
    </w:p>
    <w:p>
      <w:pPr>
        <w:pStyle w:val="16"/>
        <w:snapToGrid w:val="0"/>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bCs/>
          <w:color w:val="auto"/>
          <w:sz w:val="21"/>
          <w:highlight w:val="none"/>
        </w:rPr>
        <w:t>采购代理机构将在“</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须知前附表”规定的时</w:t>
      </w:r>
      <w:r>
        <w:rPr>
          <w:rFonts w:hint="eastAsia" w:ascii="宋体" w:hAnsi="宋体" w:eastAsia="宋体" w:cs="宋体"/>
          <w:color w:val="auto"/>
          <w:sz w:val="21"/>
          <w:highlight w:val="none"/>
        </w:rPr>
        <w:t>间通过电子交易平台组织响应文件开启，采购机构依托电子交易平台发起开始解密指令，</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的法定代表人或其委托代理人</w:t>
      </w:r>
      <w:r>
        <w:rPr>
          <w:rFonts w:hint="eastAsia" w:ascii="宋体" w:hAnsi="宋体" w:eastAsia="宋体" w:cs="宋体"/>
          <w:b/>
          <w:color w:val="auto"/>
          <w:sz w:val="21"/>
          <w:highlight w:val="none"/>
        </w:rPr>
        <w:t>须携带加密时所用的CA锁</w:t>
      </w:r>
      <w:r>
        <w:rPr>
          <w:rFonts w:hint="eastAsia" w:ascii="宋体" w:hAnsi="宋体" w:eastAsia="宋体" w:cs="宋体"/>
          <w:b/>
          <w:color w:val="auto"/>
          <w:sz w:val="21"/>
          <w:highlight w:val="none"/>
          <w:lang w:eastAsia="zh-CN"/>
        </w:rPr>
        <w:t>按平台提示和采购文件的规定</w:t>
      </w:r>
      <w:r>
        <w:rPr>
          <w:rFonts w:hint="eastAsia" w:ascii="宋体" w:hAnsi="宋体" w:eastAsia="宋体" w:cs="宋体"/>
          <w:b/>
          <w:color w:val="auto"/>
          <w:sz w:val="21"/>
          <w:highlight w:val="none"/>
        </w:rPr>
        <w:t>登录到“政采云”平台电子开标大厅签到并</w:t>
      </w:r>
      <w:r>
        <w:rPr>
          <w:rFonts w:hint="eastAsia" w:ascii="宋体" w:hAnsi="宋体" w:eastAsia="宋体" w:cs="宋体"/>
          <w:b/>
          <w:color w:val="auto"/>
          <w:sz w:val="21"/>
          <w:highlight w:val="none"/>
          <w:lang w:eastAsia="zh-CN"/>
        </w:rPr>
        <w:t>在</w:t>
      </w:r>
      <w:r>
        <w:rPr>
          <w:rFonts w:hint="eastAsia" w:ascii="宋体" w:hAnsi="宋体" w:eastAsia="宋体" w:cs="宋体"/>
          <w:b/>
          <w:color w:val="auto"/>
          <w:sz w:val="21"/>
          <w:highlight w:val="none"/>
        </w:rPr>
        <w:t>发起解密指令之时起30分钟</w:t>
      </w:r>
      <w:r>
        <w:rPr>
          <w:rFonts w:hint="eastAsia" w:ascii="宋体" w:hAnsi="宋体" w:eastAsia="宋体" w:cs="宋体"/>
          <w:b/>
          <w:color w:val="auto"/>
          <w:sz w:val="21"/>
          <w:highlight w:val="none"/>
          <w:lang w:eastAsia="zh-CN"/>
        </w:rPr>
        <w:t>内完成</w:t>
      </w:r>
      <w:r>
        <w:rPr>
          <w:rFonts w:hint="eastAsia" w:ascii="宋体" w:hAnsi="宋体" w:eastAsia="宋体" w:cs="宋体"/>
          <w:b/>
          <w:color w:val="auto"/>
          <w:sz w:val="21"/>
          <w:highlight w:val="none"/>
        </w:rPr>
        <w:t>对电子</w:t>
      </w:r>
      <w:r>
        <w:rPr>
          <w:rFonts w:hint="eastAsia" w:ascii="宋体" w:hAnsi="宋体" w:eastAsia="宋体" w:cs="宋体"/>
          <w:b/>
          <w:color w:val="auto"/>
          <w:sz w:val="21"/>
          <w:highlight w:val="none"/>
          <w:lang w:eastAsia="zh-CN"/>
        </w:rPr>
        <w:t>响应</w:t>
      </w:r>
      <w:r>
        <w:rPr>
          <w:rFonts w:hint="eastAsia" w:ascii="宋体" w:hAnsi="宋体" w:eastAsia="宋体" w:cs="宋体"/>
          <w:b/>
          <w:color w:val="auto"/>
          <w:sz w:val="21"/>
          <w:highlight w:val="none"/>
        </w:rPr>
        <w:t>文件</w:t>
      </w:r>
      <w:r>
        <w:rPr>
          <w:rFonts w:hint="eastAsia" w:ascii="宋体" w:hAnsi="宋体" w:eastAsia="宋体" w:cs="宋体"/>
          <w:b/>
          <w:color w:val="auto"/>
          <w:sz w:val="21"/>
          <w:highlight w:val="none"/>
          <w:lang w:eastAsia="zh-CN"/>
        </w:rPr>
        <w:t>在线</w:t>
      </w:r>
      <w:r>
        <w:rPr>
          <w:rFonts w:hint="eastAsia" w:ascii="宋体" w:hAnsi="宋体" w:eastAsia="宋体" w:cs="宋体"/>
          <w:b/>
          <w:color w:val="auto"/>
          <w:sz w:val="21"/>
          <w:highlight w:val="none"/>
        </w:rPr>
        <w:t>解密</w:t>
      </w:r>
      <w:r>
        <w:rPr>
          <w:rFonts w:hint="eastAsia" w:ascii="宋体" w:hAnsi="宋体" w:eastAsia="宋体" w:cs="宋体"/>
          <w:color w:val="auto"/>
          <w:sz w:val="21"/>
          <w:highlight w:val="none"/>
        </w:rPr>
        <w:t>。发起解密指令</w:t>
      </w:r>
      <w:r>
        <w:rPr>
          <w:rFonts w:hint="eastAsia" w:ascii="宋体" w:hAnsi="宋体" w:eastAsia="宋体" w:cs="宋体"/>
          <w:color w:val="auto"/>
          <w:sz w:val="21"/>
          <w:highlight w:val="none"/>
          <w:lang w:val="en-US" w:eastAsia="zh-CN"/>
        </w:rPr>
        <w:t>之时起</w:t>
      </w:r>
      <w:r>
        <w:rPr>
          <w:rFonts w:hint="eastAsia" w:ascii="宋体" w:hAnsi="宋体" w:eastAsia="宋体" w:cs="宋体"/>
          <w:color w:val="auto"/>
          <w:sz w:val="21"/>
          <w:highlight w:val="none"/>
        </w:rPr>
        <w:t>5分钟</w:t>
      </w:r>
      <w:r>
        <w:rPr>
          <w:rFonts w:hint="eastAsia" w:ascii="宋体" w:hAnsi="宋体" w:eastAsia="宋体" w:cs="宋体"/>
          <w:color w:val="auto"/>
          <w:sz w:val="21"/>
          <w:highlight w:val="none"/>
          <w:lang w:eastAsia="zh-CN"/>
        </w:rPr>
        <w:t>内供应商</w:t>
      </w:r>
      <w:r>
        <w:rPr>
          <w:rFonts w:hint="eastAsia" w:ascii="宋体" w:hAnsi="宋体" w:eastAsia="宋体" w:cs="宋体"/>
          <w:color w:val="auto"/>
          <w:sz w:val="21"/>
          <w:highlight w:val="none"/>
        </w:rPr>
        <w:t>还未进行解密的，代理机构要通知</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没预留联系方式或预留联系方式无效，导致代理机构无法联系到</w:t>
      </w:r>
      <w:r>
        <w:rPr>
          <w:rFonts w:hint="eastAsia" w:ascii="宋体" w:hAnsi="宋体" w:eastAsia="宋体" w:cs="宋体"/>
          <w:color w:val="auto"/>
          <w:sz w:val="21"/>
          <w:highlight w:val="none"/>
          <w:lang w:eastAsia="zh-CN"/>
        </w:rPr>
        <w:t>供应商</w:t>
      </w:r>
      <w:r>
        <w:rPr>
          <w:rFonts w:hint="eastAsia" w:ascii="宋体" w:hAnsi="宋体" w:eastAsia="宋体" w:cs="宋体"/>
          <w:color w:val="auto"/>
          <w:sz w:val="21"/>
          <w:highlight w:val="none"/>
        </w:rPr>
        <w:t>进行解密的，</w:t>
      </w:r>
      <w:r>
        <w:rPr>
          <w:rFonts w:hint="eastAsia" w:ascii="宋体" w:hAnsi="宋体" w:eastAsia="宋体" w:cs="宋体"/>
          <w:b/>
          <w:color w:val="auto"/>
          <w:sz w:val="21"/>
          <w:highlight w:val="none"/>
        </w:rPr>
        <w:t>视为</w:t>
      </w:r>
      <w:r>
        <w:rPr>
          <w:rFonts w:hint="eastAsia" w:ascii="宋体" w:hAnsi="宋体" w:eastAsia="宋体" w:cs="宋体"/>
          <w:b/>
          <w:color w:val="auto"/>
          <w:sz w:val="21"/>
          <w:highlight w:val="none"/>
          <w:lang w:eastAsia="zh-CN"/>
        </w:rPr>
        <w:t>响应文件无效</w:t>
      </w:r>
      <w:r>
        <w:rPr>
          <w:rFonts w:hint="eastAsia" w:ascii="宋体" w:hAnsi="宋体" w:eastAsia="宋体" w:cs="宋体"/>
          <w:b/>
          <w:color w:val="auto"/>
          <w:sz w:val="21"/>
          <w:highlight w:val="none"/>
        </w:rPr>
        <w:t>。</w:t>
      </w:r>
      <w:r>
        <w:rPr>
          <w:rFonts w:hint="eastAsia" w:ascii="宋体" w:hAnsi="宋体" w:eastAsia="宋体" w:cs="宋体"/>
          <w:color w:val="auto"/>
          <w:sz w:val="21"/>
          <w:highlight w:val="none"/>
        </w:rPr>
        <w:t>（解密</w:t>
      </w:r>
      <w:r>
        <w:rPr>
          <w:rFonts w:hint="eastAsia" w:ascii="宋体" w:hAnsi="宋体" w:eastAsia="宋体" w:cs="宋体"/>
          <w:bCs/>
          <w:color w:val="auto"/>
          <w:sz w:val="21"/>
          <w:highlight w:val="none"/>
        </w:rPr>
        <w:t>异常情况处理：详见本章</w:t>
      </w:r>
      <w:r>
        <w:rPr>
          <w:rFonts w:hint="eastAsia" w:ascii="宋体" w:hAnsi="宋体" w:eastAsia="宋体" w:cs="宋体"/>
          <w:color w:val="auto"/>
          <w:sz w:val="21"/>
          <w:highlight w:val="none"/>
          <w:lang w:eastAsia="zh-CN"/>
        </w:rPr>
        <w:t>26.3</w:t>
      </w:r>
      <w:r>
        <w:rPr>
          <w:rFonts w:hint="eastAsia" w:ascii="宋体" w:hAnsi="宋体" w:eastAsia="宋体" w:cs="宋体"/>
          <w:color w:val="auto"/>
          <w:sz w:val="21"/>
          <w:highlight w:val="none"/>
        </w:rPr>
        <w:t xml:space="preserve"> </w:t>
      </w:r>
      <w:r>
        <w:rPr>
          <w:rFonts w:hint="eastAsia" w:ascii="宋体" w:hAnsi="宋体" w:eastAsia="宋体" w:cs="宋体"/>
          <w:color w:val="auto"/>
          <w:sz w:val="21"/>
          <w:highlight w:val="none"/>
          <w:lang w:eastAsia="zh-CN"/>
        </w:rPr>
        <w:t>电子交易活动的中止</w:t>
      </w:r>
      <w:r>
        <w:rPr>
          <w:rFonts w:hint="eastAsia" w:ascii="宋体" w:hAnsi="宋体" w:eastAsia="宋体" w:cs="宋体"/>
          <w:color w:val="auto"/>
          <w:sz w:val="21"/>
          <w:highlight w:val="none"/>
        </w:rPr>
        <w:t>。）</w:t>
      </w:r>
    </w:p>
    <w:p>
      <w:pPr>
        <w:pStyle w:val="16"/>
        <w:spacing w:line="360" w:lineRule="auto"/>
        <w:ind w:firstLine="420" w:firstLineChars="200"/>
        <w:rPr>
          <w:rFonts w:hint="eastAsia" w:ascii="宋体" w:hAnsi="宋体" w:eastAsia="宋体" w:cs="宋体"/>
          <w:color w:val="auto"/>
          <w:sz w:val="21"/>
          <w:highlight w:val="none"/>
          <w:lang w:eastAsia="zh-CN"/>
        </w:rPr>
      </w:pPr>
      <w:r>
        <w:rPr>
          <w:rFonts w:hint="eastAsia" w:ascii="宋体" w:hAnsi="宋体" w:eastAsia="宋体" w:cs="宋体"/>
          <w:color w:val="auto"/>
          <w:sz w:val="21"/>
          <w:highlight w:val="none"/>
        </w:rPr>
        <w:t>如</w:t>
      </w:r>
      <w:r>
        <w:rPr>
          <w:rFonts w:hint="eastAsia" w:ascii="宋体" w:hAnsi="宋体" w:eastAsia="宋体" w:cs="宋体"/>
          <w:bCs/>
          <w:color w:val="auto"/>
          <w:sz w:val="21"/>
          <w:highlight w:val="none"/>
          <w:lang w:eastAsia="zh-CN"/>
        </w:rPr>
        <w:t>供应商</w:t>
      </w:r>
      <w:r>
        <w:rPr>
          <w:rFonts w:hint="eastAsia" w:ascii="宋体" w:hAnsi="宋体" w:eastAsia="宋体" w:cs="宋体"/>
          <w:bCs/>
          <w:color w:val="auto"/>
          <w:sz w:val="21"/>
          <w:highlight w:val="none"/>
        </w:rPr>
        <w:t>成功解密</w:t>
      </w:r>
      <w:r>
        <w:rPr>
          <w:rFonts w:hint="eastAsia" w:ascii="宋体" w:hAnsi="宋体" w:eastAsia="宋体" w:cs="宋体"/>
          <w:bCs/>
          <w:color w:val="auto"/>
          <w:sz w:val="21"/>
          <w:highlight w:val="none"/>
          <w:lang w:eastAsia="zh-CN"/>
        </w:rPr>
        <w:t>响应</w:t>
      </w:r>
      <w:r>
        <w:rPr>
          <w:rFonts w:hint="eastAsia" w:ascii="宋体" w:hAnsi="宋体" w:eastAsia="宋体" w:cs="宋体"/>
          <w:bCs/>
          <w:color w:val="auto"/>
          <w:sz w:val="21"/>
          <w:highlight w:val="none"/>
        </w:rPr>
        <w:t>文件，但未在“政采云”电子开标大厅参加</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的，视同认可</w:t>
      </w:r>
      <w:r>
        <w:rPr>
          <w:rFonts w:hint="eastAsia" w:ascii="宋体" w:hAnsi="宋体" w:eastAsia="宋体" w:cs="宋体"/>
          <w:bCs/>
          <w:color w:val="auto"/>
          <w:sz w:val="21"/>
          <w:highlight w:val="none"/>
          <w:lang w:eastAsia="zh-CN"/>
        </w:rPr>
        <w:t>谈判</w:t>
      </w:r>
      <w:r>
        <w:rPr>
          <w:rFonts w:hint="eastAsia" w:ascii="宋体" w:hAnsi="宋体" w:eastAsia="宋体" w:cs="宋体"/>
          <w:bCs/>
          <w:color w:val="auto"/>
          <w:sz w:val="21"/>
          <w:highlight w:val="none"/>
        </w:rPr>
        <w:t>过程和结果，</w:t>
      </w:r>
      <w:r>
        <w:rPr>
          <w:rFonts w:hint="eastAsia" w:ascii="宋体" w:hAnsi="宋体" w:eastAsia="宋体" w:cs="宋体"/>
          <w:color w:val="auto"/>
          <w:sz w:val="21"/>
          <w:highlight w:val="none"/>
        </w:rPr>
        <w:t>由此产生的后果由供应商自行负责。 参与谈判的供应商不足3家的，不得</w:t>
      </w:r>
      <w:r>
        <w:rPr>
          <w:rFonts w:hint="eastAsia" w:ascii="宋体" w:hAnsi="宋体" w:eastAsia="宋体" w:cs="宋体"/>
          <w:color w:val="auto"/>
          <w:sz w:val="21"/>
          <w:highlight w:val="none"/>
          <w:lang w:eastAsia="zh-CN"/>
        </w:rPr>
        <w:t>谈判</w:t>
      </w:r>
      <w:r>
        <w:rPr>
          <w:rFonts w:hint="eastAsia" w:ascii="宋体" w:hAnsi="宋体" w:eastAsia="宋体" w:cs="宋体"/>
          <w:color w:val="auto"/>
          <w:sz w:val="21"/>
          <w:highlight w:val="none"/>
        </w:rPr>
        <w:t>。</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26.评审程序、评审方法和评审标准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26.1磋商小组按照“第四章 评审程序、评审方法和评审标准”规定的方法、评审因素、标准和程序对响应文件进行评审。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26.2 采购需求负偏离要求及磋商顺序详见 “ 供应商须知前附表”。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26.3电子交易活动的中止。采购过程中出现以下情形，导致电子交易平台无法正常运行，或者无法保证电子交易的公平、公正和安全时，采购机构可中止电子交易活动：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（1）电子交易平台发生故障而无法登录访问的；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（2）电子交易平台应用或数据库出现错误，不能进行正常操作的；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（3）电子交易平台发现严重安全漏洞，有潜在泄密危险的；</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（4）病毒发作导致不能进行正常操作的； </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）其他无法保证电子交易的公平、公正和安全的情况。</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26.4出现以上情形，不影响采购公平、公正性的，采购组织机构可以待上述情形消除后继续组织电子交易活动；影响或可能影响采购公平、公正性的，经采购代理机构确认后，应当重新采购。采购代理机构必须对原有的资料及信息作出妥善保密处理，并报财政部门备案。</w:t>
      </w:r>
    </w:p>
    <w:p>
      <w:pPr>
        <w:pStyle w:val="13"/>
        <w:spacing w:line="360" w:lineRule="auto"/>
        <w:rPr>
          <w:rFonts w:hint="eastAsia" w:ascii="宋体" w:hAnsi="宋体" w:eastAsia="宋体" w:cs="宋体"/>
          <w:color w:val="auto"/>
          <w:highlight w:val="none"/>
        </w:rPr>
      </w:pPr>
    </w:p>
    <w:p>
      <w:pPr>
        <w:pStyle w:val="5"/>
        <w:spacing w:before="0" w:after="0" w:line="360" w:lineRule="auto"/>
        <w:rPr>
          <w:rFonts w:hint="eastAsia" w:ascii="宋体" w:hAnsi="宋体" w:eastAsia="宋体" w:cs="宋体"/>
          <w:b/>
          <w:bCs w:val="0"/>
          <w:color w:val="auto"/>
          <w:highlight w:val="none"/>
        </w:rPr>
      </w:pPr>
      <w:bookmarkStart w:id="67" w:name="_Toc26245"/>
      <w:bookmarkStart w:id="68" w:name="_Toc24055"/>
      <w:bookmarkStart w:id="69" w:name="_Toc24541"/>
      <w:r>
        <w:rPr>
          <w:rFonts w:hint="eastAsia" w:ascii="宋体" w:hAnsi="宋体" w:eastAsia="宋体" w:cs="宋体"/>
          <w:b/>
          <w:bCs w:val="0"/>
          <w:color w:val="auto"/>
          <w:highlight w:val="none"/>
        </w:rPr>
        <w:t>五、成交及合同</w:t>
      </w:r>
      <w:bookmarkEnd w:id="67"/>
      <w:bookmarkEnd w:id="68"/>
      <w:bookmarkEnd w:id="69"/>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27.确定成交供应商及结果公告</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27.1确定成交供应商。</w:t>
      </w:r>
      <w:r>
        <w:rPr>
          <w:rFonts w:hint="eastAsia" w:ascii="宋体" w:hAnsi="宋体" w:eastAsia="宋体" w:cs="宋体"/>
          <w:color w:val="auto"/>
          <w:kern w:val="0"/>
          <w:szCs w:val="21"/>
          <w:highlight w:val="none"/>
          <w:u w:val="single"/>
        </w:rPr>
        <w:t xml:space="preserve"> 由采购人直接委托评审专家确定</w:t>
      </w:r>
      <w:r>
        <w:rPr>
          <w:rFonts w:hint="eastAsia" w:ascii="宋体" w:hAnsi="宋体" w:eastAsia="宋体" w:cs="宋体"/>
          <w:color w:val="auto"/>
          <w:szCs w:val="21"/>
          <w:highlight w:val="none"/>
          <w:u w:val="single"/>
        </w:rPr>
        <w:t>，评审报告提出的排序第一的供应商为成交供应商。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27.2成交通知及成交结果公告。</w:t>
      </w:r>
      <w:r>
        <w:rPr>
          <w:rFonts w:hint="eastAsia" w:ascii="宋体" w:hAnsi="宋体" w:eastAsia="宋体" w:cs="宋体"/>
          <w:color w:val="auto"/>
          <w:kern w:val="0"/>
          <w:szCs w:val="21"/>
          <w:highlight w:val="none"/>
        </w:rPr>
        <w:t>成交</w:t>
      </w:r>
      <w:r>
        <w:rPr>
          <w:rFonts w:hint="eastAsia" w:ascii="宋体" w:hAnsi="宋体" w:eastAsia="宋体" w:cs="宋体"/>
          <w:color w:val="auto"/>
          <w:szCs w:val="21"/>
          <w:highlight w:val="none"/>
        </w:rPr>
        <w:t>供应商确定后2个工作日内，在省级以上财政部门指定的媒体上公</w:t>
      </w:r>
      <w:r>
        <w:rPr>
          <w:rFonts w:hint="eastAsia" w:ascii="宋体" w:hAnsi="宋体" w:eastAsia="宋体" w:cs="宋体"/>
          <w:color w:val="auto"/>
          <w:kern w:val="0"/>
          <w:szCs w:val="21"/>
          <w:highlight w:val="none"/>
        </w:rPr>
        <w:t>告成交结果（成交通知及成交结果公告应使用南宁市本级模板进行公告，公告内容除包含《政府采购公告和公示信息格式规范（2020年版）》要求内容外，还应包含采购人专门面向中小企业预留份额情况及成交供应商评审价格、优惠率等内容），</w:t>
      </w:r>
      <w:r>
        <w:rPr>
          <w:rFonts w:hint="eastAsia" w:ascii="宋体" w:hAnsi="宋体" w:eastAsia="宋体" w:cs="宋体"/>
          <w:color w:val="auto"/>
          <w:szCs w:val="21"/>
          <w:highlight w:val="none"/>
        </w:rPr>
        <w:t>同时向成交供应商发出成交通知书，成交通知书规定签订合同的时间不得超过25日。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27.3采购人或者采购代理机构发出成交通知书前，应当对成交供应商信用进行查询核实，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竞磋文件一并保存。成交供应商享受《政府采购促进中小企业发展管理办法》（财库〔2020〕46号）规定的中小企业扶持政策的，采购人、采购代理机构应当随成交结果公开成交供应商的《中小企业声明函》。</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27.4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27.5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28.履约保证金</w:t>
      </w:r>
    </w:p>
    <w:p>
      <w:pPr>
        <w:spacing w:line="360" w:lineRule="auto"/>
        <w:ind w:firstLine="420" w:firstLineChars="200"/>
        <w:rPr>
          <w:rFonts w:hint="eastAsia" w:ascii="宋体" w:hAnsi="宋体" w:eastAsia="宋体" w:cs="宋体"/>
          <w:b/>
          <w:bCs/>
          <w:color w:val="auto"/>
          <w:sz w:val="24"/>
          <w:highlight w:val="none"/>
        </w:rPr>
      </w:pPr>
      <w:r>
        <w:rPr>
          <w:rFonts w:hint="eastAsia" w:ascii="宋体" w:hAnsi="宋体" w:eastAsia="宋体" w:cs="宋体"/>
          <w:color w:val="auto"/>
          <w:szCs w:val="21"/>
          <w:highlight w:val="none"/>
        </w:rPr>
        <w:t>详见 “供应商须知前附表”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29.签订合同</w:t>
      </w:r>
    </w:p>
    <w:p>
      <w:pPr>
        <w:pStyle w:val="28"/>
        <w:snapToGrid w:val="0"/>
        <w:spacing w:before="0" w:line="360" w:lineRule="auto"/>
        <w:ind w:firstLine="42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29.1采购人与成交供应商应当在成交通知书规定的时间内，按照磋商文件确定的合同文本以及采购标的、服务技术、采购金额、采购数量、技术和服务要求等事项签订政府采购合同。</w:t>
      </w:r>
      <w:r>
        <w:rPr>
          <w:rFonts w:hint="eastAsia" w:ascii="宋体" w:hAnsi="宋体" w:eastAsia="宋体" w:cs="宋体"/>
          <w:color w:val="auto"/>
          <w:sz w:val="21"/>
          <w:szCs w:val="21"/>
          <w:highlight w:val="none"/>
          <w:lang w:val="zh-CN"/>
        </w:rPr>
        <w:t>如成交供应商为联合体的，由联合体成员各方法定代表人或其授权代表与采购人代表签订合同。</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29.2采购人不得向成交供应商提出超出磋商文件以外的任何要求作为签订合同的条件，不得与成交供应商订立背离磋商文件确定的合同文本以及采购标的、服务技术、采购金额、采购数量、技术和服务要求等实质性内容的协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29.3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29.4如签订合同并生效后，供应商无故拒绝或延期，除按照合同条款处理外，列入不良行为记录，并给予通报。</w:t>
      </w:r>
    </w:p>
    <w:p>
      <w:pPr>
        <w:pStyle w:val="28"/>
        <w:spacing w:before="0"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29.5采购合同由采购人与成交供应商根据磋商文件、响应文件等内容通过政府采购电子交易平台在线签订，自动备案，在线签订须携带的材料见“</w:t>
      </w:r>
      <w:r>
        <w:rPr>
          <w:rFonts w:hint="eastAsia" w:ascii="宋体" w:hAnsi="宋体" w:eastAsia="宋体" w:cs="宋体"/>
          <w:color w:val="auto"/>
          <w:highlight w:val="none"/>
        </w:rPr>
        <w:t xml:space="preserve"> </w:t>
      </w:r>
      <w:r>
        <w:rPr>
          <w:rFonts w:hint="eastAsia" w:ascii="宋体" w:hAnsi="宋体" w:eastAsia="宋体" w:cs="宋体"/>
          <w:color w:val="auto"/>
          <w:sz w:val="21"/>
          <w:szCs w:val="21"/>
          <w:highlight w:val="none"/>
        </w:rPr>
        <w:t>供应商须知前附表”。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30.政府采购合同公告</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采购人或者受托采购代理机构应当自政府采购合同签订之日起2个工作日内，将政府采购合同</w:t>
      </w:r>
      <w:r>
        <w:rPr>
          <w:rFonts w:hint="eastAsia" w:ascii="宋体" w:hAnsi="宋体" w:eastAsia="宋体" w:cs="宋体"/>
          <w:bCs/>
          <w:color w:val="auto"/>
          <w:highlight w:val="none"/>
        </w:rPr>
        <w:t>在以下媒体上发布</w:t>
      </w:r>
      <w:r>
        <w:rPr>
          <w:rFonts w:hint="eastAsia" w:ascii="宋体" w:hAnsi="宋体" w:eastAsia="宋体" w:cs="宋体"/>
          <w:color w:val="auto"/>
          <w:kern w:val="0"/>
          <w:szCs w:val="21"/>
          <w:highlight w:val="none"/>
        </w:rPr>
        <w:t xml:space="preserve"> “广西政府采购网”（http://zfcg.gxzf.gov.cn）</w:t>
      </w:r>
      <w:r>
        <w:rPr>
          <w:rFonts w:hint="eastAsia" w:ascii="宋体" w:hAnsi="宋体" w:eastAsia="宋体" w:cs="宋体"/>
          <w:color w:val="auto"/>
          <w:highlight w:val="none"/>
        </w:rPr>
        <w:t>上公告，但政府采购合同中涉及国家秘密、商业秘密的内容除外。</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31. 询问、质疑和投诉</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31.1供应商对政府采购活动事项有疑问的，可以向采购人、采购代理机构提出询问，采购人或者采购代理机构应当在3个工作日内对供应商依法提出的询问作出答复。</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31.2供应商认为磋商文件、采购过程或者成交结果使自己的合法权益受到损害的，应当在知道或者应知其权益受到损害之日起7个工作日内，以书面形式向采购人、采购代理机构提出质疑，</w:t>
      </w:r>
      <w:r>
        <w:rPr>
          <w:rFonts w:hint="eastAsia" w:ascii="宋体" w:hAnsi="宋体" w:eastAsia="宋体" w:cs="宋体"/>
          <w:color w:val="auto"/>
          <w:highlight w:val="none"/>
          <w:shd w:val="clear" w:color="auto" w:fill="FFFFFF"/>
        </w:rPr>
        <w:t>接收质疑函的方式、联系部门、联系电话和通讯地址等信息详见</w:t>
      </w:r>
      <w:r>
        <w:rPr>
          <w:rFonts w:hint="eastAsia" w:ascii="宋体" w:hAnsi="宋体" w:eastAsia="宋体" w:cs="宋体"/>
          <w:color w:val="auto"/>
          <w:szCs w:val="21"/>
          <w:highlight w:val="none"/>
        </w:rPr>
        <w:t>“供应商须知前附表”</w:t>
      </w:r>
      <w:r>
        <w:rPr>
          <w:rFonts w:hint="eastAsia" w:ascii="宋体" w:hAnsi="宋体" w:eastAsia="宋体" w:cs="宋体"/>
          <w:color w:val="auto"/>
          <w:highlight w:val="none"/>
        </w:rPr>
        <w:t>。具体质疑起算时间如下：</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（1）对可以质疑的磋商文件提出质疑的，为收到磋商文件之日或者竞争性磋商公告期限届满之日；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（2）对采购过程提出质疑的，为各采购程序环节结束之日；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（3）对成交结果提出质疑的，为成交结果公告期限届满之日。</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31.3供应商提出的询问或者质疑超出采购人对采购代理机构委托授权范围的，采购代理机构应当告知供应商向采购人提出。政府采购评审专家应当配合采购人或者采购代理机构答复供应商的询问和质疑。</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31.4 供应商提出质疑应当提交质疑函和必要的证明材料，针对同一采购程序环节的质疑必须在法定质疑期内一次性提出。质疑函应当包括下列内容</w:t>
      </w:r>
      <w:r>
        <w:rPr>
          <w:rFonts w:hint="eastAsia" w:ascii="宋体" w:hAnsi="宋体" w:eastAsia="宋体" w:cs="宋体"/>
          <w:bCs/>
          <w:color w:val="auto"/>
          <w:highlight w:val="none"/>
        </w:rPr>
        <w:t>（质疑函格式后附）</w:t>
      </w:r>
      <w:r>
        <w:rPr>
          <w:rFonts w:hint="eastAsia" w:ascii="宋体" w:hAnsi="宋体" w:eastAsia="宋体" w:cs="宋体"/>
          <w:color w:val="auto"/>
          <w:highlight w:val="none"/>
        </w:rPr>
        <w:t>：</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（1）供应商的姓名或者名称、地址、邮编、联系人及联系电话；</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（2）质疑项目的名称、编号；</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（3）具体、明确的质疑事项和与质疑事项相关的请求；</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（4）事实依据；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（5）必要的法律依据；</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（6）提出质疑的日期。</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供应商为自然人的，应当由本人签字；供应商为法人或者其他组织的，应当由法定代表人、主要负责人，或者其委托代理人签字或者盖章，并加盖公章。</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31.5采购人、采购代理机构认为供应商质疑不成立，或者成立但未对成交结果构成影响的，继续开展采购活动；认为供应商质疑成立且影响或者可能影响成交结果的，按照下列情况处理：</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（一）对采购文件提出的质疑，依法通过澄清或者修改可以继续开展采购活动的，澄清或者修改采购文件后继续开展采购活动；否则应当修改采购文件后重新开展采购活动。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（二）对采购过程或者成交结果提出的质疑，合格供应商符合法定数量时，可以从合格的成交候选人中另行确定成交供应商的，应当依法另行确定成交供应商；否则应当重新开展采购活动。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质疑答复导致成交结果改变的，采购人或者采购代理机构应当将有关情况书面报告本级财政部门。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31.6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投诉书格式后附），受理投诉方式见“供应商须知前附表”。</w:t>
      </w:r>
      <w:bookmarkStart w:id="70" w:name="_Toc80205930"/>
    </w:p>
    <w:p>
      <w:pPr>
        <w:pStyle w:val="13"/>
        <w:spacing w:line="360" w:lineRule="auto"/>
        <w:rPr>
          <w:rFonts w:hint="eastAsia" w:ascii="宋体" w:hAnsi="宋体" w:eastAsia="宋体" w:cs="宋体"/>
          <w:color w:val="auto"/>
          <w:highlight w:val="none"/>
        </w:rPr>
      </w:pPr>
    </w:p>
    <w:p>
      <w:pPr>
        <w:pStyle w:val="5"/>
        <w:spacing w:before="0" w:after="0" w:line="360" w:lineRule="auto"/>
        <w:rPr>
          <w:rFonts w:hint="eastAsia" w:ascii="宋体" w:hAnsi="宋体" w:eastAsia="宋体" w:cs="宋体"/>
          <w:b/>
          <w:bCs w:val="0"/>
          <w:color w:val="auto"/>
          <w:highlight w:val="none"/>
        </w:rPr>
      </w:pPr>
      <w:bookmarkStart w:id="71" w:name="_Toc7926"/>
      <w:bookmarkStart w:id="72" w:name="_Toc12020"/>
      <w:bookmarkStart w:id="73" w:name="_Toc15338"/>
      <w:r>
        <w:rPr>
          <w:rFonts w:hint="eastAsia" w:ascii="宋体" w:hAnsi="宋体" w:eastAsia="宋体" w:cs="宋体"/>
          <w:b/>
          <w:bCs w:val="0"/>
          <w:color w:val="auto"/>
          <w:highlight w:val="none"/>
        </w:rPr>
        <w:t>六、验收</w:t>
      </w:r>
      <w:bookmarkEnd w:id="70"/>
      <w:bookmarkEnd w:id="71"/>
      <w:bookmarkEnd w:id="72"/>
      <w:bookmarkEnd w:id="73"/>
    </w:p>
    <w:p>
      <w:pPr>
        <w:tabs>
          <w:tab w:val="left" w:pos="0"/>
        </w:tabs>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32.验收</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32.1采购人会同实际使用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32.2采购人可以邀请参加本项目的其他供应商或者第三方机构参与验收。参与验收的供应商或者第三方机构的意见作为验收书的参考资料一并存档。</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32.4验收合格的项目，实际使用人将根据采购合同的约定及时向供应商支付采购资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pStyle w:val="13"/>
        <w:spacing w:line="360" w:lineRule="auto"/>
        <w:rPr>
          <w:rFonts w:hint="eastAsia" w:ascii="宋体" w:hAnsi="宋体" w:eastAsia="宋体" w:cs="宋体"/>
          <w:color w:val="auto"/>
          <w:highlight w:val="none"/>
        </w:rPr>
      </w:pPr>
    </w:p>
    <w:p>
      <w:pPr>
        <w:pStyle w:val="5"/>
        <w:spacing w:before="0" w:after="0" w:line="360" w:lineRule="auto"/>
        <w:rPr>
          <w:rFonts w:hint="eastAsia" w:ascii="宋体" w:hAnsi="宋体" w:eastAsia="宋体" w:cs="宋体"/>
          <w:b/>
          <w:bCs w:val="0"/>
          <w:color w:val="auto"/>
          <w:highlight w:val="none"/>
        </w:rPr>
      </w:pPr>
      <w:bookmarkStart w:id="74" w:name="_Toc3779"/>
      <w:bookmarkStart w:id="75" w:name="_Toc14544"/>
      <w:bookmarkStart w:id="76" w:name="_Toc12694"/>
      <w:r>
        <w:rPr>
          <w:rFonts w:hint="eastAsia" w:ascii="宋体" w:hAnsi="宋体" w:eastAsia="宋体" w:cs="宋体"/>
          <w:b/>
          <w:bCs w:val="0"/>
          <w:color w:val="auto"/>
          <w:highlight w:val="none"/>
          <w:lang w:eastAsia="zh-CN"/>
        </w:rPr>
        <w:t>七</w:t>
      </w:r>
      <w:r>
        <w:rPr>
          <w:rFonts w:hint="eastAsia" w:ascii="宋体" w:hAnsi="宋体" w:eastAsia="宋体" w:cs="宋体"/>
          <w:b/>
          <w:bCs w:val="0"/>
          <w:color w:val="auto"/>
          <w:highlight w:val="none"/>
        </w:rPr>
        <w:t>、其他事项</w:t>
      </w:r>
      <w:bookmarkEnd w:id="74"/>
      <w:bookmarkEnd w:id="75"/>
      <w:bookmarkEnd w:id="76"/>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33.代理服务费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代理服务收费标准及缴费账户详见“供应商须知前附表”，供应商为联合体的，可以由联合体中的一方或者多方共同交纳代理服务费。</w:t>
      </w:r>
    </w:p>
    <w:p>
      <w:pPr>
        <w:ind w:firstLine="632" w:firstLineChars="300"/>
        <w:rPr>
          <w:rFonts w:hint="eastAsia"/>
          <w:b/>
          <w:bCs/>
          <w:color w:val="auto"/>
          <w:highlight w:val="none"/>
        </w:rPr>
      </w:pPr>
      <w:r>
        <w:rPr>
          <w:rFonts w:hint="eastAsia"/>
          <w:b/>
          <w:bCs/>
          <w:color w:val="auto"/>
          <w:highlight w:val="none"/>
        </w:rPr>
        <w:t>附件：</w:t>
      </w:r>
    </w:p>
    <w:tbl>
      <w:tblPr>
        <w:tblStyle w:val="24"/>
        <w:tblpPr w:leftFromText="180" w:rightFromText="180" w:vertAnchor="text" w:horzAnchor="page" w:tblpX="1854" w:tblpY="3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5"/>
        <w:gridCol w:w="1599"/>
        <w:gridCol w:w="1704"/>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3425" w:type="dxa"/>
            <w:tcBorders>
              <w:tl2br w:val="single" w:color="auto" w:sz="4" w:space="0"/>
            </w:tcBorders>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费率</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中标金额</w:t>
            </w:r>
          </w:p>
        </w:tc>
        <w:tc>
          <w:tcPr>
            <w:tcW w:w="1599" w:type="dxa"/>
            <w:noWrap w:val="0"/>
            <w:vAlign w:val="center"/>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货物招标</w:t>
            </w:r>
          </w:p>
        </w:tc>
        <w:tc>
          <w:tcPr>
            <w:tcW w:w="1704" w:type="dxa"/>
            <w:noWrap w:val="0"/>
            <w:vAlign w:val="center"/>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服务招标</w:t>
            </w:r>
          </w:p>
        </w:tc>
        <w:tc>
          <w:tcPr>
            <w:tcW w:w="1537" w:type="dxa"/>
            <w:noWrap w:val="0"/>
            <w:vAlign w:val="center"/>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100万元以下</w:t>
            </w:r>
          </w:p>
        </w:tc>
        <w:tc>
          <w:tcPr>
            <w:tcW w:w="1599"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70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c>
          <w:tcPr>
            <w:tcW w:w="1537"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100～500万元</w:t>
            </w:r>
          </w:p>
        </w:tc>
        <w:tc>
          <w:tcPr>
            <w:tcW w:w="1599"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p>
        </w:tc>
        <w:tc>
          <w:tcPr>
            <w:tcW w:w="170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537"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500～1000万元</w:t>
            </w:r>
          </w:p>
        </w:tc>
        <w:tc>
          <w:tcPr>
            <w:tcW w:w="1599"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c>
          <w:tcPr>
            <w:tcW w:w="170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c>
          <w:tcPr>
            <w:tcW w:w="1537"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1000～5000万元</w:t>
            </w:r>
          </w:p>
        </w:tc>
        <w:tc>
          <w:tcPr>
            <w:tcW w:w="1599"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0.5%</w:t>
            </w:r>
          </w:p>
        </w:tc>
        <w:tc>
          <w:tcPr>
            <w:tcW w:w="170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537"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5000万元～1亿元</w:t>
            </w:r>
          </w:p>
        </w:tc>
        <w:tc>
          <w:tcPr>
            <w:tcW w:w="1599"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c>
          <w:tcPr>
            <w:tcW w:w="170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c>
          <w:tcPr>
            <w:tcW w:w="1537"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1～5亿元</w:t>
            </w:r>
          </w:p>
        </w:tc>
        <w:tc>
          <w:tcPr>
            <w:tcW w:w="1599"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70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c>
          <w:tcPr>
            <w:tcW w:w="1537"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5～10亿元</w:t>
            </w:r>
          </w:p>
        </w:tc>
        <w:tc>
          <w:tcPr>
            <w:tcW w:w="1599"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70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c>
          <w:tcPr>
            <w:tcW w:w="1537"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10～50亿元</w:t>
            </w:r>
          </w:p>
        </w:tc>
        <w:tc>
          <w:tcPr>
            <w:tcW w:w="1599"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70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c>
          <w:tcPr>
            <w:tcW w:w="1537"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3425"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50～100亿元</w:t>
            </w:r>
          </w:p>
        </w:tc>
        <w:tc>
          <w:tcPr>
            <w:tcW w:w="1599"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70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c>
          <w:tcPr>
            <w:tcW w:w="1537"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3425"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100亿以上</w:t>
            </w:r>
          </w:p>
        </w:tc>
        <w:tc>
          <w:tcPr>
            <w:tcW w:w="1599"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704"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c>
          <w:tcPr>
            <w:tcW w:w="1537" w:type="dxa"/>
            <w:noWrap w:val="0"/>
            <w:vAlign w:val="top"/>
          </w:tcPr>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0.004%</w:t>
            </w:r>
          </w:p>
        </w:tc>
      </w:tr>
    </w:tbl>
    <w:p>
      <w:pPr>
        <w:spacing w:line="360" w:lineRule="auto"/>
        <w:ind w:firstLine="482" w:firstLineChars="200"/>
        <w:rPr>
          <w:rFonts w:hint="eastAsia" w:ascii="宋体" w:hAnsi="宋体" w:eastAsia="宋体" w:cs="宋体"/>
          <w:b/>
          <w:bCs/>
          <w:color w:val="auto"/>
          <w:sz w:val="24"/>
          <w:highlight w:val="none"/>
        </w:rPr>
      </w:pP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34.需要补充的其他内容</w:t>
      </w:r>
    </w:p>
    <w:p>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34.1本磋商文件解释规则详见“供应商须知前附表”。</w:t>
      </w:r>
    </w:p>
    <w:p>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34.2 其他事项详见“供应商须知前附表”。</w:t>
      </w:r>
    </w:p>
    <w:p>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34.3本文件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在政府采购活动中，供应商提供的</w:t>
      </w:r>
      <w:r>
        <w:rPr>
          <w:rFonts w:hint="eastAsia" w:ascii="宋体" w:hAnsi="宋体" w:eastAsia="宋体" w:cs="宋体"/>
          <w:color w:val="auto"/>
          <w:sz w:val="21"/>
          <w:highlight w:val="none"/>
        </w:rPr>
        <w:t>服务由中小企业承接，即提供服务的人员为中小企业依照《中华人民共和国民法典》订立劳动合同的从业人员，不对其中涉及的货物的制造商和工程承建商作出要求</w:t>
      </w:r>
      <w:r>
        <w:rPr>
          <w:rFonts w:hint="eastAsia" w:ascii="宋体" w:hAnsi="宋体" w:eastAsia="宋体" w:cs="宋体"/>
          <w:color w:val="auto"/>
          <w:sz w:val="21"/>
          <w:highlight w:val="none"/>
          <w:lang w:val="en-US" w:eastAsia="zh-CN"/>
        </w:rPr>
        <w:t>的</w:t>
      </w:r>
      <w:r>
        <w:rPr>
          <w:rFonts w:hint="eastAsia" w:ascii="宋体" w:hAnsi="宋体" w:eastAsia="宋体" w:cs="宋体"/>
          <w:color w:val="auto"/>
          <w:kern w:val="2"/>
          <w:sz w:val="21"/>
          <w:highlight w:val="none"/>
          <w:lang w:val="en-US" w:eastAsia="zh-CN"/>
        </w:rPr>
        <w:t>，享受本文件规定的中小企业扶持政策。</w:t>
      </w:r>
    </w:p>
    <w:p>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以联合体形式参加政府采购活动，联合体各方均为中小企业的，联合体视同中小企业。其中，联合体各方均为小微企业的，联合体视同小微企业。</w:t>
      </w:r>
    </w:p>
    <w:p>
      <w:pPr>
        <w:pStyle w:val="16"/>
        <w:spacing w:line="360" w:lineRule="auto"/>
        <w:ind w:firstLine="420" w:firstLineChars="200"/>
        <w:textAlignment w:val="center"/>
        <w:rPr>
          <w:rFonts w:hint="eastAsia" w:ascii="宋体" w:hAnsi="宋体" w:eastAsia="宋体" w:cs="宋体"/>
          <w:color w:val="auto"/>
          <w:kern w:val="2"/>
          <w:sz w:val="21"/>
          <w:highlight w:val="none"/>
          <w:lang w:val="en-US" w:eastAsia="zh-CN"/>
        </w:rPr>
      </w:pPr>
      <w:r>
        <w:rPr>
          <w:rFonts w:hint="eastAsia" w:ascii="宋体" w:hAnsi="宋体" w:eastAsia="宋体" w:cs="宋体"/>
          <w:color w:val="auto"/>
          <w:kern w:val="2"/>
          <w:sz w:val="21"/>
          <w:highlight w:val="none"/>
          <w:lang w:val="en-US" w:eastAsia="zh-CN"/>
        </w:rPr>
        <w:t>依据本文件规定享受扶持政策获得政府采购合同的，小微企业不得将合同分包给大中型企业，中型企业不得将合同分包给大型企业。</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35. 政采贷相关说明</w:t>
      </w:r>
    </w:p>
    <w:p>
      <w:pPr>
        <w:pStyle w:val="16"/>
        <w:spacing w:line="360" w:lineRule="auto"/>
        <w:ind w:firstLine="420" w:firstLineChars="200"/>
        <w:rPr>
          <w:rFonts w:hAnsi="宋体"/>
          <w:color w:val="auto"/>
          <w:sz w:val="21"/>
          <w:highlight w:val="none"/>
        </w:rPr>
      </w:pPr>
      <w:r>
        <w:rPr>
          <w:rFonts w:hint="eastAsia" w:hAnsi="宋体"/>
          <w:color w:val="auto"/>
          <w:sz w:val="21"/>
          <w:highlight w:val="none"/>
        </w:rPr>
        <w:t>为优化政府采购营商环境，缓解供应商资金难题，南宁市政府采购试行政府采购信用融资制度，中标供应商如有融资需求，可凭政府采购合同通过以下方式申请政府采购信用融资贷款：</w:t>
      </w:r>
    </w:p>
    <w:p>
      <w:pPr>
        <w:pStyle w:val="16"/>
        <w:numPr>
          <w:ilvl w:val="0"/>
          <w:numId w:val="0"/>
        </w:numPr>
        <w:spacing w:line="360" w:lineRule="auto"/>
        <w:ind w:firstLine="420" w:firstLineChars="200"/>
        <w:rPr>
          <w:rFonts w:hAnsi="宋体"/>
          <w:color w:val="auto"/>
          <w:sz w:val="21"/>
          <w:highlight w:val="none"/>
        </w:rPr>
      </w:pPr>
      <w:r>
        <w:rPr>
          <w:rFonts w:hint="eastAsia" w:hAnsi="宋体"/>
          <w:color w:val="auto"/>
          <w:sz w:val="21"/>
          <w:highlight w:val="none"/>
          <w:lang w:eastAsia="zh-CN"/>
        </w:rPr>
        <w:t>（</w:t>
      </w:r>
      <w:r>
        <w:rPr>
          <w:rFonts w:hint="eastAsia" w:hAnsi="宋体"/>
          <w:color w:val="auto"/>
          <w:sz w:val="21"/>
          <w:highlight w:val="none"/>
          <w:lang w:val="en-US" w:eastAsia="zh-CN"/>
        </w:rPr>
        <w:t>1</w:t>
      </w:r>
      <w:r>
        <w:rPr>
          <w:rFonts w:hint="eastAsia" w:hAnsi="宋体"/>
          <w:color w:val="auto"/>
          <w:sz w:val="21"/>
          <w:highlight w:val="none"/>
          <w:lang w:eastAsia="zh-CN"/>
        </w:rPr>
        <w:t>）</w:t>
      </w:r>
      <w:r>
        <w:rPr>
          <w:rFonts w:hint="eastAsia" w:hAnsi="宋体"/>
          <w:color w:val="auto"/>
          <w:sz w:val="21"/>
          <w:highlight w:val="none"/>
        </w:rPr>
        <w:t>线下渠道：在“南宁市公共资源交易中心”官网（网址：</w:t>
      </w:r>
      <w:r>
        <w:rPr>
          <w:color w:val="auto"/>
          <w:highlight w:val="none"/>
        </w:rPr>
        <w:fldChar w:fldCharType="begin"/>
      </w:r>
      <w:r>
        <w:rPr>
          <w:color w:val="auto"/>
          <w:highlight w:val="none"/>
        </w:rPr>
        <w:instrText xml:space="preserve"> HYPERLINK "http://www.nnggzy.org.cn）" </w:instrText>
      </w:r>
      <w:r>
        <w:rPr>
          <w:color w:val="auto"/>
          <w:highlight w:val="none"/>
        </w:rPr>
        <w:fldChar w:fldCharType="separate"/>
      </w:r>
      <w:r>
        <w:rPr>
          <w:rStyle w:val="27"/>
          <w:rFonts w:hint="eastAsia" w:hAnsi="宋体"/>
          <w:color w:val="auto"/>
          <w:sz w:val="21"/>
          <w:highlight w:val="none"/>
        </w:rPr>
        <w:t>http://www.nnggzy.org.cn）“交易信息-政府采购-政府采购信用融资”中融资银行和南宁市企业融资货物中心专栏信息申请政府采购信用融资。</w:t>
      </w:r>
      <w:r>
        <w:rPr>
          <w:rStyle w:val="27"/>
          <w:rFonts w:hint="eastAsia" w:hAnsi="宋体"/>
          <w:color w:val="auto"/>
          <w:sz w:val="21"/>
          <w:highlight w:val="none"/>
        </w:rPr>
        <w:fldChar w:fldCharType="end"/>
      </w:r>
    </w:p>
    <w:p>
      <w:pPr>
        <w:pStyle w:val="16"/>
        <w:numPr>
          <w:ilvl w:val="0"/>
          <w:numId w:val="0"/>
        </w:numPr>
        <w:spacing w:line="360" w:lineRule="auto"/>
        <w:ind w:firstLine="402" w:firstLineChars="200"/>
        <w:rPr>
          <w:rFonts w:hint="eastAsia" w:ascii="宋体" w:hAnsi="宋体" w:eastAsia="宋体" w:cs="宋体"/>
          <w:color w:val="auto"/>
          <w:highlight w:val="none"/>
        </w:rPr>
      </w:pPr>
      <w:r>
        <w:rPr>
          <w:rFonts w:hint="eastAsia" w:hAnsi="宋体"/>
          <w:b/>
          <w:color w:val="auto"/>
          <w:highlight w:val="none"/>
        </w:rPr>
        <w:t>（2）线上渠道：登录中征营应收账款融资服务平台（网址：https://www.crcrfsp.com，客服电话：400-009-0001），选择相关金融产品和银行业金融机构金融融资贷款。具体操作方式见《中国人民银行南宁中心支行广西壮族自治区财政厅关于推广线上“政采贷”融资模式的通知》（南宁银发〔2021〕258号）文（文件公开网址详情见：“广西政府采购网”——http://www.ccgp-guangxi.gov.cn/AdministrativeRegulations/AutonomousRegion/9830442.html）</w:t>
      </w:r>
      <w:r>
        <w:rPr>
          <w:rFonts w:hint="eastAsia" w:ascii="宋体" w:hAnsi="宋体" w:eastAsia="宋体" w:cs="Times New Roman"/>
          <w:color w:val="auto"/>
          <w:kern w:val="0"/>
          <w:sz w:val="20"/>
          <w:szCs w:val="21"/>
          <w:highlight w:val="none"/>
          <w:lang w:val="en-US" w:eastAsia="zh-CN" w:bidi="ar-SA"/>
        </w:rPr>
        <w:t>。</w:t>
      </w:r>
    </w:p>
    <w:p>
      <w:pPr>
        <w:pStyle w:val="16"/>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pPr>
        <w:pStyle w:val="16"/>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pPr>
        <w:pStyle w:val="16"/>
        <w:numPr>
          <w:ilvl w:val="0"/>
          <w:numId w:val="0"/>
        </w:numPr>
        <w:spacing w:line="360" w:lineRule="auto"/>
        <w:ind w:firstLine="0" w:firstLineChars="0"/>
        <w:textAlignment w:val="center"/>
        <w:rPr>
          <w:rFonts w:hint="eastAsia" w:ascii="宋体" w:hAnsi="宋体" w:eastAsia="宋体" w:cs="Times New Roman"/>
          <w:color w:val="auto"/>
          <w:kern w:val="0"/>
          <w:sz w:val="20"/>
          <w:szCs w:val="21"/>
          <w:highlight w:val="none"/>
          <w:lang w:val="en-US" w:eastAsia="zh-CN" w:bidi="ar-SA"/>
        </w:rPr>
      </w:pPr>
    </w:p>
    <w:p>
      <w:pPr>
        <w:pStyle w:val="16"/>
        <w:numPr>
          <w:ilvl w:val="0"/>
          <w:numId w:val="0"/>
        </w:numPr>
        <w:spacing w:line="360" w:lineRule="auto"/>
        <w:ind w:firstLine="0" w:firstLineChars="0"/>
        <w:textAlignment w:val="center"/>
        <w:rPr>
          <w:rFonts w:hint="eastAsia" w:ascii="宋体" w:hAnsi="宋体" w:eastAsia="宋体" w:cs="宋体"/>
          <w:color w:val="auto"/>
          <w:highlight w:val="none"/>
        </w:rPr>
      </w:pPr>
    </w:p>
    <w:p>
      <w:pPr>
        <w:pStyle w:val="3"/>
        <w:spacing w:line="360" w:lineRule="auto"/>
        <w:jc w:val="center"/>
        <w:rPr>
          <w:rFonts w:hint="eastAsia" w:ascii="宋体" w:hAnsi="宋体" w:eastAsia="宋体" w:cs="宋体"/>
          <w:b/>
          <w:bCs/>
          <w:color w:val="auto"/>
          <w:highlight w:val="none"/>
        </w:rPr>
        <w:sectPr>
          <w:footerReference r:id="rId12"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pStyle w:val="3"/>
        <w:spacing w:line="360" w:lineRule="auto"/>
        <w:jc w:val="center"/>
        <w:rPr>
          <w:rFonts w:hint="eastAsia" w:ascii="宋体" w:hAnsi="宋体" w:eastAsia="宋体" w:cs="宋体"/>
          <w:b/>
          <w:bCs/>
          <w:color w:val="auto"/>
          <w:highlight w:val="none"/>
        </w:rPr>
      </w:pPr>
      <w:bookmarkStart w:id="77" w:name="_Toc14829"/>
      <w:bookmarkStart w:id="78" w:name="_Toc16334"/>
      <w:bookmarkStart w:id="79" w:name="_Toc22508"/>
      <w:r>
        <w:rPr>
          <w:rFonts w:hint="eastAsia" w:ascii="宋体" w:hAnsi="宋体" w:eastAsia="宋体" w:cs="宋体"/>
          <w:b/>
          <w:bCs/>
          <w:color w:val="auto"/>
          <w:highlight w:val="none"/>
        </w:rPr>
        <w:t>第四章  评审程序、评审方法和评审标准</w:t>
      </w:r>
      <w:bookmarkEnd w:id="77"/>
      <w:bookmarkEnd w:id="78"/>
      <w:bookmarkEnd w:id="79"/>
    </w:p>
    <w:p>
      <w:pPr>
        <w:pStyle w:val="4"/>
        <w:spacing w:line="360" w:lineRule="auto"/>
        <w:jc w:val="center"/>
        <w:rPr>
          <w:rFonts w:hint="eastAsia" w:ascii="宋体" w:hAnsi="宋体" w:eastAsia="宋体" w:cs="宋体"/>
          <w:b w:val="0"/>
          <w:color w:val="auto"/>
          <w:highlight w:val="none"/>
        </w:rPr>
      </w:pPr>
      <w:bookmarkStart w:id="80" w:name="_Toc2012"/>
      <w:bookmarkStart w:id="81" w:name="_Toc8295"/>
      <w:bookmarkStart w:id="82" w:name="_Toc23306"/>
      <w:r>
        <w:rPr>
          <w:rFonts w:hint="eastAsia" w:ascii="宋体" w:hAnsi="宋体" w:eastAsia="宋体" w:cs="宋体"/>
          <w:b w:val="0"/>
          <w:color w:val="auto"/>
          <w:highlight w:val="none"/>
        </w:rPr>
        <w:t>第一节 评审程序和评审方法</w:t>
      </w:r>
      <w:bookmarkEnd w:id="80"/>
      <w:bookmarkEnd w:id="81"/>
      <w:bookmarkEnd w:id="82"/>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1.确认磋商文件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由磋商小组确认磋商文件。</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2.资格审查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2.1响应文件开启后，磋商小组依法对供应商的资格证明文件进行审查。</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注：采购人代表或者采购代理机构在资格审查结束前，对供应商进行信用查询。</w:t>
      </w:r>
    </w:p>
    <w:p>
      <w:pPr>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（1）查询渠道：“政采云”平台“信用中国”网站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"http://www.creditchina.gov.cn" </w:instrText>
      </w:r>
      <w:r>
        <w:rPr>
          <w:rFonts w:hint="eastAsia" w:ascii="宋体" w:hAnsi="宋体" w:eastAsia="宋体" w:cs="宋体"/>
          <w:color w:val="auto"/>
          <w:szCs w:val="21"/>
          <w:highlight w:val="none"/>
        </w:rPr>
        <w:fldChar w:fldCharType="separate"/>
      </w:r>
      <w:r>
        <w:rPr>
          <w:rStyle w:val="27"/>
          <w:rFonts w:hint="eastAsia" w:ascii="宋体" w:hAnsi="宋体" w:eastAsia="宋体" w:cs="宋体"/>
          <w:color w:val="auto"/>
          <w:highlight w:val="none"/>
        </w:rPr>
        <w:t>www.creditchina.gov.cn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fldChar w:fldCharType="begin"/>
      </w:r>
      <w:r>
        <w:rPr>
          <w:rFonts w:hint="eastAsia" w:ascii="宋体" w:hAnsi="宋体" w:eastAsia="宋体" w:cs="宋体"/>
          <w:color w:val="auto"/>
          <w:szCs w:val="21"/>
          <w:highlight w:val="none"/>
        </w:rPr>
        <w:instrText xml:space="preserve"> HYPERLINK "http://www.ccgp.gov.cn" </w:instrText>
      </w:r>
      <w:r>
        <w:rPr>
          <w:rFonts w:hint="eastAsia" w:ascii="宋体" w:hAnsi="宋体" w:eastAsia="宋体" w:cs="宋体"/>
          <w:color w:val="auto"/>
          <w:szCs w:val="21"/>
          <w:highlight w:val="none"/>
        </w:rPr>
        <w:fldChar w:fldCharType="separate"/>
      </w:r>
      <w:r>
        <w:rPr>
          <w:rStyle w:val="27"/>
          <w:rFonts w:hint="eastAsia" w:ascii="宋体" w:hAnsi="宋体" w:eastAsia="宋体" w:cs="宋体"/>
          <w:color w:val="auto"/>
          <w:highlight w:val="none"/>
        </w:rPr>
        <w:t>www.ccgp.gov.cn</w:t>
      </w:r>
      <w:r>
        <w:rPr>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)链接入口。</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（2）信用查询截止时点：资格审查结束前。</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查询记录和证据留存方式：在查询网站中直接打印查询记录，截图另存为电子文档作为评审资料保存。</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（3）信用信息使用规则：对在“信用中国”网站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www.creditchina.gov.cn) 、中国政府采购网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www.ccgp.gov.cn</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被列入失信被执行人、重大税收违法案件当事人名单、政府采购严重违法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2.2资格审查标准为本磋商文件中载明对供应商资格要求的条件。资格审查采用合格制，凡符合磋商文件规定的供应商资格要求的响应文件均通过资格审查。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2.3供应商有下列情形之一的，资格审查不通过，其响应文件按无效响应处理：</w:t>
      </w:r>
    </w:p>
    <w:p>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（1）不具备磋商文件中规定的资格要求的；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（2）响应文件未提供任一项“供应商须知前附表”资格证明文件规定的“必须提供”的文件资料的；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（3）响应文件提供的资格证明文件出现任一项不符合“供应商须知前附表”资格证明文件规定的“必须提供”的文件资料要求或者无效的。</w:t>
      </w:r>
    </w:p>
    <w:p>
      <w:pPr>
        <w:spacing w:line="360" w:lineRule="auto"/>
        <w:ind w:firstLine="420" w:firstLineChars="200"/>
        <w:rPr>
          <w:rFonts w:hint="eastAsia" w:ascii="宋体" w:hAnsi="宋体" w:eastAsia="宋体" w:cs="宋体"/>
          <w:color w:val="auto"/>
          <w:szCs w:val="21"/>
          <w:highlight w:val="none"/>
        </w:rPr>
      </w:pPr>
      <w:bookmarkStart w:id="83" w:name="_Hlk68601553"/>
      <w:r>
        <w:rPr>
          <w:rFonts w:hint="eastAsia" w:ascii="宋体" w:hAnsi="宋体" w:eastAsia="宋体" w:cs="宋体"/>
          <w:color w:val="auto"/>
          <w:szCs w:val="21"/>
          <w:highlight w:val="none"/>
        </w:rPr>
        <w:t>（4）同一合同项下的不同供应商，单位负责人为同一人或者存在直接控股、管理关系的；为本项目提供过整体设计、规范编制或者项目管理、监理、检测等服务的。</w:t>
      </w:r>
      <w:bookmarkEnd w:id="83"/>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2.4通过资格审查的合格供应商不足3家的，不得进入符合性审查环节，采购人或者采购代理机构应当重新开展采购活动。</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3.符合性审查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3.1由磋商小组对通过资格审查的合格供应商的响应文件的响应报价、商务、技术等实质性要求进行符合性审查，以确定其是否满足磋商文件的实质性要求。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3.2磋商小组在对响应文件进行符合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60" w:lineRule="auto"/>
        <w:ind w:firstLine="420" w:firstLineChars="200"/>
        <w:rPr>
          <w:rFonts w:hint="eastAsia" w:ascii="宋体" w:hAnsi="宋体" w:eastAsia="宋体" w:cs="宋体"/>
          <w:color w:val="auto"/>
          <w:spacing w:val="-6"/>
          <w:szCs w:val="21"/>
          <w:highlight w:val="none"/>
        </w:rPr>
      </w:pPr>
      <w:r>
        <w:rPr>
          <w:rFonts w:hint="eastAsia" w:ascii="宋体" w:hAnsi="宋体" w:eastAsia="宋体" w:cs="宋体"/>
          <w:color w:val="auto"/>
          <w:szCs w:val="21"/>
          <w:highlight w:val="none"/>
        </w:rPr>
        <w:t>3.3磋商小组要求供应商澄清、说明或者更正响应文件应当以电子澄清函形式作出。供应商的澄清、说明或者更正应当已电子回函形式按照磋商小组的要求作出明确的澄清、说明或者更正，未按磋商小组的要求作出明确澄清、说明或者更正的供应商的响应文件将按照有利于采购人的原则由磋商小组进行判定。供应商的澄清、说明或者更正必须加盖电子公章</w:t>
      </w:r>
      <w:r>
        <w:rPr>
          <w:rFonts w:hint="eastAsia" w:ascii="宋体" w:hAnsi="宋体" w:eastAsia="宋体" w:cs="宋体"/>
          <w:color w:val="auto"/>
          <w:spacing w:val="-6"/>
          <w:szCs w:val="21"/>
          <w:highlight w:val="none"/>
        </w:rPr>
        <w:t>。供应商为自然人的，必须由本人签字并附身份证明。</w:t>
      </w:r>
    </w:p>
    <w:p>
      <w:pPr>
        <w:spacing w:line="360" w:lineRule="auto"/>
        <w:ind w:firstLine="396" w:firstLineChars="200"/>
        <w:rPr>
          <w:rFonts w:hint="eastAsia" w:ascii="宋体" w:hAnsi="宋体" w:eastAsia="宋体" w:cs="宋体"/>
          <w:color w:val="auto"/>
          <w:szCs w:val="21"/>
          <w:highlight w:val="none"/>
        </w:rPr>
      </w:pPr>
      <w:r>
        <w:rPr>
          <w:rFonts w:hint="eastAsia" w:ascii="宋体" w:hAnsi="宋体" w:eastAsia="宋体" w:cs="宋体"/>
          <w:color w:val="auto"/>
          <w:spacing w:val="-6"/>
          <w:szCs w:val="21"/>
          <w:highlight w:val="none"/>
        </w:rPr>
        <w:t>3.4</w:t>
      </w:r>
      <w:r>
        <w:rPr>
          <w:rFonts w:hint="eastAsia" w:ascii="宋体" w:hAnsi="宋体" w:eastAsia="宋体" w:cs="宋体"/>
          <w:color w:val="auto"/>
          <w:szCs w:val="21"/>
          <w:highlight w:val="none"/>
        </w:rPr>
        <w:t xml:space="preserve">首次响应文件报价出现前后不一致的，按照下列规定修正：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（1）响应文件中报价表内容与响应文件中相应内容不一致的，以报价表为准；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（2）大写金额和小写金额不一致的，以大写金额为准；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（3）单价金额小数点或者百分比有明显错位的，以报价表的总价为准，并修改单价；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（4）总价金额与按单价汇总金额不一致的，以单价金额计算结果为准。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同时出现两种以上不一致的，按照以上（1）-（4）规定的顺序逐条进行修正。修正后的报价经供应商确认后产生约束力，供应商不确认的，其响应文件按无效响应处理。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3.5商务技术、报价评审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在评审时，如发现下列情形之一的，将被视为响应文件无效处理：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（1）商务技术评审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1）响应文件未按磋商文件要求签署、盖章；</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2）委托代理人未能出具有效身份证明或者出具的身份证明与授权委托书中的信息不符；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3）响应文件未提供任一项“供应商须知前附表” 商务技术文件中 “必须提供”或者“委托时必须提供”的文件资料；响应文件提供的商务技术文件出现任一项不符合“供应商须知前附表”商务技术文件中 “必须提供”或者“委托时必须提供”文件资料要求的规定或者提供的商务技术文件无效。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4）商务条款中标“▲”的条款发生负偏离的或者允许负偏离的条款数超过“供应商须知前附表”规定项数的或者标明实质性的要求发生负偏离；</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5）未对竞标有效期作出响应或者响应文件承诺的竞标有效期不满足磋商文件要求；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6）响应文件的实质性内容未使用中文表述、使用计量单位不符合磋商文件要求；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7）响应文件中的文件资料因填写不齐全或者内容虚假或者出现其他情形而导致被磋商小组认定无效；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8）响应文件含有采购人不能接受的附加条件；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9）属于“供应商须知正文”第7.5条情形；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cs="宋体"/>
          <w:color w:val="auto"/>
          <w:szCs w:val="21"/>
          <w:highlight w:val="none"/>
        </w:rPr>
        <w:t>技术需求</w:t>
      </w:r>
      <w:r>
        <w:rPr>
          <w:rFonts w:hint="eastAsia" w:ascii="宋体" w:hAnsi="宋体" w:eastAsia="宋体" w:cs="宋体"/>
          <w:color w:val="auto"/>
          <w:szCs w:val="21"/>
          <w:highlight w:val="none"/>
        </w:rPr>
        <w:t>允许负偏离的条款数超过“供应商须知前附表”规定项数；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11）虚假竞标，或者出现其他情形而导致被磋商小组认定无效；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12）竞标技术方案不明确，磋商文件未允许但响应文件中存在一个或者一个以上备选（替代）竞标方案；</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13）响应文件标注的项目名称或者项目编号与竞争性磋商文件标注的项目名称或者项目编号不一致的；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14）未响应磋商文件实质性要求；</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15）法律、法规和磋商文件规定的其他无效情形。</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（2）报价评审</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 响应文件未提供“供应商须知前附表” 报价文件中规定的“响应报价表”；</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2）未采用人民币报价或者未按照磋商文件标明的币种报价；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供应商未就所竞标分标进行报价或者存在漏项报价；供应商未就所竞标分标的单项内容作唯一报价；供应商未就所竞标分标的全部内容作唯一总价报价；供应商响应文件中存在有选择、有条件报价的（磋商文件允许有备选方案或者其他约定的除外）；</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响应报价（包含首次报价、最后报价）超过所竞标分标规定的采购预算金额或者最高限价的（如本项目公布了最高限价）；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修正后的报价，供应商不确认的；或者经供应商确认修正后的响应报价（包含首次报价、最后报价）超过所竞标分标规定的采购预算金额或者最高限价（如本项目公布了最高限价）；或者经供应商确认修正后响应报价（包含首次报价、最后报价）超过磋商文件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6）响应文件响应的标的数量及单位与竞争性磋商文件要求实质性不一致的。</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3.6磋商小组对响应文件进行评审，未实质性响应磋商文件的响应文件按无效处理，磋商小组应当将资格和符合性不通过的情况告知有关供应商。磋商小组从符合磋商文件规定的相应资格条件的供应商名单中确定不少于3家的供应商参加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3.7非政府购买服务项目，通过符合性审查的合格供应商不足3家的，不得进入磋商环节，采购人或者采购代理机构应当重新开展采购活动。政府购买服务项目，按《财政部关于政府采购竞争性磋商采购方式管理暂行办法有关问题的补充通知》（财库〔2015〕124号）规定，采购过程中通过符合性审查的供应商（社会资本）只有2家的，磋商采购活动可以继续进行。</w:t>
      </w:r>
    </w:p>
    <w:p>
      <w:pPr>
        <w:spacing w:line="360" w:lineRule="auto"/>
        <w:ind w:firstLine="482" w:firstLineChars="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4.磋商程序</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4.1磋商小组按照“供应商须知前附表”</w:t>
      </w:r>
      <w:r>
        <w:rPr>
          <w:rFonts w:hint="eastAsia" w:ascii="宋体" w:hAnsi="宋体" w:eastAsia="宋体" w:cs="宋体"/>
          <w:color w:val="auto"/>
          <w:szCs w:val="21"/>
          <w:highlight w:val="none"/>
        </w:rPr>
        <w:t xml:space="preserve"> </w:t>
      </w:r>
      <w:r>
        <w:rPr>
          <w:rFonts w:hint="eastAsia" w:ascii="宋体" w:hAnsi="宋体" w:eastAsia="宋体" w:cs="宋体"/>
          <w:color w:val="auto"/>
          <w:kern w:val="0"/>
          <w:szCs w:val="21"/>
          <w:highlight w:val="none"/>
        </w:rPr>
        <w:t>确定的</w:t>
      </w:r>
      <w:r>
        <w:rPr>
          <w:rFonts w:hint="eastAsia" w:ascii="宋体" w:hAnsi="宋体" w:eastAsia="宋体" w:cs="宋体"/>
          <w:color w:val="auto"/>
          <w:szCs w:val="21"/>
          <w:highlight w:val="none"/>
        </w:rPr>
        <w:t>顺序，集中与单一供应商分别进行磋商，并给予所有参加磋商的供应商平等的磋商机会。符合磋商资格的供应商必须在接到磋商通知后规定时间内参加磋商，未在规定时间内参加磋商的视同放弃参加磋商权利，其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4.2在磋商过程中，磋商小组可以根据磋商文件和磋商情况实质性变动采购需求中的技术、服务要求以及合同草案条款，但不得变动磋商文件中的其他内容。实质性变动的内容，须经采购人代表确认。可能实质性变动的内容为采购需求中的技术、服务要求以及合同草案条款。</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4.3对磋商文件作出的实质性变动是磋商文件的有效组成部分，由磋商小组及时以电子澄清函形式同时通知所有参加磋商的供应商。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4.4供应商必须按照磋商文件的变动情况和磋商小组的要求以回函的形式重新提交响应文件，并加盖电子公章。供应商为自然人的，必须由本人签字并附身份证明。参加磋商的供应商未在规定时间内重新提交响应文件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4.5磋商中，</w:t>
      </w:r>
      <w:r>
        <w:rPr>
          <w:rFonts w:hint="eastAsia" w:ascii="宋体" w:hAnsi="宋体" w:eastAsia="宋体" w:cs="宋体"/>
          <w:color w:val="auto"/>
          <w:spacing w:val="-6"/>
          <w:szCs w:val="21"/>
          <w:highlight w:val="none"/>
        </w:rPr>
        <w:t>磋商的任何一方不得透露与磋商有关的其他供应商的技术资料、价格和其他信息。</w:t>
      </w:r>
    </w:p>
    <w:p>
      <w:pPr>
        <w:widowControl/>
        <w:tabs>
          <w:tab w:val="left" w:pos="540"/>
        </w:tabs>
        <w:spacing w:line="360" w:lineRule="auto"/>
        <w:ind w:firstLine="420" w:firstLineChars="200"/>
        <w:jc w:val="left"/>
        <w:rPr>
          <w:rFonts w:hint="eastAsia" w:ascii="宋体" w:hAnsi="宋体" w:eastAsia="宋体" w:cs="宋体"/>
          <w:b/>
          <w:color w:val="auto"/>
          <w:highlight w:val="none"/>
        </w:rPr>
      </w:pPr>
      <w:r>
        <w:rPr>
          <w:rFonts w:hint="eastAsia" w:ascii="宋体" w:hAnsi="宋体" w:eastAsia="宋体" w:cs="宋体"/>
          <w:color w:val="auto"/>
          <w:szCs w:val="21"/>
          <w:highlight w:val="none"/>
        </w:rPr>
        <w:t>4.6磋商小组应对磋商过程和重要磋商内容进行记录，作为评标报告一部分，磋商小组在记录上签字确认。</w:t>
      </w:r>
      <w:r>
        <w:rPr>
          <w:rFonts w:hint="eastAsia" w:ascii="宋体" w:hAnsi="宋体" w:eastAsia="宋体" w:cs="宋体"/>
          <w:b/>
          <w:color w:val="auto"/>
          <w:highlight w:val="none"/>
        </w:rPr>
        <w:t>主要内容包括：</w:t>
      </w:r>
    </w:p>
    <w:p>
      <w:pPr>
        <w:pStyle w:val="28"/>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（1）按照相关规定进行公示的，公示情况说明；</w:t>
      </w:r>
    </w:p>
    <w:p>
      <w:pPr>
        <w:pStyle w:val="28"/>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（2）磋商日期和地点，磋商人员名单；</w:t>
      </w:r>
    </w:p>
    <w:p>
      <w:pPr>
        <w:pStyle w:val="28"/>
        <w:spacing w:before="0" w:line="360" w:lineRule="auto"/>
        <w:ind w:firstLine="396"/>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rPr>
        <w:t>（3）合同主要条款及价格商定情况。</w:t>
      </w:r>
    </w:p>
    <w:p>
      <w:pPr>
        <w:widowControl/>
        <w:tabs>
          <w:tab w:val="left" w:pos="540"/>
        </w:tabs>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4.7磋商过程中重新提交的响应文件，供应商可以在开启前补充、修改。</w:t>
      </w:r>
    </w:p>
    <w:p>
      <w:pPr>
        <w:tabs>
          <w:tab w:val="left" w:pos="2835"/>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4.8对磋商过程提交的响应文件进行有效性、完整性和响应程度审查，通过审查的合格供应商不足3家的，采购人或者采购代理机构应当重新开展采购活动。</w:t>
      </w:r>
    </w:p>
    <w:p>
      <w:pPr>
        <w:spacing w:line="360" w:lineRule="auto"/>
        <w:ind w:firstLine="200"/>
        <w:rPr>
          <w:rFonts w:hint="eastAsia" w:ascii="宋体" w:hAnsi="宋体" w:eastAsia="宋体" w:cs="宋体"/>
          <w:color w:val="auto"/>
          <w:szCs w:val="21"/>
          <w:highlight w:val="none"/>
        </w:rPr>
      </w:pPr>
      <w:r>
        <w:rPr>
          <w:rFonts w:hint="eastAsia" w:ascii="宋体" w:hAnsi="宋体" w:eastAsia="宋体" w:cs="宋体"/>
          <w:b/>
          <w:bCs/>
          <w:color w:val="auto"/>
          <w:sz w:val="24"/>
          <w:highlight w:val="none"/>
        </w:rPr>
        <w:t>5. 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磋商文件能够详细列明采购标的的技术、服务要求的，磋商结束后，由磋商小组要求所有继续参加磋商的供应商在规定时间内密封提交最后报价，除本章第5.3条外，提交最后报价的供应商不得少于3家，否则必须重新采购。</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5.2磋商文件不能详细列明采购标的的技术、服务要求，需经磋商由供应商提供最后设计方案或者解决方案的，磋商结束后，由磋商小组按照少数服从多数的原则投票推荐3家以上供应商的设计方案或者解决方案，并要求其在规定时间内密封提交最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5.3 最后报价是供应商响应文件的有效组成部分。符合《政府采购竞争性磋商采购方式管理暂行办法》（财库〔2014〕214号）第三条第四项“市场竞争不充分的科研项目，以及需要扶持的科技成果转化项目”的，提交最后报价的供应商可以为2家。</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5.4已经提交响应文件的供应商，在提交最后报价之前，可以根据磋商情况退出磋商，退出磋商的供应商的响应文件按无效响应处理。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5.5供应商未在规定时间内提交最后报价的，视同退出磋商。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5.6磋商小组收齐某一分标最后报价后统一开启，磋商小组对最后报价进行有效性、完整性和响应程度的审查。</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5.7最终响应文件的报价出现前后不一致的，按照本章第3.4条的规定修正。 </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5.8修正后的最终报价出现下列情形的，按无效响应处理：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（1）供应商不确认的（全流程电子化评标采取在线确认）；</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（2）经供应商确认修正后的响应报价（包含首次报价、最后报价）超过所竞标分标规定的采购预算金额或者最高限价的（如本项目公布了最高限价）；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（3）经供应商确认修正后的响应报价（包含首次报价、最后报价）超过分项采购预算金额或者最高限价的（如本项目公布了最高限价）。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5.9经供应商确认修正后的最后报价作为评审及签订合同的依据。</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5.10供应商出现最后报价按无效响应处理或者响应文件按无效处理时</w:t>
      </w:r>
      <w:r>
        <w:rPr>
          <w:rFonts w:hint="eastAsia" w:ascii="宋体" w:hAnsi="宋体" w:eastAsia="宋体" w:cs="宋体"/>
          <w:color w:val="auto"/>
          <w:sz w:val="22"/>
          <w:szCs w:val="22"/>
          <w:highlight w:val="none"/>
        </w:rPr>
        <w:t>，磋商小组应当告知有关供应商</w:t>
      </w:r>
      <w:r>
        <w:rPr>
          <w:rFonts w:hint="eastAsia" w:ascii="宋体" w:hAnsi="宋体" w:eastAsia="宋体" w:cs="宋体"/>
          <w:color w:val="auto"/>
          <w:szCs w:val="21"/>
          <w:highlight w:val="none"/>
        </w:rPr>
        <w:t>。</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5.11最后报价结束后，磋商小组不得再与供应商进行任何形式的商谈。</w:t>
      </w:r>
    </w:p>
    <w:p>
      <w:pPr>
        <w:spacing w:line="360" w:lineRule="auto"/>
        <w:ind w:firstLine="200"/>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6.比较与评价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6.1评审方法：综合评分法。</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6.2经磋商确定最终采购需求和提交最后报价的供应商后，由磋商小组采用综合评分法对提交最后报价的供应商的响应文件和最后报价进行综合评分。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6.3评审时，磋商小组各成员应当独立对每个有效响应的文件进行评价、打分，然后汇总每个供应商每项评分因素的得分。</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（1）磋商小组按照磋商文件中规定的评审标准计算各供应商的报价得分。项目评审过程中，不得去掉最后报价中的最高报价和最低报价。</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（2）各供应商的得分为磋商小组所有成员的有效评分的算术平均数。</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6.4评审价为供应商的最后报价进行政策性扣除后的价格，评审价只是作为评审时使用。最终成交供应商的成交金额等于最后报价（如有修正，以确认修正后的最后报价为准）。</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6.5由磋商小组根据综合评分情况，按照评审得分由高到低顺序推荐3名以上成交候选供应商，并编写评</w:t>
      </w:r>
      <w:r>
        <w:rPr>
          <w:rFonts w:hint="eastAsia" w:ascii="宋体" w:hAnsi="宋体" w:eastAsia="宋体" w:cs="宋体"/>
          <w:color w:val="auto"/>
          <w:kern w:val="0"/>
          <w:szCs w:val="21"/>
          <w:highlight w:val="none"/>
        </w:rPr>
        <w:t>审报告。符合本章第4.3条情形的，可以推荐2家成交候选供应商。评审得分相同的，按照最后报价由低到高的顺序推荐。评审得分且最后报价相同的，按照技术指标优劣顺序推荐。</w:t>
      </w:r>
    </w:p>
    <w:p>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6.6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pacing w:line="360" w:lineRule="auto"/>
        <w:ind w:firstLine="0" w:firstLineChars="0"/>
        <w:rPr>
          <w:rFonts w:hint="eastAsia" w:ascii="宋体" w:hAnsi="宋体" w:eastAsia="宋体" w:cs="Times New Roman"/>
          <w:color w:val="auto"/>
          <w:szCs w:val="21"/>
          <w:highlight w:val="none"/>
        </w:rPr>
      </w:pPr>
      <w:r>
        <w:rPr>
          <w:rFonts w:hint="eastAsia" w:ascii="黑体" w:hAnsi="黑体" w:eastAsia="黑体" w:cs="宋体"/>
          <w:b/>
          <w:bCs/>
          <w:color w:val="auto"/>
          <w:sz w:val="24"/>
          <w:highlight w:val="none"/>
        </w:rPr>
        <w:t>7.评审复核</w:t>
      </w:r>
    </w:p>
    <w:p>
      <w:pPr>
        <w:spacing w:line="360" w:lineRule="auto"/>
        <w:ind w:firstLine="420" w:firstLineChars="2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7.1评审报告签署前，评审委员会要对评审结果进行复核，复核意见要体现在评审报告中。</w:t>
      </w:r>
    </w:p>
    <w:p>
      <w:pPr>
        <w:spacing w:line="360" w:lineRule="auto"/>
        <w:ind w:firstLine="409" w:firstLineChars="195"/>
        <w:rPr>
          <w:rFonts w:hint="eastAsia" w:ascii="宋体" w:hAnsi="宋体" w:eastAsia="宋体" w:cs="宋体"/>
          <w:b/>
          <w:bCs/>
          <w:color w:val="auto"/>
          <w:sz w:val="24"/>
          <w:highlight w:val="none"/>
        </w:rPr>
      </w:pPr>
      <w:r>
        <w:rPr>
          <w:rFonts w:hint="eastAsia" w:ascii="宋体" w:hAnsi="宋体" w:eastAsia="宋体" w:cs="宋体"/>
          <w:color w:val="auto"/>
          <w:kern w:val="0"/>
          <w:szCs w:val="21"/>
          <w:highlight w:val="none"/>
        </w:rPr>
        <w:t>7.2评审结果汇总完成后，采购人、采购代理机构和评审委员会均不得修改评审结果或者要求重新评审，但资格性检查认定错误、分值汇总计算错误、分项评分超出评分标准范围、客观分评分不一致、经评审委员会一致认定评分畸高、畸低的情形除外。出现上述除外情形的，评审委员会应当现场修改评审结果，并在评审报告中明确记载。</w:t>
      </w:r>
    </w:p>
    <w:p>
      <w:pPr>
        <w:spacing w:line="360" w:lineRule="auto"/>
        <w:ind w:firstLine="200"/>
        <w:rPr>
          <w:rFonts w:hint="eastAsia" w:ascii="宋体" w:hAnsi="宋体" w:eastAsia="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eastAsia="宋体" w:cs="宋体"/>
          <w:b/>
          <w:bCs/>
          <w:color w:val="auto"/>
          <w:sz w:val="24"/>
          <w:highlight w:val="none"/>
        </w:rPr>
        <w:t>.评审标准</w:t>
      </w:r>
    </w:p>
    <w:p>
      <w:pPr>
        <w:spacing w:line="360" w:lineRule="auto"/>
        <w:ind w:firstLine="420" w:firstLineChars="200"/>
        <w:rPr>
          <w:rFonts w:hint="eastAsia" w:ascii="宋体" w:hAnsi="宋体" w:eastAsia="宋体" w:cs="Times New Roman"/>
          <w:color w:val="auto"/>
          <w:szCs w:val="21"/>
          <w:highlight w:val="none"/>
        </w:rPr>
      </w:pPr>
      <w:r>
        <w:rPr>
          <w:rFonts w:hint="eastAsia" w:ascii="宋体" w:hAnsi="宋体" w:eastAsia="宋体" w:cs="Times New Roman"/>
          <w:color w:val="auto"/>
          <w:szCs w:val="21"/>
          <w:highlight w:val="none"/>
        </w:rPr>
        <w:t>8.1评审依据：磋商小组将以磋商响应文件为评审依据，对供应商的报价、技术、商务等方面内容按百分制打分。（计分方法按四舍五入取至百分位）</w:t>
      </w:r>
    </w:p>
    <w:tbl>
      <w:tblPr>
        <w:tblStyle w:val="24"/>
        <w:tblpPr w:leftFromText="180" w:rightFromText="180" w:vertAnchor="text" w:horzAnchor="page" w:tblpX="1232" w:tblpY="227"/>
        <w:tblOverlap w:val="never"/>
        <w:tblW w:w="9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1163"/>
        <w:gridCol w:w="6624"/>
        <w:gridCol w:w="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blHeader/>
        </w:trPr>
        <w:tc>
          <w:tcPr>
            <w:tcW w:w="6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序号</w:t>
            </w:r>
          </w:p>
        </w:tc>
        <w:tc>
          <w:tcPr>
            <w:tcW w:w="116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w:t>
            </w:r>
          </w:p>
        </w:tc>
        <w:tc>
          <w:tcPr>
            <w:tcW w:w="6624"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评审因素具体内容</w:t>
            </w:r>
          </w:p>
        </w:tc>
        <w:tc>
          <w:tcPr>
            <w:tcW w:w="946"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6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1</w:t>
            </w:r>
          </w:p>
        </w:tc>
        <w:tc>
          <w:tcPr>
            <w:tcW w:w="116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价格分</w:t>
            </w:r>
          </w:p>
        </w:tc>
        <w:tc>
          <w:tcPr>
            <w:tcW w:w="6624" w:type="dxa"/>
            <w:noWrap w:val="0"/>
            <w:vAlign w:val="center"/>
          </w:tcPr>
          <w:p>
            <w:pPr>
              <w:spacing w:line="360" w:lineRule="auto"/>
              <w:rPr>
                <w:rFonts w:hint="eastAsia" w:ascii="宋体" w:hAnsi="宋体"/>
                <w:bCs/>
                <w:color w:val="000000"/>
                <w:szCs w:val="21"/>
              </w:rPr>
            </w:pPr>
            <w:r>
              <w:rPr>
                <w:rFonts w:hint="eastAsia" w:ascii="宋体" w:hAnsi="宋体"/>
                <w:bCs/>
                <w:color w:val="000000"/>
                <w:szCs w:val="21"/>
              </w:rPr>
              <w:t>（1）本项目为专门面向中小企业采购项目，不执行价格扣除优惠政策，评审报价＝最后报价；</w:t>
            </w:r>
          </w:p>
          <w:p>
            <w:pPr>
              <w:spacing w:line="360" w:lineRule="auto"/>
              <w:rPr>
                <w:rFonts w:hint="eastAsia" w:ascii="宋体" w:hAnsi="宋体"/>
                <w:bCs/>
                <w:color w:val="000000"/>
                <w:szCs w:val="21"/>
              </w:rPr>
            </w:pPr>
            <w:r>
              <w:rPr>
                <w:rFonts w:hint="eastAsia" w:ascii="宋体" w:hAnsi="宋体"/>
                <w:bCs/>
                <w:color w:val="000000"/>
                <w:szCs w:val="21"/>
              </w:rPr>
              <w:t>（2）竞标服务/产品提供企业按《关于政府采购支持监狱企业发展有关问题的通知》（财库[2014]68 号）认定为监狱企业的，在政府采购活动中，监狱企业视同小型、微型企业，享受预留份额。监狱企业参加政府采购活动时，应当提供由省级以上监狱管理局、戒毒管理局（含新疆生产建设兵团）出具的属于监狱企业的证明文件；</w:t>
            </w:r>
          </w:p>
          <w:p>
            <w:pPr>
              <w:spacing w:line="360" w:lineRule="auto"/>
              <w:rPr>
                <w:rFonts w:hint="eastAsia" w:ascii="宋体" w:hAnsi="宋体"/>
                <w:bCs/>
                <w:color w:val="000000"/>
                <w:szCs w:val="21"/>
              </w:rPr>
            </w:pPr>
            <w:r>
              <w:rPr>
                <w:rFonts w:hint="eastAsia" w:ascii="宋体" w:hAnsi="宋体"/>
                <w:bCs/>
                <w:color w:val="000000"/>
                <w:szCs w:val="21"/>
              </w:rPr>
              <w:t>（3）竞标服务/产品提供企业按《关于促进残疾人就业政府采购政策的通知》（财库〔2017〕141 号）认定为残疾人福利性单位的，在政府采购活动中，残疾人福利性单位视同小型、微型企业，享受预留份额。残疾人福利性单位参加政府采购活动时，应当提供该《残疾人福利性单位声明函》为证明文件（格式见第五章“响应文件格式”）。</w:t>
            </w:r>
          </w:p>
          <w:p>
            <w:pPr>
              <w:spacing w:line="360" w:lineRule="auto"/>
              <w:rPr>
                <w:rFonts w:hint="eastAsia" w:ascii="宋体" w:hAnsi="宋体"/>
                <w:bCs/>
                <w:color w:val="000000"/>
                <w:szCs w:val="21"/>
              </w:rPr>
            </w:pPr>
            <w:r>
              <w:rPr>
                <w:rFonts w:hint="eastAsia" w:ascii="宋体" w:hAnsi="宋体"/>
                <w:bCs/>
                <w:color w:val="000000"/>
                <w:szCs w:val="21"/>
              </w:rPr>
              <w:t>（4）以进入比较与评价环节的最低的评审报价为基准价，基准价得分为10分。</w:t>
            </w:r>
          </w:p>
          <w:p>
            <w:pPr>
              <w:pStyle w:val="16"/>
              <w:keepNext w:val="0"/>
              <w:keepLines w:val="0"/>
              <w:pageBreakBefore w:val="0"/>
              <w:kinsoku/>
              <w:wordWrap/>
              <w:overflowPunct/>
              <w:topLinePunct w:val="0"/>
              <w:bidi w:val="0"/>
              <w:spacing w:line="400" w:lineRule="exact"/>
              <w:jc w:val="left"/>
              <w:textAlignment w:val="auto"/>
              <w:rPr>
                <w:rFonts w:hint="eastAsia" w:ascii="宋体" w:hAnsi="宋体" w:cs="宋体"/>
                <w:b w:val="0"/>
                <w:bCs/>
                <w:color w:val="auto"/>
                <w:szCs w:val="21"/>
                <w:highlight w:val="none"/>
              </w:rPr>
            </w:pPr>
            <w:r>
              <w:rPr>
                <w:rFonts w:hint="eastAsia" w:ascii="宋体" w:hAnsi="宋体"/>
                <w:bCs/>
                <w:color w:val="000000"/>
                <w:szCs w:val="21"/>
              </w:rPr>
              <w:t>（5）价格分计算公式：某供应商价格分=基准价/某供应商评标价×10分</w:t>
            </w:r>
          </w:p>
        </w:tc>
        <w:tc>
          <w:tcPr>
            <w:tcW w:w="946"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lang w:val="en-US" w:eastAsia="zh-CN"/>
              </w:rPr>
              <w:t>10</w:t>
            </w:r>
            <w:r>
              <w:rPr>
                <w:rFonts w:hint="eastAsia" w:ascii="宋体" w:hAnsi="宋体" w:eastAsia="宋体" w:cs="宋体"/>
                <w:b w:val="0"/>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2</w:t>
            </w:r>
          </w:p>
        </w:tc>
        <w:tc>
          <w:tcPr>
            <w:tcW w:w="116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技术分</w:t>
            </w:r>
          </w:p>
        </w:tc>
        <w:tc>
          <w:tcPr>
            <w:tcW w:w="6624" w:type="dxa"/>
            <w:noWrap w:val="0"/>
            <w:vAlign w:val="center"/>
          </w:tcPr>
          <w:p>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评审因素</w:t>
            </w:r>
          </w:p>
        </w:tc>
        <w:tc>
          <w:tcPr>
            <w:tcW w:w="946" w:type="dxa"/>
            <w:noWrap w:val="0"/>
            <w:vAlign w:val="top"/>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lang w:val="en-US" w:eastAsia="zh-CN"/>
              </w:rPr>
              <w:t>80</w:t>
            </w:r>
            <w:r>
              <w:rPr>
                <w:rFonts w:hint="eastAsia" w:ascii="宋体" w:hAnsi="宋体" w:cs="宋体"/>
                <w:b/>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2.1</w:t>
            </w:r>
          </w:p>
        </w:tc>
        <w:tc>
          <w:tcPr>
            <w:tcW w:w="1163" w:type="dxa"/>
            <w:noWrap w:val="0"/>
            <w:vAlign w:val="center"/>
          </w:tcPr>
          <w:p>
            <w:pPr>
              <w:adjustRightInd w:val="0"/>
              <w:spacing w:line="400" w:lineRule="exact"/>
              <w:jc w:val="center"/>
              <w:textAlignment w:val="baseline"/>
              <w:rPr>
                <w:rFonts w:hint="eastAsia" w:ascii="宋体" w:hAnsi="宋体" w:cs="宋体"/>
                <w:b w:val="0"/>
                <w:bCs/>
                <w:color w:val="auto"/>
                <w:kern w:val="0"/>
                <w:szCs w:val="21"/>
                <w:highlight w:val="none"/>
              </w:rPr>
            </w:pPr>
            <w:r>
              <w:rPr>
                <w:rFonts w:hint="eastAsia" w:ascii="宋体" w:hAnsi="宋体" w:cs="宋体"/>
                <w:bCs/>
                <w:kern w:val="0"/>
                <w:szCs w:val="21"/>
              </w:rPr>
              <w:t>施工方案与技术措施</w:t>
            </w:r>
          </w:p>
        </w:tc>
        <w:tc>
          <w:tcPr>
            <w:tcW w:w="6624" w:type="dxa"/>
            <w:noWrap w:val="0"/>
            <w:vAlign w:val="center"/>
          </w:tcPr>
          <w:p>
            <w:pPr>
              <w:spacing w:line="360" w:lineRule="auto"/>
              <w:ind w:firstLine="420" w:firstLineChars="200"/>
              <w:rPr>
                <w:rFonts w:hint="eastAsia" w:ascii="宋体" w:hAnsi="宋体" w:cs="宋体"/>
                <w:bCs/>
              </w:rPr>
            </w:pPr>
            <w:r>
              <w:rPr>
                <w:rFonts w:hint="eastAsia" w:ascii="宋体" w:hAnsi="宋体" w:cs="宋体"/>
                <w:bCs/>
                <w:lang w:val="en-US" w:eastAsia="zh-CN"/>
              </w:rPr>
              <w:t>三档</w:t>
            </w:r>
            <w:r>
              <w:rPr>
                <w:rFonts w:hint="eastAsia" w:ascii="宋体" w:hAnsi="宋体" w:cs="宋体"/>
                <w:bCs/>
                <w:lang w:eastAsia="zh-CN"/>
              </w:rPr>
              <w:t>（</w:t>
            </w:r>
            <w:r>
              <w:rPr>
                <w:rFonts w:hint="eastAsia" w:ascii="宋体" w:hAnsi="宋体" w:cs="宋体"/>
                <w:bCs/>
                <w:lang w:val="en-US" w:eastAsia="zh-CN"/>
              </w:rPr>
              <w:t>15分</w:t>
            </w:r>
            <w:r>
              <w:rPr>
                <w:rFonts w:hint="eastAsia" w:ascii="宋体" w:hAnsi="宋体" w:cs="宋体"/>
                <w:bCs/>
                <w:lang w:eastAsia="zh-CN"/>
              </w:rPr>
              <w:t>）</w:t>
            </w:r>
            <w:r>
              <w:rPr>
                <w:rFonts w:hint="eastAsia" w:ascii="宋体" w:hAnsi="宋体" w:cs="宋体"/>
                <w:bCs/>
              </w:rPr>
              <w:t>：对项目的施工总体条件有全面认识，施工段划分呼应总体表述，划分清晰、合理、切合本工程实际，施工方法合理，技术措施具体、先进、有效。</w:t>
            </w:r>
          </w:p>
          <w:p>
            <w:pPr>
              <w:spacing w:line="360" w:lineRule="auto"/>
              <w:ind w:firstLine="420" w:firstLineChars="200"/>
              <w:rPr>
                <w:rFonts w:hint="eastAsia" w:ascii="宋体" w:hAnsi="宋体" w:cs="宋体"/>
                <w:bCs/>
              </w:rPr>
            </w:pPr>
            <w:r>
              <w:rPr>
                <w:rFonts w:hint="eastAsia" w:ascii="宋体" w:hAnsi="宋体" w:cs="宋体"/>
                <w:bCs/>
                <w:lang w:val="en-US" w:eastAsia="zh-CN"/>
              </w:rPr>
              <w:t>二档</w:t>
            </w:r>
            <w:r>
              <w:rPr>
                <w:rFonts w:hint="eastAsia" w:ascii="宋体" w:hAnsi="宋体" w:cs="宋体"/>
                <w:bCs/>
                <w:lang w:eastAsia="zh-CN"/>
              </w:rPr>
              <w:t>（</w:t>
            </w:r>
            <w:r>
              <w:rPr>
                <w:rFonts w:hint="eastAsia" w:ascii="宋体" w:hAnsi="宋体" w:cs="宋体"/>
                <w:bCs/>
                <w:lang w:val="en-US" w:eastAsia="zh-CN"/>
              </w:rPr>
              <w:t>10分</w:t>
            </w:r>
            <w:r>
              <w:rPr>
                <w:rFonts w:hint="eastAsia" w:ascii="宋体" w:hAnsi="宋体" w:cs="宋体"/>
                <w:bCs/>
                <w:lang w:eastAsia="zh-CN"/>
              </w:rPr>
              <w:t>）</w:t>
            </w:r>
            <w:r>
              <w:rPr>
                <w:rFonts w:hint="eastAsia" w:ascii="宋体" w:hAnsi="宋体" w:cs="宋体"/>
                <w:bCs/>
              </w:rPr>
              <w:t>：对项目的施工总体条件有认识，施工段划分可行、切合实际可行，施工方法简单合理，施工技术措施具体，但不详细、不清晰。</w:t>
            </w:r>
          </w:p>
          <w:p>
            <w:pPr>
              <w:spacing w:line="360" w:lineRule="auto"/>
              <w:ind w:firstLine="420" w:firstLineChars="200"/>
              <w:rPr>
                <w:rFonts w:hint="eastAsia" w:ascii="宋体" w:hAnsi="宋体" w:eastAsia="宋体" w:cs="Courier New"/>
                <w:bCs/>
                <w:kern w:val="2"/>
                <w:sz w:val="21"/>
                <w:szCs w:val="21"/>
              </w:rPr>
            </w:pPr>
            <w:r>
              <w:rPr>
                <w:rFonts w:hint="eastAsia" w:ascii="宋体" w:hAnsi="宋体" w:cs="宋体"/>
                <w:bCs/>
                <w:lang w:val="en-US" w:eastAsia="zh-CN"/>
              </w:rPr>
              <w:t>一档</w:t>
            </w:r>
            <w:r>
              <w:rPr>
                <w:rFonts w:hint="eastAsia" w:ascii="宋体" w:hAnsi="宋体" w:cs="宋体"/>
                <w:bCs/>
                <w:lang w:eastAsia="zh-CN"/>
              </w:rPr>
              <w:t>（</w:t>
            </w:r>
            <w:r>
              <w:rPr>
                <w:rFonts w:hint="eastAsia" w:ascii="宋体" w:hAnsi="宋体" w:cs="宋体"/>
                <w:bCs/>
                <w:lang w:val="en-US" w:eastAsia="zh-CN"/>
              </w:rPr>
              <w:t>5分</w:t>
            </w:r>
            <w:r>
              <w:rPr>
                <w:rFonts w:hint="eastAsia" w:ascii="宋体" w:hAnsi="宋体" w:cs="宋体"/>
                <w:bCs/>
                <w:lang w:eastAsia="zh-CN"/>
              </w:rPr>
              <w:t>）</w:t>
            </w:r>
            <w:r>
              <w:rPr>
                <w:rFonts w:hint="eastAsia" w:ascii="宋体" w:hAnsi="宋体" w:cs="宋体"/>
                <w:bCs/>
              </w:rPr>
              <w:t>：对项目的施工总体条件简单的认识，施工段划分一般、基本切合实际，施工方法一般，施工技术措施不够具体。</w:t>
            </w:r>
          </w:p>
        </w:tc>
        <w:tc>
          <w:tcPr>
            <w:tcW w:w="946"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default" w:ascii="宋体" w:hAnsi="宋体" w:cs="宋体"/>
                <w:b w:val="0"/>
                <w:bCs/>
                <w:color w:val="auto"/>
                <w:kern w:val="0"/>
                <w:szCs w:val="21"/>
                <w:highlight w:val="none"/>
                <w:lang w:val="en-US" w:eastAsia="zh-CN"/>
              </w:rPr>
            </w:pPr>
            <w:r>
              <w:rPr>
                <w:rFonts w:hint="eastAsia" w:ascii="宋体" w:hAnsi="宋体" w:cs="宋体"/>
                <w:b w:val="0"/>
                <w:bCs/>
                <w:color w:val="auto"/>
                <w:kern w:val="0"/>
                <w:szCs w:val="21"/>
                <w:highlight w:val="none"/>
                <w:lang w:val="en-US" w:eastAsia="zh-CN"/>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6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2</w:t>
            </w:r>
          </w:p>
        </w:tc>
        <w:tc>
          <w:tcPr>
            <w:tcW w:w="1163" w:type="dxa"/>
            <w:noWrap w:val="0"/>
            <w:vAlign w:val="center"/>
          </w:tcPr>
          <w:p>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kern w:val="0"/>
                <w:szCs w:val="21"/>
              </w:rPr>
              <w:t>质量管理体系与措施</w:t>
            </w:r>
          </w:p>
        </w:tc>
        <w:tc>
          <w:tcPr>
            <w:tcW w:w="6624" w:type="dxa"/>
            <w:noWrap w:val="0"/>
            <w:vAlign w:val="center"/>
          </w:tcPr>
          <w:p>
            <w:pPr>
              <w:spacing w:line="360" w:lineRule="auto"/>
              <w:ind w:firstLine="420" w:firstLineChars="200"/>
              <w:rPr>
                <w:rFonts w:hint="eastAsia" w:ascii="宋体" w:hAnsi="宋体" w:cs="宋体"/>
                <w:bCs/>
              </w:rPr>
            </w:pPr>
            <w:r>
              <w:rPr>
                <w:rFonts w:hint="eastAsia" w:ascii="宋体" w:hAnsi="宋体" w:cs="宋体"/>
                <w:bCs/>
                <w:lang w:val="en-US" w:eastAsia="zh-CN"/>
              </w:rPr>
              <w:t xml:space="preserve">三档（15分）：质量目标明确，质量管控体系健全（包括组织结构、人员分工、施工现场质量控制的措施和手段、原材料质量检测、单元工程验收和质量评定、质量控制奖罚机制等）质量事件（缺陷、事故）应急措施得当、可行。 </w:t>
            </w:r>
          </w:p>
          <w:p>
            <w:pPr>
              <w:spacing w:line="360" w:lineRule="auto"/>
              <w:ind w:firstLine="420" w:firstLineChars="200"/>
              <w:rPr>
                <w:rFonts w:hint="eastAsia" w:ascii="宋体" w:hAnsi="宋体" w:cs="宋体"/>
                <w:bCs/>
              </w:rPr>
            </w:pPr>
            <w:r>
              <w:rPr>
                <w:rFonts w:hint="eastAsia" w:ascii="宋体" w:hAnsi="宋体" w:cs="宋体"/>
                <w:bCs/>
                <w:lang w:val="en-US" w:eastAsia="zh-CN"/>
              </w:rPr>
              <w:t xml:space="preserve">二档（10分）：质量目标较明确，质量管控体系基本健全（包括组织结构、人员分工、施工现场质量控制的措施和手段、原材料质量检测、单元工程验收和质量评定、质量控制奖罚机制等）质量事件（缺陷、事故）应急措施基本得当、可行。 </w:t>
            </w:r>
          </w:p>
          <w:p>
            <w:pPr>
              <w:spacing w:line="360" w:lineRule="auto"/>
              <w:ind w:firstLine="420" w:firstLineChars="200"/>
              <w:rPr>
                <w:color w:val="auto"/>
                <w:sz w:val="21"/>
                <w:szCs w:val="21"/>
                <w:highlight w:val="none"/>
              </w:rPr>
            </w:pPr>
            <w:r>
              <w:rPr>
                <w:rFonts w:hint="eastAsia" w:ascii="宋体" w:hAnsi="宋体" w:cs="宋体"/>
                <w:bCs/>
                <w:lang w:val="en-US" w:eastAsia="zh-CN"/>
              </w:rPr>
              <w:t xml:space="preserve">一档（5分）：质量目标不明确，质量管控体系基本或不健全（包括组织结构、人员分工、施工现场质量控制的措施和手段、原材料质量检测、单元工程验收和质量评定、质量控制奖罚机制等）质量事件（缺陷、事故）应急措施一般。 </w:t>
            </w:r>
          </w:p>
        </w:tc>
        <w:tc>
          <w:tcPr>
            <w:tcW w:w="946" w:type="dxa"/>
            <w:noWrap w:val="0"/>
            <w:vAlign w:val="center"/>
          </w:tcPr>
          <w:p>
            <w:pPr>
              <w:pStyle w:val="16"/>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ascii="宋体" w:hAnsi="宋体" w:eastAsia="宋体" w:cs="Courier New"/>
                <w:bCs/>
                <w:kern w:val="2"/>
                <w:sz w:val="21"/>
                <w:szCs w:val="21"/>
                <w:lang w:val="en-US" w:eastAsia="zh-CN"/>
              </w:rPr>
              <w:t>1</w:t>
            </w:r>
            <w:r>
              <w:rPr>
                <w:rFonts w:hint="eastAsia" w:hAnsi="宋体" w:cs="Courier New"/>
                <w:bCs/>
                <w:kern w:val="2"/>
                <w:sz w:val="21"/>
                <w:szCs w:val="21"/>
                <w:lang w:val="en-US" w:eastAsia="zh-CN"/>
              </w:rPr>
              <w:t>5</w:t>
            </w:r>
            <w:r>
              <w:rPr>
                <w:rFonts w:hint="eastAsia" w:ascii="宋体" w:hAnsi="宋体" w:eastAsia="宋体" w:cs="Courier New"/>
                <w:bCs/>
                <w:kern w:val="2"/>
                <w:sz w:val="21"/>
                <w:szCs w:val="21"/>
              </w:rPr>
              <w:t>分</w:t>
            </w:r>
          </w:p>
          <w:p>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6" w:hRule="atLeast"/>
        </w:trPr>
        <w:tc>
          <w:tcPr>
            <w:tcW w:w="6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3</w:t>
            </w:r>
          </w:p>
        </w:tc>
        <w:tc>
          <w:tcPr>
            <w:tcW w:w="1163" w:type="dxa"/>
            <w:noWrap w:val="0"/>
            <w:vAlign w:val="center"/>
          </w:tcPr>
          <w:p>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kern w:val="0"/>
                <w:szCs w:val="21"/>
              </w:rPr>
              <w:t>安全管理体系与措施</w:t>
            </w:r>
          </w:p>
        </w:tc>
        <w:tc>
          <w:tcPr>
            <w:tcW w:w="6624" w:type="dxa"/>
            <w:noWrap w:val="0"/>
            <w:vAlign w:val="center"/>
          </w:tcPr>
          <w:p>
            <w:pPr>
              <w:spacing w:line="360" w:lineRule="auto"/>
              <w:ind w:firstLine="420" w:firstLineChars="200"/>
              <w:rPr>
                <w:rFonts w:hint="eastAsia" w:ascii="宋体" w:hAnsi="宋体" w:cs="宋体"/>
                <w:bCs/>
                <w:lang w:val="en-US" w:eastAsia="zh-CN"/>
              </w:rPr>
            </w:pPr>
            <w:r>
              <w:rPr>
                <w:rFonts w:hint="eastAsia" w:ascii="宋体" w:hAnsi="宋体" w:cs="宋体"/>
                <w:bCs/>
                <w:lang w:val="en-US" w:eastAsia="zh-CN"/>
              </w:rPr>
              <w:t>三档（15分）：有专门的安全管理人员和制度，且人员配备合理，制度健全，各道工序安全技术措施针对性强，确保工程质量的技术组织措施符合实际且满足有关安全技术标准要求。现场防火、应急救援、社会治安安全措施得力。</w:t>
            </w:r>
          </w:p>
          <w:p>
            <w:pPr>
              <w:spacing w:line="360" w:lineRule="auto"/>
              <w:ind w:firstLine="420" w:firstLineChars="200"/>
              <w:rPr>
                <w:rFonts w:hint="eastAsia" w:ascii="宋体" w:hAnsi="宋体" w:cs="宋体"/>
                <w:bCs/>
                <w:lang w:val="en-US" w:eastAsia="zh-CN"/>
              </w:rPr>
            </w:pPr>
            <w:r>
              <w:rPr>
                <w:rFonts w:hint="eastAsia" w:ascii="宋体" w:hAnsi="宋体" w:cs="宋体"/>
                <w:bCs/>
                <w:lang w:val="en-US" w:eastAsia="zh-CN"/>
              </w:rPr>
              <w:t xml:space="preserve">二档（10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p>
            <w:pPr>
              <w:spacing w:line="360" w:lineRule="auto"/>
              <w:ind w:firstLine="420" w:firstLineChars="200"/>
              <w:rPr>
                <w:rFonts w:hint="eastAsia" w:ascii="宋体" w:hAnsi="宋体" w:cs="宋体"/>
                <w:bCs/>
                <w:color w:val="auto"/>
                <w:kern w:val="0"/>
                <w:sz w:val="21"/>
                <w:szCs w:val="21"/>
                <w:highlight w:val="none"/>
              </w:rPr>
            </w:pPr>
            <w:r>
              <w:rPr>
                <w:rFonts w:hint="eastAsia" w:ascii="宋体" w:hAnsi="宋体" w:cs="宋体"/>
                <w:bCs/>
                <w:lang w:val="en-US" w:eastAsia="zh-CN"/>
              </w:rPr>
              <w:t xml:space="preserve">一档（5分）：有专门的安全管理人员和制度，人员配备不合理，制度不健全，各道工序安全技术措施针无对性，不满足有关安全技术标准要求。现场防火、应急救援、社会治安安全措施不得力。 </w:t>
            </w:r>
          </w:p>
        </w:tc>
        <w:tc>
          <w:tcPr>
            <w:tcW w:w="946" w:type="dxa"/>
            <w:noWrap w:val="0"/>
            <w:vAlign w:val="center"/>
          </w:tcPr>
          <w:p>
            <w:pPr>
              <w:keepNext w:val="0"/>
              <w:keepLines w:val="0"/>
              <w:pageBreakBefore w:val="0"/>
              <w:kinsoku/>
              <w:wordWrap/>
              <w:overflowPunct/>
              <w:topLinePunct w:val="0"/>
              <w:bidi w:val="0"/>
              <w:spacing w:line="400" w:lineRule="exact"/>
              <w:jc w:val="center"/>
              <w:textAlignment w:val="auto"/>
              <w:rPr>
                <w:rFonts w:hint="eastAsia" w:ascii="宋体" w:hAnsi="宋体" w:cs="宋体"/>
                <w:b/>
                <w:color w:val="auto"/>
                <w:kern w:val="0"/>
                <w:sz w:val="21"/>
                <w:szCs w:val="21"/>
                <w:highlight w:val="none"/>
              </w:rPr>
            </w:pPr>
            <w:r>
              <w:rPr>
                <w:rFonts w:hint="eastAsia" w:ascii="宋体" w:hAnsi="宋体" w:eastAsia="宋体" w:cs="Courier New"/>
                <w:bCs/>
                <w:kern w:val="2"/>
                <w:sz w:val="21"/>
                <w:szCs w:val="21"/>
                <w:lang w:val="en-US" w:eastAsia="zh-CN"/>
              </w:rPr>
              <w:t>1</w:t>
            </w:r>
            <w:r>
              <w:rPr>
                <w:rFonts w:hint="eastAsia" w:ascii="宋体" w:hAnsi="宋体" w:cs="Courier New"/>
                <w:bCs/>
                <w:kern w:val="2"/>
                <w:sz w:val="21"/>
                <w:szCs w:val="21"/>
                <w:lang w:val="en-US" w:eastAsia="zh-CN"/>
              </w:rPr>
              <w:t>5</w:t>
            </w:r>
            <w:r>
              <w:rPr>
                <w:rFonts w:hint="eastAsia" w:ascii="宋体" w:hAnsi="宋体" w:eastAsia="宋体" w:cs="Courier New"/>
                <w:bCs/>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4</w:t>
            </w:r>
          </w:p>
        </w:tc>
        <w:tc>
          <w:tcPr>
            <w:tcW w:w="1163" w:type="dxa"/>
            <w:noWrap w:val="0"/>
            <w:vAlign w:val="center"/>
          </w:tcPr>
          <w:p>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kern w:val="0"/>
                <w:szCs w:val="21"/>
              </w:rPr>
              <w:t>环境保护管理体系与措施</w:t>
            </w:r>
          </w:p>
        </w:tc>
        <w:tc>
          <w:tcPr>
            <w:tcW w:w="6624" w:type="dxa"/>
            <w:noWrap w:val="0"/>
            <w:vAlign w:val="center"/>
          </w:tcPr>
          <w:p>
            <w:pPr>
              <w:spacing w:line="360" w:lineRule="auto"/>
              <w:ind w:firstLine="420" w:firstLineChars="200"/>
              <w:rPr>
                <w:rFonts w:hint="eastAsia" w:ascii="宋体" w:hAnsi="宋体" w:cs="宋体"/>
                <w:bCs/>
              </w:rPr>
            </w:pPr>
            <w:r>
              <w:rPr>
                <w:rFonts w:hint="eastAsia" w:ascii="宋体" w:hAnsi="宋体" w:cs="宋体"/>
                <w:bCs/>
                <w:lang w:val="en-US" w:eastAsia="zh-CN"/>
              </w:rPr>
              <w:t>三</w:t>
            </w:r>
            <w:r>
              <w:rPr>
                <w:rFonts w:hint="eastAsia" w:ascii="宋体" w:hAnsi="宋体" w:cs="宋体"/>
                <w:bCs/>
              </w:rPr>
              <w:t>档</w:t>
            </w:r>
            <w:r>
              <w:rPr>
                <w:rFonts w:hint="eastAsia" w:ascii="宋体" w:hAnsi="宋体" w:cs="宋体"/>
                <w:bCs/>
                <w:lang w:val="en-US" w:eastAsia="zh-CN"/>
              </w:rPr>
              <w:t xml:space="preserve">（10分）：环境保护目标明确，环境保护管理体系健全，预防和控制（包括大气、水、噪声、固体废物、人群等环保工程）具有针对性、内容全面、可行。 </w:t>
            </w:r>
          </w:p>
          <w:p>
            <w:pPr>
              <w:spacing w:line="360" w:lineRule="auto"/>
              <w:ind w:firstLine="420" w:firstLineChars="200"/>
              <w:rPr>
                <w:rFonts w:hint="eastAsia" w:ascii="宋体" w:hAnsi="宋体" w:cs="宋体"/>
                <w:bCs/>
              </w:rPr>
            </w:pPr>
            <w:r>
              <w:rPr>
                <w:rFonts w:hint="eastAsia" w:ascii="宋体" w:hAnsi="宋体" w:cs="宋体"/>
                <w:bCs/>
                <w:lang w:val="en-US" w:eastAsia="zh-CN"/>
              </w:rPr>
              <w:t xml:space="preserve">二档（6分）：环境保护目标较明确，环境保护管理体系较健全，预防和控制（包括大气、水、噪声、固体废物、人群等环保工程）具较有针对性，内容较全面、可行。 </w:t>
            </w:r>
          </w:p>
          <w:p>
            <w:pPr>
              <w:spacing w:line="360" w:lineRule="auto"/>
              <w:ind w:firstLine="420" w:firstLineChars="200"/>
              <w:rPr>
                <w:rFonts w:hint="eastAsia" w:ascii="宋体" w:hAnsi="宋体" w:cs="宋体"/>
                <w:bCs/>
                <w:color w:val="auto"/>
                <w:kern w:val="0"/>
                <w:sz w:val="21"/>
                <w:szCs w:val="21"/>
                <w:highlight w:val="none"/>
              </w:rPr>
            </w:pPr>
            <w:r>
              <w:rPr>
                <w:rFonts w:hint="eastAsia" w:ascii="宋体" w:hAnsi="宋体" w:cs="宋体"/>
                <w:bCs/>
                <w:lang w:val="en-US" w:eastAsia="zh-CN"/>
              </w:rPr>
              <w:t xml:space="preserve">一档（3分）：环境保护目标基本或不明确，环境保护管理体系基本健全，预防和控制（包括大气、水、噪声、固体废物、人群等环保工程）针对性一般，内容一般。 </w:t>
            </w:r>
          </w:p>
        </w:tc>
        <w:tc>
          <w:tcPr>
            <w:tcW w:w="946" w:type="dxa"/>
            <w:noWrap w:val="0"/>
            <w:vAlign w:val="center"/>
          </w:tcPr>
          <w:p>
            <w:pPr>
              <w:pStyle w:val="16"/>
              <w:keepNext w:val="0"/>
              <w:keepLines w:val="0"/>
              <w:pageBreakBefore w:val="0"/>
              <w:kinsoku/>
              <w:wordWrap/>
              <w:overflowPunct/>
              <w:topLinePunct w:val="0"/>
              <w:bidi w:val="0"/>
              <w:spacing w:line="400" w:lineRule="exact"/>
              <w:jc w:val="center"/>
              <w:textAlignment w:val="auto"/>
              <w:rPr>
                <w:rFonts w:hint="eastAsia" w:ascii="宋体" w:hAnsi="宋体" w:eastAsia="宋体" w:cs="Courier New"/>
                <w:bCs/>
                <w:kern w:val="2"/>
                <w:sz w:val="21"/>
                <w:szCs w:val="21"/>
              </w:rPr>
            </w:pPr>
            <w:r>
              <w:rPr>
                <w:rFonts w:hint="eastAsia" w:hAnsi="宋体" w:cs="Courier New"/>
                <w:bCs/>
                <w:kern w:val="2"/>
                <w:sz w:val="21"/>
                <w:szCs w:val="21"/>
                <w:lang w:val="en-US" w:eastAsia="zh-CN"/>
              </w:rPr>
              <w:t>10</w:t>
            </w:r>
            <w:r>
              <w:rPr>
                <w:rFonts w:hint="eastAsia" w:ascii="宋体" w:hAnsi="宋体" w:eastAsia="宋体" w:cs="Courier New"/>
                <w:bCs/>
                <w:kern w:val="2"/>
                <w:sz w:val="21"/>
                <w:szCs w:val="21"/>
              </w:rPr>
              <w:t>分</w:t>
            </w:r>
          </w:p>
          <w:p>
            <w:pPr>
              <w:pStyle w:val="37"/>
              <w:keepNext w:val="0"/>
              <w:keepLines w:val="0"/>
              <w:pageBreakBefore w:val="0"/>
              <w:kinsoku/>
              <w:wordWrap/>
              <w:overflowPunct/>
              <w:topLinePunct w:val="0"/>
              <w:bidi w:val="0"/>
              <w:spacing w:line="400" w:lineRule="exact"/>
              <w:ind w:firstLine="720" w:firstLineChars="0"/>
              <w:textAlignment w:val="auto"/>
              <w:rPr>
                <w:rFonts w:ascii="宋体" w:hAnsi="宋体" w:cs="宋体"/>
                <w:bCs/>
                <w:color w:val="auto"/>
                <w:kern w:val="0"/>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5</w:t>
            </w:r>
          </w:p>
        </w:tc>
        <w:tc>
          <w:tcPr>
            <w:tcW w:w="1163" w:type="dxa"/>
            <w:noWrap w:val="0"/>
            <w:vAlign w:val="center"/>
          </w:tcPr>
          <w:p>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kern w:val="0"/>
                <w:szCs w:val="21"/>
              </w:rPr>
              <w:t>工程进度计划与措施</w:t>
            </w:r>
          </w:p>
        </w:tc>
        <w:tc>
          <w:tcPr>
            <w:tcW w:w="6624" w:type="dxa"/>
            <w:noWrap w:val="0"/>
            <w:vAlign w:val="center"/>
          </w:tcPr>
          <w:p>
            <w:pPr>
              <w:spacing w:line="360" w:lineRule="auto"/>
              <w:ind w:firstLine="420" w:firstLineChars="200"/>
              <w:rPr>
                <w:rFonts w:hint="eastAsia" w:ascii="宋体" w:hAnsi="宋体" w:cs="宋体"/>
                <w:bCs/>
              </w:rPr>
            </w:pPr>
            <w:r>
              <w:rPr>
                <w:rFonts w:hint="eastAsia" w:ascii="宋体" w:hAnsi="宋体" w:cs="宋体"/>
                <w:bCs/>
                <w:lang w:val="en-US" w:eastAsia="zh-CN"/>
              </w:rPr>
              <w:t>三</w:t>
            </w:r>
            <w:r>
              <w:rPr>
                <w:rFonts w:hint="eastAsia" w:ascii="宋体" w:hAnsi="宋体" w:cs="宋体"/>
                <w:bCs/>
              </w:rPr>
              <w:t>档</w:t>
            </w:r>
            <w:r>
              <w:rPr>
                <w:rFonts w:hint="eastAsia" w:ascii="宋体" w:hAnsi="宋体" w:cs="宋体"/>
                <w:bCs/>
                <w:lang w:val="en-US" w:eastAsia="zh-CN"/>
              </w:rPr>
              <w:t xml:space="preserve">（15分）：施工总体进度计划得当，进度计划网络图清晰合理，完全满足招标文件要求，施工强度分析可靠，各关键节点的工期切实可行，控制性项目安排得当，保证工期的措施科学，工程进度补救措施可行，完全能保证在项目要求的总工期内完成。 </w:t>
            </w:r>
          </w:p>
          <w:p>
            <w:pPr>
              <w:spacing w:line="360" w:lineRule="auto"/>
              <w:ind w:firstLine="420" w:firstLineChars="200"/>
              <w:rPr>
                <w:rFonts w:hint="eastAsia" w:ascii="宋体" w:hAnsi="宋体" w:cs="宋体"/>
                <w:bCs/>
              </w:rPr>
            </w:pPr>
            <w:r>
              <w:rPr>
                <w:rFonts w:hint="eastAsia" w:ascii="宋体" w:hAnsi="宋体" w:cs="宋体"/>
                <w:bCs/>
                <w:lang w:val="en-US" w:eastAsia="zh-CN"/>
              </w:rPr>
              <w:t xml:space="preserve">二档（10分）：施工总体进度计划较得当，进度计划网络图较清晰合理，较满足招标文件要求，施工强度分析较可靠，各关键节点的工期较切实可行，控制性项目安排较得当，保证工期的措施较科学，工程进度补救措施基本可行，基本能保证在项目要求的总工期内完成。 </w:t>
            </w:r>
          </w:p>
          <w:p>
            <w:p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lang w:val="en-US" w:eastAsia="zh-CN"/>
              </w:rPr>
              <w:t xml:space="preserve">一档（5分）：施工总体进度计划基本得当，进度计划网络图基本清晰合理，基本满足招标文件要求，施工强度分析一般，各关键点的工期基本切实可行，控制性项目安排基本得当，保证工期的措施一般，工程进度补救措施一般，基本能保证在项目要求的总工期内完成。 </w:t>
            </w:r>
          </w:p>
        </w:tc>
        <w:tc>
          <w:tcPr>
            <w:tcW w:w="946" w:type="dxa"/>
            <w:noWrap w:val="0"/>
            <w:vAlign w:val="center"/>
          </w:tcPr>
          <w:p>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kern w:val="2"/>
                <w:sz w:val="21"/>
                <w:szCs w:val="21"/>
                <w:lang w:val="en-US" w:eastAsia="zh-CN"/>
              </w:rPr>
              <w:t>1</w:t>
            </w:r>
            <w:r>
              <w:rPr>
                <w:rFonts w:hint="eastAsia" w:ascii="宋体" w:hAnsi="宋体" w:cs="Courier New"/>
                <w:bCs/>
                <w:kern w:val="2"/>
                <w:sz w:val="21"/>
                <w:szCs w:val="21"/>
                <w:lang w:val="en-US" w:eastAsia="zh-CN"/>
              </w:rPr>
              <w:t>5</w:t>
            </w:r>
            <w:r>
              <w:rPr>
                <w:rFonts w:hint="eastAsia" w:ascii="宋体" w:hAnsi="宋体" w:eastAsia="宋体" w:cs="Courier New"/>
                <w:bCs/>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6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rPr>
              <w:t>2.</w:t>
            </w:r>
            <w:r>
              <w:rPr>
                <w:rFonts w:hint="eastAsia" w:ascii="宋体" w:hAnsi="宋体" w:cs="宋体"/>
                <w:bCs/>
                <w:color w:val="auto"/>
                <w:kern w:val="0"/>
                <w:szCs w:val="21"/>
                <w:highlight w:val="none"/>
                <w:lang w:val="en-US" w:eastAsia="zh-CN"/>
              </w:rPr>
              <w:t>6</w:t>
            </w:r>
          </w:p>
        </w:tc>
        <w:tc>
          <w:tcPr>
            <w:tcW w:w="1163" w:type="dxa"/>
            <w:noWrap w:val="0"/>
            <w:vAlign w:val="center"/>
          </w:tcPr>
          <w:p>
            <w:pPr>
              <w:adjustRightInd w:val="0"/>
              <w:spacing w:line="400" w:lineRule="exact"/>
              <w:jc w:val="center"/>
              <w:textAlignment w:val="baseline"/>
              <w:rPr>
                <w:rFonts w:hint="eastAsia" w:ascii="宋体" w:hAnsi="宋体" w:cs="宋体"/>
                <w:bCs/>
                <w:color w:val="auto"/>
                <w:kern w:val="0"/>
                <w:sz w:val="21"/>
                <w:szCs w:val="21"/>
                <w:highlight w:val="none"/>
              </w:rPr>
            </w:pPr>
            <w:r>
              <w:rPr>
                <w:rFonts w:hint="eastAsia" w:ascii="宋体" w:hAnsi="宋体" w:cs="宋体"/>
                <w:bCs/>
                <w:kern w:val="0"/>
                <w:szCs w:val="21"/>
              </w:rPr>
              <w:t>资源配置计划</w:t>
            </w:r>
          </w:p>
        </w:tc>
        <w:tc>
          <w:tcPr>
            <w:tcW w:w="6624" w:type="dxa"/>
            <w:noWrap w:val="0"/>
            <w:vAlign w:val="center"/>
          </w:tcPr>
          <w:p>
            <w:pPr>
              <w:spacing w:line="360" w:lineRule="auto"/>
              <w:ind w:firstLine="420" w:firstLineChars="200"/>
              <w:rPr>
                <w:rFonts w:hint="eastAsia" w:ascii="宋体" w:hAnsi="宋体" w:cs="宋体"/>
                <w:bCs/>
              </w:rPr>
            </w:pPr>
            <w:r>
              <w:rPr>
                <w:rFonts w:hint="eastAsia" w:ascii="宋体" w:hAnsi="宋体" w:cs="宋体"/>
                <w:bCs/>
                <w:lang w:val="en-US" w:eastAsia="zh-CN"/>
              </w:rPr>
              <w:t>三</w:t>
            </w:r>
            <w:r>
              <w:rPr>
                <w:rFonts w:hint="eastAsia" w:ascii="宋体" w:hAnsi="宋体" w:cs="宋体"/>
                <w:bCs/>
              </w:rPr>
              <w:t>档</w:t>
            </w:r>
            <w:r>
              <w:rPr>
                <w:rFonts w:hint="eastAsia" w:ascii="宋体" w:hAnsi="宋体" w:cs="宋体"/>
                <w:bCs/>
                <w:lang w:val="en-US" w:eastAsia="zh-CN"/>
              </w:rPr>
              <w:t>（10分）：</w:t>
            </w:r>
            <w:r>
              <w:rPr>
                <w:rFonts w:hint="eastAsia" w:ascii="宋体" w:hAnsi="宋体" w:cs="宋体"/>
                <w:bCs/>
              </w:rPr>
              <w:t>各类施工及试验设备的配备类型、进场时间与施工组织设计完美相符，设备数量有效合理、类型完整齐全，有保证设备良好运行工况的措施，合理的满足施工需要。各类人员配备专业、进场时间与施工组织设计完全相符，人员数量、专业技能满足施工要求，有保证施工人员相对稳定的措施；</w:t>
            </w:r>
          </w:p>
          <w:p>
            <w:pPr>
              <w:spacing w:line="360" w:lineRule="auto"/>
              <w:ind w:firstLine="420" w:firstLineChars="200"/>
              <w:rPr>
                <w:rFonts w:hint="eastAsia" w:ascii="宋体" w:hAnsi="宋体" w:cs="宋体"/>
                <w:bCs/>
              </w:rPr>
            </w:pPr>
            <w:r>
              <w:rPr>
                <w:rFonts w:hint="eastAsia" w:ascii="宋体" w:hAnsi="宋体" w:cs="宋体"/>
                <w:bCs/>
                <w:lang w:val="en-US" w:eastAsia="zh-CN"/>
              </w:rPr>
              <w:t>二档（6分）</w:t>
            </w:r>
            <w:r>
              <w:rPr>
                <w:rFonts w:hint="eastAsia" w:ascii="宋体" w:hAnsi="宋体" w:cs="宋体"/>
                <w:bCs/>
              </w:rPr>
              <w:t>：各类施工及试验设备的配备类型、进场时间与施工组织设计相符，设备数量合理、类型齐全，满足施工需要。各类人员配备专业、进场时间与施工组织设计相符，人员数量、专业技能满足施工要求；</w:t>
            </w:r>
          </w:p>
          <w:p>
            <w:pPr>
              <w:spacing w:line="360" w:lineRule="auto"/>
              <w:ind w:firstLine="420" w:firstLineChars="200"/>
              <w:rPr>
                <w:rFonts w:hint="eastAsia" w:ascii="宋体" w:hAnsi="宋体" w:cs="宋体"/>
                <w:bCs/>
                <w:color w:val="auto"/>
                <w:sz w:val="21"/>
                <w:szCs w:val="21"/>
                <w:highlight w:val="none"/>
              </w:rPr>
            </w:pPr>
            <w:r>
              <w:rPr>
                <w:rFonts w:hint="eastAsia" w:ascii="宋体" w:hAnsi="宋体" w:cs="宋体"/>
                <w:bCs/>
                <w:lang w:val="en-US" w:eastAsia="zh-CN"/>
              </w:rPr>
              <w:t>一档（3分）</w:t>
            </w:r>
            <w:r>
              <w:rPr>
                <w:rFonts w:hint="eastAsia" w:ascii="宋体" w:hAnsi="宋体" w:cs="宋体"/>
                <w:bCs/>
              </w:rPr>
              <w:t>：各类施工及试验设备的配备类型、进场时间与施工组织设计基本相符，设备数量基本合理、但类型基不齐全，基本满足施工需要。各类人员的配备基本专业、进场时间与施工组织设计基本相符，人员数量、专业技能基本满足施工要求；</w:t>
            </w:r>
          </w:p>
        </w:tc>
        <w:tc>
          <w:tcPr>
            <w:tcW w:w="946" w:type="dxa"/>
            <w:noWrap w:val="0"/>
            <w:vAlign w:val="center"/>
          </w:tcPr>
          <w:p>
            <w:pPr>
              <w:keepNext w:val="0"/>
              <w:keepLines w:val="0"/>
              <w:pageBreakBefore w:val="0"/>
              <w:kinsoku/>
              <w:wordWrap/>
              <w:overflowPunct/>
              <w:topLinePunct w:val="0"/>
              <w:bidi w:val="0"/>
              <w:spacing w:line="400" w:lineRule="exact"/>
              <w:jc w:val="center"/>
              <w:textAlignment w:val="auto"/>
              <w:rPr>
                <w:rFonts w:ascii="宋体" w:hAnsi="宋体" w:cs="宋体"/>
                <w:bCs/>
                <w:color w:val="auto"/>
                <w:kern w:val="0"/>
                <w:sz w:val="21"/>
                <w:szCs w:val="21"/>
                <w:highlight w:val="none"/>
              </w:rPr>
            </w:pPr>
            <w:r>
              <w:rPr>
                <w:rFonts w:hint="eastAsia" w:ascii="宋体" w:hAnsi="宋体" w:eastAsia="宋体" w:cs="Courier New"/>
                <w:bCs/>
                <w:kern w:val="2"/>
                <w:sz w:val="21"/>
                <w:szCs w:val="21"/>
                <w:lang w:val="en-US" w:eastAsia="zh-CN"/>
              </w:rPr>
              <w:t>10</w:t>
            </w:r>
            <w:r>
              <w:rPr>
                <w:rFonts w:hint="eastAsia" w:ascii="宋体" w:hAnsi="宋体" w:eastAsia="宋体" w:cs="Courier New"/>
                <w:bCs/>
                <w:kern w:val="2"/>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9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3</w:t>
            </w:r>
          </w:p>
        </w:tc>
        <w:tc>
          <w:tcPr>
            <w:tcW w:w="1163"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b/>
                <w:bCs/>
                <w:color w:val="auto"/>
                <w:szCs w:val="21"/>
                <w:highlight w:val="none"/>
              </w:rPr>
              <w:t>商务分</w:t>
            </w:r>
          </w:p>
        </w:tc>
        <w:tc>
          <w:tcPr>
            <w:tcW w:w="6624" w:type="dxa"/>
            <w:noWrap w:val="0"/>
            <w:vAlign w:val="center"/>
          </w:tcPr>
          <w:p>
            <w:pPr>
              <w:keepNext w:val="0"/>
              <w:keepLines w:val="0"/>
              <w:pageBreakBefore w:val="0"/>
              <w:widowControl/>
              <w:kinsoku/>
              <w:wordWrap/>
              <w:overflowPunct/>
              <w:topLinePunct w:val="0"/>
              <w:bidi w:val="0"/>
              <w:spacing w:line="400" w:lineRule="exact"/>
              <w:ind w:firstLine="422" w:firstLineChars="200"/>
              <w:jc w:val="center"/>
              <w:textAlignment w:val="auto"/>
              <w:rPr>
                <w:rFonts w:hint="eastAsia" w:ascii="宋体" w:hAnsi="宋体" w:cs="宋体"/>
                <w:b/>
                <w:bCs/>
                <w:color w:val="auto"/>
                <w:szCs w:val="21"/>
                <w:highlight w:val="none"/>
              </w:rPr>
            </w:pPr>
            <w:r>
              <w:rPr>
                <w:rFonts w:hint="eastAsia" w:ascii="宋体" w:hAnsi="宋体" w:eastAsia="宋体" w:cs="Tahoma"/>
                <w:b/>
                <w:bCs/>
                <w:kern w:val="0"/>
                <w:szCs w:val="21"/>
              </w:rPr>
              <w:t>评审因素</w:t>
            </w:r>
          </w:p>
        </w:tc>
        <w:tc>
          <w:tcPr>
            <w:tcW w:w="946"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lang w:val="en-US" w:eastAsia="zh-CN"/>
              </w:rPr>
              <w:t>10</w:t>
            </w:r>
            <w:r>
              <w:rPr>
                <w:rFonts w:hint="eastAsia" w:ascii="宋体" w:hAnsi="宋体" w:cs="宋体"/>
                <w:b/>
                <w:bCs/>
                <w:color w:val="auto"/>
                <w:kern w:val="0"/>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trPr>
        <w:tc>
          <w:tcPr>
            <w:tcW w:w="693" w:type="dxa"/>
            <w:noWrap w:val="0"/>
            <w:vAlign w:val="center"/>
          </w:tcPr>
          <w:p>
            <w:pPr>
              <w:keepNext w:val="0"/>
              <w:keepLines w:val="0"/>
              <w:pageBreakBefore w:val="0"/>
              <w:kinsoku/>
              <w:wordWrap/>
              <w:overflowPunct/>
              <w:topLinePunct w:val="0"/>
              <w:bidi w:val="0"/>
              <w:spacing w:line="400" w:lineRule="exact"/>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3.1</w:t>
            </w:r>
          </w:p>
        </w:tc>
        <w:tc>
          <w:tcPr>
            <w:tcW w:w="1163" w:type="dxa"/>
            <w:noWrap w:val="0"/>
            <w:vAlign w:val="center"/>
          </w:tcPr>
          <w:p>
            <w:pPr>
              <w:keepNext w:val="0"/>
              <w:keepLines w:val="0"/>
              <w:pageBreakBefore w:val="0"/>
              <w:kinsoku/>
              <w:wordWrap/>
              <w:overflowPunct/>
              <w:topLinePunct w:val="0"/>
              <w:bidi w:val="0"/>
              <w:snapToGrid w:val="0"/>
              <w:spacing w:line="400" w:lineRule="exact"/>
              <w:jc w:val="center"/>
              <w:textAlignment w:val="auto"/>
              <w:rPr>
                <w:rFonts w:hint="eastAsia" w:ascii="宋体" w:hAnsi="宋体" w:cs="宋体"/>
                <w:color w:val="auto"/>
                <w:kern w:val="0"/>
                <w:szCs w:val="21"/>
                <w:highlight w:val="none"/>
              </w:rPr>
            </w:pPr>
            <w:r>
              <w:rPr>
                <w:rFonts w:hint="eastAsia" w:ascii="宋体" w:hAnsi="宋体" w:eastAsia="宋体" w:cs="宋体"/>
                <w:bCs/>
                <w:color w:val="auto"/>
                <w:szCs w:val="21"/>
                <w:highlight w:val="none"/>
                <w:lang w:val="en-US" w:eastAsia="zh-CN"/>
              </w:rPr>
              <w:t>业绩分</w:t>
            </w:r>
          </w:p>
        </w:tc>
        <w:tc>
          <w:tcPr>
            <w:tcW w:w="6624" w:type="dxa"/>
            <w:noWrap w:val="0"/>
            <w:vAlign w:val="center"/>
          </w:tcPr>
          <w:p>
            <w:pPr>
              <w:keepNext w:val="0"/>
              <w:keepLines w:val="0"/>
              <w:pageBreakBefore w:val="0"/>
              <w:kinsoku/>
              <w:wordWrap/>
              <w:overflowPunct/>
              <w:topLinePunct w:val="0"/>
              <w:bidi w:val="0"/>
              <w:snapToGrid w:val="0"/>
              <w:spacing w:line="400" w:lineRule="exact"/>
              <w:jc w:val="left"/>
              <w:textAlignment w:val="auto"/>
              <w:rPr>
                <w:rFonts w:ascii="宋体" w:hAnsi="宋体" w:eastAsia="宋体" w:cs="Tahoma"/>
                <w:kern w:val="0"/>
                <w:szCs w:val="21"/>
              </w:rPr>
            </w:pPr>
            <w:r>
              <w:rPr>
                <w:rFonts w:hint="eastAsia" w:ascii="宋体" w:hAnsi="宋体" w:eastAsia="宋体" w:cs="Tahoma"/>
                <w:kern w:val="0"/>
                <w:szCs w:val="21"/>
              </w:rPr>
              <w:t>2020</w:t>
            </w:r>
            <w:r>
              <w:rPr>
                <w:rFonts w:ascii="宋体" w:hAnsi="宋体" w:eastAsia="宋体" w:cs="Tahoma"/>
                <w:kern w:val="0"/>
                <w:szCs w:val="21"/>
              </w:rPr>
              <w:t>年1月1日</w:t>
            </w:r>
            <w:r>
              <w:rPr>
                <w:rFonts w:hint="eastAsia" w:ascii="宋体" w:hAnsi="宋体" w:eastAsia="宋体" w:cs="Tahoma"/>
                <w:kern w:val="0"/>
                <w:szCs w:val="21"/>
              </w:rPr>
              <w:t>至提交首次响应文件截止之日前，</w:t>
            </w:r>
            <w:r>
              <w:rPr>
                <w:rFonts w:ascii="宋体" w:hAnsi="宋体" w:eastAsia="宋体" w:cs="Tahoma"/>
                <w:kern w:val="0"/>
                <w:szCs w:val="21"/>
              </w:rPr>
              <w:t>供应商</w:t>
            </w:r>
            <w:r>
              <w:rPr>
                <w:rFonts w:hint="eastAsia" w:ascii="宋体" w:hAnsi="宋体" w:eastAsia="宋体" w:cs="Tahoma"/>
                <w:kern w:val="0"/>
                <w:szCs w:val="21"/>
              </w:rPr>
              <w:t>承接过</w:t>
            </w:r>
            <w:r>
              <w:rPr>
                <w:rFonts w:hint="eastAsia" w:ascii="宋体" w:hAnsi="宋体" w:eastAsia="宋体" w:cs="宋体"/>
                <w:color w:val="auto"/>
                <w:szCs w:val="21"/>
                <w:highlight w:val="none"/>
                <w:lang w:eastAsia="zh-CN"/>
              </w:rPr>
              <w:t>水利水电</w:t>
            </w:r>
            <w:r>
              <w:rPr>
                <w:rFonts w:hint="eastAsia" w:ascii="宋体" w:hAnsi="宋体" w:eastAsia="宋体" w:cs="Tahoma"/>
                <w:kern w:val="0"/>
                <w:szCs w:val="21"/>
              </w:rPr>
              <w:t>工程项目业绩的，每提供</w:t>
            </w:r>
            <w:r>
              <w:rPr>
                <w:rFonts w:ascii="宋体" w:hAnsi="宋体" w:eastAsia="宋体" w:cs="Tahoma"/>
                <w:kern w:val="0"/>
                <w:szCs w:val="21"/>
              </w:rPr>
              <w:t>1份符合要求的业绩得</w:t>
            </w:r>
            <w:r>
              <w:rPr>
                <w:rFonts w:hint="eastAsia" w:ascii="宋体" w:hAnsi="宋体" w:eastAsia="宋体" w:cs="Tahoma"/>
                <w:kern w:val="0"/>
                <w:szCs w:val="21"/>
                <w:lang w:val="en-US" w:eastAsia="zh-CN"/>
              </w:rPr>
              <w:t>5</w:t>
            </w:r>
            <w:r>
              <w:rPr>
                <w:rFonts w:ascii="宋体" w:hAnsi="宋体" w:eastAsia="宋体" w:cs="Tahoma"/>
                <w:kern w:val="0"/>
                <w:szCs w:val="21"/>
              </w:rPr>
              <w:t>分，满分</w:t>
            </w:r>
            <w:r>
              <w:rPr>
                <w:rFonts w:hint="eastAsia" w:ascii="宋体" w:hAnsi="宋体" w:eastAsia="宋体" w:cs="Tahoma"/>
                <w:kern w:val="0"/>
                <w:szCs w:val="21"/>
                <w:lang w:val="en-US" w:eastAsia="zh-CN"/>
              </w:rPr>
              <w:t>10</w:t>
            </w:r>
            <w:r>
              <w:rPr>
                <w:rFonts w:ascii="宋体" w:hAnsi="宋体" w:eastAsia="宋体" w:cs="Tahoma"/>
                <w:kern w:val="0"/>
                <w:szCs w:val="21"/>
              </w:rPr>
              <w:t>分。</w:t>
            </w:r>
          </w:p>
          <w:p>
            <w:pPr>
              <w:keepNext w:val="0"/>
              <w:keepLines w:val="0"/>
              <w:pageBreakBefore w:val="0"/>
              <w:kinsoku/>
              <w:wordWrap/>
              <w:overflowPunct/>
              <w:topLinePunct w:val="0"/>
              <w:bidi w:val="0"/>
              <w:snapToGrid w:val="0"/>
              <w:spacing w:line="400" w:lineRule="exact"/>
              <w:jc w:val="left"/>
              <w:textAlignment w:val="auto"/>
              <w:rPr>
                <w:rFonts w:ascii="宋体" w:hAnsi="宋体" w:eastAsia="宋体" w:cs="Tahoma"/>
                <w:kern w:val="0"/>
                <w:szCs w:val="21"/>
              </w:rPr>
            </w:pPr>
            <w:r>
              <w:rPr>
                <w:rFonts w:hint="eastAsia" w:ascii="宋体" w:hAnsi="宋体" w:eastAsia="宋体" w:cs="Tahoma"/>
                <w:kern w:val="0"/>
                <w:szCs w:val="21"/>
              </w:rPr>
              <w:t>备注：完成的类似工程需同时附以下两种材料：①成交（中标）通知书或合同协议书；②工程完工验收鉴定书或工程竣工验收鉴定书。（时间以工程完工验收或竣工验收鉴定书标明的验收日期为准）。</w:t>
            </w:r>
          </w:p>
        </w:tc>
        <w:tc>
          <w:tcPr>
            <w:tcW w:w="946" w:type="dxa"/>
            <w:noWrap w:val="0"/>
            <w:vAlign w:val="center"/>
          </w:tcPr>
          <w:p>
            <w:pPr>
              <w:keepNext w:val="0"/>
              <w:keepLines w:val="0"/>
              <w:pageBreakBefore w:val="0"/>
              <w:widowControl/>
              <w:kinsoku/>
              <w:wordWrap/>
              <w:overflowPunct/>
              <w:topLinePunct w:val="0"/>
              <w:bidi w:val="0"/>
              <w:spacing w:line="400" w:lineRule="exact"/>
              <w:jc w:val="center"/>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eastAsia="宋体" w:cs="宋体"/>
                <w:color w:val="auto"/>
                <w:kern w:val="0"/>
                <w:szCs w:val="21"/>
                <w:highlight w:val="none"/>
                <w:lang w:val="en-US" w:eastAsia="zh-CN"/>
              </w:rPr>
              <w:t>分</w:t>
            </w:r>
          </w:p>
        </w:tc>
      </w:tr>
    </w:tbl>
    <w:p>
      <w:pPr>
        <w:spacing w:line="360" w:lineRule="auto"/>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b w:val="0"/>
          <w:bCs/>
          <w:color w:val="auto"/>
          <w:highlight w:val="none"/>
        </w:rPr>
      </w:pPr>
      <w:r>
        <w:rPr>
          <w:rFonts w:hint="eastAsia" w:ascii="宋体" w:hAnsi="宋体" w:eastAsia="宋体" w:cs="宋体"/>
          <w:color w:val="auto"/>
          <w:highlight w:val="none"/>
        </w:rPr>
        <w:t>8.2商务技术评审因素为客观评分项的，应在评分项目或评分标准中予以标注为“客观分”。对供应商的客观评分项目，各评审专家评分应当一致。</w:t>
      </w:r>
    </w:p>
    <w:p>
      <w:pPr>
        <w:spacing w:line="360" w:lineRule="auto"/>
        <w:ind w:firstLine="420" w:firstLineChars="200"/>
        <w:rPr>
          <w:rFonts w:hint="eastAsia" w:ascii="宋体" w:hAnsi="宋体" w:eastAsia="宋体" w:cs="宋体"/>
          <w:color w:val="auto"/>
          <w:highlight w:val="none"/>
        </w:rPr>
      </w:pPr>
      <w:bookmarkStart w:id="84" w:name="_Toc80205935"/>
      <w:r>
        <w:rPr>
          <w:rFonts w:hint="eastAsia" w:ascii="宋体" w:hAnsi="宋体" w:cs="宋体"/>
          <w:color w:val="auto"/>
          <w:highlight w:val="none"/>
          <w:lang w:val="en-US" w:eastAsia="zh-CN"/>
        </w:rPr>
        <w:t>8</w:t>
      </w:r>
      <w:r>
        <w:rPr>
          <w:rFonts w:hint="eastAsia" w:ascii="宋体" w:hAnsi="宋体" w:eastAsia="宋体" w:cs="宋体"/>
          <w:color w:val="auto"/>
          <w:highlight w:val="none"/>
        </w:rPr>
        <w:t>.</w:t>
      </w:r>
      <w:r>
        <w:rPr>
          <w:rFonts w:hint="eastAsia" w:ascii="宋体" w:hAnsi="宋体" w:cs="宋体"/>
          <w:color w:val="auto"/>
          <w:highlight w:val="none"/>
          <w:lang w:val="en-US" w:eastAsia="zh-CN"/>
        </w:rPr>
        <w:t>3</w:t>
      </w:r>
      <w:r>
        <w:rPr>
          <w:rFonts w:hint="eastAsia" w:ascii="宋体" w:hAnsi="宋体" w:eastAsia="宋体" w:cs="宋体"/>
          <w:color w:val="auto"/>
          <w:highlight w:val="none"/>
        </w:rPr>
        <w:t>.终止竞争性磋商采购活动</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磋商小组发现竞争性磋商文件存在歧义、重大缺陷导致评审工作无法进行，或者竞争性磋商文件内容违反国家有关规定的，要停止评审工作并向采购人或采购代理机构书面说明情况，采购人或采购代理机构应当修改竞争性磋商文件后重新组织采购活动；发现供应商提供虚假材料、串通等违法违规行为的，要及时向采购人或采购代理机构报告。</w:t>
      </w:r>
    </w:p>
    <w:p>
      <w:pPr>
        <w:pStyle w:val="4"/>
        <w:spacing w:before="0" w:after="0" w:line="360" w:lineRule="auto"/>
        <w:jc w:val="both"/>
        <w:rPr>
          <w:rFonts w:hint="eastAsia" w:ascii="宋体" w:hAnsi="宋体" w:eastAsia="宋体" w:cs="宋体"/>
          <w:b w:val="0"/>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pStyle w:val="4"/>
        <w:spacing w:before="0" w:after="0" w:line="360" w:lineRule="auto"/>
        <w:ind w:firstLine="640" w:firstLineChars="200"/>
        <w:jc w:val="center"/>
        <w:rPr>
          <w:rFonts w:hint="eastAsia" w:ascii="宋体" w:hAnsi="宋体" w:eastAsia="宋体" w:cs="宋体"/>
          <w:b w:val="0"/>
          <w:color w:val="auto"/>
          <w:highlight w:val="none"/>
          <w:lang w:eastAsia="zh-CN"/>
        </w:rPr>
      </w:pPr>
      <w:bookmarkStart w:id="85" w:name="_Toc22098"/>
      <w:bookmarkStart w:id="86" w:name="_Toc498"/>
      <w:bookmarkStart w:id="87" w:name="_Toc640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二</w:t>
      </w:r>
      <w:r>
        <w:rPr>
          <w:rFonts w:hint="eastAsia" w:ascii="宋体" w:hAnsi="宋体" w:eastAsia="宋体" w:cs="宋体"/>
          <w:b w:val="0"/>
          <w:color w:val="auto"/>
          <w:highlight w:val="none"/>
        </w:rPr>
        <w:t xml:space="preserve">节 </w:t>
      </w:r>
      <w:r>
        <w:rPr>
          <w:rFonts w:hint="eastAsia" w:ascii="宋体" w:hAnsi="宋体" w:eastAsia="宋体" w:cs="宋体"/>
          <w:b w:val="0"/>
          <w:color w:val="auto"/>
          <w:highlight w:val="none"/>
          <w:lang w:eastAsia="zh-CN"/>
        </w:rPr>
        <w:t>评标报告</w:t>
      </w:r>
      <w:bookmarkEnd w:id="84"/>
      <w:bookmarkEnd w:id="85"/>
      <w:bookmarkEnd w:id="86"/>
      <w:bookmarkEnd w:id="87"/>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1.成交标准</w:t>
      </w:r>
    </w:p>
    <w:p>
      <w:pPr>
        <w:spacing w:line="360" w:lineRule="auto"/>
        <w:ind w:firstLine="420" w:firstLineChars="200"/>
        <w:rPr>
          <w:rFonts w:hint="eastAsia" w:ascii="宋体" w:hAnsi="宋体" w:eastAsia="宋体" w:cs="宋体"/>
          <w:color w:val="auto"/>
          <w:sz w:val="24"/>
          <w:highlight w:val="none"/>
        </w:rPr>
      </w:pPr>
      <w:r>
        <w:rPr>
          <w:rFonts w:hint="eastAsia" w:ascii="宋体" w:hAnsi="宋体" w:eastAsia="宋体" w:cs="宋体"/>
          <w:bCs/>
          <w:color w:val="auto"/>
          <w:szCs w:val="21"/>
          <w:highlight w:val="none"/>
        </w:rPr>
        <w:t>由磋商小组根据综合评分情况，按照评审得分由高到低顺序推荐3名以上成交候选供应商</w:t>
      </w:r>
      <w:r>
        <w:rPr>
          <w:rFonts w:hint="eastAsia" w:ascii="宋体" w:hAnsi="宋体" w:eastAsia="宋体" w:cs="宋体"/>
          <w:bCs/>
          <w:color w:val="auto"/>
          <w:szCs w:val="21"/>
          <w:highlight w:val="none"/>
          <w:lang w:eastAsia="zh-CN"/>
        </w:rPr>
        <w:t>，</w:t>
      </w:r>
      <w:r>
        <w:rPr>
          <w:rFonts w:hint="eastAsia" w:ascii="宋体" w:hAnsi="宋体" w:eastAsia="宋体" w:cs="宋体"/>
          <w:color w:val="auto"/>
          <w:highlight w:val="none"/>
        </w:rPr>
        <w:t>并在线编写电子评审报告</w:t>
      </w:r>
      <w:r>
        <w:rPr>
          <w:rFonts w:hint="eastAsia" w:ascii="宋体" w:hAnsi="宋体" w:eastAsia="宋体" w:cs="宋体"/>
          <w:bCs/>
          <w:color w:val="auto"/>
          <w:szCs w:val="21"/>
          <w:highlight w:val="none"/>
        </w:rPr>
        <w:t>。符合本章第一节第5.3条情形的，可以推荐2家成交候选供应商。评审得分相同的，按照最后报价（不计算价格折扣）由低到高的顺序推荐。评审得分且最后报价（不计算价格折扣）相同的，按照技术指标优劣顺序推荐（按技术得分由高到低排序，技术得分相同的按照</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需求偏离分由高到低排序）。评审得分、最后报价（不计算价格折扣）、技术得分、</w:t>
      </w:r>
      <w:r>
        <w:rPr>
          <w:rFonts w:hint="eastAsia" w:ascii="宋体" w:hAnsi="宋体" w:cs="宋体"/>
          <w:bCs/>
          <w:color w:val="auto"/>
          <w:szCs w:val="21"/>
          <w:highlight w:val="none"/>
          <w:lang w:val="en-US" w:eastAsia="zh-CN"/>
        </w:rPr>
        <w:t>技术</w:t>
      </w:r>
      <w:r>
        <w:rPr>
          <w:rFonts w:hint="eastAsia" w:ascii="宋体" w:hAnsi="宋体" w:eastAsia="宋体" w:cs="宋体"/>
          <w:bCs/>
          <w:color w:val="auto"/>
          <w:szCs w:val="21"/>
          <w:highlight w:val="none"/>
        </w:rPr>
        <w:t>需求偏离分均相同的，由磋商小组随机抽取推荐。</w:t>
      </w:r>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2.评标争议事项处理</w:t>
      </w:r>
    </w:p>
    <w:p>
      <w:pPr>
        <w:pStyle w:val="28"/>
        <w:spacing w:before="0" w:line="360" w:lineRule="auto"/>
        <w:ind w:firstLine="420"/>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磋商小组成员对需要共同认定的事项存在争议的，应当按照少数服从多数的原则作出结论。持不同意见的磋商小组成员应当在评标报告上签署不同意见及理由，否则视为同意评标报告。</w:t>
      </w:r>
    </w:p>
    <w:p>
      <w:pPr>
        <w:pStyle w:val="4"/>
        <w:spacing w:before="0" w:after="0" w:line="360" w:lineRule="auto"/>
        <w:ind w:firstLine="640" w:firstLineChars="200"/>
        <w:jc w:val="center"/>
        <w:rPr>
          <w:rFonts w:hint="eastAsia" w:ascii="宋体" w:hAnsi="宋体" w:eastAsia="宋体" w:cs="宋体"/>
          <w:b w:val="0"/>
          <w:color w:val="auto"/>
          <w:highlight w:val="none"/>
        </w:rPr>
      </w:pPr>
      <w:bookmarkStart w:id="88" w:name="_Toc3713"/>
      <w:bookmarkStart w:id="89" w:name="_Toc3846"/>
      <w:bookmarkStart w:id="90" w:name="_Toc9233"/>
      <w:bookmarkStart w:id="91" w:name="_Toc80205936"/>
      <w:r>
        <w:rPr>
          <w:rFonts w:hint="eastAsia" w:ascii="宋体" w:hAnsi="宋体" w:eastAsia="宋体" w:cs="宋体"/>
          <w:b w:val="0"/>
          <w:color w:val="auto"/>
          <w:highlight w:val="none"/>
        </w:rPr>
        <w:t>第</w:t>
      </w:r>
      <w:r>
        <w:rPr>
          <w:rFonts w:hint="eastAsia" w:ascii="宋体" w:hAnsi="宋体" w:eastAsia="宋体" w:cs="宋体"/>
          <w:b w:val="0"/>
          <w:color w:val="auto"/>
          <w:highlight w:val="none"/>
          <w:lang w:eastAsia="zh-CN"/>
        </w:rPr>
        <w:t>三</w:t>
      </w:r>
      <w:r>
        <w:rPr>
          <w:rFonts w:hint="eastAsia" w:ascii="宋体" w:hAnsi="宋体" w:eastAsia="宋体" w:cs="宋体"/>
          <w:b w:val="0"/>
          <w:color w:val="auto"/>
          <w:highlight w:val="none"/>
        </w:rPr>
        <w:t>节 评审过程的保密与录像</w:t>
      </w:r>
      <w:bookmarkEnd w:id="88"/>
      <w:bookmarkEnd w:id="89"/>
      <w:bookmarkEnd w:id="90"/>
      <w:bookmarkEnd w:id="91"/>
    </w:p>
    <w:p>
      <w:pPr>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1.保密。</w:t>
      </w:r>
    </w:p>
    <w:p>
      <w:pPr>
        <w:widowControl/>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评审活动在严格保密的情况下进行。评审过程中凡是与采购响应文件评审和比较、中标成交供应商推荐等评审有关的情况，以及涉及国家秘密和商业秘密等信息，评审委员会成员、采购人和采购机构工作人员、相关监督人员等与评审有关的人员应当予以保密。</w:t>
      </w:r>
    </w:p>
    <w:p>
      <w:pPr>
        <w:widowControl/>
        <w:spacing w:line="360" w:lineRule="auto"/>
        <w:ind w:firstLine="480" w:firstLineChars="200"/>
        <w:rPr>
          <w:rFonts w:hint="eastAsia" w:ascii="宋体" w:hAnsi="宋体" w:eastAsia="宋体" w:cs="宋体"/>
          <w:color w:val="auto"/>
          <w:sz w:val="24"/>
          <w:szCs w:val="32"/>
          <w:highlight w:val="none"/>
        </w:rPr>
      </w:pPr>
      <w:r>
        <w:rPr>
          <w:rFonts w:hint="eastAsia" w:ascii="宋体" w:hAnsi="宋体" w:eastAsia="宋体" w:cs="宋体"/>
          <w:color w:val="auto"/>
          <w:sz w:val="24"/>
          <w:szCs w:val="32"/>
          <w:highlight w:val="none"/>
        </w:rPr>
        <w:t>2.录音录像。</w:t>
      </w: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采购代理机构对评审工作现场及操作屏幕进行全过程录音录像，录音录像资料作为采购项目文件随其他文件一并存档。</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br w:type="page"/>
      </w:r>
    </w:p>
    <w:p>
      <w:pPr>
        <w:pStyle w:val="13"/>
        <w:spacing w:line="360" w:lineRule="auto"/>
        <w:rPr>
          <w:rFonts w:hint="eastAsia" w:ascii="宋体" w:hAnsi="宋体" w:eastAsia="宋体" w:cs="宋体"/>
          <w:color w:val="auto"/>
          <w:highlight w:val="none"/>
        </w:rPr>
      </w:pPr>
    </w:p>
    <w:p>
      <w:pPr>
        <w:pStyle w:val="13"/>
        <w:spacing w:line="360" w:lineRule="auto"/>
        <w:rPr>
          <w:rFonts w:hint="eastAsia" w:ascii="宋体" w:hAnsi="宋体" w:eastAsia="宋体" w:cs="宋体"/>
          <w:color w:val="auto"/>
          <w:highlight w:val="none"/>
        </w:rPr>
      </w:pPr>
    </w:p>
    <w:p>
      <w:pPr>
        <w:pStyle w:val="13"/>
        <w:spacing w:line="360" w:lineRule="auto"/>
        <w:rPr>
          <w:rFonts w:hint="eastAsia" w:ascii="宋体" w:hAnsi="宋体" w:eastAsia="宋体" w:cs="宋体"/>
          <w:color w:val="auto"/>
          <w:highlight w:val="none"/>
        </w:rPr>
      </w:pPr>
    </w:p>
    <w:p>
      <w:pPr>
        <w:pStyle w:val="13"/>
        <w:spacing w:line="360" w:lineRule="auto"/>
        <w:rPr>
          <w:rFonts w:hint="eastAsia" w:ascii="宋体" w:hAnsi="宋体" w:eastAsia="宋体" w:cs="宋体"/>
          <w:color w:val="auto"/>
          <w:highlight w:val="none"/>
        </w:rPr>
      </w:pPr>
    </w:p>
    <w:p>
      <w:pPr>
        <w:pStyle w:val="13"/>
        <w:spacing w:line="360" w:lineRule="auto"/>
        <w:rPr>
          <w:rFonts w:hint="eastAsia" w:ascii="宋体" w:hAnsi="宋体" w:eastAsia="宋体" w:cs="宋体"/>
          <w:color w:val="auto"/>
          <w:highlight w:val="none"/>
        </w:rPr>
      </w:pPr>
    </w:p>
    <w:p>
      <w:pPr>
        <w:pStyle w:val="13"/>
        <w:spacing w:line="360" w:lineRule="auto"/>
        <w:rPr>
          <w:rFonts w:hint="eastAsia" w:ascii="宋体" w:hAnsi="宋体" w:eastAsia="宋体" w:cs="宋体"/>
          <w:color w:val="auto"/>
          <w:highlight w:val="none"/>
        </w:rPr>
      </w:pPr>
    </w:p>
    <w:p>
      <w:pPr>
        <w:pStyle w:val="13"/>
        <w:spacing w:line="360" w:lineRule="auto"/>
        <w:rPr>
          <w:rFonts w:hint="eastAsia" w:ascii="宋体" w:hAnsi="宋体" w:eastAsia="宋体" w:cs="宋体"/>
          <w:color w:val="auto"/>
          <w:highlight w:val="none"/>
        </w:rPr>
      </w:pPr>
    </w:p>
    <w:p>
      <w:pPr>
        <w:pStyle w:val="13"/>
        <w:spacing w:line="360" w:lineRule="auto"/>
        <w:rPr>
          <w:rFonts w:hint="eastAsia" w:ascii="宋体" w:hAnsi="宋体" w:eastAsia="宋体" w:cs="宋体"/>
          <w:color w:val="auto"/>
          <w:highlight w:val="none"/>
        </w:rPr>
      </w:pPr>
    </w:p>
    <w:p>
      <w:pPr>
        <w:pStyle w:val="13"/>
        <w:spacing w:line="360" w:lineRule="auto"/>
        <w:rPr>
          <w:rFonts w:hint="eastAsia" w:ascii="宋体" w:hAnsi="宋体" w:eastAsia="宋体" w:cs="宋体"/>
          <w:color w:val="auto"/>
          <w:highlight w:val="none"/>
        </w:rPr>
      </w:pPr>
    </w:p>
    <w:p>
      <w:pPr>
        <w:pStyle w:val="13"/>
        <w:spacing w:line="360" w:lineRule="auto"/>
        <w:rPr>
          <w:rFonts w:hint="eastAsia" w:ascii="宋体" w:hAnsi="宋体" w:eastAsia="宋体" w:cs="宋体"/>
          <w:color w:val="auto"/>
          <w:highlight w:val="none"/>
        </w:rPr>
      </w:pPr>
    </w:p>
    <w:p>
      <w:pPr>
        <w:pStyle w:val="3"/>
        <w:spacing w:line="360" w:lineRule="auto"/>
        <w:jc w:val="center"/>
        <w:rPr>
          <w:rFonts w:hint="eastAsia" w:ascii="宋体" w:hAnsi="宋体" w:eastAsia="宋体" w:cs="宋体"/>
          <w:b/>
          <w:bCs/>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92" w:name="_Toc16991"/>
      <w:bookmarkStart w:id="93" w:name="_Toc29932"/>
      <w:bookmarkStart w:id="94" w:name="_Toc8541"/>
      <w:r>
        <w:rPr>
          <w:rFonts w:hint="eastAsia" w:ascii="宋体" w:hAnsi="宋体" w:eastAsia="宋体" w:cs="宋体"/>
          <w:b/>
          <w:bCs/>
          <w:color w:val="auto"/>
          <w:highlight w:val="none"/>
        </w:rPr>
        <w:t>第五章 响应文件格式</w:t>
      </w:r>
      <w:bookmarkEnd w:id="92"/>
      <w:bookmarkEnd w:id="93"/>
      <w:bookmarkEnd w:id="94"/>
    </w:p>
    <w:p>
      <w:pPr>
        <w:pStyle w:val="4"/>
        <w:spacing w:line="360" w:lineRule="auto"/>
        <w:jc w:val="center"/>
        <w:rPr>
          <w:rFonts w:hint="eastAsia" w:ascii="宋体" w:hAnsi="宋体" w:eastAsia="宋体" w:cs="宋体"/>
          <w:b w:val="0"/>
          <w:color w:val="auto"/>
          <w:highlight w:val="none"/>
          <w:lang w:val="en-US" w:eastAsia="zh-CN"/>
        </w:rPr>
      </w:pPr>
      <w:bookmarkStart w:id="95" w:name="_Toc3747"/>
      <w:bookmarkStart w:id="96" w:name="_Toc16580"/>
      <w:bookmarkStart w:id="97" w:name="_Toc26547"/>
      <w:bookmarkStart w:id="98" w:name="_Toc80205938"/>
      <w:r>
        <w:rPr>
          <w:rFonts w:hint="eastAsia" w:ascii="宋体" w:hAnsi="宋体" w:eastAsia="宋体" w:cs="宋体"/>
          <w:b w:val="0"/>
          <w:color w:val="auto"/>
          <w:highlight w:val="none"/>
          <w:lang w:val="en-US" w:eastAsia="zh-CN"/>
        </w:rPr>
        <w:t>第一节 封面格式</w:t>
      </w:r>
      <w:bookmarkEnd w:id="95"/>
      <w:bookmarkEnd w:id="96"/>
      <w:bookmarkEnd w:id="97"/>
      <w:bookmarkEnd w:id="98"/>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jc w:val="center"/>
        <w:rPr>
          <w:rFonts w:hint="eastAsia" w:ascii="宋体" w:hAnsi="宋体" w:eastAsia="宋体" w:cs="宋体"/>
          <w:bCs/>
          <w:color w:val="auto"/>
          <w:sz w:val="24"/>
          <w:szCs w:val="20"/>
          <w:highlight w:val="none"/>
        </w:rPr>
      </w:pPr>
    </w:p>
    <w:p>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响  应  文  件</w:t>
      </w: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隆安县那桐镇浪湾片区集中供水改造工程</w:t>
      </w:r>
    </w:p>
    <w:p>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项目编号：NNZC2024-C2-230184-GXJH</w:t>
      </w:r>
      <w:r>
        <w:rPr>
          <w:rFonts w:hint="eastAsia" w:ascii="宋体" w:hAnsi="宋体" w:cs="宋体"/>
          <w:bCs/>
          <w:color w:val="auto"/>
          <w:sz w:val="32"/>
          <w:szCs w:val="32"/>
          <w:highlight w:val="none"/>
          <w:lang w:eastAsia="zh-CN"/>
        </w:rPr>
        <w:t xml:space="preserve">    </w:t>
      </w:r>
    </w:p>
    <w:p>
      <w:pPr>
        <w:snapToGrid w:val="0"/>
        <w:spacing w:before="120" w:beforeLines="50" w:after="50" w:line="360" w:lineRule="auto"/>
        <w:ind w:firstLine="480" w:firstLineChars="150"/>
        <w:rPr>
          <w:rFonts w:hint="eastAsia" w:ascii="宋体" w:hAnsi="宋体" w:eastAsia="宋体" w:cs="宋体"/>
          <w:bCs/>
          <w:color w:val="auto"/>
          <w:sz w:val="32"/>
          <w:szCs w:val="32"/>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snapToGrid w:val="0"/>
        <w:spacing w:before="120" w:beforeLines="50" w:after="50" w:line="360" w:lineRule="auto"/>
        <w:rPr>
          <w:rFonts w:hint="eastAsia" w:ascii="宋体" w:hAnsi="宋体" w:eastAsia="宋体" w:cs="宋体"/>
          <w:bCs/>
          <w:color w:val="auto"/>
          <w:sz w:val="32"/>
          <w:szCs w:val="32"/>
          <w:highlight w:val="none"/>
        </w:rPr>
      </w:pPr>
    </w:p>
    <w:p>
      <w:pPr>
        <w:snapToGrid w:val="0"/>
        <w:spacing w:before="120" w:beforeLines="50" w:after="50" w:line="360" w:lineRule="auto"/>
        <w:ind w:firstLine="480" w:firstLineChars="150"/>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首次响应文件提交截止时间前不得解密</w:t>
      </w:r>
    </w:p>
    <w:p>
      <w:pPr>
        <w:snapToGrid w:val="0"/>
        <w:spacing w:before="120" w:beforeLines="50" w:after="50" w:line="360" w:lineRule="auto"/>
        <w:ind w:firstLine="5440" w:firstLineChars="1700"/>
        <w:jc w:val="center"/>
        <w:rPr>
          <w:rFonts w:hint="eastAsia" w:ascii="宋体" w:hAnsi="宋体" w:eastAsia="宋体" w:cs="宋体"/>
          <w:bCs/>
          <w:color w:val="auto"/>
          <w:sz w:val="32"/>
          <w:szCs w:val="32"/>
          <w:highlight w:val="none"/>
        </w:rPr>
      </w:pPr>
    </w:p>
    <w:p>
      <w:pPr>
        <w:snapToGrid w:val="0"/>
        <w:spacing w:before="120" w:beforeLines="50" w:after="50" w:line="360" w:lineRule="auto"/>
        <w:ind w:firstLine="645"/>
        <w:jc w:val="center"/>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年    月    日</w:t>
      </w:r>
    </w:p>
    <w:p>
      <w:pPr>
        <w:spacing w:line="360" w:lineRule="auto"/>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pStyle w:val="4"/>
        <w:spacing w:line="360" w:lineRule="auto"/>
        <w:jc w:val="center"/>
        <w:rPr>
          <w:rFonts w:hint="eastAsia" w:ascii="宋体" w:hAnsi="宋体" w:eastAsia="宋体" w:cs="宋体"/>
          <w:bCs w:val="0"/>
          <w:color w:val="auto"/>
          <w:highlight w:val="none"/>
        </w:rPr>
      </w:pPr>
      <w:bookmarkStart w:id="99" w:name="_Toc21695"/>
      <w:bookmarkStart w:id="100" w:name="_Toc1270"/>
      <w:bookmarkStart w:id="101" w:name="_Toc80205939"/>
      <w:bookmarkStart w:id="102" w:name="_Toc25717"/>
      <w:r>
        <w:rPr>
          <w:rFonts w:hint="eastAsia" w:ascii="宋体" w:hAnsi="宋体" w:eastAsia="宋体" w:cs="宋体"/>
          <w:bCs w:val="0"/>
          <w:color w:val="auto"/>
          <w:highlight w:val="none"/>
        </w:rPr>
        <w:t>第二节 资格证明文件格式</w:t>
      </w:r>
      <w:bookmarkEnd w:id="99"/>
      <w:bookmarkEnd w:id="100"/>
      <w:bookmarkEnd w:id="101"/>
      <w:bookmarkEnd w:id="102"/>
    </w:p>
    <w:p>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资  格  证  明  文  件（封面）</w:t>
      </w: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隆安县那桐镇浪湾片区集中供水改造工程</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项目编号：NNZC2024-C2-230184-GXJH</w:t>
      </w:r>
      <w:r>
        <w:rPr>
          <w:rFonts w:hint="eastAsia" w:ascii="宋体" w:hAnsi="宋体" w:cs="宋体"/>
          <w:bCs/>
          <w:color w:val="auto"/>
          <w:sz w:val="32"/>
          <w:szCs w:val="32"/>
          <w:highlight w:val="none"/>
          <w:lang w:eastAsia="zh-CN"/>
        </w:rPr>
        <w:t xml:space="preserve">    </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8"/>
        <w:snapToGrid w:val="0"/>
        <w:spacing w:before="50" w:after="50" w:line="360" w:lineRule="auto"/>
        <w:ind w:left="0" w:leftChars="0" w:firstLine="0" w:firstLineChars="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jc w:val="center"/>
        <w:rPr>
          <w:rFonts w:hint="eastAsia" w:ascii="宋体" w:hAnsi="宋体" w:eastAsia="宋体" w:cs="宋体"/>
          <w:b/>
          <w:color w:val="auto"/>
          <w:kern w:val="0"/>
          <w:sz w:val="36"/>
          <w:szCs w:val="36"/>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 xml:space="preserve"> </w:t>
      </w:r>
      <w:r>
        <w:rPr>
          <w:rFonts w:hint="eastAsia" w:ascii="宋体" w:hAnsi="宋体" w:eastAsia="宋体" w:cs="宋体"/>
          <w:b/>
          <w:color w:val="auto"/>
          <w:kern w:val="0"/>
          <w:sz w:val="36"/>
          <w:szCs w:val="36"/>
          <w:highlight w:val="none"/>
        </w:rPr>
        <w:t>资格证明文件目录</w:t>
      </w:r>
    </w:p>
    <w:p>
      <w:pPr>
        <w:snapToGrid w:val="0"/>
        <w:spacing w:line="360" w:lineRule="auto"/>
        <w:rPr>
          <w:rFonts w:hint="eastAsia" w:ascii="宋体" w:hAnsi="宋体" w:eastAsia="宋体" w:cs="宋体"/>
          <w:color w:val="auto"/>
          <w:kern w:val="0"/>
          <w:sz w:val="24"/>
          <w:highlight w:val="none"/>
        </w:rPr>
      </w:pP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w:t>
      </w:r>
      <w:r>
        <w:rPr>
          <w:rFonts w:hint="eastAsia" w:ascii="宋体" w:hAnsi="宋体" w:eastAsia="宋体" w:cs="宋体"/>
          <w:color w:val="auto"/>
          <w:sz w:val="24"/>
          <w:highlight w:val="none"/>
        </w:rPr>
        <w:t>营业执照</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或事业法人登记证或其他工商等登记证明材料</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复印件（供应商为自然人的，须提供</w:t>
      </w:r>
      <w:r>
        <w:rPr>
          <w:rFonts w:hint="eastAsia" w:ascii="宋体" w:hAnsi="宋体" w:eastAsia="宋体" w:cs="宋体"/>
          <w:color w:val="auto"/>
          <w:kern w:val="0"/>
          <w:sz w:val="24"/>
          <w:highlight w:val="none"/>
        </w:rPr>
        <w:t>自然人的身份证明</w:t>
      </w:r>
      <w:r>
        <w:rPr>
          <w:rFonts w:hint="eastAsia" w:ascii="宋体" w:hAnsi="宋体" w:eastAsia="宋体" w:cs="宋体"/>
          <w:color w:val="auto"/>
          <w:sz w:val="24"/>
          <w:highlight w:val="none"/>
        </w:rPr>
        <w:t>）</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二、符合参与政府采购活动的资格条件依法缴纳税收、社会保障资金等方面的材料………………………………………………………………………………</w:t>
      </w:r>
      <w:r>
        <w:rPr>
          <w:rFonts w:hint="eastAsia" w:ascii="宋体" w:hAnsi="宋体" w:cs="宋体"/>
          <w:color w:val="auto"/>
          <w:kern w:val="0"/>
          <w:sz w:val="24"/>
          <w:highlight w:val="none"/>
          <w:lang w:val="en-US" w:eastAsia="zh-CN"/>
        </w:rPr>
        <w:t xml:space="preserve"> </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三、财务状况报告方面的材料…………………………………………………（页码）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四、供应商直接控股股东信息</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五、供应商直接关联关系信息表</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六、资格声明函…………………………………………………………………（页码）</w:t>
      </w:r>
    </w:p>
    <w:p>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七、联合体协议书（</w:t>
      </w:r>
      <w:r>
        <w:rPr>
          <w:rFonts w:hint="eastAsia" w:ascii="宋体" w:hAnsi="宋体" w:eastAsia="宋体" w:cs="宋体"/>
          <w:color w:val="auto"/>
          <w:sz w:val="24"/>
          <w:highlight w:val="none"/>
        </w:rPr>
        <w:t>以联合体形式响应的，提供联合体协议；本项目不接受联合体响应或者供应商不以联合体形式响应的，则不需要提供</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八、</w:t>
      </w:r>
      <w:r>
        <w:rPr>
          <w:rFonts w:hint="eastAsia" w:ascii="宋体" w:hAnsi="宋体" w:eastAsia="宋体"/>
          <w:color w:val="auto"/>
          <w:sz w:val="24"/>
          <w:szCs w:val="24"/>
          <w:highlight w:val="none"/>
          <w:lang w:eastAsia="zh-CN"/>
        </w:rPr>
        <w:t>中小</w:t>
      </w:r>
      <w:r>
        <w:rPr>
          <w:rFonts w:hint="eastAsia" w:ascii="宋体" w:hAnsi="宋体"/>
          <w:color w:val="auto"/>
          <w:sz w:val="24"/>
          <w:szCs w:val="24"/>
          <w:highlight w:val="none"/>
        </w:rPr>
        <w:t>企业声明函或残疾人福利性单位声明函或供应商属于监狱企业的证明材料</w:t>
      </w:r>
      <w:r>
        <w:rPr>
          <w:rFonts w:hint="eastAsia" w:ascii="宋体" w:hAnsi="宋体" w:eastAsia="宋体" w:cs="宋体"/>
          <w:color w:val="auto"/>
          <w:kern w:val="0"/>
          <w:sz w:val="24"/>
          <w:highlight w:val="none"/>
        </w:rPr>
        <w:t>………………………………………………（页码）</w:t>
      </w:r>
    </w:p>
    <w:p>
      <w:pPr>
        <w:snapToGrid w:val="0"/>
        <w:spacing w:line="360" w:lineRule="auto"/>
        <w:rPr>
          <w:rFonts w:hint="eastAsia" w:ascii="宋体" w:hAnsi="宋体" w:eastAsia="宋体" w:cs="宋体"/>
          <w:color w:val="auto"/>
          <w:kern w:val="0"/>
          <w:sz w:val="24"/>
          <w:highlight w:val="none"/>
        </w:rPr>
      </w:pPr>
      <w:r>
        <w:rPr>
          <w:rFonts w:hint="eastAsia" w:ascii="宋体" w:hAnsi="宋体" w:cs="宋体"/>
          <w:color w:val="auto"/>
          <w:sz w:val="24"/>
          <w:highlight w:val="none"/>
          <w:lang w:val="en-US" w:eastAsia="zh-CN"/>
        </w:rPr>
        <w:t>九</w:t>
      </w:r>
      <w:r>
        <w:rPr>
          <w:rFonts w:hint="eastAsia" w:ascii="宋体" w:hAnsi="宋体" w:eastAsia="宋体" w:cs="宋体"/>
          <w:color w:val="auto"/>
          <w:sz w:val="24"/>
          <w:highlight w:val="none"/>
        </w:rPr>
        <w:t>、符合特定资格条件（如有）的有关证明材料（复印件）</w:t>
      </w:r>
      <w:r>
        <w:rPr>
          <w:rFonts w:hint="eastAsia" w:ascii="宋体" w:hAnsi="宋体" w:eastAsia="宋体" w:cs="宋体"/>
          <w:color w:val="auto"/>
          <w:kern w:val="0"/>
          <w:sz w:val="24"/>
          <w:highlight w:val="none"/>
        </w:rPr>
        <w:t>………………（页码）</w:t>
      </w:r>
    </w:p>
    <w:p>
      <w:pPr>
        <w:spacing w:line="360" w:lineRule="auto"/>
        <w:rPr>
          <w:rFonts w:hint="eastAsia" w:ascii="宋体" w:hAnsi="宋体" w:eastAsia="宋体" w:cs="宋体"/>
          <w:color w:val="auto"/>
          <w:sz w:val="24"/>
          <w:highlight w:val="none"/>
        </w:rPr>
      </w:pPr>
      <w:r>
        <w:rPr>
          <w:rFonts w:hint="eastAsia" w:ascii="宋体" w:hAnsi="宋体" w:cs="宋体"/>
          <w:color w:val="auto"/>
          <w:sz w:val="24"/>
          <w:highlight w:val="none"/>
          <w:lang w:val="en-US" w:eastAsia="zh-CN"/>
        </w:rPr>
        <w:t>十</w:t>
      </w:r>
      <w:r>
        <w:rPr>
          <w:rFonts w:hint="eastAsia" w:ascii="宋体" w:hAnsi="宋体" w:eastAsia="宋体" w:cs="宋体"/>
          <w:color w:val="auto"/>
          <w:sz w:val="24"/>
          <w:highlight w:val="none"/>
        </w:rPr>
        <w:t>、除磋商文件规定必须提供以外，供应商认为需要提供的其他证明材料。</w:t>
      </w:r>
      <w:r>
        <w:rPr>
          <w:rFonts w:hint="eastAsia" w:ascii="宋体" w:hAnsi="宋体" w:eastAsia="宋体" w:cs="宋体"/>
          <w:color w:val="auto"/>
          <w:kern w:val="0"/>
          <w:sz w:val="24"/>
          <w:highlight w:val="none"/>
        </w:rPr>
        <w:t>…</w:t>
      </w:r>
    </w:p>
    <w:p>
      <w:pPr>
        <w:spacing w:line="360" w:lineRule="auto"/>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rPr>
        <w:t>……………………………………………………………………………………（页码）</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注：以上目录是编制供应商响应文件的基本格式要求，各供应商可根据自身情况进一步细化。</w:t>
      </w:r>
    </w:p>
    <w:p>
      <w:pPr>
        <w:snapToGrid w:val="0"/>
        <w:spacing w:before="120" w:beforeLines="50" w:after="50" w:line="360" w:lineRule="auto"/>
        <w:ind w:left="142" w:firstLine="420" w:firstLineChars="200"/>
        <w:jc w:val="left"/>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lang w:val="en-US" w:eastAsia="zh-CN"/>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spacing w:line="360" w:lineRule="auto"/>
        <w:rPr>
          <w:rFonts w:hint="eastAsia" w:ascii="宋体" w:hAnsi="宋体" w:eastAsia="宋体" w:cs="宋体"/>
          <w:color w:val="auto"/>
          <w:szCs w:val="21"/>
          <w:highlight w:val="none"/>
        </w:rPr>
      </w:pPr>
    </w:p>
    <w:p>
      <w:pPr>
        <w:pStyle w:val="16"/>
        <w:spacing w:line="360" w:lineRule="auto"/>
        <w:ind w:firstLine="400" w:firstLineChars="200"/>
        <w:rPr>
          <w:rFonts w:hint="eastAsia" w:ascii="宋体" w:hAnsi="宋体" w:eastAsia="宋体" w:cs="宋体"/>
          <w:b/>
          <w:color w:val="auto"/>
          <w:sz w:val="30"/>
          <w:szCs w:val="30"/>
          <w:highlight w:val="none"/>
        </w:rPr>
      </w:pPr>
      <w:r>
        <w:rPr>
          <w:rFonts w:hint="eastAsia" w:ascii="宋体" w:hAnsi="宋体" w:eastAsia="宋体" w:cs="宋体"/>
          <w:color w:val="auto"/>
          <w:highlight w:val="none"/>
        </w:rPr>
        <w:br w:type="page"/>
      </w:r>
      <w:r>
        <w:rPr>
          <w:rFonts w:hint="eastAsia" w:ascii="宋体" w:hAnsi="宋体" w:eastAsia="宋体" w:cs="宋体"/>
          <w:color w:val="auto"/>
          <w:highlight w:val="none"/>
        </w:rPr>
        <w:t xml:space="preserve">   </w:t>
      </w:r>
      <w:r>
        <w:rPr>
          <w:rFonts w:hint="eastAsia" w:ascii="宋体" w:hAnsi="宋体" w:eastAsia="宋体" w:cs="宋体"/>
          <w:b/>
          <w:color w:val="auto"/>
          <w:sz w:val="30"/>
          <w:szCs w:val="30"/>
          <w:highlight w:val="none"/>
        </w:rPr>
        <w:t>一、营业执照</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或事业法人登记证或其他工商等登记证明材料</w:t>
      </w:r>
      <w:r>
        <w:rPr>
          <w:rFonts w:hint="eastAsia" w:hAnsi="宋体" w:eastAsia="宋体" w:cs="宋体"/>
          <w:b/>
          <w:color w:val="auto"/>
          <w:sz w:val="30"/>
          <w:szCs w:val="30"/>
          <w:highlight w:val="none"/>
          <w:lang w:eastAsia="zh-CN"/>
        </w:rPr>
        <w:t>）</w:t>
      </w:r>
      <w:r>
        <w:rPr>
          <w:rFonts w:hint="eastAsia" w:ascii="宋体" w:hAnsi="宋体" w:eastAsia="宋体" w:cs="宋体"/>
          <w:b/>
          <w:color w:val="auto"/>
          <w:sz w:val="30"/>
          <w:szCs w:val="30"/>
          <w:highlight w:val="none"/>
        </w:rPr>
        <w:t>复印件（</w:t>
      </w:r>
      <w:r>
        <w:rPr>
          <w:rFonts w:hint="eastAsia" w:ascii="宋体" w:hAnsi="宋体" w:eastAsia="宋体" w:cs="宋体"/>
          <w:b/>
          <w:color w:val="auto"/>
          <w:sz w:val="30"/>
          <w:szCs w:val="30"/>
          <w:highlight w:val="none"/>
          <w:lang w:eastAsia="zh-CN"/>
        </w:rPr>
        <w:t>供应商</w:t>
      </w:r>
      <w:r>
        <w:rPr>
          <w:rFonts w:hint="eastAsia" w:ascii="宋体" w:hAnsi="宋体" w:eastAsia="宋体" w:cs="宋体"/>
          <w:b/>
          <w:color w:val="auto"/>
          <w:sz w:val="30"/>
          <w:szCs w:val="30"/>
          <w:highlight w:val="none"/>
        </w:rPr>
        <w:t>为自然人的，提供自然人的身份证明）</w:t>
      </w:r>
    </w:p>
    <w:p>
      <w:pPr>
        <w:pStyle w:val="16"/>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napToGrid w:val="0"/>
        <w:spacing w:before="120" w:beforeLines="50" w:after="50" w:line="360" w:lineRule="auto"/>
        <w:rPr>
          <w:rFonts w:hint="eastAsia" w:ascii="宋体" w:hAnsi="宋体" w:eastAsia="宋体" w:cs="宋体"/>
          <w:color w:val="auto"/>
          <w:sz w:val="24"/>
          <w:szCs w:val="20"/>
          <w:highlight w:val="none"/>
        </w:rPr>
      </w:pPr>
    </w:p>
    <w:p>
      <w:pPr>
        <w:pStyle w:val="16"/>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lang w:eastAsia="zh-CN"/>
        </w:rPr>
        <w:t>二、</w:t>
      </w:r>
      <w:r>
        <w:rPr>
          <w:rFonts w:hint="eastAsia" w:ascii="宋体" w:hAnsi="宋体" w:eastAsia="宋体" w:cs="宋体"/>
          <w:b/>
          <w:color w:val="auto"/>
          <w:sz w:val="30"/>
          <w:szCs w:val="30"/>
          <w:highlight w:val="none"/>
        </w:rPr>
        <w:t>符合参与政府采购活动的资格条件依法缴纳税收、社会保障资金等方面的材料</w:t>
      </w:r>
    </w:p>
    <w:p>
      <w:pPr>
        <w:spacing w:line="360" w:lineRule="auto"/>
        <w:rPr>
          <w:rFonts w:hint="eastAsia" w:ascii="宋体" w:hAnsi="宋体" w:eastAsia="宋体" w:cs="宋体"/>
          <w:color w:val="auto"/>
          <w:szCs w:val="21"/>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pacing w:line="360" w:lineRule="auto"/>
        <w:rPr>
          <w:rFonts w:hint="eastAsia" w:ascii="宋体" w:hAnsi="宋体" w:eastAsia="宋体" w:cs="宋体"/>
          <w:color w:val="auto"/>
          <w:szCs w:val="21"/>
          <w:highlight w:val="none"/>
        </w:rPr>
      </w:pPr>
    </w:p>
    <w:p>
      <w:pPr>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三、财务状况报告方面的材料</w:t>
      </w:r>
    </w:p>
    <w:p>
      <w:pPr>
        <w:spacing w:line="360" w:lineRule="auto"/>
        <w:rPr>
          <w:rFonts w:hint="eastAsia" w:ascii="宋体" w:hAnsi="宋体" w:eastAsia="宋体" w:cs="宋体"/>
          <w:color w:val="auto"/>
          <w:szCs w:val="21"/>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p>
    <w:p>
      <w:pPr>
        <w:snapToGrid w:val="0"/>
        <w:spacing w:before="120" w:beforeLines="50" w:after="50" w:line="360" w:lineRule="auto"/>
        <w:jc w:val="center"/>
        <w:rPr>
          <w:rFonts w:hint="eastAsia" w:ascii="宋体" w:hAnsi="宋体" w:eastAsia="宋体" w:cs="宋体"/>
          <w:b/>
          <w:color w:val="auto"/>
          <w:sz w:val="24"/>
          <w:highlight w:val="none"/>
        </w:rPr>
      </w:pPr>
    </w:p>
    <w:p>
      <w:pPr>
        <w:spacing w:line="360" w:lineRule="auto"/>
        <w:ind w:firstLine="596" w:firstLineChars="198"/>
        <w:contextualSpacing/>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spacing w:line="360" w:lineRule="auto"/>
        <w:ind w:firstLine="596" w:firstLineChars="198"/>
        <w:contextualSpacing/>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四、供应商直接控股股东信息</w:t>
      </w:r>
    </w:p>
    <w:p>
      <w:pPr>
        <w:spacing w:line="360" w:lineRule="auto"/>
        <w:contextualSpacing/>
        <w:jc w:val="center"/>
        <w:rPr>
          <w:rFonts w:hint="eastAsia" w:ascii="宋体" w:hAnsi="宋体" w:eastAsia="宋体" w:cs="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80"/>
        <w:gridCol w:w="2655"/>
        <w:gridCol w:w="1455"/>
        <w:gridCol w:w="4287"/>
        <w:gridCol w:w="870"/>
      </w:tblGrid>
      <w:tr>
        <w:tblPrEx>
          <w:shd w:val="clear" w:color="auto" w:fill="FBFBFB"/>
          <w:tblCellMar>
            <w:top w:w="0" w:type="dxa"/>
            <w:left w:w="0" w:type="dxa"/>
            <w:bottom w:w="0" w:type="dxa"/>
            <w:right w:w="0" w:type="dxa"/>
          </w:tblCellMar>
        </w:tblPrEx>
        <w:trPr>
          <w:tblHeade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直接控股股东名称</w:t>
            </w: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出资比例</w:t>
            </w: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身份证号码或者统一社会信用代码</w:t>
            </w: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tblCellMar>
            <w:top w:w="0" w:type="dxa"/>
            <w:left w:w="0" w:type="dxa"/>
            <w:bottom w:w="0" w:type="dxa"/>
            <w:right w:w="0" w:type="dxa"/>
          </w:tblCellMar>
        </w:tblPrEx>
        <w:trPr>
          <w:jc w:val="center"/>
        </w:trPr>
        <w:tc>
          <w:tcPr>
            <w:tcW w:w="88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26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4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4287"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87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bl>
    <w:p>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直接控股股东：是指其出资额占有限责任公司资本总额百分之五十以上或者其持有的股份占股份有限公司股份总额百分之五十以上的股东；出资额或者持有股份的比例虽然不足百分之五十，但依其出资额或者持有的股份所享有的表决权已足以对股东会、股东大会的决议产生重大影响的股东。</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2.本表所指的控股关系仅限于直接控股关系，不包括间接的控股关系。公司实际控制人与公司之间的关系不属于本表所指的直接控股关系。</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3.供应商不存在直接控股股东的，则填“无”。</w:t>
      </w:r>
    </w:p>
    <w:p>
      <w:pPr>
        <w:snapToGrid w:val="0"/>
        <w:spacing w:line="360" w:lineRule="auto"/>
        <w:jc w:val="left"/>
        <w:rPr>
          <w:rFonts w:hint="eastAsia" w:ascii="宋体" w:hAnsi="宋体" w:eastAsia="宋体" w:cs="宋体"/>
          <w:color w:val="auto"/>
          <w:sz w:val="24"/>
          <w:highlight w:val="none"/>
        </w:rPr>
      </w:pPr>
    </w:p>
    <w:p>
      <w:pPr>
        <w:snapToGrid w:val="0"/>
        <w:spacing w:line="360" w:lineRule="auto"/>
        <w:jc w:val="left"/>
        <w:rPr>
          <w:rFonts w:hint="eastAsia" w:ascii="宋体" w:hAnsi="宋体" w:eastAsia="宋体" w:cs="宋体"/>
          <w:color w:val="auto"/>
          <w:sz w:val="24"/>
          <w:highlight w:val="none"/>
        </w:rPr>
      </w:pPr>
    </w:p>
    <w:p>
      <w:pPr>
        <w:snapToGrid w:val="0"/>
        <w:spacing w:line="360" w:lineRule="auto"/>
        <w:jc w:val="left"/>
        <w:rPr>
          <w:rFonts w:hint="eastAsia" w:ascii="宋体" w:hAnsi="宋体" w:eastAsia="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napToGrid w:val="0"/>
        <w:spacing w:line="360" w:lineRule="auto"/>
        <w:rPr>
          <w:rFonts w:hint="eastAsia" w:ascii="宋体" w:hAnsi="宋体" w:eastAsia="宋体" w:cs="宋体"/>
          <w:b/>
          <w:color w:val="auto"/>
          <w:kern w:val="0"/>
          <w:sz w:val="30"/>
          <w:szCs w:val="30"/>
          <w:highlight w:val="none"/>
        </w:rPr>
      </w:pPr>
    </w:p>
    <w:p>
      <w:pPr>
        <w:snapToGrid w:val="0"/>
        <w:spacing w:line="360" w:lineRule="auto"/>
        <w:ind w:firstLine="596" w:firstLineChars="198"/>
        <w:rPr>
          <w:rFonts w:hint="eastAsia" w:ascii="宋体" w:hAnsi="宋体" w:eastAsia="宋体" w:cs="宋体"/>
          <w:b/>
          <w:color w:val="auto"/>
          <w:kern w:val="0"/>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snapToGrid w:val="0"/>
        <w:spacing w:line="360" w:lineRule="auto"/>
        <w:ind w:firstLine="596" w:firstLineChars="198"/>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五、供应商直接管理关系信息表</w:t>
      </w:r>
    </w:p>
    <w:p>
      <w:pPr>
        <w:snapToGrid w:val="0"/>
        <w:spacing w:line="360" w:lineRule="auto"/>
        <w:jc w:val="center"/>
        <w:rPr>
          <w:rFonts w:hint="eastAsia" w:ascii="宋体" w:hAnsi="宋体" w:eastAsia="宋体" w:cs="宋体"/>
          <w:b/>
          <w:color w:val="auto"/>
          <w:sz w:val="24"/>
          <w:highlight w:val="none"/>
        </w:rPr>
      </w:pPr>
    </w:p>
    <w:tbl>
      <w:tblPr>
        <w:tblStyle w:val="24"/>
        <w:tblW w:w="0" w:type="auto"/>
        <w:jc w:val="center"/>
        <w:shd w:val="clear" w:color="auto" w:fill="FBFBFB"/>
        <w:tblLayout w:type="fixed"/>
        <w:tblCellMar>
          <w:top w:w="0" w:type="dxa"/>
          <w:left w:w="0" w:type="dxa"/>
          <w:bottom w:w="0" w:type="dxa"/>
          <w:right w:w="0" w:type="dxa"/>
        </w:tblCellMar>
      </w:tblPr>
      <w:tblGrid>
        <w:gridCol w:w="808"/>
        <w:gridCol w:w="3600"/>
        <w:gridCol w:w="3555"/>
        <w:gridCol w:w="1689"/>
      </w:tblGrid>
      <w:tr>
        <w:tblPrEx>
          <w:shd w:val="clear" w:color="auto" w:fill="FBFBFB"/>
          <w:tblCellMar>
            <w:top w:w="0" w:type="dxa"/>
            <w:left w:w="0" w:type="dxa"/>
            <w:bottom w:w="0" w:type="dxa"/>
            <w:right w:w="0" w:type="dxa"/>
          </w:tblCellMar>
        </w:tblPrEx>
        <w:trPr>
          <w:tblHeade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序号</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直接管理关系单位名称</w:t>
            </w: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统一社会信用代码</w:t>
            </w: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备注</w:t>
            </w: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r>
        <w:tblPrEx>
          <w:shd w:val="clear" w:color="auto" w:fill="FBFBFB"/>
          <w:tblCellMar>
            <w:top w:w="0" w:type="dxa"/>
            <w:left w:w="0" w:type="dxa"/>
            <w:bottom w:w="0" w:type="dxa"/>
            <w:right w:w="0" w:type="dxa"/>
          </w:tblCellMar>
        </w:tblPrEx>
        <w:trPr>
          <w:jc w:val="center"/>
        </w:trPr>
        <w:tc>
          <w:tcPr>
            <w:tcW w:w="808"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w:t>
            </w:r>
          </w:p>
        </w:tc>
        <w:tc>
          <w:tcPr>
            <w:tcW w:w="3600"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3555"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c>
          <w:tcPr>
            <w:tcW w:w="1689" w:type="dxa"/>
            <w:tcBorders>
              <w:top w:val="single" w:color="auto" w:sz="4" w:space="0"/>
              <w:left w:val="single" w:color="auto" w:sz="4" w:space="0"/>
              <w:bottom w:val="single" w:color="auto" w:sz="4" w:space="0"/>
              <w:right w:val="single" w:color="auto" w:sz="4" w:space="0"/>
            </w:tcBorders>
            <w:shd w:val="clear" w:color="auto" w:fill="auto"/>
            <w:noWrap w:val="0"/>
            <w:tcMar>
              <w:top w:w="120" w:type="dxa"/>
              <w:left w:w="120" w:type="dxa"/>
              <w:bottom w:w="120" w:type="dxa"/>
              <w:right w:w="120" w:type="dxa"/>
            </w:tcMar>
            <w:vAlign w:val="center"/>
          </w:tcPr>
          <w:p>
            <w:pPr>
              <w:widowControl/>
              <w:spacing w:line="360" w:lineRule="auto"/>
              <w:contextualSpacing/>
              <w:jc w:val="center"/>
              <w:rPr>
                <w:rFonts w:hint="eastAsia" w:ascii="宋体" w:hAnsi="宋体" w:eastAsia="宋体" w:cs="宋体"/>
                <w:color w:val="auto"/>
                <w:kern w:val="0"/>
                <w:sz w:val="24"/>
                <w:highlight w:val="none"/>
              </w:rPr>
            </w:pPr>
          </w:p>
        </w:tc>
      </w:tr>
    </w:tbl>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1.管理关系：是指不具有出资持股关系的其他单位之间存在的管理与被管理关系，如一些上下级关系的事业单位和团体组织。</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2.本表所指的管理关系仅限于直接管理关系，不包括间接的管理关系。</w:t>
      </w:r>
    </w:p>
    <w:p>
      <w:pPr>
        <w:spacing w:line="360" w:lineRule="auto"/>
        <w:ind w:firstLine="480" w:firstLineChars="200"/>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3.供应商不存在直接管理关系的，则填“无”。</w:t>
      </w:r>
    </w:p>
    <w:p>
      <w:pPr>
        <w:spacing w:line="360" w:lineRule="auto"/>
        <w:contextualSpacing/>
        <w:jc w:val="left"/>
        <w:rPr>
          <w:rFonts w:hint="eastAsia" w:ascii="宋体" w:hAnsi="宋体" w:eastAsia="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pacing w:line="360" w:lineRule="auto"/>
        <w:ind w:right="480" w:firstLine="240" w:firstLineChars="100"/>
        <w:contextualSpacing/>
        <w:jc w:val="center"/>
        <w:rPr>
          <w:rFonts w:hint="eastAsia" w:ascii="宋体" w:hAnsi="宋体" w:eastAsia="宋体" w:cs="宋体"/>
          <w:color w:val="auto"/>
          <w:sz w:val="28"/>
          <w:szCs w:val="28"/>
          <w:highlight w:val="none"/>
        </w:rPr>
      </w:pPr>
      <w:r>
        <w:rPr>
          <w:rFonts w:hint="eastAsia" w:ascii="宋体" w:hAnsi="宋体" w:eastAsia="宋体" w:cs="宋体"/>
          <w:color w:val="auto"/>
          <w:sz w:val="24"/>
          <w:highlight w:val="none"/>
        </w:rPr>
        <w:t xml:space="preserve">                                  </w:t>
      </w:r>
    </w:p>
    <w:p>
      <w:pPr>
        <w:spacing w:line="360" w:lineRule="auto"/>
        <w:ind w:firstLine="560" w:firstLineChars="200"/>
        <w:jc w:val="lef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r>
        <w:rPr>
          <w:rFonts w:hint="eastAsia" w:ascii="宋体" w:hAnsi="宋体" w:eastAsia="宋体" w:cs="宋体"/>
          <w:b/>
          <w:color w:val="auto"/>
          <w:kern w:val="0"/>
          <w:sz w:val="30"/>
          <w:szCs w:val="30"/>
          <w:highlight w:val="none"/>
        </w:rPr>
        <w:t>六、资格声明函</w:t>
      </w:r>
    </w:p>
    <w:p>
      <w:pPr>
        <w:spacing w:line="360" w:lineRule="auto"/>
        <w:jc w:val="center"/>
        <w:rPr>
          <w:rFonts w:hint="eastAsia" w:ascii="宋体" w:hAnsi="宋体" w:eastAsia="宋体" w:cs="宋体"/>
          <w:b/>
          <w:color w:val="auto"/>
          <w:sz w:val="32"/>
          <w:szCs w:val="32"/>
          <w:highlight w:val="none"/>
        </w:rPr>
      </w:pPr>
    </w:p>
    <w:p>
      <w:pPr>
        <w:spacing w:line="360" w:lineRule="auto"/>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资格声明函</w:t>
      </w:r>
    </w:p>
    <w:p>
      <w:pPr>
        <w:spacing w:line="360" w:lineRule="auto"/>
        <w:jc w:val="center"/>
        <w:rPr>
          <w:rFonts w:hint="eastAsia" w:ascii="宋体" w:hAnsi="宋体" w:eastAsia="宋体" w:cs="宋体"/>
          <w:color w:val="auto"/>
          <w:sz w:val="24"/>
          <w:szCs w:val="20"/>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（采购代理机构名称）</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系中华人民共和国合法供应商，经营地址</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我方愿意参加贵方组织的</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隆安县那桐镇浪湾片区集中供水改造工程</w:t>
      </w:r>
      <w:r>
        <w:rPr>
          <w:rFonts w:hint="eastAsia" w:ascii="宋体" w:hAnsi="宋体" w:cs="宋体"/>
          <w:color w:val="auto"/>
          <w:sz w:val="24"/>
          <w:highlight w:val="none"/>
          <w:u w:val="single"/>
          <w:lang w:val="en-US" w:eastAsia="zh-CN"/>
        </w:rPr>
        <w:t xml:space="preserve"> </w:t>
      </w:r>
      <w:r>
        <w:rPr>
          <w:rFonts w:hint="eastAsia" w:ascii="宋体" w:hAnsi="宋体" w:eastAsia="宋体" w:cs="宋体"/>
          <w:color w:val="auto"/>
          <w:sz w:val="24"/>
          <w:highlight w:val="none"/>
        </w:rPr>
        <w:t>项目的竞标，为便于贵方公正、择优</w:t>
      </w:r>
      <w:r>
        <w:rPr>
          <w:rFonts w:hint="eastAsia" w:ascii="宋体" w:hAnsi="宋体" w:cs="宋体"/>
          <w:color w:val="auto"/>
          <w:sz w:val="24"/>
          <w:highlight w:val="none"/>
          <w:lang w:val="en-US" w:eastAsia="zh-CN"/>
        </w:rPr>
        <w:t>的</w:t>
      </w:r>
      <w:r>
        <w:rPr>
          <w:rFonts w:hint="eastAsia" w:ascii="宋体" w:hAnsi="宋体" w:eastAsia="宋体" w:cs="宋体"/>
          <w:color w:val="auto"/>
          <w:sz w:val="24"/>
          <w:highlight w:val="none"/>
        </w:rPr>
        <w:t>确定成交供应商及其竞标产品和服务，我方就本次竞标有关事项郑重声明如下：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1.我方向贵方提交的所有响应文件、资料都是准确的和真实的。</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2.我方不是为本次采购项目提供整体设计、规范编制或者项目管理、监理、检测等服务的供应商；在获知本项目采购信息后，与采购人聘请的为此项目提供咨询服务的公司及其附属机构没有任何联系。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3.在此，我方宣布同意如下：</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（1）将按磋商文件的约定履行合同责任和义务；</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（2）已详细审查全部磋商文件，包括澄清或者更正公告（如有）；</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（3）同意提供按照贵方可能要求的与谈判有关的一切数据或者资料；</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（4）响应磋商文件规定的竞标有效期。</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4.我方承诺符合《中华人民共和国政府采购法》第二十二条规定：</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（1）具有独立承担民事责任的能力；</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（2）具有良好的商业信誉和健全的财务会计制度；</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（3）具有履行合同所必需的设备和专业技术能力；</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（4）有依法缴纳税收和社会保障资金的良好记录；</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（5）参加政府采购活动前三年内，在经营活动中没有重大违法记录；</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（6）法律、行政法规规定的其他条件。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我方在此声明，我方在参加本项目的政府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根据《中华人民共和国政府采购法实施条例》第五十条要求对政府采购合同进行公告，但政府采购合同中涉及国家秘密、商业秘密的内容除外。我方就对本次响应文件进行注明如下：（两项内容中必须选择一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内容中</w:t>
      </w:r>
      <w:r>
        <w:rPr>
          <w:rFonts w:hint="eastAsia" w:ascii="宋体" w:hAnsi="宋体" w:eastAsia="宋体" w:cs="宋体"/>
          <w:color w:val="auto"/>
          <w:sz w:val="24"/>
          <w:highlight w:val="none"/>
        </w:rPr>
        <w:t>未</w:t>
      </w:r>
      <w:r>
        <w:rPr>
          <w:rFonts w:hint="eastAsia" w:ascii="宋体" w:hAnsi="宋体" w:eastAsia="宋体" w:cs="宋体"/>
          <w:color w:val="auto"/>
          <w:kern w:val="0"/>
          <w:sz w:val="24"/>
          <w:highlight w:val="none"/>
        </w:rPr>
        <w:t>涉及商业秘密；</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□我方本次响应文件</w:t>
      </w:r>
      <w:r>
        <w:rPr>
          <w:rFonts w:hint="eastAsia" w:ascii="宋体" w:hAnsi="宋体" w:eastAsia="宋体" w:cs="宋体"/>
          <w:color w:val="auto"/>
          <w:kern w:val="0"/>
          <w:sz w:val="24"/>
          <w:highlight w:val="none"/>
        </w:rPr>
        <w:t>涉及商业秘密的内容有：</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w:t>
      </w:r>
    </w:p>
    <w:p>
      <w:pPr>
        <w:pStyle w:val="16"/>
        <w:spacing w:line="360" w:lineRule="auto"/>
        <w:ind w:firstLine="480" w:firstLineChars="200"/>
        <w:contextualSpacing/>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7.与本</w:t>
      </w:r>
      <w:r>
        <w:rPr>
          <w:rFonts w:hint="eastAsia" w:ascii="宋体" w:hAnsi="宋体" w:eastAsia="宋体" w:cs="宋体"/>
          <w:color w:val="auto"/>
          <w:sz w:val="24"/>
          <w:szCs w:val="24"/>
          <w:highlight w:val="none"/>
          <w:lang w:eastAsia="zh-CN"/>
        </w:rPr>
        <w:t>磋商</w:t>
      </w:r>
      <w:r>
        <w:rPr>
          <w:rFonts w:hint="eastAsia" w:ascii="宋体" w:hAnsi="宋体" w:eastAsia="宋体" w:cs="宋体"/>
          <w:color w:val="auto"/>
          <w:sz w:val="24"/>
          <w:szCs w:val="24"/>
          <w:highlight w:val="none"/>
        </w:rPr>
        <w:t>有关的一切正式往来信函请寄：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邮政编号：</w:t>
      </w:r>
      <w:r>
        <w:rPr>
          <w:rFonts w:hint="eastAsia" w:ascii="宋体" w:hAnsi="宋体" w:eastAsia="宋体" w:cs="宋体"/>
          <w:color w:val="auto"/>
          <w:sz w:val="24"/>
          <w:szCs w:val="24"/>
          <w:highlight w:val="none"/>
          <w:u w:val="single"/>
        </w:rPr>
        <w:t xml:space="preserve">        </w:t>
      </w:r>
    </w:p>
    <w:p>
      <w:pPr>
        <w:pStyle w:val="16"/>
        <w:spacing w:line="360" w:lineRule="auto"/>
        <w:ind w:firstLine="480" w:firstLineChars="200"/>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电话/传真：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电子函件：</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    </w:t>
      </w:r>
    </w:p>
    <w:p>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开户银行：</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帐号：</w:t>
      </w:r>
      <w:r>
        <w:rPr>
          <w:rFonts w:hint="eastAsia" w:ascii="宋体" w:hAnsi="宋体" w:eastAsia="宋体" w:cs="宋体"/>
          <w:color w:val="auto"/>
          <w:sz w:val="24"/>
          <w:highlight w:val="none"/>
          <w:u w:val="single"/>
        </w:rPr>
        <w:t xml:space="preserve">                               </w:t>
      </w:r>
    </w:p>
    <w:p>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8.以上事项如有虚假或者隐瞒，我方愿意承担一切后果，并不再寻求任何旨在减轻或者免除法律责任的辩解。</w:t>
      </w:r>
    </w:p>
    <w:p>
      <w:pPr>
        <w:pStyle w:val="15"/>
        <w:tabs>
          <w:tab w:val="left" w:pos="939"/>
        </w:tabs>
        <w:spacing w:line="360" w:lineRule="auto"/>
        <w:ind w:left="141" w:leftChars="67" w:firstLine="360" w:firstLineChars="150"/>
        <w:rPr>
          <w:rFonts w:hint="eastAsia" w:ascii="宋体" w:hAnsi="宋体" w:eastAsia="宋体" w:cs="宋体"/>
          <w:color w:val="auto"/>
          <w:sz w:val="24"/>
          <w:highlight w:val="none"/>
        </w:rPr>
      </w:pPr>
      <w:r>
        <w:rPr>
          <w:rFonts w:hint="eastAsia" w:ascii="宋体" w:hAnsi="宋体" w:eastAsia="宋体" w:cs="宋体"/>
          <w:color w:val="auto"/>
          <w:sz w:val="24"/>
          <w:highlight w:val="none"/>
        </w:rPr>
        <w:t>特此承诺。</w:t>
      </w:r>
    </w:p>
    <w:p>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注：如为联合体竞标，盖章处须加盖联合体各方公章并由联合体各方法定代表人签署，否则其响应文件按无效响应处理。</w:t>
      </w:r>
    </w:p>
    <w:p>
      <w:pPr>
        <w:pStyle w:val="15"/>
        <w:tabs>
          <w:tab w:val="left" w:pos="939"/>
        </w:tabs>
        <w:spacing w:line="360" w:lineRule="auto"/>
        <w:ind w:left="0" w:leftChars="0" w:firstLine="480" w:firstLineChars="200"/>
        <w:rPr>
          <w:rFonts w:hint="eastAsia" w:ascii="宋体" w:hAnsi="宋体" w:eastAsia="宋体" w:cs="宋体"/>
          <w:color w:val="auto"/>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kern w:val="0"/>
          <w:sz w:val="24"/>
          <w:highlight w:val="none"/>
          <w:lang w:val="zh-CN"/>
        </w:rPr>
        <w:t>日期：  年  月   日</w:t>
      </w:r>
    </w:p>
    <w:p>
      <w:pPr>
        <w:pStyle w:val="8"/>
        <w:overflowPunct w:val="0"/>
        <w:spacing w:line="360" w:lineRule="auto"/>
        <w:ind w:firstLine="0"/>
        <w:rPr>
          <w:rFonts w:hint="eastAsia" w:ascii="宋体" w:hAnsi="宋体" w:eastAsia="宋体" w:cs="宋体"/>
          <w:b/>
          <w:bCs/>
          <w:color w:val="auto"/>
          <w:sz w:val="32"/>
          <w:szCs w:val="32"/>
          <w:highlight w:val="none"/>
        </w:rPr>
      </w:pPr>
      <w:r>
        <w:rPr>
          <w:rFonts w:hint="eastAsia" w:ascii="宋体" w:hAnsi="宋体" w:eastAsia="宋体" w:cs="宋体"/>
          <w:b/>
          <w:color w:val="auto"/>
          <w:kern w:val="0"/>
          <w:sz w:val="30"/>
          <w:szCs w:val="30"/>
          <w:highlight w:val="none"/>
        </w:rPr>
        <w:t>七、联合体协议书（如有）</w:t>
      </w:r>
    </w:p>
    <w:p>
      <w:pPr>
        <w:pStyle w:val="16"/>
        <w:spacing w:line="360" w:lineRule="auto"/>
        <w:jc w:val="center"/>
        <w:rPr>
          <w:rFonts w:hint="eastAsia" w:ascii="宋体" w:hAnsi="宋体" w:eastAsia="宋体" w:cs="宋体"/>
          <w:color w:val="auto"/>
          <w:kern w:val="2"/>
          <w:sz w:val="44"/>
          <w:szCs w:val="44"/>
          <w:highlight w:val="none"/>
          <w:lang w:val="en-US" w:eastAsia="zh-CN"/>
        </w:rPr>
      </w:pPr>
    </w:p>
    <w:p>
      <w:pPr>
        <w:pStyle w:val="16"/>
        <w:spacing w:line="360" w:lineRule="auto"/>
        <w:jc w:val="center"/>
        <w:rPr>
          <w:rFonts w:hint="eastAsia" w:ascii="宋体" w:hAnsi="宋体" w:eastAsia="宋体" w:cs="宋体"/>
          <w:color w:val="auto"/>
          <w:kern w:val="2"/>
          <w:sz w:val="44"/>
          <w:szCs w:val="44"/>
          <w:highlight w:val="none"/>
          <w:lang w:val="en-US" w:eastAsia="zh-CN"/>
        </w:rPr>
      </w:pPr>
      <w:r>
        <w:rPr>
          <w:rFonts w:hint="eastAsia" w:ascii="宋体" w:hAnsi="宋体" w:eastAsia="宋体" w:cs="宋体"/>
          <w:color w:val="auto"/>
          <w:kern w:val="2"/>
          <w:sz w:val="44"/>
          <w:szCs w:val="44"/>
          <w:highlight w:val="none"/>
          <w:lang w:val="en-US" w:eastAsia="zh-CN"/>
        </w:rPr>
        <w:t>联合体竞标协议书（格式）</w:t>
      </w:r>
    </w:p>
    <w:p>
      <w:pPr>
        <w:autoSpaceDE w:val="0"/>
        <w:autoSpaceDN w:val="0"/>
        <w:adjustRightInd w:val="0"/>
        <w:spacing w:line="360" w:lineRule="auto"/>
        <w:jc w:val="left"/>
        <w:rPr>
          <w:rFonts w:hint="eastAsia" w:ascii="宋体" w:hAnsi="宋体" w:eastAsia="宋体" w:cs="宋体"/>
          <w:color w:val="auto"/>
          <w:kern w:val="0"/>
          <w:szCs w:val="21"/>
          <w:highlight w:val="none"/>
          <w:u w:val="single"/>
        </w:rPr>
      </w:pP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（所有成员单位名称）自愿组成联合体，共同参加</w:t>
      </w:r>
      <w:r>
        <w:rPr>
          <w:rFonts w:hint="eastAsia" w:ascii="宋体" w:hAnsi="宋体" w:eastAsia="宋体" w:cs="宋体"/>
          <w:color w:val="auto"/>
          <w:kern w:val="0"/>
          <w:sz w:val="24"/>
          <w:highlight w:val="none"/>
          <w:u w:val="single"/>
        </w:rPr>
        <w:t xml:space="preserve">     （采购代理机构名称）    </w:t>
      </w:r>
      <w:r>
        <w:rPr>
          <w:rFonts w:hint="eastAsia" w:ascii="宋体" w:hAnsi="宋体" w:eastAsia="宋体" w:cs="宋体"/>
          <w:color w:val="auto"/>
          <w:kern w:val="0"/>
          <w:sz w:val="24"/>
          <w:highlight w:val="none"/>
        </w:rPr>
        <w:t>组织的</w:t>
      </w:r>
      <w:r>
        <w:rPr>
          <w:rFonts w:hint="eastAsia" w:ascii="宋体" w:hAnsi="宋体" w:eastAsia="宋体" w:cs="宋体"/>
          <w:color w:val="auto"/>
          <w:kern w:val="0"/>
          <w:sz w:val="24"/>
          <w:highlight w:val="none"/>
          <w:u w:val="single"/>
        </w:rPr>
        <w:t xml:space="preserve">         （项目名称）         </w:t>
      </w:r>
      <w:r>
        <w:rPr>
          <w:rFonts w:hint="eastAsia" w:ascii="宋体" w:hAnsi="宋体" w:eastAsia="宋体" w:cs="宋体"/>
          <w:color w:val="auto"/>
          <w:kern w:val="0"/>
          <w:sz w:val="24"/>
          <w:highlight w:val="none"/>
        </w:rPr>
        <w:t>（项目编号：</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）竞争性磋商采购。现就联合体竞标事宜订立如下协议：</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color w:val="auto"/>
          <w:sz w:val="24"/>
          <w:highlight w:val="none"/>
        </w:rPr>
        <w:t>________________________</w:t>
      </w:r>
      <w:r>
        <w:rPr>
          <w:rFonts w:hint="eastAsia" w:ascii="宋体" w:hAnsi="宋体" w:eastAsia="宋体" w:cs="宋体"/>
          <w:color w:val="auto"/>
          <w:kern w:val="0"/>
          <w:sz w:val="24"/>
          <w:highlight w:val="none"/>
        </w:rPr>
        <w:t>（某成员单位名称）为联合体名称牵头人。</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联合体牵头人合法代表联合体各成员负责本磋商项目响应文件编制和合同谈判活动，并代表联合体提交和接收相关的资料、信息及指示，并处理与之有关的一切事务，负责合同实施阶段的主办、组织和协调工作。</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3、联合体牵头人在本项目中签署和盖章的一切文件和处理的一切事宜，联合体各成员均予以承认。 联合体各成员将严格按照磋商文件、响应文件和合同的要求全面履行义务，并向采购人承担连带责任。</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u w:val="none"/>
        </w:rPr>
      </w:pPr>
      <w:r>
        <w:rPr>
          <w:rFonts w:hint="eastAsia" w:ascii="宋体" w:hAnsi="宋体" w:eastAsia="宋体" w:cs="宋体"/>
          <w:color w:val="auto"/>
          <w:kern w:val="0"/>
          <w:sz w:val="24"/>
          <w:highlight w:val="none"/>
        </w:rPr>
        <w:t>4、联合体各成员单位内部的职责分工如下</w:t>
      </w:r>
      <w:r>
        <w:rPr>
          <w:rFonts w:hint="eastAsia" w:ascii="宋体" w:hAnsi="宋体" w:eastAsia="宋体" w:cs="宋体"/>
          <w:color w:val="auto"/>
          <w:kern w:val="0"/>
          <w:sz w:val="24"/>
          <w:highlight w:val="none"/>
          <w:u w:val="single"/>
        </w:rPr>
        <w:t>：</w:t>
      </w:r>
      <w:r>
        <w:rPr>
          <w:rFonts w:hint="eastAsia" w:ascii="宋体" w:hAnsi="宋体" w:eastAsia="宋体" w:cs="宋体"/>
          <w:color w:val="auto"/>
          <w:sz w:val="24"/>
          <w:highlight w:val="none"/>
          <w:u w:val="none"/>
        </w:rPr>
        <w:t>________________________________________________</w:t>
      </w:r>
      <w:r>
        <w:rPr>
          <w:rFonts w:hint="eastAsia" w:ascii="宋体" w:hAnsi="宋体" w:eastAsia="宋体" w:cs="宋体"/>
          <w:color w:val="auto"/>
          <w:kern w:val="0"/>
          <w:sz w:val="24"/>
          <w:highlight w:val="none"/>
          <w:u w:val="none"/>
        </w:rPr>
        <w:t>。</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none"/>
        </w:rPr>
        <w:t>5、本联合体中，</w:t>
      </w:r>
      <w:r>
        <w:rPr>
          <w:rFonts w:hint="eastAsia" w:ascii="宋体" w:hAnsi="宋体" w:eastAsia="宋体" w:cs="宋体"/>
          <w:color w:val="auto"/>
          <w:sz w:val="24"/>
          <w:highlight w:val="none"/>
          <w:u w:val="none"/>
        </w:rPr>
        <w:t>________________________</w:t>
      </w:r>
      <w:r>
        <w:rPr>
          <w:rFonts w:hint="eastAsia" w:ascii="宋体" w:hAnsi="宋体" w:eastAsia="宋体" w:cs="宋体"/>
          <w:color w:val="auto"/>
          <w:sz w:val="24"/>
          <w:szCs w:val="24"/>
          <w:highlight w:val="none"/>
          <w:u w:val="none"/>
        </w:rPr>
        <w:t>（某成员单位名称）为______（请填写：中型、小型、微型）企业，其协议合同金额占联合体协议合同总金额的______%</w:t>
      </w:r>
      <w:r>
        <w:rPr>
          <w:rFonts w:hint="eastAsia" w:ascii="宋体" w:hAnsi="宋体" w:eastAsia="宋体" w:cs="宋体"/>
          <w:color w:val="auto"/>
          <w:sz w:val="24"/>
          <w:szCs w:val="24"/>
          <w:highlight w:val="none"/>
        </w:rPr>
        <w:t>。【如联合体成员中有小型、微型企业的，请填写此条，否则无需填写；如联合体成员中有多个小型、微型企业的，请逐一列出。】</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6、本协议书自签署之日起生效，合同履行完毕后自动失效。</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7、本协议书一式</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份，联合体成员和采购代理机构各执一份。</w:t>
      </w:r>
    </w:p>
    <w:p>
      <w:pPr>
        <w:autoSpaceDE w:val="0"/>
        <w:autoSpaceDN w:val="0"/>
        <w:adjustRightInd w:val="0"/>
        <w:spacing w:line="360" w:lineRule="auto"/>
        <w:ind w:firstLine="42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注：本协议书由法定代表人签字的，应附法定代表人身份证明；本协议书由委托代理人签字的，应附法定代表人授权委托书。</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牵头人名称：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pPr>
        <w:autoSpaceDE w:val="0"/>
        <w:autoSpaceDN w:val="0"/>
        <w:adjustRightInd w:val="0"/>
        <w:spacing w:line="360" w:lineRule="auto"/>
        <w:jc w:val="left"/>
        <w:rPr>
          <w:rFonts w:hint="eastAsia" w:ascii="宋体" w:hAnsi="宋体" w:eastAsia="宋体" w:cs="宋体"/>
          <w:color w:val="auto"/>
          <w:kern w:val="0"/>
          <w:sz w:val="24"/>
          <w:highlight w:val="none"/>
        </w:rPr>
      </w:pP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成员一名称：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（签字或盖章）</w:t>
      </w:r>
    </w:p>
    <w:p>
      <w:pPr>
        <w:autoSpaceDE w:val="0"/>
        <w:autoSpaceDN w:val="0"/>
        <w:adjustRightInd w:val="0"/>
        <w:spacing w:line="360" w:lineRule="auto"/>
        <w:jc w:val="left"/>
        <w:rPr>
          <w:rFonts w:hint="eastAsia" w:ascii="宋体" w:hAnsi="宋体" w:eastAsia="宋体" w:cs="宋体"/>
          <w:color w:val="auto"/>
          <w:kern w:val="0"/>
          <w:szCs w:val="21"/>
          <w:highlight w:val="none"/>
        </w:rPr>
      </w:pP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成员二名称：</w:t>
      </w:r>
      <w:r>
        <w:rPr>
          <w:rFonts w:hint="eastAsia" w:ascii="宋体" w:hAnsi="宋体" w:eastAsia="宋体" w:cs="宋体"/>
          <w:color w:val="auto"/>
          <w:kern w:val="0"/>
          <w:sz w:val="24"/>
          <w:highlight w:val="none"/>
          <w:u w:val="single"/>
        </w:rPr>
        <w:t xml:space="preserve">                                       </w:t>
      </w:r>
      <w:r>
        <w:rPr>
          <w:rFonts w:hint="eastAsia" w:ascii="宋体" w:hAnsi="宋体" w:eastAsia="宋体" w:cs="宋体"/>
          <w:color w:val="auto"/>
          <w:kern w:val="0"/>
          <w:sz w:val="24"/>
          <w:highlight w:val="none"/>
        </w:rPr>
        <w:t>（盖单位公章）</w:t>
      </w:r>
    </w:p>
    <w:p>
      <w:pPr>
        <w:autoSpaceDE w:val="0"/>
        <w:autoSpaceDN w:val="0"/>
        <w:adjustRightInd w:val="0"/>
        <w:spacing w:line="360" w:lineRule="auto"/>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法定代表人或其委托代理人：                         （签字或盖章）</w:t>
      </w:r>
    </w:p>
    <w:p>
      <w:pPr>
        <w:autoSpaceDE w:val="0"/>
        <w:autoSpaceDN w:val="0"/>
        <w:adjustRightInd w:val="0"/>
        <w:spacing w:line="360" w:lineRule="auto"/>
        <w:jc w:val="left"/>
        <w:rPr>
          <w:rFonts w:hint="eastAsia" w:ascii="宋体" w:hAnsi="宋体" w:eastAsia="宋体" w:cs="宋体"/>
          <w:color w:val="auto"/>
          <w:kern w:val="0"/>
          <w:sz w:val="24"/>
          <w:highlight w:val="none"/>
        </w:rPr>
      </w:pPr>
    </w:p>
    <w:p>
      <w:pPr>
        <w:autoSpaceDE w:val="0"/>
        <w:autoSpaceDN w:val="0"/>
        <w:adjustRightInd w:val="0"/>
        <w:spacing w:line="360" w:lineRule="auto"/>
        <w:jc w:val="left"/>
        <w:rPr>
          <w:rFonts w:hint="eastAsia" w:ascii="宋体" w:hAnsi="宋体" w:eastAsia="宋体" w:cs="宋体"/>
          <w:color w:val="auto"/>
          <w:kern w:val="0"/>
          <w:sz w:val="24"/>
          <w:highlight w:val="none"/>
        </w:rPr>
      </w:pPr>
    </w:p>
    <w:p>
      <w:pPr>
        <w:autoSpaceDE w:val="0"/>
        <w:autoSpaceDN w:val="0"/>
        <w:spacing w:line="360" w:lineRule="auto"/>
        <w:ind w:left="4365" w:leftChars="1850" w:hanging="480" w:hangingChars="2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pStyle w:val="13"/>
        <w:rPr>
          <w:rFonts w:hint="eastAsia"/>
          <w:color w:val="auto"/>
          <w:highlight w:val="none"/>
          <w:lang w:val="zh-CN"/>
        </w:rPr>
      </w:pPr>
    </w:p>
    <w:p>
      <w:pPr>
        <w:pStyle w:val="16"/>
        <w:spacing w:line="360" w:lineRule="auto"/>
        <w:ind w:firstLine="0" w:firstLineChars="0"/>
        <w:rPr>
          <w:rFonts w:hint="default" w:ascii="宋体" w:hAnsi="宋体" w:eastAsia="宋体" w:cs="宋体"/>
          <w:b/>
          <w:color w:val="auto"/>
          <w:kern w:val="2"/>
          <w:sz w:val="30"/>
          <w:szCs w:val="30"/>
          <w:highlight w:val="none"/>
          <w:lang w:val="en-US" w:eastAsia="zh-CN"/>
        </w:rPr>
      </w:pPr>
      <w:r>
        <w:rPr>
          <w:rFonts w:hint="eastAsia" w:ascii="宋体" w:hAnsi="宋体" w:eastAsia="宋体" w:cs="宋体"/>
          <w:b/>
          <w:color w:val="auto"/>
          <w:kern w:val="2"/>
          <w:sz w:val="30"/>
          <w:szCs w:val="30"/>
          <w:highlight w:val="none"/>
          <w:lang w:val="en-US" w:eastAsia="zh-CN"/>
        </w:rPr>
        <w:t>八、中小企业声明函或残疾人福利性单位声明函或供应商属于监狱企业的证明材料</w:t>
      </w:r>
    </w:p>
    <w:p>
      <w:pPr>
        <w:spacing w:line="360" w:lineRule="auto"/>
        <w:ind w:firstLine="2200" w:firstLineChars="5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中小企业声明函（</w:t>
      </w:r>
      <w:r>
        <w:rPr>
          <w:rFonts w:hint="eastAsia" w:ascii="宋体" w:hAnsi="宋体" w:cs="宋体"/>
          <w:color w:val="auto"/>
          <w:sz w:val="44"/>
          <w:szCs w:val="44"/>
          <w:highlight w:val="none"/>
          <w:lang w:val="en-US" w:eastAsia="zh-CN"/>
        </w:rPr>
        <w:t>工程</w:t>
      </w:r>
      <w:r>
        <w:rPr>
          <w:rFonts w:hint="eastAsia" w:ascii="宋体" w:hAnsi="宋体" w:eastAsia="宋体" w:cs="宋体"/>
          <w:color w:val="auto"/>
          <w:sz w:val="44"/>
          <w:szCs w:val="44"/>
          <w:highlight w:val="none"/>
        </w:rPr>
        <w:t>）</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本公司（联合体）郑重声明，根据《政府采购促进中小企业发展管理办法》（财库﹝2020﹞46 号）的规定，本公司（联合体）参加</w:t>
      </w:r>
      <w:r>
        <w:rPr>
          <w:rFonts w:hint="eastAsia" w:ascii="宋体" w:hAnsi="宋体" w:cs="宋体"/>
          <w:color w:val="auto"/>
          <w:kern w:val="2"/>
          <w:sz w:val="24"/>
          <w:szCs w:val="24"/>
          <w:highlight w:val="none"/>
          <w:u w:val="single"/>
          <w:shd w:val="clear" w:color="auto" w:fill="FFFFFF"/>
          <w:lang w:val="en-US" w:eastAsia="zh-CN"/>
        </w:rPr>
        <w:t xml:space="preserve"> 隆安县水利局 </w:t>
      </w:r>
      <w:r>
        <w:rPr>
          <w:rFonts w:hint="eastAsia" w:ascii="宋体" w:hAnsi="宋体" w:eastAsia="宋体" w:cs="宋体"/>
          <w:color w:val="auto"/>
          <w:kern w:val="2"/>
          <w:sz w:val="24"/>
          <w:szCs w:val="24"/>
          <w:highlight w:val="none"/>
          <w:shd w:val="clear" w:color="auto" w:fill="FFFFFF"/>
          <w:lang w:val="en-US" w:eastAsia="zh-CN"/>
        </w:rPr>
        <w:t>的</w:t>
      </w:r>
      <w:r>
        <w:rPr>
          <w:rFonts w:hint="eastAsia" w:ascii="宋体" w:hAnsi="宋体" w:cs="宋体"/>
          <w:color w:val="auto"/>
          <w:kern w:val="2"/>
          <w:sz w:val="24"/>
          <w:szCs w:val="24"/>
          <w:highlight w:val="none"/>
          <w:u w:val="single"/>
          <w:shd w:val="clear" w:color="auto" w:fill="FFFFFF"/>
          <w:lang w:val="en-US" w:eastAsia="zh-CN"/>
        </w:rPr>
        <w:t xml:space="preserve"> 隆安县那桐镇浪湾片区集中供水改造工程 </w:t>
      </w:r>
      <w:r>
        <w:rPr>
          <w:rFonts w:hint="eastAsia" w:ascii="宋体" w:hAnsi="宋体" w:eastAsia="宋体" w:cs="宋体"/>
          <w:color w:val="auto"/>
          <w:kern w:val="2"/>
          <w:sz w:val="24"/>
          <w:szCs w:val="24"/>
          <w:highlight w:val="none"/>
          <w:shd w:val="clear" w:color="auto" w:fill="FFFFFF"/>
          <w:lang w:val="en-US" w:eastAsia="zh-CN"/>
        </w:rPr>
        <w:t>采购活动，工程的施工单位全部为符合政策要求的中小企业承接。相关企业（含联合体中的中小企业、签订分包意向协议的中小企业）的具体情况如下：</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1.</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w:t>
      </w:r>
      <w:r>
        <w:rPr>
          <w:rFonts w:hint="eastAsia" w:ascii="宋体" w:hAnsi="宋体" w:eastAsia="宋体" w:cs="宋体"/>
          <w:color w:val="auto"/>
          <w:kern w:val="2"/>
          <w:sz w:val="24"/>
          <w:szCs w:val="24"/>
          <w:highlight w:val="none"/>
          <w:u w:val="single"/>
          <w:shd w:val="clear" w:color="auto" w:fill="FFFFFF"/>
          <w:lang w:val="en-US" w:eastAsia="zh-CN"/>
        </w:rPr>
        <w:t>（中型企业、小型企业、微型企业）</w:t>
      </w:r>
      <w:r>
        <w:rPr>
          <w:rFonts w:hint="eastAsia" w:ascii="宋体" w:hAnsi="宋体" w:eastAsia="宋体" w:cs="宋体"/>
          <w:color w:val="auto"/>
          <w:kern w:val="2"/>
          <w:sz w:val="24"/>
          <w:szCs w:val="24"/>
          <w:highlight w:val="none"/>
          <w:shd w:val="clear" w:color="auto" w:fill="FFFFFF"/>
          <w:lang w:val="en-US" w:eastAsia="zh-CN"/>
        </w:rPr>
        <w:t>；</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2.</w:t>
      </w:r>
      <w:r>
        <w:rPr>
          <w:rFonts w:hint="eastAsia" w:ascii="宋体" w:hAnsi="宋体" w:eastAsia="宋体" w:cs="宋体"/>
          <w:color w:val="auto"/>
          <w:kern w:val="2"/>
          <w:sz w:val="24"/>
          <w:szCs w:val="24"/>
          <w:highlight w:val="none"/>
          <w:u w:val="single"/>
          <w:shd w:val="clear" w:color="auto" w:fill="FFFFFF"/>
          <w:lang w:val="en-US" w:eastAsia="zh-CN"/>
        </w:rPr>
        <w:t>（标的名称）</w:t>
      </w:r>
      <w:r>
        <w:rPr>
          <w:rFonts w:hint="eastAsia" w:ascii="宋体" w:hAnsi="宋体" w:eastAsia="宋体" w:cs="宋体"/>
          <w:color w:val="auto"/>
          <w:kern w:val="2"/>
          <w:sz w:val="24"/>
          <w:szCs w:val="24"/>
          <w:highlight w:val="none"/>
          <w:shd w:val="clear" w:color="auto" w:fill="FFFFFF"/>
          <w:lang w:val="en-US" w:eastAsia="zh-CN"/>
        </w:rPr>
        <w:t>，属于</w:t>
      </w:r>
      <w:r>
        <w:rPr>
          <w:rFonts w:hint="eastAsia" w:ascii="宋体" w:hAnsi="宋体" w:eastAsia="宋体" w:cs="宋体"/>
          <w:color w:val="auto"/>
          <w:kern w:val="2"/>
          <w:sz w:val="24"/>
          <w:szCs w:val="24"/>
          <w:highlight w:val="none"/>
          <w:u w:val="single"/>
          <w:shd w:val="clear" w:color="auto" w:fill="FFFFFF"/>
          <w:lang w:val="en-US" w:eastAsia="zh-CN"/>
        </w:rPr>
        <w:t>（采购文件列明的行业）</w:t>
      </w:r>
      <w:r>
        <w:rPr>
          <w:rFonts w:hint="eastAsia" w:ascii="宋体" w:hAnsi="宋体" w:eastAsia="宋体" w:cs="宋体"/>
          <w:color w:val="auto"/>
          <w:kern w:val="2"/>
          <w:sz w:val="24"/>
          <w:szCs w:val="24"/>
          <w:highlight w:val="none"/>
          <w:shd w:val="clear" w:color="auto" w:fill="FFFFFF"/>
          <w:lang w:val="en-US" w:eastAsia="zh-CN"/>
        </w:rPr>
        <w:t>；承建（承接）企业为</w:t>
      </w:r>
      <w:r>
        <w:rPr>
          <w:rFonts w:hint="eastAsia" w:ascii="宋体" w:hAnsi="宋体" w:eastAsia="宋体" w:cs="宋体"/>
          <w:color w:val="auto"/>
          <w:kern w:val="2"/>
          <w:sz w:val="24"/>
          <w:szCs w:val="24"/>
          <w:highlight w:val="none"/>
          <w:u w:val="single"/>
          <w:shd w:val="clear" w:color="auto" w:fill="FFFFFF"/>
          <w:lang w:val="en-US" w:eastAsia="zh-CN"/>
        </w:rPr>
        <w:t>（企业名称）</w:t>
      </w:r>
      <w:r>
        <w:rPr>
          <w:rFonts w:hint="eastAsia" w:ascii="宋体" w:hAnsi="宋体" w:eastAsia="宋体" w:cs="宋体"/>
          <w:color w:val="auto"/>
          <w:kern w:val="2"/>
          <w:sz w:val="24"/>
          <w:szCs w:val="24"/>
          <w:highlight w:val="none"/>
          <w:shd w:val="clear" w:color="auto" w:fill="FFFFFF"/>
          <w:lang w:val="en-US" w:eastAsia="zh-CN"/>
        </w:rPr>
        <w:t>，从业人员_____人，营业收入为_____万元，资产总额为_____万元，属于（中型企业、小型企业、微型企业）；</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以上企业，不属于大企业的分支机构，不存在控股股东为大企业的情形，也不存在与大企业的负责人为同一人的情形。</w:t>
      </w:r>
    </w:p>
    <w:p>
      <w:pPr>
        <w:widowControl/>
        <w:shd w:val="clear" w:color="auto" w:fill="FFFFFF"/>
        <w:spacing w:line="360" w:lineRule="auto"/>
        <w:ind w:firstLine="480"/>
        <w:jc w:val="left"/>
        <w:rPr>
          <w:rFonts w:hint="eastAsia" w:ascii="宋体" w:hAnsi="宋体" w:eastAsia="宋体" w:cs="宋体"/>
          <w:color w:val="auto"/>
          <w:kern w:val="2"/>
          <w:sz w:val="24"/>
          <w:szCs w:val="24"/>
          <w:highlight w:val="none"/>
          <w:shd w:val="clear" w:color="auto" w:fill="FFFFFF"/>
          <w:lang w:val="en-US" w:eastAsia="zh-CN"/>
        </w:rPr>
      </w:pPr>
      <w:r>
        <w:rPr>
          <w:rFonts w:hint="eastAsia" w:ascii="宋体" w:hAnsi="宋体" w:eastAsia="宋体" w:cs="宋体"/>
          <w:color w:val="auto"/>
          <w:kern w:val="2"/>
          <w:sz w:val="24"/>
          <w:szCs w:val="24"/>
          <w:highlight w:val="none"/>
          <w:shd w:val="clear" w:color="auto" w:fill="FFFFFF"/>
          <w:lang w:val="en-US" w:eastAsia="zh-CN"/>
        </w:rPr>
        <w:t>本企业对上述声明内容的真实性负责。如有虚假，将依法承担相应责任。</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pStyle w:val="16"/>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日期：  </w:t>
      </w:r>
      <w:r>
        <w:rPr>
          <w:rFonts w:hint="eastAsia" w:ascii="宋体" w:hAnsi="宋体" w:eastAsia="宋体" w:cs="宋体"/>
          <w:color w:val="auto"/>
          <w:sz w:val="24"/>
          <w:highlight w:val="none"/>
          <w:lang w:val="zh-CN"/>
        </w:rPr>
        <w:t>年  月</w:t>
      </w:r>
      <w:r>
        <w:rPr>
          <w:rFonts w:hint="eastAsia" w:ascii="宋体" w:hAnsi="宋体" w:eastAsia="宋体" w:cs="宋体"/>
          <w:color w:val="auto"/>
          <w:kern w:val="0"/>
          <w:sz w:val="24"/>
          <w:highlight w:val="none"/>
          <w:lang w:val="zh-CN"/>
        </w:rPr>
        <w:t xml:space="preserve">   日</w:t>
      </w:r>
    </w:p>
    <w:p>
      <w:pPr>
        <w:pStyle w:val="13"/>
        <w:spacing w:after="0" w:line="360" w:lineRule="auto"/>
        <w:ind w:left="3960" w:right="1808"/>
        <w:contextualSpacing/>
        <w:rPr>
          <w:rFonts w:hint="eastAsia" w:ascii="宋体" w:hAnsi="宋体" w:eastAsia="宋体" w:cs="宋体"/>
          <w:color w:val="auto"/>
          <w:highlight w:val="none"/>
        </w:rPr>
      </w:pPr>
    </w:p>
    <w:p>
      <w:pPr>
        <w:spacing w:line="360" w:lineRule="auto"/>
        <w:contextualSpacing/>
        <w:jc w:val="left"/>
        <w:rPr>
          <w:rFonts w:hint="eastAsia" w:ascii="宋体" w:hAnsi="宋体" w:eastAsia="宋体" w:cs="宋体"/>
          <w:color w:val="auto"/>
          <w:kern w:val="0"/>
          <w:sz w:val="24"/>
          <w:highlight w:val="none"/>
        </w:rPr>
      </w:pPr>
      <w:r>
        <w:rPr>
          <w:rFonts w:hint="eastAsia" w:ascii="宋体" w:hAnsi="宋体" w:eastAsia="宋体" w:cs="宋体"/>
          <w:color w:val="auto"/>
          <w:sz w:val="24"/>
          <w:highlight w:val="none"/>
        </w:rPr>
        <w:t>注：享受《政府采购促进中小企业发展管理办法》（财库〔2020〕46号）规定的中小企业扶持政策的，采购人、采购代理机构应当随成交结果公开成交供应商的《中小企业声明函》。从业人员、营业收入、资产总额填报上一年度数据，无上一年度数据的新成立企业可不填报。</w:t>
      </w:r>
    </w:p>
    <w:p>
      <w:pPr>
        <w:snapToGrid w:val="0"/>
        <w:spacing w:before="120" w:beforeLines="50" w:after="50" w:line="360" w:lineRule="auto"/>
        <w:outlineLvl w:val="1"/>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spacing w:line="360" w:lineRule="auto"/>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44"/>
          <w:szCs w:val="44"/>
          <w:highlight w:val="none"/>
        </w:rPr>
        <w:t>残疾人福利性单位声明函</w:t>
      </w:r>
    </w:p>
    <w:p>
      <w:pPr>
        <w:spacing w:line="360" w:lineRule="auto"/>
        <w:rPr>
          <w:rFonts w:hint="eastAsia" w:ascii="宋体" w:hAnsi="宋体" w:eastAsia="宋体" w:cs="宋体"/>
          <w:color w:val="auto"/>
          <w:sz w:val="32"/>
          <w:szCs w:val="32"/>
          <w:highlight w:val="none"/>
        </w:rPr>
      </w:pP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本单位郑重声明，根据《财政部 民政部 中国残疾人联合会关于促进残疾人就业政府采购政策的通知》（财库〔2017〕141号）的规定，本单位为符合条件的残疾人福利性单位，且本单位参加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单位的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项目采购活动由本单位提供服务。</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ind w:firstLine="2400" w:firstLineChars="10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供应商名称（电子签章）：</w:t>
      </w:r>
    </w:p>
    <w:p>
      <w:pPr>
        <w:spacing w:line="360" w:lineRule="auto"/>
        <w:ind w:firstLine="4320" w:firstLineChars="18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日  期：     年   月   日</w:t>
      </w: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注：请根据自己的真实情况出具《残疾人福利性单位声明函》。依法享受中小企业优惠政策的，采购人或者采购代理机构在公告中标结果时，同时公告其《残疾人福利性单位声明函》，接受社会监督。</w:t>
      </w: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autoSpaceDE w:val="0"/>
        <w:autoSpaceDN w:val="0"/>
        <w:spacing w:line="360" w:lineRule="auto"/>
        <w:ind w:firstLine="6120" w:firstLineChars="2550"/>
        <w:rPr>
          <w:rFonts w:hint="eastAsia" w:ascii="宋体" w:hAnsi="宋体" w:eastAsia="宋体" w:cs="宋体"/>
          <w:color w:val="auto"/>
          <w:kern w:val="0"/>
          <w:sz w:val="24"/>
          <w:highlight w:val="none"/>
          <w:lang w:val="zh-CN"/>
        </w:rPr>
      </w:pPr>
    </w:p>
    <w:p>
      <w:pPr>
        <w:pStyle w:val="8"/>
        <w:overflowPunct w:val="0"/>
        <w:spacing w:line="360" w:lineRule="auto"/>
        <w:ind w:firstLine="0"/>
        <w:jc w:val="left"/>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九</w:t>
      </w:r>
      <w:r>
        <w:rPr>
          <w:rFonts w:hint="eastAsia" w:ascii="宋体" w:hAnsi="宋体" w:eastAsia="宋体" w:cs="宋体"/>
          <w:b/>
          <w:color w:val="auto"/>
          <w:sz w:val="30"/>
          <w:szCs w:val="30"/>
          <w:highlight w:val="none"/>
        </w:rPr>
        <w:t>、符合特定资格</w:t>
      </w:r>
      <w:r>
        <w:rPr>
          <w:rFonts w:hint="eastAsia" w:ascii="宋体" w:hAnsi="宋体" w:eastAsia="宋体" w:cs="宋体"/>
          <w:b/>
          <w:color w:val="auto"/>
          <w:sz w:val="30"/>
          <w:szCs w:val="30"/>
          <w:highlight w:val="none"/>
          <w:lang w:eastAsia="zh-CN"/>
        </w:rPr>
        <w:t>要求和特定</w:t>
      </w:r>
      <w:r>
        <w:rPr>
          <w:rFonts w:hint="eastAsia" w:ascii="宋体" w:hAnsi="宋体" w:eastAsia="宋体" w:cs="宋体"/>
          <w:b/>
          <w:color w:val="auto"/>
          <w:sz w:val="30"/>
          <w:szCs w:val="30"/>
          <w:highlight w:val="none"/>
        </w:rPr>
        <w:t>条件（如果项目要求）的有关证明材料（复印件）</w:t>
      </w:r>
    </w:p>
    <w:p>
      <w:pPr>
        <w:snapToGrid w:val="0"/>
        <w:spacing w:line="360" w:lineRule="auto"/>
        <w:ind w:firstLine="602" w:firstLineChars="200"/>
        <w:rPr>
          <w:rFonts w:hint="eastAsia" w:ascii="宋体" w:hAnsi="宋体" w:eastAsia="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pStyle w:val="13"/>
        <w:rPr>
          <w:rFonts w:hint="eastAsia" w:ascii="宋体" w:hAnsi="宋体" w:eastAsia="宋体" w:cs="宋体"/>
          <w:color w:val="auto"/>
          <w:kern w:val="0"/>
          <w:sz w:val="24"/>
          <w:highlight w:val="none"/>
          <w:lang w:val="zh-CN"/>
        </w:rPr>
      </w:pPr>
    </w:p>
    <w:p>
      <w:pPr>
        <w:rPr>
          <w:rFonts w:hint="eastAsia" w:ascii="宋体" w:hAnsi="宋体" w:eastAsia="宋体" w:cs="宋体"/>
          <w:color w:val="auto"/>
          <w:kern w:val="0"/>
          <w:sz w:val="24"/>
          <w:highlight w:val="none"/>
          <w:lang w:val="zh-CN"/>
        </w:rPr>
      </w:pPr>
    </w:p>
    <w:p>
      <w:pPr>
        <w:pStyle w:val="13"/>
        <w:rPr>
          <w:rFonts w:hint="eastAsia" w:ascii="宋体" w:hAnsi="宋体" w:eastAsia="宋体" w:cs="宋体"/>
          <w:color w:val="auto"/>
          <w:kern w:val="0"/>
          <w:sz w:val="24"/>
          <w:highlight w:val="none"/>
          <w:lang w:val="zh-CN"/>
        </w:rPr>
      </w:pPr>
      <w:r>
        <w:rPr>
          <w:rFonts w:hint="eastAsia" w:ascii="宋体" w:hAnsi="宋体" w:cs="宋体"/>
          <w:b/>
          <w:color w:val="auto"/>
          <w:sz w:val="30"/>
          <w:szCs w:val="30"/>
          <w:highlight w:val="none"/>
          <w:lang w:val="en-US" w:eastAsia="zh-CN"/>
        </w:rPr>
        <w:t>十</w:t>
      </w:r>
      <w:r>
        <w:rPr>
          <w:rFonts w:hint="eastAsia" w:ascii="宋体" w:hAnsi="宋体" w:eastAsia="宋体" w:cs="宋体"/>
          <w:b/>
          <w:color w:val="auto"/>
          <w:sz w:val="30"/>
          <w:szCs w:val="30"/>
          <w:highlight w:val="none"/>
        </w:rPr>
        <w:t>、除磋商文件规定必须提供以外，供应商认为需要提供的其他证明材料。</w:t>
      </w:r>
    </w:p>
    <w:p>
      <w:pPr>
        <w:rPr>
          <w:rFonts w:hint="eastAsia" w:ascii="宋体" w:hAnsi="宋体" w:eastAsia="宋体" w:cs="宋体"/>
          <w:color w:val="auto"/>
          <w:kern w:val="0"/>
          <w:sz w:val="24"/>
          <w:highlight w:val="none"/>
          <w:lang w:val="zh-CN"/>
        </w:rPr>
      </w:pPr>
    </w:p>
    <w:p>
      <w:pPr>
        <w:pStyle w:val="13"/>
        <w:rPr>
          <w:rFonts w:hint="eastAsia"/>
          <w:color w:val="auto"/>
          <w:highlight w:val="none"/>
          <w:lang w:val="zh-CN"/>
        </w:rPr>
      </w:pPr>
    </w:p>
    <w:p>
      <w:pPr>
        <w:rPr>
          <w:rFonts w:hint="eastAsia"/>
          <w:color w:val="auto"/>
          <w:highlight w:val="none"/>
          <w:lang w:val="zh-CN"/>
        </w:rPr>
      </w:pPr>
    </w:p>
    <w:p>
      <w:pPr>
        <w:pStyle w:val="13"/>
        <w:rPr>
          <w:rFonts w:hint="eastAsia"/>
          <w:color w:val="auto"/>
          <w:highlight w:val="none"/>
          <w:lang w:val="zh-CN"/>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left="0" w:leftChars="0" w:firstLine="5678" w:firstLineChars="2366"/>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rPr>
          <w:rFonts w:hint="eastAsia"/>
          <w:color w:val="auto"/>
          <w:highlight w:val="none"/>
          <w:lang w:val="zh-CN"/>
        </w:rPr>
      </w:pPr>
    </w:p>
    <w:p>
      <w:pPr>
        <w:pStyle w:val="13"/>
        <w:rPr>
          <w:rFonts w:hint="eastAsia"/>
          <w:color w:val="auto"/>
          <w:highlight w:val="none"/>
          <w:lang w:val="zh-CN"/>
        </w:rPr>
      </w:pPr>
    </w:p>
    <w:p>
      <w:pPr>
        <w:rPr>
          <w:rFonts w:hint="eastAsia"/>
          <w:color w:val="auto"/>
          <w:highlight w:val="none"/>
          <w:lang w:val="zh-CN"/>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pStyle w:val="4"/>
        <w:spacing w:line="360" w:lineRule="auto"/>
        <w:jc w:val="center"/>
        <w:rPr>
          <w:rFonts w:hint="eastAsia" w:ascii="宋体" w:hAnsi="宋体" w:eastAsia="宋体" w:cs="宋体"/>
          <w:b w:val="0"/>
          <w:color w:val="auto"/>
          <w:highlight w:val="none"/>
        </w:rPr>
      </w:pPr>
      <w:bookmarkStart w:id="103" w:name="_Toc8220"/>
      <w:bookmarkStart w:id="104" w:name="_Toc22872"/>
      <w:bookmarkStart w:id="105" w:name="_Toc80205940"/>
      <w:bookmarkStart w:id="106" w:name="_Toc24675"/>
      <w:r>
        <w:rPr>
          <w:rFonts w:hint="eastAsia" w:ascii="宋体" w:hAnsi="宋体" w:eastAsia="宋体" w:cs="宋体"/>
          <w:b w:val="0"/>
          <w:bCs w:val="0"/>
          <w:color w:val="auto"/>
          <w:highlight w:val="none"/>
        </w:rPr>
        <w:t>第</w:t>
      </w:r>
      <w:r>
        <w:rPr>
          <w:rFonts w:hint="eastAsia" w:ascii="宋体" w:hAnsi="宋体" w:eastAsia="宋体" w:cs="宋体"/>
          <w:b w:val="0"/>
          <w:bCs w:val="0"/>
          <w:color w:val="auto"/>
          <w:highlight w:val="none"/>
          <w:lang w:eastAsia="zh-CN"/>
        </w:rPr>
        <w:t>三</w:t>
      </w:r>
      <w:r>
        <w:rPr>
          <w:rFonts w:hint="eastAsia" w:ascii="宋体" w:hAnsi="宋体" w:eastAsia="宋体" w:cs="宋体"/>
          <w:b w:val="0"/>
          <w:bCs w:val="0"/>
          <w:color w:val="auto"/>
          <w:highlight w:val="none"/>
        </w:rPr>
        <w:t xml:space="preserve">节 </w:t>
      </w:r>
      <w:r>
        <w:rPr>
          <w:rFonts w:hint="eastAsia" w:ascii="宋体" w:hAnsi="宋体" w:eastAsia="宋体" w:cs="宋体"/>
          <w:b w:val="0"/>
          <w:color w:val="auto"/>
          <w:highlight w:val="none"/>
        </w:rPr>
        <w:t>商务技术文件格式</w:t>
      </w:r>
      <w:bookmarkEnd w:id="103"/>
      <w:bookmarkEnd w:id="104"/>
      <w:bookmarkEnd w:id="105"/>
      <w:bookmarkEnd w:id="106"/>
    </w:p>
    <w:p>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商  务  技  术  文  件（封面）</w:t>
      </w: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隆安县那桐镇浪湾片区集中供水改造工程</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项目编号：NNZC2024-C2-230184-GXJH</w:t>
      </w:r>
      <w:r>
        <w:rPr>
          <w:rFonts w:hint="eastAsia" w:ascii="宋体" w:hAnsi="宋体" w:cs="宋体"/>
          <w:bCs/>
          <w:color w:val="auto"/>
          <w:sz w:val="32"/>
          <w:szCs w:val="32"/>
          <w:highlight w:val="none"/>
          <w:lang w:eastAsia="zh-CN"/>
        </w:rPr>
        <w:t xml:space="preserve">    </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spacing w:line="360" w:lineRule="auto"/>
        <w:jc w:val="center"/>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商务技术文件目录</w:t>
      </w:r>
    </w:p>
    <w:p>
      <w:pPr>
        <w:spacing w:line="360" w:lineRule="auto"/>
        <w:jc w:val="center"/>
        <w:rPr>
          <w:rFonts w:hint="eastAsia" w:ascii="宋体" w:hAnsi="宋体" w:eastAsia="宋体" w:cs="宋体"/>
          <w:b/>
          <w:color w:val="auto"/>
          <w:kern w:val="0"/>
          <w:sz w:val="28"/>
          <w:szCs w:val="28"/>
          <w:highlight w:val="none"/>
        </w:rPr>
      </w:pPr>
    </w:p>
    <w:p>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一、无串通竞标行为的承诺函……………………………………………………（页码）</w:t>
      </w:r>
    </w:p>
    <w:p>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二、法定代表人身份证明书及法定代表人有效身份证正反面复印件…………（页码）</w:t>
      </w:r>
    </w:p>
    <w:p>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三、法定代表人授权委托书及委托代理人有效身份证正反面复印件（如有委托时）……………………………（页码）</w:t>
      </w:r>
    </w:p>
    <w:p>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四、</w:t>
      </w:r>
      <w:r>
        <w:rPr>
          <w:rFonts w:hint="eastAsia" w:ascii="宋体" w:hAnsi="宋体" w:eastAsia="宋体" w:cs="宋体"/>
          <w:color w:val="auto"/>
          <w:highlight w:val="none"/>
          <w:lang w:val="zh-CN"/>
        </w:rPr>
        <w:t>商务条款偏离表………………………………</w:t>
      </w:r>
      <w:r>
        <w:rPr>
          <w:rFonts w:hint="eastAsia" w:ascii="宋体" w:hAnsi="宋体" w:eastAsia="宋体" w:cs="宋体"/>
          <w:color w:val="auto"/>
          <w:highlight w:val="none"/>
        </w:rPr>
        <w:t>………………………………（页码）</w:t>
      </w:r>
    </w:p>
    <w:p>
      <w:pPr>
        <w:pStyle w:val="29"/>
        <w:spacing w:line="360" w:lineRule="auto"/>
        <w:rPr>
          <w:rFonts w:hint="eastAsia" w:ascii="宋体" w:hAnsi="宋体" w:eastAsia="宋体" w:cs="宋体"/>
          <w:color w:val="auto"/>
          <w:highlight w:val="none"/>
        </w:rPr>
      </w:pPr>
      <w:bookmarkStart w:id="107" w:name="OLE_LINK6"/>
      <w:bookmarkStart w:id="108" w:name="OLE_LINK7"/>
      <w:bookmarkStart w:id="109" w:name="OLE_LINK5"/>
      <w:r>
        <w:rPr>
          <w:rFonts w:hint="eastAsia" w:ascii="宋体" w:hAnsi="宋体" w:eastAsia="宋体" w:cs="宋体"/>
          <w:color w:val="auto"/>
          <w:highlight w:val="none"/>
        </w:rPr>
        <w:t>五、竞标人情况介绍</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29"/>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六</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供应商类似业绩的证明文件</w:t>
      </w:r>
      <w:r>
        <w:rPr>
          <w:rFonts w:hint="eastAsia" w:ascii="宋体" w:hAnsi="宋体" w:eastAsia="宋体" w:cs="宋体"/>
          <w:color w:val="auto"/>
          <w:highlight w:val="none"/>
          <w:lang w:val="zh-CN"/>
        </w:rPr>
        <w:t>…………………………………………………</w:t>
      </w:r>
      <w:r>
        <w:rPr>
          <w:rFonts w:hint="eastAsia" w:ascii="宋体" w:hAnsi="宋体" w:eastAsia="宋体" w:cs="宋体"/>
          <w:color w:val="auto"/>
          <w:highlight w:val="none"/>
        </w:rPr>
        <w:t>（页码）</w:t>
      </w:r>
    </w:p>
    <w:p>
      <w:pPr>
        <w:pStyle w:val="2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七、供应商认为需要提供的其他有关资料</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lang w:val="en-US" w:eastAsia="zh-CN"/>
        </w:rPr>
        <w:t>（页码）</w:t>
      </w:r>
      <w:bookmarkEnd w:id="107"/>
      <w:bookmarkEnd w:id="108"/>
    </w:p>
    <w:bookmarkEnd w:id="109"/>
    <w:p>
      <w:pPr>
        <w:pStyle w:val="2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八、采购需求内容响应偏离表</w:t>
      </w:r>
      <w:r>
        <w:rPr>
          <w:rFonts w:hint="eastAsia" w:ascii="宋体" w:hAnsi="宋体" w:eastAsia="宋体" w:cs="宋体"/>
          <w:color w:val="auto"/>
          <w:highlight w:val="none"/>
          <w:lang w:val="zh-CN"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pPr>
        <w:pStyle w:val="2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十、企业概况表…………………………………………………………</w:t>
      </w:r>
      <w:r>
        <w:rPr>
          <w:rFonts w:hint="eastAsia" w:ascii="宋体" w:hAnsi="宋体" w:eastAsia="宋体" w:cs="宋体"/>
          <w:color w:val="auto"/>
          <w:highlight w:val="none"/>
        </w:rPr>
        <w:t>…………</w:t>
      </w:r>
      <w:r>
        <w:rPr>
          <w:rFonts w:hint="eastAsia" w:ascii="宋体" w:hAnsi="宋体" w:eastAsia="宋体" w:cs="宋体"/>
          <w:color w:val="auto"/>
          <w:highlight w:val="none"/>
          <w:lang w:val="en-US" w:eastAsia="zh-CN"/>
        </w:rPr>
        <w:t>（页码）</w:t>
      </w:r>
    </w:p>
    <w:p>
      <w:pPr>
        <w:pStyle w:val="2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十一、项目经理（或建造师）简历表……………………………………………（页码）</w:t>
      </w:r>
    </w:p>
    <w:p>
      <w:pPr>
        <w:pStyle w:val="2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十二、项目管理机构配备情况表…………………………………………………（页码）</w:t>
      </w:r>
    </w:p>
    <w:p>
      <w:pPr>
        <w:pStyle w:val="2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十三、施工组织设计………………………………………………………………（页码）</w:t>
      </w:r>
    </w:p>
    <w:p>
      <w:pPr>
        <w:pStyle w:val="29"/>
        <w:spacing w:line="360" w:lineRule="auto"/>
        <w:ind w:left="0"/>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十四、供应商认为需要提供的其他有关资料……………………………………（页码）</w:t>
      </w:r>
    </w:p>
    <w:p>
      <w:pPr>
        <w:spacing w:line="360" w:lineRule="auto"/>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pPr>
        <w:spacing w:line="360" w:lineRule="auto"/>
        <w:ind w:firstLine="880" w:firstLineChars="200"/>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一、无串通竞标行为的承诺函</w:t>
      </w: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44"/>
          <w:szCs w:val="44"/>
          <w:highlight w:val="none"/>
        </w:rPr>
        <w:t>无串通竞标行为的承诺函</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一、我方承诺无下列相互串通竞标的情形：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1.不同供应商的响应文件由同一单位或者个人编制；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2.不同供应商委托同一单位或者个人办理竞标事宜；</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3.不同供应商的响应文件载明的项目管理员为同一个人；</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4.不</w:t>
      </w:r>
      <w:r>
        <w:rPr>
          <w:rFonts w:hint="eastAsia" w:ascii="宋体" w:hAnsi="宋体" w:eastAsia="宋体" w:cs="宋体"/>
          <w:color w:val="auto"/>
          <w:spacing w:val="-6"/>
          <w:sz w:val="24"/>
          <w:highlight w:val="none"/>
        </w:rPr>
        <w:t>同供应商的响应文件异常一致或者响应报价呈规律性差异；</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5.不同供应商的响应文件相互混装；</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6.不同供应商的磋商保证金从同一单位或者个人账户转出。</w:t>
      </w: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二、我方承诺无下列恶意串通的情形：</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1.供应商直接或者间接从采购人或者采购代理机构处获得其他供应商的相关信息并修改其响应文件；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2.供应商按照采购人或者采购代理机构的授意撤换、修改响应文件；</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3.供</w:t>
      </w:r>
      <w:r>
        <w:rPr>
          <w:rFonts w:hint="eastAsia" w:ascii="宋体" w:hAnsi="宋体" w:eastAsia="宋体" w:cs="宋体"/>
          <w:color w:val="auto"/>
          <w:spacing w:val="-6"/>
          <w:sz w:val="24"/>
          <w:highlight w:val="none"/>
        </w:rPr>
        <w:t>应商之间协商报价、技术方案等响应文件的实质性内容；</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4.属于同一集团、协会、商会等组织成员的供应商按照该组织要求协同参加政府采购活动；</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5.供应商之间事先约定一致抬高或者压低响应报价，或者在竞争性磋商项目中事先约定轮流以高价位或者低价位成交，或者事先约定由某一特定供应商成交，然后再参加竞标；</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6.供应商之间商定部分供应商放弃参加政府采购活动或者放弃成交；</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7.供应商与采购人或者采购代理机构之间、供应商相互之间，为</w:t>
      </w:r>
      <w:r>
        <w:rPr>
          <w:rFonts w:hint="eastAsia" w:ascii="宋体" w:hAnsi="宋体" w:eastAsia="宋体" w:cs="宋体"/>
          <w:color w:val="auto"/>
          <w:spacing w:val="-6"/>
          <w:sz w:val="24"/>
          <w:highlight w:val="none"/>
        </w:rPr>
        <w:t>谋求特定供应商成交或者排斥其他供应商的其他串通行为。</w:t>
      </w:r>
    </w:p>
    <w:p>
      <w:pPr>
        <w:spacing w:line="360" w:lineRule="auto"/>
        <w:ind w:firstLine="480" w:firstLineChars="200"/>
        <w:contextualSpacing/>
        <w:rPr>
          <w:rFonts w:hint="eastAsia" w:ascii="宋体" w:hAnsi="宋体" w:eastAsia="宋体" w:cs="宋体"/>
          <w:color w:val="auto"/>
          <w:sz w:val="24"/>
          <w:highlight w:val="none"/>
        </w:rPr>
      </w:pPr>
    </w:p>
    <w:p>
      <w:pPr>
        <w:spacing w:line="360" w:lineRule="auto"/>
        <w:ind w:firstLine="482" w:firstLineChars="200"/>
        <w:contextualSpacing/>
        <w:rPr>
          <w:rFonts w:hint="eastAsia" w:ascii="宋体" w:hAnsi="宋体" w:eastAsia="宋体" w:cs="宋体"/>
          <w:b/>
          <w:bCs/>
          <w:color w:val="auto"/>
          <w:sz w:val="24"/>
          <w:highlight w:val="none"/>
        </w:rPr>
      </w:pPr>
      <w:r>
        <w:rPr>
          <w:rFonts w:hint="eastAsia" w:ascii="宋体" w:hAnsi="宋体" w:eastAsia="宋体" w:cs="宋体"/>
          <w:b/>
          <w:bCs/>
          <w:color w:val="auto"/>
          <w:sz w:val="24"/>
          <w:highlight w:val="none"/>
        </w:rPr>
        <w:t>以上情形一经核查属实，我方愿意承担一切后果，并不再寻求任何旨在减轻或者免除法律责任的辩解。</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pacing w:line="360" w:lineRule="auto"/>
        <w:ind w:left="237" w:leftChars="113" w:firstLine="5860" w:firstLineChars="2442"/>
        <w:jc w:val="left"/>
        <w:rPr>
          <w:rFonts w:hint="eastAsia" w:ascii="宋体" w:hAnsi="宋体" w:eastAsia="宋体" w:cs="宋体"/>
          <w:bCs/>
          <w:color w:val="auto"/>
          <w:sz w:val="44"/>
          <w:szCs w:val="44"/>
          <w:highlight w:val="none"/>
        </w:rPr>
      </w:pPr>
      <w:r>
        <w:rPr>
          <w:rFonts w:hint="eastAsia" w:ascii="宋体" w:hAnsi="宋体" w:eastAsia="宋体" w:cs="宋体"/>
          <w:color w:val="auto"/>
          <w:kern w:val="0"/>
          <w:sz w:val="24"/>
          <w:highlight w:val="none"/>
          <w:lang w:val="zh-CN"/>
        </w:rPr>
        <w:t xml:space="preserve">日期：  年  月   日   </w:t>
      </w:r>
      <w:r>
        <w:rPr>
          <w:rFonts w:hint="eastAsia" w:ascii="宋体" w:hAnsi="宋体" w:eastAsia="宋体" w:cs="宋体"/>
          <w:b/>
          <w:bCs/>
          <w:color w:val="auto"/>
          <w:sz w:val="32"/>
          <w:szCs w:val="32"/>
          <w:highlight w:val="none"/>
        </w:rPr>
        <w:br w:type="page"/>
      </w:r>
      <w:r>
        <w:rPr>
          <w:rFonts w:hint="eastAsia" w:ascii="宋体" w:hAnsi="宋体" w:eastAsia="宋体" w:cs="宋体"/>
          <w:b/>
          <w:color w:val="auto"/>
          <w:sz w:val="30"/>
          <w:szCs w:val="30"/>
          <w:highlight w:val="none"/>
        </w:rPr>
        <w:t>二、法定代表人身份证明及法定代表人有效身份证正反面复印件</w:t>
      </w:r>
    </w:p>
    <w:p>
      <w:pPr>
        <w:spacing w:line="360" w:lineRule="auto"/>
        <w:jc w:val="center"/>
        <w:rPr>
          <w:rFonts w:hint="eastAsia" w:ascii="宋体" w:hAnsi="宋体" w:eastAsia="宋体" w:cs="宋体"/>
          <w:b/>
          <w:bCs w:val="0"/>
          <w:color w:val="auto"/>
          <w:sz w:val="32"/>
          <w:szCs w:val="32"/>
          <w:highlight w:val="none"/>
        </w:rPr>
      </w:pPr>
      <w:r>
        <w:rPr>
          <w:rFonts w:hint="eastAsia" w:ascii="宋体" w:hAnsi="宋体" w:eastAsia="宋体" w:cs="宋体"/>
          <w:b/>
          <w:bCs w:val="0"/>
          <w:color w:val="auto"/>
          <w:sz w:val="44"/>
          <w:szCs w:val="44"/>
          <w:highlight w:val="none"/>
        </w:rPr>
        <w:t>法定代表人证明书</w:t>
      </w:r>
    </w:p>
    <w:p>
      <w:pPr>
        <w:spacing w:line="360" w:lineRule="auto"/>
        <w:ind w:left="540"/>
        <w:contextualSpacing/>
        <w:rPr>
          <w:rFonts w:hint="eastAsia" w:ascii="宋体" w:hAnsi="宋体" w:eastAsia="宋体" w:cs="宋体"/>
          <w:color w:val="auto"/>
          <w:sz w:val="32"/>
          <w:szCs w:val="32"/>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地    址：</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姓    名：</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性     别：</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年    龄：</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职     务：</w:t>
      </w:r>
      <w:r>
        <w:rPr>
          <w:rFonts w:hint="eastAsia" w:ascii="宋体" w:hAnsi="宋体" w:eastAsia="宋体" w:cs="宋体"/>
          <w:color w:val="auto"/>
          <w:sz w:val="24"/>
          <w:highlight w:val="none"/>
          <w:u w:val="single"/>
        </w:rPr>
        <w:t xml:space="preserve">                </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身份证号码：</w:t>
      </w:r>
      <w:r>
        <w:rPr>
          <w:rFonts w:hint="eastAsia" w:ascii="宋体" w:hAnsi="宋体" w:eastAsia="宋体" w:cs="宋体"/>
          <w:color w:val="auto"/>
          <w:sz w:val="24"/>
          <w:highlight w:val="none"/>
          <w:u w:val="single"/>
        </w:rPr>
        <w:t xml:space="preserve">                                        </w:t>
      </w:r>
    </w:p>
    <w:p>
      <w:pPr>
        <w:spacing w:line="360" w:lineRule="auto"/>
        <w:ind w:firstLine="480" w:firstLineChars="20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（供应商名称）</w:t>
      </w:r>
      <w:r>
        <w:rPr>
          <w:rFonts w:hint="eastAsia" w:ascii="宋体" w:hAnsi="宋体" w:eastAsia="宋体" w:cs="宋体"/>
          <w:color w:val="auto"/>
          <w:sz w:val="24"/>
          <w:highlight w:val="none"/>
        </w:rPr>
        <w:t>的法定代表人。</w:t>
      </w: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特此证明。</w:t>
      </w: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p>
    <w:p>
      <w:pPr>
        <w:spacing w:line="360" w:lineRule="auto"/>
        <w:ind w:left="540"/>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附件：法定代表人有效身份证正反面复印件</w:t>
      </w:r>
    </w:p>
    <w:p>
      <w:pPr>
        <w:spacing w:line="360" w:lineRule="auto"/>
        <w:ind w:left="540"/>
        <w:contextualSpacing/>
        <w:rPr>
          <w:rFonts w:hint="eastAsia" w:ascii="宋体" w:hAnsi="宋体" w:eastAsia="宋体" w:cs="宋体"/>
          <w:color w:val="auto"/>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pacing w:line="360" w:lineRule="auto"/>
        <w:contextualSpacing/>
        <w:jc w:val="left"/>
        <w:rPr>
          <w:rFonts w:hint="eastAsia" w:ascii="宋体" w:hAnsi="宋体" w:eastAsia="宋体" w:cs="宋体"/>
          <w:color w:val="auto"/>
          <w:sz w:val="24"/>
          <w:highlight w:val="none"/>
        </w:rPr>
      </w:pPr>
    </w:p>
    <w:p>
      <w:pPr>
        <w:spacing w:line="360" w:lineRule="auto"/>
        <w:contextualSpacing/>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注：1.自然人竞标的无需提供，联合体竞标的只需牵头人出具。</w:t>
      </w:r>
    </w:p>
    <w:p>
      <w:pPr>
        <w:spacing w:line="360" w:lineRule="auto"/>
        <w:ind w:firstLine="480" w:firstLineChars="200"/>
        <w:contextualSpacing/>
        <w:jc w:val="left"/>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tbl>
      <w:tblPr>
        <w:tblStyle w:val="24"/>
        <w:tblpPr w:leftFromText="180" w:rightFromText="180" w:vertAnchor="text" w:horzAnchor="margin" w:tblpY="116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0" w:hRule="atLeast"/>
        </w:trPr>
        <w:tc>
          <w:tcPr>
            <w:tcW w:w="9400" w:type="dxa"/>
            <w:noWrap w:val="0"/>
            <w:vAlign w:val="top"/>
          </w:tcPr>
          <w:p>
            <w:pPr>
              <w:spacing w:line="360" w:lineRule="auto"/>
              <w:rPr>
                <w:rFonts w:hint="eastAsia" w:ascii="宋体" w:hAnsi="宋体" w:eastAsia="宋体" w:cs="宋体"/>
                <w:b/>
                <w:color w:val="auto"/>
                <w:sz w:val="24"/>
                <w:highlight w:val="none"/>
              </w:rPr>
            </w:pPr>
          </w:p>
          <w:p>
            <w:pPr>
              <w:spacing w:line="360" w:lineRule="auto"/>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法定代表身份证复印件</w:t>
            </w:r>
            <w:r>
              <w:rPr>
                <w:rFonts w:hint="eastAsia" w:ascii="宋体" w:hAnsi="宋体" w:eastAsia="宋体" w:cs="宋体"/>
                <w:b/>
                <w:color w:val="auto"/>
                <w:sz w:val="24"/>
                <w:highlight w:val="none"/>
                <w:lang w:eastAsia="zh-CN"/>
              </w:rPr>
              <w:t>粘贴</w:t>
            </w:r>
            <w:r>
              <w:rPr>
                <w:rFonts w:hint="eastAsia" w:ascii="宋体" w:hAnsi="宋体" w:eastAsia="宋体" w:cs="宋体"/>
                <w:b/>
                <w:color w:val="auto"/>
                <w:sz w:val="24"/>
                <w:highlight w:val="none"/>
              </w:rPr>
              <w:t>处（正、反面）</w:t>
            </w:r>
          </w:p>
        </w:tc>
      </w:tr>
    </w:tbl>
    <w:p>
      <w:pPr>
        <w:spacing w:line="360" w:lineRule="auto"/>
        <w:ind w:firstLine="482" w:firstLineChars="200"/>
        <w:contextualSpacing/>
        <w:jc w:val="left"/>
        <w:rPr>
          <w:rFonts w:hint="eastAsia" w:ascii="宋体" w:hAnsi="宋体" w:eastAsia="宋体" w:cs="宋体"/>
          <w:b/>
          <w:color w:val="auto"/>
          <w:sz w:val="32"/>
          <w:szCs w:val="32"/>
          <w:highlight w:val="none"/>
        </w:rPr>
      </w:pPr>
      <w:r>
        <w:rPr>
          <w:rFonts w:hint="eastAsia" w:ascii="宋体" w:hAnsi="宋体" w:eastAsia="宋体" w:cs="宋体"/>
          <w:b/>
          <w:color w:val="auto"/>
          <w:sz w:val="24"/>
          <w:highlight w:val="none"/>
        </w:rPr>
        <w:t>附件：</w:t>
      </w:r>
    </w:p>
    <w:p>
      <w:pPr>
        <w:adjustRightInd w:val="0"/>
        <w:snapToGrid w:val="0"/>
        <w:spacing w:line="360" w:lineRule="auto"/>
        <w:jc w:val="left"/>
        <w:rPr>
          <w:rFonts w:hint="eastAsia" w:ascii="宋体" w:hAnsi="宋体" w:eastAsia="宋体" w:cs="宋体"/>
          <w:b/>
          <w:color w:val="auto"/>
          <w:szCs w:val="21"/>
          <w:highlight w:val="none"/>
        </w:rPr>
      </w:pPr>
    </w:p>
    <w:p>
      <w:pPr>
        <w:spacing w:line="360" w:lineRule="auto"/>
        <w:ind w:firstLine="880"/>
        <w:jc w:val="left"/>
        <w:rPr>
          <w:rFonts w:hint="eastAsia" w:ascii="宋体" w:hAnsi="宋体" w:eastAsia="宋体" w:cs="宋体"/>
          <w:bCs/>
          <w:color w:val="auto"/>
          <w:sz w:val="44"/>
          <w:szCs w:val="44"/>
          <w:highlight w:val="none"/>
        </w:rPr>
      </w:pPr>
      <w:r>
        <w:rPr>
          <w:rFonts w:hint="eastAsia" w:ascii="宋体" w:hAnsi="宋体" w:eastAsia="宋体" w:cs="宋体"/>
          <w:color w:val="auto"/>
          <w:sz w:val="44"/>
          <w:szCs w:val="44"/>
          <w:highlight w:val="none"/>
        </w:rPr>
        <w:br w:type="page"/>
      </w:r>
      <w:r>
        <w:rPr>
          <w:rFonts w:hint="eastAsia" w:ascii="宋体" w:hAnsi="宋体" w:eastAsia="宋体" w:cs="宋体"/>
          <w:b/>
          <w:color w:val="auto"/>
          <w:sz w:val="30"/>
          <w:szCs w:val="30"/>
          <w:highlight w:val="none"/>
        </w:rPr>
        <w:t>三、法定代表人授权委托书及委托代理人有效身份证正反面复印件</w:t>
      </w:r>
    </w:p>
    <w:p>
      <w:pPr>
        <w:spacing w:line="360" w:lineRule="auto"/>
        <w:jc w:val="center"/>
        <w:rPr>
          <w:rFonts w:hint="eastAsia" w:ascii="宋体" w:hAnsi="宋体" w:eastAsia="宋体" w:cs="宋体"/>
          <w:color w:val="auto"/>
          <w:sz w:val="44"/>
          <w:szCs w:val="44"/>
          <w:highlight w:val="none"/>
        </w:rPr>
      </w:pPr>
    </w:p>
    <w:p>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rPr>
        <w:t>授权委托书（非联合体竞标格式）</w:t>
      </w:r>
    </w:p>
    <w:p>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致：</w:t>
      </w:r>
      <w:r>
        <w:rPr>
          <w:rFonts w:hint="eastAsia" w:ascii="宋体" w:hAnsi="宋体" w:eastAsia="宋体" w:cs="宋体"/>
          <w:color w:val="auto"/>
          <w:sz w:val="24"/>
          <w:highlight w:val="none"/>
          <w:u w:val="single"/>
        </w:rPr>
        <w:t>（采购人名称）</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系</w:t>
      </w:r>
      <w:r>
        <w:rPr>
          <w:rFonts w:hint="eastAsia" w:ascii="宋体" w:hAnsi="宋体" w:eastAsia="宋体" w:cs="宋体"/>
          <w:color w:val="auto"/>
          <w:sz w:val="24"/>
          <w:highlight w:val="none"/>
          <w:u w:val="single"/>
        </w:rPr>
        <w:t xml:space="preserve">  （供应商名称）  </w:t>
      </w:r>
      <w:r>
        <w:rPr>
          <w:rFonts w:hint="eastAsia" w:ascii="宋体" w:hAnsi="宋体" w:eastAsia="宋体" w:cs="宋体"/>
          <w:color w:val="auto"/>
          <w:sz w:val="24"/>
          <w:highlight w:val="none"/>
        </w:rPr>
        <w:t>的（</w:t>
      </w:r>
      <w:r>
        <w:rPr>
          <w:rFonts w:hint="eastAsia" w:ascii="宋体" w:hAnsi="宋体" w:eastAsia="宋体" w:cs="宋体"/>
          <w:color w:val="auto"/>
          <w:sz w:val="24"/>
          <w:highlight w:val="none"/>
          <w:u w:val="single"/>
        </w:rPr>
        <w:t>□法定代表人/□负责人/□自然人本人</w:t>
      </w:r>
      <w:r>
        <w:rPr>
          <w:rFonts w:hint="eastAsia" w:ascii="宋体" w:hAnsi="宋体" w:eastAsia="宋体" w:cs="宋体"/>
          <w:color w:val="auto"/>
          <w:sz w:val="24"/>
          <w:highlight w:val="none"/>
        </w:rPr>
        <w:t>），现授权</w:t>
      </w:r>
      <w:r>
        <w:rPr>
          <w:rFonts w:hint="eastAsia" w:ascii="宋体" w:hAnsi="宋体" w:eastAsia="宋体" w:cs="宋体"/>
          <w:color w:val="auto"/>
          <w:sz w:val="24"/>
          <w:highlight w:val="none"/>
          <w:u w:val="single"/>
        </w:rPr>
        <w:t xml:space="preserve"> （姓名） </w:t>
      </w:r>
      <w:r>
        <w:rPr>
          <w:rFonts w:hint="eastAsia" w:ascii="宋体" w:hAnsi="宋体" w:eastAsia="宋体" w:cs="宋体"/>
          <w:color w:val="auto"/>
          <w:sz w:val="24"/>
          <w:highlight w:val="none"/>
        </w:rPr>
        <w:t>以我方的名义参加</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项目的竞标活动，并代表我方全权办理针对上述项目的所有采购程序和环节的具体事务和签署相关文件。</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附：法定代表人身份证明书及委托代理人有效身份证正反面复印件</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委托代理人（签字）：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 xml:space="preserve">     法定代表人（签字或盖章）：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委托代理人身份证号码：                                     </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kern w:val="0"/>
          <w:sz w:val="24"/>
          <w:highlight w:val="none"/>
        </w:rPr>
        <w:t>供应商名称（电子签章）：</w:t>
      </w:r>
    </w:p>
    <w:p>
      <w:pPr>
        <w:spacing w:line="360" w:lineRule="auto"/>
        <w:contextualSpacing/>
        <w:jc w:val="center"/>
        <w:rPr>
          <w:rFonts w:hint="eastAsia" w:ascii="宋体" w:hAnsi="宋体" w:eastAsia="宋体" w:cs="宋体"/>
          <w:b/>
          <w:color w:val="auto"/>
          <w:sz w:val="24"/>
          <w:highlight w:val="none"/>
        </w:rPr>
      </w:pPr>
      <w:r>
        <w:rPr>
          <w:rFonts w:hint="eastAsia" w:ascii="宋体" w:hAnsi="宋体" w:eastAsia="宋体" w:cs="宋体"/>
          <w:color w:val="auto"/>
          <w:kern w:val="0"/>
          <w:sz w:val="24"/>
          <w:highlight w:val="none"/>
          <w:lang w:val="zh-CN"/>
        </w:rPr>
        <w:t xml:space="preserve">                                                   日期：  年  月   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eastAsia="宋体" w:cs="宋体"/>
          <w:color w:val="auto"/>
          <w:szCs w:val="21"/>
          <w:highlight w:val="none"/>
        </w:rPr>
      </w:pPr>
      <w:r>
        <w:rPr>
          <w:rFonts w:hint="eastAsia" w:ascii="宋体" w:hAnsi="宋体" w:eastAsia="宋体" w:cs="宋体"/>
          <w:color w:val="auto"/>
          <w:sz w:val="24"/>
          <w:highlight w:val="none"/>
        </w:rPr>
        <w:t>3. 法人、其他组织竞标时“我方”是指“我单位”，自然人竞标时“我方”是指“本人”。</w:t>
      </w:r>
    </w:p>
    <w:p>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color w:val="auto"/>
          <w:szCs w:val="21"/>
          <w:highlight w:val="none"/>
        </w:rPr>
        <w:br w:type="page"/>
      </w:r>
      <w:r>
        <w:rPr>
          <w:rFonts w:hint="eastAsia" w:ascii="宋体" w:hAnsi="宋体" w:eastAsia="宋体" w:cs="宋体"/>
          <w:b/>
          <w:bCs/>
          <w:color w:val="auto"/>
          <w:sz w:val="44"/>
          <w:szCs w:val="44"/>
          <w:highlight w:val="none"/>
        </w:rPr>
        <w:t>授权委托书（联合体竞标格式）</w:t>
      </w:r>
    </w:p>
    <w:p>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b/>
          <w:bCs/>
          <w:color w:val="auto"/>
          <w:sz w:val="44"/>
          <w:szCs w:val="44"/>
          <w:highlight w:val="none"/>
        </w:rPr>
        <w:t>（如有委托时）</w:t>
      </w:r>
    </w:p>
    <w:p>
      <w:pPr>
        <w:spacing w:line="360" w:lineRule="auto"/>
        <w:jc w:val="center"/>
        <w:rPr>
          <w:rFonts w:hint="eastAsia" w:ascii="宋体" w:hAnsi="宋体" w:eastAsia="宋体" w:cs="宋体"/>
          <w:color w:val="auto"/>
          <w:sz w:val="32"/>
          <w:szCs w:val="32"/>
          <w:highlight w:val="none"/>
        </w:rPr>
      </w:pP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本授权委托书声明：根据</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（牵头人名称）与</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（联合体其他成员名称）签订的《联合体竞标协议书》的内容，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（牵头人名称）的法定代表人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（姓名）现授权</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（姓名）为联合委托代理人，并代表我方全权办理针对上述项目的所有采购程序和环节的具体事务和签署相关文件。</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我方对委托代理人的签字事项负全部责任。</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本授权书自签署之日起生效，在撤销授权的书面通知以前，本授权书一直有效。委托代理人在授权书有效期内签署的所有文件不因授权的撤销而失效。</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委托代理人无转委托权，特此委托。</w:t>
      </w: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w:t>
      </w:r>
    </w:p>
    <w:p>
      <w:pPr>
        <w:spacing w:line="360" w:lineRule="auto"/>
        <w:ind w:firstLine="1560" w:firstLineChars="65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牵头人法定代表人（签字或盖章）：</w:t>
      </w:r>
    </w:p>
    <w:p>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牵头人（电子签章）：</w:t>
      </w: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rPr>
          <w:rFonts w:hint="eastAsia" w:ascii="宋体" w:hAnsi="宋体" w:eastAsia="宋体" w:cs="宋体"/>
          <w:color w:val="auto"/>
          <w:sz w:val="24"/>
          <w:highlight w:val="none"/>
        </w:rPr>
      </w:pPr>
    </w:p>
    <w:p>
      <w:pPr>
        <w:spacing w:line="360" w:lineRule="auto"/>
        <w:ind w:firstLine="3120" w:firstLineChars="1300"/>
        <w:rPr>
          <w:rFonts w:hint="eastAsia" w:ascii="宋体" w:hAnsi="宋体" w:eastAsia="宋体" w:cs="宋体"/>
          <w:color w:val="auto"/>
          <w:sz w:val="24"/>
          <w:highlight w:val="none"/>
        </w:rPr>
      </w:pPr>
      <w:r>
        <w:rPr>
          <w:rFonts w:hint="eastAsia" w:ascii="宋体" w:hAnsi="宋体" w:eastAsia="宋体" w:cs="宋体"/>
          <w:color w:val="auto"/>
          <w:sz w:val="24"/>
          <w:highlight w:val="none"/>
        </w:rPr>
        <w:t>被授权人（签字）：</w:t>
      </w: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sz w:val="24"/>
          <w:highlight w:val="none"/>
        </w:rPr>
        <w:t>日期：    年   月   日</w:t>
      </w:r>
    </w:p>
    <w:p>
      <w:pPr>
        <w:spacing w:line="360" w:lineRule="auto"/>
        <w:rPr>
          <w:rFonts w:hint="eastAsia" w:ascii="宋体" w:hAnsi="宋体" w:eastAsia="宋体" w:cs="宋体"/>
          <w:color w:val="auto"/>
          <w:sz w:val="24"/>
          <w:highlight w:val="none"/>
        </w:rPr>
      </w:pPr>
    </w:p>
    <w:p>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注：1. 法定代表人必须在授权委托书上亲笔签字或盖章，委托代理人必须在授权委托书上亲笔签字，</w:t>
      </w:r>
      <w:r>
        <w:rPr>
          <w:rFonts w:hint="eastAsia" w:ascii="宋体" w:hAnsi="宋体" w:eastAsia="宋体" w:cs="宋体"/>
          <w:b/>
          <w:color w:val="auto"/>
          <w:sz w:val="24"/>
          <w:highlight w:val="none"/>
        </w:rPr>
        <w:t>否则其响应文件按无效响应处理。</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2.本授权委托书应由联合体牵头人的法定代表人按上述规定签署。</w:t>
      </w:r>
    </w:p>
    <w:p>
      <w:pPr>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3.供应商为其他组织或者自然人时，本磋商文件规定的法定代表人指负责人或者自然人。本磋商文件所称负责人是指参加竞标的其他组织营业执照上的负责人，本磋商文件所称自然人指参与竞标的自然人本人。</w:t>
      </w:r>
    </w:p>
    <w:p>
      <w:pPr>
        <w:spacing w:line="360" w:lineRule="auto"/>
        <w:ind w:firstLine="480" w:firstLineChars="200"/>
        <w:jc w:val="left"/>
        <w:rPr>
          <w:rFonts w:hint="eastAsia" w:ascii="宋体" w:hAnsi="宋体" w:eastAsia="宋体" w:cs="宋体"/>
          <w:b/>
          <w:color w:val="auto"/>
          <w:sz w:val="30"/>
          <w:szCs w:val="30"/>
          <w:highlight w:val="none"/>
        </w:rPr>
      </w:pPr>
      <w:r>
        <w:rPr>
          <w:rFonts w:hint="eastAsia" w:ascii="宋体" w:hAnsi="宋体" w:eastAsia="宋体" w:cs="宋体"/>
          <w:color w:val="auto"/>
          <w:sz w:val="24"/>
          <w:highlight w:val="none"/>
        </w:rPr>
        <w:t>4.法人、其他组织竞标时“我方”是指“我单位”，自然人竞标时“我方”是指“本人”。</w:t>
      </w:r>
      <w:r>
        <w:rPr>
          <w:rFonts w:hint="eastAsia" w:ascii="宋体" w:hAnsi="宋体" w:eastAsia="宋体" w:cs="宋体"/>
          <w:color w:val="auto"/>
          <w:sz w:val="32"/>
          <w:szCs w:val="32"/>
          <w:highlight w:val="none"/>
        </w:rPr>
        <w:br w:type="page"/>
      </w:r>
      <w:r>
        <w:rPr>
          <w:rFonts w:hint="eastAsia" w:ascii="宋体" w:hAnsi="宋体" w:eastAsia="宋体" w:cs="宋体"/>
          <w:b/>
          <w:color w:val="auto"/>
          <w:sz w:val="30"/>
          <w:szCs w:val="30"/>
          <w:highlight w:val="none"/>
        </w:rPr>
        <w:t>四、商务条款偏离表</w:t>
      </w:r>
    </w:p>
    <w:p>
      <w:pPr>
        <w:spacing w:line="360" w:lineRule="auto"/>
        <w:jc w:val="center"/>
        <w:rPr>
          <w:rFonts w:hint="eastAsia" w:ascii="宋体" w:hAnsi="宋体" w:eastAsia="宋体" w:cs="宋体"/>
          <w:bCs/>
          <w:color w:val="auto"/>
          <w:sz w:val="44"/>
          <w:szCs w:val="44"/>
          <w:highlight w:val="none"/>
        </w:rPr>
      </w:pPr>
      <w:r>
        <w:rPr>
          <w:rFonts w:hint="eastAsia" w:ascii="宋体" w:hAnsi="宋体" w:eastAsia="宋体" w:cs="宋体"/>
          <w:b/>
          <w:bCs w:val="0"/>
          <w:color w:val="auto"/>
          <w:sz w:val="44"/>
          <w:szCs w:val="44"/>
          <w:highlight w:val="none"/>
        </w:rPr>
        <w:t>商务条款偏离表</w:t>
      </w: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采购项目编号：</w:t>
      </w:r>
      <w:r>
        <w:rPr>
          <w:rFonts w:hint="eastAsia" w:ascii="宋体" w:hAnsi="宋体" w:cs="宋体"/>
          <w:color w:val="auto"/>
          <w:sz w:val="24"/>
          <w:highlight w:val="none"/>
          <w:u w:val="single"/>
          <w:lang w:eastAsia="zh-CN"/>
        </w:rPr>
        <w:t xml:space="preserve"> NNZC2024-C2-230184-GXJH   </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highlight w:val="none"/>
        </w:rPr>
      </w:pPr>
      <w:r>
        <w:rPr>
          <w:rFonts w:hint="eastAsia" w:ascii="宋体" w:hAnsi="宋体" w:eastAsia="宋体" w:cs="宋体"/>
          <w:color w:val="auto"/>
          <w:sz w:val="24"/>
          <w:highlight w:val="none"/>
        </w:rPr>
        <w:t>采购项目名称：</w:t>
      </w:r>
      <w:r>
        <w:rPr>
          <w:rFonts w:hint="eastAsia" w:ascii="宋体" w:hAnsi="宋体" w:cs="宋体"/>
          <w:color w:val="auto"/>
          <w:sz w:val="24"/>
          <w:highlight w:val="none"/>
          <w:u w:val="single"/>
          <w:lang w:eastAsia="zh-CN"/>
        </w:rPr>
        <w:t>隆安县那桐镇浪湾片区集中供水改造工程</w:t>
      </w:r>
      <w:r>
        <w:rPr>
          <w:rFonts w:hint="eastAsia" w:ascii="宋体" w:hAnsi="宋体" w:eastAsia="宋体" w:cs="宋体"/>
          <w:color w:val="auto"/>
          <w:sz w:val="24"/>
          <w:highlight w:val="none"/>
          <w:u w:val="single"/>
        </w:rPr>
        <w:t xml:space="preserve"> </w:t>
      </w:r>
    </w:p>
    <w:p>
      <w:pPr>
        <w:spacing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分标号</w:t>
      </w:r>
      <w:r>
        <w:rPr>
          <w:rFonts w:hint="eastAsia" w:ascii="宋体" w:hAnsi="宋体" w:eastAsia="宋体" w:cs="宋体"/>
          <w:color w:val="auto"/>
          <w:szCs w:val="21"/>
          <w:highlight w:val="none"/>
        </w:rPr>
        <w:t>（此处有分标时填写具体分标号，无分标时填写“无”）</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p>
    <w:tbl>
      <w:tblPr>
        <w:tblStyle w:val="24"/>
        <w:tblpPr w:leftFromText="180" w:rightFromText="180" w:vertAnchor="text" w:horzAnchor="margin" w:tblpXSpec="center" w:tblpY="9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926"/>
        <w:gridCol w:w="324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691"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竞争性磋商文件的商务需求</w:t>
            </w:r>
          </w:p>
        </w:tc>
        <w:tc>
          <w:tcPr>
            <w:tcW w:w="324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响应文件承诺的商务条款</w:t>
            </w:r>
          </w:p>
        </w:tc>
        <w:tc>
          <w:tcPr>
            <w:tcW w:w="161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4"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w:t>
            </w:r>
          </w:p>
        </w:tc>
        <w:tc>
          <w:tcPr>
            <w:tcW w:w="3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w:t>
            </w:r>
          </w:p>
        </w:tc>
        <w:tc>
          <w:tcPr>
            <w:tcW w:w="3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9" w:hRule="atLeast"/>
        </w:trPr>
        <w:tc>
          <w:tcPr>
            <w:tcW w:w="691"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926"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3248"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1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2"/>
                <w:szCs w:val="22"/>
                <w:highlight w:val="none"/>
              </w:rPr>
            </w:pPr>
            <w:r>
              <w:rPr>
                <w:rFonts w:hint="eastAsia" w:ascii="宋体" w:hAnsi="宋体" w:eastAsia="宋体" w:cs="宋体"/>
                <w:color w:val="auto"/>
                <w:sz w:val="22"/>
                <w:szCs w:val="22"/>
                <w:highlight w:val="none"/>
              </w:rPr>
              <w:t>正偏离（负偏离或无偏离）</w:t>
            </w:r>
          </w:p>
        </w:tc>
      </w:tr>
    </w:tbl>
    <w:p>
      <w:pPr>
        <w:pStyle w:val="14"/>
        <w:keepNext w:val="0"/>
        <w:keepLines w:val="0"/>
        <w:pageBreakBefore w:val="0"/>
        <w:widowControl w:val="0"/>
        <w:kinsoku/>
        <w:wordWrap/>
        <w:overflowPunct/>
        <w:topLinePunct w:val="0"/>
        <w:autoSpaceDE/>
        <w:autoSpaceDN/>
        <w:bidi w:val="0"/>
        <w:adjustRightInd/>
        <w:snapToGrid/>
        <w:spacing w:line="400" w:lineRule="exact"/>
        <w:ind w:firstLine="0" w:firstLineChars="0"/>
        <w:contextualSpacing/>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w:t>
      </w:r>
    </w:p>
    <w:p>
      <w:pPr>
        <w:pStyle w:val="16"/>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1.说明：应对照磋商文件“第二章 采购需求”中的商务条款逐条作出明确响应，并</w:t>
      </w:r>
      <w:r>
        <w:rPr>
          <w:rFonts w:hint="eastAsia" w:hAnsi="宋体" w:eastAsia="宋体" w:cs="宋体"/>
          <w:color w:val="auto"/>
          <w:sz w:val="24"/>
          <w:szCs w:val="24"/>
          <w:highlight w:val="none"/>
          <w:lang w:eastAsia="zh-CN"/>
        </w:rPr>
        <w:t>做出</w:t>
      </w:r>
      <w:r>
        <w:rPr>
          <w:rFonts w:hint="eastAsia" w:ascii="宋体" w:hAnsi="宋体" w:eastAsia="宋体" w:cs="宋体"/>
          <w:color w:val="auto"/>
          <w:sz w:val="24"/>
          <w:szCs w:val="24"/>
          <w:highlight w:val="none"/>
          <w:lang w:eastAsia="zh-CN"/>
        </w:rPr>
        <w:t>偏离说明。</w:t>
      </w:r>
    </w:p>
    <w:p>
      <w:pPr>
        <w:pStyle w:val="16"/>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2.供应商应根据自身的承诺，对照磋商文件要求，在“偏离说明”中注明“正偏离”、“负偏离”或者“无偏离”。既不属于“正偏离”也不属于“负偏离”即为“无偏离”。</w:t>
      </w:r>
      <w:r>
        <w:rPr>
          <w:rFonts w:hint="eastAsia" w:ascii="宋体" w:hAnsi="宋体" w:eastAsia="宋体" w:cs="宋体"/>
          <w:b/>
          <w:bCs/>
          <w:color w:val="auto"/>
          <w:sz w:val="24"/>
          <w:szCs w:val="24"/>
          <w:highlight w:val="none"/>
          <w:lang w:eastAsia="zh-CN"/>
        </w:rPr>
        <w:t>当响应文件的</w:t>
      </w:r>
      <w:r>
        <w:rPr>
          <w:rFonts w:hint="eastAsia" w:ascii="宋体" w:hAnsi="宋体" w:eastAsia="宋体" w:cs="宋体"/>
          <w:color w:val="auto"/>
          <w:sz w:val="24"/>
          <w:szCs w:val="24"/>
          <w:highlight w:val="none"/>
          <w:lang w:eastAsia="zh-CN"/>
        </w:rPr>
        <w:t>商务内容低于竞争性磋商文件要求时，竞标人应当如实写明“负偏离”，否则视为虚假应标</w:t>
      </w:r>
    </w:p>
    <w:p>
      <w:pPr>
        <w:pStyle w:val="16"/>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3.表格内容均需按要求填写，不得留空，否则按竞标无效处理。</w:t>
      </w:r>
    </w:p>
    <w:p>
      <w:pPr>
        <w:pStyle w:val="16"/>
        <w:keepNext w:val="0"/>
        <w:keepLines w:val="0"/>
        <w:pageBreakBefore w:val="0"/>
        <w:widowControl w:val="0"/>
        <w:kinsoku/>
        <w:wordWrap/>
        <w:overflowPunct/>
        <w:topLinePunct w:val="0"/>
        <w:autoSpaceDE/>
        <w:autoSpaceDN/>
        <w:bidi w:val="0"/>
        <w:adjustRightInd/>
        <w:snapToGrid/>
        <w:spacing w:line="400" w:lineRule="exact"/>
        <w:contextualSpacing/>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pStyle w:val="16"/>
        <w:spacing w:line="360" w:lineRule="auto"/>
        <w:contextualSpacing/>
        <w:rPr>
          <w:rFonts w:hint="eastAsia" w:ascii="宋体" w:hAnsi="宋体" w:eastAsia="宋体" w:cs="宋体"/>
          <w:color w:val="auto"/>
          <w:sz w:val="24"/>
          <w:highlight w:val="none"/>
          <w:lang w:eastAsia="zh-CN"/>
        </w:rPr>
      </w:pPr>
    </w:p>
    <w:p>
      <w:pPr>
        <w:spacing w:line="360" w:lineRule="auto"/>
        <w:ind w:firstLine="3840" w:firstLineChars="1600"/>
        <w:rPr>
          <w:rFonts w:hint="eastAsia" w:ascii="宋体" w:hAnsi="宋体" w:eastAsia="宋体" w:cs="宋体"/>
          <w:color w:val="auto"/>
          <w:sz w:val="24"/>
          <w:highlight w:val="none"/>
        </w:rPr>
      </w:pPr>
      <w:r>
        <w:rPr>
          <w:rFonts w:hint="eastAsia" w:ascii="宋体" w:hAnsi="宋体" w:eastAsia="宋体" w:cs="宋体"/>
          <w:color w:val="auto"/>
          <w:kern w:val="0"/>
          <w:sz w:val="24"/>
          <w:highlight w:val="none"/>
        </w:rPr>
        <w:t>供应商名称（电子签章）：</w:t>
      </w:r>
    </w:p>
    <w:p>
      <w:pPr>
        <w:spacing w:line="360" w:lineRule="auto"/>
        <w:contextualSpacing/>
        <w:jc w:val="center"/>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日期：  年  月   日</w:t>
      </w: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五、竞标人情况介绍</w:t>
      </w:r>
    </w:p>
    <w:p>
      <w:pPr>
        <w:snapToGrid w:val="0"/>
        <w:spacing w:line="360" w:lineRule="auto"/>
        <w:ind w:firstLine="602" w:firstLineChars="200"/>
        <w:rPr>
          <w:rFonts w:hint="eastAsia" w:ascii="宋体" w:hAnsi="宋体" w:eastAsia="宋体" w:cs="宋体"/>
          <w:b/>
          <w:color w:val="auto"/>
          <w:sz w:val="30"/>
          <w:szCs w:val="30"/>
          <w:highlight w:val="none"/>
        </w:rPr>
      </w:pPr>
    </w:p>
    <w:p>
      <w:pPr>
        <w:pStyle w:val="13"/>
        <w:spacing w:line="360" w:lineRule="auto"/>
        <w:rPr>
          <w:rFonts w:hint="eastAsia" w:ascii="宋体" w:hAnsi="宋体" w:eastAsia="宋体" w:cs="宋体"/>
          <w:b/>
          <w:color w:val="auto"/>
          <w:sz w:val="30"/>
          <w:szCs w:val="30"/>
          <w:highlight w:val="none"/>
        </w:rPr>
      </w:pPr>
    </w:p>
    <w:p>
      <w:pPr>
        <w:pStyle w:val="13"/>
        <w:spacing w:line="360" w:lineRule="auto"/>
        <w:rPr>
          <w:rFonts w:hint="eastAsia" w:ascii="宋体" w:hAnsi="宋体" w:eastAsia="宋体" w:cs="宋体"/>
          <w:b/>
          <w:color w:val="auto"/>
          <w:sz w:val="30"/>
          <w:szCs w:val="30"/>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pacing w:line="360" w:lineRule="auto"/>
        <w:ind w:left="0" w:leftChars="0" w:firstLine="6098" w:firstLineChars="2541"/>
        <w:contextualSpacing/>
        <w:jc w:val="both"/>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pPr>
        <w:snapToGrid w:val="0"/>
        <w:spacing w:before="120" w:beforeLines="50" w:after="50" w:line="360" w:lineRule="auto"/>
        <w:ind w:firstLine="602" w:firstLineChars="200"/>
        <w:rPr>
          <w:rFonts w:hint="eastAsia" w:ascii="宋体" w:hAnsi="宋体" w:eastAsia="宋体" w:cs="宋体"/>
          <w:b/>
          <w:color w:val="auto"/>
          <w:sz w:val="30"/>
          <w:szCs w:val="30"/>
          <w:highlight w:val="none"/>
        </w:rPr>
      </w:pPr>
    </w:p>
    <w:p>
      <w:pPr>
        <w:snapToGrid w:val="0"/>
        <w:spacing w:before="120" w:beforeLines="50" w:after="50" w:line="360" w:lineRule="auto"/>
        <w:ind w:firstLine="602" w:firstLineChars="200"/>
        <w:rPr>
          <w:rFonts w:hint="eastAsia" w:ascii="宋体" w:hAnsi="宋体" w:eastAsia="宋体" w:cs="宋体"/>
          <w:b/>
          <w:color w:val="auto"/>
          <w:sz w:val="30"/>
          <w:szCs w:val="30"/>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tabs>
          <w:tab w:val="left" w:pos="826"/>
        </w:tabs>
        <w:snapToGrid w:val="0"/>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六</w:t>
      </w:r>
      <w:r>
        <w:rPr>
          <w:rFonts w:hint="eastAsia" w:ascii="宋体" w:hAnsi="宋体" w:eastAsia="宋体" w:cs="宋体"/>
          <w:b/>
          <w:color w:val="auto"/>
          <w:sz w:val="30"/>
          <w:szCs w:val="30"/>
          <w:highlight w:val="none"/>
        </w:rPr>
        <w:t>、供应商类似业绩的证明文件</w:t>
      </w:r>
    </w:p>
    <w:p>
      <w:pPr>
        <w:tabs>
          <w:tab w:val="left" w:pos="826"/>
        </w:tabs>
        <w:snapToGrid w:val="0"/>
        <w:ind w:firstLine="602" w:firstLineChars="200"/>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rPr>
        <w:t>类似</w:t>
      </w:r>
      <w:r>
        <w:rPr>
          <w:rFonts w:hint="eastAsia" w:ascii="宋体" w:hAnsi="宋体" w:cs="宋体"/>
          <w:b/>
          <w:color w:val="auto"/>
          <w:sz w:val="30"/>
          <w:szCs w:val="30"/>
          <w:highlight w:val="none"/>
          <w:lang w:val="en-US" w:eastAsia="zh-CN"/>
        </w:rPr>
        <w:t>业绩</w:t>
      </w:r>
      <w:r>
        <w:rPr>
          <w:rFonts w:hint="eastAsia" w:ascii="宋体" w:hAnsi="宋体" w:cs="宋体"/>
          <w:b/>
          <w:color w:val="auto"/>
          <w:sz w:val="30"/>
          <w:szCs w:val="30"/>
          <w:highlight w:val="none"/>
        </w:rPr>
        <w:t>一览表</w:t>
      </w:r>
    </w:p>
    <w:p>
      <w:pPr>
        <w:pStyle w:val="13"/>
        <w:rPr>
          <w:color w:val="auto"/>
          <w:highlight w:val="none"/>
        </w:rPr>
      </w:pP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60"/>
        <w:gridCol w:w="2409"/>
        <w:gridCol w:w="1284"/>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序号</w:t>
            </w: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发包人名称</w:t>
            </w:r>
          </w:p>
        </w:tc>
        <w:tc>
          <w:tcPr>
            <w:tcW w:w="2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工程名称</w:t>
            </w:r>
          </w:p>
          <w:p>
            <w:pPr>
              <w:jc w:val="center"/>
              <w:rPr>
                <w:rFonts w:ascii="宋体" w:hAnsi="宋体"/>
                <w:color w:val="auto"/>
                <w:sz w:val="24"/>
                <w:szCs w:val="24"/>
                <w:highlight w:val="none"/>
              </w:rPr>
            </w:pPr>
            <w:r>
              <w:rPr>
                <w:rFonts w:hint="eastAsia" w:ascii="宋体" w:hAnsi="宋体" w:cs="宋体"/>
                <w:color w:val="auto"/>
                <w:sz w:val="24"/>
                <w:szCs w:val="24"/>
                <w:highlight w:val="none"/>
              </w:rPr>
              <w:t>及建设地点</w:t>
            </w: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建设规模</w:t>
            </w: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r>
              <w:rPr>
                <w:rFonts w:hint="eastAsia" w:ascii="宋体" w:hAnsi="宋体" w:cs="宋体"/>
                <w:color w:val="auto"/>
                <w:sz w:val="24"/>
                <w:szCs w:val="24"/>
                <w:highlight w:val="none"/>
              </w:rPr>
              <w:t>合同金额</w:t>
            </w:r>
          </w:p>
          <w:p>
            <w:pPr>
              <w:jc w:val="center"/>
              <w:rPr>
                <w:rFonts w:ascii="宋体" w:hAnsi="宋体"/>
                <w:color w:val="auto"/>
                <w:sz w:val="24"/>
                <w:szCs w:val="24"/>
                <w:highlight w:val="none"/>
              </w:rPr>
            </w:pPr>
            <w:r>
              <w:rPr>
                <w:rFonts w:hint="eastAsia" w:ascii="宋体" w:hAnsi="宋体" w:cs="宋体"/>
                <w:color w:val="auto"/>
                <w:sz w:val="24"/>
                <w:szCs w:val="24"/>
                <w:highlight w:val="none"/>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72"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240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2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olor w:val="auto"/>
                <w:sz w:val="24"/>
                <w:szCs w:val="24"/>
                <w:highlight w:val="none"/>
              </w:rPr>
            </w:pPr>
          </w:p>
        </w:tc>
      </w:tr>
    </w:tbl>
    <w:p>
      <w:pPr>
        <w:ind w:firstLine="480" w:firstLineChars="200"/>
        <w:rPr>
          <w:rFonts w:ascii="宋体" w:hAnsi="宋体"/>
          <w:color w:val="auto"/>
          <w:sz w:val="24"/>
          <w:szCs w:val="24"/>
          <w:highlight w:val="none"/>
        </w:rPr>
      </w:pPr>
      <w:r>
        <w:rPr>
          <w:rFonts w:hint="eastAsia" w:ascii="宋体" w:hAnsi="宋体" w:cs="楷体_GB2312"/>
          <w:color w:val="auto"/>
          <w:sz w:val="24"/>
          <w:szCs w:val="24"/>
          <w:highlight w:val="none"/>
        </w:rPr>
        <w:t>备注：</w:t>
      </w:r>
    </w:p>
    <w:p>
      <w:pPr>
        <w:ind w:firstLine="720" w:firstLineChars="300"/>
        <w:rPr>
          <w:rFonts w:ascii="宋体" w:hAnsi="宋体"/>
          <w:color w:val="auto"/>
          <w:sz w:val="24"/>
          <w:szCs w:val="24"/>
          <w:highlight w:val="none"/>
        </w:rPr>
      </w:pPr>
      <w:bookmarkStart w:id="110" w:name="OLE_LINK26"/>
      <w:r>
        <w:rPr>
          <w:rFonts w:ascii="宋体" w:hAnsi="宋体"/>
          <w:color w:val="auto"/>
          <w:sz w:val="24"/>
          <w:szCs w:val="24"/>
          <w:highlight w:val="none"/>
        </w:rPr>
        <w:t>1</w:t>
      </w:r>
      <w:r>
        <w:rPr>
          <w:rFonts w:hint="eastAsia" w:ascii="宋体" w:hAnsi="宋体" w:cs="楷体_GB2312"/>
          <w:color w:val="auto"/>
          <w:sz w:val="24"/>
          <w:szCs w:val="24"/>
          <w:highlight w:val="none"/>
        </w:rPr>
        <w:t>、</w:t>
      </w:r>
      <w:r>
        <w:rPr>
          <w:rFonts w:hint="eastAsia" w:ascii="宋体" w:hAnsi="宋体" w:eastAsia="宋体" w:cs="楷体_GB2312"/>
          <w:sz w:val="24"/>
          <w:szCs w:val="24"/>
        </w:rPr>
        <w:t>附以上类似工程的</w:t>
      </w:r>
      <w:r>
        <w:rPr>
          <w:rFonts w:hint="eastAsia" w:ascii="宋体" w:hAnsi="宋体" w:eastAsia="宋体" w:cs="Tahoma"/>
          <w:kern w:val="0"/>
          <w:sz w:val="24"/>
          <w:szCs w:val="24"/>
          <w:highlight w:val="none"/>
          <w:lang w:val="en-US" w:eastAsia="zh-CN"/>
        </w:rPr>
        <w:t>中标（</w:t>
      </w:r>
      <w:r>
        <w:rPr>
          <w:rFonts w:ascii="宋体" w:hAnsi="宋体" w:eastAsia="宋体" w:cs="Tahoma"/>
          <w:kern w:val="0"/>
          <w:sz w:val="24"/>
          <w:szCs w:val="24"/>
          <w:highlight w:val="none"/>
        </w:rPr>
        <w:t>成交</w:t>
      </w:r>
      <w:r>
        <w:rPr>
          <w:rFonts w:hint="eastAsia" w:ascii="宋体" w:hAnsi="宋体" w:eastAsia="宋体" w:cs="Tahoma"/>
          <w:kern w:val="0"/>
          <w:sz w:val="24"/>
          <w:szCs w:val="24"/>
          <w:highlight w:val="none"/>
          <w:lang w:eastAsia="zh-CN"/>
        </w:rPr>
        <w:t>）</w:t>
      </w:r>
      <w:r>
        <w:rPr>
          <w:rFonts w:hint="eastAsia" w:ascii="宋体" w:hAnsi="宋体" w:eastAsia="宋体" w:cs="楷体_GB2312"/>
          <w:sz w:val="24"/>
          <w:szCs w:val="24"/>
        </w:rPr>
        <w:t>通知书或工程合同</w:t>
      </w:r>
      <w:r>
        <w:rPr>
          <w:rFonts w:hint="eastAsia" w:ascii="宋体" w:hAnsi="宋体" w:cs="楷体_GB2312"/>
          <w:color w:val="auto"/>
          <w:sz w:val="24"/>
          <w:szCs w:val="24"/>
          <w:highlight w:val="none"/>
        </w:rPr>
        <w:t>。</w:t>
      </w:r>
    </w:p>
    <w:bookmarkEnd w:id="110"/>
    <w:p>
      <w:pPr>
        <w:jc w:val="center"/>
        <w:rPr>
          <w:rFonts w:ascii="宋体" w:hAnsi="宋体"/>
          <w:color w:val="auto"/>
          <w:sz w:val="24"/>
          <w:szCs w:val="24"/>
          <w:highlight w:val="none"/>
        </w:rPr>
      </w:pPr>
    </w:p>
    <w:p>
      <w:pPr>
        <w:widowControl/>
        <w:tabs>
          <w:tab w:val="center" w:pos="4153"/>
          <w:tab w:val="right" w:pos="8306"/>
        </w:tabs>
        <w:snapToGrid w:val="0"/>
        <w:jc w:val="left"/>
        <w:rPr>
          <w:rFonts w:ascii="宋体" w:hAnsi="宋体"/>
          <w:color w:val="auto"/>
          <w:kern w:val="0"/>
          <w:sz w:val="24"/>
          <w:szCs w:val="24"/>
          <w:highlight w:val="none"/>
        </w:rPr>
      </w:pPr>
    </w:p>
    <w:p>
      <w:pPr>
        <w:widowControl/>
        <w:tabs>
          <w:tab w:val="center" w:pos="4153"/>
          <w:tab w:val="right" w:pos="8306"/>
        </w:tabs>
        <w:snapToGrid w:val="0"/>
        <w:jc w:val="left"/>
        <w:rPr>
          <w:rFonts w:ascii="宋体" w:hAnsi="宋体"/>
          <w:color w:val="auto"/>
          <w:kern w:val="0"/>
          <w:sz w:val="24"/>
          <w:szCs w:val="24"/>
          <w:highlight w:val="none"/>
        </w:rPr>
      </w:pPr>
    </w:p>
    <w:p>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eastAsia="zh-CN"/>
        </w:rPr>
      </w:pPr>
    </w:p>
    <w:p>
      <w:pPr>
        <w:pStyle w:val="21"/>
        <w:snapToGrid w:val="0"/>
        <w:spacing w:line="360" w:lineRule="auto"/>
        <w:ind w:left="480" w:hanging="480"/>
        <w:rPr>
          <w:rFonts w:hint="eastAsia" w:ascii="宋体" w:hAnsi="宋体" w:eastAsia="宋体" w:cs="宋体"/>
          <w:color w:val="auto"/>
          <w:sz w:val="24"/>
          <w:highlight w:val="none"/>
        </w:rPr>
      </w:pPr>
    </w:p>
    <w:p>
      <w:pPr>
        <w:jc w:val="center"/>
        <w:rPr>
          <w:rFonts w:hint="eastAsia" w:ascii="宋体" w:hAnsi="宋体" w:cs="宋体"/>
          <w:b/>
          <w:color w:val="auto"/>
          <w:sz w:val="30"/>
          <w:szCs w:val="30"/>
          <w:highlight w:val="none"/>
        </w:rPr>
      </w:pPr>
      <w:r>
        <w:rPr>
          <w:rFonts w:hint="eastAsia" w:ascii="宋体" w:hAnsi="宋体" w:cs="宋体"/>
          <w:b/>
          <w:color w:val="auto"/>
          <w:sz w:val="30"/>
          <w:szCs w:val="30"/>
          <w:highlight w:val="none"/>
          <w:lang w:val="en-US" w:eastAsia="zh-CN"/>
        </w:rPr>
        <w:t>七</w:t>
      </w:r>
      <w:r>
        <w:rPr>
          <w:rFonts w:hint="eastAsia" w:ascii="宋体" w:hAnsi="宋体" w:cs="宋体"/>
          <w:b/>
          <w:color w:val="auto"/>
          <w:sz w:val="30"/>
          <w:szCs w:val="30"/>
          <w:highlight w:val="none"/>
        </w:rPr>
        <w:t>、供应商认为需要提供的其他有关资料</w:t>
      </w: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pStyle w:val="36"/>
        <w:rPr>
          <w:rFonts w:hint="eastAsia" w:ascii="宋体" w:hAnsi="宋体" w:cs="宋体"/>
          <w:b/>
          <w:color w:val="auto"/>
          <w:sz w:val="30"/>
          <w:szCs w:val="30"/>
          <w:highlight w:val="none"/>
        </w:rPr>
      </w:pPr>
    </w:p>
    <w:p>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val="en-US" w:eastAsia="zh-CN"/>
        </w:rPr>
        <w:t>八</w:t>
      </w:r>
      <w:r>
        <w:rPr>
          <w:rFonts w:hint="eastAsia" w:ascii="宋体" w:hAnsi="宋体" w:cs="宋体"/>
          <w:b/>
          <w:color w:val="auto"/>
          <w:sz w:val="30"/>
          <w:szCs w:val="30"/>
          <w:highlight w:val="none"/>
          <w:lang w:eastAsia="zh-CN"/>
        </w:rPr>
        <w:t>、采购需求内容响应偏离表</w:t>
      </w:r>
    </w:p>
    <w:p>
      <w:pPr>
        <w:jc w:val="center"/>
        <w:rPr>
          <w:rFonts w:hint="eastAsia" w:ascii="宋体" w:hAnsi="宋体" w:cs="宋体"/>
          <w:b/>
          <w:color w:val="auto"/>
          <w:sz w:val="30"/>
          <w:szCs w:val="30"/>
          <w:highlight w:val="none"/>
          <w:lang w:eastAsia="zh-CN"/>
        </w:rPr>
      </w:pPr>
    </w:p>
    <w:p>
      <w:pPr>
        <w:spacing w:line="360" w:lineRule="auto"/>
        <w:jc w:val="center"/>
        <w:rPr>
          <w:rFonts w:hint="eastAsia" w:ascii="宋体" w:hAnsi="宋体" w:eastAsia="宋体" w:cs="宋体"/>
          <w:bCs/>
          <w:color w:val="auto"/>
          <w:sz w:val="36"/>
          <w:szCs w:val="36"/>
          <w:highlight w:val="none"/>
        </w:rPr>
      </w:pPr>
      <w:r>
        <w:rPr>
          <w:rFonts w:hint="eastAsia" w:ascii="宋体" w:hAnsi="宋体" w:eastAsia="宋体" w:cs="宋体"/>
          <w:b/>
          <w:bCs w:val="0"/>
          <w:color w:val="auto"/>
          <w:sz w:val="44"/>
          <w:szCs w:val="44"/>
          <w:highlight w:val="none"/>
          <w:lang w:val="en-US" w:eastAsia="zh-CN"/>
        </w:rPr>
        <w:t>采购</w:t>
      </w:r>
      <w:r>
        <w:rPr>
          <w:rFonts w:hint="eastAsia" w:ascii="宋体" w:hAnsi="宋体" w:eastAsia="宋体" w:cs="宋体"/>
          <w:b/>
          <w:bCs w:val="0"/>
          <w:color w:val="auto"/>
          <w:sz w:val="44"/>
          <w:szCs w:val="44"/>
          <w:highlight w:val="none"/>
        </w:rPr>
        <w:t>需求</w:t>
      </w:r>
      <w:r>
        <w:rPr>
          <w:rFonts w:hint="eastAsia" w:ascii="宋体" w:hAnsi="宋体" w:eastAsia="宋体" w:cs="宋体"/>
          <w:b/>
          <w:bCs w:val="0"/>
          <w:color w:val="auto"/>
          <w:sz w:val="44"/>
          <w:szCs w:val="44"/>
          <w:highlight w:val="none"/>
          <w:lang w:val="en-US" w:eastAsia="zh-CN"/>
        </w:rPr>
        <w:t>内容响应</w:t>
      </w:r>
      <w:r>
        <w:rPr>
          <w:rFonts w:hint="eastAsia" w:ascii="宋体" w:hAnsi="宋体" w:eastAsia="宋体" w:cs="宋体"/>
          <w:b/>
          <w:bCs w:val="0"/>
          <w:color w:val="auto"/>
          <w:sz w:val="44"/>
          <w:szCs w:val="44"/>
          <w:highlight w:val="none"/>
        </w:rPr>
        <w:t>偏离表</w:t>
      </w:r>
    </w:p>
    <w:p>
      <w:pPr>
        <w:pStyle w:val="12"/>
        <w:pageBreakBefore w:val="0"/>
        <w:kinsoku/>
        <w:overflowPunct/>
        <w:topLinePunct w:val="0"/>
        <w:bidi w:val="0"/>
        <w:spacing w:after="0" w:line="360" w:lineRule="auto"/>
        <w:contextualSpacing/>
        <w:rPr>
          <w:rFonts w:hint="eastAsia" w:ascii="宋体" w:hAnsi="宋体" w:eastAsia="宋体" w:cs="宋体"/>
          <w:color w:val="auto"/>
          <w:sz w:val="24"/>
          <w:highlight w:val="none"/>
          <w:u w:val="single"/>
        </w:rPr>
      </w:pPr>
      <w:r>
        <w:rPr>
          <w:rFonts w:hint="eastAsia" w:ascii="宋体" w:hAnsi="宋体" w:eastAsia="宋体" w:cs="宋体"/>
          <w:color w:val="auto"/>
          <w:kern w:val="0"/>
          <w:sz w:val="21"/>
          <w:szCs w:val="21"/>
          <w:highlight w:val="none"/>
        </w:rPr>
        <w:t>分标号（此处有分标时填写具体分标号，无分标时填写“无”）：</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sz w:val="24"/>
          <w:highlight w:val="none"/>
          <w:u w:val="single"/>
        </w:rPr>
        <w:t xml:space="preserve"> </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0"/>
        <w:gridCol w:w="1502"/>
        <w:gridCol w:w="790"/>
        <w:gridCol w:w="1692"/>
        <w:gridCol w:w="1318"/>
        <w:gridCol w:w="763"/>
        <w:gridCol w:w="1400"/>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jc w:val="center"/>
        </w:trPr>
        <w:tc>
          <w:tcPr>
            <w:tcW w:w="620"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项号</w:t>
            </w:r>
          </w:p>
        </w:tc>
        <w:tc>
          <w:tcPr>
            <w:tcW w:w="3984"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竞争性磋商采购文件需求</w:t>
            </w:r>
          </w:p>
        </w:tc>
        <w:tc>
          <w:tcPr>
            <w:tcW w:w="3481" w:type="dxa"/>
            <w:gridSpan w:val="3"/>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响应文件承诺</w:t>
            </w:r>
          </w:p>
        </w:tc>
        <w:tc>
          <w:tcPr>
            <w:tcW w:w="1225" w:type="dxa"/>
            <w:vMerge w:val="restart"/>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8" w:hRule="atLeast"/>
          <w:jc w:val="center"/>
        </w:trPr>
        <w:tc>
          <w:tcPr>
            <w:tcW w:w="620"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c>
          <w:tcPr>
            <w:tcW w:w="150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工程概况及采购范围</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标的的名称</w:t>
            </w:r>
          </w:p>
        </w:tc>
        <w:tc>
          <w:tcPr>
            <w:tcW w:w="76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cs="宋体"/>
                <w:color w:val="auto"/>
                <w:szCs w:val="21"/>
                <w:highlight w:val="none"/>
              </w:rPr>
              <w:t>数量</w:t>
            </w:r>
            <w:r>
              <w:rPr>
                <w:rFonts w:ascii="宋体" w:hAnsi="宋体" w:cs="宋体"/>
                <w:color w:val="auto"/>
                <w:szCs w:val="21"/>
                <w:highlight w:val="none"/>
              </w:rPr>
              <w:t>及单位</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承诺的工程概况及采购范围</w:t>
            </w:r>
          </w:p>
        </w:tc>
        <w:tc>
          <w:tcPr>
            <w:tcW w:w="122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widowControl/>
              <w:kinsoku/>
              <w:overflowPunct/>
              <w:topLinePunct w:val="0"/>
              <w:bidi w:val="0"/>
              <w:spacing w:line="360" w:lineRule="auto"/>
              <w:jc w:val="left"/>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3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  ……</w:t>
            </w:r>
          </w:p>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2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2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p>
        </w:tc>
        <w:tc>
          <w:tcPr>
            <w:tcW w:w="150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9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692"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318"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763"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400"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c>
          <w:tcPr>
            <w:tcW w:w="1225" w:type="dxa"/>
            <w:tcBorders>
              <w:top w:val="single" w:color="auto" w:sz="4" w:space="0"/>
              <w:left w:val="single" w:color="auto" w:sz="4" w:space="0"/>
              <w:bottom w:val="single" w:color="auto" w:sz="4" w:space="0"/>
              <w:right w:val="single" w:color="auto" w:sz="4" w:space="0"/>
            </w:tcBorders>
            <w:noWrap w:val="0"/>
            <w:vAlign w:val="center"/>
          </w:tcPr>
          <w:p>
            <w:pPr>
              <w:pageBreakBefore w:val="0"/>
              <w:kinsoku/>
              <w:overflowPunct/>
              <w:topLinePunct w:val="0"/>
              <w:bidi w:val="0"/>
              <w:spacing w:line="360" w:lineRule="auto"/>
              <w:rPr>
                <w:rFonts w:hint="eastAsia" w:ascii="宋体" w:hAnsi="宋体" w:eastAsia="宋体" w:cs="宋体"/>
                <w:color w:val="auto"/>
                <w:szCs w:val="21"/>
                <w:highlight w:val="none"/>
              </w:rPr>
            </w:pPr>
          </w:p>
        </w:tc>
      </w:tr>
    </w:tbl>
    <w:p>
      <w:pPr>
        <w:pStyle w:val="12"/>
        <w:pageBreakBefore w:val="0"/>
        <w:kinsoku/>
        <w:overflowPunct/>
        <w:topLinePunct w:val="0"/>
        <w:bidi w:val="0"/>
        <w:spacing w:after="0" w:line="360" w:lineRule="auto"/>
        <w:contextualSpacing/>
        <w:rPr>
          <w:rFonts w:hint="eastAsia" w:ascii="宋体" w:hAnsi="宋体" w:eastAsia="宋体" w:cs="宋体"/>
          <w:color w:val="auto"/>
          <w:kern w:val="0"/>
          <w:sz w:val="24"/>
          <w:szCs w:val="24"/>
          <w:highlight w:val="none"/>
        </w:rPr>
      </w:pPr>
    </w:p>
    <w:p>
      <w:pPr>
        <w:pStyle w:val="12"/>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w:t>
      </w:r>
    </w:p>
    <w:p>
      <w:pPr>
        <w:pStyle w:val="12"/>
        <w:pageBreakBefore w:val="0"/>
        <w:kinsoku/>
        <w:overflowPunct/>
        <w:topLinePunct w:val="0"/>
        <w:bidi w:val="0"/>
        <w:spacing w:after="0" w:line="360" w:lineRule="auto"/>
        <w:contextualSpacing/>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1.说明：应对照磋商文件</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第二章</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采购</w:t>
      </w:r>
      <w:r>
        <w:rPr>
          <w:rFonts w:hint="eastAsia" w:ascii="宋体" w:hAnsi="宋体" w:eastAsia="宋体" w:cs="宋体"/>
          <w:color w:val="auto"/>
          <w:kern w:val="0"/>
          <w:sz w:val="21"/>
          <w:szCs w:val="21"/>
          <w:highlight w:val="none"/>
        </w:rPr>
        <w:t>需求</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rPr>
        <w:t>的工程概况及采购范围逐条作出明确响应，并作出偏离说明。</w:t>
      </w:r>
    </w:p>
    <w:p>
      <w:pPr>
        <w:pStyle w:val="14"/>
        <w:pageBreakBefore w:val="0"/>
        <w:kinsoku/>
        <w:overflowPunct/>
        <w:topLinePunct w:val="0"/>
        <w:bidi w:val="0"/>
        <w:spacing w:line="360" w:lineRule="auto"/>
        <w:ind w:firstLine="0" w:firstLineChars="0"/>
        <w:contextualSpacing/>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2.供应商应根据自身的承诺，对照磋商文件要求，在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偏离说明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中注明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或者</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。既不属于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正偏离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也不属于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即为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无偏离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当响应文件的商务内容低于竞争性磋商采购文件要求时，竞标人应当如实写明</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负偏离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，否则视为虚假应标</w:t>
      </w:r>
      <w:r>
        <w:rPr>
          <w:rFonts w:hint="eastAsia" w:ascii="宋体" w:hAnsi="宋体" w:eastAsia="宋体" w:cs="宋体"/>
          <w:color w:val="auto"/>
          <w:sz w:val="21"/>
          <w:szCs w:val="21"/>
          <w:highlight w:val="none"/>
          <w:lang w:eastAsia="zh-CN"/>
        </w:rPr>
        <w:t>。</w:t>
      </w:r>
    </w:p>
    <w:p>
      <w:pPr>
        <w:pageBreakBefore w:val="0"/>
        <w:kinsoku/>
        <w:overflowPunct/>
        <w:topLinePunct w:val="0"/>
        <w:bidi w:val="0"/>
        <w:spacing w:line="360" w:lineRule="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3.表格内容均需按要求填写并盖章，不得留空，否则按竞标无效处理。</w:t>
      </w:r>
    </w:p>
    <w:p>
      <w:pPr>
        <w:pageBreakBefore w:val="0"/>
        <w:kinsoku/>
        <w:overflowPunct/>
        <w:topLinePunct w:val="0"/>
        <w:bidi w:val="0"/>
        <w:spacing w:line="360" w:lineRule="auto"/>
        <w:contextualSpacing/>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采购需求为小于、小于等于、大于或大于等于某个数值标准时，响应文件承诺不得直接复制采购需求，响应文件承诺内容应当写明竞标服务具体参数或商务响应承诺的具体数值，否则按竞标无效处理。如该采购需求属于不能明确具体数值的，采购人应在此采购需求的数值后标注◆号，对标注◆号的采购需求不适用上述“竞标无效”条款。</w:t>
      </w:r>
    </w:p>
    <w:p>
      <w:pPr>
        <w:pageBreakBefore w:val="0"/>
        <w:kinsoku/>
        <w:overflowPunct/>
        <w:topLinePunct w:val="0"/>
        <w:bidi w:val="0"/>
        <w:spacing w:line="360" w:lineRule="auto"/>
        <w:contextualSpacing/>
        <w:rPr>
          <w:rFonts w:hint="eastAsia" w:ascii="宋体" w:hAnsi="宋体" w:eastAsia="宋体" w:cs="宋体"/>
          <w:b/>
          <w:color w:val="auto"/>
          <w:sz w:val="30"/>
          <w:szCs w:val="30"/>
          <w:highlight w:val="none"/>
        </w:rPr>
      </w:pPr>
      <w:r>
        <w:rPr>
          <w:rFonts w:hint="eastAsia" w:ascii="宋体" w:hAnsi="宋体" w:eastAsia="宋体" w:cs="宋体"/>
          <w:color w:val="auto"/>
          <w:kern w:val="0"/>
          <w:szCs w:val="21"/>
          <w:highlight w:val="none"/>
        </w:rPr>
        <w:t>5. 如技术偏离表中的竞标响应与佐证材料不一致的，以佐证材料为准。</w:t>
      </w:r>
    </w:p>
    <w:p>
      <w:pPr>
        <w:pageBreakBefore w:val="0"/>
        <w:kinsoku/>
        <w:overflowPunct/>
        <w:topLinePunct w:val="0"/>
        <w:autoSpaceDE w:val="0"/>
        <w:autoSpaceDN w:val="0"/>
        <w:bidi w:val="0"/>
        <w:spacing w:line="360" w:lineRule="auto"/>
        <w:ind w:left="4334" w:leftChars="2064" w:firstLine="720" w:firstLineChars="3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pageBreakBefore w:val="0"/>
        <w:kinsoku/>
        <w:overflowPunct/>
        <w:topLinePunct w:val="0"/>
        <w:autoSpaceDE w:val="0"/>
        <w:autoSpaceDN w:val="0"/>
        <w:bidi w:val="0"/>
        <w:spacing w:line="360" w:lineRule="auto"/>
        <w:ind w:firstLine="7440" w:firstLineChars="3100"/>
        <w:rPr>
          <w:rFonts w:hint="eastAsia" w:ascii="宋体" w:hAnsi="宋体" w:eastAsia="宋体" w:cs="宋体"/>
          <w:b/>
          <w:bCs/>
          <w:color w:val="auto"/>
          <w:sz w:val="24"/>
          <w:highlight w:val="none"/>
        </w:rPr>
      </w:pPr>
      <w:r>
        <w:rPr>
          <w:rFonts w:hint="eastAsia" w:ascii="宋体" w:hAnsi="宋体" w:eastAsia="宋体" w:cs="宋体"/>
          <w:color w:val="auto"/>
          <w:kern w:val="0"/>
          <w:sz w:val="24"/>
          <w:highlight w:val="none"/>
          <w:lang w:val="zh-CN"/>
        </w:rPr>
        <w:t>日期：  年  月   日</w:t>
      </w:r>
    </w:p>
    <w:p>
      <w:pPr>
        <w:jc w:val="center"/>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val="en-US" w:eastAsia="zh-CN"/>
        </w:rPr>
        <w:t>九</w:t>
      </w:r>
      <w:r>
        <w:rPr>
          <w:rFonts w:hint="eastAsia" w:ascii="宋体" w:hAnsi="宋体" w:cs="宋体"/>
          <w:b/>
          <w:color w:val="auto"/>
          <w:sz w:val="30"/>
          <w:szCs w:val="30"/>
          <w:highlight w:val="none"/>
          <w:lang w:eastAsia="zh-CN"/>
        </w:rPr>
        <w:t>、企业概况表</w:t>
      </w:r>
    </w:p>
    <w:tbl>
      <w:tblPr>
        <w:tblStyle w:val="24"/>
        <w:tblW w:w="0" w:type="auto"/>
        <w:jc w:val="center"/>
        <w:tblLayout w:type="fixed"/>
        <w:tblCellMar>
          <w:top w:w="0" w:type="dxa"/>
          <w:left w:w="0" w:type="dxa"/>
          <w:bottom w:w="0" w:type="dxa"/>
          <w:right w:w="0" w:type="dxa"/>
        </w:tblCellMar>
      </w:tblPr>
      <w:tblGrid>
        <w:gridCol w:w="2008"/>
        <w:gridCol w:w="1318"/>
        <w:gridCol w:w="1382"/>
        <w:gridCol w:w="1400"/>
        <w:gridCol w:w="1513"/>
        <w:gridCol w:w="1187"/>
      </w:tblGrid>
      <w:tr>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r>
              <w:rPr>
                <w:rFonts w:hint="eastAsia" w:ascii="新宋体" w:hAnsi="新宋体" w:eastAsia="新宋体"/>
              </w:rPr>
              <w:t>企业注册名称</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ind w:left="72"/>
              <w:jc w:val="center"/>
              <w:rPr>
                <w:rFonts w:ascii="新宋体" w:hAnsi="新宋体" w:eastAsia="新宋体"/>
              </w:rPr>
            </w:pPr>
            <w:r>
              <w:rPr>
                <w:rFonts w:hint="eastAsia" w:ascii="新宋体" w:hAnsi="新宋体" w:eastAsia="新宋体"/>
              </w:rPr>
              <w:t>建立日期</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p>
        </w:tc>
      </w:tr>
      <w:tr>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r>
              <w:rPr>
                <w:rFonts w:hint="eastAsia" w:ascii="新宋体" w:hAnsi="新宋体" w:eastAsia="新宋体"/>
              </w:rPr>
              <w:t>企业法人代表</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500" w:lineRule="exact"/>
              <w:rPr>
                <w:rFonts w:ascii="新宋体" w:hAnsi="新宋体" w:eastAsia="新宋体"/>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r>
              <w:rPr>
                <w:rFonts w:hint="eastAsia" w:ascii="新宋体" w:hAnsi="新宋体" w:eastAsia="新宋体"/>
              </w:rPr>
              <w:t>职    称</w:t>
            </w:r>
          </w:p>
        </w:tc>
        <w:tc>
          <w:tcPr>
            <w:tcW w:w="140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p>
        </w:tc>
        <w:tc>
          <w:tcPr>
            <w:tcW w:w="1513"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ind w:left="72"/>
              <w:jc w:val="center"/>
              <w:rPr>
                <w:rFonts w:ascii="新宋体" w:hAnsi="新宋体" w:eastAsia="新宋体"/>
              </w:rPr>
            </w:pPr>
            <w:r>
              <w:rPr>
                <w:rFonts w:hint="eastAsia" w:ascii="新宋体" w:hAnsi="新宋体" w:eastAsia="新宋体"/>
              </w:rPr>
              <w:t>企业性质</w:t>
            </w:r>
          </w:p>
        </w:tc>
        <w:tc>
          <w:tcPr>
            <w:tcW w:w="1187"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p>
        </w:tc>
      </w:tr>
      <w:tr>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r>
              <w:rPr>
                <w:rFonts w:hint="eastAsia" w:ascii="新宋体" w:hAnsi="新宋体" w:eastAsia="新宋体"/>
              </w:rPr>
              <w:t>企业资质等级</w:t>
            </w:r>
          </w:p>
        </w:tc>
        <w:tc>
          <w:tcPr>
            <w:tcW w:w="131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500" w:lineRule="exact"/>
              <w:rPr>
                <w:rFonts w:ascii="新宋体" w:hAnsi="新宋体" w:eastAsia="新宋体"/>
              </w:rPr>
            </w:pPr>
          </w:p>
        </w:tc>
        <w:tc>
          <w:tcPr>
            <w:tcW w:w="138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r>
              <w:rPr>
                <w:rFonts w:hint="eastAsia" w:ascii="新宋体" w:hAnsi="新宋体" w:eastAsia="新宋体"/>
              </w:rPr>
              <w:t>经营方式</w:t>
            </w:r>
          </w:p>
        </w:tc>
        <w:tc>
          <w:tcPr>
            <w:tcW w:w="4100" w:type="dxa"/>
            <w:gridSpan w:val="3"/>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p>
        </w:tc>
      </w:tr>
      <w:tr>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r>
              <w:rPr>
                <w:rFonts w:hint="eastAsia" w:ascii="新宋体" w:hAnsi="新宋体" w:eastAsia="新宋体"/>
              </w:rPr>
              <w:t>上级主管部门</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p>
        </w:tc>
      </w:tr>
      <w:tr>
        <w:tblPrEx>
          <w:tblCellMar>
            <w:top w:w="0" w:type="dxa"/>
            <w:left w:w="0" w:type="dxa"/>
            <w:bottom w:w="0" w:type="dxa"/>
            <w:right w:w="0" w:type="dxa"/>
          </w:tblCellMar>
        </w:tblPrEx>
        <w:trPr>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r>
              <w:rPr>
                <w:rFonts w:hint="eastAsia" w:ascii="新宋体" w:hAnsi="新宋体" w:eastAsia="新宋体"/>
              </w:rPr>
              <w:t>批准成立机构</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500" w:lineRule="exact"/>
              <w:rPr>
                <w:rFonts w:ascii="新宋体" w:hAnsi="新宋体" w:eastAsia="新宋体"/>
              </w:rPr>
            </w:pPr>
          </w:p>
        </w:tc>
      </w:tr>
      <w:tr>
        <w:tblPrEx>
          <w:tblCellMar>
            <w:top w:w="0" w:type="dxa"/>
            <w:left w:w="0" w:type="dxa"/>
            <w:bottom w:w="0" w:type="dxa"/>
            <w:right w:w="0" w:type="dxa"/>
          </w:tblCellMar>
        </w:tblPrEx>
        <w:trPr>
          <w:trHeight w:val="1334"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r>
              <w:rPr>
                <w:rFonts w:hint="eastAsia" w:ascii="新宋体" w:hAnsi="新宋体" w:eastAsia="新宋体"/>
              </w:rPr>
              <w:t>经营范围</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500" w:lineRule="exact"/>
              <w:rPr>
                <w:rFonts w:ascii="新宋体" w:hAnsi="新宋体" w:eastAsia="新宋体"/>
              </w:rPr>
            </w:pPr>
            <w:r>
              <w:rPr>
                <w:rFonts w:hint="eastAsia" w:ascii="新宋体" w:hAnsi="新宋体" w:eastAsia="新宋体"/>
              </w:rPr>
              <w:t xml:space="preserve">                                                                  </w:t>
            </w:r>
          </w:p>
        </w:tc>
      </w:tr>
      <w:tr>
        <w:tblPrEx>
          <w:tblCellMar>
            <w:top w:w="0" w:type="dxa"/>
            <w:left w:w="0" w:type="dxa"/>
            <w:bottom w:w="0" w:type="dxa"/>
            <w:right w:w="0" w:type="dxa"/>
          </w:tblCellMar>
        </w:tblPrEx>
        <w:trPr>
          <w:trHeight w:val="5620" w:hRule="atLeast"/>
          <w:jc w:val="center"/>
        </w:trPr>
        <w:tc>
          <w:tcPr>
            <w:tcW w:w="20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500" w:lineRule="exact"/>
              <w:jc w:val="center"/>
              <w:rPr>
                <w:rFonts w:ascii="新宋体" w:hAnsi="新宋体" w:eastAsia="新宋体"/>
              </w:rPr>
            </w:pPr>
            <w:r>
              <w:rPr>
                <w:rFonts w:hint="eastAsia" w:ascii="新宋体" w:hAnsi="新宋体" w:eastAsia="新宋体"/>
              </w:rPr>
              <w:t>企业简介</w:t>
            </w:r>
          </w:p>
        </w:tc>
        <w:tc>
          <w:tcPr>
            <w:tcW w:w="6800" w:type="dxa"/>
            <w:gridSpan w:val="5"/>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top"/>
          </w:tcPr>
          <w:p>
            <w:pPr>
              <w:spacing w:line="500" w:lineRule="exact"/>
              <w:rPr>
                <w:rFonts w:ascii="新宋体" w:hAnsi="新宋体" w:eastAsia="新宋体"/>
              </w:rPr>
            </w:pPr>
          </w:p>
        </w:tc>
      </w:tr>
    </w:tbl>
    <w:p>
      <w:pPr>
        <w:snapToGrid w:val="0"/>
        <w:spacing w:line="360" w:lineRule="auto"/>
        <w:ind w:firstLine="602" w:firstLineChars="200"/>
        <w:rPr>
          <w:rFonts w:ascii="仿宋" w:hAnsi="仿宋" w:eastAsia="仿宋" w:cs="仿宋_GB2312"/>
          <w:b/>
          <w:sz w:val="30"/>
          <w:szCs w:val="30"/>
        </w:rPr>
      </w:pPr>
    </w:p>
    <w:p>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pPr>
        <w:snapToGrid w:val="0"/>
        <w:spacing w:before="120" w:beforeLines="50" w:after="50" w:line="360" w:lineRule="auto"/>
        <w:ind w:firstLine="6720" w:firstLineChars="2800"/>
        <w:rPr>
          <w:rFonts w:hint="eastAsia" w:ascii="宋体" w:hAnsi="宋体" w:cs="仿宋_GB2312"/>
          <w:color w:val="auto"/>
          <w:kern w:val="0"/>
          <w:sz w:val="24"/>
          <w:szCs w:val="24"/>
          <w:highlight w:val="none"/>
          <w:lang w:val="zh-CN"/>
        </w:rPr>
      </w:pPr>
      <w:r>
        <w:rPr>
          <w:rFonts w:hint="eastAsia" w:ascii="宋体" w:hAnsi="宋体" w:cs="仿宋_GB2312"/>
          <w:color w:val="auto"/>
          <w:kern w:val="0"/>
          <w:sz w:val="24"/>
          <w:szCs w:val="24"/>
          <w:highlight w:val="none"/>
          <w:lang w:val="zh-CN"/>
        </w:rPr>
        <w:t>日期：  年  月   日</w:t>
      </w:r>
    </w:p>
    <w:p>
      <w:pPr>
        <w:jc w:val="center"/>
        <w:rPr>
          <w:rFonts w:hint="eastAsia" w:ascii="宋体" w:hAnsi="宋体" w:cs="宋体"/>
          <w:b/>
          <w:color w:val="auto"/>
          <w:sz w:val="30"/>
          <w:szCs w:val="30"/>
          <w:highlight w:val="none"/>
          <w:lang w:eastAsia="zh-CN"/>
        </w:rPr>
      </w:pPr>
    </w:p>
    <w:p>
      <w:pPr>
        <w:jc w:val="center"/>
        <w:rPr>
          <w:rFonts w:hint="eastAsia" w:ascii="宋体" w:hAnsi="宋体" w:cs="宋体"/>
          <w:b/>
          <w:color w:val="auto"/>
          <w:sz w:val="30"/>
          <w:szCs w:val="30"/>
          <w:highlight w:val="none"/>
          <w:lang w:eastAsia="zh-CN"/>
        </w:rPr>
      </w:pPr>
    </w:p>
    <w:p>
      <w:pPr>
        <w:jc w:val="center"/>
        <w:rPr>
          <w:rFonts w:hint="eastAsia" w:ascii="宋体" w:hAnsi="宋体" w:cs="宋体"/>
          <w:b/>
          <w:color w:val="auto"/>
          <w:sz w:val="30"/>
          <w:szCs w:val="30"/>
          <w:highlight w:val="none"/>
          <w:lang w:eastAsia="zh-CN"/>
        </w:rPr>
      </w:pPr>
    </w:p>
    <w:p>
      <w:pPr>
        <w:jc w:val="center"/>
        <w:rPr>
          <w:rFonts w:hint="eastAsia" w:ascii="宋体" w:hAnsi="宋体" w:cs="宋体"/>
          <w:b/>
          <w:color w:val="auto"/>
          <w:sz w:val="30"/>
          <w:szCs w:val="30"/>
          <w:highlight w:val="none"/>
          <w:lang w:eastAsia="zh-CN"/>
        </w:rPr>
      </w:pPr>
    </w:p>
    <w:p>
      <w:pPr>
        <w:jc w:val="center"/>
        <w:rPr>
          <w:rFonts w:hint="eastAsia" w:ascii="宋体" w:hAnsi="宋体" w:cs="宋体"/>
          <w:b/>
          <w:color w:val="auto"/>
          <w:sz w:val="30"/>
          <w:szCs w:val="30"/>
          <w:highlight w:val="none"/>
          <w:lang w:eastAsia="zh-CN"/>
        </w:rPr>
      </w:pPr>
    </w:p>
    <w:p>
      <w:pPr>
        <w:jc w:val="center"/>
        <w:rPr>
          <w:rFonts w:hint="eastAsia" w:ascii="宋体" w:hAnsi="宋体" w:cs="宋体"/>
          <w:b/>
          <w:color w:val="auto"/>
          <w:sz w:val="30"/>
          <w:szCs w:val="30"/>
          <w:highlight w:val="none"/>
          <w:lang w:eastAsia="zh-CN"/>
        </w:rPr>
      </w:pPr>
    </w:p>
    <w:p>
      <w:pPr>
        <w:jc w:val="center"/>
        <w:rPr>
          <w:rFonts w:ascii="宋体" w:hAnsi="宋体"/>
          <w:b/>
          <w:color w:val="auto"/>
          <w:sz w:val="30"/>
          <w:szCs w:val="30"/>
          <w:highlight w:val="none"/>
        </w:rPr>
      </w:pPr>
      <w:r>
        <w:rPr>
          <w:rFonts w:hint="eastAsia" w:ascii="宋体" w:hAnsi="宋体" w:cs="宋体"/>
          <w:b/>
          <w:color w:val="auto"/>
          <w:sz w:val="30"/>
          <w:szCs w:val="30"/>
          <w:highlight w:val="none"/>
          <w:lang w:eastAsia="zh-CN"/>
        </w:rPr>
        <w:t>十、</w:t>
      </w:r>
      <w:r>
        <w:rPr>
          <w:rFonts w:hint="eastAsia" w:ascii="宋体" w:hAnsi="宋体" w:cs="宋体"/>
          <w:b/>
          <w:color w:val="auto"/>
          <w:sz w:val="30"/>
          <w:szCs w:val="30"/>
          <w:highlight w:val="none"/>
        </w:rPr>
        <w:t>项目经理（或建造师）简历表</w:t>
      </w:r>
    </w:p>
    <w:p>
      <w:pPr>
        <w:jc w:val="center"/>
        <w:rPr>
          <w:rFonts w:ascii="宋体" w:hAnsi="宋体"/>
          <w:color w:val="auto"/>
          <w:highlight w:val="none"/>
        </w:rPr>
      </w:pPr>
    </w:p>
    <w:tbl>
      <w:tblPr>
        <w:tblStyle w:val="24"/>
        <w:tblW w:w="0" w:type="auto"/>
        <w:jc w:val="center"/>
        <w:tblLayout w:type="fixed"/>
        <w:tblCellMar>
          <w:top w:w="0" w:type="dxa"/>
          <w:left w:w="0" w:type="dxa"/>
          <w:bottom w:w="0" w:type="dxa"/>
          <w:right w:w="0" w:type="dxa"/>
        </w:tblCellMar>
      </w:tblPr>
      <w:tblGrid>
        <w:gridCol w:w="1158"/>
        <w:gridCol w:w="2005"/>
        <w:gridCol w:w="1155"/>
        <w:gridCol w:w="1565"/>
        <w:gridCol w:w="1060"/>
        <w:gridCol w:w="1670"/>
      </w:tblGrid>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姓名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性别</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年龄</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职务</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职称</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学历</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参加工作时间</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从事项目经理（或建造师）年限</w:t>
            </w:r>
          </w:p>
        </w:tc>
        <w:tc>
          <w:tcPr>
            <w:tcW w:w="156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06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资质等级</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4318"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拟在本工程中担任的工作和职务</w:t>
            </w:r>
          </w:p>
        </w:tc>
        <w:tc>
          <w:tcPr>
            <w:tcW w:w="4295" w:type="dxa"/>
            <w:gridSpan w:val="3"/>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atLeast"/>
          <w:jc w:val="center"/>
        </w:trPr>
        <w:tc>
          <w:tcPr>
            <w:tcW w:w="8613" w:type="dxa"/>
            <w:gridSpan w:val="6"/>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已完工程项目情况</w:t>
            </w: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建设单位</w:t>
            </w: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项目名称</w:t>
            </w: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建筑规模</w:t>
            </w: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开竣工日期</w:t>
            </w: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r>
              <w:rPr>
                <w:rFonts w:hint="eastAsia" w:ascii="宋体" w:hAnsi="宋体" w:cs="宋体"/>
                <w:color w:val="auto"/>
                <w:szCs w:val="21"/>
                <w:highlight w:val="none"/>
              </w:rPr>
              <w:t>质量等级</w:t>
            </w: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r>
        <w:tblPrEx>
          <w:tblCellMar>
            <w:top w:w="0" w:type="dxa"/>
            <w:left w:w="0" w:type="dxa"/>
            <w:bottom w:w="0" w:type="dxa"/>
            <w:right w:w="0" w:type="dxa"/>
          </w:tblCellMar>
        </w:tblPrEx>
        <w:trPr>
          <w:trHeight w:val="500" w:hRule="exact"/>
          <w:jc w:val="center"/>
        </w:trPr>
        <w:tc>
          <w:tcPr>
            <w:tcW w:w="1158"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00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155"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2625" w:type="dxa"/>
            <w:gridSpan w:val="2"/>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c>
          <w:tcPr>
            <w:tcW w:w="1670" w:type="dxa"/>
            <w:tcBorders>
              <w:top w:val="single" w:color="000000" w:sz="4" w:space="0"/>
              <w:left w:val="single" w:color="000000" w:sz="4" w:space="0"/>
              <w:bottom w:val="single" w:color="000000" w:sz="4" w:space="0"/>
              <w:right w:val="single" w:color="000000" w:sz="4" w:space="0"/>
            </w:tcBorders>
            <w:noWrap w:val="0"/>
            <w:tcMar>
              <w:left w:w="108" w:type="dxa"/>
              <w:right w:w="108" w:type="dxa"/>
            </w:tcMar>
            <w:vAlign w:val="center"/>
          </w:tcPr>
          <w:p>
            <w:pPr>
              <w:jc w:val="center"/>
              <w:rPr>
                <w:rFonts w:ascii="宋体" w:hAnsi="宋体"/>
                <w:color w:val="auto"/>
                <w:szCs w:val="21"/>
                <w:highlight w:val="none"/>
              </w:rPr>
            </w:pPr>
          </w:p>
        </w:tc>
      </w:tr>
    </w:tbl>
    <w:p>
      <w:pPr>
        <w:rPr>
          <w:rFonts w:ascii="宋体" w:hAnsi="宋体"/>
          <w:color w:val="auto"/>
          <w:szCs w:val="21"/>
          <w:highlight w:val="none"/>
        </w:rPr>
      </w:pPr>
    </w:p>
    <w:p>
      <w:pPr>
        <w:ind w:firstLine="422" w:firstLineChars="200"/>
        <w:rPr>
          <w:rFonts w:ascii="宋体" w:hAnsi="宋体"/>
          <w:b/>
          <w:color w:val="auto"/>
          <w:szCs w:val="21"/>
          <w:highlight w:val="none"/>
        </w:rPr>
      </w:pPr>
      <w:r>
        <w:rPr>
          <w:rFonts w:hint="eastAsia" w:ascii="宋体" w:hAnsi="宋体" w:cs="宋体"/>
          <w:b/>
          <w:color w:val="auto"/>
          <w:szCs w:val="21"/>
          <w:highlight w:val="none"/>
        </w:rPr>
        <w:t>附：项目经理（或建造师）或注册建造师资质等级证书扫描件及资质等级年检情况。</w:t>
      </w: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rPr>
          <w:rFonts w:ascii="宋体" w:hAnsi="宋体"/>
          <w:b/>
          <w:color w:val="auto"/>
          <w:szCs w:val="21"/>
          <w:highlight w:val="none"/>
        </w:rPr>
      </w:pPr>
    </w:p>
    <w:p>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pPr>
        <w:pStyle w:val="21"/>
        <w:snapToGrid w:val="0"/>
        <w:spacing w:line="360" w:lineRule="auto"/>
        <w:ind w:left="409" w:leftChars="195" w:firstLine="6240" w:firstLineChars="2600"/>
        <w:rPr>
          <w:rFonts w:hint="eastAsia" w:ascii="宋体" w:hAnsi="宋体" w:eastAsia="宋体" w:cs="宋体"/>
          <w:color w:val="auto"/>
          <w:sz w:val="24"/>
          <w:szCs w:val="24"/>
          <w:highlight w:val="none"/>
        </w:rPr>
      </w:pPr>
      <w:r>
        <w:rPr>
          <w:rFonts w:hint="eastAsia" w:ascii="宋体" w:hAnsi="宋体" w:cs="仿宋_GB2312"/>
          <w:color w:val="auto"/>
          <w:kern w:val="0"/>
          <w:sz w:val="24"/>
          <w:szCs w:val="24"/>
          <w:highlight w:val="none"/>
          <w:lang w:val="zh-CN"/>
        </w:rPr>
        <w:t>日期：  年  月   日</w:t>
      </w:r>
    </w:p>
    <w:p>
      <w:pPr>
        <w:pStyle w:val="21"/>
        <w:snapToGrid w:val="0"/>
        <w:spacing w:line="360" w:lineRule="auto"/>
        <w:ind w:left="480" w:hanging="480"/>
        <w:rPr>
          <w:rFonts w:hint="eastAsia" w:ascii="宋体" w:hAnsi="宋体" w:eastAsia="宋体" w:cs="宋体"/>
          <w:color w:val="auto"/>
          <w:sz w:val="24"/>
          <w:highlight w:val="none"/>
        </w:rPr>
      </w:pPr>
    </w:p>
    <w:p>
      <w:pPr>
        <w:pStyle w:val="21"/>
        <w:snapToGrid w:val="0"/>
        <w:spacing w:line="360" w:lineRule="auto"/>
        <w:ind w:left="480" w:hanging="480"/>
        <w:rPr>
          <w:rFonts w:hint="eastAsia" w:ascii="宋体" w:hAnsi="宋体" w:eastAsia="宋体" w:cs="宋体"/>
          <w:color w:val="auto"/>
          <w:sz w:val="24"/>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snapToGrid w:val="0"/>
        <w:spacing w:line="360" w:lineRule="auto"/>
        <w:ind w:left="480" w:firstLine="0" w:firstLineChars="0"/>
        <w:jc w:val="center"/>
        <w:rPr>
          <w:rFonts w:hint="eastAsia" w:ascii="宋体" w:hAnsi="宋体" w:eastAsia="宋体" w:cs="宋体"/>
          <w:b/>
          <w:color w:val="auto"/>
          <w:sz w:val="30"/>
          <w:szCs w:val="30"/>
          <w:highlight w:val="none"/>
          <w:lang w:val="en-US"/>
        </w:rPr>
      </w:pPr>
      <w:bookmarkStart w:id="111" w:name="_Toc2647"/>
      <w:r>
        <w:rPr>
          <w:rFonts w:hint="eastAsia" w:ascii="宋体" w:hAnsi="宋体" w:cs="宋体"/>
          <w:b/>
          <w:color w:val="auto"/>
          <w:sz w:val="28"/>
          <w:szCs w:val="28"/>
          <w:highlight w:val="none"/>
          <w:lang w:val="en-US" w:eastAsia="zh-CN"/>
        </w:rPr>
        <w:t>十一</w:t>
      </w:r>
      <w:r>
        <w:rPr>
          <w:rFonts w:hint="eastAsia" w:ascii="宋体" w:hAnsi="宋体" w:cs="宋体"/>
          <w:b/>
          <w:color w:val="auto"/>
          <w:sz w:val="28"/>
          <w:szCs w:val="28"/>
          <w:highlight w:val="none"/>
        </w:rPr>
        <w:t>、项目管理机构配备情况表</w:t>
      </w:r>
      <w:bookmarkEnd w:id="111"/>
    </w:p>
    <w:p>
      <w:pPr>
        <w:widowControl/>
        <w:rPr>
          <w:rFonts w:hint="eastAsia" w:ascii="宋体" w:hAnsi="宋体" w:cs="宋体"/>
          <w:color w:val="auto"/>
          <w:szCs w:val="21"/>
          <w:highlight w:val="none"/>
          <w:u w:val="single"/>
        </w:rPr>
      </w:pPr>
      <w:bookmarkStart w:id="112" w:name="_Toc251052185"/>
    </w:p>
    <w:p>
      <w:pPr>
        <w:widowControl/>
        <w:ind w:firstLine="210" w:firstLineChars="100"/>
        <w:rPr>
          <w:rFonts w:hint="eastAsia" w:ascii="宋体" w:hAnsi="宋体" w:cs="宋体"/>
          <w:color w:val="auto"/>
          <w:szCs w:val="21"/>
          <w:highlight w:val="none"/>
          <w:u w:val="single"/>
          <w:lang w:eastAsia="zh-CN"/>
        </w:rPr>
      </w:pPr>
      <w:r>
        <w:rPr>
          <w:rFonts w:hint="eastAsia" w:ascii="宋体" w:hAnsi="宋体" w:cs="宋体"/>
          <w:color w:val="auto"/>
          <w:szCs w:val="21"/>
          <w:highlight w:val="none"/>
          <w:u w:val="single"/>
        </w:rPr>
        <w:t>项目名称</w:t>
      </w:r>
      <w:bookmarkEnd w:id="112"/>
      <w:r>
        <w:rPr>
          <w:rFonts w:hint="eastAsia" w:ascii="宋体" w:hAnsi="宋体" w:cs="宋体"/>
          <w:color w:val="auto"/>
          <w:szCs w:val="21"/>
          <w:highlight w:val="none"/>
          <w:u w:val="single"/>
          <w:lang w:eastAsia="zh-CN"/>
        </w:rPr>
        <w:t>：隆安县那桐镇浪湾片区集中供水改造工程</w:t>
      </w:r>
    </w:p>
    <w:p>
      <w:pPr>
        <w:widowControl/>
        <w:ind w:firstLine="210" w:firstLineChars="100"/>
        <w:rPr>
          <w:rFonts w:hint="eastAsia" w:ascii="宋体" w:hAnsi="宋体" w:cs="宋体"/>
          <w:color w:val="auto"/>
          <w:szCs w:val="21"/>
          <w:highlight w:val="none"/>
          <w:u w:val="single"/>
          <w:lang w:val="en-US" w:eastAsia="zh-CN"/>
        </w:rPr>
      </w:pPr>
    </w:p>
    <w:p>
      <w:pPr>
        <w:widowControl/>
        <w:ind w:firstLine="210" w:firstLineChars="100"/>
        <w:rPr>
          <w:rFonts w:hint="eastAsia" w:ascii="宋体" w:hAnsi="宋体" w:cs="宋体"/>
          <w:color w:val="auto"/>
          <w:szCs w:val="21"/>
          <w:highlight w:val="none"/>
          <w:u w:val="single"/>
          <w:lang w:val="en-US" w:eastAsia="zh-CN"/>
        </w:rPr>
      </w:pPr>
      <w:r>
        <w:rPr>
          <w:rFonts w:hint="eastAsia" w:ascii="宋体" w:hAnsi="宋体" w:cs="宋体"/>
          <w:color w:val="auto"/>
          <w:szCs w:val="21"/>
          <w:highlight w:val="none"/>
          <w:u w:val="single"/>
          <w:lang w:val="en-US" w:eastAsia="zh-CN"/>
        </w:rPr>
        <w:t xml:space="preserve"> 项目编号：NNZC2024-C2-230184-GXJH    </w:t>
      </w:r>
    </w:p>
    <w:p>
      <w:pPr>
        <w:pStyle w:val="2"/>
        <w:rPr>
          <w:rFonts w:hint="default"/>
          <w:lang w:val="en-US" w:eastAsia="zh-CN"/>
        </w:rPr>
      </w:pPr>
    </w:p>
    <w:tbl>
      <w:tblPr>
        <w:tblStyle w:val="24"/>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830"/>
        <w:gridCol w:w="817"/>
        <w:gridCol w:w="1148"/>
        <w:gridCol w:w="1148"/>
        <w:gridCol w:w="1148"/>
        <w:gridCol w:w="1148"/>
        <w:gridCol w:w="850"/>
        <w:gridCol w:w="1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jc w:val="center"/>
        </w:trPr>
        <w:tc>
          <w:tcPr>
            <w:tcW w:w="993" w:type="dxa"/>
            <w:vMerge w:val="restart"/>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岗位</w:t>
            </w:r>
          </w:p>
        </w:tc>
        <w:tc>
          <w:tcPr>
            <w:tcW w:w="829" w:type="dxa"/>
            <w:vMerge w:val="restart"/>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bookmarkStart w:id="113" w:name="_Toc251052187"/>
            <w:r>
              <w:rPr>
                <w:rFonts w:hint="eastAsia" w:ascii="宋体" w:hAnsi="宋体" w:cs="宋体"/>
                <w:color w:val="auto"/>
                <w:szCs w:val="21"/>
                <w:highlight w:val="none"/>
              </w:rPr>
              <w:t>姓名</w:t>
            </w:r>
            <w:bookmarkEnd w:id="113"/>
          </w:p>
        </w:tc>
        <w:tc>
          <w:tcPr>
            <w:tcW w:w="816" w:type="dxa"/>
            <w:vMerge w:val="restart"/>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bookmarkStart w:id="114" w:name="_Toc251052188"/>
            <w:r>
              <w:rPr>
                <w:rFonts w:hint="eastAsia" w:ascii="宋体" w:hAnsi="宋体" w:cs="宋体"/>
                <w:color w:val="auto"/>
                <w:szCs w:val="21"/>
                <w:highlight w:val="none"/>
              </w:rPr>
              <w:t>职称</w:t>
            </w:r>
            <w:bookmarkEnd w:id="114"/>
          </w:p>
        </w:tc>
        <w:tc>
          <w:tcPr>
            <w:tcW w:w="4592" w:type="dxa"/>
            <w:gridSpan w:val="4"/>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bookmarkStart w:id="115" w:name="_Toc251052189"/>
            <w:r>
              <w:rPr>
                <w:rFonts w:hint="eastAsia" w:ascii="宋体" w:hAnsi="宋体" w:cs="宋体"/>
                <w:color w:val="auto"/>
                <w:szCs w:val="21"/>
                <w:highlight w:val="none"/>
              </w:rPr>
              <w:t>执业或职业资格证明</w:t>
            </w:r>
            <w:bookmarkEnd w:id="115"/>
          </w:p>
        </w:tc>
        <w:tc>
          <w:tcPr>
            <w:tcW w:w="2126" w:type="dxa"/>
            <w:gridSpan w:val="2"/>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bookmarkStart w:id="116" w:name="_Toc251052190"/>
            <w:r>
              <w:rPr>
                <w:rFonts w:hint="eastAsia" w:ascii="宋体" w:hAnsi="宋体" w:cs="宋体"/>
                <w:color w:val="auto"/>
                <w:szCs w:val="21"/>
                <w:highlight w:val="none"/>
              </w:rPr>
              <w:t>承担完工</w:t>
            </w:r>
            <w:bookmarkEnd w:id="116"/>
            <w:bookmarkStart w:id="117" w:name="_Toc251052191"/>
            <w:r>
              <w:rPr>
                <w:rFonts w:hint="eastAsia" w:ascii="宋体" w:hAnsi="宋体" w:cs="宋体"/>
                <w:color w:val="auto"/>
                <w:szCs w:val="21"/>
                <w:highlight w:val="none"/>
              </w:rPr>
              <w:t>工程情况</w:t>
            </w:r>
            <w:bookmarkEnd w:id="1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93"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829"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81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bookmarkStart w:id="118" w:name="_Toc251052192"/>
            <w:r>
              <w:rPr>
                <w:rFonts w:hint="eastAsia" w:ascii="宋体" w:hAnsi="宋体" w:cs="宋体"/>
                <w:color w:val="auto"/>
                <w:szCs w:val="21"/>
                <w:highlight w:val="none"/>
              </w:rPr>
              <w:t>证书名称</w:t>
            </w:r>
            <w:bookmarkEnd w:id="118"/>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bookmarkStart w:id="119" w:name="_Toc251052193"/>
            <w:r>
              <w:rPr>
                <w:rFonts w:hint="eastAsia" w:ascii="宋体" w:hAnsi="宋体" w:cs="宋体"/>
                <w:color w:val="auto"/>
                <w:szCs w:val="21"/>
                <w:highlight w:val="none"/>
              </w:rPr>
              <w:t>级别</w:t>
            </w:r>
            <w:bookmarkEnd w:id="119"/>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bookmarkStart w:id="120" w:name="_Toc251052194"/>
            <w:r>
              <w:rPr>
                <w:rFonts w:hint="eastAsia" w:ascii="宋体" w:hAnsi="宋体" w:cs="宋体"/>
                <w:color w:val="auto"/>
                <w:szCs w:val="21"/>
                <w:highlight w:val="none"/>
              </w:rPr>
              <w:t>证号</w:t>
            </w:r>
            <w:bookmarkEnd w:id="120"/>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bookmarkStart w:id="121" w:name="_Toc251052195"/>
            <w:r>
              <w:rPr>
                <w:rFonts w:hint="eastAsia" w:ascii="宋体" w:hAnsi="宋体" w:cs="宋体"/>
                <w:color w:val="auto"/>
                <w:szCs w:val="21"/>
                <w:highlight w:val="none"/>
              </w:rPr>
              <w:t>专业</w:t>
            </w:r>
            <w:bookmarkEnd w:id="121"/>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bookmarkStart w:id="122" w:name="_Toc251052197"/>
            <w:r>
              <w:rPr>
                <w:rFonts w:hint="eastAsia" w:ascii="宋体" w:hAnsi="宋体" w:cs="宋体"/>
                <w:color w:val="auto"/>
                <w:szCs w:val="21"/>
                <w:highlight w:val="none"/>
              </w:rPr>
              <w:t>项目数</w:t>
            </w:r>
            <w:bookmarkEnd w:id="122"/>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bookmarkStart w:id="123" w:name="_Toc251052198"/>
            <w:r>
              <w:rPr>
                <w:rFonts w:hint="eastAsia" w:ascii="宋体" w:hAnsi="宋体" w:cs="宋体"/>
                <w:color w:val="auto"/>
                <w:szCs w:val="21"/>
                <w:highlight w:val="none"/>
              </w:rPr>
              <w:t>主要项目</w:t>
            </w:r>
          </w:p>
          <w:p>
            <w:pPr>
              <w:ind w:left="223" w:hanging="222" w:hangingChars="106"/>
              <w:jc w:val="center"/>
              <w:rPr>
                <w:rFonts w:ascii="宋体" w:hAnsi="宋体"/>
                <w:color w:val="auto"/>
                <w:szCs w:val="21"/>
                <w:highlight w:val="none"/>
              </w:rPr>
            </w:pPr>
            <w:r>
              <w:rPr>
                <w:rFonts w:hint="eastAsia" w:ascii="宋体" w:hAnsi="宋体" w:cs="宋体"/>
                <w:color w:val="auto"/>
                <w:szCs w:val="21"/>
                <w:highlight w:val="none"/>
              </w:rPr>
              <w:t>名称</w:t>
            </w:r>
            <w:bookmarkEnd w:id="1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93"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29"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1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148"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ind w:left="223" w:hanging="222" w:hangingChars="106"/>
              <w:jc w:val="center"/>
              <w:rPr>
                <w:rFonts w:ascii="宋体" w:hAnsi="宋体"/>
                <w:color w:val="auto"/>
                <w:szCs w:val="21"/>
                <w:highlight w:val="none"/>
              </w:rPr>
            </w:pPr>
          </w:p>
        </w:tc>
      </w:tr>
    </w:tbl>
    <w:p>
      <w:pPr>
        <w:jc w:val="center"/>
        <w:rPr>
          <w:rFonts w:ascii="宋体" w:hAnsi="宋体"/>
          <w:b/>
          <w:color w:val="auto"/>
          <w:szCs w:val="21"/>
          <w:highlight w:val="none"/>
        </w:rPr>
      </w:pPr>
    </w:p>
    <w:p>
      <w:pPr>
        <w:tabs>
          <w:tab w:val="left" w:pos="0"/>
        </w:tabs>
        <w:spacing w:line="360" w:lineRule="auto"/>
        <w:ind w:right="-210"/>
        <w:rPr>
          <w:rFonts w:ascii="宋体" w:hAnsi="宋体"/>
          <w:color w:val="auto"/>
          <w:szCs w:val="21"/>
          <w:highlight w:val="none"/>
        </w:rPr>
      </w:pPr>
      <w:r>
        <w:rPr>
          <w:rFonts w:hint="eastAsia" w:ascii="宋体" w:hAnsi="宋体" w:cs="楷体_GB2312"/>
          <w:color w:val="auto"/>
          <w:szCs w:val="21"/>
          <w:highlight w:val="none"/>
        </w:rPr>
        <w:t>【备注：附各岗位人员资格证件（如有）扫描件。以上扫描件均为原件的扫描件】</w:t>
      </w:r>
    </w:p>
    <w:p>
      <w:pPr>
        <w:spacing w:line="440" w:lineRule="exact"/>
        <w:jc w:val="center"/>
        <w:rPr>
          <w:rFonts w:ascii="宋体" w:hAnsi="宋体"/>
          <w:b/>
          <w:color w:val="auto"/>
          <w:szCs w:val="21"/>
          <w:highlight w:val="none"/>
        </w:rPr>
      </w:pPr>
    </w:p>
    <w:p>
      <w:pPr>
        <w:autoSpaceDE w:val="0"/>
        <w:autoSpaceDN w:val="0"/>
        <w:spacing w:line="360" w:lineRule="auto"/>
        <w:ind w:left="4335" w:leftChars="1950" w:hanging="240" w:hangingChars="100"/>
        <w:rPr>
          <w:rFonts w:ascii="宋体" w:hAnsi="宋体" w:cs="仿宋_GB2312"/>
          <w:color w:val="auto"/>
          <w:kern w:val="0"/>
          <w:sz w:val="24"/>
          <w:szCs w:val="24"/>
          <w:highlight w:val="none"/>
        </w:rPr>
      </w:pPr>
      <w:r>
        <w:rPr>
          <w:rFonts w:hint="eastAsia" w:ascii="宋体" w:hAnsi="宋体" w:cs="仿宋_GB2312"/>
          <w:color w:val="auto"/>
          <w:kern w:val="0"/>
          <w:sz w:val="24"/>
          <w:szCs w:val="24"/>
          <w:highlight w:val="none"/>
        </w:rPr>
        <w:t>供应商名称（电子签章）：</w:t>
      </w:r>
    </w:p>
    <w:p>
      <w:pPr>
        <w:pStyle w:val="13"/>
        <w:snapToGrid w:val="0"/>
        <w:spacing w:line="360" w:lineRule="auto"/>
        <w:ind w:left="480" w:firstLine="6960" w:firstLineChars="2900"/>
        <w:rPr>
          <w:rFonts w:hint="eastAsia" w:ascii="宋体" w:hAnsi="宋体" w:eastAsia="宋体" w:cs="宋体"/>
          <w:b/>
          <w:color w:val="auto"/>
          <w:sz w:val="24"/>
          <w:szCs w:val="24"/>
          <w:highlight w:val="none"/>
          <w:lang w:val="en-US"/>
        </w:rPr>
      </w:pPr>
      <w:r>
        <w:rPr>
          <w:rFonts w:hint="eastAsia" w:ascii="宋体" w:hAnsi="宋体" w:cs="仿宋_GB2312"/>
          <w:color w:val="auto"/>
          <w:kern w:val="0"/>
          <w:sz w:val="24"/>
          <w:szCs w:val="24"/>
          <w:highlight w:val="none"/>
          <w:lang w:val="zh-CN"/>
        </w:rPr>
        <w:t>日期：  年  月   日</w:t>
      </w:r>
    </w:p>
    <w:p>
      <w:pPr>
        <w:snapToGrid w:val="0"/>
        <w:spacing w:line="360" w:lineRule="auto"/>
        <w:ind w:left="480" w:hanging="480"/>
        <w:rPr>
          <w:rFonts w:hint="eastAsia"/>
          <w:color w:val="auto"/>
          <w:sz w:val="24"/>
          <w:szCs w:val="24"/>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十二、施工组织设计</w:t>
      </w:r>
    </w:p>
    <w:p>
      <w:pPr>
        <w:numPr>
          <w:ilvl w:val="0"/>
          <w:numId w:val="0"/>
        </w:numPr>
        <w:ind w:firstLine="630" w:firstLineChars="300"/>
        <w:outlineLvl w:val="9"/>
        <w:rPr>
          <w:rFonts w:hint="eastAsia"/>
          <w:color w:val="auto"/>
          <w:highlight w:val="none"/>
          <w:lang w:val="en-US" w:eastAsia="zh-CN"/>
        </w:rPr>
      </w:pPr>
      <w:r>
        <w:rPr>
          <w:rFonts w:hint="eastAsia" w:hAnsi="宋体"/>
        </w:rPr>
        <w:t>由供应商</w:t>
      </w:r>
      <w:r>
        <w:rPr>
          <w:rFonts w:hint="eastAsia" w:hAnsi="宋体"/>
          <w:lang w:eastAsia="zh-CN"/>
        </w:rPr>
        <w:t>根据</w:t>
      </w:r>
      <w:r>
        <w:rPr>
          <w:rFonts w:hint="eastAsia" w:hAnsi="宋体"/>
        </w:rPr>
        <w:t>本项目“采购需求”</w:t>
      </w:r>
      <w:r>
        <w:rPr>
          <w:rFonts w:hint="eastAsia" w:hAnsi="宋体"/>
          <w:lang w:eastAsia="zh-CN"/>
        </w:rPr>
        <w:t>及评审内容</w:t>
      </w:r>
      <w:r>
        <w:rPr>
          <w:rFonts w:hint="eastAsia" w:hAnsi="宋体"/>
        </w:rPr>
        <w:t>自行</w:t>
      </w:r>
      <w:r>
        <w:rPr>
          <w:rFonts w:hint="eastAsia" w:hAnsi="宋体"/>
          <w:lang w:eastAsia="zh-CN"/>
        </w:rPr>
        <w:t>编</w:t>
      </w:r>
      <w:r>
        <w:rPr>
          <w:rFonts w:hint="eastAsia" w:hAnsi="宋体"/>
        </w:rPr>
        <w:t>写。</w:t>
      </w:r>
    </w:p>
    <w:p>
      <w:pPr>
        <w:outlineLvl w:val="9"/>
        <w:rPr>
          <w:rFonts w:hint="eastAsia"/>
          <w:color w:val="auto"/>
          <w:highlight w:val="none"/>
          <w:lang w:val="en-US" w:eastAsia="zh-CN"/>
        </w:rPr>
      </w:pPr>
    </w:p>
    <w:p>
      <w:pPr>
        <w:outlineLvl w:val="9"/>
        <w:rPr>
          <w:rFonts w:hint="eastAsia"/>
          <w:color w:val="auto"/>
          <w:highlight w:val="none"/>
          <w:lang w:val="en-US" w:eastAsia="zh-CN"/>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spacing w:line="360" w:lineRule="auto"/>
        <w:ind w:left="0" w:leftChars="0" w:firstLine="6098" w:firstLineChars="2541"/>
        <w:contextualSpacing/>
        <w:jc w:val="both"/>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numPr>
          <w:ilvl w:val="0"/>
          <w:numId w:val="0"/>
        </w:numPr>
        <w:snapToGrid w:val="0"/>
        <w:spacing w:line="360" w:lineRule="auto"/>
        <w:ind w:left="480" w:leftChars="0"/>
        <w:jc w:val="left"/>
        <w:rPr>
          <w:rFonts w:hint="eastAsia" w:ascii="宋体" w:hAnsi="宋体" w:eastAsia="宋体" w:cs="宋体"/>
          <w:b/>
          <w:color w:val="auto"/>
          <w:sz w:val="28"/>
          <w:szCs w:val="28"/>
          <w:highlight w:val="none"/>
          <w:lang w:val="en-US" w:eastAsia="zh-CN"/>
        </w:rPr>
      </w:pPr>
      <w:r>
        <w:rPr>
          <w:rFonts w:hint="eastAsia" w:ascii="宋体" w:hAnsi="宋体" w:cs="宋体"/>
          <w:b/>
          <w:color w:val="auto"/>
          <w:sz w:val="28"/>
          <w:szCs w:val="28"/>
          <w:highlight w:val="none"/>
          <w:lang w:val="en-US" w:eastAsia="zh-CN"/>
        </w:rPr>
        <w:t>十三、</w:t>
      </w:r>
      <w:r>
        <w:rPr>
          <w:rFonts w:hint="eastAsia" w:ascii="宋体" w:hAnsi="宋体" w:eastAsia="宋体" w:cs="宋体"/>
          <w:b/>
          <w:color w:val="auto"/>
          <w:sz w:val="28"/>
          <w:szCs w:val="28"/>
          <w:highlight w:val="none"/>
          <w:lang w:val="en-US" w:eastAsia="zh-CN"/>
        </w:rPr>
        <w:t>供应商认为需要提供的其他有关资料</w:t>
      </w:r>
    </w:p>
    <w:p>
      <w:pPr>
        <w:numPr>
          <w:ilvl w:val="0"/>
          <w:numId w:val="0"/>
        </w:numPr>
        <w:outlineLvl w:val="9"/>
        <w:rPr>
          <w:rFonts w:hint="eastAsia"/>
          <w:color w:val="auto"/>
          <w:highlight w:val="none"/>
          <w:lang w:val="en-US" w:eastAsia="zh-CN"/>
        </w:rPr>
      </w:pPr>
    </w:p>
    <w:p>
      <w:pPr>
        <w:outlineLvl w:val="9"/>
        <w:rPr>
          <w:rFonts w:hint="eastAsia"/>
          <w:color w:val="auto"/>
          <w:highlight w:val="none"/>
          <w:lang w:val="en-US" w:eastAsia="zh-CN"/>
        </w:rPr>
      </w:pPr>
    </w:p>
    <w:p>
      <w:pPr>
        <w:outlineLvl w:val="9"/>
        <w:rPr>
          <w:rFonts w:hint="eastAsia"/>
          <w:color w:val="auto"/>
          <w:highlight w:val="none"/>
          <w:lang w:val="en-US" w:eastAsia="zh-CN"/>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pStyle w:val="13"/>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pPr>
        <w:pStyle w:val="17"/>
        <w:rPr>
          <w:rFonts w:hint="eastAsia" w:ascii="宋体" w:hAnsi="宋体" w:eastAsia="宋体" w:cs="宋体"/>
          <w:color w:val="auto"/>
          <w:kern w:val="0"/>
          <w:sz w:val="24"/>
          <w:highlight w:val="none"/>
          <w:lang w:val="zh-CN"/>
        </w:rPr>
      </w:pPr>
    </w:p>
    <w:p>
      <w:pPr>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autoSpaceDE w:val="0"/>
        <w:autoSpaceDN w:val="0"/>
        <w:spacing w:line="360" w:lineRule="auto"/>
        <w:ind w:firstLine="6505" w:firstLineChars="2700"/>
        <w:rPr>
          <w:rFonts w:hint="eastAsia" w:ascii="宋体" w:hAnsi="宋体" w:eastAsia="宋体" w:cs="宋体"/>
          <w:b/>
          <w:bCs/>
          <w:color w:val="auto"/>
          <w:sz w:val="24"/>
          <w:highlight w:val="none"/>
        </w:rPr>
      </w:pPr>
    </w:p>
    <w:p>
      <w:pPr>
        <w:pStyle w:val="4"/>
        <w:spacing w:line="360" w:lineRule="auto"/>
        <w:jc w:val="center"/>
        <w:rPr>
          <w:rFonts w:hint="eastAsia" w:ascii="宋体" w:hAnsi="宋体" w:eastAsia="宋体" w:cs="宋体"/>
          <w:color w:val="auto"/>
          <w:highlight w:val="none"/>
          <w:lang w:val="en-US" w:eastAsia="zh-CN"/>
        </w:rPr>
      </w:pPr>
      <w:bookmarkStart w:id="124" w:name="_Toc14497"/>
      <w:bookmarkStart w:id="125" w:name="_Toc7838"/>
      <w:bookmarkStart w:id="126" w:name="_Toc9136"/>
      <w:bookmarkStart w:id="127" w:name="_Toc80205941"/>
      <w:r>
        <w:rPr>
          <w:rFonts w:hint="eastAsia" w:ascii="宋体" w:hAnsi="宋体" w:eastAsia="宋体" w:cs="宋体"/>
          <w:color w:val="auto"/>
          <w:highlight w:val="none"/>
          <w:lang w:val="en-US" w:eastAsia="zh-CN"/>
        </w:rPr>
        <w:t>第四节 报价文件格式</w:t>
      </w:r>
      <w:bookmarkEnd w:id="124"/>
      <w:bookmarkEnd w:id="125"/>
      <w:bookmarkEnd w:id="126"/>
      <w:bookmarkEnd w:id="127"/>
    </w:p>
    <w:p>
      <w:pPr>
        <w:snapToGrid w:val="0"/>
        <w:spacing w:before="120" w:beforeLines="50" w:after="50" w:line="360" w:lineRule="auto"/>
        <w:rPr>
          <w:rFonts w:hint="eastAsia" w:ascii="宋体" w:hAnsi="宋体" w:eastAsia="宋体" w:cs="宋体"/>
          <w:bCs/>
          <w:color w:val="auto"/>
          <w:sz w:val="32"/>
          <w:szCs w:val="20"/>
          <w:highlight w:val="none"/>
        </w:rPr>
      </w:pPr>
      <w:r>
        <w:rPr>
          <w:rFonts w:hint="eastAsia" w:ascii="宋体" w:hAnsi="宋体" w:eastAsia="宋体" w:cs="宋体"/>
          <w:color w:val="auto"/>
          <w:sz w:val="24"/>
          <w:highlight w:val="none"/>
        </w:rPr>
        <w:t xml:space="preserve">                                                    </w:t>
      </w:r>
      <w:r>
        <w:rPr>
          <w:rFonts w:hint="eastAsia" w:ascii="宋体" w:hAnsi="宋体" w:eastAsia="宋体" w:cs="宋体"/>
          <w:bCs/>
          <w:color w:val="auto"/>
          <w:highlight w:val="none"/>
        </w:rPr>
        <w:t>全流程电子文件</w:t>
      </w: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rPr>
          <w:rFonts w:hint="eastAsia" w:ascii="宋体" w:hAnsi="宋体" w:eastAsia="宋体" w:cs="宋体"/>
          <w:color w:val="auto"/>
          <w:sz w:val="24"/>
          <w:szCs w:val="20"/>
          <w:highlight w:val="none"/>
        </w:rPr>
      </w:pPr>
    </w:p>
    <w:p>
      <w:pPr>
        <w:snapToGrid w:val="0"/>
        <w:spacing w:before="120" w:beforeLines="50" w:after="50" w:line="360" w:lineRule="auto"/>
        <w:jc w:val="center"/>
        <w:rPr>
          <w:rFonts w:hint="eastAsia" w:ascii="宋体" w:hAnsi="宋体" w:eastAsia="宋体" w:cs="宋体"/>
          <w:bCs/>
          <w:color w:val="auto"/>
          <w:sz w:val="44"/>
          <w:szCs w:val="44"/>
          <w:highlight w:val="none"/>
        </w:rPr>
      </w:pPr>
      <w:r>
        <w:rPr>
          <w:rFonts w:hint="eastAsia" w:ascii="宋体" w:hAnsi="宋体" w:eastAsia="宋体" w:cs="宋体"/>
          <w:bCs/>
          <w:color w:val="auto"/>
          <w:sz w:val="44"/>
          <w:szCs w:val="44"/>
          <w:highlight w:val="none"/>
        </w:rPr>
        <w:t>报  价  文  件（封面）</w:t>
      </w: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rPr>
          <w:rFonts w:hint="eastAsia" w:ascii="宋体" w:hAnsi="宋体" w:eastAsia="宋体" w:cs="宋体"/>
          <w:bCs/>
          <w:color w:val="auto"/>
          <w:sz w:val="24"/>
          <w:szCs w:val="20"/>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项目名称：</w:t>
      </w:r>
      <w:r>
        <w:rPr>
          <w:rFonts w:hint="eastAsia" w:ascii="宋体" w:hAnsi="宋体" w:cs="宋体"/>
          <w:bCs/>
          <w:color w:val="auto"/>
          <w:sz w:val="32"/>
          <w:szCs w:val="32"/>
          <w:highlight w:val="none"/>
          <w:lang w:eastAsia="zh-CN"/>
        </w:rPr>
        <w:t>隆安县那桐镇浪湾片区集中供水改造工程</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lang w:eastAsia="zh-CN"/>
        </w:rPr>
      </w:pPr>
      <w:r>
        <w:rPr>
          <w:rFonts w:hint="eastAsia" w:ascii="宋体" w:hAnsi="宋体" w:eastAsia="宋体" w:cs="宋体"/>
          <w:bCs/>
          <w:color w:val="auto"/>
          <w:sz w:val="32"/>
          <w:szCs w:val="32"/>
          <w:highlight w:val="none"/>
        </w:rPr>
        <w:t>项目编号：NNZC2024-C2-230184-GXJH</w:t>
      </w:r>
      <w:r>
        <w:rPr>
          <w:rFonts w:hint="eastAsia" w:ascii="宋体" w:hAnsi="宋体" w:cs="宋体"/>
          <w:bCs/>
          <w:color w:val="auto"/>
          <w:sz w:val="32"/>
          <w:szCs w:val="32"/>
          <w:highlight w:val="none"/>
          <w:lang w:eastAsia="zh-CN"/>
        </w:rPr>
        <w:t xml:space="preserve">    </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 xml:space="preserve"> </w:t>
      </w:r>
    </w:p>
    <w:p>
      <w:pPr>
        <w:snapToGrid w:val="0"/>
        <w:spacing w:before="120" w:beforeLines="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所竞分标（如有则填写，无分标时填写“无”或者留空）：</w:t>
      </w:r>
    </w:p>
    <w:p>
      <w:pPr>
        <w:snapToGrid w:val="0"/>
        <w:spacing w:before="120" w:beforeLines="50" w:after="50" w:line="360" w:lineRule="auto"/>
        <w:ind w:firstLine="720" w:firstLineChars="225"/>
        <w:rPr>
          <w:rFonts w:hint="eastAsia" w:ascii="宋体" w:hAnsi="宋体" w:eastAsia="宋体" w:cs="宋体"/>
          <w:bCs/>
          <w:color w:val="auto"/>
          <w:sz w:val="32"/>
          <w:szCs w:val="32"/>
          <w:highlight w:val="none"/>
        </w:rPr>
      </w:pPr>
    </w:p>
    <w:p>
      <w:pPr>
        <w:pStyle w:val="8"/>
        <w:snapToGrid w:val="0"/>
        <w:spacing w:before="50" w:after="50" w:line="360" w:lineRule="auto"/>
        <w:ind w:firstLine="640" w:firstLineChars="200"/>
        <w:rPr>
          <w:rFonts w:hint="eastAsia" w:ascii="宋体" w:hAnsi="宋体" w:eastAsia="宋体" w:cs="宋体"/>
          <w:bCs/>
          <w:color w:val="auto"/>
          <w:sz w:val="32"/>
          <w:szCs w:val="32"/>
          <w:highlight w:val="none"/>
        </w:rPr>
      </w:pPr>
      <w:r>
        <w:rPr>
          <w:rFonts w:hint="eastAsia" w:ascii="宋体" w:hAnsi="宋体" w:eastAsia="宋体" w:cs="宋体"/>
          <w:bCs/>
          <w:color w:val="auto"/>
          <w:sz w:val="32"/>
          <w:szCs w:val="32"/>
          <w:highlight w:val="none"/>
        </w:rPr>
        <w:t>供应商名称：</w:t>
      </w:r>
    </w:p>
    <w:p>
      <w:pPr>
        <w:pStyle w:val="8"/>
        <w:snapToGrid w:val="0"/>
        <w:spacing w:before="50" w:after="50" w:line="360" w:lineRule="auto"/>
        <w:ind w:firstLine="720" w:firstLineChars="225"/>
        <w:rPr>
          <w:rFonts w:hint="eastAsia" w:ascii="宋体" w:hAnsi="宋体" w:eastAsia="宋体" w:cs="宋体"/>
          <w:bCs/>
          <w:color w:val="auto"/>
          <w:sz w:val="32"/>
          <w:szCs w:val="32"/>
          <w:highlight w:val="none"/>
        </w:rPr>
      </w:pPr>
    </w:p>
    <w:p>
      <w:pPr>
        <w:pStyle w:val="8"/>
        <w:snapToGrid w:val="0"/>
        <w:spacing w:before="50" w:after="50" w:line="360" w:lineRule="auto"/>
        <w:ind w:firstLine="1280" w:firstLineChars="400"/>
        <w:rPr>
          <w:rFonts w:hint="eastAsia" w:ascii="宋体" w:hAnsi="宋体" w:eastAsia="宋体" w:cs="宋体"/>
          <w:bCs/>
          <w:color w:val="auto"/>
          <w:sz w:val="32"/>
          <w:szCs w:val="32"/>
          <w:highlight w:val="none"/>
        </w:rPr>
      </w:pPr>
    </w:p>
    <w:p>
      <w:pPr>
        <w:snapToGrid w:val="0"/>
        <w:spacing w:before="120" w:beforeLines="50" w:after="50" w:line="360" w:lineRule="auto"/>
        <w:jc w:val="center"/>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年    月    日</w:t>
      </w:r>
    </w:p>
    <w:p>
      <w:pPr>
        <w:snapToGrid w:val="0"/>
        <w:spacing w:before="120" w:beforeLines="50" w:after="50"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报价文件目录</w:t>
      </w:r>
    </w:p>
    <w:p>
      <w:pPr>
        <w:spacing w:line="360" w:lineRule="auto"/>
        <w:rPr>
          <w:rFonts w:hint="eastAsia" w:ascii="宋体" w:hAnsi="宋体" w:eastAsia="宋体" w:cs="宋体"/>
          <w:color w:val="auto"/>
          <w:highlight w:val="none"/>
        </w:rPr>
      </w:pP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一、响应函………………………………………………………（页码）</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二、响应报价表…………………………………………………（页码）</w:t>
      </w:r>
    </w:p>
    <w:p>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val="en-US" w:eastAsia="zh-CN"/>
        </w:rPr>
        <w:t>三</w:t>
      </w:r>
      <w:r>
        <w:rPr>
          <w:rFonts w:hint="eastAsia" w:ascii="宋体" w:hAnsi="宋体" w:eastAsia="宋体" w:cs="宋体"/>
          <w:color w:val="auto"/>
          <w:kern w:val="0"/>
          <w:sz w:val="24"/>
          <w:highlight w:val="none"/>
        </w:rPr>
        <w:t>、</w:t>
      </w:r>
      <w:r>
        <w:rPr>
          <w:rFonts w:hint="eastAsia" w:ascii="宋体" w:hAnsi="宋体" w:cs="宋体"/>
          <w:color w:val="auto"/>
          <w:kern w:val="0"/>
          <w:sz w:val="24"/>
          <w:highlight w:val="none"/>
          <w:lang w:val="en-US" w:eastAsia="zh-CN"/>
        </w:rPr>
        <w:t>已标价的工程量清单</w:t>
      </w:r>
      <w:r>
        <w:rPr>
          <w:rFonts w:hint="eastAsia" w:ascii="宋体" w:hAnsi="宋体" w:eastAsia="宋体" w:cs="宋体"/>
          <w:color w:val="auto"/>
          <w:kern w:val="0"/>
          <w:sz w:val="24"/>
          <w:highlight w:val="none"/>
        </w:rPr>
        <w:t>………………………（页码）</w:t>
      </w:r>
    </w:p>
    <w:p>
      <w:pPr>
        <w:spacing w:line="360" w:lineRule="auto"/>
        <w:rPr>
          <w:rFonts w:hint="eastAsia" w:ascii="宋体" w:hAnsi="宋体" w:eastAsia="宋体" w:cs="宋体"/>
          <w:color w:val="auto"/>
          <w:sz w:val="24"/>
          <w:highlight w:val="none"/>
        </w:rPr>
      </w:pPr>
      <w:r>
        <w:rPr>
          <w:rFonts w:hint="eastAsia" w:ascii="宋体" w:hAnsi="宋体" w:cs="宋体"/>
          <w:color w:val="auto"/>
          <w:kern w:val="0"/>
          <w:sz w:val="24"/>
          <w:highlight w:val="none"/>
          <w:lang w:val="en-US" w:eastAsia="zh-CN"/>
        </w:rPr>
        <w:t>四</w:t>
      </w:r>
      <w:r>
        <w:rPr>
          <w:rFonts w:hint="eastAsia" w:ascii="宋体" w:hAnsi="宋体" w:eastAsia="宋体" w:cs="宋体"/>
          <w:color w:val="auto"/>
          <w:kern w:val="0"/>
          <w:sz w:val="24"/>
          <w:highlight w:val="none"/>
        </w:rPr>
        <w:t>、供应商认为需要提供的其他有关资料……………………（页码）</w:t>
      </w:r>
    </w:p>
    <w:p>
      <w:pPr>
        <w:snapToGrid w:val="0"/>
        <w:spacing w:before="120" w:beforeLines="50" w:after="50" w:line="360" w:lineRule="auto"/>
        <w:ind w:left="0" w:firstLine="0" w:firstLineChars="0"/>
        <w:jc w:val="left"/>
        <w:rPr>
          <w:rFonts w:hint="eastAsia" w:ascii="宋体" w:hAnsi="宋体" w:eastAsia="宋体" w:cs="宋体"/>
          <w:color w:val="auto"/>
          <w:sz w:val="32"/>
          <w:szCs w:val="32"/>
          <w:highlight w:val="none"/>
        </w:rPr>
      </w:pPr>
      <w:r>
        <w:rPr>
          <w:rFonts w:hint="eastAsia" w:ascii="宋体" w:hAnsi="宋体" w:eastAsia="宋体" w:cs="宋体"/>
          <w:b/>
          <w:bCs/>
          <w:color w:val="auto"/>
          <w:sz w:val="24"/>
          <w:highlight w:val="none"/>
        </w:rPr>
        <w:t>注：以上目录是基本格式要求，各供应商可根据自身情况进一步向下增加内容或细化。</w:t>
      </w:r>
    </w:p>
    <w:p>
      <w:pPr>
        <w:snapToGrid w:val="0"/>
        <w:spacing w:before="120" w:beforeLines="50" w:after="50" w:line="360" w:lineRule="auto"/>
        <w:ind w:left="142"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r>
        <w:rPr>
          <w:rFonts w:hint="eastAsia" w:ascii="宋体" w:hAnsi="宋体" w:eastAsia="宋体" w:cs="宋体"/>
          <w:b/>
          <w:bCs/>
          <w:color w:val="auto"/>
          <w:sz w:val="32"/>
          <w:szCs w:val="32"/>
          <w:highlight w:val="none"/>
        </w:rPr>
        <w:t>一、响应函</w:t>
      </w:r>
    </w:p>
    <w:p>
      <w:pPr>
        <w:pStyle w:val="16"/>
        <w:spacing w:line="360" w:lineRule="auto"/>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响应函</w:t>
      </w:r>
    </w:p>
    <w:p>
      <w:pPr>
        <w:pStyle w:val="16"/>
        <w:spacing w:line="360" w:lineRule="auto"/>
        <w:rPr>
          <w:rFonts w:hint="eastAsia" w:ascii="宋体" w:hAnsi="宋体" w:eastAsia="宋体" w:cs="宋体"/>
          <w:color w:val="auto"/>
          <w:sz w:val="32"/>
          <w:highlight w:val="none"/>
        </w:rPr>
      </w:pPr>
    </w:p>
    <w:p>
      <w:pPr>
        <w:pStyle w:val="16"/>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（采购代理机构名称）</w:t>
      </w:r>
    </w:p>
    <w:p>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我方已仔细阅读了贵方组织的</w:t>
      </w:r>
      <w:r>
        <w:rPr>
          <w:rFonts w:hint="eastAsia" w:hAnsi="宋体" w:cs="宋体"/>
          <w:color w:val="auto"/>
          <w:sz w:val="21"/>
          <w:szCs w:val="21"/>
          <w:highlight w:val="none"/>
          <w:u w:val="single"/>
          <w:lang w:eastAsia="zh-CN"/>
        </w:rPr>
        <w:t>隆安县那桐镇浪湾片区集中供水改造工程</w:t>
      </w:r>
      <w:r>
        <w:rPr>
          <w:rFonts w:hint="eastAsia" w:ascii="宋体" w:hAnsi="宋体" w:eastAsia="宋体" w:cs="宋体"/>
          <w:color w:val="auto"/>
          <w:sz w:val="21"/>
          <w:szCs w:val="21"/>
          <w:highlight w:val="none"/>
        </w:rPr>
        <w:t>项目（项目编号：</w:t>
      </w:r>
      <w:r>
        <w:rPr>
          <w:rFonts w:hint="eastAsia" w:hAnsi="宋体" w:cs="宋体"/>
          <w:color w:val="auto"/>
          <w:sz w:val="21"/>
          <w:szCs w:val="21"/>
          <w:highlight w:val="none"/>
          <w:u w:val="single"/>
          <w:lang w:eastAsia="zh-CN"/>
        </w:rPr>
        <w:t xml:space="preserve"> NNZC2024-C2-230184-GXJH</w:t>
      </w:r>
      <w:r>
        <w:rPr>
          <w:rFonts w:hint="eastAsia"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 xml:space="preserve">文件的全部内容，现正式递交下述文件参加贵方组织的本次政府采购活动： </w:t>
      </w:r>
    </w:p>
    <w:p>
      <w:pPr>
        <w:pStyle w:val="16"/>
        <w:spacing w:line="360" w:lineRule="auto"/>
        <w:ind w:firstLine="420" w:firstLineChars="200"/>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一、首次报价文件</w:t>
      </w:r>
      <w:r>
        <w:rPr>
          <w:rFonts w:hint="eastAsia" w:ascii="宋体" w:hAnsi="宋体" w:eastAsia="宋体" w:cs="宋体"/>
          <w:color w:val="000000" w:themeColor="text1"/>
          <w:sz w:val="21"/>
          <w:szCs w:val="21"/>
          <w:highlight w:val="none"/>
          <w:lang w:eastAsia="zh-CN"/>
          <w14:textFill>
            <w14:solidFill>
              <w14:schemeClr w14:val="tx1"/>
            </w14:solidFill>
          </w14:textFill>
        </w:rPr>
        <w:t>电子版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份（包含按</w:t>
      </w:r>
      <w:r>
        <w:rPr>
          <w:rFonts w:hint="eastAsia" w:ascii="宋体" w:hAnsi="宋体" w:eastAsia="宋体" w:cs="宋体"/>
          <w:color w:val="000000" w:themeColor="text1"/>
          <w:sz w:val="21"/>
          <w:szCs w:val="21"/>
          <w:highlight w:val="none"/>
          <w:lang w:eastAsia="zh-CN"/>
          <w14:textFill>
            <w14:solidFill>
              <w14:schemeClr w14:val="tx1"/>
            </w14:solidFill>
          </w14:textFill>
        </w:rPr>
        <w:t>“第三章 供应商须知”</w:t>
      </w:r>
      <w:r>
        <w:rPr>
          <w:rFonts w:hint="eastAsia" w:ascii="宋体" w:hAnsi="宋体" w:eastAsia="宋体" w:cs="宋体"/>
          <w:color w:val="000000" w:themeColor="text1"/>
          <w:sz w:val="21"/>
          <w:szCs w:val="21"/>
          <w:highlight w:val="none"/>
          <w14:textFill>
            <w14:solidFill>
              <w14:schemeClr w14:val="tx1"/>
            </w14:solidFill>
          </w14:textFill>
        </w:rPr>
        <w:t>提交的全部文件）；</w:t>
      </w:r>
    </w:p>
    <w:p>
      <w:pPr>
        <w:pStyle w:val="16"/>
        <w:spacing w:line="360" w:lineRule="auto"/>
        <w:ind w:firstLine="420"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二、技术文件</w:t>
      </w:r>
      <w:r>
        <w:rPr>
          <w:rFonts w:hint="eastAsia" w:ascii="宋体" w:hAnsi="宋体" w:eastAsia="宋体" w:cs="宋体"/>
          <w:color w:val="000000" w:themeColor="text1"/>
          <w:sz w:val="21"/>
          <w:szCs w:val="21"/>
          <w:highlight w:val="none"/>
          <w:lang w:eastAsia="zh-CN"/>
          <w14:textFill>
            <w14:solidFill>
              <w14:schemeClr w14:val="tx1"/>
            </w14:solidFill>
          </w14:textFill>
        </w:rPr>
        <w:t>电子版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份（包含按</w:t>
      </w:r>
      <w:r>
        <w:rPr>
          <w:rFonts w:hint="eastAsia" w:ascii="宋体" w:hAnsi="宋体" w:eastAsia="宋体" w:cs="宋体"/>
          <w:color w:val="000000" w:themeColor="text1"/>
          <w:sz w:val="21"/>
          <w:szCs w:val="21"/>
          <w:highlight w:val="none"/>
          <w:lang w:eastAsia="zh-CN"/>
          <w14:textFill>
            <w14:solidFill>
              <w14:schemeClr w14:val="tx1"/>
            </w14:solidFill>
          </w14:textFill>
        </w:rPr>
        <w:t>“第三章 供应商须知”</w:t>
      </w:r>
      <w:r>
        <w:rPr>
          <w:rFonts w:hint="eastAsia" w:ascii="宋体" w:hAnsi="宋体" w:eastAsia="宋体" w:cs="宋体"/>
          <w:color w:val="000000" w:themeColor="text1"/>
          <w:sz w:val="21"/>
          <w:szCs w:val="21"/>
          <w:highlight w:val="none"/>
          <w14:textFill>
            <w14:solidFill>
              <w14:schemeClr w14:val="tx1"/>
            </w14:solidFill>
          </w14:textFill>
        </w:rPr>
        <w:t>提交的全部文件）；商务文件</w:t>
      </w:r>
      <w:r>
        <w:rPr>
          <w:rFonts w:hint="eastAsia" w:ascii="宋体" w:hAnsi="宋体" w:eastAsia="宋体" w:cs="宋体"/>
          <w:color w:val="000000" w:themeColor="text1"/>
          <w:sz w:val="21"/>
          <w:szCs w:val="21"/>
          <w:highlight w:val="none"/>
          <w:lang w:eastAsia="zh-CN"/>
          <w14:textFill>
            <w14:solidFill>
              <w14:schemeClr w14:val="tx1"/>
            </w14:solidFill>
          </w14:textFill>
        </w:rPr>
        <w:t>电子版</w:t>
      </w:r>
      <w:r>
        <w:rPr>
          <w:rFonts w:hint="eastAsia" w:ascii="宋体" w:hAnsi="宋体" w:eastAsia="宋体" w:cs="宋体"/>
          <w:color w:val="000000" w:themeColor="text1"/>
          <w:sz w:val="21"/>
          <w:szCs w:val="21"/>
          <w:highlight w:val="none"/>
          <w:u w:val="single"/>
          <w14:textFill>
            <w14:solidFill>
              <w14:schemeClr w14:val="tx1"/>
            </w14:solidFill>
          </w14:textFill>
        </w:rPr>
        <w:t xml:space="preserve">   </w:t>
      </w:r>
      <w:r>
        <w:rPr>
          <w:rFonts w:hint="eastAsia" w:ascii="宋体" w:hAnsi="宋体" w:eastAsia="宋体" w:cs="宋体"/>
          <w:color w:val="000000" w:themeColor="text1"/>
          <w:sz w:val="21"/>
          <w:szCs w:val="21"/>
          <w:highlight w:val="none"/>
          <w14:textFill>
            <w14:solidFill>
              <w14:schemeClr w14:val="tx1"/>
            </w14:solidFill>
          </w14:textFill>
        </w:rPr>
        <w:t>份（包含按</w:t>
      </w:r>
      <w:r>
        <w:rPr>
          <w:rFonts w:hint="eastAsia" w:ascii="宋体" w:hAnsi="宋体" w:eastAsia="宋体" w:cs="宋体"/>
          <w:color w:val="000000" w:themeColor="text1"/>
          <w:sz w:val="21"/>
          <w:szCs w:val="21"/>
          <w:highlight w:val="none"/>
          <w:lang w:eastAsia="zh-CN"/>
          <w14:textFill>
            <w14:solidFill>
              <w14:schemeClr w14:val="tx1"/>
            </w14:solidFill>
          </w14:textFill>
        </w:rPr>
        <w:t>“第三章 供应商须知”</w:t>
      </w:r>
      <w:r>
        <w:rPr>
          <w:rFonts w:hint="eastAsia" w:ascii="宋体" w:hAnsi="宋体" w:eastAsia="宋体" w:cs="宋体"/>
          <w:color w:val="000000" w:themeColor="text1"/>
          <w:sz w:val="21"/>
          <w:szCs w:val="21"/>
          <w:highlight w:val="none"/>
          <w14:textFill>
            <w14:solidFill>
              <w14:schemeClr w14:val="tx1"/>
            </w14:solidFill>
          </w14:textFill>
        </w:rPr>
        <w:t>提交的全部文件）；</w:t>
      </w:r>
      <w:r>
        <w:rPr>
          <w:rFonts w:hint="eastAsia" w:ascii="宋体" w:hAnsi="宋体" w:eastAsia="宋体" w:cs="宋体"/>
          <w:color w:val="000000" w:themeColor="text1"/>
          <w:sz w:val="21"/>
          <w:szCs w:val="21"/>
          <w:highlight w:val="none"/>
          <w:lang w:eastAsia="zh-CN"/>
          <w14:textFill>
            <w14:solidFill>
              <w14:schemeClr w14:val="tx1"/>
            </w14:solidFill>
          </w14:textFill>
        </w:rPr>
        <w:t>（商务技术文件已合并装订成册）</w:t>
      </w:r>
    </w:p>
    <w:p>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三、资格证明文件电子版（包含按“第三章供应商须知”提交的全部文件）；</w:t>
      </w:r>
    </w:p>
    <w:p>
      <w:pPr>
        <w:pStyle w:val="16"/>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据此函，签字人兹宣布：</w:t>
      </w:r>
    </w:p>
    <w:p>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1、我单位经考察现场和研究上述工程竞争性磋商文件的</w:t>
      </w:r>
      <w:r>
        <w:rPr>
          <w:rFonts w:hint="eastAsia" w:hAnsi="宋体" w:cs="宋体"/>
          <w:color w:val="auto"/>
          <w:sz w:val="21"/>
          <w:szCs w:val="21"/>
          <w:highlight w:val="none"/>
          <w:lang w:val="en-US" w:eastAsia="zh-CN"/>
        </w:rPr>
        <w:t>供应商</w:t>
      </w:r>
      <w:r>
        <w:rPr>
          <w:rFonts w:hint="eastAsia" w:ascii="宋体" w:hAnsi="宋体" w:eastAsia="宋体" w:cs="宋体"/>
          <w:color w:val="auto"/>
          <w:sz w:val="21"/>
          <w:szCs w:val="21"/>
          <w:highlight w:val="none"/>
        </w:rPr>
        <w:t>须知、合同条件、技术规范、图纸和其他有关文件后，</w:t>
      </w:r>
      <w:r>
        <w:rPr>
          <w:rFonts w:hint="eastAsia" w:ascii="宋体" w:hAnsi="宋体" w:eastAsia="宋体" w:cs="宋体"/>
          <w:color w:val="000000" w:themeColor="text1"/>
          <w:sz w:val="21"/>
          <w:szCs w:val="21"/>
          <w:highlight w:val="none"/>
          <w14:textFill>
            <w14:solidFill>
              <w14:schemeClr w14:val="tx1"/>
            </w14:solidFill>
          </w14:textFill>
        </w:rPr>
        <w:t>我方承接本项目</w:t>
      </w:r>
      <w:r>
        <w:rPr>
          <w:rFonts w:hint="eastAsia" w:ascii="宋体" w:hAnsi="宋体"/>
          <w:color w:val="000000" w:themeColor="text1"/>
          <w:spacing w:val="8"/>
          <w:sz w:val="21"/>
          <w:szCs w:val="21"/>
          <w14:textFill>
            <w14:solidFill>
              <w14:schemeClr w14:val="tx1"/>
            </w14:solidFill>
          </w14:textFill>
        </w:rPr>
        <w:t>磋商</w:t>
      </w:r>
      <w:r>
        <w:rPr>
          <w:rFonts w:hint="eastAsia" w:ascii="宋体" w:hAnsi="宋体" w:eastAsia="宋体" w:cs="宋体"/>
          <w:color w:val="000000" w:themeColor="text1"/>
          <w:sz w:val="21"/>
          <w:szCs w:val="21"/>
          <w:highlight w:val="none"/>
          <w14:textFill>
            <w14:solidFill>
              <w14:schemeClr w14:val="tx1"/>
            </w14:solidFill>
          </w14:textFill>
        </w:rPr>
        <w:t>报价为人民币（大写）</w:t>
      </w:r>
      <w:r>
        <w:rPr>
          <w:rFonts w:hint="eastAsia" w:ascii="宋体" w:hAnsi="宋体" w:eastAsia="宋体" w:cs="宋体"/>
          <w:color w:val="000000" w:themeColor="text1"/>
          <w:sz w:val="21"/>
          <w:szCs w:val="21"/>
          <w:highlight w:val="none"/>
          <w:u w:val="single"/>
          <w14:textFill>
            <w14:solidFill>
              <w14:schemeClr w14:val="tx1"/>
            </w14:solidFill>
          </w14:textFill>
        </w:rPr>
        <w:t xml:space="preserve">          （￥           </w:t>
      </w:r>
      <w:r>
        <w:rPr>
          <w:rFonts w:hint="eastAsia" w:ascii="宋体" w:hAnsi="宋体" w:eastAsia="宋体" w:cs="宋体"/>
          <w:color w:val="000000" w:themeColor="text1"/>
          <w:sz w:val="21"/>
          <w:szCs w:val="21"/>
          <w:highlight w:val="none"/>
          <w14:textFill>
            <w14:solidFill>
              <w14:schemeClr w14:val="tx1"/>
            </w14:solidFill>
          </w14:textFill>
        </w:rPr>
        <w:t>）。按</w:t>
      </w:r>
      <w:r>
        <w:rPr>
          <w:rFonts w:hint="eastAsia" w:ascii="宋体" w:hAnsi="宋体" w:eastAsia="宋体" w:cs="宋体"/>
          <w:color w:val="auto"/>
          <w:sz w:val="21"/>
          <w:szCs w:val="21"/>
          <w:highlight w:val="none"/>
        </w:rPr>
        <w:t>上述合同条件、技术规范、图纸的条件承包本采购范围内全部工程的施工、竣工和保修。</w:t>
      </w:r>
    </w:p>
    <w:p>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2、一旦我方中标，我方保证按合同书中规定的工期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日历天内完成并移交全部工程</w:t>
      </w:r>
      <w:r>
        <w:rPr>
          <w:rFonts w:hint="eastAsia" w:ascii="宋体" w:hAnsi="宋体" w:eastAsia="宋体" w:cs="宋体"/>
          <w:color w:val="auto"/>
          <w:sz w:val="21"/>
          <w:szCs w:val="21"/>
          <w:highlight w:val="none"/>
          <w:lang w:eastAsia="zh-CN"/>
        </w:rPr>
        <w:t>，</w:t>
      </w:r>
      <w:r>
        <w:rPr>
          <w:rFonts w:hint="eastAsia" w:ascii="宋体" w:hAnsi="宋体"/>
          <w:sz w:val="21"/>
          <w:szCs w:val="21"/>
        </w:rPr>
        <w:t>并保证工程质量</w:t>
      </w:r>
      <w:r>
        <w:rPr>
          <w:rFonts w:hint="eastAsia" w:ascii="宋体" w:hAnsi="Courier New"/>
          <w:sz w:val="21"/>
          <w:szCs w:val="21"/>
          <w:u w:val="single"/>
        </w:rPr>
        <w:t xml:space="preserve">      </w:t>
      </w:r>
      <w:r>
        <w:rPr>
          <w:rFonts w:hint="eastAsia" w:ascii="宋体" w:hAnsi="宋体" w:eastAsia="宋体" w:cs="宋体"/>
          <w:color w:val="auto"/>
          <w:sz w:val="21"/>
          <w:szCs w:val="21"/>
          <w:highlight w:val="none"/>
        </w:rPr>
        <w:t>。</w:t>
      </w:r>
    </w:p>
    <w:p>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、我方同意自本项目竞争性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采购公告</w:t>
      </w:r>
      <w:r>
        <w:rPr>
          <w:rFonts w:hint="eastAsia" w:ascii="宋体" w:hAnsi="宋体" w:eastAsia="宋体" w:cs="宋体"/>
          <w:color w:val="auto"/>
          <w:sz w:val="21"/>
          <w:szCs w:val="21"/>
          <w:highlight w:val="none"/>
        </w:rPr>
        <w:t>规定的递交响应文件截止时间起遵循本响应函，并承诺在</w:t>
      </w:r>
      <w:r>
        <w:rPr>
          <w:rFonts w:hint="eastAsia" w:ascii="宋体" w:hAnsi="宋体" w:eastAsia="宋体" w:cs="宋体"/>
          <w:color w:val="auto"/>
          <w:sz w:val="21"/>
          <w:szCs w:val="21"/>
          <w:highlight w:val="none"/>
          <w:lang w:eastAsia="zh-CN"/>
        </w:rPr>
        <w:t>“第三章 供应商须知”</w:t>
      </w:r>
      <w:r>
        <w:rPr>
          <w:rFonts w:hint="eastAsia" w:ascii="宋体" w:hAnsi="宋体" w:eastAsia="宋体" w:cs="宋体"/>
          <w:color w:val="auto"/>
          <w:sz w:val="21"/>
          <w:szCs w:val="21"/>
          <w:highlight w:val="none"/>
        </w:rPr>
        <w:t>规定的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有效期内不修改、撤销</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w:t>
      </w:r>
    </w:p>
    <w:p>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、我方在此声明，所递交的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文件及有关资料内容完整、真实和准确。</w:t>
      </w:r>
    </w:p>
    <w:p>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5</w:t>
      </w:r>
      <w:r>
        <w:rPr>
          <w:rFonts w:hint="eastAsia" w:ascii="宋体" w:hAnsi="宋体" w:eastAsia="宋体" w:cs="宋体"/>
          <w:color w:val="auto"/>
          <w:sz w:val="21"/>
          <w:szCs w:val="21"/>
          <w:highlight w:val="none"/>
        </w:rPr>
        <w:t>、如本项目采购内容涉及须符合国家强制规定的，我方承诺我方本次竞标均符合国家有关强制规定。</w:t>
      </w:r>
    </w:p>
    <w:p>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6</w:t>
      </w:r>
      <w:r>
        <w:rPr>
          <w:rFonts w:hint="eastAsia" w:ascii="宋体" w:hAnsi="宋体" w:eastAsia="宋体" w:cs="宋体"/>
          <w:color w:val="auto"/>
          <w:sz w:val="21"/>
          <w:szCs w:val="21"/>
          <w:highlight w:val="none"/>
        </w:rPr>
        <w:t>、我方承诺未被列入失信被执行人、重大税收违法案件当事人名单、政府采购严重违法失信行为记录名单，并已经具备《中华人民共和国政府采购法》中规定的参加政府采购活动的供应商应当具备的条件：</w:t>
      </w:r>
    </w:p>
    <w:p>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具有独立承担民事责任的能力；</w:t>
      </w:r>
    </w:p>
    <w:p>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具有良好的商业信誉和健全的财务会计制度；</w:t>
      </w:r>
    </w:p>
    <w:p>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具有履行合同所必需的设备和专业技术能力；</w:t>
      </w:r>
    </w:p>
    <w:p>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有依法缴纳税收和社会保障资金的良好记录；</w:t>
      </w:r>
    </w:p>
    <w:p>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参加政府采购活动前三年内，在经营活动中没有重大违法记录；</w:t>
      </w:r>
    </w:p>
    <w:p>
      <w:pPr>
        <w:pStyle w:val="16"/>
        <w:numPr>
          <w:ilvl w:val="0"/>
          <w:numId w:val="2"/>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法律、行政法规规定的其他条件。</w:t>
      </w:r>
    </w:p>
    <w:p>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、如我方成交，我方承诺在收到成交通知书后，在成交通知书规定的期限内，根据竞争性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文件、我方的</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文件及有关澄清承诺书的要求按第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”与采购人订立书面合同，并按照合同约定承担完成合同的责任和义务。</w:t>
      </w:r>
    </w:p>
    <w:p>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、我方已详细审核竞争性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文件，我方知道必须放弃提出含糊不清或误解问题的权利。</w:t>
      </w:r>
    </w:p>
    <w:p>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9</w:t>
      </w:r>
      <w:r>
        <w:rPr>
          <w:rFonts w:hint="eastAsia" w:ascii="宋体" w:hAnsi="宋体" w:eastAsia="宋体" w:cs="宋体"/>
          <w:color w:val="auto"/>
          <w:sz w:val="21"/>
          <w:szCs w:val="21"/>
          <w:highlight w:val="none"/>
        </w:rPr>
        <w:t>、我方承诺满足竞争性</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文件第</w:t>
      </w:r>
      <w:r>
        <w:rPr>
          <w:rFonts w:hint="eastAsia" w:ascii="宋体" w:hAnsi="宋体" w:eastAsia="宋体" w:cs="宋体"/>
          <w:color w:val="auto"/>
          <w:sz w:val="21"/>
          <w:szCs w:val="21"/>
          <w:highlight w:val="none"/>
          <w:lang w:eastAsia="zh-CN"/>
        </w:rPr>
        <w:t>六</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lang w:eastAsia="zh-CN"/>
        </w:rPr>
        <w:t>合同文本</w:t>
      </w:r>
      <w:r>
        <w:rPr>
          <w:rFonts w:hint="eastAsia" w:ascii="宋体" w:hAnsi="宋体" w:eastAsia="宋体" w:cs="宋体"/>
          <w:color w:val="auto"/>
          <w:sz w:val="21"/>
          <w:szCs w:val="21"/>
          <w:highlight w:val="none"/>
        </w:rPr>
        <w:t>”的条款，承担完成合同的责任和义务。</w:t>
      </w:r>
    </w:p>
    <w:p>
      <w:pPr>
        <w:pStyle w:val="16"/>
        <w:spacing w:line="360" w:lineRule="auto"/>
        <w:ind w:firstLine="482"/>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10</w:t>
      </w:r>
      <w:r>
        <w:rPr>
          <w:rFonts w:hint="eastAsia" w:ascii="宋体" w:hAnsi="宋体" w:eastAsia="宋体" w:cs="宋体"/>
          <w:color w:val="auto"/>
          <w:sz w:val="21"/>
          <w:szCs w:val="21"/>
          <w:highlight w:val="none"/>
        </w:rPr>
        <w:t>、我方同意应贵方要求提供与本竞标有关的任何数据或资料。若贵方需要，我方愿意提供我方作出的一切承诺的证明材料。</w:t>
      </w:r>
    </w:p>
    <w:p>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、我方完全理解贵方不一定接受响应报价最低的竞标人为成交供应商的行为。</w:t>
      </w:r>
    </w:p>
    <w:p>
      <w:pPr>
        <w:pStyle w:val="16"/>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我方将严格遵守《中华人民共和国政府采购法》第七十七条的规定，即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提供虚假材料谋取中标、成交的；</w:t>
      </w:r>
    </w:p>
    <w:p>
      <w:pPr>
        <w:pStyle w:val="16"/>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采取不正当手段诋毁、排挤其他供应商的；</w:t>
      </w:r>
    </w:p>
    <w:p>
      <w:pPr>
        <w:pStyle w:val="16"/>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与采购人、其他供应商或者采购代理机构恶意串通的；</w:t>
      </w:r>
    </w:p>
    <w:p>
      <w:pPr>
        <w:pStyle w:val="16"/>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向采购人、采购代理机构行贿或者提供其他不正当利益的；</w:t>
      </w:r>
    </w:p>
    <w:p>
      <w:pPr>
        <w:pStyle w:val="16"/>
        <w:numPr>
          <w:ilvl w:val="0"/>
          <w:numId w:val="3"/>
        </w:numPr>
        <w:tabs>
          <w:tab w:val="left" w:pos="945"/>
        </w:tabs>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在采购过程中与采购人进行协商谈判的；</w:t>
      </w:r>
    </w:p>
    <w:p>
      <w:pPr>
        <w:pStyle w:val="16"/>
        <w:numPr>
          <w:ilvl w:val="0"/>
          <w:numId w:val="3"/>
        </w:numPr>
        <w:tabs>
          <w:tab w:val="left" w:pos="945"/>
        </w:tabs>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拒绝有关部门监督检查或提供虚假情况的。</w:t>
      </w:r>
    </w:p>
    <w:p>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1</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.与本</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有关的一切正式往来信函请寄：</w:t>
      </w:r>
    </w:p>
    <w:p>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u w:val="single"/>
        </w:rPr>
        <w:t xml:space="preserve">                                      　　　　　　　　　</w:t>
      </w:r>
    </w:p>
    <w:p>
      <w:pPr>
        <w:pStyle w:val="16"/>
        <w:spacing w:line="360" w:lineRule="auto"/>
        <w:ind w:firstLine="42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r>
        <w:rPr>
          <w:rFonts w:hint="eastAsia" w:ascii="宋体" w:hAnsi="宋体" w:eastAsia="宋体" w:cs="宋体"/>
          <w:color w:val="auto"/>
          <w:sz w:val="21"/>
          <w:szCs w:val="21"/>
          <w:highlight w:val="none"/>
          <w:u w:val="single"/>
        </w:rPr>
        <w:t>　　　　　　　　　　　　　　　　　　　　　　　　　　　　</w:t>
      </w:r>
    </w:p>
    <w:p>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邮政编码：</w:t>
      </w:r>
      <w:r>
        <w:rPr>
          <w:rFonts w:hint="eastAsia" w:ascii="宋体" w:hAnsi="宋体" w:eastAsia="宋体" w:cs="宋体"/>
          <w:color w:val="auto"/>
          <w:sz w:val="21"/>
          <w:szCs w:val="21"/>
          <w:highlight w:val="none"/>
          <w:u w:val="single"/>
        </w:rPr>
        <w:t xml:space="preserve">                                                    </w:t>
      </w:r>
    </w:p>
    <w:p>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开户名称：</w:t>
      </w:r>
      <w:r>
        <w:rPr>
          <w:rFonts w:hint="eastAsia" w:ascii="宋体" w:hAnsi="宋体" w:eastAsia="宋体" w:cs="宋体"/>
          <w:color w:val="auto"/>
          <w:sz w:val="21"/>
          <w:szCs w:val="21"/>
          <w:highlight w:val="none"/>
          <w:u w:val="single"/>
        </w:rPr>
        <w:t xml:space="preserve">                                                    </w:t>
      </w:r>
    </w:p>
    <w:p>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开户银行：</w:t>
      </w:r>
      <w:r>
        <w:rPr>
          <w:rFonts w:hint="eastAsia" w:ascii="宋体" w:hAnsi="宋体" w:eastAsia="宋体" w:cs="宋体"/>
          <w:color w:val="auto"/>
          <w:sz w:val="21"/>
          <w:szCs w:val="21"/>
          <w:highlight w:val="none"/>
          <w:u w:val="single"/>
        </w:rPr>
        <w:t xml:space="preserve">                                                    </w:t>
      </w:r>
    </w:p>
    <w:p>
      <w:pPr>
        <w:pStyle w:val="16"/>
        <w:spacing w:line="360" w:lineRule="auto"/>
        <w:ind w:firstLine="42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银行账号：</w:t>
      </w:r>
      <w:r>
        <w:rPr>
          <w:rFonts w:hint="eastAsia" w:ascii="宋体" w:hAnsi="宋体" w:eastAsia="宋体" w:cs="宋体"/>
          <w:color w:val="auto"/>
          <w:sz w:val="21"/>
          <w:szCs w:val="21"/>
          <w:highlight w:val="none"/>
          <w:u w:val="single"/>
        </w:rPr>
        <w:t xml:space="preserve">                                                    </w:t>
      </w:r>
    </w:p>
    <w:p>
      <w:pPr>
        <w:pStyle w:val="15"/>
        <w:tabs>
          <w:tab w:val="left" w:pos="939"/>
        </w:tabs>
        <w:spacing w:line="360" w:lineRule="auto"/>
        <w:ind w:left="141" w:leftChars="67" w:firstLine="315" w:firstLineChars="150"/>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特此承诺。</w:t>
      </w:r>
    </w:p>
    <w:p>
      <w:pPr>
        <w:spacing w:line="360" w:lineRule="auto"/>
        <w:contextualSpacing/>
        <w:jc w:val="left"/>
        <w:rPr>
          <w:rFonts w:hint="eastAsia" w:ascii="宋体" w:hAnsi="宋体" w:eastAsia="宋体" w:cs="宋体"/>
          <w:color w:val="auto"/>
          <w:szCs w:val="21"/>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autoSpaceDE w:val="0"/>
        <w:autoSpaceDN w:val="0"/>
        <w:spacing w:line="360" w:lineRule="auto"/>
        <w:ind w:left="0" w:leftChars="0" w:firstLine="5880" w:firstLineChars="2450"/>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日期：  年  月   日</w:t>
      </w:r>
    </w:p>
    <w:p>
      <w:pPr>
        <w:spacing w:line="360" w:lineRule="auto"/>
        <w:ind w:firstLine="420" w:firstLineChars="200"/>
        <w:rPr>
          <w:rFonts w:hint="eastAsia" w:ascii="宋体" w:hAnsi="宋体" w:eastAsia="宋体" w:cs="宋体"/>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snapToGrid w:val="0"/>
        <w:spacing w:before="120" w:beforeLines="50" w:after="50" w:line="360" w:lineRule="auto"/>
        <w:ind w:left="142" w:firstLine="643" w:firstLineChars="200"/>
        <w:jc w:val="left"/>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二、响应报价表</w:t>
      </w:r>
    </w:p>
    <w:p>
      <w:pPr>
        <w:snapToGrid w:val="0"/>
        <w:spacing w:before="50" w:after="50" w:line="360" w:lineRule="auto"/>
        <w:rPr>
          <w:rFonts w:hint="eastAsia" w:ascii="宋体" w:hAnsi="宋体" w:eastAsia="宋体" w:cs="宋体"/>
          <w:color w:val="auto"/>
          <w:sz w:val="24"/>
          <w:highlight w:val="none"/>
        </w:rPr>
      </w:pPr>
    </w:p>
    <w:p>
      <w:pPr>
        <w:snapToGrid w:val="0"/>
        <w:spacing w:before="50" w:after="50"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rPr>
        <w:t>项目名称：</w:t>
      </w:r>
      <w:r>
        <w:rPr>
          <w:rFonts w:hint="eastAsia" w:ascii="宋体" w:hAnsi="宋体" w:cs="宋体"/>
          <w:color w:val="auto"/>
          <w:sz w:val="24"/>
          <w:highlight w:val="none"/>
          <w:lang w:eastAsia="zh-CN"/>
        </w:rPr>
        <w:t>隆安县那桐镇浪湾片区集中供水改造工程</w:t>
      </w:r>
    </w:p>
    <w:p>
      <w:pPr>
        <w:snapToGrid w:val="0"/>
        <w:spacing w:before="50" w:after="50" w:line="360" w:lineRule="auto"/>
        <w:rPr>
          <w:rFonts w:hint="eastAsia" w:ascii="宋体" w:hAnsi="宋体" w:cs="宋体"/>
          <w:color w:val="auto"/>
          <w:sz w:val="24"/>
          <w:highlight w:val="none"/>
          <w:u w:val="single"/>
          <w:lang w:val="en-US" w:eastAsia="zh-CN"/>
        </w:rPr>
      </w:pPr>
      <w:r>
        <w:rPr>
          <w:rFonts w:hint="eastAsia" w:ascii="宋体" w:hAnsi="宋体" w:eastAsia="宋体" w:cs="宋体"/>
          <w:color w:val="auto"/>
          <w:sz w:val="24"/>
          <w:highlight w:val="none"/>
        </w:rPr>
        <w:t>项目编号：</w:t>
      </w:r>
      <w:r>
        <w:rPr>
          <w:rFonts w:hint="eastAsia" w:ascii="宋体" w:hAnsi="宋体" w:cs="宋体"/>
          <w:color w:val="auto"/>
          <w:sz w:val="24"/>
          <w:highlight w:val="none"/>
          <w:u w:val="single"/>
          <w:lang w:eastAsia="zh-CN"/>
        </w:rPr>
        <w:t xml:space="preserve"> NNZC2024-C2-230184-GXJH  </w:t>
      </w:r>
      <w:r>
        <w:rPr>
          <w:rFonts w:hint="eastAsia" w:ascii="宋体" w:hAnsi="宋体" w:cs="宋体"/>
          <w:color w:val="auto"/>
          <w:sz w:val="24"/>
          <w:highlight w:val="none"/>
          <w:u w:val="single"/>
          <w:lang w:val="en-US" w:eastAsia="zh-CN"/>
        </w:rPr>
        <w:t xml:space="preserve">      </w:t>
      </w:r>
    </w:p>
    <w:p>
      <w:pPr>
        <w:snapToGrid w:val="0"/>
        <w:spacing w:before="50" w:after="50" w:line="360" w:lineRule="auto"/>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供应商名称：</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p>
    <w:tbl>
      <w:tblPr>
        <w:tblStyle w:val="24"/>
        <w:tblW w:w="93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3346"/>
        <w:gridCol w:w="1140"/>
        <w:gridCol w:w="2837"/>
        <w:gridCol w:w="11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3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w:t>
            </w:r>
            <w:r>
              <w:rPr>
                <w:rFonts w:hint="eastAsia" w:ascii="宋体" w:hAnsi="宋体" w:eastAsia="宋体" w:cs="宋体"/>
                <w:color w:val="auto"/>
                <w:sz w:val="24"/>
                <w:szCs w:val="24"/>
                <w:highlight w:val="none"/>
                <w:lang w:eastAsia="zh-CN"/>
              </w:rPr>
              <w:t>名称</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数量</w:t>
            </w:r>
            <w:r>
              <w:rPr>
                <w:rFonts w:hint="eastAsia" w:ascii="宋体" w:hAnsi="宋体" w:eastAsia="宋体" w:cs="宋体"/>
                <w:color w:val="auto"/>
                <w:sz w:val="24"/>
                <w:szCs w:val="24"/>
                <w:highlight w:val="none"/>
                <w:lang w:eastAsia="zh-CN"/>
              </w:rPr>
              <w:t>及单位</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总价（元）</w:t>
            </w:r>
          </w:p>
        </w:tc>
        <w:tc>
          <w:tcPr>
            <w:tcW w:w="11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8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33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r>
              <w:rPr>
                <w:rFonts w:hint="eastAsia" w:ascii="宋体" w:hAnsi="宋体" w:cs="宋体"/>
                <w:color w:val="auto"/>
                <w:sz w:val="24"/>
                <w:highlight w:val="none"/>
                <w:lang w:eastAsia="zh-CN"/>
              </w:rPr>
              <w:t>隆安县那桐镇浪湾片区集中供水改造工程</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1项</w:t>
            </w:r>
          </w:p>
        </w:tc>
        <w:tc>
          <w:tcPr>
            <w:tcW w:w="283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p>
        </w:tc>
        <w:tc>
          <w:tcPr>
            <w:tcW w:w="11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9318"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报价合计（包含税费等所有费用）：（大写）人民币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9318"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合同履行期限（工期）：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9318" w:type="dxa"/>
            <w:gridSpan w:val="5"/>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color w:val="FF0000"/>
                <w:kern w:val="2"/>
                <w:sz w:val="24"/>
                <w:szCs w:val="24"/>
                <w:highlight w:val="none"/>
                <w:lang w:val="en-US" w:eastAsia="zh-CN" w:bidi="ar-SA"/>
              </w:rPr>
            </w:pPr>
            <w:r>
              <w:rPr>
                <w:rFonts w:hint="eastAsia" w:ascii="宋体" w:hAnsi="宋体" w:eastAsia="宋体" w:cs="宋体"/>
                <w:color w:val="auto"/>
                <w:sz w:val="24"/>
                <w:szCs w:val="24"/>
                <w:highlight w:val="none"/>
              </w:rPr>
              <w:t>工程质量要求：</w:t>
            </w:r>
          </w:p>
        </w:tc>
      </w:tr>
    </w:tbl>
    <w:p>
      <w:pPr>
        <w:snapToGrid w:val="0"/>
        <w:spacing w:before="50" w:after="50" w:line="360" w:lineRule="auto"/>
        <w:ind w:firstLine="480" w:firstLineChars="200"/>
        <w:jc w:val="left"/>
        <w:rPr>
          <w:rFonts w:hint="eastAsia" w:ascii="宋体" w:hAnsi="宋体" w:eastAsia="宋体" w:cs="宋体"/>
          <w:color w:val="auto"/>
          <w:kern w:val="0"/>
          <w:sz w:val="24"/>
          <w:highlight w:val="none"/>
          <w:lang w:val="zh-CN"/>
        </w:rPr>
      </w:pPr>
      <w:r>
        <w:rPr>
          <w:rFonts w:hint="eastAsia" w:ascii="宋体" w:hAnsi="宋体" w:eastAsia="宋体" w:cs="宋体"/>
          <w:color w:val="auto"/>
          <w:kern w:val="0"/>
          <w:sz w:val="24"/>
          <w:highlight w:val="none"/>
          <w:lang w:val="zh-CN"/>
        </w:rPr>
        <w:t xml:space="preserve"> </w:t>
      </w:r>
    </w:p>
    <w:p>
      <w:pPr>
        <w:autoSpaceDE/>
        <w:autoSpaceDN/>
        <w:snapToGrid w:val="0"/>
        <w:spacing w:line="360" w:lineRule="auto"/>
        <w:ind w:left="0" w:leftChars="0" w:firstLine="480" w:firstLineChars="200"/>
        <w:jc w:val="left"/>
        <w:rPr>
          <w:rFonts w:hint="eastAsia" w:ascii="宋体" w:hAnsi="宋体" w:eastAsia="宋体" w:cs="宋体"/>
          <w:color w:val="auto"/>
          <w:kern w:val="0"/>
          <w:sz w:val="24"/>
          <w:highlight w:val="none"/>
        </w:rPr>
      </w:pPr>
      <w:r>
        <w:rPr>
          <w:rFonts w:hint="eastAsia" w:ascii="宋体" w:hAnsi="宋体" w:cs="仿宋_GB2312"/>
          <w:kern w:val="0"/>
          <w:sz w:val="24"/>
          <w:szCs w:val="22"/>
          <w:lang w:val="zh-CN"/>
        </w:rPr>
        <w:t>注</w:t>
      </w:r>
      <w:r>
        <w:rPr>
          <w:rFonts w:ascii="宋体" w:hAnsi="宋体" w:cs="仿宋_GB2312"/>
          <w:kern w:val="0"/>
          <w:sz w:val="24"/>
          <w:szCs w:val="22"/>
          <w:lang w:val="zh-CN"/>
        </w:rPr>
        <w:t>：</w:t>
      </w:r>
      <w:r>
        <w:rPr>
          <w:rFonts w:hint="eastAsia" w:ascii="宋体" w:hAnsi="宋体" w:cs="仿宋_GB2312"/>
          <w:kern w:val="0"/>
          <w:sz w:val="24"/>
          <w:lang w:val="zh-CN"/>
        </w:rPr>
        <w:t>符合采购文件中列明的可享受中小企业扶持政策的供应商，请填写中小企业声明函。注：供应商</w:t>
      </w:r>
      <w:r>
        <w:rPr>
          <w:rFonts w:ascii="宋体" w:hAnsi="宋体" w:cs="仿宋_GB2312"/>
          <w:kern w:val="0"/>
          <w:sz w:val="24"/>
          <w:lang w:val="zh-CN"/>
        </w:rPr>
        <w:t>提供</w:t>
      </w:r>
      <w:r>
        <w:rPr>
          <w:rFonts w:hint="eastAsia" w:ascii="宋体" w:hAnsi="宋体" w:cs="仿宋_GB2312"/>
          <w:kern w:val="0"/>
          <w:sz w:val="24"/>
          <w:lang w:val="zh-CN"/>
        </w:rPr>
        <w:t>的中小企业</w:t>
      </w:r>
      <w:r>
        <w:rPr>
          <w:rFonts w:ascii="宋体" w:hAnsi="宋体" w:cs="仿宋_GB2312"/>
          <w:kern w:val="0"/>
          <w:sz w:val="24"/>
          <w:lang w:val="zh-CN"/>
        </w:rPr>
        <w:t>声明函内容不实的，属于提供虚假材料谋取中标、成交，依照《中华人民共和国政府采购法》等国家有关规定追究相应责任</w:t>
      </w:r>
      <w:r>
        <w:rPr>
          <w:rFonts w:hint="eastAsia" w:ascii="宋体" w:hAnsi="宋体" w:eastAsia="宋体" w:cs="宋体"/>
          <w:color w:val="auto"/>
          <w:kern w:val="0"/>
          <w:sz w:val="24"/>
          <w:highlight w:val="none"/>
          <w:lang w:val="zh-CN"/>
        </w:rPr>
        <w:t>。</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pStyle w:val="16"/>
        <w:spacing w:line="360" w:lineRule="auto"/>
        <w:ind w:left="0" w:leftChars="0" w:firstLine="5678" w:firstLineChars="2366"/>
        <w:rPr>
          <w:rFonts w:hint="eastAsia"/>
          <w:color w:val="auto"/>
          <w:highlight w:val="none"/>
          <w:lang w:val="zh-CN"/>
        </w:rPr>
      </w:pPr>
      <w:r>
        <w:rPr>
          <w:rFonts w:hint="eastAsia" w:ascii="宋体" w:hAnsi="宋体" w:eastAsia="宋体" w:cs="宋体"/>
          <w:color w:val="auto"/>
          <w:sz w:val="24"/>
          <w:highlight w:val="none"/>
          <w:lang w:val="zh-CN"/>
        </w:rPr>
        <w:t>日期：  年  月   日</w:t>
      </w:r>
    </w:p>
    <w:p>
      <w:pPr>
        <w:rPr>
          <w:rFonts w:hint="eastAsia"/>
          <w:color w:val="auto"/>
          <w:highlight w:val="none"/>
          <w:lang w:val="zh-CN"/>
        </w:rPr>
      </w:pPr>
    </w:p>
    <w:p>
      <w:pPr>
        <w:pStyle w:val="23"/>
        <w:rPr>
          <w:rFonts w:hint="eastAsia"/>
          <w:color w:val="auto"/>
          <w:highlight w:val="none"/>
          <w:lang w:val="zh-CN"/>
        </w:rPr>
      </w:pPr>
    </w:p>
    <w:p>
      <w:pPr>
        <w:rPr>
          <w:rFonts w:hint="eastAsia"/>
          <w:color w:val="auto"/>
          <w:highlight w:val="none"/>
          <w:lang w:val="zh-CN"/>
        </w:rPr>
      </w:pPr>
    </w:p>
    <w:p>
      <w:pPr>
        <w:pStyle w:val="23"/>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rPr>
          <w:rFonts w:hint="eastAsia"/>
          <w:color w:val="auto"/>
          <w:highlight w:val="none"/>
          <w:lang w:val="zh-CN"/>
        </w:rPr>
      </w:pPr>
    </w:p>
    <w:p>
      <w:pPr>
        <w:pStyle w:val="23"/>
        <w:rPr>
          <w:rFonts w:hint="eastAsia"/>
          <w:lang w:val="zh-CN"/>
        </w:rPr>
      </w:pPr>
    </w:p>
    <w:p>
      <w:pPr>
        <w:rPr>
          <w:rFonts w:hint="eastAsia"/>
          <w:lang w:val="zh-CN"/>
        </w:rPr>
      </w:pPr>
    </w:p>
    <w:p>
      <w:pPr>
        <w:snapToGrid w:val="0"/>
        <w:spacing w:line="360" w:lineRule="auto"/>
        <w:ind w:firstLine="602" w:firstLineChars="200"/>
        <w:rPr>
          <w:rFonts w:hint="eastAsia" w:ascii="宋体" w:hAnsi="宋体" w:cs="仿宋_GB2312"/>
          <w:b/>
          <w:color w:val="auto"/>
          <w:sz w:val="30"/>
          <w:szCs w:val="30"/>
          <w:highlight w:val="none"/>
        </w:rPr>
      </w:pPr>
      <w:r>
        <w:rPr>
          <w:rFonts w:hint="eastAsia" w:ascii="宋体" w:hAnsi="宋体" w:cs="仿宋_GB2312"/>
          <w:b/>
          <w:color w:val="auto"/>
          <w:sz w:val="30"/>
          <w:szCs w:val="30"/>
          <w:highlight w:val="none"/>
        </w:rPr>
        <w:t>三、已标价工程量清单</w:t>
      </w:r>
    </w:p>
    <w:p>
      <w:pPr>
        <w:snapToGrid w:val="0"/>
        <w:spacing w:line="360" w:lineRule="auto"/>
        <w:ind w:firstLine="482" w:firstLineChars="200"/>
        <w:rPr>
          <w:rFonts w:hint="eastAsia" w:ascii="宋体" w:hAnsi="宋体" w:cs="仿宋_GB2312"/>
          <w:b/>
          <w:bCs w:val="0"/>
          <w:color w:val="auto"/>
          <w:kern w:val="2"/>
          <w:sz w:val="24"/>
          <w:szCs w:val="24"/>
          <w:highlight w:val="none"/>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outlineLvl w:val="9"/>
        <w:rPr>
          <w:rFonts w:hint="eastAsia"/>
          <w:lang w:val="en-US" w:eastAsia="zh-CN"/>
        </w:rPr>
      </w:pPr>
    </w:p>
    <w:p>
      <w:pPr>
        <w:snapToGrid w:val="0"/>
        <w:spacing w:line="360" w:lineRule="auto"/>
        <w:ind w:firstLine="482" w:firstLineChars="200"/>
        <w:rPr>
          <w:rFonts w:hint="eastAsia" w:ascii="宋体" w:hAnsi="宋体" w:eastAsia="宋体" w:cs="宋体"/>
          <w:b/>
          <w:color w:val="auto"/>
          <w:sz w:val="30"/>
          <w:szCs w:val="30"/>
          <w:highlight w:val="none"/>
          <w:lang w:val="en-US" w:eastAsia="zh-CN"/>
        </w:rPr>
      </w:pPr>
      <w:r>
        <w:rPr>
          <w:rFonts w:hint="eastAsia" w:ascii="宋体" w:hAnsi="宋体" w:cs="仿宋_GB2312"/>
          <w:b/>
          <w:color w:val="auto"/>
          <w:sz w:val="24"/>
          <w:szCs w:val="24"/>
          <w:highlight w:val="none"/>
          <w:lang w:val="en-US" w:eastAsia="zh-CN"/>
        </w:rPr>
        <w:t>说明：</w:t>
      </w:r>
      <w:r>
        <w:rPr>
          <w:rFonts w:hint="eastAsia" w:ascii="宋体" w:hAnsi="宋体" w:cs="仿宋_GB2312"/>
          <w:b/>
          <w:bCs w:val="0"/>
          <w:color w:val="auto"/>
          <w:kern w:val="2"/>
          <w:sz w:val="24"/>
          <w:szCs w:val="24"/>
          <w:highlight w:val="none"/>
          <w:lang w:val="en-US" w:eastAsia="zh-CN"/>
        </w:rPr>
        <w:t>二次报价或最后报价与首次报价相比有调整的，请供应商提前准备好调整后的已标价工程量清单（已标价工程量清单合计金额须与相对应的竞标总报价金额保持一致），如未在规定时间内提供调整后的已标价工程量清单，由此造成的后果供应商自行承担。</w:t>
      </w:r>
    </w:p>
    <w:p>
      <w:pPr>
        <w:pStyle w:val="13"/>
        <w:jc w:val="center"/>
        <w:rPr>
          <w:rFonts w:hint="eastAsia" w:ascii="宋体" w:hAnsi="宋体" w:cs="宋体"/>
          <w:b/>
          <w:color w:val="auto"/>
          <w:sz w:val="24"/>
          <w:szCs w:val="24"/>
          <w:highlight w:val="none"/>
          <w:lang w:val="en-US" w:eastAsia="zh-CN"/>
        </w:rPr>
      </w:pPr>
    </w:p>
    <w:p>
      <w:pPr>
        <w:pStyle w:val="13"/>
        <w:jc w:val="center"/>
        <w:rPr>
          <w:rFonts w:hint="eastAsia" w:ascii="宋体" w:hAnsi="宋体" w:cs="宋体"/>
          <w:b/>
          <w:color w:val="auto"/>
          <w:sz w:val="24"/>
          <w:szCs w:val="24"/>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pStyle w:val="13"/>
        <w:ind w:firstLine="630" w:firstLineChars="300"/>
        <w:rPr>
          <w:rFonts w:hint="eastAsia"/>
          <w:color w:val="auto"/>
          <w:highlight w:val="none"/>
          <w:lang w:val="en-US" w:eastAsia="zh-CN"/>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p>
    <w:p>
      <w:pPr>
        <w:snapToGrid w:val="0"/>
        <w:spacing w:line="360" w:lineRule="auto"/>
        <w:ind w:firstLine="602" w:firstLineChars="200"/>
        <w:rPr>
          <w:rFonts w:hint="eastAsia" w:ascii="宋体" w:hAnsi="宋体" w:eastAsia="宋体" w:cs="宋体"/>
          <w:b/>
          <w:color w:val="auto"/>
          <w:sz w:val="30"/>
          <w:szCs w:val="30"/>
          <w:highlight w:val="none"/>
        </w:rPr>
      </w:pPr>
      <w:r>
        <w:rPr>
          <w:rFonts w:hint="eastAsia" w:ascii="宋体" w:hAnsi="宋体" w:cs="宋体"/>
          <w:b/>
          <w:color w:val="auto"/>
          <w:sz w:val="30"/>
          <w:szCs w:val="30"/>
          <w:highlight w:val="none"/>
          <w:lang w:val="en-US" w:eastAsia="zh-CN"/>
        </w:rPr>
        <w:t>四</w:t>
      </w:r>
      <w:r>
        <w:rPr>
          <w:rFonts w:hint="eastAsia" w:ascii="宋体" w:hAnsi="宋体" w:cs="宋体"/>
          <w:b/>
          <w:color w:val="auto"/>
          <w:sz w:val="30"/>
          <w:szCs w:val="30"/>
          <w:highlight w:val="none"/>
          <w:lang w:eastAsia="zh-CN"/>
        </w:rPr>
        <w:t>、</w:t>
      </w:r>
      <w:r>
        <w:rPr>
          <w:rFonts w:hint="eastAsia" w:ascii="宋体" w:hAnsi="宋体" w:eastAsia="宋体" w:cs="宋体"/>
          <w:b/>
          <w:color w:val="auto"/>
          <w:sz w:val="30"/>
          <w:szCs w:val="30"/>
          <w:highlight w:val="none"/>
        </w:rPr>
        <w:t>供应商认为需要提供的其他有关资料</w:t>
      </w: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p>
    <w:p>
      <w:pPr>
        <w:pStyle w:val="13"/>
        <w:spacing w:line="360" w:lineRule="auto"/>
        <w:rPr>
          <w:rFonts w:hint="eastAsia" w:ascii="宋体" w:hAnsi="宋体" w:eastAsia="宋体" w:cs="宋体"/>
          <w:color w:val="auto"/>
          <w:highlight w:val="none"/>
        </w:rPr>
      </w:pPr>
    </w:p>
    <w:p>
      <w:pPr>
        <w:autoSpaceDE w:val="0"/>
        <w:autoSpaceDN w:val="0"/>
        <w:spacing w:line="360" w:lineRule="auto"/>
        <w:ind w:left="4335" w:leftChars="1950" w:hanging="240" w:hangingChars="100"/>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供应商名称（电子签章）：</w:t>
      </w:r>
    </w:p>
    <w:p>
      <w:pPr>
        <w:ind w:firstLine="2160" w:firstLineChars="900"/>
        <w:rPr>
          <w:rFonts w:hint="eastAsia"/>
          <w:color w:val="auto"/>
          <w:highlight w:val="none"/>
          <w:lang w:val="zh-CN"/>
        </w:rPr>
        <w:sectPr>
          <w:pgSz w:w="11906" w:h="16838"/>
          <w:pgMar w:top="1440" w:right="1080" w:bottom="1440" w:left="1080" w:header="720" w:footer="720" w:gutter="0"/>
          <w:pgBorders w:offsetFrom="page">
            <w:top w:val="none" w:sz="0" w:space="0"/>
            <w:left w:val="none" w:sz="0" w:space="0"/>
            <w:bottom w:val="none" w:sz="0" w:space="0"/>
            <w:right w:val="none" w:sz="0" w:space="0"/>
          </w:pgBorders>
          <w:pgNumType w:fmt="decimal"/>
          <w:cols w:space="720" w:num="1"/>
          <w:docGrid w:type="lines" w:linePitch="331" w:charSpace="0"/>
        </w:sectPr>
      </w:pP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highlight w:val="none"/>
          <w:lang w:val="zh-CN"/>
        </w:rPr>
        <w:t>日期：  年  月   日</w:t>
      </w:r>
    </w:p>
    <w:p>
      <w:pPr>
        <w:rPr>
          <w:rFonts w:hint="eastAsia"/>
          <w:color w:val="auto"/>
          <w:highlight w:val="none"/>
          <w:lang w:val="zh-CN" w:eastAsia="zh-CN"/>
        </w:rPr>
      </w:pPr>
    </w:p>
    <w:p>
      <w:pPr>
        <w:pStyle w:val="16"/>
        <w:spacing w:line="360" w:lineRule="auto"/>
        <w:ind w:firstLine="602" w:firstLineChars="200"/>
        <w:rPr>
          <w:rFonts w:hint="eastAsia" w:ascii="宋体" w:hAnsi="宋体" w:eastAsia="宋体" w:cs="宋体"/>
          <w:b/>
          <w:color w:val="auto"/>
          <w:kern w:val="2"/>
          <w:sz w:val="30"/>
          <w:szCs w:val="30"/>
          <w:highlight w:val="none"/>
          <w:lang w:val="en-US" w:eastAsia="zh-CN"/>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both"/>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spacing w:line="360" w:lineRule="auto"/>
        <w:jc w:val="center"/>
        <w:rPr>
          <w:rFonts w:hint="eastAsia" w:ascii="宋体" w:hAnsi="宋体" w:eastAsia="宋体" w:cs="宋体"/>
          <w:color w:val="auto"/>
          <w:sz w:val="24"/>
          <w:highlight w:val="none"/>
        </w:rPr>
      </w:pPr>
    </w:p>
    <w:p>
      <w:pPr>
        <w:pStyle w:val="3"/>
        <w:spacing w:line="360" w:lineRule="auto"/>
        <w:jc w:val="center"/>
        <w:rPr>
          <w:rFonts w:hint="eastAsia" w:ascii="宋体" w:hAnsi="宋体" w:eastAsia="宋体" w:cs="宋体"/>
          <w:b w:val="0"/>
          <w:bCs w:val="0"/>
          <w:color w:val="auto"/>
          <w:highlight w:val="none"/>
        </w:rPr>
      </w:pPr>
      <w:bookmarkStart w:id="128" w:name="_Toc26628"/>
      <w:bookmarkStart w:id="129" w:name="_Toc25466"/>
      <w:bookmarkStart w:id="130" w:name="_Toc14897"/>
      <w:r>
        <w:rPr>
          <w:rFonts w:hint="eastAsia" w:ascii="宋体" w:hAnsi="宋体" w:eastAsia="宋体" w:cs="宋体"/>
          <w:b/>
          <w:bCs/>
          <w:color w:val="auto"/>
          <w:highlight w:val="none"/>
        </w:rPr>
        <w:t>第六章  合同文本</w:t>
      </w:r>
      <w:r>
        <w:rPr>
          <w:rFonts w:hint="eastAsia" w:ascii="宋体" w:hAnsi="宋体" w:eastAsia="宋体" w:cs="宋体"/>
          <w:b/>
          <w:bCs/>
          <w:color w:val="auto"/>
          <w:highlight w:val="none"/>
        </w:rPr>
        <w:br w:type="page"/>
      </w:r>
      <w:bookmarkEnd w:id="128"/>
      <w:bookmarkEnd w:id="129"/>
      <w:bookmarkEnd w:id="130"/>
    </w:p>
    <w:p>
      <w:pPr>
        <w:spacing w:line="360" w:lineRule="auto"/>
        <w:rPr>
          <w:rFonts w:hint="eastAsia" w:ascii="宋体" w:hAnsi="宋体" w:eastAsia="宋体" w:cs="宋体"/>
          <w:b/>
          <w:bCs/>
          <w:color w:val="auto"/>
          <w:highlight w:val="none"/>
        </w:rPr>
      </w:pPr>
      <w:r>
        <w:rPr>
          <w:rFonts w:hint="eastAsia" w:ascii="宋体" w:hAnsi="宋体" w:eastAsia="宋体" w:cs="宋体"/>
          <w:b/>
          <w:bCs/>
          <w:color w:val="auto"/>
          <w:sz w:val="24"/>
          <w:highlight w:val="none"/>
        </w:rPr>
        <w:t>“政采云”平台合同编号：</w:t>
      </w:r>
    </w:p>
    <w:p>
      <w:pPr>
        <w:spacing w:line="360" w:lineRule="auto"/>
        <w:jc w:val="center"/>
        <w:rPr>
          <w:rFonts w:hint="eastAsia" w:ascii="宋体" w:hAnsi="宋体" w:eastAsia="宋体" w:cs="宋体"/>
          <w:b/>
          <w:bCs/>
          <w:color w:val="auto"/>
          <w:sz w:val="52"/>
          <w:highlight w:val="none"/>
        </w:rPr>
      </w:pPr>
    </w:p>
    <w:p>
      <w:pPr>
        <w:spacing w:line="360" w:lineRule="auto"/>
        <w:jc w:val="center"/>
        <w:rPr>
          <w:rFonts w:hint="eastAsia" w:ascii="宋体" w:hAnsi="宋体" w:eastAsia="宋体" w:cs="宋体"/>
          <w:b/>
          <w:bCs/>
          <w:color w:val="auto"/>
          <w:sz w:val="52"/>
          <w:highlight w:val="none"/>
        </w:rPr>
      </w:pPr>
      <w:r>
        <w:rPr>
          <w:rFonts w:hint="eastAsia" w:ascii="宋体" w:hAnsi="宋体" w:eastAsia="宋体" w:cs="宋体"/>
          <w:b/>
          <w:bCs/>
          <w:color w:val="auto"/>
          <w:sz w:val="52"/>
          <w:highlight w:val="none"/>
        </w:rPr>
        <w:t>南 宁 市 政 府 采 购</w:t>
      </w:r>
    </w:p>
    <w:p>
      <w:pPr>
        <w:spacing w:line="360" w:lineRule="auto"/>
        <w:ind w:firstLine="420" w:firstLineChars="200"/>
        <w:rPr>
          <w:rFonts w:hint="eastAsia" w:ascii="宋体" w:hAnsi="宋体" w:eastAsia="宋体" w:cs="宋体"/>
          <w:color w:val="auto"/>
          <w:highlight w:val="none"/>
        </w:rPr>
      </w:pPr>
    </w:p>
    <w:p>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 xml:space="preserve">                                                 </w:t>
      </w:r>
    </w:p>
    <w:p>
      <w:pPr>
        <w:spacing w:line="360" w:lineRule="auto"/>
        <w:jc w:val="center"/>
        <w:rPr>
          <w:rFonts w:hint="eastAsia" w:ascii="宋体" w:hAnsi="宋体" w:eastAsia="宋体" w:cs="宋体"/>
          <w:b/>
          <w:bCs/>
          <w:color w:val="auto"/>
          <w:sz w:val="44"/>
          <w:highlight w:val="none"/>
        </w:rPr>
      </w:pPr>
      <w:r>
        <w:rPr>
          <w:rFonts w:hint="eastAsia" w:ascii="宋体" w:hAnsi="宋体" w:cs="宋体"/>
          <w:b/>
          <w:bCs/>
          <w:color w:val="auto"/>
          <w:sz w:val="44"/>
          <w:highlight w:val="none"/>
          <w:u w:val="single"/>
          <w:lang w:eastAsia="zh-CN"/>
        </w:rPr>
        <w:t>隆安县那桐镇浪湾片区集中供水改造工程</w:t>
      </w:r>
      <w:r>
        <w:rPr>
          <w:rFonts w:hint="eastAsia" w:ascii="宋体" w:hAnsi="宋体" w:eastAsia="宋体" w:cs="宋体"/>
          <w:b/>
          <w:bCs/>
          <w:color w:val="auto"/>
          <w:sz w:val="44"/>
          <w:highlight w:val="none"/>
        </w:rPr>
        <w:t>合同</w:t>
      </w:r>
    </w:p>
    <w:p>
      <w:pPr>
        <w:spacing w:line="360" w:lineRule="auto"/>
        <w:jc w:val="center"/>
        <w:rPr>
          <w:rFonts w:hint="eastAsia" w:ascii="宋体" w:hAnsi="宋体" w:eastAsia="宋体" w:cs="宋体"/>
          <w:b/>
          <w:bCs/>
          <w:color w:val="auto"/>
          <w:sz w:val="44"/>
          <w:highlight w:val="none"/>
        </w:rPr>
      </w:pPr>
    </w:p>
    <w:p>
      <w:pPr>
        <w:spacing w:line="360" w:lineRule="auto"/>
        <w:ind w:firstLine="3507" w:firstLineChars="794"/>
        <w:rPr>
          <w:rFonts w:hint="eastAsia" w:ascii="宋体" w:hAnsi="宋体" w:eastAsia="宋体" w:cs="宋体"/>
          <w:b/>
          <w:bCs/>
          <w:color w:val="auto"/>
          <w:sz w:val="44"/>
          <w:highlight w:val="none"/>
        </w:rPr>
      </w:pPr>
    </w:p>
    <w:p>
      <w:pPr>
        <w:spacing w:line="360" w:lineRule="auto"/>
        <w:ind w:firstLine="3507" w:firstLineChars="794"/>
        <w:rPr>
          <w:rFonts w:hint="eastAsia" w:ascii="宋体" w:hAnsi="宋体" w:eastAsia="宋体" w:cs="宋体"/>
          <w:b/>
          <w:bCs/>
          <w:color w:val="auto"/>
          <w:sz w:val="44"/>
          <w:highlight w:val="none"/>
        </w:rPr>
      </w:pPr>
    </w:p>
    <w:p>
      <w:pPr>
        <w:spacing w:line="360" w:lineRule="auto"/>
        <w:ind w:left="0" w:leftChars="0" w:firstLine="1063" w:firstLineChars="294"/>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采购项目编号：</w:t>
      </w:r>
      <w:r>
        <w:rPr>
          <w:rFonts w:hint="eastAsia" w:ascii="宋体" w:hAnsi="宋体" w:cs="宋体"/>
          <w:b/>
          <w:color w:val="auto"/>
          <w:sz w:val="36"/>
          <w:szCs w:val="36"/>
          <w:highlight w:val="none"/>
          <w:u w:val="single"/>
          <w:lang w:eastAsia="zh-CN"/>
        </w:rPr>
        <w:t xml:space="preserve"> NNZC2024-C2-230184-GXJH </w:t>
      </w:r>
      <w:r>
        <w:rPr>
          <w:rFonts w:hint="eastAsia" w:ascii="宋体" w:hAnsi="宋体" w:cs="宋体"/>
          <w:b/>
          <w:color w:val="auto"/>
          <w:sz w:val="36"/>
          <w:szCs w:val="36"/>
          <w:highlight w:val="none"/>
          <w:u w:val="single"/>
          <w:lang w:val="en-US" w:eastAsia="zh-CN"/>
        </w:rPr>
        <w:t xml:space="preserve">  </w:t>
      </w:r>
      <w:r>
        <w:rPr>
          <w:rFonts w:hint="eastAsia" w:ascii="宋体" w:hAnsi="宋体" w:cs="宋体"/>
          <w:b/>
          <w:color w:val="auto"/>
          <w:sz w:val="36"/>
          <w:szCs w:val="36"/>
          <w:highlight w:val="none"/>
          <w:u w:val="single"/>
          <w:lang w:eastAsia="zh-CN"/>
        </w:rPr>
        <w:t xml:space="preserve"> </w:t>
      </w:r>
    </w:p>
    <w:p>
      <w:pPr>
        <w:spacing w:line="360" w:lineRule="auto"/>
        <w:ind w:left="0" w:leftChars="0" w:firstLine="1063" w:firstLineChars="294"/>
        <w:rPr>
          <w:rFonts w:hint="eastAsia" w:ascii="宋体" w:hAnsi="宋体" w:eastAsia="宋体" w:cs="宋体"/>
          <w:b/>
          <w:color w:val="auto"/>
          <w:sz w:val="36"/>
          <w:szCs w:val="36"/>
          <w:highlight w:val="none"/>
          <w:lang w:val="en-US" w:eastAsia="zh-CN"/>
        </w:rPr>
      </w:pPr>
      <w:r>
        <w:rPr>
          <w:rFonts w:hint="eastAsia" w:ascii="宋体" w:hAnsi="宋体" w:eastAsia="宋体" w:cs="宋体"/>
          <w:b/>
          <w:color w:val="auto"/>
          <w:sz w:val="36"/>
          <w:szCs w:val="36"/>
          <w:highlight w:val="none"/>
        </w:rPr>
        <w:t>采购计划编号：</w:t>
      </w:r>
      <w:r>
        <w:rPr>
          <w:rFonts w:hint="eastAsia" w:ascii="宋体" w:hAnsi="宋体" w:eastAsia="宋体" w:cs="宋体"/>
          <w:b/>
          <w:color w:val="auto"/>
          <w:sz w:val="36"/>
          <w:szCs w:val="36"/>
          <w:highlight w:val="none"/>
          <w:u w:val="single"/>
        </w:rPr>
        <w:t xml:space="preserve"> LAZC2024-C2-00476  </w:t>
      </w:r>
      <w:r>
        <w:rPr>
          <w:rFonts w:hint="eastAsia" w:ascii="宋体" w:hAnsi="宋体" w:cs="宋体"/>
          <w:b/>
          <w:color w:val="auto"/>
          <w:sz w:val="36"/>
          <w:szCs w:val="36"/>
          <w:highlight w:val="none"/>
          <w:u w:val="single"/>
          <w:lang w:val="en-US" w:eastAsia="zh-CN"/>
        </w:rPr>
        <w:t xml:space="preserve"> </w:t>
      </w:r>
    </w:p>
    <w:p>
      <w:pPr>
        <w:spacing w:line="360" w:lineRule="auto"/>
        <w:ind w:left="0" w:leftChars="0" w:firstLine="705" w:firstLineChars="294"/>
        <w:rPr>
          <w:rFonts w:hint="eastAsia" w:ascii="宋体" w:hAnsi="宋体" w:eastAsia="宋体" w:cs="宋体"/>
          <w:color w:val="auto"/>
          <w:sz w:val="24"/>
          <w:highlight w:val="none"/>
        </w:rPr>
      </w:pPr>
    </w:p>
    <w:p>
      <w:pPr>
        <w:spacing w:line="360" w:lineRule="auto"/>
        <w:ind w:left="0" w:leftChars="0" w:firstLine="1063" w:firstLineChars="294"/>
        <w:rPr>
          <w:rFonts w:hint="eastAsia" w:ascii="宋体" w:hAnsi="宋体" w:eastAsia="宋体" w:cs="宋体"/>
          <w:b/>
          <w:color w:val="auto"/>
          <w:sz w:val="36"/>
          <w:szCs w:val="36"/>
          <w:highlight w:val="none"/>
          <w:u w:val="single"/>
        </w:rPr>
      </w:pPr>
    </w:p>
    <w:p>
      <w:pPr>
        <w:spacing w:line="360" w:lineRule="auto"/>
        <w:ind w:left="0" w:leftChars="0" w:firstLine="1063" w:firstLineChars="294"/>
        <w:rPr>
          <w:rFonts w:hint="eastAsia" w:ascii="宋体" w:hAnsi="宋体" w:eastAsia="宋体" w:cs="宋体"/>
          <w:b/>
          <w:color w:val="auto"/>
          <w:sz w:val="36"/>
          <w:szCs w:val="36"/>
          <w:highlight w:val="none"/>
          <w:u w:val="single"/>
        </w:rPr>
      </w:pPr>
    </w:p>
    <w:p>
      <w:pPr>
        <w:widowControl/>
        <w:kinsoku w:val="0"/>
        <w:autoSpaceDE w:val="0"/>
        <w:autoSpaceDN w:val="0"/>
        <w:adjustRightInd w:val="0"/>
        <w:snapToGrid w:val="0"/>
        <w:spacing w:line="360" w:lineRule="auto"/>
        <w:ind w:right="1234" w:firstLine="1084" w:firstLineChars="300"/>
        <w:jc w:val="left"/>
        <w:textAlignment w:val="baseline"/>
        <w:rPr>
          <w:rFonts w:hint="eastAsia" w:ascii="宋体" w:hAnsi="宋体" w:eastAsia="宋体" w:cs="宋体"/>
          <w:b/>
          <w:sz w:val="36"/>
          <w:szCs w:val="36"/>
          <w:u w:val="single"/>
        </w:rPr>
      </w:pPr>
      <w:r>
        <w:rPr>
          <w:rFonts w:hint="eastAsia" w:ascii="宋体" w:hAnsi="宋体" w:cs="宋体"/>
          <w:b/>
          <w:sz w:val="36"/>
          <w:szCs w:val="36"/>
        </w:rPr>
        <w:t>发包人：</w:t>
      </w:r>
      <w:r>
        <w:rPr>
          <w:rFonts w:hint="eastAsia" w:ascii="宋体" w:hAnsi="宋体" w:cs="宋体"/>
          <w:b/>
          <w:sz w:val="36"/>
          <w:szCs w:val="36"/>
          <w:u w:val="single"/>
          <w:lang w:eastAsia="zh-CN"/>
        </w:rPr>
        <w:t>隆安县水利局</w:t>
      </w:r>
    </w:p>
    <w:p>
      <w:pPr>
        <w:widowControl/>
        <w:kinsoku w:val="0"/>
        <w:autoSpaceDE w:val="0"/>
        <w:autoSpaceDN w:val="0"/>
        <w:adjustRightInd w:val="0"/>
        <w:snapToGrid w:val="0"/>
        <w:spacing w:line="360" w:lineRule="auto"/>
        <w:ind w:right="1234" w:firstLine="1084" w:firstLineChars="300"/>
        <w:jc w:val="left"/>
        <w:textAlignment w:val="baseline"/>
        <w:rPr>
          <w:rFonts w:ascii="宋体" w:hAnsi="宋体" w:cs="宋体"/>
          <w:b/>
          <w:bCs/>
          <w:sz w:val="44"/>
        </w:rPr>
      </w:pPr>
      <w:r>
        <w:rPr>
          <w:rFonts w:hint="eastAsia" w:ascii="宋体" w:hAnsi="宋体" w:cs="宋体"/>
          <w:b/>
          <w:sz w:val="36"/>
          <w:szCs w:val="36"/>
        </w:rPr>
        <w:t>承包人：</w:t>
      </w:r>
      <w:r>
        <w:rPr>
          <w:rFonts w:hint="eastAsia" w:ascii="宋体" w:hAnsi="宋体" w:cs="宋体"/>
          <w:b/>
          <w:sz w:val="36"/>
          <w:szCs w:val="36"/>
          <w:u w:val="single"/>
        </w:rPr>
        <w:t xml:space="preserve">                         </w:t>
      </w:r>
      <w:r>
        <w:rPr>
          <w:rFonts w:hint="eastAsia" w:ascii="宋体" w:hAnsi="宋体" w:cs="宋体"/>
          <w:b/>
          <w:sz w:val="36"/>
          <w:szCs w:val="36"/>
        </w:rPr>
        <w:t xml:space="preserve">            </w:t>
      </w:r>
    </w:p>
    <w:p>
      <w:pPr>
        <w:tabs>
          <w:tab w:val="left" w:pos="7380"/>
        </w:tabs>
        <w:spacing w:line="360" w:lineRule="auto"/>
        <w:rPr>
          <w:rFonts w:ascii="宋体" w:hAnsi="宋体" w:cs="宋体"/>
          <w:b/>
          <w:bCs/>
          <w:sz w:val="44"/>
        </w:rPr>
      </w:pPr>
    </w:p>
    <w:p>
      <w:pPr>
        <w:tabs>
          <w:tab w:val="left" w:pos="7380"/>
        </w:tabs>
        <w:spacing w:line="360" w:lineRule="auto"/>
        <w:ind w:left="0" w:leftChars="0" w:firstLine="1058" w:firstLineChars="294"/>
        <w:rPr>
          <w:rFonts w:hint="eastAsia" w:ascii="宋体" w:hAnsi="宋体" w:eastAsia="宋体" w:cs="宋体"/>
          <w:b/>
          <w:bCs/>
          <w:color w:val="auto"/>
          <w:sz w:val="44"/>
          <w:highlight w:val="none"/>
        </w:rPr>
      </w:pPr>
      <w:r>
        <w:rPr>
          <w:rFonts w:hint="eastAsia" w:ascii="宋体" w:hAnsi="宋体" w:cs="宋体"/>
          <w:sz w:val="36"/>
          <w:szCs w:val="36"/>
          <w:lang w:val="zh-CN"/>
        </w:rPr>
        <w:t>签订时间：</w:t>
      </w:r>
      <w:r>
        <w:rPr>
          <w:rFonts w:hint="eastAsia" w:ascii="宋体" w:hAnsi="宋体" w:cs="宋体"/>
          <w:sz w:val="36"/>
          <w:szCs w:val="36"/>
          <w:u w:val="single"/>
          <w:lang w:val="zh-CN"/>
        </w:rPr>
        <w:t xml:space="preserve">     </w:t>
      </w:r>
      <w:r>
        <w:rPr>
          <w:rFonts w:hint="eastAsia" w:ascii="宋体" w:hAnsi="宋体" w:cs="宋体"/>
          <w:sz w:val="36"/>
          <w:szCs w:val="36"/>
          <w:lang w:val="zh-CN"/>
        </w:rPr>
        <w:t>年</w:t>
      </w:r>
      <w:r>
        <w:rPr>
          <w:rFonts w:hint="eastAsia" w:ascii="宋体" w:hAnsi="宋体" w:cs="宋体"/>
          <w:sz w:val="36"/>
          <w:szCs w:val="36"/>
          <w:u w:val="single"/>
          <w:lang w:val="zh-CN"/>
        </w:rPr>
        <w:t xml:space="preserve">    </w:t>
      </w:r>
      <w:r>
        <w:rPr>
          <w:rFonts w:hint="eastAsia" w:ascii="宋体" w:hAnsi="宋体" w:cs="宋体"/>
          <w:sz w:val="36"/>
          <w:szCs w:val="36"/>
          <w:lang w:val="zh-CN"/>
        </w:rPr>
        <w:t>月</w:t>
      </w:r>
      <w:r>
        <w:rPr>
          <w:rFonts w:hint="eastAsia" w:ascii="宋体" w:hAnsi="宋体" w:cs="宋体"/>
          <w:sz w:val="36"/>
          <w:szCs w:val="36"/>
          <w:u w:val="single"/>
          <w:lang w:val="zh-CN"/>
        </w:rPr>
        <w:t xml:space="preserve">    </w:t>
      </w:r>
      <w:r>
        <w:rPr>
          <w:rFonts w:hint="eastAsia" w:ascii="宋体" w:hAnsi="宋体" w:cs="宋体"/>
          <w:sz w:val="36"/>
          <w:szCs w:val="36"/>
          <w:lang w:val="zh-CN"/>
        </w:rPr>
        <w:t>日</w:t>
      </w:r>
    </w:p>
    <w:p>
      <w:pPr>
        <w:tabs>
          <w:tab w:val="left" w:pos="7380"/>
        </w:tabs>
        <w:spacing w:line="360" w:lineRule="auto"/>
        <w:rPr>
          <w:rFonts w:hint="eastAsia" w:ascii="宋体" w:hAnsi="宋体" w:eastAsia="宋体" w:cs="宋体"/>
          <w:b/>
          <w:bCs/>
          <w:color w:val="auto"/>
          <w:sz w:val="44"/>
          <w:highlight w:val="none"/>
        </w:rPr>
        <w:sectPr>
          <w:pgSz w:w="11907" w:h="16840"/>
          <w:pgMar w:top="1440" w:right="1440" w:bottom="1440" w:left="1797" w:header="851" w:footer="851" w:gutter="0"/>
          <w:cols w:space="720" w:num="1"/>
          <w:docGrid w:linePitch="312" w:charSpace="0"/>
        </w:sectPr>
      </w:pPr>
    </w:p>
    <w:p>
      <w:pPr>
        <w:pStyle w:val="4"/>
        <w:bidi w:val="0"/>
        <w:jc w:val="center"/>
        <w:outlineLvl w:val="1"/>
        <w:rPr>
          <w:rFonts w:hint="eastAsia" w:ascii="宋体" w:hAnsi="宋体"/>
          <w:b/>
          <w:color w:val="auto"/>
          <w:sz w:val="30"/>
          <w:szCs w:val="30"/>
          <w:u w:val="single"/>
        </w:rPr>
      </w:pPr>
      <w:r>
        <w:rPr>
          <w:rFonts w:hint="eastAsia" w:ascii="Times New Roman" w:hAnsi="Times New Roman" w:cs="Times New Roman"/>
          <w:b/>
          <w:color w:val="auto"/>
          <w:sz w:val="30"/>
          <w:szCs w:val="30"/>
          <w:lang w:eastAsia="zh-CN"/>
        </w:rPr>
        <w:t>第一节、合同协议书</w:t>
      </w:r>
    </w:p>
    <w:p>
      <w:pPr>
        <w:spacing w:line="440" w:lineRule="exact"/>
        <w:ind w:firstLine="482" w:firstLineChars="200"/>
        <w:rPr>
          <w:rFonts w:hint="eastAsia" w:ascii="宋体" w:hAnsi="宋体" w:eastAsia="宋体" w:cs="宋体"/>
          <w:b w:val="0"/>
          <w:bCs/>
          <w:color w:val="auto"/>
          <w:sz w:val="24"/>
          <w:szCs w:val="24"/>
          <w:lang w:eastAsia="zh-CN"/>
        </w:rPr>
      </w:pPr>
      <w:r>
        <w:rPr>
          <w:rFonts w:hint="eastAsia" w:ascii="宋体" w:hAnsi="宋体" w:cs="宋体"/>
          <w:b/>
          <w:bCs w:val="0"/>
          <w:color w:val="auto"/>
          <w:sz w:val="24"/>
          <w:szCs w:val="24"/>
          <w:u w:val="single"/>
          <w:lang w:val="en-US" w:eastAsia="zh-CN"/>
        </w:rPr>
        <w:t xml:space="preserve">     </w:t>
      </w:r>
      <w:r>
        <w:rPr>
          <w:rFonts w:hint="eastAsia" w:ascii="宋体" w:hAnsi="宋体" w:eastAsia="宋体" w:cs="宋体"/>
          <w:b w:val="0"/>
          <w:bCs/>
          <w:color w:val="auto"/>
          <w:sz w:val="24"/>
          <w:szCs w:val="24"/>
          <w:lang w:eastAsia="zh-CN"/>
        </w:rPr>
        <w:t>（发包人名称，以下简称“发包人”）为实施</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val="0"/>
          <w:bCs/>
          <w:color w:val="auto"/>
          <w:sz w:val="24"/>
          <w:szCs w:val="24"/>
          <w:lang w:eastAsia="zh-CN"/>
        </w:rPr>
        <w:t>（项目名称），已接受</w:t>
      </w:r>
      <w:r>
        <w:rPr>
          <w:rFonts w:hint="eastAsia" w:ascii="宋体" w:hAnsi="宋体" w:eastAsia="宋体" w:cs="宋体"/>
          <w:b/>
          <w:bCs w:val="0"/>
          <w:color w:val="auto"/>
          <w:sz w:val="24"/>
          <w:szCs w:val="24"/>
          <w:u w:val="single"/>
          <w:lang w:val="en-US" w:eastAsia="zh-CN"/>
        </w:rPr>
        <w:t xml:space="preserve">                </w:t>
      </w:r>
      <w:r>
        <w:rPr>
          <w:rFonts w:hint="eastAsia" w:ascii="宋体" w:hAnsi="宋体" w:eastAsia="宋体" w:cs="宋体"/>
          <w:b w:val="0"/>
          <w:bCs/>
          <w:color w:val="auto"/>
          <w:sz w:val="24"/>
          <w:szCs w:val="24"/>
          <w:lang w:eastAsia="zh-CN"/>
        </w:rPr>
        <w:t>（承包人名称，以下简称“承包人”）为该项目</w:t>
      </w:r>
      <w:r>
        <w:rPr>
          <w:rFonts w:hint="eastAsia" w:ascii="宋体" w:hAnsi="宋体" w:eastAsia="宋体" w:cs="宋体"/>
          <w:b w:val="0"/>
          <w:bCs/>
          <w:color w:val="auto"/>
          <w:sz w:val="24"/>
          <w:szCs w:val="24"/>
          <w:u w:val="single"/>
          <w:lang w:val="en-US" w:eastAsia="zh-CN"/>
        </w:rPr>
        <w:t xml:space="preserve">      </w:t>
      </w:r>
      <w:r>
        <w:rPr>
          <w:rFonts w:hint="eastAsia" w:ascii="宋体" w:hAnsi="宋体" w:eastAsia="宋体" w:cs="宋体"/>
          <w:b w:val="0"/>
          <w:bCs/>
          <w:color w:val="auto"/>
          <w:sz w:val="24"/>
          <w:szCs w:val="24"/>
          <w:lang w:eastAsia="zh-CN"/>
        </w:rPr>
        <w:t>（项目名称）的施工单位，并确定其为中标人。发包人和承包人共同达成如下协议。</w:t>
      </w:r>
    </w:p>
    <w:p>
      <w:pPr>
        <w:spacing w:line="520" w:lineRule="exact"/>
        <w:ind w:firstLine="530" w:firstLineChars="221"/>
        <w:rPr>
          <w:rFonts w:hint="eastAsia" w:ascii="宋体" w:hAnsi="宋体" w:eastAsia="宋体" w:cs="宋体"/>
          <w:color w:val="auto"/>
          <w:sz w:val="24"/>
          <w:szCs w:val="24"/>
        </w:rPr>
      </w:pPr>
      <w:r>
        <w:rPr>
          <w:rFonts w:hint="eastAsia" w:ascii="宋体" w:hAnsi="宋体" w:eastAsia="宋体" w:cs="宋体"/>
          <w:color w:val="auto"/>
          <w:sz w:val="24"/>
          <w:szCs w:val="24"/>
        </w:rPr>
        <w:t>1. 本协议书与下列文件一起构成合同文件：</w:t>
      </w:r>
    </w:p>
    <w:p>
      <w:pPr>
        <w:spacing w:line="5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）中标通知书；</w:t>
      </w:r>
    </w:p>
    <w:p>
      <w:pPr>
        <w:spacing w:line="5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）投标函及投标函附录；</w:t>
      </w:r>
    </w:p>
    <w:p>
      <w:pPr>
        <w:spacing w:line="5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）专用合同条款（含附加条款）；</w:t>
      </w:r>
    </w:p>
    <w:p>
      <w:pPr>
        <w:spacing w:line="5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）通用合同条款；</w:t>
      </w:r>
    </w:p>
    <w:p>
      <w:pPr>
        <w:spacing w:line="5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）技术标准和要求（合同技术条款）；</w:t>
      </w:r>
    </w:p>
    <w:p>
      <w:pPr>
        <w:spacing w:line="5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）图纸；</w:t>
      </w:r>
    </w:p>
    <w:p>
      <w:pPr>
        <w:spacing w:line="520" w:lineRule="exact"/>
        <w:ind w:firstLine="410" w:firstLineChars="171"/>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）已标价工程量清单；</w:t>
      </w:r>
    </w:p>
    <w:p>
      <w:pPr>
        <w:spacing w:line="52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）其他合同文件。</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 上述文件互相补充和解释，如有不明确或不一致之处，以合同约定次序在先者为准。</w:t>
      </w:r>
    </w:p>
    <w:p>
      <w:pPr>
        <w:spacing w:line="520" w:lineRule="exact"/>
        <w:ind w:firstLine="482" w:firstLineChars="200"/>
        <w:rPr>
          <w:rFonts w:hint="eastAsia" w:ascii="宋体" w:hAnsi="宋体" w:eastAsia="宋体" w:cs="宋体"/>
          <w:b/>
          <w:color w:val="auto"/>
          <w:spacing w:val="-6"/>
          <w:sz w:val="24"/>
          <w:szCs w:val="24"/>
          <w:highlight w:val="none"/>
        </w:rPr>
      </w:pPr>
      <w:r>
        <w:rPr>
          <w:rFonts w:hint="eastAsia" w:ascii="宋体" w:hAnsi="宋体" w:eastAsia="宋体" w:cs="宋体"/>
          <w:b/>
          <w:color w:val="auto"/>
          <w:sz w:val="24"/>
          <w:szCs w:val="24"/>
          <w:highlight w:val="none"/>
        </w:rPr>
        <w:t>3. 签约合同价</w:t>
      </w:r>
      <w:r>
        <w:rPr>
          <w:rFonts w:hint="eastAsia" w:ascii="宋体" w:hAnsi="宋体" w:eastAsia="宋体" w:cs="宋体"/>
          <w:b/>
          <w:color w:val="auto"/>
          <w:spacing w:val="-6"/>
          <w:sz w:val="24"/>
          <w:szCs w:val="24"/>
          <w:highlight w:val="none"/>
        </w:rPr>
        <w:t>：</w:t>
      </w:r>
    </w:p>
    <w:p>
      <w:pPr>
        <w:spacing w:line="520" w:lineRule="exact"/>
        <w:ind w:firstLine="450" w:firstLineChars="200"/>
        <w:rPr>
          <w:rFonts w:hint="eastAsia" w:ascii="宋体" w:hAnsi="宋体" w:eastAsia="宋体" w:cs="宋体"/>
          <w:b/>
          <w:color w:val="auto"/>
          <w:spacing w:val="-8"/>
          <w:kern w:val="0"/>
          <w:sz w:val="24"/>
          <w:szCs w:val="24"/>
          <w:highlight w:val="none"/>
          <w:u w:val="single"/>
        </w:rPr>
      </w:pPr>
      <w:r>
        <w:rPr>
          <w:rFonts w:hint="eastAsia" w:ascii="宋体" w:hAnsi="宋体" w:eastAsia="宋体" w:cs="宋体"/>
          <w:b/>
          <w:color w:val="auto"/>
          <w:spacing w:val="-8"/>
          <w:kern w:val="0"/>
          <w:sz w:val="24"/>
          <w:szCs w:val="24"/>
          <w:highlight w:val="none"/>
        </w:rPr>
        <w:t>（1）合同价：（大写）</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p>
    <w:p>
      <w:pPr>
        <w:spacing w:line="520" w:lineRule="exact"/>
        <w:ind w:firstLine="2024" w:firstLineChars="9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 xml:space="preserve">（小写） </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r>
        <w:rPr>
          <w:rFonts w:hint="eastAsia" w:ascii="宋体" w:hAnsi="宋体" w:eastAsia="宋体" w:cs="宋体"/>
          <w:b/>
          <w:color w:val="auto"/>
          <w:spacing w:val="-8"/>
          <w:kern w:val="0"/>
          <w:sz w:val="24"/>
          <w:szCs w:val="24"/>
          <w:highlight w:val="none"/>
        </w:rPr>
        <w:t>。</w:t>
      </w:r>
    </w:p>
    <w:p>
      <w:pPr>
        <w:spacing w:line="520" w:lineRule="exact"/>
        <w:ind w:firstLine="450" w:firstLineChars="200"/>
        <w:rPr>
          <w:rFonts w:hint="eastAsia" w:ascii="宋体" w:hAnsi="宋体" w:eastAsia="宋体" w:cs="宋体"/>
          <w:b/>
          <w:color w:val="auto"/>
          <w:spacing w:val="-8"/>
          <w:kern w:val="0"/>
          <w:sz w:val="24"/>
          <w:szCs w:val="24"/>
          <w:highlight w:val="none"/>
        </w:rPr>
      </w:pPr>
      <w:r>
        <w:rPr>
          <w:rFonts w:hint="eastAsia" w:ascii="宋体" w:hAnsi="宋体" w:eastAsia="宋体" w:cs="宋体"/>
          <w:b/>
          <w:color w:val="auto"/>
          <w:spacing w:val="-8"/>
          <w:kern w:val="0"/>
          <w:sz w:val="24"/>
          <w:szCs w:val="24"/>
          <w:highlight w:val="none"/>
        </w:rPr>
        <w:t>工程承包方式：</w:t>
      </w:r>
      <w:r>
        <w:rPr>
          <w:rFonts w:hint="eastAsia" w:ascii="宋体" w:hAnsi="宋体" w:eastAsia="宋体" w:cs="宋体"/>
          <w:b/>
          <w:color w:val="auto"/>
          <w:spacing w:val="-8"/>
          <w:kern w:val="0"/>
          <w:sz w:val="24"/>
          <w:szCs w:val="24"/>
          <w:highlight w:val="none"/>
          <w:u w:val="single"/>
        </w:rPr>
        <w:t xml:space="preserve">固定单价承包 </w:t>
      </w:r>
      <w:r>
        <w:rPr>
          <w:rFonts w:hint="eastAsia" w:ascii="宋体" w:hAnsi="宋体" w:eastAsia="宋体" w:cs="宋体"/>
          <w:b/>
          <w:color w:val="auto"/>
          <w:spacing w:val="-8"/>
          <w:kern w:val="0"/>
          <w:sz w:val="24"/>
          <w:szCs w:val="24"/>
          <w:highlight w:val="none"/>
        </w:rPr>
        <w:t>。</w:t>
      </w:r>
    </w:p>
    <w:p>
      <w:pPr>
        <w:numPr>
          <w:ilvl w:val="0"/>
          <w:numId w:val="4"/>
        </w:num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lang w:val="en-US" w:eastAsia="zh-CN"/>
        </w:rPr>
        <w:t xml:space="preserve">       </w:t>
      </w:r>
      <w:r>
        <w:rPr>
          <w:rFonts w:hint="eastAsia" w:ascii="宋体" w:hAnsi="宋体" w:cs="宋体"/>
          <w:color w:val="auto"/>
          <w:sz w:val="24"/>
          <w:szCs w:val="24"/>
          <w:u w:val="single"/>
          <w:lang w:val="en-US" w:eastAsia="zh-CN"/>
        </w:rPr>
        <w:t xml:space="preserve">  </w:t>
      </w:r>
    </w:p>
    <w:p>
      <w:pPr>
        <w:numPr>
          <w:ilvl w:val="0"/>
          <w:numId w:val="4"/>
        </w:num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合格</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标准。</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承包人承诺按合同约定承担工程的实施、完成及缺陷修复。</w:t>
      </w:r>
    </w:p>
    <w:p>
      <w:pPr>
        <w:spacing w:line="520" w:lineRule="exact"/>
        <w:ind w:firstLine="456" w:firstLineChars="200"/>
        <w:rPr>
          <w:rFonts w:hint="eastAsia" w:ascii="宋体" w:hAnsi="宋体" w:eastAsia="宋体" w:cs="宋体"/>
          <w:color w:val="auto"/>
          <w:spacing w:val="-6"/>
          <w:sz w:val="24"/>
          <w:szCs w:val="24"/>
        </w:rPr>
      </w:pPr>
      <w:r>
        <w:rPr>
          <w:rFonts w:hint="eastAsia" w:ascii="宋体" w:hAnsi="宋体" w:eastAsia="宋体" w:cs="宋体"/>
          <w:color w:val="auto"/>
          <w:spacing w:val="-6"/>
          <w:sz w:val="24"/>
          <w:szCs w:val="24"/>
        </w:rPr>
        <w:t>7. 发包人承诺按合同约定的条件、时间和方式向承包人支付合同价款。</w:t>
      </w:r>
    </w:p>
    <w:p>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 承包人承诺执行监理人开工通知，计划工期为</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天。承包人应积极配合完成项目开工准备工作</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应在</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日前</w:t>
      </w:r>
      <w:r>
        <w:rPr>
          <w:rFonts w:hint="eastAsia" w:ascii="宋体" w:hAnsi="宋体" w:eastAsia="宋体" w:cs="宋体"/>
          <w:color w:val="auto"/>
          <w:sz w:val="24"/>
          <w:szCs w:val="24"/>
          <w:lang w:eastAsia="zh-CN"/>
        </w:rPr>
        <w:t>开工</w:t>
      </w:r>
      <w:r>
        <w:rPr>
          <w:rFonts w:hint="eastAsia" w:ascii="宋体" w:hAnsi="宋体" w:eastAsia="宋体" w:cs="宋体"/>
          <w:color w:val="auto"/>
          <w:sz w:val="24"/>
          <w:szCs w:val="24"/>
        </w:rPr>
        <w:t>，开工日期以监理人签发的开工令为准，由于承包人原因造成开工日期延误的，由承包人承担相应责任。</w:t>
      </w:r>
    </w:p>
    <w:p>
      <w:pPr>
        <w:spacing w:line="520" w:lineRule="exact"/>
        <w:ind w:left="281" w:leftChars="134"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 本协议书一式</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color w:val="auto"/>
          <w:sz w:val="24"/>
          <w:szCs w:val="24"/>
        </w:rPr>
        <w:t>份，发包人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color w:val="auto"/>
          <w:sz w:val="24"/>
          <w:szCs w:val="24"/>
        </w:rPr>
        <w:t>份，承包人</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color w:val="auto"/>
          <w:sz w:val="24"/>
          <w:szCs w:val="24"/>
        </w:rPr>
        <w:t>份。</w:t>
      </w:r>
    </w:p>
    <w:p>
      <w:pPr>
        <w:spacing w:line="520" w:lineRule="exact"/>
        <w:ind w:firstLine="472" w:firstLineChars="200"/>
        <w:rPr>
          <w:rFonts w:hint="eastAsia" w:ascii="宋体" w:hAnsi="宋体" w:eastAsia="宋体" w:cs="宋体"/>
          <w:color w:val="auto"/>
          <w:spacing w:val="-2"/>
          <w:sz w:val="24"/>
          <w:szCs w:val="24"/>
        </w:rPr>
      </w:pPr>
      <w:r>
        <w:rPr>
          <w:rFonts w:hint="eastAsia" w:ascii="宋体" w:hAnsi="宋体" w:eastAsia="宋体" w:cs="宋体"/>
          <w:color w:val="auto"/>
          <w:spacing w:val="-2"/>
          <w:sz w:val="24"/>
          <w:szCs w:val="24"/>
        </w:rPr>
        <w:t>1</w:t>
      </w:r>
      <w:r>
        <w:rPr>
          <w:rFonts w:hint="eastAsia" w:ascii="宋体" w:hAnsi="宋体" w:eastAsia="宋体" w:cs="宋体"/>
          <w:color w:val="auto"/>
          <w:spacing w:val="-2"/>
          <w:sz w:val="24"/>
          <w:szCs w:val="24"/>
          <w:lang w:val="en-US" w:eastAsia="zh-CN"/>
        </w:rPr>
        <w:t>0</w:t>
      </w:r>
      <w:r>
        <w:rPr>
          <w:rFonts w:hint="eastAsia" w:ascii="宋体" w:hAnsi="宋体" w:eastAsia="宋体" w:cs="宋体"/>
          <w:color w:val="auto"/>
          <w:spacing w:val="-2"/>
          <w:sz w:val="24"/>
          <w:szCs w:val="24"/>
        </w:rPr>
        <w:t>. 合同未尽事宜，双方另行签订补充协议。补充协议是合同的组成部分。</w:t>
      </w:r>
    </w:p>
    <w:tbl>
      <w:tblPr>
        <w:tblStyle w:val="25"/>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75"/>
        <w:gridCol w:w="4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发包人：</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承包人</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法定代表人（签字）：</w:t>
            </w:r>
          </w:p>
          <w:p>
            <w:pPr>
              <w:pStyle w:val="44"/>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kern w:val="2"/>
                <w:sz w:val="24"/>
                <w:szCs w:val="24"/>
                <w:lang w:val="en-US" w:eastAsia="zh-CN" w:bidi="ar-SA"/>
              </w:rPr>
              <w:t>或授权委托人：（签字）：</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法定代表人（签字）：</w:t>
            </w:r>
          </w:p>
          <w:p>
            <w:pPr>
              <w:pStyle w:val="18"/>
              <w:rPr>
                <w:rFonts w:hint="eastAsia" w:ascii="宋体" w:hAnsi="宋体" w:eastAsia="宋体" w:cs="宋体"/>
                <w:color w:val="auto"/>
                <w:sz w:val="24"/>
                <w:szCs w:val="24"/>
              </w:rPr>
            </w:pPr>
            <w:r>
              <w:rPr>
                <w:rFonts w:hint="eastAsia" w:ascii="宋体" w:hAnsi="宋体" w:eastAsia="宋体" w:cs="宋体"/>
                <w:color w:val="auto"/>
                <w:kern w:val="2"/>
                <w:sz w:val="24"/>
                <w:szCs w:val="24"/>
                <w:lang w:val="en-US" w:eastAsia="zh-CN" w:bidi="ar-SA"/>
              </w:rPr>
              <w:t>或授权委托人：（签字）：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地  址：</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地  址：</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电  话：</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传  真：</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rPr>
            </w:pPr>
            <w:r>
              <w:rPr>
                <w:rFonts w:hint="eastAsia" w:ascii="宋体" w:hAnsi="宋体" w:eastAsia="宋体" w:cs="宋体"/>
                <w:color w:val="auto"/>
                <w:sz w:val="24"/>
                <w:szCs w:val="24"/>
              </w:rPr>
              <w:t>传  真</w:t>
            </w:r>
            <w:r>
              <w:rPr>
                <w:rFonts w:hint="eastAsia" w:ascii="宋体" w:hAnsi="宋体" w:eastAsia="宋体" w:cs="宋体"/>
                <w:color w:val="auto"/>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 xml:space="preserve">邮  箱: </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公司邮箱:</w:t>
            </w:r>
            <w:r>
              <w:rPr>
                <w:rFonts w:hint="eastAsia" w:ascii="宋体" w:hAnsi="宋体" w:eastAsia="宋体" w:cs="宋体"/>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vertAlign w:val="baseline"/>
              </w:rPr>
            </w:pPr>
            <w:r>
              <w:rPr>
                <w:rFonts w:hint="eastAsia" w:ascii="宋体" w:hAnsi="宋体" w:eastAsia="宋体" w:cs="宋体"/>
                <w:color w:val="auto"/>
                <w:sz w:val="24"/>
                <w:szCs w:val="24"/>
              </w:rPr>
              <w:t>邮  编：</w:t>
            </w: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rPr>
              <w:t>邮  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eastAsia="zh-CN"/>
              </w:rPr>
            </w:pPr>
            <w:r>
              <w:rPr>
                <w:rFonts w:hint="eastAsia" w:ascii="宋体" w:hAnsi="宋体" w:eastAsia="宋体" w:cs="宋体"/>
                <w:color w:val="auto"/>
                <w:sz w:val="24"/>
                <w:szCs w:val="24"/>
                <w:highlight w:val="none"/>
              </w:rPr>
              <w:t>基本账户开户银行</w:t>
            </w:r>
            <w:r>
              <w:rPr>
                <w:rFonts w:hint="eastAsia" w:ascii="宋体" w:hAnsi="宋体" w:eastAsia="宋体" w:cs="宋体"/>
                <w:color w:val="auto"/>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highlight w:val="none"/>
              </w:rPr>
            </w:pP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rPr>
            </w:pPr>
            <w:r>
              <w:rPr>
                <w:rFonts w:hint="eastAsia" w:ascii="宋体" w:hAnsi="宋体" w:eastAsia="宋体" w:cs="宋体"/>
                <w:color w:val="auto"/>
                <w:sz w:val="24"/>
                <w:szCs w:val="24"/>
                <w:highlight w:val="none"/>
                <w:lang w:eastAsia="zh-CN"/>
              </w:rPr>
              <w:t>基本账户账户：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rPr>
            </w:pPr>
            <w:r>
              <w:rPr>
                <w:rFonts w:hint="eastAsia" w:ascii="宋体" w:hAnsi="宋体" w:eastAsia="宋体" w:cs="宋体"/>
                <w:color w:val="auto"/>
                <w:sz w:val="24"/>
                <w:szCs w:val="24"/>
                <w:lang w:val="en-US" w:eastAsia="zh-CN"/>
              </w:rPr>
              <w:t>农民工工资支付专账开户名称：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vertAlign w:val="baseline"/>
                <w:lang w:val="en-US"/>
              </w:rPr>
            </w:pPr>
            <w:r>
              <w:rPr>
                <w:rFonts w:hint="eastAsia" w:ascii="宋体" w:hAnsi="宋体" w:eastAsia="宋体" w:cs="宋体"/>
                <w:color w:val="auto"/>
                <w:sz w:val="24"/>
                <w:szCs w:val="24"/>
                <w:lang w:val="en-US" w:eastAsia="zh-CN"/>
              </w:rPr>
              <w:t>农民工工资支付专账开户银行：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475"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4"/>
                <w:szCs w:val="24"/>
              </w:rPr>
            </w:pPr>
          </w:p>
        </w:tc>
        <w:tc>
          <w:tcPr>
            <w:tcW w:w="4944" w:type="dxa"/>
            <w:tcBorders>
              <w:top w:val="nil"/>
              <w:left w:val="nil"/>
              <w:bottom w:val="nil"/>
              <w:right w:val="nil"/>
            </w:tcBorders>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农民工</w:t>
            </w:r>
            <w:r>
              <w:rPr>
                <w:rFonts w:hint="eastAsia" w:ascii="宋体" w:hAnsi="宋体" w:eastAsia="宋体" w:cs="宋体"/>
                <w:color w:val="auto"/>
                <w:sz w:val="24"/>
                <w:szCs w:val="24"/>
              </w:rPr>
              <w:t>工资专账账号</w:t>
            </w:r>
            <w:r>
              <w:rPr>
                <w:rFonts w:hint="eastAsia" w:ascii="宋体" w:hAnsi="宋体" w:eastAsia="宋体" w:cs="宋体"/>
                <w:color w:val="auto"/>
                <w:sz w:val="24"/>
                <w:szCs w:val="24"/>
                <w:lang w:eastAsia="zh-CN"/>
              </w:rPr>
              <w:t>：</w:t>
            </w:r>
          </w:p>
        </w:tc>
      </w:tr>
    </w:tbl>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宋体" w:hAnsi="宋体" w:eastAsia="宋体" w:cs="宋体"/>
          <w:color w:val="auto"/>
          <w:sz w:val="24"/>
          <w:szCs w:val="24"/>
        </w:rPr>
        <w:sectPr>
          <w:pgSz w:w="11906" w:h="16838"/>
          <w:pgMar w:top="1440" w:right="1418" w:bottom="1440" w:left="1588" w:header="851" w:footer="992" w:gutter="0"/>
          <w:pgNumType w:fmt="decimal"/>
          <w:cols w:space="720" w:num="1"/>
          <w:titlePg/>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宋体" w:hAnsi="宋体" w:eastAsia="宋体" w:cs="宋体"/>
          <w:color w:val="auto"/>
          <w:sz w:val="24"/>
          <w:szCs w:val="24"/>
          <w:lang w:eastAsia="zh-CN"/>
        </w:rPr>
        <w:sectPr>
          <w:type w:val="continuous"/>
          <w:pgSz w:w="11906" w:h="16838"/>
          <w:pgMar w:top="1440" w:right="1418" w:bottom="1440" w:left="1588" w:header="851" w:footer="992" w:gutter="0"/>
          <w:pgNumType w:fmt="decimal"/>
          <w:cols w:space="720" w:num="1"/>
          <w:titlePg/>
          <w:docGrid w:type="lines" w:linePitch="312" w:charSpace="0"/>
        </w:sectPr>
      </w:pPr>
      <w:r>
        <w:rPr>
          <w:rFonts w:hint="eastAsia" w:ascii="宋体" w:hAnsi="宋体" w:eastAsia="宋体" w:cs="宋体"/>
          <w:color w:val="auto"/>
          <w:sz w:val="24"/>
          <w:szCs w:val="24"/>
          <w:lang w:val="en-US" w:eastAsia="zh-CN"/>
        </w:rPr>
        <w:t>签订日期：     年    月     日</w:t>
      </w:r>
    </w:p>
    <w:p>
      <w:pPr>
        <w:pStyle w:val="4"/>
        <w:bidi w:val="0"/>
        <w:jc w:val="center"/>
        <w:outlineLvl w:val="1"/>
        <w:rPr>
          <w:rFonts w:hint="eastAsia" w:ascii="Times New Roman" w:hAnsi="Times New Roman" w:eastAsia="宋体" w:cs="Times New Roman"/>
          <w:b/>
          <w:color w:val="auto"/>
          <w:sz w:val="30"/>
          <w:szCs w:val="30"/>
          <w:lang w:eastAsia="zh-CN"/>
        </w:rPr>
      </w:pPr>
      <w:r>
        <w:rPr>
          <w:rFonts w:hint="eastAsia" w:ascii="Times New Roman" w:hAnsi="Times New Roman" w:eastAsia="宋体" w:cs="Times New Roman"/>
          <w:b/>
          <w:color w:val="auto"/>
          <w:sz w:val="30"/>
          <w:szCs w:val="30"/>
          <w:lang w:eastAsia="zh-CN"/>
        </w:rPr>
        <w:t>第二节 通用合同条款</w:t>
      </w:r>
    </w:p>
    <w:p>
      <w:pPr>
        <w:pStyle w:val="5"/>
        <w:spacing w:line="360" w:lineRule="exact"/>
        <w:rPr>
          <w:rFonts w:hint="eastAsia"/>
          <w:color w:val="auto"/>
          <w:sz w:val="24"/>
          <w:szCs w:val="24"/>
          <w:lang w:eastAsia="zh-CN"/>
        </w:rPr>
      </w:pPr>
      <w:bookmarkStart w:id="131" w:name="_Toc1696"/>
      <w:bookmarkStart w:id="132" w:name="_Toc2030700267"/>
      <w:bookmarkStart w:id="133" w:name="bookmark881"/>
      <w:bookmarkStart w:id="134" w:name="bookmark883"/>
      <w:bookmarkStart w:id="135" w:name="bookmark882"/>
      <w:bookmarkStart w:id="136" w:name="_Toc19504"/>
      <w:r>
        <w:rPr>
          <w:rFonts w:hint="eastAsia"/>
          <w:color w:val="auto"/>
          <w:sz w:val="24"/>
          <w:szCs w:val="24"/>
          <w:lang w:eastAsia="zh-CN"/>
        </w:rPr>
        <w:t>1. 一般约定</w:t>
      </w:r>
      <w:bookmarkEnd w:id="131"/>
      <w:bookmarkEnd w:id="132"/>
      <w:bookmarkEnd w:id="133"/>
      <w:bookmarkEnd w:id="134"/>
      <w:bookmarkEnd w:id="135"/>
      <w:bookmarkEnd w:id="136"/>
    </w:p>
    <w:p>
      <w:pPr>
        <w:pStyle w:val="6"/>
        <w:ind w:left="0" w:leftChars="0" w:firstLine="0" w:firstLineChars="0"/>
        <w:rPr>
          <w:color w:val="auto"/>
          <w:sz w:val="24"/>
          <w:szCs w:val="24"/>
          <w:lang w:eastAsia="zh-CN"/>
        </w:rPr>
      </w:pPr>
      <w:bookmarkStart w:id="137" w:name="_Toc5974"/>
      <w:bookmarkStart w:id="138" w:name="bookmark885"/>
      <w:bookmarkStart w:id="139" w:name="bookmark886"/>
      <w:bookmarkStart w:id="140" w:name="bookmark884"/>
      <w:r>
        <w:rPr>
          <w:color w:val="auto"/>
          <w:sz w:val="24"/>
          <w:szCs w:val="24"/>
          <w:lang w:eastAsia="zh-CN"/>
        </w:rPr>
        <w:t>1.1词语定义</w:t>
      </w:r>
      <w:bookmarkEnd w:id="137"/>
      <w:bookmarkEnd w:id="138"/>
      <w:bookmarkEnd w:id="139"/>
      <w:bookmarkEnd w:id="140"/>
    </w:p>
    <w:p>
      <w:pPr>
        <w:pStyle w:val="45"/>
        <w:spacing w:after="100" w:line="350" w:lineRule="exact"/>
        <w:ind w:firstLine="420"/>
        <w:rPr>
          <w:color w:val="auto"/>
          <w:sz w:val="24"/>
          <w:szCs w:val="24"/>
        </w:rPr>
      </w:pPr>
      <w:r>
        <w:rPr>
          <w:color w:val="auto"/>
          <w:sz w:val="24"/>
          <w:szCs w:val="24"/>
        </w:rPr>
        <w:t>通用合同条款、专用合同条款中的下列词语应具有本款所赋予的含义。</w:t>
      </w:r>
    </w:p>
    <w:p>
      <w:pPr>
        <w:pStyle w:val="46"/>
        <w:spacing w:after="0" w:line="360" w:lineRule="auto"/>
        <w:jc w:val="both"/>
        <w:rPr>
          <w:color w:val="auto"/>
          <w:sz w:val="24"/>
          <w:szCs w:val="24"/>
          <w:lang w:eastAsia="zh-CN"/>
        </w:rPr>
      </w:pPr>
      <w:r>
        <w:rPr>
          <w:color w:val="auto"/>
          <w:sz w:val="24"/>
          <w:szCs w:val="24"/>
          <w:lang w:eastAsia="zh-CN"/>
        </w:rPr>
        <w:t>1.1.</w:t>
      </w:r>
      <w:r>
        <w:rPr>
          <w:color w:val="auto"/>
          <w:sz w:val="24"/>
          <w:szCs w:val="24"/>
          <w:lang w:val="zh-CN" w:eastAsia="zh-CN" w:bidi="zh-CN"/>
        </w:rPr>
        <w:t>1</w:t>
      </w:r>
      <w:r>
        <w:rPr>
          <w:rFonts w:ascii="宋体" w:hAnsi="宋体" w:cs="宋体"/>
          <w:color w:val="auto"/>
          <w:sz w:val="24"/>
          <w:szCs w:val="24"/>
          <w:lang w:val="zh-CN" w:eastAsia="zh-CN" w:bidi="zh-CN"/>
        </w:rPr>
        <w:t>合同</w:t>
      </w:r>
    </w:p>
    <w:p>
      <w:pPr>
        <w:pStyle w:val="45"/>
        <w:spacing w:line="35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1.1.1.1</w:t>
      </w:r>
      <w:r>
        <w:rPr>
          <w:color w:val="auto"/>
          <w:sz w:val="24"/>
          <w:szCs w:val="24"/>
        </w:rPr>
        <w:t>合同文件（或称合同）：指合同协议书、中标通知书、投标函及投标函附录、专用合同条款、通用合同条款、技术标准和要求、图纸、已标价工程量清单，以及其他合同文件。</w:t>
      </w:r>
    </w:p>
    <w:p>
      <w:pPr>
        <w:pStyle w:val="45"/>
        <w:tabs>
          <w:tab w:val="left" w:pos="944"/>
        </w:tabs>
        <w:spacing w:line="362" w:lineRule="exact"/>
        <w:ind w:left="420" w:firstLine="0"/>
        <w:rPr>
          <w:color w:val="auto"/>
          <w:sz w:val="24"/>
          <w:szCs w:val="24"/>
        </w:rPr>
      </w:pPr>
      <w:bookmarkStart w:id="141" w:name="bookmark887"/>
      <w:bookmarkEnd w:id="141"/>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hint="eastAsia" w:ascii="Times New Roman" w:hAnsi="Times New Roman" w:cs="Times New Roman"/>
          <w:color w:val="auto"/>
          <w:sz w:val="24"/>
          <w:szCs w:val="24"/>
        </w:rPr>
        <w:t xml:space="preserve">2   </w:t>
      </w:r>
      <w:r>
        <w:rPr>
          <w:color w:val="auto"/>
          <w:sz w:val="24"/>
          <w:szCs w:val="24"/>
        </w:rPr>
        <w:t>合同协议书：指第</w:t>
      </w:r>
      <w:r>
        <w:rPr>
          <w:rFonts w:ascii="Times New Roman" w:hAnsi="Times New Roman" w:eastAsia="Times New Roman" w:cs="Times New Roman"/>
          <w:color w:val="auto"/>
          <w:sz w:val="24"/>
          <w:szCs w:val="24"/>
          <w:lang w:val="en-US" w:bidi="en-US"/>
        </w:rPr>
        <w:t>1.5</w:t>
      </w:r>
      <w:r>
        <w:rPr>
          <w:color w:val="auto"/>
          <w:sz w:val="24"/>
          <w:szCs w:val="24"/>
        </w:rPr>
        <w:t>款所指的合同协议书。</w:t>
      </w:r>
    </w:p>
    <w:p>
      <w:pPr>
        <w:pStyle w:val="45"/>
        <w:spacing w:line="362" w:lineRule="exact"/>
        <w:ind w:firstLine="420"/>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rPr>
        <w:t>3</w:t>
      </w:r>
      <w:r>
        <w:rPr>
          <w:color w:val="auto"/>
          <w:sz w:val="24"/>
          <w:szCs w:val="24"/>
        </w:rPr>
        <w:t>中标通知书：指发包人通知承包人中标的函件。</w:t>
      </w:r>
    </w:p>
    <w:p>
      <w:pPr>
        <w:pStyle w:val="45"/>
        <w:tabs>
          <w:tab w:val="left" w:pos="944"/>
        </w:tabs>
        <w:spacing w:line="362" w:lineRule="exact"/>
        <w:ind w:left="420" w:firstLine="0"/>
        <w:rPr>
          <w:color w:val="auto"/>
          <w:sz w:val="24"/>
          <w:szCs w:val="24"/>
        </w:rPr>
      </w:pPr>
      <w:bookmarkStart w:id="142" w:name="bookmark888"/>
      <w:bookmarkEnd w:id="142"/>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 xml:space="preserve">1. </w:t>
      </w:r>
      <w:r>
        <w:rPr>
          <w:rFonts w:hint="eastAsia" w:ascii="Times New Roman" w:hAnsi="Times New Roman" w:cs="Times New Roman"/>
          <w:color w:val="auto"/>
          <w:sz w:val="24"/>
          <w:szCs w:val="24"/>
        </w:rPr>
        <w:t xml:space="preserve">4  </w:t>
      </w:r>
      <w:r>
        <w:rPr>
          <w:color w:val="auto"/>
          <w:sz w:val="24"/>
          <w:szCs w:val="24"/>
        </w:rPr>
        <w:t>投标函：指构成合同文件组成部分的由承包人填写并签署的投标函。</w:t>
      </w:r>
    </w:p>
    <w:p>
      <w:pPr>
        <w:pStyle w:val="45"/>
        <w:spacing w:line="362" w:lineRule="exact"/>
        <w:ind w:firstLine="420"/>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1. 1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rPr>
        <w:t>5</w:t>
      </w:r>
      <w:r>
        <w:rPr>
          <w:color w:val="auto"/>
          <w:sz w:val="24"/>
          <w:szCs w:val="24"/>
        </w:rPr>
        <w:t>投标函附录：指附在投标函后构成合同文件的投标函附录。</w:t>
      </w:r>
    </w:p>
    <w:p>
      <w:pPr>
        <w:pStyle w:val="45"/>
        <w:spacing w:line="350" w:lineRule="exact"/>
        <w:ind w:firstLine="420"/>
        <w:jc w:val="both"/>
        <w:rPr>
          <w:rFonts w:ascii="Times New Roman" w:hAnsi="Times New Roman" w:eastAsia="Times New Roman" w:cs="Times New Roman"/>
          <w:color w:val="auto"/>
          <w:sz w:val="24"/>
          <w:szCs w:val="24"/>
          <w:lang w:val="en-US" w:bidi="en-US"/>
        </w:rPr>
      </w:pPr>
      <w:bookmarkStart w:id="143" w:name="bookmark889"/>
      <w:bookmarkEnd w:id="143"/>
      <w:r>
        <w:rPr>
          <w:rFonts w:ascii="Times New Roman" w:hAnsi="Times New Roman" w:eastAsia="Times New Roman" w:cs="Times New Roman"/>
          <w:color w:val="auto"/>
          <w:sz w:val="24"/>
          <w:szCs w:val="24"/>
          <w:lang w:val="en-US" w:bidi="en-US"/>
        </w:rPr>
        <w:t>1</w:t>
      </w:r>
      <w:r>
        <w:rPr>
          <w:rFonts w:hint="eastAsia" w:ascii="Times New Roman" w:hAnsi="Times New Roman" w:eastAsia="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eastAsia="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eastAsia="Times New Roman" w:cs="Times New Roman"/>
          <w:color w:val="auto"/>
          <w:sz w:val="24"/>
          <w:szCs w:val="24"/>
          <w:lang w:val="en-US" w:bidi="en-US"/>
        </w:rPr>
        <w:t xml:space="preserve">.6  </w:t>
      </w:r>
      <w:r>
        <w:rPr>
          <w:rFonts w:ascii="Times New Roman" w:hAnsi="Times New Roman" w:eastAsia="Times New Roman" w:cs="Times New Roman"/>
          <w:color w:val="auto"/>
          <w:sz w:val="24"/>
          <w:szCs w:val="24"/>
          <w:lang w:val="en-US" w:bidi="en-US"/>
        </w:rPr>
        <w:t>技术标准和要求：指构成合同文件组成部分的名为技术标准和要求（合同技术条款）的文件，包括合同双方当事人约定对其所做的修改或补充。</w:t>
      </w:r>
    </w:p>
    <w:p>
      <w:pPr>
        <w:pStyle w:val="45"/>
        <w:spacing w:line="350" w:lineRule="exact"/>
        <w:ind w:firstLine="420"/>
        <w:jc w:val="both"/>
        <w:rPr>
          <w:rFonts w:ascii="Times New Roman" w:hAnsi="Times New Roman" w:eastAsia="Times New Roman" w:cs="Times New Roman"/>
          <w:color w:val="auto"/>
          <w:sz w:val="24"/>
          <w:szCs w:val="24"/>
          <w:lang w:val="en-US" w:bidi="en-US"/>
        </w:rPr>
      </w:pPr>
      <w:bookmarkStart w:id="144" w:name="bookmark890"/>
      <w:bookmarkEnd w:id="144"/>
      <w:r>
        <w:rPr>
          <w:rFonts w:ascii="Times New Roman" w:hAnsi="Times New Roman" w:eastAsia="Times New Roman" w:cs="Times New Roman"/>
          <w:color w:val="auto"/>
          <w:sz w:val="24"/>
          <w:szCs w:val="24"/>
          <w:lang w:val="en-US" w:bidi="en-US"/>
        </w:rPr>
        <w:t>1</w:t>
      </w:r>
      <w:r>
        <w:rPr>
          <w:rFonts w:hint="eastAsia" w:ascii="Times New Roman" w:hAnsi="Times New Roman" w:eastAsia="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eastAsia="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eastAsia="Times New Roman" w:cs="Times New Roman"/>
          <w:color w:val="auto"/>
          <w:sz w:val="24"/>
          <w:szCs w:val="24"/>
          <w:lang w:val="en-US" w:bidi="en-US"/>
        </w:rPr>
        <w:t xml:space="preserve">.7  </w:t>
      </w:r>
      <w:r>
        <w:rPr>
          <w:rFonts w:ascii="Times New Roman" w:hAnsi="Times New Roman" w:eastAsia="Times New Roman" w:cs="Times New Roman"/>
          <w:color w:val="auto"/>
          <w:sz w:val="24"/>
          <w:szCs w:val="24"/>
          <w:lang w:val="en-US" w:bidi="en-US"/>
        </w:rPr>
        <w:t>图纸：指列入合同的招标图纸、投标图纸和发包人按合同约定向承包人提供 的施工图纸和其他图纸（包括配套说明和有关资料）。列入合同的招标图纸已成为合同文件的一部分，具有合同效力，主要用于在履行合同过程中作为衡量变更的依据，但不能直接用于施工。经发包人确认进入合同的投标图纸亦成为合同文件的一部分，用于在履行合同中检验承包人是否按其投标时承诺的条件进行施工的依据，亦不能直接用于施工。</w:t>
      </w:r>
    </w:p>
    <w:p>
      <w:pPr>
        <w:pStyle w:val="45"/>
        <w:spacing w:line="319"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rPr>
        <w:t>8</w:t>
      </w:r>
      <w:r>
        <w:rPr>
          <w:color w:val="auto"/>
          <w:sz w:val="24"/>
          <w:szCs w:val="24"/>
        </w:rPr>
        <w:t>已标价工程量清单：指构成合同文件组成部分的由承包人按照规定的格式和要求填写并标明价格的工程量清单。</w:t>
      </w:r>
    </w:p>
    <w:p>
      <w:pPr>
        <w:pStyle w:val="45"/>
        <w:spacing w:line="35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rPr>
        <w:t>9</w:t>
      </w:r>
      <w:r>
        <w:rPr>
          <w:color w:val="auto"/>
          <w:sz w:val="24"/>
          <w:szCs w:val="24"/>
        </w:rPr>
        <w:t>其他合同文件：指经合同双方当事人确认构成合同文件的其他文件。</w:t>
      </w:r>
    </w:p>
    <w:p>
      <w:pPr>
        <w:pStyle w:val="45"/>
        <w:spacing w:line="35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1.2</w:t>
      </w:r>
      <w:r>
        <w:rPr>
          <w:color w:val="auto"/>
          <w:sz w:val="24"/>
          <w:szCs w:val="24"/>
        </w:rPr>
        <w:t>合同当事人和人员。</w:t>
      </w:r>
    </w:p>
    <w:p>
      <w:pPr>
        <w:pStyle w:val="45"/>
        <w:spacing w:line="352" w:lineRule="exact"/>
        <w:ind w:firstLine="420"/>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1.2.1</w:t>
      </w:r>
      <w:r>
        <w:rPr>
          <w:color w:val="auto"/>
          <w:sz w:val="24"/>
          <w:szCs w:val="24"/>
        </w:rPr>
        <w:t>合同当事人：指发包人和（或）承包人。</w:t>
      </w:r>
    </w:p>
    <w:p>
      <w:pPr>
        <w:pStyle w:val="45"/>
        <w:tabs>
          <w:tab w:val="left" w:pos="944"/>
        </w:tabs>
        <w:spacing w:line="352" w:lineRule="exact"/>
        <w:ind w:left="420" w:firstLine="0"/>
        <w:rPr>
          <w:color w:val="auto"/>
          <w:sz w:val="24"/>
          <w:szCs w:val="24"/>
        </w:rPr>
      </w:pPr>
      <w:bookmarkStart w:id="145" w:name="bookmark891"/>
      <w:bookmarkEnd w:id="145"/>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1.2.</w:t>
      </w:r>
      <w:r>
        <w:rPr>
          <w:rFonts w:hint="eastAsia" w:ascii="Times New Roman" w:hAnsi="Times New Roman" w:cs="Times New Roman"/>
          <w:color w:val="auto"/>
          <w:sz w:val="24"/>
          <w:szCs w:val="24"/>
          <w:lang w:val="en-US" w:bidi="en-US"/>
        </w:rPr>
        <w:t>2</w:t>
      </w:r>
      <w:r>
        <w:rPr>
          <w:color w:val="auto"/>
          <w:sz w:val="24"/>
          <w:szCs w:val="24"/>
        </w:rPr>
        <w:t>发包人：指专用合同条款中指明并与承包人在合同协议书中签字的当事人。</w:t>
      </w:r>
    </w:p>
    <w:p>
      <w:pPr>
        <w:pStyle w:val="45"/>
        <w:tabs>
          <w:tab w:val="left" w:pos="944"/>
        </w:tabs>
        <w:spacing w:line="352" w:lineRule="exact"/>
        <w:ind w:left="420" w:firstLine="0"/>
        <w:rPr>
          <w:color w:val="auto"/>
          <w:sz w:val="24"/>
          <w:szCs w:val="24"/>
        </w:rPr>
      </w:pPr>
      <w:bookmarkStart w:id="146" w:name="bookmark892"/>
      <w:bookmarkEnd w:id="146"/>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1.2.</w:t>
      </w:r>
      <w:r>
        <w:rPr>
          <w:rFonts w:hint="eastAsia" w:ascii="Times New Roman" w:hAnsi="Times New Roman" w:cs="Times New Roman"/>
          <w:color w:val="auto"/>
          <w:sz w:val="24"/>
          <w:szCs w:val="24"/>
          <w:lang w:val="en-US" w:bidi="en-US"/>
        </w:rPr>
        <w:t>3</w:t>
      </w:r>
      <w:r>
        <w:rPr>
          <w:color w:val="auto"/>
          <w:sz w:val="24"/>
          <w:szCs w:val="24"/>
        </w:rPr>
        <w:t>承包人：指专用合同条款中指明并与发包人在合同协议书中签字的当事人。</w:t>
      </w:r>
    </w:p>
    <w:p>
      <w:pPr>
        <w:pStyle w:val="45"/>
        <w:spacing w:line="352" w:lineRule="exact"/>
        <w:ind w:firstLine="420"/>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1.2.4</w:t>
      </w:r>
      <w:r>
        <w:rPr>
          <w:color w:val="auto"/>
          <w:sz w:val="24"/>
          <w:szCs w:val="24"/>
        </w:rPr>
        <w:t>承包人项目经理：指承包人派驻施工场地的全权负责人。</w:t>
      </w:r>
    </w:p>
    <w:p>
      <w:pPr>
        <w:pStyle w:val="45"/>
        <w:spacing w:line="319"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1.2.5</w:t>
      </w:r>
      <w:r>
        <w:rPr>
          <w:color w:val="auto"/>
          <w:sz w:val="24"/>
          <w:szCs w:val="24"/>
        </w:rPr>
        <w:t>分包人：指专用合同条款中指明的，从承包人处分包合同中某一部分工程, 并与其签订分包合同的分包人。</w:t>
      </w:r>
    </w:p>
    <w:p>
      <w:pPr>
        <w:pStyle w:val="45"/>
        <w:tabs>
          <w:tab w:val="left" w:pos="951"/>
        </w:tabs>
        <w:spacing w:line="374" w:lineRule="exact"/>
        <w:ind w:left="420" w:firstLine="0"/>
        <w:jc w:val="both"/>
        <w:rPr>
          <w:color w:val="auto"/>
          <w:sz w:val="24"/>
          <w:szCs w:val="24"/>
        </w:rPr>
      </w:pPr>
      <w:bookmarkStart w:id="147" w:name="bookmark893"/>
      <w:bookmarkEnd w:id="147"/>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1.2.</w:t>
      </w:r>
      <w:r>
        <w:rPr>
          <w:rFonts w:hint="eastAsia" w:ascii="Times New Roman" w:hAnsi="Times New Roman" w:cs="Times New Roman"/>
          <w:color w:val="auto"/>
          <w:sz w:val="24"/>
          <w:szCs w:val="24"/>
          <w:lang w:val="en-US" w:bidi="en-US"/>
        </w:rPr>
        <w:t xml:space="preserve">6  </w:t>
      </w:r>
      <w:r>
        <w:rPr>
          <w:color w:val="auto"/>
          <w:sz w:val="24"/>
          <w:szCs w:val="24"/>
        </w:rPr>
        <w:t>监理人：指在专用合同条款中指明的，受发包人委托对合同履行实施管理的 法人或其他组织。</w:t>
      </w:r>
    </w:p>
    <w:p>
      <w:pPr>
        <w:pStyle w:val="45"/>
        <w:spacing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2.</w:t>
      </w:r>
      <w:r>
        <w:rPr>
          <w:rFonts w:ascii="Times New Roman" w:hAnsi="Times New Roman" w:eastAsia="Times New Roman" w:cs="Times New Roman"/>
          <w:color w:val="auto"/>
          <w:sz w:val="24"/>
          <w:szCs w:val="24"/>
        </w:rPr>
        <w:t>7</w:t>
      </w:r>
      <w:r>
        <w:rPr>
          <w:color w:val="auto"/>
          <w:sz w:val="24"/>
          <w:szCs w:val="24"/>
        </w:rPr>
        <w:t>总监理工程师（总监）:指由监理人委派常驻施工场地对合同履行实施管理的全权负责人。</w:t>
      </w:r>
    </w:p>
    <w:p>
      <w:pPr>
        <w:pStyle w:val="46"/>
        <w:spacing w:after="0" w:line="362" w:lineRule="exact"/>
        <w:jc w:val="both"/>
        <w:rPr>
          <w:color w:val="auto"/>
          <w:sz w:val="24"/>
          <w:szCs w:val="24"/>
          <w:lang w:eastAsia="zh-CN"/>
        </w:rPr>
      </w:pPr>
      <w:r>
        <w:rPr>
          <w:color w:val="auto"/>
          <w:sz w:val="24"/>
          <w:szCs w:val="24"/>
          <w:lang w:eastAsia="zh-CN"/>
        </w:rPr>
        <w:t>1</w:t>
      </w:r>
      <w:r>
        <w:rPr>
          <w:rFonts w:hint="eastAsia"/>
          <w:color w:val="auto"/>
          <w:sz w:val="24"/>
          <w:szCs w:val="24"/>
          <w:lang w:eastAsia="zh-CN"/>
        </w:rPr>
        <w:t>.</w:t>
      </w:r>
      <w:r>
        <w:rPr>
          <w:color w:val="auto"/>
          <w:sz w:val="24"/>
          <w:szCs w:val="24"/>
          <w:lang w:eastAsia="zh-CN"/>
        </w:rPr>
        <w:t>1.</w:t>
      </w:r>
      <w:r>
        <w:rPr>
          <w:color w:val="auto"/>
          <w:sz w:val="24"/>
          <w:szCs w:val="24"/>
          <w:lang w:val="zh-CN" w:eastAsia="zh-CN" w:bidi="zh-CN"/>
        </w:rPr>
        <w:t>3</w:t>
      </w:r>
      <w:r>
        <w:rPr>
          <w:rFonts w:ascii="宋体" w:hAnsi="宋体" w:cs="宋体"/>
          <w:color w:val="auto"/>
          <w:sz w:val="24"/>
          <w:szCs w:val="24"/>
          <w:lang w:val="zh-CN" w:eastAsia="zh-CN" w:bidi="zh-CN"/>
        </w:rPr>
        <w:t>工程和设备</w:t>
      </w:r>
    </w:p>
    <w:p>
      <w:pPr>
        <w:pStyle w:val="45"/>
        <w:spacing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1.3</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rPr>
        <w:t>1</w:t>
      </w:r>
      <w:r>
        <w:rPr>
          <w:color w:val="auto"/>
          <w:sz w:val="24"/>
          <w:szCs w:val="24"/>
        </w:rPr>
        <w:t>工程：指永久工程和（或）临时工程。</w:t>
      </w:r>
    </w:p>
    <w:p>
      <w:pPr>
        <w:pStyle w:val="45"/>
        <w:tabs>
          <w:tab w:val="left" w:pos="944"/>
        </w:tabs>
        <w:spacing w:line="362" w:lineRule="exact"/>
        <w:ind w:left="420" w:firstLine="0"/>
        <w:jc w:val="both"/>
        <w:rPr>
          <w:color w:val="auto"/>
          <w:sz w:val="24"/>
          <w:szCs w:val="24"/>
        </w:rPr>
      </w:pPr>
      <w:bookmarkStart w:id="148" w:name="bookmark894"/>
      <w:bookmarkEnd w:id="148"/>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1.3</w:t>
      </w:r>
      <w:r>
        <w:rPr>
          <w:rFonts w:hint="eastAsia" w:ascii="Times New Roman" w:hAnsi="Times New Roman" w:cs="Times New Roman"/>
          <w:color w:val="auto"/>
          <w:sz w:val="24"/>
          <w:szCs w:val="24"/>
          <w:lang w:val="en-US" w:bidi="en-US"/>
        </w:rPr>
        <w:t>.</w:t>
      </w:r>
      <w:r>
        <w:rPr>
          <w:rFonts w:hint="eastAsia" w:ascii="Times New Roman" w:hAnsi="Times New Roman" w:cs="Times New Roman"/>
          <w:color w:val="auto"/>
          <w:sz w:val="24"/>
          <w:szCs w:val="24"/>
        </w:rPr>
        <w:t>2</w:t>
      </w:r>
      <w:r>
        <w:rPr>
          <w:color w:val="auto"/>
          <w:sz w:val="24"/>
          <w:szCs w:val="24"/>
        </w:rPr>
        <w:t>永久工程：指按合同约定建造并移交给发包人的工程，包括工程设备。</w:t>
      </w:r>
    </w:p>
    <w:p>
      <w:pPr>
        <w:pStyle w:val="45"/>
        <w:tabs>
          <w:tab w:val="left" w:pos="954"/>
        </w:tabs>
        <w:spacing w:line="372" w:lineRule="exact"/>
        <w:ind w:firstLine="511" w:firstLineChars="213"/>
        <w:jc w:val="both"/>
        <w:rPr>
          <w:color w:val="auto"/>
          <w:sz w:val="24"/>
          <w:szCs w:val="24"/>
        </w:rPr>
      </w:pPr>
      <w:bookmarkStart w:id="149" w:name="bookmark895"/>
      <w:bookmarkEnd w:id="149"/>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1.3</w:t>
      </w:r>
      <w:r>
        <w:rPr>
          <w:rFonts w:hint="eastAsia" w:ascii="Times New Roman" w:hAnsi="Times New Roman" w:cs="Times New Roman"/>
          <w:color w:val="auto"/>
          <w:sz w:val="24"/>
          <w:szCs w:val="24"/>
          <w:lang w:val="en-US" w:bidi="en-US"/>
        </w:rPr>
        <w:t>.</w:t>
      </w:r>
      <w:r>
        <w:rPr>
          <w:rFonts w:hint="eastAsia" w:ascii="Times New Roman" w:hAnsi="Times New Roman" w:cs="Times New Roman"/>
          <w:color w:val="auto"/>
          <w:sz w:val="24"/>
          <w:szCs w:val="24"/>
        </w:rPr>
        <w:t>3</w:t>
      </w:r>
      <w:r>
        <w:rPr>
          <w:color w:val="auto"/>
          <w:sz w:val="24"/>
          <w:szCs w:val="24"/>
        </w:rPr>
        <w:t>临时工程：指为完成合同约定的永久工程所修建的各类临时性工程，不包括施工设备。</w:t>
      </w:r>
    </w:p>
    <w:p>
      <w:pPr>
        <w:pStyle w:val="45"/>
        <w:spacing w:line="367"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1.1.3</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rPr>
        <w:t>4</w:t>
      </w:r>
      <w:r>
        <w:rPr>
          <w:color w:val="auto"/>
          <w:sz w:val="24"/>
          <w:szCs w:val="24"/>
        </w:rPr>
        <w:t>单位工程：指专用合同条款中指明特定范围的永久工程。</w:t>
      </w:r>
    </w:p>
    <w:p>
      <w:pPr>
        <w:pStyle w:val="45"/>
        <w:tabs>
          <w:tab w:val="left" w:pos="951"/>
        </w:tabs>
        <w:spacing w:line="367" w:lineRule="exact"/>
        <w:ind w:firstLine="511" w:firstLineChars="213"/>
        <w:jc w:val="both"/>
        <w:rPr>
          <w:color w:val="auto"/>
          <w:sz w:val="24"/>
          <w:szCs w:val="24"/>
        </w:rPr>
      </w:pPr>
      <w:bookmarkStart w:id="150" w:name="bookmark896"/>
      <w:bookmarkEnd w:id="150"/>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1.3</w:t>
      </w:r>
      <w:r>
        <w:rPr>
          <w:rFonts w:hint="eastAsia" w:ascii="Times New Roman" w:hAnsi="Times New Roman" w:cs="Times New Roman"/>
          <w:color w:val="auto"/>
          <w:sz w:val="24"/>
          <w:szCs w:val="24"/>
          <w:lang w:val="en-US" w:bidi="en-US"/>
        </w:rPr>
        <w:t>.</w:t>
      </w:r>
      <w:r>
        <w:rPr>
          <w:rFonts w:hint="eastAsia" w:ascii="Times New Roman" w:hAnsi="Times New Roman" w:cs="Times New Roman"/>
          <w:color w:val="auto"/>
          <w:sz w:val="24"/>
          <w:szCs w:val="24"/>
        </w:rPr>
        <w:t>5</w:t>
      </w:r>
      <w:r>
        <w:rPr>
          <w:color w:val="auto"/>
          <w:sz w:val="24"/>
          <w:szCs w:val="24"/>
        </w:rPr>
        <w:t>工程设备：指构成或计划构成永久工程一部分的机电设备、金属结构设备、仪器装置及其他类似的设备和装置。</w:t>
      </w:r>
    </w:p>
    <w:p>
      <w:pPr>
        <w:pStyle w:val="45"/>
        <w:tabs>
          <w:tab w:val="left" w:pos="954"/>
        </w:tabs>
        <w:spacing w:line="361" w:lineRule="exact"/>
        <w:ind w:firstLine="511" w:firstLineChars="213"/>
        <w:jc w:val="both"/>
        <w:rPr>
          <w:color w:val="auto"/>
          <w:sz w:val="24"/>
          <w:szCs w:val="24"/>
        </w:rPr>
      </w:pPr>
      <w:bookmarkStart w:id="151" w:name="bookmark897"/>
      <w:bookmarkEnd w:id="151"/>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1.3.</w:t>
      </w:r>
      <w:r>
        <w:rPr>
          <w:rFonts w:hint="eastAsia" w:ascii="Times New Roman" w:hAnsi="Times New Roman" w:cs="Times New Roman"/>
          <w:color w:val="auto"/>
          <w:sz w:val="24"/>
          <w:szCs w:val="24"/>
        </w:rPr>
        <w:t>6</w:t>
      </w:r>
      <w:r>
        <w:rPr>
          <w:color w:val="auto"/>
          <w:sz w:val="24"/>
          <w:szCs w:val="24"/>
        </w:rPr>
        <w:t>施工设备：指为完成合同约定的各项工作所需的设备、器具和其他物品，不包括临时工程和材料。</w:t>
      </w:r>
    </w:p>
    <w:p>
      <w:pPr>
        <w:pStyle w:val="45"/>
        <w:tabs>
          <w:tab w:val="left" w:pos="944"/>
        </w:tabs>
        <w:spacing w:line="361" w:lineRule="exact"/>
        <w:ind w:left="420" w:firstLine="0"/>
        <w:jc w:val="both"/>
        <w:rPr>
          <w:color w:val="auto"/>
          <w:sz w:val="24"/>
          <w:szCs w:val="24"/>
        </w:rPr>
      </w:pPr>
      <w:bookmarkStart w:id="152" w:name="bookmark898"/>
      <w:bookmarkEnd w:id="152"/>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1.3</w:t>
      </w:r>
      <w:r>
        <w:rPr>
          <w:rFonts w:hint="eastAsia" w:ascii="Times New Roman" w:hAnsi="Times New Roman" w:cs="Times New Roman"/>
          <w:color w:val="auto"/>
          <w:sz w:val="24"/>
          <w:szCs w:val="24"/>
          <w:lang w:val="en-US" w:bidi="en-US"/>
        </w:rPr>
        <w:t>.</w:t>
      </w:r>
      <w:r>
        <w:rPr>
          <w:rFonts w:hint="eastAsia" w:ascii="Times New Roman" w:hAnsi="Times New Roman" w:eastAsia="Times New Roman" w:cs="Times New Roman"/>
          <w:color w:val="auto"/>
          <w:sz w:val="24"/>
          <w:szCs w:val="24"/>
          <w:lang w:val="en-US" w:bidi="en-US"/>
        </w:rPr>
        <w:t>7</w:t>
      </w:r>
      <w:r>
        <w:rPr>
          <w:color w:val="auto"/>
          <w:sz w:val="24"/>
          <w:szCs w:val="24"/>
        </w:rPr>
        <w:t>临时设施：指为完成合同约定的各项工作所服务的临时性生产和生活设施。</w:t>
      </w:r>
    </w:p>
    <w:p>
      <w:pPr>
        <w:pStyle w:val="45"/>
        <w:tabs>
          <w:tab w:val="left" w:pos="954"/>
        </w:tabs>
        <w:spacing w:line="361" w:lineRule="exact"/>
        <w:ind w:left="420" w:firstLine="0"/>
        <w:jc w:val="both"/>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3</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8</w:t>
      </w:r>
      <w:r>
        <w:rPr>
          <w:color w:val="auto"/>
          <w:sz w:val="24"/>
          <w:szCs w:val="24"/>
        </w:rPr>
        <w:t>承包人设备：指承包人自带的施工设备。</w:t>
      </w:r>
    </w:p>
    <w:p>
      <w:pPr>
        <w:pStyle w:val="45"/>
        <w:tabs>
          <w:tab w:val="left" w:pos="954"/>
        </w:tabs>
        <w:spacing w:line="361" w:lineRule="exact"/>
        <w:ind w:firstLine="511" w:firstLineChars="213"/>
        <w:jc w:val="both"/>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3</w:t>
      </w:r>
      <w:r>
        <w:rPr>
          <w:rFonts w:hint="eastAsia" w:ascii="Times New Roman" w:hAnsi="Times New Roman" w:cs="Times New Roman"/>
          <w:color w:val="auto"/>
          <w:sz w:val="24"/>
          <w:szCs w:val="24"/>
          <w:lang w:val="en-US" w:bidi="en-US"/>
        </w:rPr>
        <w:t>.9</w:t>
      </w:r>
      <w:r>
        <w:rPr>
          <w:color w:val="auto"/>
          <w:sz w:val="24"/>
          <w:szCs w:val="24"/>
        </w:rPr>
        <w:t>施工场地（或称工地、现场）：指用于合同工程施工的场所，以及在合同中指定作为施工场地组成部分的其他场所，包括永久占地和临时占地。</w:t>
      </w:r>
    </w:p>
    <w:p>
      <w:pPr>
        <w:pStyle w:val="45"/>
        <w:tabs>
          <w:tab w:val="left" w:pos="951"/>
        </w:tabs>
        <w:spacing w:line="361" w:lineRule="exact"/>
        <w:ind w:left="420" w:firstLine="0"/>
        <w:jc w:val="both"/>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3</w:t>
      </w:r>
      <w:r>
        <w:rPr>
          <w:rFonts w:hint="eastAsia" w:ascii="Times New Roman" w:hAnsi="Times New Roman" w:cs="Times New Roman"/>
          <w:color w:val="auto"/>
          <w:sz w:val="24"/>
          <w:szCs w:val="24"/>
          <w:lang w:val="en-US" w:bidi="en-US"/>
        </w:rPr>
        <w:t>.10</w:t>
      </w:r>
      <w:r>
        <w:rPr>
          <w:color w:val="auto"/>
          <w:sz w:val="24"/>
          <w:szCs w:val="24"/>
        </w:rPr>
        <w:t>永久占地：指发包人为建设本合同工程永久征用的场地。</w:t>
      </w:r>
    </w:p>
    <w:p>
      <w:pPr>
        <w:pStyle w:val="45"/>
        <w:tabs>
          <w:tab w:val="left" w:pos="951"/>
        </w:tabs>
        <w:spacing w:line="367" w:lineRule="exact"/>
        <w:ind w:firstLine="511" w:firstLineChars="213"/>
        <w:jc w:val="both"/>
        <w:rPr>
          <w:color w:val="auto"/>
          <w:sz w:val="24"/>
          <w:szCs w:val="24"/>
        </w:rPr>
      </w:pPr>
      <w:r>
        <w:rPr>
          <w:rFonts w:hint="eastAsia" w:ascii="Times New Roman" w:hAnsi="Times New Roman" w:cs="Times New Roman"/>
          <w:color w:val="auto"/>
          <w:sz w:val="24"/>
          <w:szCs w:val="24"/>
          <w:lang w:val="en-US" w:bidi="en-US"/>
        </w:rPr>
        <w:t>1.1.3.11</w:t>
      </w:r>
      <w:r>
        <w:rPr>
          <w:color w:val="auto"/>
          <w:sz w:val="24"/>
          <w:szCs w:val="24"/>
        </w:rPr>
        <w:t>临时占地：指发包人为建设本合同工程临时征用，并应在完工后须按合同 要求退还的场地。</w:t>
      </w:r>
    </w:p>
    <w:p>
      <w:pPr>
        <w:pStyle w:val="46"/>
        <w:spacing w:after="0"/>
        <w:jc w:val="both"/>
        <w:rPr>
          <w:color w:val="auto"/>
          <w:sz w:val="24"/>
          <w:szCs w:val="24"/>
          <w:lang w:eastAsia="zh-CN"/>
        </w:rPr>
      </w:pPr>
      <w:r>
        <w:rPr>
          <w:color w:val="auto"/>
          <w:sz w:val="24"/>
          <w:szCs w:val="24"/>
          <w:lang w:eastAsia="zh-CN"/>
        </w:rPr>
        <w:t>1.1.4</w:t>
      </w:r>
      <w:r>
        <w:rPr>
          <w:rFonts w:ascii="宋体" w:hAnsi="宋体" w:cs="宋体"/>
          <w:color w:val="auto"/>
          <w:sz w:val="24"/>
          <w:szCs w:val="24"/>
          <w:lang w:val="zh-CN" w:eastAsia="zh-CN" w:bidi="zh-CN"/>
        </w:rPr>
        <w:t>日期</w:t>
      </w:r>
    </w:p>
    <w:p>
      <w:pPr>
        <w:pStyle w:val="45"/>
        <w:spacing w:line="348" w:lineRule="exact"/>
        <w:ind w:firstLine="420"/>
        <w:jc w:val="both"/>
        <w:rPr>
          <w:color w:val="auto"/>
          <w:sz w:val="24"/>
          <w:szCs w:val="24"/>
        </w:rPr>
      </w:pPr>
      <w:r>
        <w:rPr>
          <w:rFonts w:ascii="Times New Roman" w:hAnsi="Times New Roman" w:eastAsia="Times New Roman" w:cs="Times New Roman"/>
          <w:color w:val="auto"/>
          <w:sz w:val="24"/>
          <w:szCs w:val="24"/>
          <w:lang w:val="en-US" w:bidi="en-US"/>
        </w:rPr>
        <w:t xml:space="preserve">1.1.4. </w:t>
      </w:r>
      <w:r>
        <w:rPr>
          <w:rFonts w:ascii="Times New Roman" w:hAnsi="Times New Roman" w:eastAsia="Times New Roman" w:cs="Times New Roman"/>
          <w:color w:val="auto"/>
          <w:sz w:val="24"/>
          <w:szCs w:val="24"/>
        </w:rPr>
        <w:t>1</w:t>
      </w:r>
      <w:r>
        <w:rPr>
          <w:color w:val="auto"/>
          <w:sz w:val="24"/>
          <w:szCs w:val="24"/>
        </w:rPr>
        <w:t>开工通知：指监理人按第</w:t>
      </w:r>
      <w:r>
        <w:rPr>
          <w:rFonts w:ascii="Times New Roman" w:hAnsi="Times New Roman" w:eastAsia="Times New Roman" w:cs="Times New Roman"/>
          <w:color w:val="auto"/>
          <w:sz w:val="24"/>
          <w:szCs w:val="24"/>
          <w:lang w:val="en-US" w:bidi="en-US"/>
        </w:rPr>
        <w:t xml:space="preserve">11. </w:t>
      </w:r>
      <w:r>
        <w:rPr>
          <w:rFonts w:ascii="Times New Roman" w:hAnsi="Times New Roman" w:eastAsia="Times New Roman" w:cs="Times New Roman"/>
          <w:color w:val="auto"/>
          <w:sz w:val="24"/>
          <w:szCs w:val="24"/>
        </w:rPr>
        <w:t>1</w:t>
      </w:r>
      <w:r>
        <w:rPr>
          <w:color w:val="auto"/>
          <w:sz w:val="24"/>
          <w:szCs w:val="24"/>
        </w:rPr>
        <w:t>款通知承包人开工的函件。</w:t>
      </w:r>
    </w:p>
    <w:p>
      <w:pPr>
        <w:pStyle w:val="45"/>
        <w:spacing w:line="348"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1.1.4.2</w:t>
      </w:r>
      <w:r>
        <w:rPr>
          <w:color w:val="auto"/>
          <w:sz w:val="24"/>
          <w:szCs w:val="24"/>
        </w:rPr>
        <w:t>开工日期：指监理人按第</w:t>
      </w:r>
      <w:r>
        <w:rPr>
          <w:rFonts w:ascii="Times New Roman" w:hAnsi="Times New Roman" w:eastAsia="Times New Roman" w:cs="Times New Roman"/>
          <w:color w:val="auto"/>
          <w:sz w:val="24"/>
          <w:szCs w:val="24"/>
          <w:lang w:val="en-US" w:bidi="en-US"/>
        </w:rPr>
        <w:t xml:space="preserve">11. </w:t>
      </w:r>
      <w:r>
        <w:rPr>
          <w:rFonts w:ascii="Times New Roman" w:hAnsi="Times New Roman" w:eastAsia="Times New Roman" w:cs="Times New Roman"/>
          <w:color w:val="auto"/>
          <w:sz w:val="24"/>
          <w:szCs w:val="24"/>
        </w:rPr>
        <w:t>1</w:t>
      </w:r>
      <w:r>
        <w:rPr>
          <w:color w:val="auto"/>
          <w:sz w:val="24"/>
          <w:szCs w:val="24"/>
        </w:rPr>
        <w:t>款发出的开工通知中写明的开工日期。</w:t>
      </w:r>
    </w:p>
    <w:p>
      <w:pPr>
        <w:pStyle w:val="45"/>
        <w:spacing w:line="348"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1.1.4.3</w:t>
      </w:r>
      <w:r>
        <w:rPr>
          <w:color w:val="auto"/>
          <w:sz w:val="24"/>
          <w:szCs w:val="24"/>
        </w:rPr>
        <w:t>工期：指承包人在投标函中承诺的完成合同工程所需的期限，包括按第</w:t>
      </w:r>
      <w:r>
        <w:rPr>
          <w:rFonts w:ascii="Times New Roman" w:hAnsi="Times New Roman" w:eastAsia="Times New Roman" w:cs="Times New Roman"/>
          <w:color w:val="auto"/>
          <w:sz w:val="24"/>
          <w:szCs w:val="24"/>
          <w:lang w:val="en-US" w:bidi="en-US"/>
        </w:rPr>
        <w:t xml:space="preserve">11.3 </w:t>
      </w:r>
      <w:r>
        <w:rPr>
          <w:color w:val="auto"/>
          <w:sz w:val="24"/>
          <w:szCs w:val="24"/>
        </w:rPr>
        <w:t>款、第</w:t>
      </w:r>
      <w:r>
        <w:rPr>
          <w:rFonts w:ascii="Times New Roman" w:hAnsi="Times New Roman" w:eastAsia="Times New Roman" w:cs="Times New Roman"/>
          <w:color w:val="auto"/>
          <w:sz w:val="24"/>
          <w:szCs w:val="24"/>
          <w:lang w:val="en-US" w:bidi="en-US"/>
        </w:rPr>
        <w:t xml:space="preserve">11. </w:t>
      </w:r>
      <w:r>
        <w:rPr>
          <w:rFonts w:ascii="Times New Roman" w:hAnsi="Times New Roman" w:eastAsia="Times New Roman" w:cs="Times New Roman"/>
          <w:color w:val="auto"/>
          <w:sz w:val="24"/>
          <w:szCs w:val="24"/>
        </w:rPr>
        <w:t>4</w:t>
      </w:r>
      <w:r>
        <w:rPr>
          <w:color w:val="auto"/>
          <w:sz w:val="24"/>
          <w:szCs w:val="24"/>
        </w:rPr>
        <w:t>款和第</w:t>
      </w:r>
      <w:r>
        <w:rPr>
          <w:rFonts w:ascii="Times New Roman" w:hAnsi="Times New Roman" w:eastAsia="Times New Roman" w:cs="Times New Roman"/>
          <w:color w:val="auto"/>
          <w:sz w:val="24"/>
          <w:szCs w:val="24"/>
          <w:lang w:val="en-US" w:bidi="en-US"/>
        </w:rPr>
        <w:t xml:space="preserve">11. </w:t>
      </w:r>
      <w:r>
        <w:rPr>
          <w:rFonts w:ascii="Times New Roman" w:hAnsi="Times New Roman" w:eastAsia="Times New Roman" w:cs="Times New Roman"/>
          <w:color w:val="auto"/>
          <w:sz w:val="24"/>
          <w:szCs w:val="24"/>
        </w:rPr>
        <w:t>6</w:t>
      </w:r>
      <w:r>
        <w:rPr>
          <w:color w:val="auto"/>
          <w:sz w:val="24"/>
          <w:szCs w:val="24"/>
        </w:rPr>
        <w:t>款约定所作的变更。</w:t>
      </w:r>
    </w:p>
    <w:p>
      <w:pPr>
        <w:pStyle w:val="45"/>
        <w:tabs>
          <w:tab w:val="left" w:pos="949"/>
        </w:tabs>
        <w:spacing w:line="374" w:lineRule="exact"/>
        <w:ind w:firstLine="511" w:firstLineChars="213"/>
        <w:jc w:val="both"/>
        <w:rPr>
          <w:color w:val="auto"/>
          <w:sz w:val="24"/>
          <w:szCs w:val="24"/>
        </w:rPr>
      </w:pPr>
      <w:bookmarkStart w:id="153" w:name="bookmark899"/>
      <w:bookmarkEnd w:id="153"/>
      <w:r>
        <w:rPr>
          <w:rFonts w:ascii="Times New Roman" w:hAnsi="Times New Roman" w:eastAsia="Times New Roman" w:cs="Times New Roman"/>
          <w:color w:val="auto"/>
          <w:sz w:val="24"/>
          <w:szCs w:val="24"/>
          <w:lang w:val="en-US" w:bidi="en-US"/>
        </w:rPr>
        <w:t>1.1.4.</w:t>
      </w:r>
      <w:r>
        <w:rPr>
          <w:rFonts w:hint="eastAsia" w:ascii="Times New Roman" w:hAnsi="Times New Roman" w:cs="Times New Roman"/>
          <w:color w:val="auto"/>
          <w:sz w:val="24"/>
          <w:szCs w:val="24"/>
          <w:lang w:val="en-US" w:bidi="en-US"/>
        </w:rPr>
        <w:t xml:space="preserve">4  </w:t>
      </w:r>
      <w:r>
        <w:rPr>
          <w:color w:val="auto"/>
          <w:sz w:val="24"/>
          <w:szCs w:val="24"/>
        </w:rPr>
        <w:t>竣工日期：即合同工程完工日期，指第</w:t>
      </w:r>
      <w:r>
        <w:rPr>
          <w:rFonts w:ascii="Times New Roman" w:hAnsi="Times New Roman" w:eastAsia="Times New Roman" w:cs="Times New Roman"/>
          <w:color w:val="auto"/>
          <w:sz w:val="24"/>
          <w:szCs w:val="24"/>
          <w:lang w:val="en-US" w:bidi="en-US"/>
        </w:rPr>
        <w:t xml:space="preserve">1.1. 4. </w:t>
      </w:r>
      <w:r>
        <w:rPr>
          <w:rFonts w:ascii="Times New Roman" w:hAnsi="Times New Roman" w:eastAsia="Times New Roman" w:cs="Times New Roman"/>
          <w:color w:val="auto"/>
          <w:sz w:val="24"/>
          <w:szCs w:val="24"/>
        </w:rPr>
        <w:t>3</w:t>
      </w:r>
      <w:r>
        <w:rPr>
          <w:color w:val="auto"/>
          <w:sz w:val="24"/>
          <w:szCs w:val="24"/>
        </w:rPr>
        <w:t>目约定工期届满时的日期。 实际完工时间以合同工程完工证书中写明的日期为准。</w:t>
      </w:r>
    </w:p>
    <w:p>
      <w:pPr>
        <w:pStyle w:val="45"/>
        <w:tabs>
          <w:tab w:val="left" w:pos="954"/>
        </w:tabs>
        <w:spacing w:line="370" w:lineRule="exact"/>
        <w:ind w:firstLine="511" w:firstLineChars="213"/>
        <w:jc w:val="both"/>
        <w:rPr>
          <w:color w:val="auto"/>
          <w:sz w:val="24"/>
          <w:szCs w:val="24"/>
        </w:rPr>
      </w:pPr>
      <w:bookmarkStart w:id="154" w:name="bookmark900"/>
      <w:bookmarkEnd w:id="154"/>
      <w:r>
        <w:rPr>
          <w:rFonts w:ascii="Times New Roman" w:hAnsi="Times New Roman" w:eastAsia="Times New Roman" w:cs="Times New Roman"/>
          <w:color w:val="auto"/>
          <w:sz w:val="24"/>
          <w:szCs w:val="24"/>
          <w:lang w:val="en-US" w:bidi="en-US"/>
        </w:rPr>
        <w:t>1.1.4.</w:t>
      </w:r>
      <w:r>
        <w:rPr>
          <w:rFonts w:hint="eastAsia" w:ascii="Times New Roman" w:hAnsi="Times New Roman" w:cs="Times New Roman"/>
          <w:color w:val="auto"/>
          <w:sz w:val="24"/>
          <w:szCs w:val="24"/>
          <w:lang w:val="en-US" w:bidi="en-US"/>
        </w:rPr>
        <w:t xml:space="preserve">5  </w:t>
      </w:r>
      <w:r>
        <w:rPr>
          <w:color w:val="auto"/>
          <w:sz w:val="24"/>
          <w:szCs w:val="24"/>
        </w:rPr>
        <w:t>缺陷责任期：即工程质量保修期，指履行第</w:t>
      </w:r>
      <w:r>
        <w:rPr>
          <w:rFonts w:ascii="Times New Roman" w:hAnsi="Times New Roman" w:eastAsia="Times New Roman" w:cs="Times New Roman"/>
          <w:color w:val="auto"/>
          <w:sz w:val="24"/>
          <w:szCs w:val="24"/>
          <w:lang w:val="en-US" w:bidi="en-US"/>
        </w:rPr>
        <w:t xml:space="preserve">19. </w:t>
      </w:r>
      <w:r>
        <w:rPr>
          <w:rFonts w:ascii="Times New Roman" w:hAnsi="Times New Roman" w:eastAsia="Times New Roman" w:cs="Times New Roman"/>
          <w:color w:val="auto"/>
          <w:sz w:val="24"/>
          <w:szCs w:val="24"/>
        </w:rPr>
        <w:t>2</w:t>
      </w:r>
      <w:r>
        <w:rPr>
          <w:color w:val="auto"/>
          <w:sz w:val="24"/>
          <w:szCs w:val="24"/>
        </w:rPr>
        <w:t>款约定的缺陷责任的期限, 包括根据第</w:t>
      </w:r>
      <w:r>
        <w:rPr>
          <w:rFonts w:ascii="Times New Roman" w:hAnsi="Times New Roman" w:eastAsia="Times New Roman" w:cs="Times New Roman"/>
          <w:color w:val="auto"/>
          <w:sz w:val="24"/>
          <w:szCs w:val="24"/>
          <w:lang w:val="en-US" w:bidi="en-US"/>
        </w:rPr>
        <w:t xml:space="preserve">19. </w:t>
      </w:r>
      <w:r>
        <w:rPr>
          <w:rFonts w:ascii="Times New Roman" w:hAnsi="Times New Roman" w:eastAsia="Times New Roman" w:cs="Times New Roman"/>
          <w:color w:val="auto"/>
          <w:sz w:val="24"/>
          <w:szCs w:val="24"/>
        </w:rPr>
        <w:t>3</w:t>
      </w:r>
      <w:r>
        <w:rPr>
          <w:color w:val="auto"/>
          <w:sz w:val="24"/>
          <w:szCs w:val="24"/>
        </w:rPr>
        <w:t>款约定所作的延长，具体期限由专用合同条款约定。</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1.1.4.6</w:t>
      </w:r>
      <w:r>
        <w:rPr>
          <w:color w:val="auto"/>
          <w:sz w:val="24"/>
          <w:szCs w:val="24"/>
        </w:rPr>
        <w:t>基准日期：指投标截止时间前</w:t>
      </w:r>
      <w:r>
        <w:rPr>
          <w:rFonts w:ascii="Times New Roman" w:hAnsi="Times New Roman" w:eastAsia="Times New Roman" w:cs="Times New Roman"/>
          <w:color w:val="auto"/>
          <w:sz w:val="24"/>
          <w:szCs w:val="24"/>
        </w:rPr>
        <w:t>28</w:t>
      </w:r>
      <w:r>
        <w:rPr>
          <w:color w:val="auto"/>
          <w:sz w:val="24"/>
          <w:szCs w:val="24"/>
        </w:rPr>
        <w:t>天的日期。</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1.1.4.7</w:t>
      </w:r>
      <w:r>
        <w:rPr>
          <w:color w:val="auto"/>
          <w:sz w:val="24"/>
          <w:szCs w:val="24"/>
        </w:rPr>
        <w:t>天：除特别指明外，指日历天。合同中按天计算时间的，开始当天不计入, 从次日开始计算。期限最后一天的截止时间为当天</w:t>
      </w:r>
      <w:r>
        <w:rPr>
          <w:rFonts w:ascii="Times New Roman" w:hAnsi="Times New Roman" w:eastAsia="Times New Roman" w:cs="Times New Roman"/>
          <w:color w:val="auto"/>
          <w:sz w:val="24"/>
          <w:szCs w:val="24"/>
        </w:rPr>
        <w:t>24</w:t>
      </w:r>
      <w:r>
        <w:rPr>
          <w:color w:val="auto"/>
          <w:sz w:val="24"/>
          <w:szCs w:val="24"/>
        </w:rPr>
        <w:t>：</w:t>
      </w:r>
      <w:r>
        <w:rPr>
          <w:rFonts w:ascii="Times New Roman" w:hAnsi="Times New Roman" w:eastAsia="Times New Roman" w:cs="Times New Roman"/>
          <w:color w:val="auto"/>
          <w:sz w:val="24"/>
          <w:szCs w:val="24"/>
          <w:lang w:val="en-US" w:bidi="en-US"/>
        </w:rPr>
        <w:t>00</w:t>
      </w:r>
      <w:r>
        <w:rPr>
          <w:rFonts w:ascii="Times New Roman" w:hAnsi="Times New Roman" w:eastAsia="Times New Roman" w:cs="Times New Roman"/>
          <w:color w:val="auto"/>
          <w:sz w:val="24"/>
          <w:szCs w:val="24"/>
          <w:vertAlign w:val="subscript"/>
          <w:lang w:val="en-US" w:bidi="en-US"/>
        </w:rPr>
        <w:t>o</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1.1.5</w:t>
      </w:r>
      <w:r>
        <w:rPr>
          <w:color w:val="auto"/>
          <w:sz w:val="24"/>
          <w:szCs w:val="24"/>
        </w:rPr>
        <w:t>合同价格和费用</w:t>
      </w:r>
    </w:p>
    <w:p>
      <w:pPr>
        <w:pStyle w:val="45"/>
        <w:tabs>
          <w:tab w:val="left" w:pos="934"/>
        </w:tabs>
        <w:spacing w:line="360" w:lineRule="exact"/>
        <w:ind w:firstLine="511" w:firstLineChars="213"/>
        <w:jc w:val="both"/>
        <w:rPr>
          <w:color w:val="auto"/>
          <w:sz w:val="24"/>
          <w:szCs w:val="24"/>
        </w:rPr>
      </w:pPr>
      <w:bookmarkStart w:id="155" w:name="bookmark901"/>
      <w:bookmarkEnd w:id="155"/>
      <w:r>
        <w:rPr>
          <w:rFonts w:ascii="Times New Roman" w:hAnsi="Times New Roman" w:eastAsia="Times New Roman" w:cs="Times New Roman"/>
          <w:color w:val="auto"/>
          <w:sz w:val="24"/>
          <w:szCs w:val="24"/>
          <w:lang w:val="en-US" w:bidi="en-US"/>
        </w:rPr>
        <w:t>1.1.5.1</w:t>
      </w:r>
      <w:r>
        <w:rPr>
          <w:color w:val="auto"/>
          <w:sz w:val="24"/>
          <w:szCs w:val="24"/>
        </w:rPr>
        <w:t>签约合同价：指签定合同时合同协议书中写明的，包括了暂列金额、暂估价的合同总金额。</w:t>
      </w:r>
    </w:p>
    <w:p>
      <w:pPr>
        <w:pStyle w:val="45"/>
        <w:tabs>
          <w:tab w:val="left" w:pos="954"/>
        </w:tabs>
        <w:spacing w:line="360" w:lineRule="exact"/>
        <w:ind w:firstLine="511" w:firstLineChars="213"/>
        <w:jc w:val="both"/>
        <w:rPr>
          <w:color w:val="auto"/>
          <w:sz w:val="24"/>
          <w:szCs w:val="24"/>
        </w:rPr>
      </w:pPr>
      <w:bookmarkStart w:id="156" w:name="bookmark902"/>
      <w:bookmarkEnd w:id="156"/>
      <w:r>
        <w:rPr>
          <w:rFonts w:ascii="Times New Roman" w:hAnsi="Times New Roman" w:cs="Times New Roman"/>
          <w:color w:val="auto"/>
          <w:sz w:val="24"/>
          <w:szCs w:val="24"/>
        </w:rPr>
        <w:t>1.1.5.2</w:t>
      </w:r>
      <w:r>
        <w:rPr>
          <w:color w:val="auto"/>
          <w:sz w:val="24"/>
          <w:szCs w:val="24"/>
        </w:rPr>
        <w:t>合同价格：指承包人按合同约定完成了包括缺陷责任期内的全部承包工作后，发包人应付给承包人的金额，包括在履行合同过程中按合同约定进行的变更和调整。</w:t>
      </w:r>
    </w:p>
    <w:p>
      <w:pPr>
        <w:pStyle w:val="45"/>
        <w:tabs>
          <w:tab w:val="left" w:pos="954"/>
        </w:tabs>
        <w:spacing w:line="360" w:lineRule="exact"/>
        <w:ind w:firstLine="511" w:firstLineChars="213"/>
        <w:jc w:val="both"/>
        <w:rPr>
          <w:color w:val="auto"/>
          <w:sz w:val="24"/>
          <w:szCs w:val="24"/>
        </w:rPr>
      </w:pPr>
      <w:bookmarkStart w:id="157" w:name="bookmark903"/>
      <w:bookmarkEnd w:id="157"/>
      <w:r>
        <w:rPr>
          <w:rFonts w:ascii="Times New Roman" w:hAnsi="Times New Roman" w:cs="Times New Roman"/>
          <w:color w:val="auto"/>
          <w:sz w:val="24"/>
          <w:szCs w:val="24"/>
        </w:rPr>
        <w:t>1.1.5.3</w:t>
      </w:r>
      <w:r>
        <w:rPr>
          <w:color w:val="auto"/>
          <w:sz w:val="24"/>
          <w:szCs w:val="24"/>
        </w:rPr>
        <w:t>费用：指为履行合同所发生的或将要发生的所有合理开支，包括管理费和应分摊的其他费用，但不包括利润。</w:t>
      </w:r>
    </w:p>
    <w:p>
      <w:pPr>
        <w:pStyle w:val="45"/>
        <w:spacing w:line="366"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1.5.4</w:t>
      </w:r>
      <w:r>
        <w:rPr>
          <w:color w:val="auto"/>
          <w:sz w:val="24"/>
          <w:szCs w:val="24"/>
        </w:rPr>
        <w:t>暂列金额：指已标价工程量清单中所列的暂列金额，用于在签订协议书时尚 未确定或不可预见变更的施工及其所需材料、工程设备、服务等的金额，包括以计日工方式支付的金额。</w:t>
      </w:r>
    </w:p>
    <w:p>
      <w:pPr>
        <w:pStyle w:val="45"/>
        <w:spacing w:line="374"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1. 1.5.5</w:t>
      </w:r>
      <w:r>
        <w:rPr>
          <w:color w:val="auto"/>
          <w:sz w:val="24"/>
          <w:szCs w:val="24"/>
        </w:rPr>
        <w:t>暂估价：指发包人在工程量清单中给定的用于支付必然发生但暂时不能确定价格的材料、设备以及专业工程的金额。</w:t>
      </w:r>
    </w:p>
    <w:p>
      <w:pPr>
        <w:pStyle w:val="45"/>
        <w:spacing w:line="374" w:lineRule="exact"/>
        <w:ind w:firstLine="440"/>
        <w:jc w:val="both"/>
        <w:rPr>
          <w:color w:val="auto"/>
          <w:sz w:val="24"/>
          <w:szCs w:val="24"/>
        </w:rPr>
      </w:pPr>
      <w:bookmarkStart w:id="158" w:name="bookmark904"/>
      <w:bookmarkEnd w:id="158"/>
      <w:r>
        <w:rPr>
          <w:rFonts w:ascii="Times New Roman" w:hAnsi="Times New Roman" w:eastAsia="Times New Roman" w:cs="Times New Roman"/>
          <w:color w:val="auto"/>
          <w:sz w:val="24"/>
          <w:szCs w:val="24"/>
          <w:lang w:val="en-US" w:bidi="en-US"/>
        </w:rPr>
        <w:t>1.1.5. 6</w:t>
      </w:r>
      <w:r>
        <w:rPr>
          <w:color w:val="auto"/>
          <w:sz w:val="24"/>
          <w:szCs w:val="24"/>
        </w:rPr>
        <w:t>计日工：指对零星工作采取的一种计价方式，按合同中的计日工子目及其单 价计价付款。</w:t>
      </w:r>
    </w:p>
    <w:p>
      <w:pPr>
        <w:pStyle w:val="45"/>
        <w:spacing w:after="140" w:line="379"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1.1.5.7</w:t>
      </w:r>
      <w:r>
        <w:rPr>
          <w:color w:val="auto"/>
          <w:sz w:val="24"/>
          <w:szCs w:val="24"/>
        </w:rPr>
        <w:t>质量保证金(或称保留金)：指按第</w:t>
      </w:r>
      <w:r>
        <w:rPr>
          <w:rFonts w:ascii="Times New Roman" w:hAnsi="Times New Roman" w:eastAsia="Times New Roman" w:cs="Times New Roman"/>
          <w:color w:val="auto"/>
          <w:sz w:val="24"/>
          <w:szCs w:val="24"/>
          <w:lang w:val="en-US" w:bidi="en-US"/>
        </w:rPr>
        <w:t>17.4.1</w:t>
      </w:r>
      <w:r>
        <w:rPr>
          <w:color w:val="auto"/>
          <w:sz w:val="24"/>
          <w:szCs w:val="24"/>
        </w:rPr>
        <w:t>项约定用于保证在缺陷责任期内履行缺陷修复义务的金额。</w:t>
      </w:r>
    </w:p>
    <w:p>
      <w:pPr>
        <w:pStyle w:val="46"/>
        <w:spacing w:after="0" w:line="384" w:lineRule="auto"/>
        <w:ind w:firstLine="440"/>
        <w:jc w:val="both"/>
        <w:rPr>
          <w:color w:val="auto"/>
          <w:sz w:val="24"/>
          <w:szCs w:val="24"/>
          <w:lang w:eastAsia="zh-CN"/>
        </w:rPr>
      </w:pPr>
      <w:r>
        <w:rPr>
          <w:color w:val="auto"/>
          <w:sz w:val="24"/>
          <w:szCs w:val="24"/>
          <w:lang w:eastAsia="zh-CN"/>
        </w:rPr>
        <w:t>1.1.6</w:t>
      </w:r>
      <w:r>
        <w:rPr>
          <w:rFonts w:ascii="宋体" w:hAnsi="宋体" w:cs="宋体"/>
          <w:color w:val="auto"/>
          <w:sz w:val="24"/>
          <w:szCs w:val="24"/>
          <w:lang w:val="zh-CN" w:eastAsia="zh-CN" w:bidi="zh-CN"/>
        </w:rPr>
        <w:t>其他</w:t>
      </w:r>
    </w:p>
    <w:p>
      <w:pPr>
        <w:pStyle w:val="45"/>
        <w:tabs>
          <w:tab w:val="left" w:pos="954"/>
        </w:tabs>
        <w:spacing w:after="140" w:line="367" w:lineRule="exact"/>
        <w:ind w:left="440" w:firstLine="0"/>
        <w:jc w:val="both"/>
        <w:rPr>
          <w:color w:val="auto"/>
          <w:sz w:val="24"/>
          <w:szCs w:val="24"/>
        </w:rPr>
      </w:pPr>
      <w:bookmarkStart w:id="159" w:name="bookmark905"/>
      <w:bookmarkEnd w:id="159"/>
      <w:r>
        <w:rPr>
          <w:rFonts w:ascii="Times New Roman" w:hAnsi="Times New Roman" w:eastAsia="Times New Roman" w:cs="Times New Roman"/>
          <w:color w:val="auto"/>
          <w:sz w:val="24"/>
          <w:szCs w:val="24"/>
          <w:lang w:val="en-US" w:bidi="en-US"/>
        </w:rPr>
        <w:t>1.1.6.1</w:t>
      </w:r>
      <w:r>
        <w:rPr>
          <w:color w:val="auto"/>
          <w:sz w:val="24"/>
          <w:szCs w:val="24"/>
        </w:rPr>
        <w:t>书面形式：指合同文件、信函、电报、传真等可以有形地表现所载内容的形式。</w:t>
      </w:r>
    </w:p>
    <w:p>
      <w:pPr>
        <w:pStyle w:val="6"/>
        <w:ind w:left="0" w:leftChars="0" w:firstLine="0" w:firstLineChars="0"/>
        <w:rPr>
          <w:color w:val="auto"/>
          <w:sz w:val="24"/>
          <w:szCs w:val="24"/>
          <w:lang w:eastAsia="zh-CN"/>
        </w:rPr>
      </w:pPr>
      <w:bookmarkStart w:id="160" w:name="bookmark906"/>
      <w:bookmarkStart w:id="161" w:name="_Toc16626"/>
      <w:bookmarkStart w:id="162" w:name="bookmark907"/>
      <w:bookmarkStart w:id="163" w:name="bookmark908"/>
      <w:r>
        <w:rPr>
          <w:color w:val="auto"/>
          <w:sz w:val="24"/>
          <w:szCs w:val="24"/>
          <w:lang w:eastAsia="zh-CN"/>
        </w:rPr>
        <w:t>1.2语言文字</w:t>
      </w:r>
      <w:bookmarkEnd w:id="160"/>
      <w:bookmarkEnd w:id="161"/>
      <w:bookmarkEnd w:id="162"/>
      <w:bookmarkEnd w:id="163"/>
    </w:p>
    <w:p>
      <w:pPr>
        <w:pStyle w:val="45"/>
        <w:spacing w:after="140" w:line="366" w:lineRule="exact"/>
        <w:ind w:firstLine="420"/>
        <w:rPr>
          <w:color w:val="auto"/>
          <w:sz w:val="24"/>
          <w:szCs w:val="24"/>
        </w:rPr>
      </w:pPr>
      <w:r>
        <w:rPr>
          <w:color w:val="auto"/>
          <w:sz w:val="24"/>
          <w:szCs w:val="24"/>
        </w:rPr>
        <w:t>除专用术语外，合同使用的语言文字为中文。必要时专用术语应附有中文注释。</w:t>
      </w:r>
    </w:p>
    <w:p>
      <w:pPr>
        <w:pStyle w:val="6"/>
        <w:ind w:left="0" w:leftChars="0" w:firstLine="0" w:firstLineChars="0"/>
        <w:rPr>
          <w:color w:val="auto"/>
          <w:sz w:val="24"/>
          <w:szCs w:val="24"/>
          <w:lang w:eastAsia="zh-CN"/>
        </w:rPr>
      </w:pPr>
      <w:bookmarkStart w:id="164" w:name="bookmark911"/>
      <w:bookmarkStart w:id="165" w:name="bookmark910"/>
      <w:bookmarkStart w:id="166" w:name="_Toc7852"/>
      <w:bookmarkStart w:id="167" w:name="bookmark909"/>
      <w:r>
        <w:rPr>
          <w:color w:val="auto"/>
          <w:sz w:val="24"/>
          <w:szCs w:val="24"/>
          <w:lang w:eastAsia="zh-CN"/>
        </w:rPr>
        <w:t>1.3法律</w:t>
      </w:r>
      <w:bookmarkEnd w:id="164"/>
      <w:bookmarkEnd w:id="165"/>
      <w:bookmarkEnd w:id="166"/>
      <w:bookmarkEnd w:id="167"/>
    </w:p>
    <w:p>
      <w:pPr>
        <w:pStyle w:val="45"/>
        <w:spacing w:after="140" w:line="360" w:lineRule="exact"/>
        <w:ind w:firstLine="440"/>
        <w:jc w:val="both"/>
        <w:rPr>
          <w:color w:val="auto"/>
          <w:sz w:val="24"/>
          <w:szCs w:val="24"/>
        </w:rPr>
      </w:pPr>
      <w:r>
        <w:rPr>
          <w:color w:val="auto"/>
          <w:sz w:val="24"/>
          <w:szCs w:val="24"/>
        </w:rPr>
        <w:t>适用于合同的法律包括中华人民共和国法律、行政法规、部门规章，以及工程所在地的地方法规、自治条例、单行条例和地方政府规章。</w:t>
      </w:r>
    </w:p>
    <w:p>
      <w:pPr>
        <w:pStyle w:val="6"/>
        <w:ind w:left="0" w:leftChars="0" w:firstLine="0" w:firstLineChars="0"/>
        <w:rPr>
          <w:color w:val="auto"/>
          <w:sz w:val="24"/>
          <w:szCs w:val="24"/>
          <w:lang w:eastAsia="zh-CN"/>
        </w:rPr>
      </w:pPr>
      <w:bookmarkStart w:id="168" w:name="bookmark914"/>
      <w:bookmarkStart w:id="169" w:name="bookmark913"/>
      <w:bookmarkStart w:id="170" w:name="bookmark912"/>
      <w:bookmarkStart w:id="171" w:name="_Toc17089"/>
      <w:r>
        <w:rPr>
          <w:color w:val="auto"/>
          <w:sz w:val="24"/>
          <w:szCs w:val="24"/>
          <w:lang w:eastAsia="zh-CN"/>
        </w:rPr>
        <w:t>1.4合同文件的优先顺序</w:t>
      </w:r>
      <w:bookmarkEnd w:id="168"/>
      <w:bookmarkEnd w:id="169"/>
      <w:bookmarkEnd w:id="170"/>
      <w:bookmarkEnd w:id="171"/>
    </w:p>
    <w:p>
      <w:pPr>
        <w:pStyle w:val="45"/>
        <w:spacing w:after="140" w:line="360" w:lineRule="exact"/>
        <w:ind w:firstLine="440"/>
        <w:jc w:val="both"/>
        <w:rPr>
          <w:color w:val="auto"/>
          <w:sz w:val="24"/>
          <w:szCs w:val="24"/>
        </w:rPr>
      </w:pPr>
      <w:r>
        <w:rPr>
          <w:color w:val="auto"/>
          <w:sz w:val="24"/>
          <w:szCs w:val="24"/>
        </w:rPr>
        <w:t>组成合同的各项文件应互相解释，互为说明。除专用合同条款另有约定外，解释合同文件的优先顺序如下：</w:t>
      </w:r>
    </w:p>
    <w:p>
      <w:pPr>
        <w:pStyle w:val="45"/>
        <w:numPr>
          <w:ilvl w:val="0"/>
          <w:numId w:val="5"/>
        </w:numPr>
        <w:tabs>
          <w:tab w:val="left" w:pos="923"/>
        </w:tabs>
        <w:spacing w:line="360" w:lineRule="exact"/>
        <w:ind w:firstLine="440"/>
        <w:jc w:val="both"/>
        <w:rPr>
          <w:color w:val="auto"/>
          <w:sz w:val="24"/>
          <w:szCs w:val="24"/>
        </w:rPr>
      </w:pPr>
      <w:bookmarkStart w:id="172" w:name="bookmark915"/>
      <w:bookmarkEnd w:id="172"/>
      <w:r>
        <w:rPr>
          <w:color w:val="auto"/>
          <w:sz w:val="24"/>
          <w:szCs w:val="24"/>
        </w:rPr>
        <w:t>合同协议书；</w:t>
      </w:r>
    </w:p>
    <w:p>
      <w:pPr>
        <w:pStyle w:val="45"/>
        <w:numPr>
          <w:ilvl w:val="0"/>
          <w:numId w:val="5"/>
        </w:numPr>
        <w:tabs>
          <w:tab w:val="left" w:pos="923"/>
        </w:tabs>
        <w:spacing w:line="360" w:lineRule="exact"/>
        <w:ind w:firstLine="440"/>
        <w:jc w:val="both"/>
        <w:rPr>
          <w:color w:val="auto"/>
          <w:sz w:val="24"/>
          <w:szCs w:val="24"/>
        </w:rPr>
      </w:pPr>
      <w:bookmarkStart w:id="173" w:name="bookmark916"/>
      <w:bookmarkEnd w:id="173"/>
      <w:r>
        <w:rPr>
          <w:color w:val="auto"/>
          <w:sz w:val="24"/>
          <w:szCs w:val="24"/>
        </w:rPr>
        <w:t>中标通知书；</w:t>
      </w:r>
    </w:p>
    <w:p>
      <w:pPr>
        <w:pStyle w:val="45"/>
        <w:numPr>
          <w:ilvl w:val="0"/>
          <w:numId w:val="5"/>
        </w:numPr>
        <w:tabs>
          <w:tab w:val="left" w:pos="903"/>
        </w:tabs>
        <w:spacing w:line="360" w:lineRule="exact"/>
        <w:ind w:firstLine="420"/>
        <w:rPr>
          <w:color w:val="auto"/>
          <w:sz w:val="24"/>
          <w:szCs w:val="24"/>
        </w:rPr>
      </w:pPr>
      <w:bookmarkStart w:id="174" w:name="bookmark917"/>
      <w:bookmarkEnd w:id="174"/>
      <w:r>
        <w:rPr>
          <w:color w:val="auto"/>
          <w:sz w:val="24"/>
          <w:szCs w:val="24"/>
        </w:rPr>
        <w:t>投标函及投标函附录；</w:t>
      </w:r>
    </w:p>
    <w:p>
      <w:pPr>
        <w:pStyle w:val="45"/>
        <w:numPr>
          <w:ilvl w:val="0"/>
          <w:numId w:val="5"/>
        </w:numPr>
        <w:tabs>
          <w:tab w:val="left" w:pos="903"/>
        </w:tabs>
        <w:spacing w:line="360" w:lineRule="exact"/>
        <w:ind w:firstLine="420"/>
        <w:rPr>
          <w:color w:val="auto"/>
          <w:sz w:val="24"/>
          <w:szCs w:val="24"/>
        </w:rPr>
      </w:pPr>
      <w:bookmarkStart w:id="175" w:name="bookmark918"/>
      <w:bookmarkEnd w:id="175"/>
      <w:r>
        <w:rPr>
          <w:color w:val="auto"/>
          <w:sz w:val="24"/>
          <w:szCs w:val="24"/>
        </w:rPr>
        <w:t>专用合同条款；</w:t>
      </w:r>
    </w:p>
    <w:p>
      <w:pPr>
        <w:pStyle w:val="45"/>
        <w:numPr>
          <w:ilvl w:val="0"/>
          <w:numId w:val="5"/>
        </w:numPr>
        <w:tabs>
          <w:tab w:val="left" w:pos="903"/>
        </w:tabs>
        <w:spacing w:line="360" w:lineRule="exact"/>
        <w:ind w:firstLine="420"/>
        <w:rPr>
          <w:color w:val="auto"/>
          <w:sz w:val="24"/>
          <w:szCs w:val="24"/>
        </w:rPr>
      </w:pPr>
      <w:bookmarkStart w:id="176" w:name="bookmark919"/>
      <w:bookmarkEnd w:id="176"/>
      <w:r>
        <w:rPr>
          <w:color w:val="auto"/>
          <w:sz w:val="24"/>
          <w:szCs w:val="24"/>
        </w:rPr>
        <w:t>通用合同条款；</w:t>
      </w:r>
    </w:p>
    <w:p>
      <w:pPr>
        <w:pStyle w:val="45"/>
        <w:numPr>
          <w:ilvl w:val="0"/>
          <w:numId w:val="5"/>
        </w:numPr>
        <w:tabs>
          <w:tab w:val="left" w:pos="903"/>
        </w:tabs>
        <w:spacing w:line="360" w:lineRule="exact"/>
        <w:ind w:firstLine="420"/>
        <w:rPr>
          <w:color w:val="auto"/>
          <w:sz w:val="24"/>
          <w:szCs w:val="24"/>
        </w:rPr>
      </w:pPr>
      <w:bookmarkStart w:id="177" w:name="bookmark920"/>
      <w:bookmarkEnd w:id="177"/>
      <w:r>
        <w:rPr>
          <w:color w:val="auto"/>
          <w:sz w:val="24"/>
          <w:szCs w:val="24"/>
        </w:rPr>
        <w:t>技术标准和要求；</w:t>
      </w:r>
    </w:p>
    <w:p>
      <w:pPr>
        <w:pStyle w:val="45"/>
        <w:numPr>
          <w:ilvl w:val="0"/>
          <w:numId w:val="5"/>
        </w:numPr>
        <w:tabs>
          <w:tab w:val="left" w:pos="903"/>
        </w:tabs>
        <w:spacing w:line="360" w:lineRule="exact"/>
        <w:ind w:firstLine="420"/>
        <w:jc w:val="both"/>
        <w:rPr>
          <w:color w:val="auto"/>
          <w:sz w:val="24"/>
          <w:szCs w:val="24"/>
        </w:rPr>
      </w:pPr>
      <w:bookmarkStart w:id="178" w:name="bookmark921"/>
      <w:bookmarkEnd w:id="178"/>
      <w:r>
        <w:rPr>
          <w:color w:val="auto"/>
          <w:sz w:val="24"/>
          <w:szCs w:val="24"/>
        </w:rPr>
        <w:t>图纸；</w:t>
      </w:r>
    </w:p>
    <w:p>
      <w:pPr>
        <w:pStyle w:val="45"/>
        <w:numPr>
          <w:ilvl w:val="0"/>
          <w:numId w:val="5"/>
        </w:numPr>
        <w:tabs>
          <w:tab w:val="left" w:pos="903"/>
        </w:tabs>
        <w:spacing w:line="360" w:lineRule="exact"/>
        <w:ind w:firstLine="420"/>
        <w:jc w:val="both"/>
        <w:rPr>
          <w:color w:val="auto"/>
          <w:sz w:val="24"/>
          <w:szCs w:val="24"/>
        </w:rPr>
      </w:pPr>
      <w:bookmarkStart w:id="179" w:name="bookmark922"/>
      <w:bookmarkEnd w:id="179"/>
      <w:r>
        <w:rPr>
          <w:color w:val="auto"/>
          <w:sz w:val="24"/>
          <w:szCs w:val="24"/>
        </w:rPr>
        <w:t>已标价工程量清单；</w:t>
      </w:r>
    </w:p>
    <w:p>
      <w:pPr>
        <w:pStyle w:val="45"/>
        <w:numPr>
          <w:ilvl w:val="0"/>
          <w:numId w:val="5"/>
        </w:numPr>
        <w:tabs>
          <w:tab w:val="left" w:pos="903"/>
        </w:tabs>
        <w:spacing w:line="360" w:lineRule="exact"/>
        <w:ind w:firstLine="420"/>
        <w:jc w:val="both"/>
        <w:rPr>
          <w:color w:val="auto"/>
          <w:sz w:val="24"/>
          <w:szCs w:val="24"/>
        </w:rPr>
      </w:pPr>
      <w:bookmarkStart w:id="180" w:name="bookmark923"/>
      <w:bookmarkEnd w:id="180"/>
      <w:r>
        <w:rPr>
          <w:color w:val="auto"/>
          <w:sz w:val="24"/>
          <w:szCs w:val="24"/>
        </w:rPr>
        <w:t>其他合同文件。</w:t>
      </w:r>
    </w:p>
    <w:p>
      <w:pPr>
        <w:pStyle w:val="6"/>
        <w:ind w:left="0" w:leftChars="0" w:firstLine="0" w:firstLineChars="0"/>
        <w:rPr>
          <w:color w:val="auto"/>
          <w:sz w:val="24"/>
          <w:szCs w:val="24"/>
          <w:lang w:eastAsia="zh-CN"/>
        </w:rPr>
      </w:pPr>
      <w:bookmarkStart w:id="181" w:name="_Toc30693"/>
      <w:bookmarkStart w:id="182" w:name="bookmark926"/>
      <w:bookmarkStart w:id="183" w:name="bookmark924"/>
      <w:bookmarkStart w:id="184" w:name="bookmark925"/>
      <w:r>
        <w:rPr>
          <w:color w:val="auto"/>
          <w:sz w:val="24"/>
          <w:szCs w:val="24"/>
          <w:lang w:eastAsia="zh-CN"/>
        </w:rPr>
        <w:t>1.5合同协议书</w:t>
      </w:r>
      <w:bookmarkEnd w:id="181"/>
      <w:bookmarkEnd w:id="182"/>
      <w:bookmarkEnd w:id="183"/>
      <w:bookmarkEnd w:id="184"/>
    </w:p>
    <w:p>
      <w:pPr>
        <w:pStyle w:val="45"/>
        <w:spacing w:after="140" w:line="355" w:lineRule="exact"/>
        <w:ind w:firstLine="440"/>
        <w:jc w:val="both"/>
        <w:rPr>
          <w:color w:val="auto"/>
          <w:sz w:val="24"/>
          <w:szCs w:val="24"/>
        </w:rPr>
      </w:pPr>
      <w:r>
        <w:rPr>
          <w:color w:val="auto"/>
          <w:sz w:val="24"/>
          <w:szCs w:val="24"/>
        </w:rPr>
        <w:t>承包人按中标通知书规定的时间与发包人签订合同协议书。除法律另有规定或合同另有约定外，发包人和承包人的法定代表人或其委托代理人在合同协议书上签字并盖单位电子公章后，合同生效。</w:t>
      </w:r>
    </w:p>
    <w:p>
      <w:pPr>
        <w:pStyle w:val="6"/>
        <w:ind w:left="0" w:leftChars="0" w:firstLine="0" w:firstLineChars="0"/>
        <w:rPr>
          <w:color w:val="auto"/>
          <w:sz w:val="24"/>
          <w:szCs w:val="24"/>
          <w:lang w:eastAsia="zh-CN"/>
        </w:rPr>
      </w:pPr>
      <w:bookmarkStart w:id="185" w:name="_Toc10434"/>
      <w:bookmarkStart w:id="186" w:name="bookmark927"/>
      <w:bookmarkStart w:id="187" w:name="bookmark928"/>
      <w:bookmarkStart w:id="188" w:name="bookmark929"/>
      <w:r>
        <w:rPr>
          <w:color w:val="auto"/>
          <w:sz w:val="24"/>
          <w:szCs w:val="24"/>
          <w:lang w:eastAsia="zh-CN"/>
        </w:rPr>
        <w:t>1.6图纸和承包人文件</w:t>
      </w:r>
      <w:bookmarkEnd w:id="185"/>
      <w:bookmarkEnd w:id="186"/>
      <w:bookmarkEnd w:id="187"/>
      <w:bookmarkEnd w:id="188"/>
    </w:p>
    <w:p>
      <w:pPr>
        <w:pStyle w:val="45"/>
        <w:spacing w:line="360" w:lineRule="exact"/>
        <w:ind w:firstLine="420"/>
        <w:rPr>
          <w:color w:val="auto"/>
          <w:sz w:val="24"/>
          <w:szCs w:val="24"/>
        </w:rPr>
      </w:pPr>
      <w:r>
        <w:rPr>
          <w:rFonts w:ascii="Times New Roman" w:hAnsi="Times New Roman" w:eastAsia="Times New Roman" w:cs="Times New Roman"/>
          <w:color w:val="auto"/>
          <w:sz w:val="24"/>
          <w:szCs w:val="24"/>
          <w:lang w:val="en-US" w:bidi="en-US"/>
        </w:rPr>
        <w:t>1.6.1</w:t>
      </w:r>
      <w:r>
        <w:rPr>
          <w:color w:val="auto"/>
          <w:sz w:val="24"/>
          <w:szCs w:val="24"/>
        </w:rPr>
        <w:t>图纸的提供</w:t>
      </w:r>
    </w:p>
    <w:p>
      <w:pPr>
        <w:pStyle w:val="45"/>
        <w:spacing w:after="120" w:line="360" w:lineRule="exact"/>
        <w:ind w:firstLine="420"/>
        <w:jc w:val="both"/>
        <w:rPr>
          <w:rFonts w:ascii="Times New Roman" w:hAnsi="Times New Roman" w:cs="Times New Roman"/>
          <w:color w:val="auto"/>
          <w:sz w:val="24"/>
          <w:szCs w:val="24"/>
        </w:rPr>
      </w:pPr>
      <w:r>
        <w:rPr>
          <w:color w:val="auto"/>
          <w:sz w:val="24"/>
          <w:szCs w:val="24"/>
        </w:rPr>
        <w:t>发包人应按技术标准和要求(合同技术条款)约定的期限和数量将施工图纸以及其它图纸（包括配套说明和有关资料）提供给承包人。由于发包人未按时提供图纸造成工期延误的，按</w:t>
      </w:r>
      <w:r>
        <w:rPr>
          <w:rFonts w:ascii="Times New Roman" w:hAnsi="Times New Roman" w:cs="Times New Roman"/>
          <w:color w:val="auto"/>
          <w:sz w:val="24"/>
          <w:szCs w:val="24"/>
        </w:rPr>
        <w:t>第</w:t>
      </w:r>
      <w:r>
        <w:rPr>
          <w:rFonts w:ascii="Times New Roman" w:hAnsi="Times New Roman" w:eastAsia="Times New Roman" w:cs="Times New Roman"/>
          <w:color w:val="auto"/>
          <w:sz w:val="24"/>
          <w:szCs w:val="24"/>
          <w:lang w:val="en-US" w:bidi="en-US"/>
        </w:rPr>
        <w:t xml:space="preserve">11. </w:t>
      </w:r>
      <w:r>
        <w:rPr>
          <w:rFonts w:ascii="Times New Roman" w:hAnsi="Times New Roman" w:eastAsia="Times New Roman" w:cs="Times New Roman"/>
          <w:color w:val="auto"/>
          <w:sz w:val="24"/>
          <w:szCs w:val="24"/>
        </w:rPr>
        <w:t>3</w:t>
      </w:r>
      <w:r>
        <w:rPr>
          <w:rFonts w:ascii="Times New Roman" w:hAnsi="Times New Roman" w:cs="Times New Roman"/>
          <w:color w:val="auto"/>
          <w:sz w:val="24"/>
          <w:szCs w:val="24"/>
        </w:rPr>
        <w:t>款的约定办理。</w:t>
      </w:r>
    </w:p>
    <w:p>
      <w:pPr>
        <w:pStyle w:val="45"/>
        <w:spacing w:line="36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lang w:val="en-US"/>
        </w:rPr>
        <w:t>1.6.</w:t>
      </w:r>
      <w:r>
        <w:rPr>
          <w:rFonts w:ascii="Times New Roman" w:hAnsi="Times New Roman" w:cs="Times New Roman"/>
          <w:color w:val="auto"/>
          <w:sz w:val="24"/>
          <w:szCs w:val="24"/>
        </w:rPr>
        <w:t>2承包人提供的文件</w:t>
      </w:r>
    </w:p>
    <w:p>
      <w:pPr>
        <w:pStyle w:val="45"/>
        <w:spacing w:after="120" w:line="360"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rPr>
        <w:t>承包人提供的文件应按技术标准和要求（合同技术条款）约定的期限和数量提供给监理人。监理人应按技术标准和要求（合同技术条款）约定的期限批复承包人。</w:t>
      </w:r>
    </w:p>
    <w:p>
      <w:pPr>
        <w:pStyle w:val="45"/>
        <w:spacing w:line="36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lang w:val="en-US"/>
        </w:rPr>
        <w:t>1.6.3</w:t>
      </w:r>
      <w:r>
        <w:rPr>
          <w:rFonts w:ascii="Times New Roman" w:hAnsi="Times New Roman" w:cs="Times New Roman"/>
          <w:color w:val="auto"/>
          <w:sz w:val="24"/>
          <w:szCs w:val="24"/>
        </w:rPr>
        <w:t>图纸的修改</w:t>
      </w:r>
    </w:p>
    <w:p>
      <w:pPr>
        <w:pStyle w:val="45"/>
        <w:spacing w:after="120" w:line="360"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rPr>
        <w:t>设计人需要对已发给承包人的施工图纸进行修改时，监理人应在技术标准和要求（合同技术条款）约定的期限内签发施工图纸的修改图给承包人。承包人应按技术标准和要求（合同技术条款）的约定编制一份承包人实施计划提交监理人批准后执行。</w:t>
      </w:r>
    </w:p>
    <w:p>
      <w:pPr>
        <w:pStyle w:val="45"/>
        <w:spacing w:line="36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lang w:val="en-US"/>
        </w:rPr>
        <w:t>1.6.4</w:t>
      </w:r>
      <w:r>
        <w:rPr>
          <w:rFonts w:ascii="Times New Roman" w:hAnsi="Times New Roman" w:cs="Times New Roman"/>
          <w:color w:val="auto"/>
          <w:sz w:val="24"/>
          <w:szCs w:val="24"/>
        </w:rPr>
        <w:t>图纸的错误</w:t>
      </w:r>
    </w:p>
    <w:p>
      <w:pPr>
        <w:pStyle w:val="45"/>
        <w:spacing w:after="120" w:line="360"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rPr>
        <w:t>承包人发现发包人提供的图纸存在明显错误或疏忽，应及时通知监理人。</w:t>
      </w:r>
    </w:p>
    <w:p>
      <w:pPr>
        <w:pStyle w:val="45"/>
        <w:spacing w:line="360" w:lineRule="exact"/>
        <w:ind w:firstLine="420"/>
        <w:rPr>
          <w:color w:val="auto"/>
          <w:sz w:val="24"/>
          <w:szCs w:val="24"/>
        </w:rPr>
      </w:pPr>
      <w:r>
        <w:rPr>
          <w:rFonts w:ascii="Times New Roman" w:hAnsi="Times New Roman" w:cs="Times New Roman"/>
          <w:color w:val="auto"/>
          <w:sz w:val="24"/>
          <w:szCs w:val="24"/>
          <w:lang w:val="en-US"/>
        </w:rPr>
        <w:t>1.6.5</w:t>
      </w:r>
      <w:r>
        <w:rPr>
          <w:rFonts w:ascii="Times New Roman" w:hAnsi="Times New Roman" w:cs="Times New Roman"/>
          <w:color w:val="auto"/>
          <w:sz w:val="24"/>
          <w:szCs w:val="24"/>
        </w:rPr>
        <w:t>图纸和承包人文件的保管</w:t>
      </w:r>
    </w:p>
    <w:p>
      <w:pPr>
        <w:pStyle w:val="45"/>
        <w:spacing w:after="180" w:line="360" w:lineRule="exact"/>
        <w:ind w:firstLine="440"/>
        <w:jc w:val="both"/>
        <w:rPr>
          <w:color w:val="auto"/>
          <w:sz w:val="24"/>
          <w:szCs w:val="24"/>
        </w:rPr>
      </w:pPr>
      <w:r>
        <w:rPr>
          <w:color w:val="auto"/>
          <w:sz w:val="24"/>
          <w:szCs w:val="24"/>
        </w:rPr>
        <w:t>监理人和承包人均应在施工场地各保存一套完整的包含第</w:t>
      </w:r>
      <w:r>
        <w:rPr>
          <w:rFonts w:ascii="Times New Roman" w:hAnsi="Times New Roman" w:eastAsia="Times New Roman" w:cs="Times New Roman"/>
          <w:color w:val="auto"/>
          <w:sz w:val="24"/>
          <w:szCs w:val="24"/>
          <w:lang w:val="en-US" w:bidi="en-US"/>
        </w:rPr>
        <w:t xml:space="preserve">1. 6. </w:t>
      </w:r>
      <w:r>
        <w:rPr>
          <w:rFonts w:ascii="Times New Roman" w:hAnsi="Times New Roman" w:eastAsia="Times New Roman" w:cs="Times New Roman"/>
          <w:color w:val="auto"/>
          <w:sz w:val="24"/>
          <w:szCs w:val="24"/>
        </w:rPr>
        <w:t>1</w:t>
      </w:r>
      <w:r>
        <w:rPr>
          <w:color w:val="auto"/>
          <w:sz w:val="24"/>
          <w:szCs w:val="24"/>
        </w:rPr>
        <w:t>项、第</w:t>
      </w:r>
      <w:r>
        <w:rPr>
          <w:rFonts w:ascii="Times New Roman" w:hAnsi="Times New Roman" w:eastAsia="Times New Roman" w:cs="Times New Roman"/>
          <w:color w:val="auto"/>
          <w:sz w:val="24"/>
          <w:szCs w:val="24"/>
          <w:lang w:val="en-US" w:bidi="en-US"/>
        </w:rPr>
        <w:t>1.6.2</w:t>
      </w:r>
      <w:r>
        <w:rPr>
          <w:color w:val="auto"/>
          <w:sz w:val="24"/>
          <w:szCs w:val="24"/>
        </w:rPr>
        <w:t xml:space="preserve">项、第 </w:t>
      </w:r>
      <w:r>
        <w:rPr>
          <w:rFonts w:ascii="Times New Roman" w:hAnsi="Times New Roman" w:eastAsia="Times New Roman" w:cs="Times New Roman"/>
          <w:color w:val="auto"/>
          <w:sz w:val="24"/>
          <w:szCs w:val="24"/>
          <w:lang w:val="en-US" w:bidi="en-US"/>
        </w:rPr>
        <w:t xml:space="preserve">1.6. </w:t>
      </w:r>
      <w:r>
        <w:rPr>
          <w:rFonts w:ascii="Times New Roman" w:hAnsi="Times New Roman" w:eastAsia="Times New Roman" w:cs="Times New Roman"/>
          <w:color w:val="auto"/>
          <w:sz w:val="24"/>
          <w:szCs w:val="24"/>
        </w:rPr>
        <w:t>3</w:t>
      </w:r>
      <w:r>
        <w:rPr>
          <w:color w:val="auto"/>
          <w:sz w:val="24"/>
          <w:szCs w:val="24"/>
        </w:rPr>
        <w:t>项约定内容的图纸和承包人文件。</w:t>
      </w:r>
    </w:p>
    <w:p>
      <w:pPr>
        <w:pStyle w:val="6"/>
        <w:ind w:left="0" w:leftChars="0" w:firstLine="0" w:firstLineChars="0"/>
        <w:rPr>
          <w:color w:val="auto"/>
          <w:sz w:val="24"/>
          <w:szCs w:val="24"/>
          <w:lang w:eastAsia="zh-CN"/>
        </w:rPr>
      </w:pPr>
      <w:bookmarkStart w:id="189" w:name="bookmark931"/>
      <w:bookmarkStart w:id="190" w:name="bookmark930"/>
      <w:bookmarkStart w:id="191" w:name="_Toc18431"/>
      <w:bookmarkStart w:id="192" w:name="bookmark932"/>
      <w:r>
        <w:rPr>
          <w:color w:val="auto"/>
          <w:sz w:val="24"/>
          <w:szCs w:val="24"/>
          <w:lang w:eastAsia="zh-CN"/>
        </w:rPr>
        <w:t>1.7联络</w:t>
      </w:r>
      <w:bookmarkEnd w:id="189"/>
      <w:bookmarkEnd w:id="190"/>
      <w:bookmarkEnd w:id="191"/>
      <w:bookmarkEnd w:id="192"/>
    </w:p>
    <w:p>
      <w:pPr>
        <w:pStyle w:val="45"/>
        <w:spacing w:line="386"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1.7.1</w:t>
      </w:r>
      <w:r>
        <w:rPr>
          <w:rFonts w:ascii="Times New Roman" w:hAnsi="Times New Roman" w:cs="Times New Roman"/>
          <w:color w:val="auto"/>
          <w:sz w:val="24"/>
          <w:szCs w:val="24"/>
        </w:rPr>
        <w:t>与合同有关的通知、批准、证明、证书、指示、要求、请求、同意、意见、确 定和决定等，均应采用书面形式。</w:t>
      </w:r>
    </w:p>
    <w:p>
      <w:pPr>
        <w:pStyle w:val="45"/>
        <w:spacing w:line="370"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1.7.2</w:t>
      </w:r>
      <w:r>
        <w:rPr>
          <w:rFonts w:ascii="Times New Roman" w:hAnsi="Times New Roman" w:cs="Times New Roman"/>
          <w:color w:val="auto"/>
          <w:sz w:val="24"/>
          <w:szCs w:val="24"/>
        </w:rPr>
        <w:t>第</w:t>
      </w:r>
      <w:r>
        <w:rPr>
          <w:rFonts w:ascii="Times New Roman" w:hAnsi="Times New Roman" w:eastAsia="Times New Roman" w:cs="Times New Roman"/>
          <w:color w:val="auto"/>
          <w:sz w:val="24"/>
          <w:szCs w:val="24"/>
          <w:lang w:val="en-US" w:bidi="en-US"/>
        </w:rPr>
        <w:t>1.7.1</w:t>
      </w:r>
      <w:r>
        <w:rPr>
          <w:rFonts w:ascii="Times New Roman" w:hAnsi="Times New Roman" w:cs="Times New Roman"/>
          <w:color w:val="auto"/>
          <w:sz w:val="24"/>
          <w:szCs w:val="24"/>
        </w:rPr>
        <w:t>项中的通知、批准、证明、证书、指示、要求、请求、同意、意见、 确定和决定等来往函件，均应在合同约定的期限内送达指定地点和接收人，并办理签收手续。来往函件的送达期限在技术标准和要求（合同技术条款）中约定，送达地点在专用合同条款中约定。</w:t>
      </w:r>
    </w:p>
    <w:p>
      <w:pPr>
        <w:pStyle w:val="45"/>
        <w:spacing w:after="180" w:line="367"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1.7.3</w:t>
      </w:r>
      <w:r>
        <w:rPr>
          <w:rFonts w:ascii="Times New Roman" w:hAnsi="Times New Roman" w:cs="Times New Roman"/>
          <w:color w:val="auto"/>
          <w:sz w:val="24"/>
          <w:szCs w:val="24"/>
        </w:rPr>
        <w:t>来往</w:t>
      </w:r>
      <w:r>
        <w:rPr>
          <w:color w:val="auto"/>
          <w:sz w:val="24"/>
          <w:szCs w:val="24"/>
        </w:rPr>
        <w:t>函件均应按合同约定的期限及时发出和答复，不得无故扣压和拖延，亦不得拒收。否则，由此造成的后果由责任方负责。</w:t>
      </w:r>
    </w:p>
    <w:p>
      <w:pPr>
        <w:pStyle w:val="6"/>
        <w:ind w:left="0" w:leftChars="0" w:firstLine="0" w:firstLineChars="0"/>
        <w:rPr>
          <w:color w:val="auto"/>
          <w:sz w:val="24"/>
          <w:szCs w:val="24"/>
          <w:lang w:eastAsia="zh-CN"/>
        </w:rPr>
      </w:pPr>
      <w:bookmarkStart w:id="193" w:name="bookmark935"/>
      <w:bookmarkStart w:id="194" w:name="bookmark934"/>
      <w:bookmarkStart w:id="195" w:name="_Toc11450"/>
      <w:bookmarkStart w:id="196" w:name="bookmark933"/>
      <w:r>
        <w:rPr>
          <w:color w:val="auto"/>
          <w:sz w:val="24"/>
          <w:szCs w:val="24"/>
          <w:lang w:eastAsia="zh-CN"/>
        </w:rPr>
        <w:t>1.8转让</w:t>
      </w:r>
      <w:bookmarkEnd w:id="193"/>
      <w:bookmarkEnd w:id="194"/>
      <w:bookmarkEnd w:id="195"/>
      <w:bookmarkEnd w:id="196"/>
    </w:p>
    <w:p>
      <w:pPr>
        <w:pStyle w:val="45"/>
        <w:spacing w:after="180" w:line="358" w:lineRule="exact"/>
        <w:ind w:firstLine="440"/>
        <w:jc w:val="both"/>
        <w:rPr>
          <w:color w:val="auto"/>
          <w:sz w:val="24"/>
          <w:szCs w:val="24"/>
        </w:rPr>
      </w:pPr>
      <w:r>
        <w:rPr>
          <w:color w:val="auto"/>
          <w:sz w:val="24"/>
          <w:szCs w:val="24"/>
        </w:rPr>
        <w:t>除合同另有约定外，未经对方当事人同意，一方当事人不得将合同权利全部或部分转让给第三人，也不得全部或部分转移合同义务。</w:t>
      </w:r>
    </w:p>
    <w:p>
      <w:pPr>
        <w:pStyle w:val="6"/>
        <w:ind w:left="0" w:leftChars="0" w:firstLine="0" w:firstLineChars="0"/>
        <w:rPr>
          <w:color w:val="auto"/>
          <w:sz w:val="24"/>
          <w:szCs w:val="24"/>
          <w:lang w:eastAsia="zh-CN"/>
        </w:rPr>
      </w:pPr>
      <w:bookmarkStart w:id="197" w:name="bookmark936"/>
      <w:bookmarkStart w:id="198" w:name="bookmark937"/>
      <w:bookmarkStart w:id="199" w:name="_Toc28520"/>
      <w:bookmarkStart w:id="200" w:name="bookmark938"/>
      <w:r>
        <w:rPr>
          <w:color w:val="auto"/>
          <w:sz w:val="24"/>
          <w:szCs w:val="24"/>
          <w:lang w:eastAsia="zh-CN"/>
        </w:rPr>
        <w:t>1.9严禁贿赂</w:t>
      </w:r>
      <w:bookmarkEnd w:id="197"/>
      <w:bookmarkEnd w:id="198"/>
      <w:bookmarkEnd w:id="199"/>
      <w:bookmarkEnd w:id="200"/>
    </w:p>
    <w:p>
      <w:pPr>
        <w:pStyle w:val="45"/>
        <w:spacing w:after="180" w:line="367" w:lineRule="exact"/>
        <w:ind w:firstLine="440"/>
        <w:jc w:val="both"/>
        <w:rPr>
          <w:color w:val="auto"/>
          <w:sz w:val="24"/>
          <w:szCs w:val="24"/>
        </w:rPr>
      </w:pPr>
      <w:r>
        <w:rPr>
          <w:color w:val="auto"/>
          <w:sz w:val="24"/>
          <w:szCs w:val="24"/>
        </w:rPr>
        <w:t>合同双方当事人不得以贿赂或变相贿赂的方式，谋取不当利益或损害对方权益。因贿赂造成对方损失的，行为人应赔偿损失，并承担相应的法律责任。</w:t>
      </w:r>
    </w:p>
    <w:p>
      <w:pPr>
        <w:pStyle w:val="6"/>
        <w:ind w:left="0" w:leftChars="0" w:firstLine="0" w:firstLineChars="0"/>
        <w:rPr>
          <w:color w:val="auto"/>
          <w:sz w:val="24"/>
          <w:szCs w:val="24"/>
          <w:lang w:eastAsia="zh-CN"/>
        </w:rPr>
      </w:pPr>
      <w:bookmarkStart w:id="201" w:name="bookmark939"/>
      <w:bookmarkStart w:id="202" w:name="bookmark941"/>
      <w:bookmarkStart w:id="203" w:name="bookmark940"/>
      <w:bookmarkStart w:id="204" w:name="_Toc27697"/>
      <w:r>
        <w:rPr>
          <w:color w:val="auto"/>
          <w:sz w:val="24"/>
          <w:szCs w:val="24"/>
          <w:lang w:eastAsia="zh-CN"/>
        </w:rPr>
        <w:t>1.10化石、文物</w:t>
      </w:r>
      <w:bookmarkEnd w:id="201"/>
      <w:bookmarkEnd w:id="202"/>
      <w:bookmarkEnd w:id="203"/>
      <w:bookmarkEnd w:id="204"/>
    </w:p>
    <w:p>
      <w:pPr>
        <w:pStyle w:val="45"/>
        <w:spacing w:line="36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 xml:space="preserve">1.10. </w:t>
      </w:r>
      <w:r>
        <w:rPr>
          <w:rFonts w:ascii="Times New Roman" w:hAnsi="Times New Roman" w:eastAsia="Times New Roman" w:cs="Times New Roman"/>
          <w:color w:val="auto"/>
          <w:sz w:val="24"/>
          <w:szCs w:val="24"/>
        </w:rPr>
        <w:t>1</w:t>
      </w:r>
      <w:r>
        <w:rPr>
          <w:color w:val="auto"/>
          <w:sz w:val="24"/>
          <w:szCs w:val="24"/>
        </w:rPr>
        <w:t>在施工场地发掘的所有文物、古迹以及具有地质研究或考古价值的其他遗迹、 化石、钱币或物品属于国家所有。一旦发现上述文物，承包人应采取有效合理的保护措施, 防止任何人员移动或损坏上述物品，并立即报告当地文物行政部门，同时通知监理人。发包人、监理人和承包人应按文物行政部门要求采取妥善保护措施，由此导致费用增加和（或）工期延误由发包人承担。</w:t>
      </w:r>
    </w:p>
    <w:p>
      <w:pPr>
        <w:pStyle w:val="45"/>
        <w:spacing w:after="120" w:line="36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1.10.</w:t>
      </w:r>
      <w:r>
        <w:rPr>
          <w:rFonts w:ascii="Times New Roman" w:hAnsi="Times New Roman" w:eastAsia="Times New Roman" w:cs="Times New Roman"/>
          <w:color w:val="auto"/>
          <w:sz w:val="24"/>
          <w:szCs w:val="24"/>
        </w:rPr>
        <w:t>2</w:t>
      </w:r>
      <w:r>
        <w:rPr>
          <w:color w:val="auto"/>
          <w:sz w:val="24"/>
          <w:szCs w:val="24"/>
        </w:rPr>
        <w:t>承包人发现文物后不及时报告或隐瞒不报，致使文物丢失或损坏的，应赔偿损失，并承担相应的法律责任。</w:t>
      </w:r>
    </w:p>
    <w:p>
      <w:pPr>
        <w:pStyle w:val="6"/>
        <w:ind w:left="0" w:leftChars="0" w:firstLine="0" w:firstLineChars="0"/>
        <w:rPr>
          <w:color w:val="auto"/>
          <w:sz w:val="24"/>
          <w:szCs w:val="24"/>
          <w:lang w:eastAsia="zh-CN"/>
        </w:rPr>
      </w:pPr>
      <w:bookmarkStart w:id="205" w:name="_Toc8461"/>
      <w:bookmarkStart w:id="206" w:name="bookmark943"/>
      <w:bookmarkStart w:id="207" w:name="bookmark942"/>
      <w:bookmarkStart w:id="208" w:name="bookmark944"/>
      <w:r>
        <w:rPr>
          <w:color w:val="auto"/>
          <w:sz w:val="24"/>
          <w:szCs w:val="24"/>
          <w:lang w:eastAsia="zh-CN"/>
        </w:rPr>
        <w:t>1.11专利技术</w:t>
      </w:r>
      <w:bookmarkEnd w:id="205"/>
      <w:bookmarkEnd w:id="206"/>
      <w:bookmarkEnd w:id="207"/>
      <w:bookmarkEnd w:id="208"/>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1.11.1</w:t>
      </w:r>
      <w:r>
        <w:rPr>
          <w:color w:val="auto"/>
          <w:sz w:val="24"/>
          <w:szCs w:val="24"/>
        </w:rPr>
        <w:t>承包人在使用任何材料、承包人设备、工程设备或采用施工工艺时，因侵犯专利权或其他知识产权所引起的责任，由承包人承担，但由于遵照发包人提供的设计或技术标准和要求引起的除外。</w:t>
      </w:r>
    </w:p>
    <w:p>
      <w:pPr>
        <w:pStyle w:val="45"/>
        <w:spacing w:line="360" w:lineRule="exact"/>
        <w:ind w:firstLine="420"/>
        <w:rPr>
          <w:color w:val="auto"/>
          <w:sz w:val="24"/>
          <w:szCs w:val="24"/>
        </w:rPr>
      </w:pPr>
      <w:r>
        <w:rPr>
          <w:rFonts w:ascii="Times New Roman" w:hAnsi="Times New Roman" w:eastAsia="Times New Roman" w:cs="Times New Roman"/>
          <w:color w:val="auto"/>
          <w:sz w:val="24"/>
          <w:szCs w:val="24"/>
          <w:lang w:val="en-US" w:bidi="en-US"/>
        </w:rPr>
        <w:t>1.11.2</w:t>
      </w:r>
      <w:r>
        <w:rPr>
          <w:color w:val="auto"/>
          <w:sz w:val="24"/>
          <w:szCs w:val="24"/>
        </w:rPr>
        <w:t>承包人在投标文件中采用专利技术的，专利技术的使用费包含在投标报价内。</w:t>
      </w:r>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1.11.3</w:t>
      </w:r>
      <w:r>
        <w:rPr>
          <w:color w:val="auto"/>
          <w:sz w:val="24"/>
          <w:szCs w:val="24"/>
        </w:rPr>
        <w:t>承包人的技术秘密和声明需要保密的资料和信息，发包人和监理人不得为合同以外的目的泄露给他人。</w:t>
      </w:r>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1.11.4</w:t>
      </w:r>
      <w:r>
        <w:rPr>
          <w:color w:val="auto"/>
          <w:sz w:val="24"/>
          <w:szCs w:val="24"/>
        </w:rPr>
        <w:t>合同实施过程中，发包人要求承包人采用专利技术的，发包人应办理相应的使用手续，承包人应按发包人约定的条件使用，并承担使用专利技术的相关试验工作。所需的费用由发包人承担。</w:t>
      </w:r>
    </w:p>
    <w:p>
      <w:pPr>
        <w:pStyle w:val="6"/>
        <w:ind w:left="0" w:leftChars="0" w:firstLine="0" w:firstLineChars="0"/>
        <w:rPr>
          <w:color w:val="auto"/>
          <w:sz w:val="24"/>
          <w:szCs w:val="24"/>
          <w:lang w:eastAsia="zh-CN"/>
        </w:rPr>
      </w:pPr>
      <w:bookmarkStart w:id="209" w:name="bookmark946"/>
      <w:bookmarkStart w:id="210" w:name="_Toc21439"/>
      <w:bookmarkStart w:id="211" w:name="bookmark947"/>
      <w:bookmarkStart w:id="212" w:name="bookmark945"/>
      <w:r>
        <w:rPr>
          <w:color w:val="auto"/>
          <w:sz w:val="24"/>
          <w:szCs w:val="24"/>
          <w:lang w:eastAsia="zh-CN"/>
        </w:rPr>
        <w:t>1.12图纸和文件的保密</w:t>
      </w:r>
      <w:bookmarkEnd w:id="209"/>
      <w:bookmarkEnd w:id="210"/>
      <w:bookmarkEnd w:id="211"/>
      <w:bookmarkEnd w:id="212"/>
    </w:p>
    <w:p>
      <w:pPr>
        <w:pStyle w:val="45"/>
        <w:spacing w:line="37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1.12.1</w:t>
      </w:r>
      <w:r>
        <w:rPr>
          <w:color w:val="auto"/>
          <w:sz w:val="24"/>
          <w:szCs w:val="24"/>
        </w:rPr>
        <w:t>发包人提供的图纸和文件，未经</w:t>
      </w:r>
      <w:r>
        <w:rPr>
          <w:rFonts w:hint="eastAsia"/>
          <w:color w:val="auto"/>
          <w:sz w:val="24"/>
          <w:szCs w:val="24"/>
          <w:lang w:eastAsia="zh-CN"/>
        </w:rPr>
        <w:t>发包人书面同意</w:t>
      </w:r>
      <w:r>
        <w:rPr>
          <w:color w:val="auto"/>
          <w:sz w:val="24"/>
          <w:szCs w:val="24"/>
        </w:rPr>
        <w:t>，承包人不得为合同以外的目的泄露给他人或公开发表与引用。</w:t>
      </w:r>
    </w:p>
    <w:p>
      <w:pPr>
        <w:pStyle w:val="45"/>
        <w:spacing w:after="200" w:line="367"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1.12.2</w:t>
      </w:r>
      <w:r>
        <w:rPr>
          <w:color w:val="auto"/>
          <w:sz w:val="24"/>
          <w:szCs w:val="24"/>
        </w:rPr>
        <w:t>承包人提供的文件，未经承包人同意，发包人和监理人不得为合同以外的目的泄露给他人或公开发表与引用。</w:t>
      </w:r>
    </w:p>
    <w:p>
      <w:pPr>
        <w:pStyle w:val="5"/>
        <w:spacing w:line="360" w:lineRule="exact"/>
        <w:rPr>
          <w:rFonts w:hint="eastAsia"/>
          <w:color w:val="auto"/>
          <w:sz w:val="24"/>
          <w:szCs w:val="24"/>
          <w:lang w:eastAsia="zh-CN"/>
        </w:rPr>
      </w:pPr>
      <w:bookmarkStart w:id="213" w:name="bookmark950"/>
      <w:bookmarkEnd w:id="213"/>
      <w:bookmarkStart w:id="214" w:name="_Toc1247134707"/>
      <w:bookmarkStart w:id="215" w:name="bookmark951"/>
      <w:bookmarkStart w:id="216" w:name="_Toc27042"/>
      <w:bookmarkStart w:id="217" w:name="_Toc3842"/>
      <w:bookmarkStart w:id="218" w:name="bookmark949"/>
      <w:bookmarkStart w:id="219" w:name="bookmark948"/>
      <w:r>
        <w:rPr>
          <w:rFonts w:hint="eastAsia"/>
          <w:color w:val="auto"/>
          <w:sz w:val="24"/>
          <w:szCs w:val="24"/>
          <w:lang w:eastAsia="zh-CN"/>
        </w:rPr>
        <w:t>2.发包人义务</w:t>
      </w:r>
      <w:bookmarkEnd w:id="214"/>
      <w:bookmarkEnd w:id="215"/>
      <w:bookmarkEnd w:id="216"/>
      <w:bookmarkEnd w:id="217"/>
      <w:bookmarkEnd w:id="218"/>
      <w:bookmarkEnd w:id="219"/>
    </w:p>
    <w:p>
      <w:pPr>
        <w:pStyle w:val="6"/>
        <w:ind w:left="0" w:leftChars="0" w:firstLine="0" w:firstLineChars="0"/>
        <w:rPr>
          <w:color w:val="auto"/>
          <w:sz w:val="24"/>
          <w:szCs w:val="24"/>
          <w:lang w:eastAsia="zh-CN"/>
        </w:rPr>
      </w:pPr>
      <w:bookmarkStart w:id="220" w:name="bookmark954"/>
      <w:bookmarkStart w:id="221" w:name="bookmark953"/>
      <w:bookmarkStart w:id="222" w:name="bookmark952"/>
      <w:bookmarkStart w:id="223" w:name="_Toc19875"/>
      <w:r>
        <w:rPr>
          <w:color w:val="auto"/>
          <w:sz w:val="24"/>
          <w:szCs w:val="24"/>
          <w:lang w:eastAsia="zh-CN"/>
        </w:rPr>
        <w:t>2.1遵守法律</w:t>
      </w:r>
      <w:bookmarkEnd w:id="220"/>
      <w:bookmarkEnd w:id="221"/>
      <w:bookmarkEnd w:id="222"/>
      <w:bookmarkEnd w:id="223"/>
    </w:p>
    <w:p>
      <w:pPr>
        <w:pStyle w:val="45"/>
        <w:spacing w:after="240" w:line="355" w:lineRule="exact"/>
        <w:ind w:firstLine="440"/>
        <w:jc w:val="both"/>
        <w:rPr>
          <w:color w:val="auto"/>
          <w:sz w:val="24"/>
          <w:szCs w:val="24"/>
        </w:rPr>
      </w:pPr>
      <w:r>
        <w:rPr>
          <w:color w:val="auto"/>
          <w:sz w:val="24"/>
          <w:szCs w:val="24"/>
        </w:rPr>
        <w:t>发包人在履行合同过程中应遵守法律，并保证承包人免于承担因发包人违反法律而引起的任何责任。</w:t>
      </w:r>
    </w:p>
    <w:p>
      <w:pPr>
        <w:pStyle w:val="6"/>
        <w:ind w:left="0" w:leftChars="0" w:firstLine="0" w:firstLineChars="0"/>
        <w:rPr>
          <w:color w:val="auto"/>
          <w:sz w:val="24"/>
          <w:szCs w:val="24"/>
          <w:lang w:eastAsia="zh-CN"/>
        </w:rPr>
      </w:pPr>
      <w:bookmarkStart w:id="224" w:name="bookmark957"/>
      <w:bookmarkStart w:id="225" w:name="bookmark956"/>
      <w:bookmarkStart w:id="226" w:name="_Toc16693"/>
      <w:bookmarkStart w:id="227" w:name="bookmark955"/>
      <w:r>
        <w:rPr>
          <w:color w:val="auto"/>
          <w:sz w:val="24"/>
          <w:szCs w:val="24"/>
          <w:lang w:eastAsia="zh-CN"/>
        </w:rPr>
        <w:t>2.2发出开工通知</w:t>
      </w:r>
      <w:bookmarkEnd w:id="224"/>
      <w:bookmarkEnd w:id="225"/>
      <w:bookmarkEnd w:id="226"/>
      <w:bookmarkEnd w:id="227"/>
    </w:p>
    <w:p>
      <w:pPr>
        <w:pStyle w:val="45"/>
        <w:spacing w:after="240" w:line="363" w:lineRule="exact"/>
        <w:ind w:firstLine="420"/>
        <w:rPr>
          <w:color w:val="auto"/>
          <w:sz w:val="24"/>
          <w:szCs w:val="24"/>
        </w:rPr>
      </w:pPr>
      <w:r>
        <w:rPr>
          <w:color w:val="auto"/>
          <w:sz w:val="24"/>
          <w:szCs w:val="24"/>
        </w:rPr>
        <w:t>发包人应委托监理人按第</w:t>
      </w:r>
      <w:r>
        <w:rPr>
          <w:rFonts w:ascii="Times New Roman" w:hAnsi="Times New Roman" w:eastAsia="Times New Roman" w:cs="Times New Roman"/>
          <w:color w:val="auto"/>
          <w:sz w:val="24"/>
          <w:szCs w:val="24"/>
          <w:lang w:val="en-US" w:bidi="en-US"/>
        </w:rPr>
        <w:t xml:space="preserve">H. </w:t>
      </w:r>
      <w:r>
        <w:rPr>
          <w:rFonts w:ascii="Times New Roman" w:hAnsi="Times New Roman" w:eastAsia="Times New Roman" w:cs="Times New Roman"/>
          <w:color w:val="auto"/>
          <w:sz w:val="24"/>
          <w:szCs w:val="24"/>
        </w:rPr>
        <w:t>1</w:t>
      </w:r>
      <w:r>
        <w:rPr>
          <w:color w:val="auto"/>
          <w:sz w:val="24"/>
          <w:szCs w:val="24"/>
        </w:rPr>
        <w:t>款的约定向承包人发出开工通知。</w:t>
      </w:r>
    </w:p>
    <w:p>
      <w:pPr>
        <w:pStyle w:val="6"/>
        <w:ind w:left="0" w:leftChars="0" w:firstLine="0" w:firstLineChars="0"/>
        <w:rPr>
          <w:color w:val="auto"/>
          <w:sz w:val="24"/>
          <w:szCs w:val="24"/>
          <w:lang w:eastAsia="zh-CN"/>
        </w:rPr>
      </w:pPr>
      <w:bookmarkStart w:id="228" w:name="bookmark960"/>
      <w:bookmarkStart w:id="229" w:name="bookmark959"/>
      <w:bookmarkStart w:id="230" w:name="bookmark958"/>
      <w:bookmarkStart w:id="231" w:name="_Toc5643"/>
      <w:r>
        <w:rPr>
          <w:color w:val="auto"/>
          <w:sz w:val="24"/>
          <w:szCs w:val="24"/>
          <w:lang w:eastAsia="zh-CN"/>
        </w:rPr>
        <w:t>2.3提供施工场地</w:t>
      </w:r>
      <w:bookmarkEnd w:id="228"/>
      <w:bookmarkEnd w:id="229"/>
      <w:bookmarkEnd w:id="230"/>
      <w:bookmarkEnd w:id="231"/>
    </w:p>
    <w:p>
      <w:pPr>
        <w:pStyle w:val="45"/>
        <w:spacing w:line="373"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2.3.1</w:t>
      </w:r>
      <w:r>
        <w:rPr>
          <w:color w:val="auto"/>
          <w:sz w:val="24"/>
          <w:szCs w:val="24"/>
        </w:rPr>
        <w:t>发包人应在合同双方签定合同协议书后的</w:t>
      </w:r>
      <w:r>
        <w:rPr>
          <w:rFonts w:ascii="Times New Roman" w:hAnsi="Times New Roman" w:eastAsia="Times New Roman" w:cs="Times New Roman"/>
          <w:color w:val="auto"/>
          <w:sz w:val="24"/>
          <w:szCs w:val="24"/>
        </w:rPr>
        <w:t>14</w:t>
      </w:r>
      <w:r>
        <w:rPr>
          <w:color w:val="auto"/>
          <w:sz w:val="24"/>
          <w:szCs w:val="24"/>
        </w:rPr>
        <w:t>天内，将本合同工程的施工场地范围图提交给承包人。发包人提供的施工用地范围图应标明用地范围内永久占地与临时占地的范围和界限，以及指明提供给承包人用于施工场地布置的范围和界限及其有关资料。</w:t>
      </w:r>
    </w:p>
    <w:p>
      <w:pPr>
        <w:pStyle w:val="45"/>
        <w:spacing w:line="366"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2.3.2</w:t>
      </w:r>
      <w:r>
        <w:rPr>
          <w:color w:val="auto"/>
          <w:sz w:val="24"/>
          <w:szCs w:val="24"/>
        </w:rPr>
        <w:t>发包人提供的施工用地范围在专用合同条款中约定。</w:t>
      </w:r>
    </w:p>
    <w:p>
      <w:pPr>
        <w:pStyle w:val="45"/>
        <w:spacing w:after="240" w:line="366"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2.3.3</w:t>
      </w:r>
      <w:r>
        <w:rPr>
          <w:color w:val="auto"/>
          <w:sz w:val="24"/>
          <w:szCs w:val="24"/>
        </w:rPr>
        <w:t>除专用合同条款另有约定外，发包人应按技术标准和要求（合同技术条款）的约定，向承包人提供施工场地内的工程地质图纸和报告，以及地下障碍物图纸等施工场地有关资料，并保证资料的真实、准确、完整。</w:t>
      </w:r>
    </w:p>
    <w:p>
      <w:pPr>
        <w:pStyle w:val="6"/>
        <w:ind w:left="0" w:leftChars="0" w:firstLine="0" w:firstLineChars="0"/>
        <w:rPr>
          <w:color w:val="auto"/>
          <w:sz w:val="24"/>
          <w:szCs w:val="24"/>
          <w:lang w:eastAsia="zh-CN"/>
        </w:rPr>
      </w:pPr>
      <w:bookmarkStart w:id="232" w:name="bookmark961"/>
      <w:bookmarkStart w:id="233" w:name="_Toc3862"/>
      <w:bookmarkStart w:id="234" w:name="bookmark963"/>
      <w:bookmarkStart w:id="235" w:name="bookmark962"/>
      <w:r>
        <w:rPr>
          <w:color w:val="auto"/>
          <w:sz w:val="24"/>
          <w:szCs w:val="24"/>
          <w:lang w:eastAsia="zh-CN"/>
        </w:rPr>
        <w:t>2.4协助承包人办理证件和批件</w:t>
      </w:r>
      <w:bookmarkEnd w:id="232"/>
      <w:bookmarkEnd w:id="233"/>
      <w:bookmarkEnd w:id="234"/>
      <w:bookmarkEnd w:id="235"/>
    </w:p>
    <w:p>
      <w:pPr>
        <w:pStyle w:val="45"/>
        <w:spacing w:after="240" w:line="363" w:lineRule="exact"/>
        <w:ind w:firstLine="420"/>
        <w:rPr>
          <w:color w:val="auto"/>
          <w:sz w:val="24"/>
          <w:szCs w:val="24"/>
        </w:rPr>
      </w:pPr>
      <w:r>
        <w:rPr>
          <w:color w:val="auto"/>
          <w:sz w:val="24"/>
          <w:szCs w:val="24"/>
        </w:rPr>
        <w:t>发包人应协助承包人办理法律规定的有关施工证件和批件。</w:t>
      </w:r>
    </w:p>
    <w:p>
      <w:pPr>
        <w:pStyle w:val="6"/>
        <w:ind w:left="0" w:leftChars="0" w:firstLine="0" w:firstLineChars="0"/>
        <w:rPr>
          <w:color w:val="auto"/>
          <w:sz w:val="24"/>
          <w:szCs w:val="24"/>
          <w:lang w:eastAsia="zh-CN"/>
        </w:rPr>
      </w:pPr>
      <w:bookmarkStart w:id="236" w:name="_Toc27327"/>
      <w:bookmarkStart w:id="237" w:name="bookmark964"/>
      <w:bookmarkStart w:id="238" w:name="bookmark965"/>
      <w:bookmarkStart w:id="239" w:name="bookmark966"/>
      <w:r>
        <w:rPr>
          <w:color w:val="auto"/>
          <w:sz w:val="24"/>
          <w:szCs w:val="24"/>
          <w:lang w:eastAsia="zh-CN"/>
        </w:rPr>
        <w:t>2.5组织设计交底</w:t>
      </w:r>
      <w:bookmarkEnd w:id="236"/>
      <w:bookmarkEnd w:id="237"/>
      <w:bookmarkEnd w:id="238"/>
      <w:bookmarkEnd w:id="239"/>
    </w:p>
    <w:p>
      <w:pPr>
        <w:pStyle w:val="45"/>
        <w:spacing w:after="240" w:line="363" w:lineRule="exact"/>
        <w:ind w:firstLine="420"/>
        <w:rPr>
          <w:color w:val="auto"/>
          <w:sz w:val="24"/>
          <w:szCs w:val="24"/>
        </w:rPr>
      </w:pPr>
      <w:r>
        <w:rPr>
          <w:color w:val="auto"/>
          <w:sz w:val="24"/>
          <w:szCs w:val="24"/>
        </w:rPr>
        <w:t>发包人应根据合同进度计划，组织设计单位向承包人进行设计交底。</w:t>
      </w:r>
    </w:p>
    <w:p>
      <w:pPr>
        <w:pStyle w:val="6"/>
        <w:ind w:left="0" w:leftChars="0" w:firstLine="0" w:firstLineChars="0"/>
        <w:rPr>
          <w:color w:val="auto"/>
          <w:sz w:val="24"/>
          <w:szCs w:val="24"/>
          <w:lang w:eastAsia="zh-CN"/>
        </w:rPr>
      </w:pPr>
      <w:bookmarkStart w:id="240" w:name="bookmark967"/>
      <w:bookmarkStart w:id="241" w:name="_Toc15125"/>
      <w:bookmarkStart w:id="242" w:name="bookmark968"/>
      <w:bookmarkStart w:id="243" w:name="bookmark969"/>
      <w:r>
        <w:rPr>
          <w:color w:val="auto"/>
          <w:sz w:val="24"/>
          <w:szCs w:val="24"/>
          <w:lang w:eastAsia="zh-CN"/>
        </w:rPr>
        <w:t>2.6支付合同价款</w:t>
      </w:r>
      <w:bookmarkEnd w:id="240"/>
      <w:bookmarkEnd w:id="241"/>
      <w:bookmarkEnd w:id="242"/>
      <w:bookmarkEnd w:id="243"/>
    </w:p>
    <w:p>
      <w:pPr>
        <w:pStyle w:val="45"/>
        <w:spacing w:after="240" w:line="363" w:lineRule="exact"/>
        <w:ind w:firstLine="420"/>
        <w:rPr>
          <w:color w:val="auto"/>
          <w:sz w:val="24"/>
          <w:szCs w:val="24"/>
        </w:rPr>
      </w:pPr>
      <w:r>
        <w:rPr>
          <w:color w:val="auto"/>
          <w:sz w:val="24"/>
          <w:szCs w:val="24"/>
        </w:rPr>
        <w:t>发包人应按合同约定向承包人及时支付合同价款。</w:t>
      </w:r>
    </w:p>
    <w:p>
      <w:pPr>
        <w:pStyle w:val="6"/>
        <w:ind w:left="0" w:leftChars="0" w:firstLine="0" w:firstLineChars="0"/>
        <w:rPr>
          <w:color w:val="auto"/>
          <w:sz w:val="24"/>
          <w:szCs w:val="24"/>
          <w:lang w:eastAsia="zh-CN"/>
        </w:rPr>
      </w:pPr>
      <w:bookmarkStart w:id="244" w:name="bookmark970"/>
      <w:bookmarkStart w:id="245" w:name="bookmark971"/>
      <w:bookmarkStart w:id="246" w:name="bookmark972"/>
      <w:bookmarkStart w:id="247" w:name="_Toc14608"/>
      <w:r>
        <w:rPr>
          <w:color w:val="auto"/>
          <w:sz w:val="24"/>
          <w:szCs w:val="24"/>
          <w:lang w:eastAsia="zh-CN"/>
        </w:rPr>
        <w:t>2.7组织竣工验收（组织法人验收）</w:t>
      </w:r>
      <w:bookmarkEnd w:id="244"/>
      <w:bookmarkEnd w:id="245"/>
      <w:bookmarkEnd w:id="246"/>
      <w:bookmarkEnd w:id="247"/>
    </w:p>
    <w:p>
      <w:pPr>
        <w:pStyle w:val="45"/>
        <w:spacing w:after="120" w:line="360" w:lineRule="exact"/>
        <w:ind w:firstLine="420"/>
        <w:rPr>
          <w:color w:val="auto"/>
          <w:sz w:val="24"/>
          <w:szCs w:val="24"/>
        </w:rPr>
      </w:pPr>
      <w:r>
        <w:rPr>
          <w:color w:val="auto"/>
          <w:sz w:val="24"/>
          <w:szCs w:val="24"/>
        </w:rPr>
        <w:t>发包人应按合同约定及时组织法人验收。</w:t>
      </w:r>
    </w:p>
    <w:p>
      <w:pPr>
        <w:pStyle w:val="6"/>
        <w:ind w:left="0" w:leftChars="0" w:firstLine="0" w:firstLineChars="0"/>
        <w:rPr>
          <w:color w:val="auto"/>
          <w:sz w:val="24"/>
          <w:szCs w:val="24"/>
          <w:lang w:eastAsia="zh-CN"/>
        </w:rPr>
      </w:pPr>
      <w:bookmarkStart w:id="248" w:name="_Toc26461"/>
      <w:bookmarkStart w:id="249" w:name="bookmark975"/>
      <w:bookmarkStart w:id="250" w:name="bookmark973"/>
      <w:bookmarkStart w:id="251" w:name="bookmark974"/>
      <w:r>
        <w:rPr>
          <w:color w:val="auto"/>
          <w:sz w:val="24"/>
          <w:szCs w:val="24"/>
          <w:lang w:eastAsia="zh-CN"/>
        </w:rPr>
        <w:t>2.8其它义务</w:t>
      </w:r>
      <w:bookmarkEnd w:id="248"/>
      <w:bookmarkEnd w:id="249"/>
      <w:bookmarkEnd w:id="250"/>
      <w:bookmarkEnd w:id="251"/>
    </w:p>
    <w:p>
      <w:pPr>
        <w:pStyle w:val="45"/>
        <w:spacing w:after="280" w:line="360" w:lineRule="exact"/>
        <w:ind w:firstLine="420"/>
        <w:rPr>
          <w:color w:val="auto"/>
          <w:sz w:val="24"/>
          <w:szCs w:val="24"/>
        </w:rPr>
      </w:pPr>
      <w:r>
        <w:rPr>
          <w:color w:val="auto"/>
          <w:sz w:val="24"/>
          <w:szCs w:val="24"/>
        </w:rPr>
        <w:t>其它义务在专用合同条款中补充约定。</w:t>
      </w:r>
    </w:p>
    <w:p>
      <w:pPr>
        <w:pStyle w:val="5"/>
        <w:spacing w:line="360" w:lineRule="exact"/>
        <w:rPr>
          <w:rFonts w:hint="eastAsia"/>
          <w:color w:val="auto"/>
          <w:sz w:val="24"/>
          <w:szCs w:val="24"/>
          <w:lang w:eastAsia="zh-CN"/>
        </w:rPr>
      </w:pPr>
      <w:bookmarkStart w:id="252" w:name="bookmark976"/>
      <w:bookmarkStart w:id="253" w:name="bookmark977"/>
      <w:bookmarkStart w:id="254" w:name="_Toc9610"/>
      <w:bookmarkStart w:id="255" w:name="_Toc17454"/>
      <w:bookmarkStart w:id="256" w:name="bookmark978"/>
      <w:bookmarkStart w:id="257" w:name="_Toc696484498"/>
      <w:r>
        <w:rPr>
          <w:rFonts w:hint="eastAsia"/>
          <w:color w:val="auto"/>
          <w:sz w:val="24"/>
          <w:szCs w:val="24"/>
          <w:lang w:eastAsia="zh-CN"/>
        </w:rPr>
        <w:t>3.监理人</w:t>
      </w:r>
      <w:bookmarkEnd w:id="252"/>
      <w:bookmarkEnd w:id="253"/>
      <w:bookmarkEnd w:id="254"/>
      <w:bookmarkEnd w:id="255"/>
      <w:bookmarkEnd w:id="256"/>
      <w:bookmarkEnd w:id="257"/>
    </w:p>
    <w:p>
      <w:pPr>
        <w:pStyle w:val="6"/>
        <w:ind w:left="0" w:leftChars="0" w:firstLine="0" w:firstLineChars="0"/>
        <w:rPr>
          <w:color w:val="auto"/>
          <w:sz w:val="24"/>
          <w:szCs w:val="24"/>
          <w:lang w:eastAsia="zh-CN"/>
        </w:rPr>
      </w:pPr>
      <w:bookmarkStart w:id="258" w:name="_Toc5442"/>
      <w:bookmarkStart w:id="259" w:name="bookmark980"/>
      <w:bookmarkStart w:id="260" w:name="bookmark979"/>
      <w:bookmarkStart w:id="261" w:name="bookmark981"/>
      <w:r>
        <w:rPr>
          <w:color w:val="auto"/>
          <w:sz w:val="24"/>
          <w:szCs w:val="24"/>
          <w:lang w:eastAsia="zh-CN"/>
        </w:rPr>
        <w:t>3.1监理人的职责和权利</w:t>
      </w:r>
      <w:bookmarkEnd w:id="258"/>
      <w:bookmarkEnd w:id="259"/>
      <w:bookmarkEnd w:id="260"/>
      <w:bookmarkEnd w:id="261"/>
    </w:p>
    <w:p>
      <w:pPr>
        <w:pStyle w:val="45"/>
        <w:spacing w:line="356"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3.1.1</w:t>
      </w:r>
      <w:r>
        <w:rPr>
          <w:color w:val="auto"/>
          <w:sz w:val="24"/>
          <w:szCs w:val="24"/>
        </w:rPr>
        <w:t>监理人受发包人的委托，享有合同约定的权力。监理人的权力范围在专用合同条款中约定。当监理人认为出现了危及生命、工程或毗邻财产等安全的紧急事件时，在不免除合同约定的承包人责任的情况下，监理人可以指示承包人实施为消除或减少这种危险 所必须进行的工作，即使没有发包人的事先批准，承包人也应立即遵照执行。监理人应按 第</w:t>
      </w:r>
      <w:r>
        <w:rPr>
          <w:rFonts w:ascii="Times New Roman" w:hAnsi="Times New Roman" w:eastAsia="Times New Roman" w:cs="Times New Roman"/>
          <w:color w:val="auto"/>
          <w:sz w:val="24"/>
          <w:szCs w:val="24"/>
        </w:rPr>
        <w:t>15</w:t>
      </w:r>
      <w:r>
        <w:rPr>
          <w:color w:val="auto"/>
          <w:sz w:val="24"/>
          <w:szCs w:val="24"/>
        </w:rPr>
        <w:t>条的约定增加相应的费用，并通知承包人。</w:t>
      </w:r>
    </w:p>
    <w:p>
      <w:pPr>
        <w:pStyle w:val="45"/>
        <w:spacing w:line="356"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3.1.2</w:t>
      </w:r>
      <w:r>
        <w:rPr>
          <w:color w:val="auto"/>
          <w:sz w:val="24"/>
          <w:szCs w:val="24"/>
        </w:rPr>
        <w:t>监理人发出的任何指示应视为已得到发包人的批准，但监理人无权免除或变更合同约定的发包人和承包人的权利、义务和责任。</w:t>
      </w:r>
    </w:p>
    <w:p>
      <w:pPr>
        <w:pStyle w:val="45"/>
        <w:spacing w:after="120" w:line="356"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3.1.3</w:t>
      </w:r>
      <w:r>
        <w:rPr>
          <w:color w:val="auto"/>
          <w:sz w:val="24"/>
          <w:szCs w:val="24"/>
        </w:rPr>
        <w:t>合同约定应由承包人承担的义务和责任，不因监理人对承包人提交文件的审查或批准，对工程、材料和设备的检查和检验，以及为实施监理作出的指示等职务行为而减轻或解除。</w:t>
      </w:r>
    </w:p>
    <w:p>
      <w:pPr>
        <w:pStyle w:val="6"/>
        <w:ind w:left="0" w:leftChars="0" w:firstLine="0" w:firstLineChars="0"/>
        <w:rPr>
          <w:color w:val="auto"/>
          <w:sz w:val="24"/>
          <w:szCs w:val="24"/>
          <w:lang w:eastAsia="zh-CN"/>
        </w:rPr>
      </w:pPr>
      <w:bookmarkStart w:id="262" w:name="bookmark984"/>
      <w:bookmarkStart w:id="263" w:name="bookmark983"/>
      <w:bookmarkStart w:id="264" w:name="bookmark982"/>
      <w:bookmarkStart w:id="265" w:name="_Toc20317"/>
      <w:r>
        <w:rPr>
          <w:color w:val="auto"/>
          <w:sz w:val="24"/>
          <w:szCs w:val="24"/>
          <w:lang w:eastAsia="zh-CN"/>
        </w:rPr>
        <w:t>3.2总监理工程师</w:t>
      </w:r>
      <w:bookmarkEnd w:id="262"/>
      <w:bookmarkEnd w:id="263"/>
      <w:bookmarkEnd w:id="264"/>
      <w:bookmarkEnd w:id="265"/>
    </w:p>
    <w:p>
      <w:pPr>
        <w:pStyle w:val="45"/>
        <w:spacing w:after="120" w:line="354" w:lineRule="exact"/>
        <w:ind w:firstLine="420"/>
        <w:jc w:val="both"/>
        <w:rPr>
          <w:color w:val="auto"/>
          <w:sz w:val="24"/>
          <w:szCs w:val="24"/>
        </w:rPr>
      </w:pPr>
      <w:r>
        <w:rPr>
          <w:color w:val="auto"/>
          <w:sz w:val="24"/>
          <w:szCs w:val="24"/>
        </w:rPr>
        <w:t>发包人应在发出开工通知前将总监理工程师的任命通知承包人。总监理工程师更换时, 应在调离</w:t>
      </w:r>
      <w:r>
        <w:rPr>
          <w:rFonts w:ascii="Times New Roman" w:hAnsi="Times New Roman" w:eastAsia="Times New Roman" w:cs="Times New Roman"/>
          <w:color w:val="auto"/>
          <w:sz w:val="24"/>
          <w:szCs w:val="24"/>
        </w:rPr>
        <w:t>14</w:t>
      </w:r>
      <w:r>
        <w:rPr>
          <w:color w:val="auto"/>
          <w:sz w:val="24"/>
          <w:szCs w:val="24"/>
        </w:rPr>
        <w:t>天前通知承包人。总监理工程师短期离开施工场地的，应委派代表代行其职 责，并通知承包人。</w:t>
      </w:r>
    </w:p>
    <w:p>
      <w:pPr>
        <w:pStyle w:val="6"/>
        <w:ind w:left="0" w:leftChars="0" w:firstLine="0" w:firstLineChars="0"/>
        <w:rPr>
          <w:color w:val="auto"/>
          <w:sz w:val="24"/>
          <w:szCs w:val="24"/>
          <w:lang w:eastAsia="zh-CN"/>
        </w:rPr>
      </w:pPr>
      <w:bookmarkStart w:id="266" w:name="_Toc11573"/>
      <w:bookmarkStart w:id="267" w:name="bookmark986"/>
      <w:bookmarkStart w:id="268" w:name="bookmark987"/>
      <w:bookmarkStart w:id="269" w:name="bookmark985"/>
      <w:r>
        <w:rPr>
          <w:color w:val="auto"/>
          <w:sz w:val="24"/>
          <w:szCs w:val="24"/>
          <w:lang w:eastAsia="zh-CN"/>
        </w:rPr>
        <w:t>3.3监理人员</w:t>
      </w:r>
      <w:bookmarkEnd w:id="266"/>
      <w:bookmarkEnd w:id="267"/>
      <w:bookmarkEnd w:id="268"/>
      <w:bookmarkEnd w:id="269"/>
    </w:p>
    <w:p>
      <w:pPr>
        <w:pStyle w:val="45"/>
        <w:spacing w:line="361" w:lineRule="exact"/>
        <w:ind w:firstLine="420"/>
        <w:jc w:val="both"/>
        <w:rPr>
          <w:color w:val="auto"/>
          <w:sz w:val="24"/>
          <w:szCs w:val="24"/>
        </w:rPr>
      </w:pPr>
      <w:bookmarkStart w:id="270" w:name="bookmark988"/>
      <w:bookmarkEnd w:id="270"/>
      <w:r>
        <w:rPr>
          <w:rFonts w:ascii="Times New Roman" w:hAnsi="Times New Roman" w:cs="Times New Roman"/>
          <w:color w:val="auto"/>
          <w:sz w:val="24"/>
          <w:szCs w:val="24"/>
        </w:rPr>
        <w:t>3.3.1</w:t>
      </w:r>
      <w:r>
        <w:rPr>
          <w:color w:val="auto"/>
          <w:sz w:val="24"/>
          <w:szCs w:val="24"/>
        </w:rPr>
        <w:t>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承包人。</w:t>
      </w:r>
    </w:p>
    <w:p>
      <w:pPr>
        <w:pStyle w:val="45"/>
        <w:spacing w:line="361"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3.3.2</w:t>
      </w:r>
      <w:r>
        <w:rPr>
          <w:color w:val="auto"/>
          <w:sz w:val="24"/>
          <w:szCs w:val="24"/>
        </w:rPr>
        <w:t>监理人员对承包人的任何工作、工程或其采用的材料和工程设备未在约定的或合理的期限内提出否定意见的，视为已获批准，但不影响监理人在以后拒绝该项工作、工程、材料或工程设备的权利。</w:t>
      </w:r>
    </w:p>
    <w:p>
      <w:pPr>
        <w:pStyle w:val="45"/>
        <w:spacing w:line="361"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3.3.3</w:t>
      </w:r>
      <w:r>
        <w:rPr>
          <w:color w:val="auto"/>
          <w:sz w:val="24"/>
          <w:szCs w:val="24"/>
        </w:rPr>
        <w:t>承包人对总监理工程师授权的监理人员发出的指示有疑问的，可向总监理工程师提出书面异议，总监理工程师应在</w:t>
      </w:r>
      <w:r>
        <w:rPr>
          <w:rFonts w:ascii="Times New Roman" w:hAnsi="Times New Roman" w:eastAsia="Times New Roman" w:cs="Times New Roman"/>
          <w:color w:val="auto"/>
          <w:sz w:val="24"/>
          <w:szCs w:val="24"/>
        </w:rPr>
        <w:t>48</w:t>
      </w:r>
      <w:r>
        <w:rPr>
          <w:color w:val="auto"/>
          <w:sz w:val="24"/>
          <w:szCs w:val="24"/>
        </w:rPr>
        <w:t>小时内对该指示予以确认、更改或撤销。</w:t>
      </w:r>
    </w:p>
    <w:p>
      <w:pPr>
        <w:pStyle w:val="45"/>
        <w:spacing w:after="240" w:line="361" w:lineRule="exact"/>
        <w:ind w:firstLine="420"/>
        <w:jc w:val="both"/>
        <w:rPr>
          <w:color w:val="auto"/>
          <w:sz w:val="24"/>
          <w:szCs w:val="24"/>
        </w:rPr>
      </w:pPr>
      <w:bookmarkStart w:id="271" w:name="bookmark989"/>
      <w:bookmarkEnd w:id="271"/>
      <w:r>
        <w:rPr>
          <w:rFonts w:ascii="Times New Roman" w:hAnsi="Times New Roman" w:cs="Times New Roman"/>
          <w:color w:val="auto"/>
          <w:sz w:val="24"/>
          <w:szCs w:val="24"/>
        </w:rPr>
        <w:t>3.3.4</w:t>
      </w:r>
      <w:r>
        <w:rPr>
          <w:color w:val="auto"/>
          <w:sz w:val="24"/>
          <w:szCs w:val="24"/>
        </w:rPr>
        <w:t>除专用合同条款另有约定外，总监理工程师不应将第3. 5款约定应由总监理工程师作出确定的权力授权或委托给其他监理人员。</w:t>
      </w:r>
    </w:p>
    <w:p>
      <w:pPr>
        <w:pStyle w:val="6"/>
        <w:ind w:left="0" w:leftChars="0" w:firstLine="0" w:firstLineChars="0"/>
        <w:rPr>
          <w:color w:val="auto"/>
          <w:sz w:val="24"/>
          <w:szCs w:val="24"/>
          <w:lang w:eastAsia="zh-CN"/>
        </w:rPr>
      </w:pPr>
      <w:bookmarkStart w:id="272" w:name="bookmark991"/>
      <w:bookmarkStart w:id="273" w:name="bookmark990"/>
      <w:bookmarkStart w:id="274" w:name="_Toc29343"/>
      <w:bookmarkStart w:id="275" w:name="bookmark992"/>
      <w:r>
        <w:rPr>
          <w:color w:val="auto"/>
          <w:sz w:val="24"/>
          <w:szCs w:val="24"/>
          <w:lang w:eastAsia="zh-CN"/>
        </w:rPr>
        <w:t>3.4监理人的指示</w:t>
      </w:r>
      <w:bookmarkEnd w:id="272"/>
      <w:bookmarkEnd w:id="273"/>
      <w:bookmarkEnd w:id="274"/>
      <w:bookmarkEnd w:id="275"/>
    </w:p>
    <w:p>
      <w:pPr>
        <w:pStyle w:val="45"/>
        <w:spacing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3.4.</w:t>
      </w:r>
      <w:r>
        <w:rPr>
          <w:rFonts w:ascii="Times New Roman" w:hAnsi="Times New Roman" w:eastAsia="Times New Roman" w:cs="Times New Roman"/>
          <w:color w:val="auto"/>
          <w:sz w:val="24"/>
          <w:szCs w:val="24"/>
        </w:rPr>
        <w:t>1</w:t>
      </w:r>
      <w:r>
        <w:rPr>
          <w:color w:val="auto"/>
          <w:sz w:val="24"/>
          <w:szCs w:val="24"/>
        </w:rPr>
        <w:t>监理人应按第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1</w:t>
      </w:r>
      <w:r>
        <w:rPr>
          <w:color w:val="auto"/>
          <w:sz w:val="24"/>
          <w:szCs w:val="24"/>
        </w:rPr>
        <w:t>款的约定向承包人发出指示，监理人的指示应盖有监理人授权的施工场地机构章，并由总监理工程师或总监理工程师按第</w:t>
      </w:r>
      <w:r>
        <w:rPr>
          <w:rFonts w:ascii="Times New Roman" w:hAnsi="Times New Roman" w:eastAsia="Times New Roman" w:cs="Times New Roman"/>
          <w:color w:val="auto"/>
          <w:sz w:val="24"/>
          <w:szCs w:val="24"/>
          <w:lang w:val="en-US" w:bidi="en-US"/>
        </w:rPr>
        <w:t xml:space="preserve">3. 3. </w:t>
      </w:r>
      <w:r>
        <w:rPr>
          <w:rFonts w:ascii="Times New Roman" w:hAnsi="Times New Roman" w:eastAsia="Times New Roman" w:cs="Times New Roman"/>
          <w:color w:val="auto"/>
          <w:sz w:val="24"/>
          <w:szCs w:val="24"/>
        </w:rPr>
        <w:t>1</w:t>
      </w:r>
      <w:r>
        <w:rPr>
          <w:color w:val="auto"/>
          <w:sz w:val="24"/>
          <w:szCs w:val="24"/>
        </w:rPr>
        <w:t>项约定授权的监理人员签字</w:t>
      </w:r>
      <w:r>
        <w:rPr>
          <w:color w:val="auto"/>
          <w:sz w:val="24"/>
          <w:szCs w:val="24"/>
          <w:lang w:val="en-US" w:bidi="en-US"/>
        </w:rPr>
        <w:t>。</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3.4.2</w:t>
      </w:r>
      <w:r>
        <w:rPr>
          <w:color w:val="auto"/>
          <w:sz w:val="24"/>
          <w:szCs w:val="24"/>
        </w:rPr>
        <w:t>承包人收到监理人按第</w:t>
      </w:r>
      <w:r>
        <w:rPr>
          <w:rFonts w:ascii="Times New Roman" w:hAnsi="Times New Roman" w:eastAsia="Times New Roman" w:cs="Times New Roman"/>
          <w:color w:val="auto"/>
          <w:sz w:val="24"/>
          <w:szCs w:val="24"/>
          <w:lang w:val="en-US" w:bidi="en-US"/>
        </w:rPr>
        <w:t>3. 4.1</w:t>
      </w:r>
      <w:r>
        <w:rPr>
          <w:color w:val="auto"/>
          <w:sz w:val="24"/>
          <w:szCs w:val="24"/>
        </w:rPr>
        <w:t>项作出的指示后应遵照执行。指示构成变更的，应按第</w:t>
      </w:r>
      <w:r>
        <w:rPr>
          <w:rFonts w:ascii="Times New Roman" w:hAnsi="Times New Roman" w:eastAsia="Times New Roman" w:cs="Times New Roman"/>
          <w:color w:val="auto"/>
          <w:sz w:val="24"/>
          <w:szCs w:val="24"/>
        </w:rPr>
        <w:t>15</w:t>
      </w:r>
      <w:r>
        <w:rPr>
          <w:color w:val="auto"/>
          <w:sz w:val="24"/>
          <w:szCs w:val="24"/>
        </w:rPr>
        <w:t>条处理。</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3.4.3</w:t>
      </w:r>
      <w:r>
        <w:rPr>
          <w:color w:val="auto"/>
          <w:sz w:val="24"/>
          <w:szCs w:val="24"/>
        </w:rPr>
        <w:t>在紧急情况下，总监理工程师或被授权的监理人员可以当场签发临时书面指示，承包人应遵照执行。承包人应在收到上述临时书面指示后</w:t>
      </w:r>
      <w:r>
        <w:rPr>
          <w:rFonts w:ascii="Times New Roman" w:hAnsi="Times New Roman" w:eastAsia="Times New Roman" w:cs="Times New Roman"/>
          <w:color w:val="auto"/>
          <w:sz w:val="24"/>
          <w:szCs w:val="24"/>
        </w:rPr>
        <w:t>24</w:t>
      </w:r>
      <w:r>
        <w:rPr>
          <w:color w:val="auto"/>
          <w:sz w:val="24"/>
          <w:szCs w:val="24"/>
        </w:rPr>
        <w:t>小时内，向监理人发出书 面确认函。监理人在收到书面确认函后</w:t>
      </w:r>
      <w:r>
        <w:rPr>
          <w:rFonts w:ascii="Times New Roman" w:hAnsi="Times New Roman" w:eastAsia="Times New Roman" w:cs="Times New Roman"/>
          <w:color w:val="auto"/>
          <w:sz w:val="24"/>
          <w:szCs w:val="24"/>
        </w:rPr>
        <w:t>24</w:t>
      </w:r>
      <w:r>
        <w:rPr>
          <w:color w:val="auto"/>
          <w:sz w:val="24"/>
          <w:szCs w:val="24"/>
        </w:rPr>
        <w:t>小时内未予答复的，该书面确认函应被视为监理人的正式指示。</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3.4.4</w:t>
      </w:r>
      <w:r>
        <w:rPr>
          <w:color w:val="auto"/>
          <w:sz w:val="24"/>
          <w:szCs w:val="24"/>
        </w:rPr>
        <w:t>除合同另有约定外，承包人只从总监理工程师或按第</w:t>
      </w:r>
      <w:r>
        <w:rPr>
          <w:rFonts w:ascii="Times New Roman" w:hAnsi="Times New Roman" w:eastAsia="Times New Roman" w:cs="Times New Roman"/>
          <w:color w:val="auto"/>
          <w:sz w:val="24"/>
          <w:szCs w:val="24"/>
          <w:lang w:val="en-US" w:bidi="en-US"/>
        </w:rPr>
        <w:t xml:space="preserve">3. 3. </w:t>
      </w:r>
      <w:r>
        <w:rPr>
          <w:rFonts w:ascii="Times New Roman" w:hAnsi="Times New Roman" w:eastAsia="Times New Roman" w:cs="Times New Roman"/>
          <w:color w:val="auto"/>
          <w:sz w:val="24"/>
          <w:szCs w:val="24"/>
        </w:rPr>
        <w:t>1</w:t>
      </w:r>
      <w:r>
        <w:rPr>
          <w:color w:val="auto"/>
          <w:sz w:val="24"/>
          <w:szCs w:val="24"/>
        </w:rPr>
        <w:t>项被授权的监理人员处取得指示。</w:t>
      </w:r>
    </w:p>
    <w:p>
      <w:pPr>
        <w:pStyle w:val="45"/>
        <w:spacing w:after="120"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3.4.5</w:t>
      </w:r>
      <w:r>
        <w:rPr>
          <w:color w:val="auto"/>
          <w:sz w:val="24"/>
          <w:szCs w:val="24"/>
        </w:rPr>
        <w:t>由于监理人未能按合同约定发出指示、指示延误或指示错误而导致承包人费用增加和（或）工期延误的，由发包人承担赔偿责任。</w:t>
      </w:r>
    </w:p>
    <w:p>
      <w:pPr>
        <w:pStyle w:val="6"/>
        <w:ind w:left="0" w:leftChars="0" w:firstLine="0" w:firstLineChars="0"/>
        <w:rPr>
          <w:color w:val="auto"/>
          <w:sz w:val="24"/>
          <w:szCs w:val="24"/>
          <w:lang w:eastAsia="zh-CN"/>
        </w:rPr>
      </w:pPr>
      <w:bookmarkStart w:id="276" w:name="bookmark995"/>
      <w:bookmarkStart w:id="277" w:name="_Toc15164"/>
      <w:bookmarkStart w:id="278" w:name="bookmark993"/>
      <w:bookmarkStart w:id="279" w:name="bookmark994"/>
      <w:r>
        <w:rPr>
          <w:color w:val="auto"/>
          <w:sz w:val="24"/>
          <w:szCs w:val="24"/>
          <w:lang w:eastAsia="zh-CN"/>
        </w:rPr>
        <w:t>3.5商定或确定</w:t>
      </w:r>
      <w:bookmarkEnd w:id="276"/>
      <w:bookmarkEnd w:id="277"/>
      <w:bookmarkEnd w:id="278"/>
      <w:bookmarkEnd w:id="279"/>
    </w:p>
    <w:p>
      <w:pPr>
        <w:pStyle w:val="45"/>
        <w:spacing w:line="368"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3.5.1</w:t>
      </w:r>
      <w:r>
        <w:rPr>
          <w:color w:val="auto"/>
          <w:sz w:val="24"/>
          <w:szCs w:val="24"/>
        </w:rPr>
        <w:t>合同约定总监理工程师应按照本款对任何事项进行商定或确定时，总监理工程师应与合同当事人协商，尽量达成一致。不能达成一致的，总监理工程师应认真研究后审慎确定。</w:t>
      </w:r>
    </w:p>
    <w:p>
      <w:pPr>
        <w:pStyle w:val="45"/>
        <w:spacing w:after="280" w:line="356" w:lineRule="exact"/>
        <w:ind w:firstLine="420"/>
        <w:jc w:val="both"/>
        <w:rPr>
          <w:color w:val="auto"/>
          <w:sz w:val="24"/>
          <w:szCs w:val="24"/>
        </w:rPr>
      </w:pPr>
      <w:r>
        <w:rPr>
          <w:rFonts w:ascii="Times New Roman" w:hAnsi="Times New Roman" w:eastAsia="Times New Roman" w:cs="Times New Roman"/>
          <w:color w:val="auto"/>
          <w:sz w:val="24"/>
          <w:szCs w:val="24"/>
          <w:lang w:val="en-US" w:bidi="en-US"/>
        </w:rPr>
        <w:t>3.5.2</w:t>
      </w:r>
      <w:r>
        <w:rPr>
          <w:color w:val="auto"/>
          <w:sz w:val="24"/>
          <w:szCs w:val="24"/>
        </w:rPr>
        <w:t>总监理工程师应将商定或确定的事项通知合同当事人，并附详细依据。对总监理工程师的确定有异议的，构成争议，按照第</w:t>
      </w:r>
      <w:r>
        <w:rPr>
          <w:rFonts w:ascii="Times New Roman" w:hAnsi="Times New Roman" w:eastAsia="Times New Roman" w:cs="Times New Roman"/>
          <w:color w:val="auto"/>
          <w:sz w:val="24"/>
          <w:szCs w:val="24"/>
        </w:rPr>
        <w:t>24</w:t>
      </w:r>
      <w:r>
        <w:rPr>
          <w:color w:val="auto"/>
          <w:sz w:val="24"/>
          <w:szCs w:val="24"/>
        </w:rPr>
        <w:t>条的约定处理。在争议解决前，双方应暂按总监理工程师的确定执行，按照第</w:t>
      </w:r>
      <w:r>
        <w:rPr>
          <w:rFonts w:ascii="Times New Roman" w:hAnsi="Times New Roman" w:eastAsia="Times New Roman" w:cs="Times New Roman"/>
          <w:color w:val="auto"/>
          <w:sz w:val="24"/>
          <w:szCs w:val="24"/>
        </w:rPr>
        <w:t>24</w:t>
      </w:r>
      <w:r>
        <w:rPr>
          <w:color w:val="auto"/>
          <w:sz w:val="24"/>
          <w:szCs w:val="24"/>
        </w:rPr>
        <w:t>条的约定对总监理工程师的确定作出修改的，按修 改后的结果执行</w:t>
      </w:r>
      <w:r>
        <w:rPr>
          <w:color w:val="auto"/>
          <w:sz w:val="24"/>
          <w:szCs w:val="24"/>
          <w:lang w:val="en-US" w:bidi="en-US"/>
        </w:rPr>
        <w:t>。</w:t>
      </w:r>
    </w:p>
    <w:p>
      <w:pPr>
        <w:pStyle w:val="5"/>
        <w:spacing w:line="360" w:lineRule="exact"/>
        <w:rPr>
          <w:rFonts w:hint="eastAsia"/>
          <w:color w:val="auto"/>
          <w:sz w:val="24"/>
          <w:szCs w:val="24"/>
          <w:lang w:eastAsia="zh-CN"/>
        </w:rPr>
      </w:pPr>
      <w:bookmarkStart w:id="280" w:name="bookmark998"/>
      <w:bookmarkStart w:id="281" w:name="_Toc32125"/>
      <w:bookmarkStart w:id="282" w:name="bookmark996"/>
      <w:bookmarkStart w:id="283" w:name="_Toc13765"/>
      <w:bookmarkStart w:id="284" w:name="_Toc407217945"/>
      <w:bookmarkStart w:id="285" w:name="bookmark997"/>
      <w:r>
        <w:rPr>
          <w:rFonts w:hint="eastAsia"/>
          <w:color w:val="auto"/>
          <w:sz w:val="24"/>
          <w:szCs w:val="24"/>
          <w:lang w:eastAsia="zh-CN"/>
        </w:rPr>
        <w:t>4.承包人</w:t>
      </w:r>
      <w:bookmarkEnd w:id="280"/>
      <w:bookmarkEnd w:id="281"/>
      <w:bookmarkEnd w:id="282"/>
      <w:bookmarkEnd w:id="283"/>
      <w:bookmarkEnd w:id="284"/>
      <w:bookmarkEnd w:id="285"/>
    </w:p>
    <w:p>
      <w:pPr>
        <w:pStyle w:val="6"/>
        <w:ind w:left="0" w:leftChars="0" w:firstLine="0" w:firstLineChars="0"/>
        <w:rPr>
          <w:color w:val="auto"/>
          <w:sz w:val="24"/>
          <w:szCs w:val="24"/>
          <w:lang w:eastAsia="zh-CN"/>
        </w:rPr>
      </w:pPr>
      <w:bookmarkStart w:id="286" w:name="bookmark1000"/>
      <w:bookmarkStart w:id="287" w:name="_Toc11324"/>
      <w:bookmarkStart w:id="288" w:name="bookmark1001"/>
      <w:bookmarkStart w:id="289" w:name="bookmark999"/>
      <w:r>
        <w:rPr>
          <w:color w:val="auto"/>
          <w:sz w:val="24"/>
          <w:szCs w:val="24"/>
          <w:lang w:eastAsia="zh-CN"/>
        </w:rPr>
        <w:t>4.1承包人的一般义务</w:t>
      </w:r>
      <w:bookmarkEnd w:id="286"/>
      <w:bookmarkEnd w:id="287"/>
      <w:bookmarkEnd w:id="288"/>
      <w:bookmarkEnd w:id="289"/>
    </w:p>
    <w:p>
      <w:pPr>
        <w:pStyle w:val="45"/>
        <w:spacing w:line="363" w:lineRule="exact"/>
        <w:ind w:firstLine="42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4.1.1</w:t>
      </w:r>
      <w:r>
        <w:rPr>
          <w:rFonts w:ascii="Times New Roman" w:hAnsi="Times New Roman" w:cs="Times New Roman"/>
          <w:color w:val="auto"/>
          <w:sz w:val="24"/>
          <w:szCs w:val="24"/>
        </w:rPr>
        <w:t>遵守法律</w:t>
      </w:r>
    </w:p>
    <w:p>
      <w:pPr>
        <w:pStyle w:val="45"/>
        <w:spacing w:after="120" w:line="350"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承包人在履行合同过程中应遵守法律，并保证发包人免于承担因承包人违反法律而引起的任何责任。</w:t>
      </w:r>
    </w:p>
    <w:p>
      <w:pPr>
        <w:pStyle w:val="45"/>
        <w:spacing w:line="363" w:lineRule="exact"/>
        <w:ind w:firstLine="420"/>
        <w:jc w:val="both"/>
        <w:rPr>
          <w:rFonts w:ascii="Times New Roman" w:hAnsi="Times New Roman" w:cs="Times New Roman"/>
          <w:color w:val="auto"/>
          <w:sz w:val="24"/>
          <w:szCs w:val="24"/>
        </w:rPr>
      </w:pPr>
      <w:bookmarkStart w:id="290" w:name="bookmark1002"/>
      <w:bookmarkEnd w:id="290"/>
      <w:r>
        <w:rPr>
          <w:rFonts w:ascii="Times New Roman" w:hAnsi="Times New Roman" w:cs="Times New Roman"/>
          <w:color w:val="auto"/>
          <w:sz w:val="24"/>
          <w:szCs w:val="24"/>
          <w:lang w:val="en-US"/>
        </w:rPr>
        <w:t>4.1.2</w:t>
      </w:r>
      <w:r>
        <w:rPr>
          <w:rFonts w:ascii="Times New Roman" w:hAnsi="Times New Roman" w:cs="Times New Roman"/>
          <w:color w:val="auto"/>
          <w:sz w:val="24"/>
          <w:szCs w:val="24"/>
        </w:rPr>
        <w:t>依法纳税</w:t>
      </w:r>
    </w:p>
    <w:p>
      <w:pPr>
        <w:pStyle w:val="45"/>
        <w:spacing w:line="363"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承包人应按有关法律规定纳税，应缴纳的税金包括在合同价格内。</w:t>
      </w:r>
    </w:p>
    <w:p>
      <w:pPr>
        <w:pStyle w:val="45"/>
        <w:spacing w:line="363"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4.1.3</w:t>
      </w:r>
      <w:r>
        <w:rPr>
          <w:rFonts w:ascii="Times New Roman" w:hAnsi="Times New Roman" w:cs="Times New Roman"/>
          <w:color w:val="auto"/>
          <w:sz w:val="24"/>
          <w:szCs w:val="24"/>
        </w:rPr>
        <w:t>完成各项承包工作</w:t>
      </w:r>
    </w:p>
    <w:p>
      <w:pPr>
        <w:pStyle w:val="45"/>
        <w:spacing w:line="366" w:lineRule="exact"/>
        <w:ind w:firstLine="420"/>
        <w:jc w:val="both"/>
        <w:rPr>
          <w:color w:val="auto"/>
          <w:sz w:val="24"/>
          <w:szCs w:val="24"/>
        </w:rPr>
      </w:pPr>
      <w:r>
        <w:rPr>
          <w:rFonts w:ascii="Times New Roman" w:hAnsi="Times New Roman" w:cs="Times New Roman"/>
          <w:color w:val="auto"/>
          <w:sz w:val="24"/>
          <w:szCs w:val="24"/>
        </w:rPr>
        <w:t>承包人应按合同约定以及监理人根据第</w:t>
      </w:r>
      <w:r>
        <w:rPr>
          <w:rFonts w:ascii="Times New Roman" w:hAnsi="Times New Roman" w:eastAsia="Times New Roman" w:cs="Times New Roman"/>
          <w:color w:val="auto"/>
          <w:sz w:val="24"/>
          <w:szCs w:val="24"/>
          <w:lang w:val="en-US" w:bidi="en-US"/>
        </w:rPr>
        <w:t>3.4</w:t>
      </w:r>
      <w:r>
        <w:rPr>
          <w:rFonts w:ascii="Times New Roman" w:hAnsi="Times New Roman" w:cs="Times New Roman"/>
          <w:color w:val="auto"/>
          <w:sz w:val="24"/>
          <w:szCs w:val="24"/>
        </w:rPr>
        <w:t>款作出的指示，实施、完成全部工程，并修补工程中的任何缺陷。除第</w:t>
      </w:r>
      <w:r>
        <w:rPr>
          <w:rFonts w:ascii="Times New Roman" w:hAnsi="Times New Roman" w:eastAsia="Times New Roman" w:cs="Times New Roman"/>
          <w:color w:val="auto"/>
          <w:sz w:val="24"/>
          <w:szCs w:val="24"/>
          <w:lang w:val="en-US" w:bidi="en-US"/>
        </w:rPr>
        <w:t xml:space="preserve">5. </w:t>
      </w:r>
      <w:r>
        <w:rPr>
          <w:rFonts w:ascii="Times New Roman" w:hAnsi="Times New Roman" w:eastAsia="Times New Roman" w:cs="Times New Roman"/>
          <w:color w:val="auto"/>
          <w:sz w:val="24"/>
          <w:szCs w:val="24"/>
        </w:rPr>
        <w:t>2</w:t>
      </w:r>
      <w:r>
        <w:rPr>
          <w:rFonts w:ascii="Times New Roman" w:hAnsi="Times New Roman" w:cs="Times New Roman"/>
          <w:color w:val="auto"/>
          <w:sz w:val="24"/>
          <w:szCs w:val="24"/>
        </w:rPr>
        <w:t>款、第</w:t>
      </w:r>
      <w:r>
        <w:rPr>
          <w:rFonts w:ascii="Times New Roman" w:hAnsi="Times New Roman" w:eastAsia="Times New Roman" w:cs="Times New Roman"/>
          <w:color w:val="auto"/>
          <w:sz w:val="24"/>
          <w:szCs w:val="24"/>
          <w:lang w:val="en-US" w:bidi="en-US"/>
        </w:rPr>
        <w:t xml:space="preserve">6. </w:t>
      </w:r>
      <w:r>
        <w:rPr>
          <w:rFonts w:ascii="Times New Roman" w:hAnsi="Times New Roman" w:eastAsia="Times New Roman" w:cs="Times New Roman"/>
          <w:color w:val="auto"/>
          <w:sz w:val="24"/>
          <w:szCs w:val="24"/>
        </w:rPr>
        <w:t>2</w:t>
      </w:r>
      <w:r>
        <w:rPr>
          <w:rFonts w:ascii="Times New Roman" w:hAnsi="Times New Roman" w:cs="Times New Roman"/>
          <w:color w:val="auto"/>
          <w:sz w:val="24"/>
          <w:szCs w:val="24"/>
        </w:rPr>
        <w:t>款另</w:t>
      </w:r>
      <w:r>
        <w:rPr>
          <w:color w:val="auto"/>
          <w:sz w:val="24"/>
          <w:szCs w:val="24"/>
        </w:rPr>
        <w:t>有约定外，承包人应提供为完成合同工作所需的劳务、材料、施工设备、工程设备和其它物品，并按合同约定负责临时设施的设计、建造、运行、维护、管理和拆除。</w:t>
      </w:r>
    </w:p>
    <w:p>
      <w:pPr>
        <w:pStyle w:val="45"/>
        <w:spacing w:line="363"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4.1.4</w:t>
      </w:r>
      <w:r>
        <w:rPr>
          <w:rFonts w:ascii="Times New Roman" w:hAnsi="Times New Roman" w:cs="Times New Roman"/>
          <w:color w:val="auto"/>
          <w:sz w:val="24"/>
          <w:szCs w:val="24"/>
        </w:rPr>
        <w:t>对施工作业和施工方法的完备性负责</w:t>
      </w:r>
    </w:p>
    <w:p>
      <w:pPr>
        <w:pStyle w:val="45"/>
        <w:spacing w:line="360"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承包人应按合同约定的工作内容和施工进度要求，编制施工组织设计和施工措施计划，并对所有施工作业和施工方法的完备性和安全可靠性负责。</w:t>
      </w:r>
    </w:p>
    <w:p>
      <w:pPr>
        <w:pStyle w:val="45"/>
        <w:spacing w:line="363"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4.1.5</w:t>
      </w:r>
      <w:r>
        <w:rPr>
          <w:rFonts w:ascii="Times New Roman" w:hAnsi="Times New Roman" w:cs="Times New Roman"/>
          <w:color w:val="auto"/>
          <w:sz w:val="24"/>
          <w:szCs w:val="24"/>
        </w:rPr>
        <w:t>保证工程施工和人员的安全</w:t>
      </w:r>
    </w:p>
    <w:p>
      <w:pPr>
        <w:pStyle w:val="45"/>
        <w:spacing w:line="382"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承包人应按第</w:t>
      </w:r>
      <w:r>
        <w:rPr>
          <w:rFonts w:ascii="Times New Roman" w:hAnsi="Times New Roman" w:eastAsia="Times New Roman" w:cs="Times New Roman"/>
          <w:color w:val="auto"/>
          <w:sz w:val="24"/>
          <w:szCs w:val="24"/>
          <w:lang w:val="en-US" w:bidi="en-US"/>
        </w:rPr>
        <w:t xml:space="preserve">9. </w:t>
      </w:r>
      <w:r>
        <w:rPr>
          <w:rFonts w:ascii="Times New Roman" w:hAnsi="Times New Roman" w:eastAsia="Times New Roman" w:cs="Times New Roman"/>
          <w:color w:val="auto"/>
          <w:sz w:val="24"/>
          <w:szCs w:val="24"/>
        </w:rPr>
        <w:t>2</w:t>
      </w:r>
      <w:r>
        <w:rPr>
          <w:rFonts w:ascii="Times New Roman" w:hAnsi="Times New Roman" w:cs="Times New Roman"/>
          <w:color w:val="auto"/>
          <w:sz w:val="24"/>
          <w:szCs w:val="24"/>
        </w:rPr>
        <w:t>款约定采取施工安全措施，确保工程及其人员、材料、设备和设施的安全，防止因工程施工造成的人身伤害和财产损失。</w:t>
      </w:r>
    </w:p>
    <w:p>
      <w:pPr>
        <w:pStyle w:val="45"/>
        <w:spacing w:line="363" w:lineRule="exact"/>
        <w:ind w:firstLine="420"/>
        <w:jc w:val="both"/>
        <w:rPr>
          <w:rFonts w:ascii="Times New Roman" w:hAnsi="Times New Roman" w:cs="Times New Roman"/>
          <w:color w:val="auto"/>
          <w:sz w:val="24"/>
          <w:szCs w:val="24"/>
        </w:rPr>
      </w:pPr>
      <w:bookmarkStart w:id="291" w:name="bookmark1003"/>
      <w:bookmarkEnd w:id="291"/>
      <w:r>
        <w:rPr>
          <w:rFonts w:ascii="Times New Roman" w:hAnsi="Times New Roman" w:cs="Times New Roman"/>
          <w:color w:val="auto"/>
          <w:sz w:val="24"/>
          <w:szCs w:val="24"/>
          <w:lang w:val="en-US"/>
        </w:rPr>
        <w:t>4.1.6</w:t>
      </w:r>
      <w:r>
        <w:rPr>
          <w:rFonts w:ascii="Times New Roman" w:hAnsi="Times New Roman" w:cs="Times New Roman"/>
          <w:color w:val="auto"/>
          <w:sz w:val="24"/>
          <w:szCs w:val="24"/>
        </w:rPr>
        <w:t>负责施工场地及其周边环境与生态的保护工作</w:t>
      </w:r>
    </w:p>
    <w:p>
      <w:pPr>
        <w:pStyle w:val="45"/>
        <w:spacing w:line="355"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承包人应按照第</w:t>
      </w:r>
      <w:r>
        <w:rPr>
          <w:rFonts w:ascii="Times New Roman" w:hAnsi="Times New Roman" w:eastAsia="Times New Roman" w:cs="Times New Roman"/>
          <w:color w:val="auto"/>
          <w:sz w:val="24"/>
          <w:szCs w:val="24"/>
          <w:lang w:val="en-US" w:bidi="en-US"/>
        </w:rPr>
        <w:t>9.4</w:t>
      </w:r>
      <w:r>
        <w:rPr>
          <w:rFonts w:ascii="Times New Roman" w:hAnsi="Times New Roman" w:cs="Times New Roman"/>
          <w:color w:val="auto"/>
          <w:sz w:val="24"/>
          <w:szCs w:val="24"/>
        </w:rPr>
        <w:t>款约定负责施工场地及其周边环境与生态的保护工作。</w:t>
      </w:r>
    </w:p>
    <w:p>
      <w:pPr>
        <w:pStyle w:val="45"/>
        <w:spacing w:line="363"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 xml:space="preserve">4. 1. </w:t>
      </w:r>
      <w:r>
        <w:rPr>
          <w:rFonts w:ascii="Times New Roman" w:hAnsi="Times New Roman" w:cs="Times New Roman"/>
          <w:color w:val="auto"/>
          <w:sz w:val="24"/>
          <w:szCs w:val="24"/>
        </w:rPr>
        <w:t>7避免施工对公众与他人的利益造成损害</w:t>
      </w:r>
    </w:p>
    <w:p>
      <w:pPr>
        <w:pStyle w:val="45"/>
        <w:spacing w:line="355"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承包人在进行合同约定的各项工作时，不得侵害发包人与他人使用公用道路、水源、 市政管网等公共设施的权利，避免对邻近的公共设施产生干扰。承包人占用或使用他人的施工场地，影响他人作业或生活的，应承担相应责任。</w:t>
      </w:r>
    </w:p>
    <w:p>
      <w:pPr>
        <w:pStyle w:val="45"/>
        <w:spacing w:line="363"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4. 1.8</w:t>
      </w:r>
      <w:r>
        <w:rPr>
          <w:rFonts w:ascii="Times New Roman" w:hAnsi="Times New Roman" w:cs="Times New Roman"/>
          <w:color w:val="auto"/>
          <w:sz w:val="24"/>
          <w:szCs w:val="24"/>
        </w:rPr>
        <w:t>为他人提供方便</w:t>
      </w:r>
    </w:p>
    <w:p>
      <w:pPr>
        <w:pStyle w:val="45"/>
        <w:spacing w:line="341"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承包人应按监理人的指示为他人在施工场地或附近实施与工程有关的其他各项工作提供可能的条件。除合同另有约定外，提供有关条件的内容和可能发生的费用，由监理人按 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rFonts w:ascii="Times New Roman" w:hAnsi="Times New Roman" w:cs="Times New Roman"/>
          <w:color w:val="auto"/>
          <w:sz w:val="24"/>
          <w:szCs w:val="24"/>
        </w:rPr>
        <w:t>款商定或确定。</w:t>
      </w:r>
    </w:p>
    <w:p>
      <w:pPr>
        <w:pStyle w:val="45"/>
        <w:spacing w:line="363"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4.1.9</w:t>
      </w:r>
      <w:r>
        <w:rPr>
          <w:rFonts w:ascii="Times New Roman" w:hAnsi="Times New Roman" w:cs="Times New Roman"/>
          <w:color w:val="auto"/>
          <w:sz w:val="24"/>
          <w:szCs w:val="24"/>
        </w:rPr>
        <w:t>工程的维护和照管</w:t>
      </w:r>
    </w:p>
    <w:p>
      <w:pPr>
        <w:pStyle w:val="45"/>
        <w:spacing w:line="355"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除合同另有约定外，合同工程完工证书颁发前，承包人应负责照管和维护工程。合同工程完工证书颁发时尚有部分未完工程的，承包人还应负责该未完工程的照管和维护工作，直至完工后移交给发包人为止。</w:t>
      </w:r>
    </w:p>
    <w:p>
      <w:pPr>
        <w:pStyle w:val="45"/>
        <w:spacing w:line="363" w:lineRule="exact"/>
        <w:ind w:firstLine="420"/>
        <w:jc w:val="both"/>
        <w:rPr>
          <w:rFonts w:ascii="Times New Roman" w:hAnsi="Times New Roman" w:cs="Times New Roman"/>
          <w:color w:val="auto"/>
          <w:sz w:val="24"/>
          <w:szCs w:val="24"/>
        </w:rPr>
      </w:pPr>
      <w:r>
        <w:rPr>
          <w:rFonts w:ascii="Times New Roman" w:hAnsi="Times New Roman" w:cs="Times New Roman"/>
          <w:color w:val="auto"/>
          <w:sz w:val="24"/>
          <w:szCs w:val="24"/>
        </w:rPr>
        <w:t>4.1.10其它义务</w:t>
      </w:r>
    </w:p>
    <w:p>
      <w:pPr>
        <w:pStyle w:val="45"/>
        <w:spacing w:after="120" w:line="363" w:lineRule="exact"/>
        <w:ind w:firstLine="420"/>
        <w:jc w:val="both"/>
        <w:rPr>
          <w:color w:val="auto"/>
          <w:sz w:val="24"/>
          <w:szCs w:val="24"/>
        </w:rPr>
      </w:pPr>
      <w:r>
        <w:rPr>
          <w:color w:val="auto"/>
          <w:sz w:val="24"/>
          <w:szCs w:val="24"/>
        </w:rPr>
        <w:t>其它义务在专用合同条款中补充约定。</w:t>
      </w:r>
    </w:p>
    <w:p>
      <w:pPr>
        <w:pStyle w:val="6"/>
        <w:ind w:left="0" w:leftChars="0" w:firstLine="0" w:firstLineChars="0"/>
        <w:rPr>
          <w:color w:val="auto"/>
          <w:sz w:val="24"/>
          <w:szCs w:val="24"/>
          <w:lang w:eastAsia="zh-CN"/>
        </w:rPr>
      </w:pPr>
      <w:bookmarkStart w:id="292" w:name="_Toc11535"/>
      <w:bookmarkStart w:id="293" w:name="bookmark1004"/>
      <w:bookmarkStart w:id="294" w:name="bookmark1006"/>
      <w:bookmarkStart w:id="295" w:name="bookmark1005"/>
      <w:r>
        <w:rPr>
          <w:color w:val="auto"/>
          <w:sz w:val="24"/>
          <w:szCs w:val="24"/>
          <w:lang w:eastAsia="zh-CN"/>
        </w:rPr>
        <w:t>4.2履约担保</w:t>
      </w:r>
      <w:bookmarkEnd w:id="292"/>
      <w:bookmarkEnd w:id="293"/>
      <w:bookmarkEnd w:id="294"/>
      <w:bookmarkEnd w:id="295"/>
    </w:p>
    <w:p>
      <w:pPr>
        <w:pStyle w:val="45"/>
        <w:spacing w:after="160" w:line="331" w:lineRule="exact"/>
        <w:ind w:firstLine="420"/>
        <w:jc w:val="both"/>
        <w:rPr>
          <w:color w:val="auto"/>
          <w:sz w:val="24"/>
          <w:szCs w:val="24"/>
        </w:rPr>
      </w:pPr>
      <w:r>
        <w:rPr>
          <w:color w:val="auto"/>
          <w:sz w:val="24"/>
          <w:szCs w:val="24"/>
        </w:rPr>
        <w:t>承包人应保证其履约担保在发包人颁发合同工程完工证书前一直有效。发包人应在合同工程完工证书颁发后</w:t>
      </w:r>
      <w:r>
        <w:rPr>
          <w:rFonts w:ascii="Times New Roman" w:hAnsi="Times New Roman" w:eastAsia="Times New Roman" w:cs="Times New Roman"/>
          <w:color w:val="auto"/>
          <w:sz w:val="24"/>
          <w:szCs w:val="24"/>
        </w:rPr>
        <w:t>28</w:t>
      </w:r>
      <w:r>
        <w:rPr>
          <w:color w:val="auto"/>
          <w:sz w:val="24"/>
          <w:szCs w:val="24"/>
        </w:rPr>
        <w:t>天内将履约担保退还给承包人。</w:t>
      </w:r>
    </w:p>
    <w:p>
      <w:pPr>
        <w:pStyle w:val="6"/>
        <w:ind w:left="0" w:leftChars="0" w:firstLine="0" w:firstLineChars="0"/>
        <w:rPr>
          <w:color w:val="auto"/>
          <w:sz w:val="24"/>
          <w:szCs w:val="24"/>
          <w:lang w:eastAsia="zh-CN"/>
        </w:rPr>
      </w:pPr>
      <w:bookmarkStart w:id="296" w:name="_Toc31393"/>
      <w:bookmarkStart w:id="297" w:name="bookmark1007"/>
      <w:bookmarkStart w:id="298" w:name="bookmark1009"/>
      <w:bookmarkStart w:id="299" w:name="bookmark1008"/>
      <w:r>
        <w:rPr>
          <w:color w:val="auto"/>
          <w:sz w:val="24"/>
          <w:szCs w:val="24"/>
          <w:lang w:eastAsia="zh-CN"/>
        </w:rPr>
        <w:t>4.3分包</w:t>
      </w:r>
      <w:bookmarkEnd w:id="296"/>
      <w:bookmarkEnd w:id="297"/>
      <w:bookmarkEnd w:id="298"/>
      <w:bookmarkEnd w:id="299"/>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4.3.1</w:t>
      </w:r>
      <w:r>
        <w:rPr>
          <w:color w:val="auto"/>
          <w:sz w:val="24"/>
          <w:szCs w:val="24"/>
        </w:rPr>
        <w:t>承包人不得将其承包的全部工程转包给第三人，或将其承包的全部工程肢解后以分包的名义转包给第三人。</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4.3.2</w:t>
      </w:r>
      <w:r>
        <w:rPr>
          <w:color w:val="auto"/>
          <w:sz w:val="24"/>
          <w:szCs w:val="24"/>
        </w:rPr>
        <w:t>承包人不得将工程主体、关键性工作分包给第三人。除专用合同条款另有约定外，未经</w:t>
      </w:r>
      <w:r>
        <w:rPr>
          <w:rFonts w:hint="eastAsia"/>
          <w:color w:val="auto"/>
          <w:sz w:val="24"/>
          <w:szCs w:val="24"/>
          <w:lang w:eastAsia="zh-CN"/>
        </w:rPr>
        <w:t>发包人书面同意</w:t>
      </w:r>
      <w:r>
        <w:rPr>
          <w:color w:val="auto"/>
          <w:sz w:val="24"/>
          <w:szCs w:val="24"/>
        </w:rPr>
        <w:t>，承包人不得将工程的其他部分或工作分包给第三人。</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4.3.</w:t>
      </w:r>
      <w:r>
        <w:rPr>
          <w:rFonts w:ascii="Times New Roman" w:hAnsi="Times New Roman" w:eastAsia="Times New Roman" w:cs="Times New Roman"/>
          <w:color w:val="auto"/>
          <w:sz w:val="24"/>
          <w:szCs w:val="24"/>
        </w:rPr>
        <w:t>3</w:t>
      </w:r>
      <w:r>
        <w:rPr>
          <w:color w:val="auto"/>
          <w:sz w:val="24"/>
          <w:szCs w:val="24"/>
        </w:rPr>
        <w:t>分包人的资格能力应与其分包工程的标准和规模相适应。</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4.3.4</w:t>
      </w:r>
      <w:r>
        <w:rPr>
          <w:color w:val="auto"/>
          <w:sz w:val="24"/>
          <w:szCs w:val="24"/>
        </w:rPr>
        <w:t>按投标函附录约定分包工程的，承包人应向发包人和监理人提交分包合同 副本。</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4.3.5</w:t>
      </w:r>
      <w:r>
        <w:rPr>
          <w:color w:val="auto"/>
          <w:sz w:val="24"/>
          <w:szCs w:val="24"/>
        </w:rPr>
        <w:t>承包人应与分包人就分包工程向发包人承担连带责任。</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4.3.6</w:t>
      </w:r>
      <w:r>
        <w:rPr>
          <w:color w:val="auto"/>
          <w:sz w:val="24"/>
          <w:szCs w:val="24"/>
        </w:rPr>
        <w:t>分包分为工程分包和劳务作业分包。工程分包应遵循合同约定或者经发包人书面认可。禁止承包人将本合同工程进行违法分包。分包人应具备与分包工程规模和标准相适应的资质和业绩，在人力、设备、资金等方面具有承担分包工程施工的能力。分包人应自行完成所承包的任务。</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4.3.7</w:t>
      </w:r>
      <w:r>
        <w:rPr>
          <w:color w:val="auto"/>
          <w:sz w:val="24"/>
          <w:szCs w:val="24"/>
        </w:rPr>
        <w:t>在合同实施过程中，如承包人无力在合同规定的期限内完成合同中的应急防 汛、抢险等危及公共安全和工程安全的项目，发包人可对该应急防汛、抢险等项目的部分工程指定分包人。因非承包人原因形成指定分包条件的，发包人的指定分包不得增加承包人的额外费用；因承包人原因形成指定分包条件的，承包人应承担指定分包所增加的费用。由指定分包人造成的与其分包工作有关的一切索赔、诉讼和损失赔偿由指定分包人直接对发包人负责，承包人不对此承担责任。</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4.3.8</w:t>
      </w:r>
      <w:r>
        <w:rPr>
          <w:color w:val="auto"/>
          <w:sz w:val="24"/>
          <w:szCs w:val="24"/>
        </w:rPr>
        <w:t>承包人和发包人应当签订分包合同，并履行合同约定的义务。分包合同必须遵循承包合同的各项原则，满足相应条款的要求。发包人可以对分包合同实施情况进行监督检查。承包人应将分包合同副本提交发包人和监理人。</w:t>
      </w:r>
    </w:p>
    <w:p>
      <w:pPr>
        <w:pStyle w:val="45"/>
        <w:spacing w:line="357"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4.3.9</w:t>
      </w:r>
      <w:r>
        <w:rPr>
          <w:color w:val="auto"/>
          <w:sz w:val="24"/>
          <w:szCs w:val="24"/>
        </w:rPr>
        <w:t>除第</w:t>
      </w:r>
      <w:r>
        <w:rPr>
          <w:rFonts w:ascii="Times New Roman" w:hAnsi="Times New Roman" w:eastAsia="Times New Roman" w:cs="Times New Roman"/>
          <w:color w:val="auto"/>
          <w:sz w:val="24"/>
          <w:szCs w:val="24"/>
          <w:lang w:val="en-US" w:bidi="en-US"/>
        </w:rPr>
        <w:t xml:space="preserve">4. 3. </w:t>
      </w:r>
      <w:r>
        <w:rPr>
          <w:rFonts w:ascii="Times New Roman" w:hAnsi="Times New Roman" w:eastAsia="Times New Roman" w:cs="Times New Roman"/>
          <w:color w:val="auto"/>
          <w:sz w:val="24"/>
          <w:szCs w:val="24"/>
        </w:rPr>
        <w:t>7</w:t>
      </w:r>
      <w:r>
        <w:rPr>
          <w:color w:val="auto"/>
          <w:sz w:val="24"/>
          <w:szCs w:val="24"/>
        </w:rPr>
        <w:t>项规定的指定分包外，承包人对其分包项目的实施以及分包人的行为向发包人负全部责任。承包人应对分包项目的工程进度、质量、安全、计量和验收等实施监督和管理。</w:t>
      </w:r>
    </w:p>
    <w:p>
      <w:pPr>
        <w:pStyle w:val="45"/>
        <w:tabs>
          <w:tab w:val="left" w:pos="736"/>
        </w:tabs>
        <w:spacing w:after="140" w:line="372" w:lineRule="exact"/>
        <w:rPr>
          <w:rFonts w:ascii="Palatino Linotype" w:hAnsi="Palatino Linotype"/>
          <w:color w:val="auto"/>
          <w:sz w:val="24"/>
          <w:szCs w:val="24"/>
        </w:rPr>
      </w:pPr>
      <w:bookmarkStart w:id="300" w:name="bookmark1010"/>
      <w:bookmarkEnd w:id="300"/>
      <w:r>
        <w:rPr>
          <w:rFonts w:ascii="Palatino Linotype" w:hAnsi="Palatino Linotype"/>
          <w:color w:val="auto"/>
          <w:sz w:val="24"/>
          <w:szCs w:val="24"/>
        </w:rPr>
        <w:t>4.3.10分包人应按专用合同条款的约定设立项目管理机构组织管理分包工程的施工活</w:t>
      </w:r>
      <w:r>
        <w:rPr>
          <w:rFonts w:hint="eastAsia"/>
          <w:color w:val="auto"/>
          <w:sz w:val="24"/>
          <w:szCs w:val="24"/>
        </w:rPr>
        <w:t>动。</w:t>
      </w:r>
    </w:p>
    <w:p>
      <w:pPr>
        <w:pStyle w:val="6"/>
        <w:ind w:left="0" w:leftChars="0" w:firstLine="0" w:firstLineChars="0"/>
        <w:rPr>
          <w:color w:val="auto"/>
          <w:sz w:val="24"/>
          <w:szCs w:val="24"/>
          <w:lang w:eastAsia="zh-CN"/>
        </w:rPr>
      </w:pPr>
      <w:bookmarkStart w:id="301" w:name="_Toc27582"/>
      <w:bookmarkStart w:id="302" w:name="bookmark1011"/>
      <w:bookmarkStart w:id="303" w:name="bookmark1012"/>
      <w:bookmarkStart w:id="304" w:name="bookmark1013"/>
      <w:r>
        <w:rPr>
          <w:color w:val="auto"/>
          <w:sz w:val="24"/>
          <w:szCs w:val="24"/>
          <w:lang w:eastAsia="zh-CN"/>
        </w:rPr>
        <w:t>4.4联合体</w:t>
      </w:r>
      <w:bookmarkEnd w:id="301"/>
      <w:bookmarkEnd w:id="302"/>
      <w:bookmarkEnd w:id="303"/>
      <w:bookmarkEnd w:id="304"/>
    </w:p>
    <w:p>
      <w:pPr>
        <w:pStyle w:val="45"/>
        <w:tabs>
          <w:tab w:val="left" w:pos="738"/>
        </w:tabs>
        <w:spacing w:line="377" w:lineRule="exact"/>
        <w:ind w:firstLine="480" w:firstLineChars="200"/>
        <w:jc w:val="both"/>
        <w:rPr>
          <w:color w:val="auto"/>
          <w:sz w:val="24"/>
          <w:szCs w:val="24"/>
        </w:rPr>
      </w:pPr>
      <w:bookmarkStart w:id="305" w:name="bookmark1014"/>
      <w:bookmarkEnd w:id="305"/>
      <w:r>
        <w:rPr>
          <w:rFonts w:hint="eastAsia" w:ascii="Times New Roman" w:hAnsi="Times New Roman" w:cs="Times New Roman"/>
          <w:color w:val="auto"/>
          <w:sz w:val="24"/>
          <w:szCs w:val="24"/>
          <w:lang w:val="en-US" w:bidi="en-US"/>
        </w:rPr>
        <w:t>4.</w:t>
      </w:r>
      <w:r>
        <w:rPr>
          <w:rFonts w:ascii="Times New Roman" w:hAnsi="Times New Roman" w:eastAsia="Times New Roman" w:cs="Times New Roman"/>
          <w:color w:val="auto"/>
          <w:sz w:val="24"/>
          <w:szCs w:val="24"/>
          <w:lang w:val="en-US" w:bidi="en-US"/>
        </w:rPr>
        <w:t>4.1</w:t>
      </w:r>
      <w:r>
        <w:rPr>
          <w:color w:val="auto"/>
          <w:sz w:val="24"/>
          <w:szCs w:val="24"/>
        </w:rPr>
        <w:t>联合体各方应共同与发包人签订合同协议书。联合体各方应为履行合同承担连带责任。</w:t>
      </w:r>
    </w:p>
    <w:p>
      <w:pPr>
        <w:pStyle w:val="45"/>
        <w:spacing w:line="365"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4.4.2</w:t>
      </w:r>
      <w:r>
        <w:rPr>
          <w:color w:val="auto"/>
          <w:sz w:val="24"/>
          <w:szCs w:val="24"/>
        </w:rPr>
        <w:t>联合体协议经发包人确认后作为合同附件。在履行合同过程中，未经</w:t>
      </w:r>
      <w:r>
        <w:rPr>
          <w:rFonts w:hint="eastAsia"/>
          <w:color w:val="auto"/>
          <w:sz w:val="24"/>
          <w:szCs w:val="24"/>
          <w:lang w:eastAsia="zh-CN"/>
        </w:rPr>
        <w:t>发包人书面同意</w:t>
      </w:r>
      <w:r>
        <w:rPr>
          <w:color w:val="auto"/>
          <w:sz w:val="24"/>
          <w:szCs w:val="24"/>
        </w:rPr>
        <w:t>，不得修改联合体协议。</w:t>
      </w:r>
    </w:p>
    <w:p>
      <w:pPr>
        <w:pStyle w:val="45"/>
        <w:spacing w:after="140"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4.4.3</w:t>
      </w:r>
      <w:r>
        <w:rPr>
          <w:color w:val="auto"/>
          <w:sz w:val="24"/>
          <w:szCs w:val="24"/>
        </w:rPr>
        <w:t>联合体牵头人负责与发包人和监理人联系，并接受指示，负责组织联合体各成员全面履行合同。</w:t>
      </w:r>
    </w:p>
    <w:p>
      <w:pPr>
        <w:pStyle w:val="6"/>
        <w:ind w:left="0" w:leftChars="0" w:firstLine="0" w:firstLineChars="0"/>
        <w:rPr>
          <w:color w:val="auto"/>
          <w:sz w:val="24"/>
          <w:szCs w:val="24"/>
          <w:lang w:eastAsia="zh-CN"/>
        </w:rPr>
      </w:pPr>
      <w:bookmarkStart w:id="306" w:name="_Toc27934"/>
      <w:bookmarkStart w:id="307" w:name="bookmark1016"/>
      <w:bookmarkStart w:id="308" w:name="bookmark1017"/>
      <w:bookmarkStart w:id="309" w:name="bookmark1015"/>
      <w:r>
        <w:rPr>
          <w:color w:val="auto"/>
          <w:sz w:val="24"/>
          <w:szCs w:val="24"/>
          <w:lang w:eastAsia="zh-CN"/>
        </w:rPr>
        <w:t>4.5承包人项目经理</w:t>
      </w:r>
      <w:bookmarkEnd w:id="306"/>
      <w:bookmarkEnd w:id="307"/>
      <w:bookmarkEnd w:id="308"/>
      <w:bookmarkEnd w:id="309"/>
    </w:p>
    <w:p>
      <w:pPr>
        <w:pStyle w:val="45"/>
        <w:spacing w:line="359"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4.5.1</w:t>
      </w:r>
      <w:r>
        <w:rPr>
          <w:color w:val="auto"/>
          <w:sz w:val="24"/>
          <w:szCs w:val="24"/>
        </w:rPr>
        <w:t>承包人应按合同约定指派项目经理，并在约定的期限内到职。承包人更换项目经理应事先征得</w:t>
      </w:r>
      <w:r>
        <w:rPr>
          <w:rFonts w:hint="eastAsia"/>
          <w:color w:val="auto"/>
          <w:sz w:val="24"/>
          <w:szCs w:val="24"/>
          <w:lang w:eastAsia="zh-CN"/>
        </w:rPr>
        <w:t>发包人书面同意</w:t>
      </w:r>
      <w:r>
        <w:rPr>
          <w:color w:val="auto"/>
          <w:sz w:val="24"/>
          <w:szCs w:val="24"/>
        </w:rPr>
        <w:t>，并应在更换</w:t>
      </w:r>
      <w:r>
        <w:rPr>
          <w:rFonts w:ascii="Times New Roman" w:hAnsi="Times New Roman" w:eastAsia="Times New Roman" w:cs="Times New Roman"/>
          <w:color w:val="auto"/>
          <w:sz w:val="24"/>
          <w:szCs w:val="24"/>
        </w:rPr>
        <w:t>14</w:t>
      </w:r>
      <w:r>
        <w:rPr>
          <w:color w:val="auto"/>
          <w:sz w:val="24"/>
          <w:szCs w:val="24"/>
        </w:rPr>
        <w:t>天前通知发包人和监理人。承包人项目经理短 期离开施工场地，应事先征得监理人同意，并委派代表代行其职责。</w:t>
      </w:r>
    </w:p>
    <w:p>
      <w:pPr>
        <w:pStyle w:val="45"/>
        <w:spacing w:line="366"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4.5.2</w:t>
      </w:r>
      <w:r>
        <w:rPr>
          <w:color w:val="auto"/>
          <w:sz w:val="24"/>
          <w:szCs w:val="24"/>
        </w:rPr>
        <w:t>承包人项目经理应按合同约定以及监理人按第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4</w:t>
      </w:r>
      <w:r>
        <w:rPr>
          <w:color w:val="auto"/>
          <w:sz w:val="24"/>
          <w:szCs w:val="24"/>
        </w:rPr>
        <w:t>款作出的指示，负责组织合同工程的实施。在情况紧急且无法与监理人取得联系时，可采取保证工程和人员生命财产安全的紧急措施，并在采取措施后</w:t>
      </w:r>
      <w:r>
        <w:rPr>
          <w:rFonts w:ascii="Times New Roman" w:hAnsi="Times New Roman" w:eastAsia="Times New Roman" w:cs="Times New Roman"/>
          <w:color w:val="auto"/>
          <w:sz w:val="24"/>
          <w:szCs w:val="24"/>
        </w:rPr>
        <w:t>24</w:t>
      </w:r>
      <w:r>
        <w:rPr>
          <w:color w:val="auto"/>
          <w:sz w:val="24"/>
          <w:szCs w:val="24"/>
        </w:rPr>
        <w:t>小时内向监理人提交书面报告。</w:t>
      </w:r>
    </w:p>
    <w:p>
      <w:pPr>
        <w:pStyle w:val="45"/>
        <w:spacing w:line="366"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4.5.</w:t>
      </w:r>
      <w:r>
        <w:rPr>
          <w:rFonts w:ascii="Times New Roman" w:hAnsi="Times New Roman" w:eastAsia="Times New Roman" w:cs="Times New Roman"/>
          <w:color w:val="auto"/>
          <w:sz w:val="24"/>
          <w:szCs w:val="24"/>
        </w:rPr>
        <w:t>3</w:t>
      </w:r>
      <w:r>
        <w:rPr>
          <w:color w:val="auto"/>
          <w:sz w:val="24"/>
          <w:szCs w:val="24"/>
        </w:rPr>
        <w:t>承包人为履行合同发出的一切函件均应盖有承包人授权的施工场地管理机构章，并由承包人项目经理或其授权代表签字。</w:t>
      </w:r>
    </w:p>
    <w:p>
      <w:pPr>
        <w:pStyle w:val="45"/>
        <w:spacing w:after="140"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4.5.4</w:t>
      </w:r>
      <w:r>
        <w:rPr>
          <w:color w:val="auto"/>
          <w:sz w:val="24"/>
          <w:szCs w:val="24"/>
        </w:rPr>
        <w:t>承包人项目经理可以授权其下属人员履行其某项职责，但事先应将这些人员的姓名和授权范围通知监理人。</w:t>
      </w:r>
    </w:p>
    <w:p>
      <w:pPr>
        <w:pStyle w:val="6"/>
        <w:ind w:left="0" w:leftChars="0" w:firstLine="0" w:firstLineChars="0"/>
        <w:rPr>
          <w:color w:val="auto"/>
          <w:sz w:val="24"/>
          <w:szCs w:val="24"/>
          <w:lang w:eastAsia="zh-CN"/>
        </w:rPr>
      </w:pPr>
      <w:bookmarkStart w:id="310" w:name="bookmark1018"/>
      <w:bookmarkStart w:id="311" w:name="bookmark1019"/>
      <w:bookmarkStart w:id="312" w:name="bookmark1020"/>
      <w:bookmarkStart w:id="313" w:name="_Toc1095"/>
      <w:r>
        <w:rPr>
          <w:color w:val="auto"/>
          <w:sz w:val="24"/>
          <w:szCs w:val="24"/>
          <w:lang w:eastAsia="zh-CN"/>
        </w:rPr>
        <w:t>4.6承包人人员的管理</w:t>
      </w:r>
      <w:bookmarkEnd w:id="310"/>
      <w:bookmarkEnd w:id="311"/>
      <w:bookmarkEnd w:id="312"/>
      <w:bookmarkEnd w:id="313"/>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4.6.1</w:t>
      </w:r>
      <w:r>
        <w:rPr>
          <w:color w:val="auto"/>
          <w:sz w:val="24"/>
          <w:szCs w:val="24"/>
        </w:rPr>
        <w:t>承包人应在接到开工通知后</w:t>
      </w:r>
      <w:r>
        <w:rPr>
          <w:rFonts w:ascii="Times New Roman" w:hAnsi="Times New Roman" w:eastAsia="Times New Roman" w:cs="Times New Roman"/>
          <w:color w:val="auto"/>
          <w:sz w:val="24"/>
          <w:szCs w:val="24"/>
        </w:rPr>
        <w:t>28</w:t>
      </w:r>
      <w:r>
        <w:rPr>
          <w:color w:val="auto"/>
          <w:sz w:val="24"/>
          <w:szCs w:val="24"/>
        </w:rPr>
        <w:t>天内，向监理人提交承包人在施工场地的管理机构以及人员安排的报告，其内容应包括管理机构的设置、各主要岗位的技术和管理人员名单及其资格，以及各工种技术工人的安排状况。承包人应向监理人提交施工场地人员变动情况的报告。</w:t>
      </w:r>
    </w:p>
    <w:p>
      <w:pPr>
        <w:pStyle w:val="45"/>
        <w:spacing w:after="140"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4.6.2</w:t>
      </w:r>
      <w:r>
        <w:rPr>
          <w:color w:val="auto"/>
          <w:sz w:val="24"/>
          <w:szCs w:val="24"/>
        </w:rPr>
        <w:t>为完成合同约定的各项工作，承包人应向施工场地派遣或雇佣足够数量的下列 人员：</w:t>
      </w:r>
    </w:p>
    <w:p>
      <w:pPr>
        <w:pStyle w:val="45"/>
        <w:numPr>
          <w:ilvl w:val="0"/>
          <w:numId w:val="6"/>
        </w:numPr>
        <w:tabs>
          <w:tab w:val="left" w:pos="899"/>
        </w:tabs>
        <w:spacing w:line="360" w:lineRule="exact"/>
        <w:ind w:firstLine="420"/>
        <w:jc w:val="both"/>
        <w:rPr>
          <w:color w:val="auto"/>
          <w:sz w:val="24"/>
          <w:szCs w:val="24"/>
        </w:rPr>
      </w:pPr>
      <w:bookmarkStart w:id="314" w:name="bookmark1021"/>
      <w:bookmarkEnd w:id="314"/>
      <w:r>
        <w:rPr>
          <w:color w:val="auto"/>
          <w:sz w:val="24"/>
          <w:szCs w:val="24"/>
        </w:rPr>
        <w:t>具有相应资格的专业技工和合格的普工；</w:t>
      </w:r>
    </w:p>
    <w:p>
      <w:pPr>
        <w:pStyle w:val="45"/>
        <w:numPr>
          <w:ilvl w:val="0"/>
          <w:numId w:val="6"/>
        </w:numPr>
        <w:tabs>
          <w:tab w:val="left" w:pos="899"/>
        </w:tabs>
        <w:spacing w:line="360" w:lineRule="exact"/>
        <w:ind w:firstLine="420"/>
        <w:jc w:val="both"/>
        <w:rPr>
          <w:color w:val="auto"/>
          <w:sz w:val="24"/>
          <w:szCs w:val="24"/>
        </w:rPr>
      </w:pPr>
      <w:bookmarkStart w:id="315" w:name="bookmark1022"/>
      <w:bookmarkEnd w:id="315"/>
      <w:r>
        <w:rPr>
          <w:color w:val="auto"/>
          <w:sz w:val="24"/>
          <w:szCs w:val="24"/>
        </w:rPr>
        <w:t>具有相应施工经验的技术人员；</w:t>
      </w:r>
    </w:p>
    <w:p>
      <w:pPr>
        <w:pStyle w:val="45"/>
        <w:numPr>
          <w:ilvl w:val="0"/>
          <w:numId w:val="6"/>
        </w:numPr>
        <w:tabs>
          <w:tab w:val="left" w:pos="899"/>
        </w:tabs>
        <w:spacing w:line="360" w:lineRule="exact"/>
        <w:ind w:firstLine="420"/>
        <w:jc w:val="both"/>
        <w:rPr>
          <w:color w:val="auto"/>
          <w:sz w:val="24"/>
          <w:szCs w:val="24"/>
        </w:rPr>
      </w:pPr>
      <w:bookmarkStart w:id="316" w:name="bookmark1023"/>
      <w:bookmarkEnd w:id="316"/>
      <w:r>
        <w:rPr>
          <w:color w:val="auto"/>
          <w:sz w:val="24"/>
          <w:szCs w:val="24"/>
        </w:rPr>
        <w:t>具有相应岗位资格的各级管理人员。</w:t>
      </w:r>
    </w:p>
    <w:p>
      <w:pPr>
        <w:pStyle w:val="45"/>
        <w:spacing w:after="140"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4.6.3</w:t>
      </w:r>
      <w:r>
        <w:rPr>
          <w:color w:val="auto"/>
          <w:sz w:val="24"/>
          <w:szCs w:val="24"/>
        </w:rPr>
        <w:t>承包人安排在施工场地的主要管理人员和技术骨干应相对稳定。承包人更换主要管理人员和技术骨干时，应取得监理人的同意。</w:t>
      </w:r>
    </w:p>
    <w:p>
      <w:pPr>
        <w:pStyle w:val="45"/>
        <w:spacing w:after="40"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4. 6.4</w:t>
      </w:r>
      <w:r>
        <w:rPr>
          <w:color w:val="auto"/>
          <w:sz w:val="24"/>
          <w:szCs w:val="24"/>
        </w:rPr>
        <w:t>特殊岗位的工作人员均应持有相应的资格证明，监理人有权随时检查。监理人认为有必要时，可进行现场考核。</w:t>
      </w:r>
    </w:p>
    <w:p>
      <w:pPr>
        <w:pStyle w:val="6"/>
        <w:ind w:left="0" w:leftChars="0" w:firstLine="0" w:firstLineChars="0"/>
        <w:rPr>
          <w:color w:val="auto"/>
          <w:sz w:val="24"/>
          <w:szCs w:val="24"/>
          <w:lang w:eastAsia="zh-CN"/>
        </w:rPr>
      </w:pPr>
      <w:bookmarkStart w:id="317" w:name="bookmark1026"/>
      <w:bookmarkStart w:id="318" w:name="bookmark1024"/>
      <w:bookmarkStart w:id="319" w:name="_Toc24736"/>
      <w:bookmarkStart w:id="320" w:name="bookmark1025"/>
      <w:r>
        <w:rPr>
          <w:color w:val="auto"/>
          <w:sz w:val="24"/>
          <w:szCs w:val="24"/>
          <w:lang w:eastAsia="zh-CN"/>
        </w:rPr>
        <w:t>4.7撤换承包人项目经理和其他人员</w:t>
      </w:r>
      <w:bookmarkEnd w:id="317"/>
      <w:bookmarkEnd w:id="318"/>
      <w:bookmarkEnd w:id="319"/>
      <w:bookmarkEnd w:id="320"/>
    </w:p>
    <w:p>
      <w:pPr>
        <w:pStyle w:val="45"/>
        <w:spacing w:after="160" w:line="360" w:lineRule="exact"/>
        <w:ind w:firstLine="420"/>
        <w:jc w:val="both"/>
        <w:rPr>
          <w:color w:val="auto"/>
          <w:sz w:val="24"/>
          <w:szCs w:val="24"/>
        </w:rPr>
      </w:pPr>
      <w:r>
        <w:rPr>
          <w:color w:val="auto"/>
          <w:sz w:val="24"/>
          <w:szCs w:val="24"/>
        </w:rPr>
        <w:t>承包人应对其项目经理和其他人员进行有效管理。监理人要求撤换不能胜任本职工作、 行为不端或玩忽职守的承包人项目经理和其他人员的，承包人应予以撤换。</w:t>
      </w:r>
    </w:p>
    <w:p>
      <w:pPr>
        <w:pStyle w:val="6"/>
        <w:ind w:left="0" w:leftChars="0" w:firstLine="0" w:firstLineChars="0"/>
        <w:rPr>
          <w:color w:val="auto"/>
          <w:sz w:val="24"/>
          <w:szCs w:val="24"/>
          <w:lang w:eastAsia="zh-CN"/>
        </w:rPr>
      </w:pPr>
      <w:bookmarkStart w:id="321" w:name="bookmark1027"/>
      <w:bookmarkStart w:id="322" w:name="bookmark1028"/>
      <w:bookmarkStart w:id="323" w:name="_Toc19207"/>
      <w:bookmarkStart w:id="324" w:name="bookmark1029"/>
      <w:r>
        <w:rPr>
          <w:color w:val="auto"/>
          <w:sz w:val="24"/>
          <w:szCs w:val="24"/>
          <w:lang w:eastAsia="zh-CN"/>
        </w:rPr>
        <w:t>4.8保障承包人人员的合法权益</w:t>
      </w:r>
      <w:bookmarkEnd w:id="321"/>
      <w:bookmarkEnd w:id="322"/>
      <w:bookmarkEnd w:id="323"/>
      <w:bookmarkEnd w:id="324"/>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4.8.</w:t>
      </w:r>
      <w:r>
        <w:rPr>
          <w:rFonts w:ascii="Times New Roman" w:hAnsi="Times New Roman" w:eastAsia="Times New Roman" w:cs="Times New Roman"/>
          <w:color w:val="auto"/>
          <w:sz w:val="24"/>
          <w:szCs w:val="24"/>
        </w:rPr>
        <w:t>1</w:t>
      </w:r>
      <w:r>
        <w:rPr>
          <w:color w:val="auto"/>
          <w:sz w:val="24"/>
          <w:szCs w:val="24"/>
        </w:rPr>
        <w:t>承包人应与其雇佣的人员签订劳动合同，并按时发放工资。</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4.8.</w:t>
      </w:r>
      <w:r>
        <w:rPr>
          <w:rFonts w:ascii="Times New Roman" w:hAnsi="Times New Roman" w:eastAsia="Times New Roman" w:cs="Times New Roman"/>
          <w:color w:val="auto"/>
          <w:sz w:val="24"/>
          <w:szCs w:val="24"/>
        </w:rPr>
        <w:t>2</w:t>
      </w:r>
      <w:r>
        <w:rPr>
          <w:color w:val="auto"/>
          <w:sz w:val="24"/>
          <w:szCs w:val="24"/>
        </w:rPr>
        <w:t>承包人应按劳动法的规定安排工作时间，保证其雇佣人员享有休息和休假的权利。因工程施工的特殊需要占用休假日或延长工作时间的，应不超过法律规定的限度，并按法律规定给予补休或付酬。</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4.8.3</w:t>
      </w:r>
      <w:r>
        <w:rPr>
          <w:color w:val="auto"/>
          <w:sz w:val="24"/>
          <w:szCs w:val="24"/>
        </w:rPr>
        <w:t>承包人应为其雇佣人员提供必要的食宿条件，以及符合环境保护和卫生要求的生活环境，在远离城镇的施工场地，还应配备必要的伤病防治和急救的医务人员与医疗设施。</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4. 8.4</w:t>
      </w:r>
      <w:r>
        <w:rPr>
          <w:color w:val="auto"/>
          <w:sz w:val="24"/>
          <w:szCs w:val="24"/>
        </w:rPr>
        <w:t>承包人应按国家有关劳动保护的规定，采取有效的防止粉尘、降低噪声、控制有害气体和保障高温、高寒、高空作业安全等劳动保护措施。其雇佣人员在施工中受到伤害的，承包人应立即采取有效措施进行抢救和治疗。</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4.8.5</w:t>
      </w:r>
      <w:r>
        <w:rPr>
          <w:color w:val="auto"/>
          <w:sz w:val="24"/>
          <w:szCs w:val="24"/>
        </w:rPr>
        <w:t>承包人应按有关法律规定和合同约定，为其雇佣人员办理保险。</w:t>
      </w:r>
    </w:p>
    <w:p>
      <w:pPr>
        <w:pStyle w:val="45"/>
        <w:spacing w:after="160"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4.8.6</w:t>
      </w:r>
      <w:r>
        <w:rPr>
          <w:color w:val="auto"/>
          <w:sz w:val="24"/>
          <w:szCs w:val="24"/>
        </w:rPr>
        <w:t>承包人应负责处理其雇佣人员因工伤亡事故的善后事宜。</w:t>
      </w:r>
    </w:p>
    <w:p>
      <w:pPr>
        <w:pStyle w:val="6"/>
        <w:ind w:left="0" w:leftChars="0" w:firstLine="0" w:firstLineChars="0"/>
        <w:rPr>
          <w:color w:val="auto"/>
          <w:sz w:val="24"/>
          <w:szCs w:val="24"/>
          <w:lang w:eastAsia="zh-CN"/>
        </w:rPr>
      </w:pPr>
      <w:bookmarkStart w:id="325" w:name="bookmark1030"/>
      <w:bookmarkStart w:id="326" w:name="bookmark1032"/>
      <w:bookmarkStart w:id="327" w:name="bookmark1031"/>
      <w:bookmarkStart w:id="328" w:name="_Toc7851"/>
      <w:r>
        <w:rPr>
          <w:color w:val="auto"/>
          <w:sz w:val="24"/>
          <w:szCs w:val="24"/>
          <w:lang w:eastAsia="zh-CN"/>
        </w:rPr>
        <w:t>4.9工程价款应专款专用</w:t>
      </w:r>
      <w:bookmarkEnd w:id="325"/>
      <w:bookmarkEnd w:id="326"/>
      <w:bookmarkEnd w:id="327"/>
      <w:bookmarkEnd w:id="328"/>
    </w:p>
    <w:p>
      <w:pPr>
        <w:pStyle w:val="45"/>
        <w:spacing w:after="160" w:line="360" w:lineRule="exact"/>
        <w:ind w:firstLine="420"/>
        <w:rPr>
          <w:color w:val="auto"/>
          <w:sz w:val="24"/>
          <w:szCs w:val="24"/>
        </w:rPr>
      </w:pPr>
      <w:r>
        <w:rPr>
          <w:color w:val="auto"/>
          <w:sz w:val="24"/>
          <w:szCs w:val="24"/>
        </w:rPr>
        <w:t>发包人按合同约定支付给承包人的各项价款应专用于合同工程。</w:t>
      </w:r>
    </w:p>
    <w:p>
      <w:pPr>
        <w:pStyle w:val="6"/>
        <w:ind w:left="0" w:leftChars="0" w:firstLine="0" w:firstLineChars="0"/>
        <w:rPr>
          <w:color w:val="auto"/>
          <w:sz w:val="24"/>
          <w:szCs w:val="24"/>
          <w:lang w:eastAsia="zh-CN"/>
        </w:rPr>
      </w:pPr>
      <w:bookmarkStart w:id="329" w:name="bookmark1033"/>
      <w:bookmarkStart w:id="330" w:name="bookmark1034"/>
      <w:bookmarkStart w:id="331" w:name="bookmark1035"/>
      <w:bookmarkStart w:id="332" w:name="_Toc30630"/>
      <w:r>
        <w:rPr>
          <w:color w:val="auto"/>
          <w:sz w:val="24"/>
          <w:szCs w:val="24"/>
          <w:lang w:eastAsia="zh-CN"/>
        </w:rPr>
        <w:t>4.10承包人现场查勘</w:t>
      </w:r>
      <w:bookmarkEnd w:id="329"/>
      <w:bookmarkEnd w:id="330"/>
      <w:bookmarkEnd w:id="331"/>
      <w:bookmarkEnd w:id="332"/>
    </w:p>
    <w:p>
      <w:pPr>
        <w:pStyle w:val="45"/>
        <w:spacing w:line="362" w:lineRule="exact"/>
        <w:ind w:firstLine="42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4.10.</w:t>
      </w:r>
      <w:r>
        <w:rPr>
          <w:rFonts w:ascii="Times New Roman" w:hAnsi="Times New Roman" w:eastAsia="Times New Roman" w:cs="Times New Roman"/>
          <w:color w:val="auto"/>
          <w:sz w:val="24"/>
          <w:szCs w:val="24"/>
        </w:rPr>
        <w:t>1</w:t>
      </w:r>
      <w:r>
        <w:rPr>
          <w:rFonts w:ascii="Times New Roman" w:hAnsi="Times New Roman" w:cs="Times New Roman"/>
          <w:color w:val="auto"/>
          <w:sz w:val="24"/>
          <w:szCs w:val="24"/>
        </w:rPr>
        <w:t>发包人应将其持有的现场地质勘探资料、水文气象资料提供给承包人，并对其准确性负责。但承包人应对其阅读上述有关资料后所作出的解释和推断负责。</w:t>
      </w:r>
    </w:p>
    <w:p>
      <w:pPr>
        <w:pStyle w:val="45"/>
        <w:spacing w:after="240" w:line="362" w:lineRule="exact"/>
        <w:ind w:firstLine="420"/>
        <w:jc w:val="both"/>
        <w:rPr>
          <w:color w:val="auto"/>
          <w:sz w:val="24"/>
          <w:szCs w:val="24"/>
        </w:rPr>
      </w:pPr>
      <w:bookmarkStart w:id="333" w:name="bookmark1036"/>
      <w:bookmarkEnd w:id="333"/>
      <w:r>
        <w:rPr>
          <w:rFonts w:ascii="Times New Roman" w:hAnsi="Times New Roman" w:cs="Times New Roman"/>
          <w:color w:val="auto"/>
          <w:sz w:val="24"/>
          <w:szCs w:val="24"/>
        </w:rPr>
        <w:t>4.10.2承包</w:t>
      </w:r>
      <w:r>
        <w:rPr>
          <w:color w:val="auto"/>
          <w:sz w:val="24"/>
          <w:szCs w:val="24"/>
        </w:rPr>
        <w:t>人应对施工场地和周围环境进行查勘，并收集有关地质、水文、气象条件、交通条件、风俗习惯以及其他为完成合同工作有关的当地资料。在全部合同工作中，应视为承包人已充分估计了应承担的责任和风险。</w:t>
      </w:r>
    </w:p>
    <w:p>
      <w:pPr>
        <w:pStyle w:val="6"/>
        <w:ind w:left="0" w:leftChars="0" w:firstLine="0" w:firstLineChars="0"/>
        <w:rPr>
          <w:color w:val="auto"/>
          <w:sz w:val="24"/>
          <w:szCs w:val="24"/>
          <w:lang w:eastAsia="zh-CN"/>
        </w:rPr>
      </w:pPr>
      <w:bookmarkStart w:id="334" w:name="bookmark1037"/>
      <w:bookmarkStart w:id="335" w:name="bookmark1039"/>
      <w:bookmarkStart w:id="336" w:name="bookmark1038"/>
      <w:bookmarkStart w:id="337" w:name="_Toc2993"/>
      <w:r>
        <w:rPr>
          <w:color w:val="auto"/>
          <w:sz w:val="24"/>
          <w:szCs w:val="24"/>
          <w:lang w:eastAsia="zh-CN"/>
        </w:rPr>
        <w:t>4.11不利物质条件</w:t>
      </w:r>
      <w:bookmarkEnd w:id="334"/>
      <w:bookmarkEnd w:id="335"/>
      <w:bookmarkEnd w:id="336"/>
      <w:bookmarkEnd w:id="337"/>
    </w:p>
    <w:p>
      <w:pPr>
        <w:pStyle w:val="45"/>
        <w:spacing w:line="367" w:lineRule="exact"/>
        <w:ind w:firstLine="420"/>
        <w:jc w:val="both"/>
        <w:rPr>
          <w:color w:val="auto"/>
          <w:sz w:val="24"/>
          <w:szCs w:val="24"/>
        </w:rPr>
      </w:pPr>
      <w:r>
        <w:rPr>
          <w:rFonts w:ascii="Times New Roman" w:hAnsi="Times New Roman" w:eastAsia="Times New Roman" w:cs="Times New Roman"/>
          <w:color w:val="auto"/>
          <w:sz w:val="24"/>
          <w:szCs w:val="24"/>
          <w:lang w:val="en-US" w:bidi="en-US"/>
        </w:rPr>
        <w:t>4.11.1</w:t>
      </w:r>
      <w:r>
        <w:rPr>
          <w:color w:val="auto"/>
          <w:sz w:val="24"/>
          <w:szCs w:val="24"/>
        </w:rPr>
        <w:t>除专用合同条款另有约定外，不利的物质条件是指在施工中遭遇不可预见的外界障碍或自然条件造成施工受阻。</w:t>
      </w:r>
    </w:p>
    <w:p>
      <w:pPr>
        <w:pStyle w:val="45"/>
        <w:spacing w:line="367" w:lineRule="exact"/>
        <w:rPr>
          <w:rFonts w:ascii="Times New Roman" w:hAnsi="Times New Roman" w:cs="Times New Roman"/>
          <w:color w:val="auto"/>
          <w:sz w:val="24"/>
          <w:szCs w:val="24"/>
        </w:rPr>
      </w:pPr>
      <w:r>
        <w:rPr>
          <w:rFonts w:ascii="Times New Roman" w:hAnsi="Times New Roman" w:cs="Times New Roman"/>
          <w:color w:val="auto"/>
          <w:sz w:val="24"/>
          <w:szCs w:val="24"/>
          <w:lang w:val="en-US" w:bidi="en-US"/>
        </w:rPr>
        <w:t>4.11.2</w:t>
      </w:r>
      <w:r>
        <w:rPr>
          <w:rFonts w:ascii="Times New Roman" w:hAnsi="Times New Roman" w:cs="Times New Roman"/>
          <w:color w:val="auto"/>
          <w:sz w:val="24"/>
          <w:szCs w:val="24"/>
        </w:rPr>
        <w:t>承包人遇到不利物质条件时，应采取适应不利物质条件的合理措施继续施工, 并及时通知监理人。承包人应有权根据第</w:t>
      </w:r>
      <w:r>
        <w:rPr>
          <w:rFonts w:ascii="Times New Roman" w:hAnsi="Times New Roman" w:cs="Times New Roman"/>
          <w:color w:val="auto"/>
          <w:sz w:val="24"/>
          <w:szCs w:val="24"/>
          <w:lang w:val="en-US" w:bidi="en-US"/>
        </w:rPr>
        <w:t>23.1</w:t>
      </w:r>
      <w:r>
        <w:rPr>
          <w:rFonts w:ascii="Times New Roman" w:hAnsi="Times New Roman" w:cs="Times New Roman"/>
          <w:color w:val="auto"/>
          <w:sz w:val="24"/>
          <w:szCs w:val="24"/>
        </w:rPr>
        <w:t>款的约定，要求延长工期及增加费用。监理人收到此类要求后，应在分析上述外界障碍或自然条件是否不可预见及不可预见程度的基础上，按照通用合同条款第</w:t>
      </w:r>
      <w:r>
        <w:rPr>
          <w:rFonts w:ascii="Times New Roman" w:hAnsi="Times New Roman" w:eastAsia="Times New Roman" w:cs="Times New Roman"/>
          <w:color w:val="auto"/>
          <w:sz w:val="24"/>
          <w:szCs w:val="24"/>
        </w:rPr>
        <w:t>15</w:t>
      </w:r>
      <w:r>
        <w:rPr>
          <w:rFonts w:ascii="Times New Roman" w:hAnsi="Times New Roman" w:cs="Times New Roman"/>
          <w:color w:val="auto"/>
          <w:sz w:val="24"/>
          <w:szCs w:val="24"/>
        </w:rPr>
        <w:t>条的约定办理。</w:t>
      </w:r>
    </w:p>
    <w:p>
      <w:pPr>
        <w:pStyle w:val="5"/>
        <w:spacing w:line="360" w:lineRule="exact"/>
        <w:rPr>
          <w:rFonts w:hint="eastAsia"/>
          <w:color w:val="auto"/>
          <w:sz w:val="24"/>
          <w:szCs w:val="24"/>
          <w:lang w:eastAsia="zh-CN"/>
        </w:rPr>
      </w:pPr>
      <w:bookmarkStart w:id="338" w:name="bookmark1042"/>
      <w:bookmarkEnd w:id="338"/>
      <w:bookmarkStart w:id="339" w:name="_Toc25230"/>
      <w:bookmarkStart w:id="340" w:name="bookmark1041"/>
      <w:bookmarkStart w:id="341" w:name="bookmark1040"/>
      <w:bookmarkStart w:id="342" w:name="_Toc25421"/>
      <w:bookmarkStart w:id="343" w:name="bookmark1043"/>
      <w:bookmarkStart w:id="344" w:name="_Toc461351055"/>
      <w:r>
        <w:rPr>
          <w:rFonts w:hint="eastAsia"/>
          <w:color w:val="auto"/>
          <w:sz w:val="24"/>
          <w:szCs w:val="24"/>
          <w:lang w:eastAsia="zh-CN"/>
        </w:rPr>
        <w:t>5.材料和工程设备</w:t>
      </w:r>
      <w:bookmarkEnd w:id="339"/>
      <w:bookmarkEnd w:id="340"/>
      <w:bookmarkEnd w:id="341"/>
      <w:bookmarkEnd w:id="342"/>
      <w:bookmarkEnd w:id="343"/>
      <w:bookmarkEnd w:id="344"/>
    </w:p>
    <w:p>
      <w:pPr>
        <w:pStyle w:val="6"/>
        <w:ind w:left="0" w:leftChars="0" w:firstLine="0" w:firstLineChars="0"/>
        <w:rPr>
          <w:color w:val="auto"/>
          <w:sz w:val="24"/>
          <w:szCs w:val="24"/>
          <w:lang w:eastAsia="zh-CN"/>
        </w:rPr>
      </w:pPr>
      <w:bookmarkStart w:id="345" w:name="_Toc5421"/>
      <w:bookmarkStart w:id="346" w:name="bookmark1044"/>
      <w:bookmarkStart w:id="347" w:name="bookmark1045"/>
      <w:bookmarkStart w:id="348" w:name="bookmark1046"/>
      <w:r>
        <w:rPr>
          <w:color w:val="auto"/>
          <w:sz w:val="24"/>
          <w:szCs w:val="24"/>
          <w:lang w:eastAsia="zh-CN"/>
        </w:rPr>
        <w:t>5.1承包人提供的材料和工程设备</w:t>
      </w:r>
      <w:bookmarkEnd w:id="345"/>
      <w:bookmarkEnd w:id="346"/>
      <w:bookmarkEnd w:id="347"/>
      <w:bookmarkEnd w:id="348"/>
    </w:p>
    <w:p>
      <w:pPr>
        <w:pStyle w:val="45"/>
        <w:spacing w:after="280" w:line="354" w:lineRule="exact"/>
        <w:ind w:firstLine="420"/>
        <w:jc w:val="both"/>
        <w:rPr>
          <w:rFonts w:ascii="Times New Roman" w:hAnsi="Times New Roman" w:cs="Times New Roman"/>
          <w:color w:val="auto"/>
          <w:sz w:val="24"/>
          <w:szCs w:val="24"/>
          <w:lang w:val="en-US" w:bidi="en-US"/>
        </w:rPr>
      </w:pPr>
      <w:bookmarkStart w:id="349" w:name="bookmark1047"/>
      <w:bookmarkEnd w:id="349"/>
      <w:r>
        <w:rPr>
          <w:rFonts w:ascii="Times New Roman" w:hAnsi="Times New Roman" w:cs="Times New Roman"/>
          <w:color w:val="auto"/>
          <w:sz w:val="24"/>
          <w:szCs w:val="24"/>
          <w:lang w:val="en-US" w:bidi="en-US"/>
        </w:rPr>
        <w:t>5.1.1除第5.2款约定由发包人提供的材料和工程设备外，承包人负责采购、运输和保管完成本合同工作所需的材料和工程设备。承包人应对其采购的材料和工程设备负责。</w:t>
      </w:r>
    </w:p>
    <w:p>
      <w:pPr>
        <w:pStyle w:val="45"/>
        <w:spacing w:after="280" w:line="354" w:lineRule="exact"/>
        <w:ind w:firstLine="420"/>
        <w:jc w:val="both"/>
        <w:rPr>
          <w:rFonts w:ascii="Times New Roman" w:hAnsi="Times New Roman" w:cs="Times New Roman"/>
          <w:color w:val="auto"/>
          <w:sz w:val="24"/>
          <w:szCs w:val="24"/>
          <w:lang w:val="en-US" w:bidi="en-US"/>
        </w:rPr>
      </w:pPr>
      <w:r>
        <w:rPr>
          <w:rFonts w:ascii="Times New Roman" w:hAnsi="Times New Roman" w:cs="Times New Roman"/>
          <w:color w:val="auto"/>
          <w:sz w:val="24"/>
          <w:szCs w:val="24"/>
          <w:lang w:val="en-US" w:bidi="en-US"/>
        </w:rPr>
        <w:t>5.1.2承包人应按专用合同条款的约定，将各项材料和工程设备的供货人及品种、规格、数量和供货时间等报送监理人审批。承包人应向监理人提交其负责提供的材料和工程 设备的质量证明文件，并满足合同约定的质量标准。</w:t>
      </w:r>
    </w:p>
    <w:p>
      <w:pPr>
        <w:pStyle w:val="45"/>
        <w:spacing w:after="280" w:line="354" w:lineRule="exact"/>
        <w:ind w:firstLine="420"/>
        <w:jc w:val="both"/>
        <w:rPr>
          <w:rFonts w:ascii="Times New Roman" w:hAnsi="Times New Roman" w:cs="Times New Roman"/>
          <w:color w:val="auto"/>
          <w:sz w:val="24"/>
          <w:szCs w:val="24"/>
          <w:lang w:val="en-US" w:bidi="en-US"/>
        </w:rPr>
      </w:pPr>
      <w:r>
        <w:rPr>
          <w:rFonts w:ascii="Times New Roman" w:hAnsi="Times New Roman" w:cs="Times New Roman"/>
          <w:color w:val="auto"/>
          <w:sz w:val="24"/>
          <w:szCs w:val="24"/>
          <w:lang w:val="en-US" w:bidi="en-US"/>
        </w:rPr>
        <w:t>5.1.3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pPr>
        <w:pStyle w:val="6"/>
        <w:ind w:left="0" w:leftChars="0" w:firstLine="0" w:firstLineChars="0"/>
        <w:rPr>
          <w:color w:val="auto"/>
          <w:sz w:val="24"/>
          <w:szCs w:val="24"/>
          <w:lang w:eastAsia="zh-CN"/>
        </w:rPr>
      </w:pPr>
      <w:bookmarkStart w:id="350" w:name="_Toc18208"/>
      <w:bookmarkStart w:id="351" w:name="bookmark1049"/>
      <w:bookmarkStart w:id="352" w:name="bookmark1050"/>
      <w:bookmarkStart w:id="353" w:name="bookmark1048"/>
      <w:r>
        <w:rPr>
          <w:color w:val="auto"/>
          <w:sz w:val="24"/>
          <w:szCs w:val="24"/>
          <w:lang w:eastAsia="zh-CN"/>
        </w:rPr>
        <w:t>5.2发包人提供的材料和工程设备</w:t>
      </w:r>
      <w:bookmarkEnd w:id="350"/>
      <w:bookmarkEnd w:id="351"/>
      <w:bookmarkEnd w:id="352"/>
      <w:bookmarkEnd w:id="353"/>
    </w:p>
    <w:p>
      <w:pPr>
        <w:pStyle w:val="45"/>
        <w:spacing w:line="360" w:lineRule="exact"/>
        <w:ind w:firstLine="420"/>
        <w:jc w:val="both"/>
        <w:rPr>
          <w:rFonts w:ascii="Times New Roman" w:hAnsi="Times New Roman" w:cs="Times New Roman"/>
          <w:color w:val="auto"/>
          <w:sz w:val="24"/>
          <w:szCs w:val="24"/>
        </w:rPr>
      </w:pPr>
      <w:bookmarkStart w:id="354" w:name="bookmark1051"/>
      <w:bookmarkEnd w:id="354"/>
      <w:r>
        <w:rPr>
          <w:rFonts w:ascii="Times New Roman" w:hAnsi="Times New Roman" w:cs="Times New Roman"/>
          <w:color w:val="auto"/>
          <w:sz w:val="24"/>
          <w:szCs w:val="24"/>
        </w:rPr>
        <w:t>5.2.1发包人提供的材料和工程设备，应在专用合同条款中写明材料和工程设备的名称、规格、数量、价格、交货方式、交货地点和计划交货日期等。</w:t>
      </w:r>
    </w:p>
    <w:p>
      <w:pPr>
        <w:pStyle w:val="45"/>
        <w:spacing w:line="360" w:lineRule="exact"/>
        <w:ind w:firstLine="42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5.2.2</w:t>
      </w:r>
      <w:r>
        <w:rPr>
          <w:rFonts w:ascii="Times New Roman" w:hAnsi="Times New Roman" w:cs="Times New Roman"/>
          <w:color w:val="auto"/>
          <w:sz w:val="24"/>
          <w:szCs w:val="24"/>
        </w:rPr>
        <w:t>承包人应根据合同进度计划的安排，向监理人报送要求发包人交货的日期计划。发包人应按照监理人与合同双方当事人商定的交货日期，向承包人提交材料和工程设备。</w:t>
      </w:r>
    </w:p>
    <w:p>
      <w:pPr>
        <w:pStyle w:val="45"/>
        <w:spacing w:line="364" w:lineRule="exact"/>
        <w:ind w:firstLine="42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5.2.3</w:t>
      </w:r>
      <w:r>
        <w:rPr>
          <w:rFonts w:ascii="Times New Roman" w:hAnsi="Times New Roman" w:cs="Times New Roman"/>
          <w:color w:val="auto"/>
          <w:sz w:val="24"/>
          <w:szCs w:val="24"/>
        </w:rPr>
        <w:t>发包人应在材料和工程设备到货</w:t>
      </w:r>
      <w:r>
        <w:rPr>
          <w:rFonts w:ascii="Times New Roman" w:hAnsi="Times New Roman" w:eastAsia="Times New Roman" w:cs="Times New Roman"/>
          <w:color w:val="auto"/>
          <w:sz w:val="24"/>
          <w:szCs w:val="24"/>
        </w:rPr>
        <w:t>7</w:t>
      </w:r>
      <w:r>
        <w:rPr>
          <w:rFonts w:ascii="Times New Roman" w:hAnsi="Times New Roman" w:cs="Times New Roman"/>
          <w:color w:val="auto"/>
          <w:sz w:val="24"/>
          <w:szCs w:val="24"/>
        </w:rPr>
        <w:t>天前通知承包人，承包人应会同监理人在约定的时间内，赴交货地点共同进行验收。发包人提供的材料和工程设备运至交货地点验收后，由承包人负责接收、卸货、运输和保管。</w:t>
      </w:r>
    </w:p>
    <w:p>
      <w:pPr>
        <w:pStyle w:val="45"/>
        <w:spacing w:line="365" w:lineRule="exact"/>
        <w:ind w:firstLine="420"/>
        <w:jc w:val="both"/>
        <w:rPr>
          <w:color w:val="auto"/>
          <w:sz w:val="24"/>
          <w:szCs w:val="24"/>
        </w:rPr>
      </w:pPr>
      <w:r>
        <w:rPr>
          <w:rFonts w:ascii="Times New Roman" w:hAnsi="Times New Roman" w:eastAsia="Times New Roman" w:cs="Times New Roman"/>
          <w:color w:val="auto"/>
          <w:sz w:val="24"/>
          <w:szCs w:val="24"/>
          <w:lang w:val="en-US" w:bidi="en-US"/>
        </w:rPr>
        <w:t>5. 2.4</w:t>
      </w:r>
      <w:r>
        <w:rPr>
          <w:rFonts w:ascii="Times New Roman" w:hAnsi="Times New Roman" w:cs="Times New Roman"/>
          <w:color w:val="auto"/>
          <w:sz w:val="24"/>
          <w:szCs w:val="24"/>
        </w:rPr>
        <w:t>发</w:t>
      </w:r>
      <w:r>
        <w:rPr>
          <w:color w:val="auto"/>
          <w:sz w:val="24"/>
          <w:szCs w:val="24"/>
        </w:rPr>
        <w:t>包人要求向承包人提前交货的，承包人不得拒绝，但发包人应承担承包人由此增加的费用。</w:t>
      </w:r>
    </w:p>
    <w:p>
      <w:pPr>
        <w:pStyle w:val="45"/>
        <w:spacing w:line="365" w:lineRule="exact"/>
        <w:ind w:firstLine="420"/>
        <w:jc w:val="both"/>
        <w:rPr>
          <w:color w:val="auto"/>
          <w:sz w:val="24"/>
          <w:szCs w:val="24"/>
        </w:rPr>
      </w:pPr>
      <w:r>
        <w:rPr>
          <w:rFonts w:ascii="Times New Roman" w:hAnsi="Times New Roman" w:eastAsia="Times New Roman" w:cs="Times New Roman"/>
          <w:color w:val="auto"/>
          <w:sz w:val="24"/>
          <w:szCs w:val="24"/>
          <w:lang w:val="en-US" w:bidi="en-US"/>
        </w:rPr>
        <w:t>5.2.5</w:t>
      </w:r>
      <w:r>
        <w:rPr>
          <w:color w:val="auto"/>
          <w:sz w:val="24"/>
          <w:szCs w:val="24"/>
        </w:rPr>
        <w:t>承包人要求更改交货日期或地点的，应事先报请监理人批准。由于承包人要求更改交货时间或地点所增加的费用和（或）工期延误由承包人承担。</w:t>
      </w:r>
    </w:p>
    <w:p>
      <w:pPr>
        <w:pStyle w:val="45"/>
        <w:spacing w:after="120" w:line="354" w:lineRule="exact"/>
        <w:ind w:firstLine="420"/>
        <w:jc w:val="both"/>
        <w:rPr>
          <w:color w:val="auto"/>
          <w:sz w:val="24"/>
          <w:szCs w:val="24"/>
        </w:rPr>
      </w:pPr>
      <w:r>
        <w:rPr>
          <w:rFonts w:ascii="Times New Roman" w:hAnsi="Times New Roman" w:eastAsia="Times New Roman" w:cs="Times New Roman"/>
          <w:color w:val="auto"/>
          <w:sz w:val="24"/>
          <w:szCs w:val="24"/>
          <w:lang w:val="en-US" w:bidi="en-US"/>
        </w:rPr>
        <w:t>5.2.6</w:t>
      </w:r>
      <w:r>
        <w:rPr>
          <w:color w:val="auto"/>
          <w:sz w:val="24"/>
          <w:szCs w:val="24"/>
        </w:rPr>
        <w:t>发包人提供的材料和工程设备的规格、数量或质量不符合合同要求，或由于发包人原因发生交货日期延误及交货地点变更等情况的，发包人应承担由此增加的费用和（或）工期延误，并向承包人支付合理利润。</w:t>
      </w:r>
    </w:p>
    <w:p>
      <w:pPr>
        <w:pStyle w:val="6"/>
        <w:ind w:left="0" w:leftChars="0" w:firstLine="0" w:firstLineChars="0"/>
        <w:rPr>
          <w:color w:val="auto"/>
          <w:sz w:val="24"/>
          <w:szCs w:val="24"/>
          <w:lang w:eastAsia="zh-CN"/>
        </w:rPr>
      </w:pPr>
      <w:bookmarkStart w:id="355" w:name="bookmark1053"/>
      <w:bookmarkStart w:id="356" w:name="_Toc17795"/>
      <w:bookmarkStart w:id="357" w:name="bookmark1052"/>
      <w:bookmarkStart w:id="358" w:name="bookmark1054"/>
      <w:r>
        <w:rPr>
          <w:color w:val="auto"/>
          <w:sz w:val="24"/>
          <w:szCs w:val="24"/>
          <w:lang w:eastAsia="zh-CN"/>
        </w:rPr>
        <w:t>5.3材料和工程设备专用于合同工程</w:t>
      </w:r>
      <w:bookmarkEnd w:id="355"/>
      <w:bookmarkEnd w:id="356"/>
      <w:bookmarkEnd w:id="357"/>
      <w:bookmarkEnd w:id="358"/>
    </w:p>
    <w:p>
      <w:pPr>
        <w:pStyle w:val="45"/>
        <w:spacing w:line="355" w:lineRule="exact"/>
        <w:ind w:firstLine="420"/>
        <w:jc w:val="both"/>
        <w:rPr>
          <w:color w:val="auto"/>
          <w:sz w:val="24"/>
          <w:szCs w:val="24"/>
        </w:rPr>
      </w:pPr>
      <w:r>
        <w:rPr>
          <w:rFonts w:ascii="Times New Roman" w:hAnsi="Times New Roman" w:eastAsia="Times New Roman" w:cs="Times New Roman"/>
          <w:color w:val="auto"/>
          <w:sz w:val="24"/>
          <w:szCs w:val="24"/>
          <w:lang w:val="en-US" w:bidi="en-US"/>
        </w:rPr>
        <w:t>5.3.1</w:t>
      </w:r>
      <w:r>
        <w:rPr>
          <w:color w:val="auto"/>
          <w:sz w:val="24"/>
          <w:szCs w:val="24"/>
        </w:rPr>
        <w:t>运入施工场地的材料、工程设备，包括备品备件、安装专用工器具与随机资料，必须专用于合同工程，未经监理人同意，承包人不得运出施工场地或挪作他用。</w:t>
      </w:r>
    </w:p>
    <w:p>
      <w:pPr>
        <w:pStyle w:val="45"/>
        <w:spacing w:after="120" w:line="364" w:lineRule="exact"/>
        <w:ind w:firstLine="420"/>
        <w:jc w:val="both"/>
        <w:rPr>
          <w:color w:val="auto"/>
          <w:sz w:val="24"/>
          <w:szCs w:val="24"/>
        </w:rPr>
      </w:pPr>
      <w:r>
        <w:rPr>
          <w:rFonts w:ascii="Times New Roman" w:hAnsi="Times New Roman" w:eastAsia="Times New Roman" w:cs="Times New Roman"/>
          <w:color w:val="auto"/>
          <w:sz w:val="24"/>
          <w:szCs w:val="24"/>
          <w:lang w:val="en-US" w:bidi="en-US"/>
        </w:rPr>
        <w:t>5.3.2</w:t>
      </w:r>
      <w:r>
        <w:rPr>
          <w:color w:val="auto"/>
          <w:sz w:val="24"/>
          <w:szCs w:val="24"/>
        </w:rPr>
        <w:t>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pPr>
        <w:pStyle w:val="6"/>
        <w:ind w:left="0" w:leftChars="0" w:firstLine="0" w:firstLineChars="0"/>
        <w:rPr>
          <w:color w:val="auto"/>
          <w:sz w:val="24"/>
          <w:szCs w:val="24"/>
          <w:lang w:eastAsia="zh-CN"/>
        </w:rPr>
      </w:pPr>
      <w:bookmarkStart w:id="359" w:name="_Toc30864"/>
      <w:bookmarkStart w:id="360" w:name="bookmark1056"/>
      <w:bookmarkStart w:id="361" w:name="bookmark1055"/>
      <w:bookmarkStart w:id="362" w:name="bookmark1057"/>
      <w:r>
        <w:rPr>
          <w:color w:val="auto"/>
          <w:sz w:val="24"/>
          <w:szCs w:val="24"/>
          <w:lang w:eastAsia="zh-CN"/>
        </w:rPr>
        <w:t>5.4禁止使用不合格的材料和工程设备</w:t>
      </w:r>
      <w:bookmarkEnd w:id="359"/>
      <w:bookmarkEnd w:id="360"/>
      <w:bookmarkEnd w:id="361"/>
      <w:bookmarkEnd w:id="362"/>
    </w:p>
    <w:p>
      <w:pPr>
        <w:pStyle w:val="45"/>
        <w:spacing w:after="80" w:line="362" w:lineRule="exact"/>
        <w:ind w:firstLine="420"/>
        <w:jc w:val="both"/>
        <w:rPr>
          <w:rFonts w:ascii="Times New Roman" w:hAnsi="Times New Roman" w:cs="Times New Roman"/>
          <w:color w:val="auto"/>
          <w:sz w:val="24"/>
          <w:szCs w:val="24"/>
        </w:rPr>
      </w:pPr>
      <w:bookmarkStart w:id="363" w:name="bookmark1058"/>
      <w:bookmarkEnd w:id="363"/>
      <w:r>
        <w:rPr>
          <w:rFonts w:ascii="Times New Roman" w:hAnsi="Times New Roman" w:cs="Times New Roman"/>
          <w:color w:val="auto"/>
          <w:sz w:val="24"/>
          <w:szCs w:val="24"/>
        </w:rPr>
        <w:t>5.4.1监理人有权拒绝承包人提供的不合格材料或工程设备，并要求承包人立即进行更换。监理人应在更换后再次进行检查和检验，由此增加的费用和（或）工期延误由承包 人承担。</w:t>
      </w:r>
    </w:p>
    <w:p>
      <w:pPr>
        <w:pStyle w:val="45"/>
        <w:spacing w:after="80" w:line="362" w:lineRule="exact"/>
        <w:ind w:firstLine="420"/>
        <w:jc w:val="both"/>
        <w:rPr>
          <w:rFonts w:ascii="Times New Roman" w:hAnsi="Times New Roman" w:cs="Times New Roman"/>
          <w:color w:val="auto"/>
          <w:sz w:val="24"/>
          <w:szCs w:val="24"/>
        </w:rPr>
      </w:pPr>
      <w:bookmarkStart w:id="364" w:name="bookmark1059"/>
      <w:bookmarkEnd w:id="364"/>
      <w:r>
        <w:rPr>
          <w:rFonts w:ascii="Times New Roman" w:hAnsi="Times New Roman" w:cs="Times New Roman"/>
          <w:color w:val="auto"/>
          <w:sz w:val="24"/>
          <w:szCs w:val="24"/>
        </w:rPr>
        <w:t>5.4.2监理人发现承包人使用了不合格的材料和工程设备，应即时发出指示要求承包人立即改正，并禁止在工程中继续使用不合格的材料和工程设备。</w:t>
      </w:r>
    </w:p>
    <w:p>
      <w:pPr>
        <w:pStyle w:val="45"/>
        <w:spacing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5.4.3</w:t>
      </w:r>
      <w:r>
        <w:rPr>
          <w:rFonts w:ascii="Times New Roman" w:hAnsi="Times New Roman" w:cs="Times New Roman"/>
          <w:color w:val="auto"/>
          <w:sz w:val="24"/>
          <w:szCs w:val="24"/>
        </w:rPr>
        <w:t>发</w:t>
      </w:r>
      <w:r>
        <w:rPr>
          <w:color w:val="auto"/>
          <w:sz w:val="24"/>
          <w:szCs w:val="24"/>
        </w:rPr>
        <w:t>包人提供的材料或工程设备不符合合同要求的，承包人有权拒绝，并可要求发包人更换，由此增加的费用和（或）工期延误由发包人承担。</w:t>
      </w:r>
    </w:p>
    <w:p>
      <w:pPr>
        <w:pStyle w:val="5"/>
        <w:spacing w:line="360" w:lineRule="exact"/>
        <w:rPr>
          <w:rFonts w:hint="eastAsia"/>
          <w:color w:val="auto"/>
          <w:sz w:val="24"/>
          <w:szCs w:val="24"/>
          <w:lang w:eastAsia="zh-CN"/>
        </w:rPr>
      </w:pPr>
      <w:bookmarkStart w:id="365" w:name="bookmark1062"/>
      <w:bookmarkEnd w:id="365"/>
      <w:bookmarkStart w:id="366" w:name="bookmark1060"/>
      <w:bookmarkStart w:id="367" w:name="bookmark1061"/>
      <w:bookmarkStart w:id="368" w:name="_Toc419089557"/>
      <w:bookmarkStart w:id="369" w:name="_Toc21496"/>
      <w:bookmarkStart w:id="370" w:name="_Toc30413"/>
      <w:bookmarkStart w:id="371" w:name="bookmark1063"/>
      <w:r>
        <w:rPr>
          <w:rFonts w:hint="eastAsia"/>
          <w:color w:val="auto"/>
          <w:sz w:val="24"/>
          <w:szCs w:val="24"/>
          <w:lang w:eastAsia="zh-CN"/>
        </w:rPr>
        <w:t>6.施工设备和临时设施</w:t>
      </w:r>
      <w:bookmarkEnd w:id="366"/>
      <w:bookmarkEnd w:id="367"/>
      <w:bookmarkEnd w:id="368"/>
      <w:bookmarkEnd w:id="369"/>
      <w:bookmarkEnd w:id="370"/>
      <w:bookmarkEnd w:id="371"/>
    </w:p>
    <w:p>
      <w:pPr>
        <w:pStyle w:val="6"/>
        <w:ind w:left="0" w:leftChars="0" w:firstLine="0" w:firstLineChars="0"/>
        <w:rPr>
          <w:color w:val="auto"/>
          <w:sz w:val="24"/>
          <w:szCs w:val="24"/>
          <w:lang w:eastAsia="zh-CN"/>
        </w:rPr>
      </w:pPr>
      <w:bookmarkStart w:id="372" w:name="bookmark1066"/>
      <w:bookmarkStart w:id="373" w:name="bookmark1065"/>
      <w:bookmarkStart w:id="374" w:name="bookmark1064"/>
      <w:bookmarkStart w:id="375" w:name="_Toc9863"/>
      <w:r>
        <w:rPr>
          <w:color w:val="auto"/>
          <w:sz w:val="24"/>
          <w:szCs w:val="24"/>
          <w:lang w:eastAsia="zh-CN"/>
        </w:rPr>
        <w:t>6.1承包人提供的施工设备和临时设施</w:t>
      </w:r>
      <w:bookmarkEnd w:id="372"/>
      <w:bookmarkEnd w:id="373"/>
      <w:bookmarkEnd w:id="374"/>
      <w:bookmarkEnd w:id="375"/>
    </w:p>
    <w:p>
      <w:pPr>
        <w:pStyle w:val="45"/>
        <w:spacing w:line="366" w:lineRule="exact"/>
        <w:ind w:firstLine="420"/>
        <w:jc w:val="both"/>
        <w:rPr>
          <w:color w:val="auto"/>
          <w:sz w:val="24"/>
          <w:szCs w:val="24"/>
        </w:rPr>
      </w:pPr>
      <w:r>
        <w:rPr>
          <w:rFonts w:ascii="Times New Roman" w:hAnsi="Times New Roman" w:eastAsia="Times New Roman" w:cs="Times New Roman"/>
          <w:color w:val="auto"/>
          <w:sz w:val="24"/>
          <w:szCs w:val="24"/>
          <w:lang w:val="en-US" w:bidi="en-US"/>
        </w:rPr>
        <w:t>6.1.1</w:t>
      </w:r>
      <w:r>
        <w:rPr>
          <w:color w:val="auto"/>
          <w:sz w:val="24"/>
          <w:szCs w:val="24"/>
        </w:rPr>
        <w:t>承包人应按合同进度计划的要求，及时配置施工设备和修建临时设施。进入施工场地的承包人设备需经监理人核查后才能投入使用。承包人更换合同约定的承包人设备的，应报监理人批准。</w:t>
      </w:r>
    </w:p>
    <w:p>
      <w:pPr>
        <w:pStyle w:val="45"/>
        <w:spacing w:after="140" w:line="374" w:lineRule="exact"/>
        <w:ind w:firstLine="420"/>
        <w:jc w:val="both"/>
        <w:rPr>
          <w:color w:val="auto"/>
          <w:sz w:val="24"/>
          <w:szCs w:val="24"/>
        </w:rPr>
      </w:pPr>
      <w:r>
        <w:rPr>
          <w:rFonts w:ascii="Times New Roman" w:hAnsi="Times New Roman" w:eastAsia="Times New Roman" w:cs="Times New Roman"/>
          <w:color w:val="auto"/>
          <w:sz w:val="24"/>
          <w:szCs w:val="24"/>
          <w:lang w:val="en-US" w:bidi="en-US"/>
        </w:rPr>
        <w:t>6.1.2</w:t>
      </w:r>
      <w:r>
        <w:rPr>
          <w:color w:val="auto"/>
          <w:sz w:val="24"/>
          <w:szCs w:val="24"/>
        </w:rPr>
        <w:t>除专用合同条款另有约定外，承包人应自行承担修建临时设施的费用，需要临时占地的，应由发包人办理申请手续并承担相应费用。</w:t>
      </w:r>
    </w:p>
    <w:p>
      <w:pPr>
        <w:pStyle w:val="6"/>
        <w:ind w:left="0" w:leftChars="0" w:firstLine="0" w:firstLineChars="0"/>
        <w:rPr>
          <w:color w:val="auto"/>
          <w:sz w:val="24"/>
          <w:szCs w:val="24"/>
          <w:lang w:eastAsia="zh-CN"/>
        </w:rPr>
      </w:pPr>
      <w:bookmarkStart w:id="376" w:name="_Toc31030"/>
      <w:bookmarkStart w:id="377" w:name="bookmark1067"/>
      <w:bookmarkStart w:id="378" w:name="bookmark1069"/>
      <w:bookmarkStart w:id="379" w:name="bookmark1068"/>
      <w:r>
        <w:rPr>
          <w:color w:val="auto"/>
          <w:sz w:val="24"/>
          <w:szCs w:val="24"/>
          <w:lang w:eastAsia="zh-CN"/>
        </w:rPr>
        <w:t>6.2发包人提供的施工设备和临时设施</w:t>
      </w:r>
      <w:bookmarkEnd w:id="376"/>
      <w:bookmarkEnd w:id="377"/>
      <w:bookmarkEnd w:id="378"/>
      <w:bookmarkEnd w:id="379"/>
    </w:p>
    <w:p>
      <w:pPr>
        <w:pStyle w:val="45"/>
        <w:spacing w:after="140" w:line="370" w:lineRule="exact"/>
        <w:ind w:firstLine="420"/>
        <w:jc w:val="both"/>
        <w:rPr>
          <w:color w:val="auto"/>
          <w:sz w:val="24"/>
          <w:szCs w:val="24"/>
        </w:rPr>
      </w:pPr>
      <w:r>
        <w:rPr>
          <w:color w:val="auto"/>
          <w:sz w:val="24"/>
          <w:szCs w:val="24"/>
        </w:rPr>
        <w:t>发包人提供的施工设备或临时设施在专用合同条款中约定。</w:t>
      </w:r>
    </w:p>
    <w:p>
      <w:pPr>
        <w:pStyle w:val="6"/>
        <w:ind w:left="0" w:leftChars="0" w:firstLine="0" w:firstLineChars="0"/>
        <w:rPr>
          <w:color w:val="auto"/>
          <w:sz w:val="24"/>
          <w:szCs w:val="24"/>
          <w:lang w:eastAsia="zh-CN"/>
        </w:rPr>
      </w:pPr>
      <w:bookmarkStart w:id="380" w:name="_Toc30722"/>
      <w:bookmarkStart w:id="381" w:name="bookmark1071"/>
      <w:bookmarkStart w:id="382" w:name="bookmark1072"/>
      <w:bookmarkStart w:id="383" w:name="bookmark1070"/>
      <w:r>
        <w:rPr>
          <w:color w:val="auto"/>
          <w:sz w:val="24"/>
          <w:szCs w:val="24"/>
          <w:lang w:eastAsia="zh-CN"/>
        </w:rPr>
        <w:t>6.3要求承包人增加或更换施工设备</w:t>
      </w:r>
      <w:bookmarkEnd w:id="380"/>
      <w:bookmarkEnd w:id="381"/>
      <w:bookmarkEnd w:id="382"/>
      <w:bookmarkEnd w:id="383"/>
    </w:p>
    <w:p>
      <w:pPr>
        <w:pStyle w:val="45"/>
        <w:spacing w:after="140" w:line="365" w:lineRule="exact"/>
        <w:ind w:firstLine="420"/>
        <w:jc w:val="both"/>
        <w:rPr>
          <w:color w:val="auto"/>
          <w:sz w:val="24"/>
          <w:szCs w:val="24"/>
        </w:rPr>
      </w:pPr>
      <w:r>
        <w:rPr>
          <w:color w:val="auto"/>
          <w:sz w:val="24"/>
          <w:szCs w:val="24"/>
        </w:rPr>
        <w:t>承包人使用的施工设备不能满足合同进度计划和（或）质量要求时，监理人有权要求承包人增加或更换施工设备，承包人应及时增加或更换，由此增加的费用和（或）工期延误由承包人承担。</w:t>
      </w:r>
    </w:p>
    <w:p>
      <w:pPr>
        <w:pStyle w:val="6"/>
        <w:ind w:left="0" w:leftChars="0" w:firstLine="0" w:firstLineChars="0"/>
        <w:rPr>
          <w:color w:val="auto"/>
          <w:sz w:val="24"/>
          <w:szCs w:val="24"/>
          <w:lang w:eastAsia="zh-CN"/>
        </w:rPr>
      </w:pPr>
      <w:bookmarkStart w:id="384" w:name="bookmark1074"/>
      <w:bookmarkStart w:id="385" w:name="bookmark1075"/>
      <w:bookmarkStart w:id="386" w:name="_Toc21826"/>
      <w:bookmarkStart w:id="387" w:name="bookmark1073"/>
      <w:r>
        <w:rPr>
          <w:color w:val="auto"/>
          <w:sz w:val="24"/>
          <w:szCs w:val="24"/>
          <w:lang w:eastAsia="zh-CN"/>
        </w:rPr>
        <w:t>6.4施工设备和临时设施专用于合同工程</w:t>
      </w:r>
      <w:bookmarkEnd w:id="384"/>
      <w:bookmarkEnd w:id="385"/>
      <w:bookmarkEnd w:id="386"/>
      <w:bookmarkEnd w:id="387"/>
    </w:p>
    <w:p>
      <w:pPr>
        <w:pStyle w:val="45"/>
        <w:spacing w:after="140" w:line="365" w:lineRule="exact"/>
        <w:ind w:firstLine="420"/>
        <w:jc w:val="both"/>
        <w:rPr>
          <w:color w:val="auto"/>
          <w:sz w:val="24"/>
          <w:szCs w:val="24"/>
        </w:rPr>
      </w:pPr>
      <w:bookmarkStart w:id="388" w:name="bookmark1076"/>
      <w:bookmarkEnd w:id="388"/>
      <w:r>
        <w:rPr>
          <w:rFonts w:ascii="Times New Roman" w:hAnsi="Times New Roman" w:cs="Times New Roman"/>
          <w:color w:val="auto"/>
          <w:sz w:val="24"/>
          <w:szCs w:val="24"/>
        </w:rPr>
        <w:t>6.4.1</w:t>
      </w:r>
      <w:r>
        <w:rPr>
          <w:color w:val="auto"/>
          <w:sz w:val="24"/>
          <w:szCs w:val="24"/>
        </w:rPr>
        <w:t>除合同另有约定外，运入施工场地的所有施工设备以及在施工场地建设的临时设施应专用于合同工程。未经监理人同意，不得将上述施工设备和临时设施中的任何部分运出施工场地或挪作他用。</w:t>
      </w:r>
    </w:p>
    <w:p>
      <w:pPr>
        <w:pStyle w:val="45"/>
        <w:tabs>
          <w:tab w:val="left" w:pos="754"/>
        </w:tabs>
        <w:spacing w:after="300" w:line="370" w:lineRule="exact"/>
        <w:ind w:left="420" w:firstLine="0"/>
        <w:rPr>
          <w:color w:val="auto"/>
          <w:sz w:val="24"/>
          <w:szCs w:val="24"/>
        </w:rPr>
      </w:pPr>
      <w:bookmarkStart w:id="389" w:name="bookmark1077"/>
      <w:bookmarkEnd w:id="389"/>
      <w:r>
        <w:rPr>
          <w:rFonts w:hint="eastAsia" w:ascii="Times New Roman" w:hAnsi="Times New Roman" w:cs="Times New Roman"/>
          <w:color w:val="auto"/>
          <w:sz w:val="24"/>
          <w:szCs w:val="24"/>
          <w:lang w:val="en-US" w:bidi="en-US"/>
        </w:rPr>
        <w:t>6.</w:t>
      </w:r>
      <w:r>
        <w:rPr>
          <w:rFonts w:ascii="Times New Roman" w:hAnsi="Times New Roman" w:eastAsia="Times New Roman" w:cs="Times New Roman"/>
          <w:color w:val="auto"/>
          <w:sz w:val="24"/>
          <w:szCs w:val="24"/>
          <w:lang w:val="en-US" w:bidi="en-US"/>
        </w:rPr>
        <w:t>4.2</w:t>
      </w:r>
      <w:r>
        <w:rPr>
          <w:color w:val="auto"/>
          <w:sz w:val="24"/>
          <w:szCs w:val="24"/>
        </w:rPr>
        <w:t>经监理人同意，承包人可根据合同进度计划撤走闲置的施工设备。</w:t>
      </w:r>
    </w:p>
    <w:p>
      <w:pPr>
        <w:pStyle w:val="5"/>
        <w:spacing w:line="360" w:lineRule="exact"/>
        <w:rPr>
          <w:rFonts w:hint="eastAsia"/>
          <w:color w:val="auto"/>
          <w:sz w:val="24"/>
          <w:szCs w:val="24"/>
          <w:lang w:eastAsia="zh-CN"/>
        </w:rPr>
      </w:pPr>
      <w:bookmarkStart w:id="390" w:name="bookmark1080"/>
      <w:bookmarkEnd w:id="390"/>
      <w:bookmarkStart w:id="391" w:name="_Toc13833"/>
      <w:bookmarkStart w:id="392" w:name="_Toc1367431728"/>
      <w:bookmarkStart w:id="393" w:name="bookmark1081"/>
      <w:bookmarkStart w:id="394" w:name="bookmark1078"/>
      <w:bookmarkStart w:id="395" w:name="_Toc943"/>
      <w:bookmarkStart w:id="396" w:name="bookmark1079"/>
      <w:r>
        <w:rPr>
          <w:rFonts w:hint="eastAsia"/>
          <w:color w:val="auto"/>
          <w:sz w:val="24"/>
          <w:szCs w:val="24"/>
          <w:lang w:eastAsia="zh-CN"/>
        </w:rPr>
        <w:t>7.交通运输</w:t>
      </w:r>
      <w:bookmarkEnd w:id="391"/>
      <w:bookmarkEnd w:id="392"/>
      <w:bookmarkEnd w:id="393"/>
      <w:bookmarkEnd w:id="394"/>
      <w:bookmarkEnd w:id="395"/>
      <w:bookmarkEnd w:id="396"/>
    </w:p>
    <w:p>
      <w:pPr>
        <w:pStyle w:val="6"/>
        <w:ind w:left="0" w:leftChars="0" w:firstLine="0" w:firstLineChars="0"/>
        <w:rPr>
          <w:color w:val="auto"/>
          <w:sz w:val="24"/>
          <w:szCs w:val="24"/>
          <w:lang w:eastAsia="zh-CN"/>
        </w:rPr>
      </w:pPr>
      <w:bookmarkStart w:id="397" w:name="bookmark1082"/>
      <w:bookmarkStart w:id="398" w:name="bookmark1084"/>
      <w:bookmarkStart w:id="399" w:name="_Toc22987"/>
      <w:bookmarkStart w:id="400" w:name="bookmark1083"/>
      <w:bookmarkStart w:id="401" w:name="bookmark1085"/>
      <w:bookmarkStart w:id="402" w:name="_Toc19760"/>
      <w:bookmarkStart w:id="403" w:name="bookmark1087"/>
      <w:bookmarkStart w:id="404" w:name="bookmark1086"/>
      <w:r>
        <w:rPr>
          <w:color w:val="auto"/>
          <w:sz w:val="24"/>
          <w:szCs w:val="24"/>
          <w:lang w:eastAsia="zh-CN"/>
        </w:rPr>
        <w:t>7.1道路通行权和场外设施</w:t>
      </w:r>
      <w:bookmarkEnd w:id="397"/>
      <w:bookmarkEnd w:id="398"/>
      <w:bookmarkEnd w:id="399"/>
      <w:bookmarkEnd w:id="400"/>
    </w:p>
    <w:p>
      <w:pPr>
        <w:pStyle w:val="45"/>
        <w:spacing w:after="140" w:line="359" w:lineRule="exact"/>
        <w:ind w:firstLine="420"/>
        <w:jc w:val="both"/>
        <w:rPr>
          <w:color w:val="auto"/>
          <w:sz w:val="24"/>
          <w:szCs w:val="24"/>
        </w:rPr>
      </w:pPr>
      <w:r>
        <w:rPr>
          <w:color w:val="auto"/>
          <w:sz w:val="24"/>
          <w:szCs w:val="24"/>
        </w:rPr>
        <w:t>除专用合同条款另有约定外，承包人应根据合同工程的施工需要，负责办理取得出入施工场地的专用和临时道路的通行权，以及取得为工程建设所需修建场外设施的权利，并承担相关费用。发包人应协助承包人办理上述手续。</w:t>
      </w:r>
    </w:p>
    <w:p>
      <w:pPr>
        <w:pStyle w:val="6"/>
        <w:ind w:left="0" w:leftChars="0" w:firstLine="0" w:firstLineChars="0"/>
        <w:rPr>
          <w:color w:val="auto"/>
          <w:sz w:val="24"/>
          <w:szCs w:val="24"/>
          <w:lang w:eastAsia="zh-CN"/>
        </w:rPr>
      </w:pPr>
      <w:r>
        <w:rPr>
          <w:color w:val="auto"/>
          <w:sz w:val="24"/>
          <w:szCs w:val="24"/>
          <w:lang w:eastAsia="zh-CN"/>
        </w:rPr>
        <w:t>7.2场内施工道路</w:t>
      </w:r>
      <w:bookmarkEnd w:id="401"/>
      <w:bookmarkEnd w:id="402"/>
      <w:bookmarkEnd w:id="403"/>
      <w:bookmarkEnd w:id="404"/>
    </w:p>
    <w:p>
      <w:pPr>
        <w:pStyle w:val="45"/>
        <w:spacing w:line="37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7.2.1</w:t>
      </w:r>
      <w:r>
        <w:rPr>
          <w:color w:val="auto"/>
          <w:sz w:val="24"/>
          <w:szCs w:val="24"/>
        </w:rPr>
        <w:t>除本合同约定由发包人提供的部分道路和交通设施外，承包人应负责修建、维 修、养护和管理其施工所需的全部临时道路和交通设施（包括合同约定由发包人提供的部 分道路和交通设施维修、养护和管理），并承担相应费用。</w:t>
      </w:r>
    </w:p>
    <w:p>
      <w:pPr>
        <w:pStyle w:val="45"/>
        <w:spacing w:after="140" w:line="379" w:lineRule="exact"/>
        <w:ind w:firstLine="420"/>
        <w:jc w:val="both"/>
        <w:rPr>
          <w:color w:val="auto"/>
          <w:sz w:val="24"/>
          <w:szCs w:val="24"/>
        </w:rPr>
      </w:pPr>
      <w:r>
        <w:rPr>
          <w:rFonts w:ascii="Times New Roman" w:hAnsi="Times New Roman" w:eastAsia="Times New Roman" w:cs="Times New Roman"/>
          <w:color w:val="auto"/>
          <w:sz w:val="24"/>
          <w:szCs w:val="24"/>
          <w:lang w:val="en-US" w:bidi="en-US"/>
        </w:rPr>
        <w:t>7.2.2</w:t>
      </w:r>
      <w:r>
        <w:rPr>
          <w:color w:val="auto"/>
          <w:sz w:val="24"/>
          <w:szCs w:val="24"/>
        </w:rPr>
        <w:t>承包人修建的临时道路和交通设施，应免费提供发包人、监理人，以及与本合 同有关的其他承包人使用。</w:t>
      </w:r>
    </w:p>
    <w:p>
      <w:pPr>
        <w:pStyle w:val="6"/>
        <w:ind w:left="0" w:leftChars="0" w:firstLine="0" w:firstLineChars="0"/>
        <w:rPr>
          <w:color w:val="auto"/>
          <w:sz w:val="24"/>
          <w:szCs w:val="24"/>
          <w:lang w:eastAsia="zh-CN"/>
        </w:rPr>
      </w:pPr>
      <w:bookmarkStart w:id="405" w:name="_Toc1077"/>
      <w:bookmarkStart w:id="406" w:name="bookmark1088"/>
      <w:bookmarkStart w:id="407" w:name="bookmark1090"/>
      <w:bookmarkStart w:id="408" w:name="bookmark1089"/>
      <w:r>
        <w:rPr>
          <w:color w:val="auto"/>
          <w:sz w:val="24"/>
          <w:szCs w:val="24"/>
          <w:lang w:eastAsia="zh-CN"/>
        </w:rPr>
        <w:t>7.3场外交通</w:t>
      </w:r>
      <w:bookmarkEnd w:id="405"/>
      <w:bookmarkEnd w:id="406"/>
      <w:bookmarkEnd w:id="407"/>
      <w:bookmarkEnd w:id="408"/>
    </w:p>
    <w:p>
      <w:pPr>
        <w:pStyle w:val="45"/>
        <w:spacing w:line="379" w:lineRule="exact"/>
        <w:ind w:firstLine="420"/>
        <w:jc w:val="both"/>
        <w:rPr>
          <w:color w:val="auto"/>
          <w:sz w:val="24"/>
          <w:szCs w:val="24"/>
        </w:rPr>
      </w:pPr>
      <w:r>
        <w:rPr>
          <w:rFonts w:ascii="Times New Roman" w:hAnsi="Times New Roman" w:eastAsia="Times New Roman" w:cs="Times New Roman"/>
          <w:color w:val="auto"/>
          <w:sz w:val="24"/>
          <w:szCs w:val="24"/>
          <w:lang w:val="en-US" w:bidi="en-US"/>
        </w:rPr>
        <w:t>7.3.1</w:t>
      </w:r>
      <w:r>
        <w:rPr>
          <w:color w:val="auto"/>
          <w:sz w:val="24"/>
          <w:szCs w:val="24"/>
        </w:rPr>
        <w:t>承包人车辆外出行驶所需的场外公共道路的通行费、养路费和税款等由承包人承担。</w:t>
      </w:r>
    </w:p>
    <w:p>
      <w:pPr>
        <w:pStyle w:val="45"/>
        <w:spacing w:line="379" w:lineRule="exact"/>
        <w:ind w:firstLine="420"/>
        <w:jc w:val="both"/>
        <w:rPr>
          <w:color w:val="auto"/>
          <w:sz w:val="24"/>
          <w:szCs w:val="24"/>
        </w:rPr>
      </w:pPr>
      <w:r>
        <w:rPr>
          <w:rFonts w:ascii="Times New Roman" w:hAnsi="Times New Roman" w:cs="Times New Roman"/>
          <w:color w:val="auto"/>
          <w:sz w:val="24"/>
          <w:szCs w:val="24"/>
          <w:lang w:val="en-US"/>
        </w:rPr>
        <w:t>7.3.2</w:t>
      </w:r>
      <w:r>
        <w:rPr>
          <w:color w:val="auto"/>
          <w:sz w:val="24"/>
          <w:szCs w:val="24"/>
        </w:rPr>
        <w:t>承包人应遵守有关交通法规，严格按照道路和桥梁的限制荷重安全行驶，并服从交通管理部门的检查和监督</w:t>
      </w:r>
      <w:r>
        <w:rPr>
          <w:rFonts w:hint="eastAsia"/>
          <w:color w:val="auto"/>
          <w:sz w:val="24"/>
          <w:szCs w:val="24"/>
          <w:lang w:val="en-US"/>
        </w:rPr>
        <w:t>。</w:t>
      </w:r>
    </w:p>
    <w:p>
      <w:pPr>
        <w:pStyle w:val="6"/>
        <w:ind w:left="0" w:leftChars="0" w:firstLine="0" w:firstLineChars="0"/>
        <w:rPr>
          <w:color w:val="auto"/>
          <w:sz w:val="24"/>
          <w:szCs w:val="24"/>
          <w:lang w:eastAsia="zh-CN"/>
        </w:rPr>
      </w:pPr>
      <w:bookmarkStart w:id="409" w:name="bookmark1093"/>
      <w:bookmarkStart w:id="410" w:name="_Toc25595"/>
      <w:bookmarkStart w:id="411" w:name="bookmark1092"/>
      <w:bookmarkStart w:id="412" w:name="bookmark1091"/>
      <w:r>
        <w:rPr>
          <w:color w:val="auto"/>
          <w:sz w:val="24"/>
          <w:szCs w:val="24"/>
          <w:lang w:eastAsia="zh-CN"/>
        </w:rPr>
        <w:t>7.4超大件和超重件的运输</w:t>
      </w:r>
      <w:bookmarkEnd w:id="409"/>
      <w:bookmarkEnd w:id="410"/>
      <w:bookmarkEnd w:id="411"/>
      <w:bookmarkEnd w:id="412"/>
    </w:p>
    <w:p>
      <w:pPr>
        <w:pStyle w:val="45"/>
        <w:spacing w:after="120" w:line="347" w:lineRule="exact"/>
        <w:ind w:firstLine="440"/>
        <w:jc w:val="both"/>
        <w:rPr>
          <w:color w:val="auto"/>
          <w:sz w:val="24"/>
          <w:szCs w:val="24"/>
        </w:rPr>
      </w:pPr>
      <w:r>
        <w:rPr>
          <w:color w:val="auto"/>
          <w:sz w:val="24"/>
          <w:szCs w:val="24"/>
        </w:rPr>
        <w:t>由承包人负责运输的超大件或超重件，应由承包人负责向交通管理部门办理申请手续, 发包人给予协助。运输超大件或超重件所需的道路和桥梁临时加固改造费用和其他有关费用，由承包人承担，但专用合同条款另有约定除外。</w:t>
      </w:r>
    </w:p>
    <w:p>
      <w:pPr>
        <w:pStyle w:val="6"/>
        <w:ind w:left="0" w:leftChars="0" w:firstLine="0" w:firstLineChars="0"/>
        <w:rPr>
          <w:color w:val="auto"/>
          <w:sz w:val="24"/>
          <w:szCs w:val="24"/>
          <w:lang w:eastAsia="zh-CN"/>
        </w:rPr>
      </w:pPr>
      <w:bookmarkStart w:id="413" w:name="bookmark1095"/>
      <w:bookmarkStart w:id="414" w:name="bookmark1096"/>
      <w:bookmarkStart w:id="415" w:name="bookmark1094"/>
      <w:bookmarkStart w:id="416" w:name="_Toc19673"/>
      <w:r>
        <w:rPr>
          <w:color w:val="auto"/>
          <w:sz w:val="24"/>
          <w:szCs w:val="24"/>
          <w:lang w:eastAsia="zh-CN"/>
        </w:rPr>
        <w:t>7.5道路和桥梁的损坏责任</w:t>
      </w:r>
      <w:bookmarkEnd w:id="413"/>
      <w:bookmarkEnd w:id="414"/>
      <w:bookmarkEnd w:id="415"/>
      <w:bookmarkEnd w:id="416"/>
    </w:p>
    <w:p>
      <w:pPr>
        <w:pStyle w:val="45"/>
        <w:spacing w:after="120" w:line="353" w:lineRule="exact"/>
        <w:ind w:firstLine="440"/>
        <w:jc w:val="both"/>
        <w:rPr>
          <w:color w:val="auto"/>
          <w:sz w:val="24"/>
          <w:szCs w:val="24"/>
        </w:rPr>
      </w:pPr>
      <w:r>
        <w:rPr>
          <w:color w:val="auto"/>
          <w:sz w:val="24"/>
          <w:szCs w:val="24"/>
        </w:rPr>
        <w:t>因承包人运输造成施工场地内外公共道路和桥梁损坏的，由承包人承担修复损坏的全部费用和可能引起的赔偿。</w:t>
      </w:r>
    </w:p>
    <w:p>
      <w:pPr>
        <w:pStyle w:val="6"/>
        <w:ind w:left="0" w:leftChars="0" w:firstLine="0" w:firstLineChars="0"/>
        <w:rPr>
          <w:color w:val="auto"/>
          <w:sz w:val="24"/>
          <w:szCs w:val="24"/>
          <w:lang w:eastAsia="zh-CN"/>
        </w:rPr>
      </w:pPr>
      <w:bookmarkStart w:id="417" w:name="bookmark1099"/>
      <w:bookmarkStart w:id="418" w:name="_Toc30116"/>
      <w:bookmarkStart w:id="419" w:name="bookmark1097"/>
      <w:bookmarkStart w:id="420" w:name="bookmark1098"/>
      <w:r>
        <w:rPr>
          <w:color w:val="auto"/>
          <w:sz w:val="24"/>
          <w:szCs w:val="24"/>
          <w:lang w:eastAsia="zh-CN"/>
        </w:rPr>
        <w:t>7.6水路和航空运输</w:t>
      </w:r>
      <w:bookmarkEnd w:id="417"/>
      <w:bookmarkEnd w:id="418"/>
      <w:bookmarkEnd w:id="419"/>
      <w:bookmarkEnd w:id="420"/>
    </w:p>
    <w:p>
      <w:pPr>
        <w:pStyle w:val="45"/>
        <w:spacing w:after="260" w:line="350" w:lineRule="exact"/>
        <w:ind w:firstLine="440"/>
        <w:jc w:val="both"/>
        <w:rPr>
          <w:color w:val="auto"/>
          <w:sz w:val="24"/>
          <w:szCs w:val="24"/>
        </w:rPr>
      </w:pPr>
      <w:r>
        <w:rPr>
          <w:color w:val="auto"/>
          <w:sz w:val="24"/>
          <w:szCs w:val="24"/>
        </w:rPr>
        <w:t>本条上述各款的内容适用于水路运输和航空运输，其中“道路” 一词的涵义包括河道、 航线、船闸、机场、码头、堤防以及水路或航空运输中其他相似结构物；“车辆” 一词的涵义包括船舶和飞机等。</w:t>
      </w:r>
    </w:p>
    <w:p>
      <w:pPr>
        <w:pStyle w:val="5"/>
        <w:spacing w:line="360" w:lineRule="exact"/>
        <w:rPr>
          <w:rFonts w:hint="eastAsia"/>
          <w:color w:val="auto"/>
          <w:sz w:val="24"/>
          <w:szCs w:val="24"/>
          <w:lang w:eastAsia="zh-CN"/>
        </w:rPr>
      </w:pPr>
      <w:bookmarkStart w:id="421" w:name="bookmark1102"/>
      <w:bookmarkEnd w:id="421"/>
      <w:bookmarkStart w:id="422" w:name="bookmark1100"/>
      <w:bookmarkStart w:id="423" w:name="_Toc7491"/>
      <w:bookmarkStart w:id="424" w:name="_Toc1685606573"/>
      <w:bookmarkStart w:id="425" w:name="_Toc1113"/>
      <w:bookmarkStart w:id="426" w:name="bookmark1103"/>
      <w:bookmarkStart w:id="427" w:name="bookmark1101"/>
      <w:r>
        <w:rPr>
          <w:rFonts w:hint="eastAsia"/>
          <w:color w:val="auto"/>
          <w:sz w:val="24"/>
          <w:szCs w:val="24"/>
          <w:lang w:eastAsia="zh-CN"/>
        </w:rPr>
        <w:t>8.测量放线</w:t>
      </w:r>
      <w:bookmarkEnd w:id="422"/>
      <w:bookmarkEnd w:id="423"/>
      <w:bookmarkEnd w:id="424"/>
      <w:bookmarkEnd w:id="425"/>
      <w:bookmarkEnd w:id="426"/>
      <w:bookmarkEnd w:id="427"/>
    </w:p>
    <w:p>
      <w:pPr>
        <w:pStyle w:val="6"/>
        <w:ind w:left="0" w:leftChars="0" w:firstLine="0" w:firstLineChars="0"/>
        <w:rPr>
          <w:color w:val="auto"/>
          <w:sz w:val="24"/>
          <w:szCs w:val="24"/>
          <w:lang w:eastAsia="zh-CN"/>
        </w:rPr>
      </w:pPr>
      <w:bookmarkStart w:id="428" w:name="bookmark1104"/>
      <w:bookmarkStart w:id="429" w:name="bookmark1106"/>
      <w:bookmarkStart w:id="430" w:name="bookmark1105"/>
      <w:bookmarkStart w:id="431" w:name="_Toc7125"/>
      <w:r>
        <w:rPr>
          <w:color w:val="auto"/>
          <w:sz w:val="24"/>
          <w:szCs w:val="24"/>
          <w:lang w:eastAsia="zh-CN"/>
        </w:rPr>
        <w:t>8.1施工控制网</w:t>
      </w:r>
      <w:bookmarkEnd w:id="428"/>
      <w:bookmarkEnd w:id="429"/>
      <w:bookmarkEnd w:id="430"/>
      <w:bookmarkEnd w:id="431"/>
    </w:p>
    <w:p>
      <w:pPr>
        <w:pStyle w:val="45"/>
        <w:spacing w:line="35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8.1.1</w:t>
      </w:r>
      <w:r>
        <w:rPr>
          <w:color w:val="auto"/>
          <w:sz w:val="24"/>
          <w:szCs w:val="24"/>
        </w:rPr>
        <w:t>除专用条款另有约定外，施工控制网由承包人负责测设，发包人应在本合同协议书签订后的</w:t>
      </w:r>
      <w:r>
        <w:rPr>
          <w:rFonts w:ascii="Times New Roman" w:hAnsi="Times New Roman" w:eastAsia="Times New Roman" w:cs="Times New Roman"/>
          <w:color w:val="auto"/>
          <w:sz w:val="24"/>
          <w:szCs w:val="24"/>
        </w:rPr>
        <w:t>14</w:t>
      </w:r>
      <w:r>
        <w:rPr>
          <w:color w:val="auto"/>
          <w:sz w:val="24"/>
          <w:szCs w:val="24"/>
        </w:rPr>
        <w:t>天内，向承包人提供测量基准点、基准线和水准点及其相关资料。承包人应在收到上述资料后的</w:t>
      </w:r>
      <w:r>
        <w:rPr>
          <w:rFonts w:ascii="Times New Roman" w:hAnsi="Times New Roman" w:eastAsia="Times New Roman" w:cs="Times New Roman"/>
          <w:color w:val="auto"/>
          <w:sz w:val="24"/>
          <w:szCs w:val="24"/>
        </w:rPr>
        <w:t>28</w:t>
      </w:r>
      <w:r>
        <w:rPr>
          <w:color w:val="auto"/>
          <w:sz w:val="24"/>
          <w:szCs w:val="24"/>
        </w:rPr>
        <w:t>天内，将施测的施工控制网资料提交监理人审批。监理人应在收到报批件后的</w:t>
      </w:r>
      <w:r>
        <w:rPr>
          <w:rFonts w:ascii="Times New Roman" w:hAnsi="Times New Roman" w:eastAsia="Times New Roman" w:cs="Times New Roman"/>
          <w:color w:val="auto"/>
          <w:sz w:val="24"/>
          <w:szCs w:val="24"/>
        </w:rPr>
        <w:t>14</w:t>
      </w:r>
      <w:r>
        <w:rPr>
          <w:color w:val="auto"/>
          <w:sz w:val="24"/>
          <w:szCs w:val="24"/>
        </w:rPr>
        <w:t>天内批复承包人。</w:t>
      </w:r>
    </w:p>
    <w:p>
      <w:pPr>
        <w:pStyle w:val="45"/>
        <w:spacing w:after="120" w:line="35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8.1.2</w:t>
      </w:r>
      <w:r>
        <w:rPr>
          <w:color w:val="auto"/>
          <w:sz w:val="24"/>
          <w:szCs w:val="24"/>
        </w:rPr>
        <w:t>承包人应负责管理施工控制网点。施工控制网点丢失或损坏的，承包人应及时修复。承包人应承担施工控制网点的管理与修复费用，并在工程竣工后将施工控制网点移交发包人。</w:t>
      </w:r>
    </w:p>
    <w:p>
      <w:pPr>
        <w:pStyle w:val="6"/>
        <w:ind w:left="0" w:leftChars="0" w:firstLine="0" w:firstLineChars="0"/>
        <w:rPr>
          <w:color w:val="auto"/>
          <w:sz w:val="24"/>
          <w:szCs w:val="24"/>
          <w:lang w:eastAsia="zh-CN"/>
        </w:rPr>
      </w:pPr>
      <w:bookmarkStart w:id="432" w:name="bookmark1109"/>
      <w:bookmarkStart w:id="433" w:name="bookmark1107"/>
      <w:bookmarkStart w:id="434" w:name="bookmark1108"/>
      <w:bookmarkStart w:id="435" w:name="_Toc28033"/>
      <w:r>
        <w:rPr>
          <w:color w:val="auto"/>
          <w:sz w:val="24"/>
          <w:szCs w:val="24"/>
          <w:lang w:eastAsia="zh-CN"/>
        </w:rPr>
        <w:t>8.2施工测量</w:t>
      </w:r>
      <w:bookmarkEnd w:id="432"/>
      <w:bookmarkEnd w:id="433"/>
      <w:bookmarkEnd w:id="434"/>
      <w:bookmarkEnd w:id="435"/>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8.2.1</w:t>
      </w:r>
      <w:r>
        <w:rPr>
          <w:color w:val="auto"/>
          <w:sz w:val="24"/>
          <w:szCs w:val="24"/>
        </w:rPr>
        <w:t>承包人应负责施工过程中的全部施工测量放线工作，并配置合格的人员、仪 器、设备和其他物品。</w:t>
      </w:r>
    </w:p>
    <w:p>
      <w:pPr>
        <w:pStyle w:val="45"/>
        <w:spacing w:after="120" w:line="365" w:lineRule="exact"/>
        <w:ind w:firstLine="440"/>
        <w:jc w:val="both"/>
        <w:rPr>
          <w:color w:val="auto"/>
          <w:sz w:val="24"/>
          <w:szCs w:val="24"/>
        </w:rPr>
      </w:pPr>
      <w:r>
        <w:rPr>
          <w:rFonts w:ascii="Times New Roman" w:hAnsi="Times New Roman" w:eastAsia="Times New Roman" w:cs="Times New Roman"/>
          <w:color w:val="auto"/>
          <w:sz w:val="24"/>
          <w:szCs w:val="24"/>
          <w:lang w:val="en-US" w:bidi="en-US"/>
        </w:rPr>
        <w:t>8.2.2</w:t>
      </w:r>
      <w:r>
        <w:rPr>
          <w:color w:val="auto"/>
          <w:sz w:val="24"/>
          <w:szCs w:val="24"/>
        </w:rPr>
        <w:t>监理人可以指示承包人进行抽样复测，当复测中发现错误或出现超过合同约定的误差时，承包人应按监理人指示进行修正或补测，并承担相应的复测费用。</w:t>
      </w:r>
    </w:p>
    <w:p>
      <w:pPr>
        <w:pStyle w:val="6"/>
        <w:ind w:left="0" w:leftChars="0" w:firstLine="0" w:firstLineChars="0"/>
        <w:rPr>
          <w:color w:val="auto"/>
          <w:sz w:val="24"/>
          <w:szCs w:val="24"/>
          <w:lang w:eastAsia="zh-CN"/>
        </w:rPr>
      </w:pPr>
      <w:bookmarkStart w:id="436" w:name="bookmark1112"/>
      <w:bookmarkStart w:id="437" w:name="_Toc18249"/>
      <w:bookmarkStart w:id="438" w:name="bookmark1111"/>
      <w:bookmarkStart w:id="439" w:name="bookmark1110"/>
      <w:r>
        <w:rPr>
          <w:color w:val="auto"/>
          <w:sz w:val="24"/>
          <w:szCs w:val="24"/>
          <w:lang w:eastAsia="zh-CN"/>
        </w:rPr>
        <w:t>8.3基准资料错误的责任</w:t>
      </w:r>
      <w:bookmarkEnd w:id="436"/>
      <w:bookmarkEnd w:id="437"/>
      <w:bookmarkEnd w:id="438"/>
      <w:bookmarkEnd w:id="439"/>
    </w:p>
    <w:p>
      <w:pPr>
        <w:pStyle w:val="45"/>
        <w:spacing w:after="120" w:line="349" w:lineRule="exact"/>
        <w:ind w:firstLine="440"/>
        <w:jc w:val="both"/>
        <w:rPr>
          <w:color w:val="auto"/>
          <w:sz w:val="24"/>
          <w:szCs w:val="24"/>
        </w:rPr>
      </w:pPr>
      <w:r>
        <w:rPr>
          <w:color w:val="auto"/>
          <w:sz w:val="24"/>
          <w:szCs w:val="24"/>
        </w:rPr>
        <w:t>发包人应对其提供的测量基准点、基准线和水准点及其书面资料的真实性、准确性和完整性负责。发包人提供上述基准资料错误导致承包人测量放线工作的返工或造成工程损失的，发包人应当承担由此增加的费用和（或）工期延误，并向承包人支付合理利润。承包人发现发包人提供的上述基准资料存在明显错误或疏忽的，应及时通知监理人。</w:t>
      </w:r>
    </w:p>
    <w:p>
      <w:pPr>
        <w:pStyle w:val="6"/>
        <w:ind w:left="0" w:leftChars="0" w:firstLine="0" w:firstLineChars="0"/>
        <w:rPr>
          <w:color w:val="auto"/>
          <w:sz w:val="24"/>
          <w:szCs w:val="24"/>
          <w:lang w:eastAsia="zh-CN"/>
        </w:rPr>
      </w:pPr>
      <w:bookmarkStart w:id="440" w:name="bookmark1114"/>
      <w:bookmarkStart w:id="441" w:name="bookmark1113"/>
      <w:bookmarkStart w:id="442" w:name="bookmark1115"/>
      <w:bookmarkStart w:id="443" w:name="_Toc26810"/>
      <w:r>
        <w:rPr>
          <w:color w:val="auto"/>
          <w:sz w:val="24"/>
          <w:szCs w:val="24"/>
          <w:lang w:eastAsia="zh-CN"/>
        </w:rPr>
        <w:t>8.4监理人使用施工控制网</w:t>
      </w:r>
      <w:bookmarkEnd w:id="440"/>
      <w:bookmarkEnd w:id="441"/>
      <w:bookmarkEnd w:id="442"/>
      <w:bookmarkEnd w:id="443"/>
    </w:p>
    <w:p>
      <w:pPr>
        <w:pStyle w:val="45"/>
        <w:spacing w:after="120" w:line="351" w:lineRule="exact"/>
        <w:ind w:firstLine="440"/>
        <w:jc w:val="both"/>
        <w:rPr>
          <w:color w:val="auto"/>
          <w:sz w:val="24"/>
          <w:szCs w:val="24"/>
        </w:rPr>
      </w:pPr>
      <w:r>
        <w:rPr>
          <w:color w:val="auto"/>
          <w:sz w:val="24"/>
          <w:szCs w:val="24"/>
        </w:rPr>
        <w:t>监理人需要使用施工控制网的，承包人应提供必要的协助，发包人不再为此支付费用。</w:t>
      </w:r>
    </w:p>
    <w:p>
      <w:pPr>
        <w:pStyle w:val="6"/>
        <w:ind w:left="0" w:leftChars="0" w:firstLine="0" w:firstLineChars="0"/>
        <w:rPr>
          <w:color w:val="auto"/>
          <w:sz w:val="24"/>
          <w:szCs w:val="24"/>
          <w:lang w:eastAsia="zh-CN"/>
        </w:rPr>
      </w:pPr>
      <w:bookmarkStart w:id="444" w:name="bookmark1116"/>
      <w:bookmarkStart w:id="445" w:name="bookmark1118"/>
      <w:bookmarkStart w:id="446" w:name="bookmark1117"/>
      <w:bookmarkStart w:id="447" w:name="_Toc26237"/>
      <w:r>
        <w:rPr>
          <w:color w:val="auto"/>
          <w:sz w:val="24"/>
          <w:szCs w:val="24"/>
          <w:lang w:eastAsia="zh-CN"/>
        </w:rPr>
        <w:t>8.5补充地质勘探</w:t>
      </w:r>
      <w:bookmarkEnd w:id="444"/>
      <w:bookmarkEnd w:id="445"/>
      <w:bookmarkEnd w:id="446"/>
      <w:bookmarkEnd w:id="447"/>
    </w:p>
    <w:p>
      <w:pPr>
        <w:pStyle w:val="45"/>
        <w:spacing w:after="300" w:line="349" w:lineRule="exact"/>
        <w:ind w:firstLine="440"/>
        <w:jc w:val="both"/>
        <w:rPr>
          <w:color w:val="auto"/>
          <w:sz w:val="24"/>
          <w:szCs w:val="24"/>
        </w:rPr>
      </w:pPr>
      <w:r>
        <w:rPr>
          <w:color w:val="auto"/>
          <w:sz w:val="24"/>
          <w:szCs w:val="24"/>
        </w:rPr>
        <w:t>在合同实施期间，监理人可以指示承包人进行必要的补充地质勘探和提供有关资料; 承包人为本合同永久工程施工的需要进行补充地质勘探时，须经监理人批准，并应向监理人提交有关资料，上述补充勘探的费用由发包人承担。承包人为其临时工程所需进行的补 充地质勘探，其费用由承包人承担。</w:t>
      </w:r>
    </w:p>
    <w:p>
      <w:pPr>
        <w:pStyle w:val="5"/>
        <w:spacing w:line="360" w:lineRule="exact"/>
        <w:rPr>
          <w:rFonts w:hint="eastAsia"/>
          <w:color w:val="auto"/>
          <w:sz w:val="24"/>
          <w:szCs w:val="24"/>
          <w:lang w:eastAsia="zh-CN"/>
        </w:rPr>
      </w:pPr>
      <w:bookmarkStart w:id="448" w:name="bookmark1121"/>
      <w:bookmarkEnd w:id="448"/>
      <w:bookmarkStart w:id="449" w:name="bookmark1122"/>
      <w:bookmarkStart w:id="450" w:name="bookmark1120"/>
      <w:bookmarkStart w:id="451" w:name="_Toc15267"/>
      <w:bookmarkStart w:id="452" w:name="bookmark1119"/>
      <w:bookmarkStart w:id="453" w:name="_Toc21535"/>
      <w:bookmarkStart w:id="454" w:name="_Toc1436993919"/>
      <w:r>
        <w:rPr>
          <w:rFonts w:hint="eastAsia"/>
          <w:color w:val="auto"/>
          <w:sz w:val="24"/>
          <w:szCs w:val="24"/>
          <w:lang w:eastAsia="zh-CN"/>
        </w:rPr>
        <w:t>9.施工安全、治安保卫和环境保护</w:t>
      </w:r>
      <w:bookmarkEnd w:id="449"/>
      <w:bookmarkEnd w:id="450"/>
      <w:bookmarkEnd w:id="451"/>
      <w:bookmarkEnd w:id="452"/>
      <w:bookmarkEnd w:id="453"/>
      <w:bookmarkEnd w:id="454"/>
    </w:p>
    <w:p>
      <w:pPr>
        <w:pStyle w:val="6"/>
        <w:ind w:left="0" w:leftChars="0" w:firstLine="0" w:firstLineChars="0"/>
        <w:rPr>
          <w:color w:val="auto"/>
          <w:sz w:val="24"/>
          <w:szCs w:val="24"/>
          <w:lang w:eastAsia="zh-CN"/>
        </w:rPr>
      </w:pPr>
      <w:bookmarkStart w:id="455" w:name="bookmark1125"/>
      <w:bookmarkStart w:id="456" w:name="bookmark1124"/>
      <w:bookmarkStart w:id="457" w:name="_Toc13008"/>
      <w:bookmarkStart w:id="458" w:name="bookmark1123"/>
      <w:r>
        <w:rPr>
          <w:color w:val="auto"/>
          <w:sz w:val="24"/>
          <w:szCs w:val="24"/>
          <w:lang w:eastAsia="zh-CN"/>
        </w:rPr>
        <w:t>9.1发包人的施工安全责任</w:t>
      </w:r>
      <w:bookmarkEnd w:id="455"/>
      <w:bookmarkEnd w:id="456"/>
      <w:bookmarkEnd w:id="457"/>
      <w:bookmarkEnd w:id="458"/>
    </w:p>
    <w:p>
      <w:pPr>
        <w:pStyle w:val="45"/>
        <w:spacing w:line="359" w:lineRule="exact"/>
        <w:ind w:firstLine="42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9.1.1</w:t>
      </w:r>
      <w:r>
        <w:rPr>
          <w:rFonts w:ascii="Times New Roman" w:hAnsi="Times New Roman" w:cs="Times New Roman"/>
          <w:color w:val="auto"/>
          <w:sz w:val="24"/>
          <w:szCs w:val="24"/>
        </w:rPr>
        <w:t>发包人应按合同约定履行安全职责，发包人委托监理人根据国家有关安全的法律、法规、强制性标准以及部门规章，对承包人的安全责任履行情况进行监督和检查。监理人的监督检查不减轻承包人应负的安全责任。</w:t>
      </w:r>
    </w:p>
    <w:p>
      <w:pPr>
        <w:pStyle w:val="45"/>
        <w:spacing w:line="377" w:lineRule="exact"/>
        <w:ind w:firstLine="42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9.1.2</w:t>
      </w:r>
      <w:r>
        <w:rPr>
          <w:rFonts w:ascii="Times New Roman" w:hAnsi="Times New Roman" w:cs="Times New Roman"/>
          <w:color w:val="auto"/>
          <w:sz w:val="24"/>
          <w:szCs w:val="24"/>
        </w:rPr>
        <w:t>发包人应对其现场机构雇佣的全部人员的工伤事故承担责任，但由于承包人原因造成发包人人员工伤的，应由承包人承担责任。</w:t>
      </w:r>
    </w:p>
    <w:p>
      <w:pPr>
        <w:pStyle w:val="45"/>
        <w:spacing w:line="360" w:lineRule="exact"/>
        <w:ind w:firstLine="42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 xml:space="preserve">9. 1. </w:t>
      </w:r>
      <w:r>
        <w:rPr>
          <w:rFonts w:ascii="Times New Roman" w:hAnsi="Times New Roman" w:eastAsia="Times New Roman" w:cs="Times New Roman"/>
          <w:color w:val="auto"/>
          <w:sz w:val="24"/>
          <w:szCs w:val="24"/>
        </w:rPr>
        <w:t>3</w:t>
      </w:r>
      <w:r>
        <w:rPr>
          <w:rFonts w:ascii="Times New Roman" w:hAnsi="Times New Roman" w:cs="Times New Roman"/>
          <w:color w:val="auto"/>
          <w:sz w:val="24"/>
          <w:szCs w:val="24"/>
        </w:rPr>
        <w:t>发包人应负责赔偿以下各种情况造成的第三者人身伤亡和财产损失：</w:t>
      </w:r>
    </w:p>
    <w:p>
      <w:pPr>
        <w:pStyle w:val="45"/>
        <w:numPr>
          <w:ilvl w:val="0"/>
          <w:numId w:val="7"/>
        </w:numPr>
        <w:tabs>
          <w:tab w:val="left" w:pos="898"/>
        </w:tabs>
        <w:spacing w:line="360" w:lineRule="exact"/>
        <w:ind w:firstLine="420"/>
        <w:jc w:val="both"/>
        <w:rPr>
          <w:rFonts w:ascii="Times New Roman" w:hAnsi="Times New Roman" w:cs="Times New Roman"/>
          <w:color w:val="auto"/>
          <w:sz w:val="24"/>
          <w:szCs w:val="24"/>
        </w:rPr>
      </w:pPr>
      <w:bookmarkStart w:id="459" w:name="bookmark1126"/>
      <w:bookmarkEnd w:id="459"/>
      <w:r>
        <w:rPr>
          <w:rFonts w:ascii="Times New Roman" w:hAnsi="Times New Roman" w:cs="Times New Roman"/>
          <w:color w:val="auto"/>
          <w:sz w:val="24"/>
          <w:szCs w:val="24"/>
        </w:rPr>
        <w:t>工程或工程的任何部分对土地的占用所造成的第三者财产损失；</w:t>
      </w:r>
    </w:p>
    <w:p>
      <w:pPr>
        <w:pStyle w:val="45"/>
        <w:numPr>
          <w:ilvl w:val="0"/>
          <w:numId w:val="7"/>
        </w:numPr>
        <w:tabs>
          <w:tab w:val="left" w:pos="898"/>
        </w:tabs>
        <w:spacing w:line="360" w:lineRule="exact"/>
        <w:ind w:firstLine="420"/>
        <w:jc w:val="both"/>
        <w:rPr>
          <w:rFonts w:ascii="Times New Roman" w:hAnsi="Times New Roman" w:cs="Times New Roman"/>
          <w:color w:val="auto"/>
          <w:sz w:val="24"/>
          <w:szCs w:val="24"/>
        </w:rPr>
      </w:pPr>
      <w:bookmarkStart w:id="460" w:name="bookmark1127"/>
      <w:bookmarkEnd w:id="460"/>
      <w:r>
        <w:rPr>
          <w:rFonts w:ascii="Times New Roman" w:hAnsi="Times New Roman" w:cs="Times New Roman"/>
          <w:color w:val="auto"/>
          <w:sz w:val="24"/>
          <w:szCs w:val="24"/>
        </w:rPr>
        <w:t>由于发包人原因在施工场地及其毗邻地带造成的第三者人身伤亡和财产损失。</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9.1.4</w:t>
      </w:r>
      <w:r>
        <w:rPr>
          <w:color w:val="auto"/>
          <w:sz w:val="24"/>
          <w:szCs w:val="24"/>
        </w:rPr>
        <w:t>除专用合同条款另有约定外，发包人负责向承包人提供施工现场及施工可能影响的毗邻区域内供水、排水、供电、供气、供热、通信、广播电视等地下管线资料，气象 和水文观测资料，拟建工程可能影响的相邻建筑物地下工程的有关资料，并保证有关资料的真实、准确、完整，满足有关技术规程的要求。</w:t>
      </w:r>
    </w:p>
    <w:p>
      <w:pPr>
        <w:pStyle w:val="45"/>
        <w:spacing w:line="37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9.1.5</w:t>
      </w:r>
      <w:r>
        <w:rPr>
          <w:color w:val="auto"/>
          <w:sz w:val="24"/>
          <w:szCs w:val="24"/>
        </w:rPr>
        <w:t>发包人按照已标价工程量清单所列金额和合同约定的计量支付规定，支付安全作业环境及安全施工措施所需费用。</w:t>
      </w:r>
    </w:p>
    <w:p>
      <w:pPr>
        <w:pStyle w:val="45"/>
        <w:spacing w:line="374"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9.1.6</w:t>
      </w:r>
      <w:r>
        <w:rPr>
          <w:color w:val="auto"/>
          <w:sz w:val="24"/>
          <w:szCs w:val="24"/>
        </w:rPr>
        <w:t>发包人负责组织工程参建单位编制保证安全生产的措施方案。工程开工前，就 落实安全生产的措施进行全面系统的布置，进一步明确承包人的安全生产责任。</w:t>
      </w:r>
    </w:p>
    <w:p>
      <w:pPr>
        <w:pStyle w:val="45"/>
        <w:spacing w:after="160" w:line="379"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9.1</w:t>
      </w:r>
      <w:r>
        <w:rPr>
          <w:rFonts w:hint="eastAsia" w:ascii="Times New Roman" w:hAnsi="Times New Roman" w:cs="Times New Roman"/>
          <w:color w:val="auto"/>
          <w:sz w:val="24"/>
          <w:szCs w:val="24"/>
          <w:lang w:val="en-US" w:bidi="en-US"/>
        </w:rPr>
        <w:t>.7</w:t>
      </w:r>
      <w:r>
        <w:rPr>
          <w:color w:val="auto"/>
          <w:sz w:val="24"/>
          <w:szCs w:val="24"/>
        </w:rPr>
        <w:t>发包人负责在拆除工程和爆破工程施工</w:t>
      </w:r>
      <w:r>
        <w:rPr>
          <w:rFonts w:ascii="Times New Roman" w:hAnsi="Times New Roman" w:eastAsia="Times New Roman" w:cs="Times New Roman"/>
          <w:color w:val="auto"/>
          <w:sz w:val="24"/>
          <w:szCs w:val="24"/>
        </w:rPr>
        <w:t>14</w:t>
      </w:r>
      <w:r>
        <w:rPr>
          <w:color w:val="auto"/>
          <w:sz w:val="24"/>
          <w:szCs w:val="24"/>
        </w:rPr>
        <w:t>天前向有关部门或机构报送相关备案资料。</w:t>
      </w:r>
    </w:p>
    <w:p>
      <w:pPr>
        <w:pStyle w:val="6"/>
        <w:ind w:left="0" w:leftChars="0" w:firstLine="0" w:firstLineChars="0"/>
        <w:rPr>
          <w:color w:val="auto"/>
          <w:sz w:val="24"/>
          <w:szCs w:val="24"/>
          <w:lang w:eastAsia="zh-CN"/>
        </w:rPr>
      </w:pPr>
      <w:bookmarkStart w:id="461" w:name="_Toc920"/>
      <w:bookmarkStart w:id="462" w:name="bookmark1128"/>
      <w:bookmarkStart w:id="463" w:name="bookmark1129"/>
      <w:bookmarkStart w:id="464" w:name="bookmark1130"/>
      <w:r>
        <w:rPr>
          <w:color w:val="auto"/>
          <w:sz w:val="24"/>
          <w:szCs w:val="24"/>
          <w:lang w:eastAsia="zh-CN"/>
        </w:rPr>
        <w:t>9.2承包人的施工安全责任</w:t>
      </w:r>
      <w:bookmarkEnd w:id="461"/>
      <w:bookmarkEnd w:id="462"/>
      <w:bookmarkEnd w:id="463"/>
      <w:bookmarkEnd w:id="464"/>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9.2.1</w:t>
      </w:r>
      <w:r>
        <w:rPr>
          <w:color w:val="auto"/>
          <w:sz w:val="24"/>
          <w:szCs w:val="24"/>
        </w:rPr>
        <w:t>承包人应按合同约定履行安全职责，执行监理人有关安全工作的指示。承包人应按技术标准和要求(合同技术条款)约定的内容和期限，以及监理人的指示，编制施工安全技术措施提交监理人审批。监理人应技术标准和要求(合同技术条款)约定的期限内 批复承包人。</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9.2.2</w:t>
      </w:r>
      <w:r>
        <w:rPr>
          <w:color w:val="auto"/>
          <w:sz w:val="24"/>
          <w:szCs w:val="24"/>
        </w:rPr>
        <w:t>承包人应加强施工作业安全管理，特别应加强易燃、易爆材料、火工器材、有毒与腐蚀性材料和其他危险品的管理，以及对爆破作业和地下工程施工等危险作业的管理。</w:t>
      </w:r>
    </w:p>
    <w:p>
      <w:pPr>
        <w:pStyle w:val="45"/>
        <w:spacing w:line="363"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9.2.3</w:t>
      </w:r>
      <w:r>
        <w:rPr>
          <w:color w:val="auto"/>
          <w:sz w:val="24"/>
          <w:szCs w:val="24"/>
        </w:rPr>
        <w:t>承包人应严格按照国家安全标准制定施工安全操作规程，配备必要的安全生产 和劳动保护设施，加强对承包人人员的安全教育，并发放安全工作手册和劳动保护用具。</w:t>
      </w:r>
    </w:p>
    <w:p>
      <w:pPr>
        <w:pStyle w:val="45"/>
        <w:spacing w:line="367"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9. 2.4</w:t>
      </w:r>
      <w:r>
        <w:rPr>
          <w:color w:val="auto"/>
          <w:sz w:val="24"/>
          <w:szCs w:val="24"/>
        </w:rPr>
        <w:t>承包人应按监理人的指示制定应对灾害的紧急预案，报送监理人审批。承包人还应按预案做好安全检查，配置必要的救助物资和器材，切实保护好有关人员的人身和财产安全。</w:t>
      </w:r>
    </w:p>
    <w:p>
      <w:pPr>
        <w:pStyle w:val="45"/>
        <w:spacing w:line="356"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9.2.5</w:t>
      </w:r>
      <w:r>
        <w:rPr>
          <w:color w:val="auto"/>
          <w:sz w:val="24"/>
          <w:szCs w:val="24"/>
        </w:rPr>
        <w:t>合同约定的安全作业环境及安全施工措施所需费用应遵守有关规定，并包括在相关工作的合同价格中。因采取合同未约定的安全作业环境及安全施工措施增加的费用，由监理人按第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color w:val="auto"/>
          <w:sz w:val="24"/>
          <w:szCs w:val="24"/>
        </w:rPr>
        <w:t>款商定或确定。</w:t>
      </w:r>
    </w:p>
    <w:p>
      <w:pPr>
        <w:pStyle w:val="45"/>
        <w:spacing w:line="356"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9.2.6</w:t>
      </w:r>
      <w:r>
        <w:rPr>
          <w:color w:val="auto"/>
          <w:sz w:val="24"/>
          <w:szCs w:val="24"/>
        </w:rPr>
        <w:t>承包人应对其履行合同所雇佣的全部人员，包括分包人人员的工伤事故承担责任，但由于发包人原因造成承包人人员工伤事故的，应由发包人承担责任。</w:t>
      </w:r>
    </w:p>
    <w:p>
      <w:pPr>
        <w:pStyle w:val="45"/>
        <w:spacing w:line="377"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9.2.</w:t>
      </w:r>
      <w:r>
        <w:rPr>
          <w:rFonts w:ascii="Times New Roman" w:hAnsi="Times New Roman" w:eastAsia="Times New Roman" w:cs="Times New Roman"/>
          <w:color w:val="auto"/>
          <w:sz w:val="24"/>
          <w:szCs w:val="24"/>
        </w:rPr>
        <w:t>7</w:t>
      </w:r>
      <w:r>
        <w:rPr>
          <w:color w:val="auto"/>
          <w:sz w:val="24"/>
          <w:szCs w:val="24"/>
        </w:rPr>
        <w:t>由于承包人原因在施工场地内及其毗邻地带造成的第三者人员伤亡和财产损失，由承包人负责赔偿。</w:t>
      </w:r>
    </w:p>
    <w:p>
      <w:pPr>
        <w:pStyle w:val="45"/>
        <w:spacing w:line="364"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9.2.</w:t>
      </w:r>
      <w:r>
        <w:rPr>
          <w:rFonts w:ascii="Times New Roman" w:hAnsi="Times New Roman" w:eastAsia="Times New Roman" w:cs="Times New Roman"/>
          <w:color w:val="auto"/>
          <w:sz w:val="24"/>
          <w:szCs w:val="24"/>
        </w:rPr>
        <w:t>8</w:t>
      </w:r>
      <w:r>
        <w:rPr>
          <w:color w:val="auto"/>
          <w:sz w:val="24"/>
          <w:szCs w:val="24"/>
        </w:rPr>
        <w:t>承包人已标价工程量清单应包含工程安全作业环境及安全施工措施所需费用。</w:t>
      </w:r>
    </w:p>
    <w:p>
      <w:pPr>
        <w:pStyle w:val="45"/>
        <w:spacing w:line="364"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9.2.9</w:t>
      </w:r>
      <w:r>
        <w:rPr>
          <w:color w:val="auto"/>
          <w:sz w:val="24"/>
          <w:szCs w:val="24"/>
        </w:rPr>
        <w:t>承包人应建立健全安全生产责任制度和安全生产教育培训制度，制定安全生产 规章制度和操作规程，保证本单位建立和完善安全生产条件所需资金的投入，对本工程进行定期和专项安全检查，并做好安全检查记录。</w:t>
      </w:r>
    </w:p>
    <w:p>
      <w:pPr>
        <w:pStyle w:val="45"/>
        <w:spacing w:line="37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 xml:space="preserve">9. 2. </w:t>
      </w:r>
      <w:r>
        <w:rPr>
          <w:rFonts w:ascii="Times New Roman" w:hAnsi="Times New Roman" w:eastAsia="Times New Roman" w:cs="Times New Roman"/>
          <w:color w:val="auto"/>
          <w:sz w:val="24"/>
          <w:szCs w:val="24"/>
        </w:rPr>
        <w:t>10</w:t>
      </w:r>
      <w:r>
        <w:rPr>
          <w:color w:val="auto"/>
          <w:sz w:val="24"/>
          <w:szCs w:val="24"/>
        </w:rPr>
        <w:t>承包人应设立安全生产管理机构，施工现场应有专职安全生产管理人员。</w:t>
      </w:r>
    </w:p>
    <w:p>
      <w:pPr>
        <w:pStyle w:val="45"/>
        <w:spacing w:line="37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9. 2.11</w:t>
      </w:r>
      <w:r>
        <w:rPr>
          <w:color w:val="auto"/>
          <w:sz w:val="24"/>
          <w:szCs w:val="24"/>
        </w:rPr>
        <w:t>承包人应负责对特种作业人员进行专门的安全作业培训，并保证特种作业人员持证上岗。</w:t>
      </w:r>
    </w:p>
    <w:p>
      <w:pPr>
        <w:pStyle w:val="45"/>
        <w:spacing w:line="365" w:lineRule="exact"/>
        <w:ind w:firstLine="420"/>
        <w:jc w:val="both"/>
        <w:rPr>
          <w:color w:val="auto"/>
          <w:sz w:val="24"/>
          <w:szCs w:val="24"/>
        </w:rPr>
      </w:pPr>
      <w:r>
        <w:rPr>
          <w:rFonts w:ascii="Times New Roman" w:hAnsi="Times New Roman" w:eastAsia="Times New Roman" w:cs="Times New Roman"/>
          <w:color w:val="auto"/>
          <w:sz w:val="24"/>
          <w:szCs w:val="24"/>
          <w:lang w:val="en-US" w:bidi="en-US"/>
        </w:rPr>
        <w:t xml:space="preserve">9. 2. </w:t>
      </w:r>
      <w:r>
        <w:rPr>
          <w:rFonts w:ascii="Times New Roman" w:hAnsi="Times New Roman" w:eastAsia="Times New Roman" w:cs="Times New Roman"/>
          <w:color w:val="auto"/>
          <w:sz w:val="24"/>
          <w:szCs w:val="24"/>
        </w:rPr>
        <w:t>12</w:t>
      </w:r>
      <w:r>
        <w:rPr>
          <w:color w:val="auto"/>
          <w:sz w:val="24"/>
          <w:szCs w:val="24"/>
        </w:rPr>
        <w:t>承包人应在施工组织设计中编制安全技术措施和施工现场临时用电方案。对专用合同条款约定的工程，应编制专项施工方案报监理人批准。对专用合同条款约定的专项施工方案，还应组织专家进行论证、审查，其中专家</w:t>
      </w:r>
      <w:r>
        <w:rPr>
          <w:rFonts w:ascii="Times New Roman" w:hAnsi="Times New Roman" w:eastAsia="Times New Roman" w:cs="Times New Roman"/>
          <w:color w:val="auto"/>
          <w:sz w:val="24"/>
          <w:szCs w:val="24"/>
        </w:rPr>
        <w:t>1/2</w:t>
      </w:r>
      <w:r>
        <w:rPr>
          <w:color w:val="auto"/>
          <w:sz w:val="24"/>
          <w:szCs w:val="24"/>
        </w:rPr>
        <w:t>人员应经</w:t>
      </w:r>
      <w:r>
        <w:rPr>
          <w:rFonts w:hint="eastAsia"/>
          <w:color w:val="auto"/>
          <w:sz w:val="24"/>
          <w:szCs w:val="24"/>
          <w:lang w:eastAsia="zh-CN"/>
        </w:rPr>
        <w:t>发包人书面同意</w:t>
      </w:r>
      <w:r>
        <w:rPr>
          <w:color w:val="auto"/>
          <w:sz w:val="24"/>
          <w:szCs w:val="24"/>
        </w:rPr>
        <w:t>。</w:t>
      </w:r>
    </w:p>
    <w:p>
      <w:pPr>
        <w:pStyle w:val="45"/>
        <w:spacing w:after="140" w:line="365" w:lineRule="exact"/>
        <w:ind w:firstLine="420"/>
        <w:jc w:val="both"/>
        <w:rPr>
          <w:color w:val="auto"/>
          <w:sz w:val="24"/>
          <w:szCs w:val="24"/>
        </w:rPr>
      </w:pPr>
      <w:r>
        <w:rPr>
          <w:rFonts w:ascii="Times New Roman" w:hAnsi="Times New Roman" w:eastAsia="Times New Roman" w:cs="Times New Roman"/>
          <w:color w:val="auto"/>
          <w:sz w:val="24"/>
          <w:szCs w:val="24"/>
          <w:lang w:val="en-US" w:bidi="en-US"/>
        </w:rPr>
        <w:t xml:space="preserve">9. 2. </w:t>
      </w:r>
      <w:r>
        <w:rPr>
          <w:rFonts w:ascii="Times New Roman" w:hAnsi="Times New Roman" w:eastAsia="Times New Roman" w:cs="Times New Roman"/>
          <w:color w:val="auto"/>
          <w:sz w:val="24"/>
          <w:szCs w:val="24"/>
        </w:rPr>
        <w:t>13</w:t>
      </w:r>
      <w:r>
        <w:rPr>
          <w:color w:val="auto"/>
          <w:sz w:val="24"/>
          <w:szCs w:val="24"/>
        </w:rPr>
        <w:t>承包人在使用施工起重机构和整体提升脚手架、模板等自升式架设设施前, 应组织有关单位进行验收。</w:t>
      </w:r>
    </w:p>
    <w:p>
      <w:pPr>
        <w:pStyle w:val="6"/>
        <w:ind w:left="0" w:leftChars="0" w:firstLine="0" w:firstLineChars="0"/>
        <w:rPr>
          <w:color w:val="auto"/>
          <w:sz w:val="24"/>
          <w:szCs w:val="24"/>
          <w:lang w:eastAsia="zh-CN"/>
        </w:rPr>
      </w:pPr>
      <w:bookmarkStart w:id="465" w:name="bookmark1133"/>
      <w:bookmarkStart w:id="466" w:name="bookmark1132"/>
      <w:bookmarkStart w:id="467" w:name="_Toc24520"/>
      <w:bookmarkStart w:id="468" w:name="bookmark1131"/>
      <w:r>
        <w:rPr>
          <w:color w:val="auto"/>
          <w:sz w:val="24"/>
          <w:szCs w:val="24"/>
          <w:lang w:eastAsia="zh-CN"/>
        </w:rPr>
        <w:t>9.3治安保卫</w:t>
      </w:r>
      <w:bookmarkEnd w:id="465"/>
      <w:bookmarkEnd w:id="466"/>
      <w:bookmarkEnd w:id="467"/>
      <w:bookmarkEnd w:id="468"/>
    </w:p>
    <w:p>
      <w:pPr>
        <w:pStyle w:val="45"/>
        <w:spacing w:line="367"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9.3.1</w:t>
      </w:r>
      <w:r>
        <w:rPr>
          <w:color w:val="auto"/>
          <w:sz w:val="24"/>
          <w:szCs w:val="24"/>
        </w:rPr>
        <w:t>除合同另有约定外，发包人应与当地公安部门协商，在现场建立治安管理机构或联防组织，统一管理施工场地的治安保卫事项，履行合同工程的治安保卫职责。</w:t>
      </w:r>
    </w:p>
    <w:p>
      <w:pPr>
        <w:pStyle w:val="45"/>
        <w:spacing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9.3.</w:t>
      </w:r>
      <w:r>
        <w:rPr>
          <w:rFonts w:ascii="Times New Roman" w:hAnsi="Times New Roman" w:eastAsia="Times New Roman" w:cs="Times New Roman"/>
          <w:color w:val="auto"/>
          <w:sz w:val="24"/>
          <w:szCs w:val="24"/>
        </w:rPr>
        <w:t>2</w:t>
      </w:r>
      <w:r>
        <w:rPr>
          <w:color w:val="auto"/>
          <w:sz w:val="24"/>
          <w:szCs w:val="24"/>
        </w:rPr>
        <w:t>发包人和承包人除应协助现场治安管理机构或联防组织维护施工场地的社会治安外，还应做好包括生活区在内的各自管辖区的治安保卫工作。</w:t>
      </w:r>
    </w:p>
    <w:p>
      <w:pPr>
        <w:pStyle w:val="45"/>
        <w:spacing w:after="140"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9.3.3</w:t>
      </w:r>
      <w:r>
        <w:rPr>
          <w:color w:val="auto"/>
          <w:sz w:val="24"/>
          <w:szCs w:val="24"/>
        </w:rPr>
        <w:t>除合同另有约定外，发包人和承包人应在工程开工后，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pPr>
        <w:pStyle w:val="6"/>
        <w:ind w:left="0" w:leftChars="0" w:firstLine="0" w:firstLineChars="0"/>
        <w:rPr>
          <w:color w:val="auto"/>
          <w:sz w:val="24"/>
          <w:szCs w:val="24"/>
          <w:lang w:eastAsia="zh-CN"/>
        </w:rPr>
      </w:pPr>
      <w:bookmarkStart w:id="469" w:name="_Toc19282"/>
      <w:bookmarkStart w:id="470" w:name="bookmark1134"/>
      <w:bookmarkStart w:id="471" w:name="bookmark1136"/>
      <w:bookmarkStart w:id="472" w:name="bookmark1135"/>
      <w:r>
        <w:rPr>
          <w:color w:val="auto"/>
          <w:sz w:val="24"/>
          <w:szCs w:val="24"/>
          <w:lang w:eastAsia="zh-CN"/>
        </w:rPr>
        <w:t>9.4环境保护</w:t>
      </w:r>
      <w:bookmarkEnd w:id="469"/>
      <w:bookmarkEnd w:id="470"/>
      <w:bookmarkEnd w:id="471"/>
      <w:bookmarkEnd w:id="472"/>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9.4.1</w:t>
      </w:r>
      <w:r>
        <w:rPr>
          <w:color w:val="auto"/>
          <w:sz w:val="24"/>
          <w:szCs w:val="24"/>
        </w:rPr>
        <w:t>承包人在施工过程中，应遵守有关环境保护的法律，履行合同约定的环境保护义务，并对违反法律和合同约定义务所造成的环境破坏、人身伤害和财产损失负责。</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9.4.2</w:t>
      </w:r>
      <w:r>
        <w:rPr>
          <w:color w:val="auto"/>
          <w:sz w:val="24"/>
          <w:szCs w:val="24"/>
        </w:rPr>
        <w:t>承包人应按合同约定的环保工作内容，编制施工环保措施计划，报送监理人审批。</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9.4.3</w:t>
      </w:r>
      <w:r>
        <w:rPr>
          <w:color w:val="auto"/>
          <w:sz w:val="24"/>
          <w:szCs w:val="24"/>
        </w:rPr>
        <w:t>承包人应按照批准的施工环保措施计划有序地堆放和处理施工废弃物，避免对环境造成破坏。因承包人任意堆放或弃置施工废弃物造成妨碍公共交通、影响城镇居民生活、降低河流行洪能力、危及居民安全、破坏周边环境，或者影响其他承包人施工等后果的，承包人应承担责任。</w:t>
      </w:r>
    </w:p>
    <w:p>
      <w:pPr>
        <w:pStyle w:val="45"/>
        <w:spacing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9.4.4</w:t>
      </w:r>
      <w:r>
        <w:rPr>
          <w:color w:val="auto"/>
          <w:sz w:val="24"/>
          <w:szCs w:val="24"/>
        </w:rPr>
        <w:t>承包人应按合同约定采取有效措施，对施工开挖的边坡及时进行支护，维护排 水设施，并进行水土保护，避免因施工造成的地质灾害。</w:t>
      </w:r>
    </w:p>
    <w:p>
      <w:pPr>
        <w:pStyle w:val="45"/>
        <w:spacing w:line="360" w:lineRule="exact"/>
        <w:ind w:firstLine="420"/>
        <w:rPr>
          <w:color w:val="auto"/>
          <w:sz w:val="24"/>
          <w:szCs w:val="24"/>
        </w:rPr>
      </w:pPr>
      <w:r>
        <w:rPr>
          <w:rFonts w:ascii="Times New Roman" w:hAnsi="Times New Roman" w:cs="Times New Roman"/>
          <w:color w:val="auto"/>
          <w:sz w:val="24"/>
          <w:szCs w:val="24"/>
          <w:lang w:val="en-US" w:bidi="en-US"/>
        </w:rPr>
        <w:t>9.4.5</w:t>
      </w:r>
      <w:r>
        <w:rPr>
          <w:color w:val="auto"/>
          <w:sz w:val="24"/>
          <w:szCs w:val="24"/>
        </w:rPr>
        <w:t>承包人应按国家饮用水管理标准定期对饮用水源进行监测，防止施工活动污染饮用水源。</w:t>
      </w:r>
    </w:p>
    <w:p>
      <w:pPr>
        <w:pStyle w:val="45"/>
        <w:spacing w:after="120"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9.4.6</w:t>
      </w:r>
      <w:r>
        <w:rPr>
          <w:color w:val="auto"/>
          <w:sz w:val="24"/>
          <w:szCs w:val="24"/>
        </w:rPr>
        <w:t>承包人应按合同约定，加强对噪声、粉尘、废气、废水和废油的控制，努力降低噪声，控制粉尘和废气浓度，做好废水和废油的治理和排放。</w:t>
      </w:r>
    </w:p>
    <w:p>
      <w:pPr>
        <w:pStyle w:val="6"/>
        <w:ind w:left="0" w:leftChars="0" w:firstLine="0" w:firstLineChars="0"/>
        <w:rPr>
          <w:color w:val="auto"/>
          <w:sz w:val="24"/>
          <w:szCs w:val="24"/>
          <w:lang w:eastAsia="zh-CN"/>
        </w:rPr>
      </w:pPr>
      <w:bookmarkStart w:id="473" w:name="bookmark1139"/>
      <w:bookmarkStart w:id="474" w:name="bookmark1137"/>
      <w:bookmarkStart w:id="475" w:name="bookmark1138"/>
      <w:r>
        <w:rPr>
          <w:color w:val="auto"/>
          <w:sz w:val="24"/>
          <w:szCs w:val="24"/>
          <w:lang w:eastAsia="zh-CN"/>
        </w:rPr>
        <w:t>9.5事故处理</w:t>
      </w:r>
      <w:bookmarkEnd w:id="473"/>
      <w:bookmarkEnd w:id="474"/>
      <w:bookmarkEnd w:id="475"/>
    </w:p>
    <w:p>
      <w:pPr>
        <w:pStyle w:val="45"/>
        <w:spacing w:line="374"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9.5.1</w:t>
      </w:r>
      <w:r>
        <w:rPr>
          <w:color w:val="auto"/>
          <w:sz w:val="24"/>
          <w:szCs w:val="24"/>
        </w:rPr>
        <w:t>发包人负责组织参建单位制定本工程的质量与安全事故应急预案，建立质量与安全事故应急处置指挥部。</w:t>
      </w:r>
    </w:p>
    <w:p>
      <w:pPr>
        <w:pStyle w:val="45"/>
        <w:spacing w:line="37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w:t>
      </w:r>
      <w:r>
        <w:rPr>
          <w:rFonts w:hint="eastAsia" w:ascii="Times New Roman" w:hAnsi="Times New Roman" w:cs="Times New Roman"/>
          <w:color w:val="auto"/>
          <w:sz w:val="24"/>
          <w:szCs w:val="24"/>
          <w:lang w:val="en-US" w:bidi="en-US"/>
        </w:rPr>
        <w:t>.</w:t>
      </w:r>
      <w:r>
        <w:rPr>
          <w:rFonts w:ascii="Times New Roman" w:hAnsi="Times New Roman" w:eastAsia="Times New Roman" w:cs="Times New Roman"/>
          <w:color w:val="auto"/>
          <w:sz w:val="24"/>
          <w:szCs w:val="24"/>
          <w:lang w:val="en-US" w:bidi="en-US"/>
        </w:rPr>
        <w:t>5.2</w:t>
      </w:r>
      <w:r>
        <w:rPr>
          <w:color w:val="auto"/>
          <w:sz w:val="24"/>
          <w:szCs w:val="24"/>
        </w:rPr>
        <w:t>承包人应对施工现场易发生重大事故的部位、环节的进行监控，配备救援器材、设备，并定期组织演练。</w:t>
      </w:r>
    </w:p>
    <w:p>
      <w:pPr>
        <w:pStyle w:val="45"/>
        <w:spacing w:after="120" w:line="374"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9.5.3</w:t>
      </w:r>
      <w:r>
        <w:rPr>
          <w:color w:val="auto"/>
          <w:sz w:val="24"/>
          <w:szCs w:val="24"/>
        </w:rPr>
        <w:t>工程开工前，承包人应根据本工程特点制定施工现场施工质量与安全事故应急预案，并报发包人备案。</w:t>
      </w:r>
    </w:p>
    <w:p>
      <w:pPr>
        <w:pStyle w:val="45"/>
        <w:spacing w:line="240" w:lineRule="auto"/>
        <w:ind w:firstLine="420"/>
        <w:rPr>
          <w:color w:val="auto"/>
          <w:sz w:val="24"/>
          <w:szCs w:val="24"/>
        </w:rPr>
      </w:pPr>
      <w:r>
        <w:rPr>
          <w:rFonts w:ascii="Times New Roman" w:hAnsi="Times New Roman" w:eastAsia="Times New Roman" w:cs="Times New Roman"/>
          <w:color w:val="auto"/>
          <w:sz w:val="24"/>
          <w:szCs w:val="24"/>
          <w:lang w:val="en-US" w:bidi="en-US"/>
        </w:rPr>
        <w:t>9.5.4</w:t>
      </w:r>
      <w:r>
        <w:rPr>
          <w:color w:val="auto"/>
          <w:sz w:val="24"/>
          <w:szCs w:val="24"/>
        </w:rPr>
        <w:t>施工过程中发生事故时，发包人、承包人应立即启动应急预案。</w:t>
      </w:r>
    </w:p>
    <w:p>
      <w:pPr>
        <w:pStyle w:val="45"/>
        <w:spacing w:after="120" w:line="367" w:lineRule="exact"/>
        <w:ind w:firstLine="420"/>
        <w:rPr>
          <w:color w:val="auto"/>
          <w:sz w:val="24"/>
          <w:szCs w:val="24"/>
        </w:rPr>
      </w:pPr>
      <w:r>
        <w:rPr>
          <w:rFonts w:ascii="Times New Roman" w:hAnsi="Times New Roman" w:eastAsia="Times New Roman" w:cs="Times New Roman"/>
          <w:color w:val="auto"/>
          <w:sz w:val="24"/>
          <w:szCs w:val="24"/>
          <w:lang w:val="en-US" w:bidi="en-US"/>
        </w:rPr>
        <w:t>9.5.5</w:t>
      </w:r>
      <w:r>
        <w:rPr>
          <w:color w:val="auto"/>
          <w:sz w:val="24"/>
          <w:szCs w:val="24"/>
        </w:rPr>
        <w:t>事故调查处理由发包人按相关规定履行手续，承包人应配合。</w:t>
      </w:r>
    </w:p>
    <w:p>
      <w:pPr>
        <w:pStyle w:val="6"/>
        <w:ind w:left="0" w:leftChars="0" w:firstLine="0" w:firstLineChars="0"/>
        <w:rPr>
          <w:color w:val="auto"/>
          <w:sz w:val="24"/>
          <w:szCs w:val="24"/>
          <w:lang w:eastAsia="zh-CN"/>
        </w:rPr>
      </w:pPr>
      <w:bookmarkStart w:id="476" w:name="bookmark1142"/>
      <w:bookmarkStart w:id="477" w:name="bookmark1140"/>
      <w:bookmarkStart w:id="478" w:name="_Toc10912"/>
      <w:bookmarkStart w:id="479" w:name="bookmark1141"/>
      <w:r>
        <w:rPr>
          <w:color w:val="auto"/>
          <w:sz w:val="24"/>
          <w:szCs w:val="24"/>
          <w:lang w:eastAsia="zh-CN"/>
        </w:rPr>
        <w:t>9.6水土保持</w:t>
      </w:r>
      <w:bookmarkEnd w:id="476"/>
      <w:bookmarkEnd w:id="477"/>
      <w:bookmarkEnd w:id="478"/>
      <w:bookmarkEnd w:id="479"/>
    </w:p>
    <w:p>
      <w:pPr>
        <w:pStyle w:val="45"/>
        <w:spacing w:line="379" w:lineRule="auto"/>
        <w:ind w:firstLine="420"/>
        <w:rPr>
          <w:color w:val="auto"/>
          <w:sz w:val="24"/>
          <w:szCs w:val="24"/>
        </w:rPr>
      </w:pPr>
      <w:r>
        <w:rPr>
          <w:rFonts w:ascii="Times New Roman" w:hAnsi="Times New Roman" w:eastAsia="Times New Roman" w:cs="Times New Roman"/>
          <w:color w:val="auto"/>
          <w:sz w:val="24"/>
          <w:szCs w:val="24"/>
          <w:lang w:val="en-US" w:bidi="en-US"/>
        </w:rPr>
        <w:t>9.6.</w:t>
      </w:r>
      <w:r>
        <w:rPr>
          <w:rFonts w:ascii="Times New Roman" w:hAnsi="Times New Roman" w:eastAsia="Times New Roman" w:cs="Times New Roman"/>
          <w:color w:val="auto"/>
          <w:sz w:val="24"/>
          <w:szCs w:val="24"/>
        </w:rPr>
        <w:t>1</w:t>
      </w:r>
      <w:r>
        <w:rPr>
          <w:color w:val="auto"/>
          <w:sz w:val="24"/>
          <w:szCs w:val="24"/>
        </w:rPr>
        <w:t>发包人应及时向承包人提供水土保持方案。</w:t>
      </w:r>
    </w:p>
    <w:p>
      <w:pPr>
        <w:pStyle w:val="45"/>
        <w:spacing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9.6.2</w:t>
      </w:r>
      <w:r>
        <w:rPr>
          <w:color w:val="auto"/>
          <w:sz w:val="24"/>
          <w:szCs w:val="24"/>
        </w:rPr>
        <w:t>承包人在施工过程中，应遵守有关水土保持的法律法规和规章，履行合同约定的水土保持义务，并对其违反法律和合同约定义务所造成的水土流失灾害、人身伤害和财 产损失负责。</w:t>
      </w:r>
    </w:p>
    <w:p>
      <w:pPr>
        <w:pStyle w:val="45"/>
        <w:spacing w:after="120" w:line="367"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9.6.3</w:t>
      </w:r>
      <w:r>
        <w:rPr>
          <w:color w:val="auto"/>
          <w:sz w:val="24"/>
          <w:szCs w:val="24"/>
        </w:rPr>
        <w:t>承包人的水土保持措施计划，应满足技术标准和要求（合同技术条款）约定的要求。</w:t>
      </w:r>
    </w:p>
    <w:p>
      <w:pPr>
        <w:pStyle w:val="6"/>
        <w:ind w:left="0" w:leftChars="0" w:firstLine="0" w:firstLineChars="0"/>
        <w:rPr>
          <w:color w:val="auto"/>
          <w:sz w:val="24"/>
          <w:szCs w:val="24"/>
          <w:lang w:eastAsia="zh-CN"/>
        </w:rPr>
      </w:pPr>
      <w:bookmarkStart w:id="480" w:name="_Toc9534"/>
      <w:bookmarkStart w:id="481" w:name="bookmark1145"/>
      <w:bookmarkStart w:id="482" w:name="bookmark1143"/>
      <w:bookmarkStart w:id="483" w:name="bookmark1144"/>
      <w:r>
        <w:rPr>
          <w:color w:val="auto"/>
          <w:sz w:val="24"/>
          <w:szCs w:val="24"/>
          <w:lang w:eastAsia="zh-CN"/>
        </w:rPr>
        <w:t>9.7文明工地</w:t>
      </w:r>
      <w:bookmarkEnd w:id="480"/>
      <w:bookmarkEnd w:id="481"/>
      <w:bookmarkEnd w:id="482"/>
      <w:bookmarkEnd w:id="483"/>
    </w:p>
    <w:p>
      <w:pPr>
        <w:pStyle w:val="45"/>
        <w:spacing w:line="37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9.7.1</w:t>
      </w:r>
      <w:r>
        <w:rPr>
          <w:color w:val="auto"/>
          <w:sz w:val="24"/>
          <w:szCs w:val="24"/>
        </w:rPr>
        <w:t>发包人应按专用合同条款的约定，负责建立创建文明建设工地的组织机构，制定创建文明建设工地的规划和办法。</w:t>
      </w:r>
    </w:p>
    <w:p>
      <w:pPr>
        <w:pStyle w:val="45"/>
        <w:spacing w:after="120" w:line="370" w:lineRule="exact"/>
        <w:ind w:firstLine="420"/>
        <w:jc w:val="both"/>
        <w:rPr>
          <w:color w:val="auto"/>
          <w:sz w:val="24"/>
          <w:szCs w:val="24"/>
          <w:lang w:eastAsia="zh-CN"/>
        </w:rPr>
      </w:pPr>
      <w:r>
        <w:rPr>
          <w:rFonts w:ascii="Times New Roman" w:hAnsi="Times New Roman" w:eastAsia="Times New Roman" w:cs="Times New Roman"/>
          <w:color w:val="auto"/>
          <w:sz w:val="24"/>
          <w:szCs w:val="24"/>
          <w:lang w:val="en-US" w:bidi="en-US"/>
        </w:rPr>
        <w:t>9.7.2</w:t>
      </w:r>
      <w:r>
        <w:rPr>
          <w:color w:val="auto"/>
          <w:sz w:val="24"/>
          <w:szCs w:val="24"/>
        </w:rPr>
        <w:t>承包人应按创建文明建设工地的规划和办法，履行职责，承担相应责任。所需费用应含在已标价工程量清单中。</w:t>
      </w:r>
      <w:bookmarkStart w:id="484" w:name="_Toc2182"/>
      <w:bookmarkStart w:id="485" w:name="bookmark1146"/>
      <w:bookmarkStart w:id="486" w:name="bookmark1147"/>
      <w:bookmarkStart w:id="487" w:name="bookmark1148"/>
    </w:p>
    <w:p>
      <w:pPr>
        <w:pStyle w:val="6"/>
        <w:ind w:left="0" w:leftChars="0" w:firstLine="0" w:firstLineChars="0"/>
        <w:rPr>
          <w:color w:val="auto"/>
          <w:sz w:val="24"/>
          <w:szCs w:val="24"/>
          <w:lang w:eastAsia="zh-CN"/>
        </w:rPr>
      </w:pPr>
      <w:r>
        <w:rPr>
          <w:color w:val="auto"/>
          <w:sz w:val="24"/>
          <w:szCs w:val="24"/>
          <w:lang w:eastAsia="zh-CN"/>
        </w:rPr>
        <w:t>9.8防汛度汛</w:t>
      </w:r>
      <w:bookmarkEnd w:id="484"/>
      <w:bookmarkEnd w:id="485"/>
      <w:bookmarkEnd w:id="486"/>
      <w:bookmarkEnd w:id="487"/>
    </w:p>
    <w:p>
      <w:pPr>
        <w:pStyle w:val="45"/>
        <w:spacing w:line="360" w:lineRule="exact"/>
        <w:ind w:firstLine="420"/>
        <w:rPr>
          <w:color w:val="auto"/>
          <w:sz w:val="24"/>
          <w:szCs w:val="24"/>
        </w:rPr>
      </w:pPr>
      <w:r>
        <w:rPr>
          <w:rFonts w:ascii="Times New Roman" w:hAnsi="Times New Roman" w:eastAsia="Times New Roman" w:cs="Times New Roman"/>
          <w:color w:val="auto"/>
          <w:sz w:val="24"/>
          <w:szCs w:val="24"/>
          <w:lang w:val="en-US" w:bidi="en-US"/>
        </w:rPr>
        <w:t>9.8.</w:t>
      </w:r>
      <w:r>
        <w:rPr>
          <w:rFonts w:ascii="Times New Roman" w:hAnsi="Times New Roman" w:eastAsia="Times New Roman" w:cs="Times New Roman"/>
          <w:color w:val="auto"/>
          <w:sz w:val="24"/>
          <w:szCs w:val="24"/>
        </w:rPr>
        <w:t>1</w:t>
      </w:r>
      <w:r>
        <w:rPr>
          <w:color w:val="auto"/>
          <w:sz w:val="24"/>
          <w:szCs w:val="24"/>
        </w:rPr>
        <w:t>发包人负责组织工程参建单位编制本工程的度汛方案和措施。</w:t>
      </w:r>
    </w:p>
    <w:p>
      <w:pPr>
        <w:pStyle w:val="45"/>
        <w:spacing w:after="280" w:line="36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9.8.2</w:t>
      </w:r>
      <w:r>
        <w:rPr>
          <w:color w:val="auto"/>
          <w:sz w:val="24"/>
          <w:szCs w:val="24"/>
        </w:rPr>
        <w:t>承包人应根据发包人编制的本工程度汛方案和措施，制定相应的度汛方案，报发包人批准后实施。</w:t>
      </w:r>
    </w:p>
    <w:p>
      <w:pPr>
        <w:pStyle w:val="5"/>
        <w:spacing w:line="360" w:lineRule="exact"/>
        <w:rPr>
          <w:rFonts w:hint="eastAsia"/>
          <w:color w:val="auto"/>
          <w:sz w:val="24"/>
          <w:szCs w:val="24"/>
          <w:lang w:eastAsia="zh-CN"/>
        </w:rPr>
      </w:pPr>
      <w:bookmarkStart w:id="488" w:name="bookmark1150"/>
      <w:bookmarkStart w:id="489" w:name="_Toc22636"/>
      <w:bookmarkStart w:id="490" w:name="_Toc1405482679"/>
      <w:bookmarkStart w:id="491" w:name="bookmark1151"/>
      <w:bookmarkStart w:id="492" w:name="_Toc27960"/>
      <w:bookmarkStart w:id="493" w:name="bookmark1149"/>
      <w:r>
        <w:rPr>
          <w:rFonts w:hint="eastAsia"/>
          <w:color w:val="auto"/>
          <w:sz w:val="24"/>
          <w:szCs w:val="24"/>
          <w:lang w:eastAsia="zh-CN"/>
        </w:rPr>
        <w:t>10.进度计划</w:t>
      </w:r>
      <w:bookmarkEnd w:id="488"/>
      <w:bookmarkEnd w:id="489"/>
      <w:bookmarkEnd w:id="490"/>
      <w:bookmarkEnd w:id="491"/>
      <w:bookmarkEnd w:id="492"/>
      <w:bookmarkEnd w:id="493"/>
    </w:p>
    <w:p>
      <w:pPr>
        <w:pStyle w:val="6"/>
        <w:ind w:left="0" w:leftChars="0" w:firstLine="0" w:firstLineChars="0"/>
        <w:rPr>
          <w:color w:val="auto"/>
          <w:sz w:val="24"/>
          <w:szCs w:val="24"/>
          <w:lang w:eastAsia="zh-CN"/>
        </w:rPr>
      </w:pPr>
      <w:bookmarkStart w:id="494" w:name="bookmark1154"/>
      <w:bookmarkStart w:id="495" w:name="bookmark1153"/>
      <w:bookmarkStart w:id="496" w:name="bookmark1152"/>
      <w:bookmarkStart w:id="497" w:name="_Toc15277"/>
      <w:r>
        <w:rPr>
          <w:color w:val="auto"/>
          <w:sz w:val="24"/>
          <w:szCs w:val="24"/>
          <w:lang w:eastAsia="zh-CN"/>
        </w:rPr>
        <w:t>10.1合同进度计划</w:t>
      </w:r>
      <w:bookmarkEnd w:id="494"/>
      <w:bookmarkEnd w:id="495"/>
      <w:bookmarkEnd w:id="496"/>
      <w:bookmarkEnd w:id="497"/>
    </w:p>
    <w:p>
      <w:pPr>
        <w:pStyle w:val="45"/>
        <w:spacing w:after="120" w:line="355" w:lineRule="exact"/>
        <w:ind w:firstLine="420"/>
        <w:jc w:val="both"/>
        <w:rPr>
          <w:color w:val="auto"/>
          <w:sz w:val="24"/>
          <w:szCs w:val="24"/>
        </w:rPr>
      </w:pPr>
      <w:r>
        <w:rPr>
          <w:color w:val="auto"/>
          <w:sz w:val="24"/>
          <w:szCs w:val="24"/>
        </w:rPr>
        <w:t>承包人应按技术标准和要求（合同技术条款）约定的内容和期限以及监理人的指示, 编制详细的施工总进度计划及其说明提交监理人审批。监理人应在技术标准和要求（合同 技术条款）约定的期限内批复承包人，否则该进度计划视为已得到批准。经监理人批准的 施工进度计划称为合同进度计划，是控制合同工程进度的依据。承包人还应根据合同进度 计划，编制更为详细的分阶段或单位工程或分部工程进度计划，报监理人审批。</w:t>
      </w:r>
    </w:p>
    <w:p>
      <w:pPr>
        <w:pStyle w:val="6"/>
        <w:ind w:left="0" w:leftChars="0" w:firstLine="0" w:firstLineChars="0"/>
        <w:rPr>
          <w:color w:val="auto"/>
          <w:sz w:val="24"/>
          <w:szCs w:val="24"/>
          <w:lang w:eastAsia="zh-CN"/>
        </w:rPr>
      </w:pPr>
      <w:bookmarkStart w:id="498" w:name="bookmark1155"/>
      <w:bookmarkStart w:id="499" w:name="bookmark1156"/>
      <w:bookmarkStart w:id="500" w:name="_Toc8733"/>
      <w:bookmarkStart w:id="501" w:name="bookmark1157"/>
      <w:r>
        <w:rPr>
          <w:color w:val="auto"/>
          <w:sz w:val="24"/>
          <w:szCs w:val="24"/>
          <w:lang w:eastAsia="zh-CN"/>
        </w:rPr>
        <w:t>10.2合同进度计划的修订</w:t>
      </w:r>
      <w:bookmarkEnd w:id="498"/>
      <w:bookmarkEnd w:id="499"/>
      <w:bookmarkEnd w:id="500"/>
      <w:bookmarkEnd w:id="501"/>
    </w:p>
    <w:p>
      <w:pPr>
        <w:pStyle w:val="45"/>
        <w:spacing w:line="367" w:lineRule="exact"/>
        <w:ind w:firstLine="420"/>
        <w:jc w:val="both"/>
        <w:rPr>
          <w:color w:val="auto"/>
          <w:sz w:val="24"/>
          <w:szCs w:val="24"/>
        </w:rPr>
      </w:pPr>
      <w:r>
        <w:rPr>
          <w:color w:val="auto"/>
          <w:sz w:val="24"/>
          <w:szCs w:val="24"/>
        </w:rPr>
        <w:t>不论何种原因造成工程的实际进度与第</w:t>
      </w:r>
      <w:r>
        <w:rPr>
          <w:rFonts w:ascii="Times New Roman" w:hAnsi="Times New Roman" w:eastAsia="Times New Roman" w:cs="Times New Roman"/>
          <w:color w:val="auto"/>
          <w:sz w:val="24"/>
          <w:szCs w:val="24"/>
          <w:lang w:val="en-US" w:bidi="en-US"/>
        </w:rPr>
        <w:t xml:space="preserve">10. </w:t>
      </w:r>
      <w:r>
        <w:rPr>
          <w:rFonts w:ascii="Times New Roman" w:hAnsi="Times New Roman" w:eastAsia="Times New Roman" w:cs="Times New Roman"/>
          <w:color w:val="auto"/>
          <w:sz w:val="24"/>
          <w:szCs w:val="24"/>
        </w:rPr>
        <w:t>1</w:t>
      </w:r>
      <w:r>
        <w:rPr>
          <w:color w:val="auto"/>
          <w:sz w:val="24"/>
          <w:szCs w:val="24"/>
        </w:rPr>
        <w:t xml:space="preserve">款的合同进度计划不符时，承包人均应在 </w:t>
      </w:r>
      <w:r>
        <w:rPr>
          <w:rFonts w:ascii="Times New Roman" w:hAnsi="Times New Roman" w:eastAsia="Times New Roman" w:cs="Times New Roman"/>
          <w:color w:val="auto"/>
          <w:sz w:val="24"/>
          <w:szCs w:val="24"/>
        </w:rPr>
        <w:t>14</w:t>
      </w:r>
      <w:r>
        <w:rPr>
          <w:color w:val="auto"/>
          <w:sz w:val="24"/>
          <w:szCs w:val="24"/>
        </w:rPr>
        <w:t>天内向监理人提交修订合同进度计划的申请报告，并附有关措施和相关资料，报监理人审批；监理人应在收到申请报告后的</w:t>
      </w:r>
      <w:r>
        <w:rPr>
          <w:rFonts w:ascii="Times New Roman" w:hAnsi="Times New Roman" w:eastAsia="Times New Roman" w:cs="Times New Roman"/>
          <w:color w:val="auto"/>
          <w:sz w:val="24"/>
          <w:szCs w:val="24"/>
        </w:rPr>
        <w:t>14</w:t>
      </w:r>
      <w:r>
        <w:rPr>
          <w:color w:val="auto"/>
          <w:sz w:val="24"/>
          <w:szCs w:val="24"/>
        </w:rPr>
        <w:t>天内批复。当监理人认为需要修订合同进度计划 时，承包人应按监理人的指示，在</w:t>
      </w:r>
      <w:r>
        <w:rPr>
          <w:rFonts w:ascii="Times New Roman" w:hAnsi="Times New Roman" w:eastAsia="Times New Roman" w:cs="Times New Roman"/>
          <w:color w:val="auto"/>
          <w:sz w:val="24"/>
          <w:szCs w:val="24"/>
        </w:rPr>
        <w:t>14</w:t>
      </w:r>
      <w:r>
        <w:rPr>
          <w:color w:val="auto"/>
          <w:sz w:val="24"/>
          <w:szCs w:val="24"/>
        </w:rPr>
        <w:t>天内向监理人提交修订的合同进度计划，并附调整计 划的相关资料，提交监理人审批。监理人应在收到进度计划后的</w:t>
      </w:r>
      <w:r>
        <w:rPr>
          <w:rFonts w:ascii="Times New Roman" w:hAnsi="Times New Roman" w:eastAsia="Times New Roman" w:cs="Times New Roman"/>
          <w:color w:val="auto"/>
          <w:sz w:val="24"/>
          <w:szCs w:val="24"/>
        </w:rPr>
        <w:t>14</w:t>
      </w:r>
      <w:r>
        <w:rPr>
          <w:color w:val="auto"/>
          <w:sz w:val="24"/>
          <w:szCs w:val="24"/>
        </w:rPr>
        <w:t>天内批复。</w:t>
      </w:r>
    </w:p>
    <w:p>
      <w:pPr>
        <w:pStyle w:val="45"/>
        <w:spacing w:after="160" w:line="350" w:lineRule="exact"/>
        <w:ind w:firstLine="420"/>
        <w:jc w:val="both"/>
        <w:rPr>
          <w:color w:val="auto"/>
          <w:sz w:val="24"/>
          <w:szCs w:val="24"/>
        </w:rPr>
      </w:pPr>
      <w:r>
        <w:rPr>
          <w:color w:val="auto"/>
          <w:sz w:val="24"/>
          <w:szCs w:val="24"/>
        </w:rPr>
        <w:t>不论何种原因造成施工进度延迟，承包人均应按监理人的指示，采取有效措施赶上进度。承包人应在向监理人提交修订合同进度计划的同时，编制一份赶工措施报告提交监理人审批。由于发包人原因造成施工进度延迟，应按第</w:t>
      </w:r>
      <w:r>
        <w:rPr>
          <w:rFonts w:ascii="Times New Roman" w:hAnsi="Times New Roman" w:eastAsia="Times New Roman" w:cs="Times New Roman"/>
          <w:color w:val="auto"/>
          <w:sz w:val="24"/>
          <w:szCs w:val="24"/>
          <w:lang w:val="en-US" w:bidi="en-US"/>
        </w:rPr>
        <w:t xml:space="preserve">11. </w:t>
      </w:r>
      <w:r>
        <w:rPr>
          <w:rFonts w:ascii="Times New Roman" w:hAnsi="Times New Roman" w:eastAsia="Times New Roman" w:cs="Times New Roman"/>
          <w:color w:val="auto"/>
          <w:sz w:val="24"/>
          <w:szCs w:val="24"/>
        </w:rPr>
        <w:t>3</w:t>
      </w:r>
      <w:r>
        <w:rPr>
          <w:color w:val="auto"/>
          <w:sz w:val="24"/>
          <w:szCs w:val="24"/>
        </w:rPr>
        <w:t>款的约定办理；由于承包人原因造成施工进度延迟，应按第</w:t>
      </w:r>
      <w:r>
        <w:rPr>
          <w:rFonts w:hint="eastAsia" w:ascii="Times New Roman" w:hAnsi="Times New Roman" w:cs="Times New Roman"/>
          <w:color w:val="auto"/>
          <w:sz w:val="24"/>
          <w:szCs w:val="24"/>
          <w:lang w:val="en-US" w:bidi="en-US"/>
        </w:rPr>
        <w:t>11</w:t>
      </w:r>
      <w:r>
        <w:rPr>
          <w:rFonts w:ascii="Times New Roman" w:hAnsi="Times New Roman" w:eastAsia="Times New Roman" w:cs="Times New Roman"/>
          <w:color w:val="auto"/>
          <w:sz w:val="24"/>
          <w:szCs w:val="24"/>
          <w:lang w:val="en-US" w:bidi="en-US"/>
        </w:rPr>
        <w:t xml:space="preserve">. </w:t>
      </w:r>
      <w:r>
        <w:rPr>
          <w:rFonts w:ascii="Times New Roman" w:hAnsi="Times New Roman" w:eastAsia="Times New Roman" w:cs="Times New Roman"/>
          <w:color w:val="auto"/>
          <w:sz w:val="24"/>
          <w:szCs w:val="24"/>
        </w:rPr>
        <w:t>5</w:t>
      </w:r>
      <w:r>
        <w:rPr>
          <w:color w:val="auto"/>
          <w:sz w:val="24"/>
          <w:szCs w:val="24"/>
        </w:rPr>
        <w:t>款的约定办理。</w:t>
      </w:r>
    </w:p>
    <w:p>
      <w:pPr>
        <w:pStyle w:val="6"/>
        <w:ind w:left="0" w:leftChars="0" w:firstLine="0" w:firstLineChars="0"/>
        <w:rPr>
          <w:color w:val="auto"/>
          <w:sz w:val="24"/>
          <w:szCs w:val="24"/>
          <w:lang w:eastAsia="zh-CN"/>
        </w:rPr>
      </w:pPr>
      <w:bookmarkStart w:id="502" w:name="bookmark1160"/>
      <w:bookmarkStart w:id="503" w:name="bookmark1158"/>
      <w:bookmarkStart w:id="504" w:name="bookmark1159"/>
      <w:bookmarkStart w:id="505" w:name="_Toc25361"/>
      <w:r>
        <w:rPr>
          <w:color w:val="auto"/>
          <w:sz w:val="24"/>
          <w:szCs w:val="24"/>
          <w:lang w:eastAsia="zh-CN"/>
        </w:rPr>
        <w:t>10.3单位工程进度计划</w:t>
      </w:r>
      <w:bookmarkEnd w:id="502"/>
      <w:bookmarkEnd w:id="503"/>
      <w:bookmarkEnd w:id="504"/>
      <w:bookmarkEnd w:id="505"/>
    </w:p>
    <w:p>
      <w:pPr>
        <w:pStyle w:val="45"/>
        <w:spacing w:after="160" w:line="353" w:lineRule="exact"/>
        <w:ind w:firstLine="420"/>
        <w:jc w:val="both"/>
        <w:rPr>
          <w:color w:val="auto"/>
          <w:sz w:val="24"/>
          <w:szCs w:val="24"/>
        </w:rPr>
      </w:pPr>
      <w:r>
        <w:rPr>
          <w:color w:val="auto"/>
          <w:sz w:val="24"/>
          <w:szCs w:val="24"/>
        </w:rPr>
        <w:t>监理人认为有必要时，承包人应按监理人指示的内容和期限，并根据合同进度计划的进度控制要求，编制单位工程进度计划，提交监理人审批。</w:t>
      </w:r>
    </w:p>
    <w:p>
      <w:pPr>
        <w:pStyle w:val="6"/>
        <w:ind w:left="0" w:leftChars="0" w:firstLine="0" w:firstLineChars="0"/>
        <w:rPr>
          <w:color w:val="auto"/>
          <w:sz w:val="24"/>
          <w:szCs w:val="24"/>
          <w:lang w:eastAsia="zh-CN"/>
        </w:rPr>
      </w:pPr>
      <w:bookmarkStart w:id="506" w:name="_Toc18009"/>
      <w:bookmarkStart w:id="507" w:name="bookmark1161"/>
      <w:bookmarkStart w:id="508" w:name="bookmark1162"/>
      <w:bookmarkStart w:id="509" w:name="bookmark1163"/>
      <w:r>
        <w:rPr>
          <w:color w:val="auto"/>
          <w:sz w:val="24"/>
          <w:szCs w:val="24"/>
          <w:lang w:eastAsia="zh-CN"/>
        </w:rPr>
        <w:t>10.4提交资金流估算表</w:t>
      </w:r>
      <w:bookmarkEnd w:id="506"/>
      <w:bookmarkEnd w:id="507"/>
      <w:bookmarkEnd w:id="508"/>
      <w:bookmarkEnd w:id="509"/>
    </w:p>
    <w:p>
      <w:pPr>
        <w:pStyle w:val="45"/>
        <w:spacing w:after="340" w:line="353" w:lineRule="exact"/>
        <w:ind w:firstLine="420"/>
        <w:jc w:val="both"/>
        <w:rPr>
          <w:color w:val="auto"/>
          <w:sz w:val="24"/>
          <w:szCs w:val="24"/>
        </w:rPr>
      </w:pPr>
      <w:r>
        <w:rPr>
          <w:color w:val="auto"/>
          <w:sz w:val="24"/>
          <w:szCs w:val="24"/>
        </w:rPr>
        <w:t>承包人应在按第</w:t>
      </w:r>
      <w:r>
        <w:rPr>
          <w:rFonts w:ascii="Times New Roman" w:hAnsi="Times New Roman" w:eastAsia="Times New Roman" w:cs="Times New Roman"/>
          <w:color w:val="auto"/>
          <w:sz w:val="24"/>
          <w:szCs w:val="24"/>
          <w:lang w:val="en-US" w:bidi="en-US"/>
        </w:rPr>
        <w:t xml:space="preserve">10. </w:t>
      </w:r>
      <w:r>
        <w:rPr>
          <w:rFonts w:ascii="Times New Roman" w:hAnsi="Times New Roman" w:eastAsia="Times New Roman" w:cs="Times New Roman"/>
          <w:color w:val="auto"/>
          <w:sz w:val="24"/>
          <w:szCs w:val="24"/>
        </w:rPr>
        <w:t>1</w:t>
      </w:r>
      <w:r>
        <w:rPr>
          <w:color w:val="auto"/>
          <w:sz w:val="24"/>
          <w:szCs w:val="24"/>
        </w:rPr>
        <w:t>款约定向监理人提交施工总进度计划的同时，按下表约定的格式，向监理人提交按月的资金流估算表。估算表应包括承包人计划可从发包人处得到的全部款额，以供发包人参考。此后，当监理人提出要求时，承包人应在监理人指定的期限内提交修订的资金流估算表。</w:t>
      </w:r>
    </w:p>
    <w:p>
      <w:pPr>
        <w:pStyle w:val="45"/>
        <w:tabs>
          <w:tab w:val="left" w:pos="3329"/>
        </w:tabs>
        <w:spacing w:after="100" w:line="350" w:lineRule="exact"/>
        <w:ind w:firstLine="0"/>
        <w:jc w:val="both"/>
        <w:rPr>
          <w:rFonts w:hint="eastAsia"/>
          <w:color w:val="auto"/>
          <w:sz w:val="24"/>
          <w:szCs w:val="24"/>
        </w:rPr>
      </w:pPr>
      <w:r>
        <w:rPr>
          <w:color w:val="auto"/>
          <w:sz w:val="24"/>
          <w:szCs w:val="24"/>
        </w:rPr>
        <w:t>资金流估算表（参考格式）</w:t>
      </w:r>
      <w:r>
        <w:rPr>
          <w:rFonts w:hint="eastAsia"/>
          <w:color w:val="auto"/>
          <w:sz w:val="24"/>
          <w:szCs w:val="24"/>
          <w:lang w:val="en-US"/>
        </w:rPr>
        <w:t xml:space="preserve">          </w:t>
      </w:r>
      <w:r>
        <w:rPr>
          <w:rFonts w:hint="eastAsia"/>
          <w:color w:val="auto"/>
          <w:sz w:val="24"/>
          <w:szCs w:val="24"/>
          <w:lang w:val="en-US" w:eastAsia="zh-CN"/>
        </w:rPr>
        <w:t xml:space="preserve">          </w:t>
      </w:r>
      <w:r>
        <w:rPr>
          <w:color w:val="auto"/>
          <w:sz w:val="24"/>
          <w:szCs w:val="24"/>
        </w:rPr>
        <w:t>金额单位</w:t>
      </w:r>
      <w:r>
        <w:rPr>
          <w:rFonts w:hint="eastAsia"/>
          <w:color w:val="auto"/>
          <w:sz w:val="24"/>
          <w:szCs w:val="24"/>
        </w:rPr>
        <w:t>：</w:t>
      </w:r>
    </w:p>
    <w:tbl>
      <w:tblPr>
        <w:tblStyle w:val="24"/>
        <w:tblW w:w="0" w:type="auto"/>
        <w:jc w:val="center"/>
        <w:tblLayout w:type="fixed"/>
        <w:tblCellMar>
          <w:top w:w="0" w:type="dxa"/>
          <w:left w:w="10" w:type="dxa"/>
          <w:bottom w:w="0" w:type="dxa"/>
          <w:right w:w="10" w:type="dxa"/>
        </w:tblCellMar>
      </w:tblPr>
      <w:tblGrid>
        <w:gridCol w:w="494"/>
        <w:gridCol w:w="537"/>
        <w:gridCol w:w="1022"/>
        <w:gridCol w:w="1416"/>
        <w:gridCol w:w="1022"/>
        <w:gridCol w:w="1018"/>
        <w:gridCol w:w="1022"/>
        <w:gridCol w:w="451"/>
        <w:gridCol w:w="808"/>
        <w:gridCol w:w="1360"/>
      </w:tblGrid>
      <w:tr>
        <w:tblPrEx>
          <w:tblCellMar>
            <w:top w:w="0" w:type="dxa"/>
            <w:left w:w="10" w:type="dxa"/>
            <w:bottom w:w="0" w:type="dxa"/>
            <w:right w:w="10" w:type="dxa"/>
          </w:tblCellMar>
        </w:tblPrEx>
        <w:trPr>
          <w:trHeight w:val="1151" w:hRule="exact"/>
          <w:jc w:val="center"/>
        </w:trPr>
        <w:tc>
          <w:tcPr>
            <w:tcW w:w="494"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rPr>
            </w:pPr>
            <w:r>
              <w:rPr>
                <w:color w:val="auto"/>
                <w:sz w:val="24"/>
                <w:szCs w:val="24"/>
              </w:rPr>
              <w:t>年</w:t>
            </w:r>
          </w:p>
        </w:tc>
        <w:tc>
          <w:tcPr>
            <w:tcW w:w="537"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rPr>
            </w:pPr>
            <w:r>
              <w:rPr>
                <w:color w:val="auto"/>
                <w:sz w:val="24"/>
                <w:szCs w:val="24"/>
              </w:rPr>
              <w:t>月</w:t>
            </w:r>
          </w:p>
        </w:tc>
        <w:tc>
          <w:tcPr>
            <w:tcW w:w="1022"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rPr>
            </w:pPr>
            <w:r>
              <w:rPr>
                <w:color w:val="auto"/>
                <w:sz w:val="24"/>
                <w:szCs w:val="24"/>
              </w:rPr>
              <w:t>工程预付款</w:t>
            </w:r>
          </w:p>
        </w:tc>
        <w:tc>
          <w:tcPr>
            <w:tcW w:w="1416"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rPr>
            </w:pPr>
            <w:r>
              <w:rPr>
                <w:color w:val="auto"/>
                <w:sz w:val="24"/>
                <w:szCs w:val="24"/>
              </w:rPr>
              <w:t>完成工作量付款</w:t>
            </w:r>
          </w:p>
        </w:tc>
        <w:tc>
          <w:tcPr>
            <w:tcW w:w="1022"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rPr>
            </w:pPr>
            <w:r>
              <w:rPr>
                <w:color w:val="auto"/>
                <w:sz w:val="24"/>
                <w:szCs w:val="24"/>
              </w:rPr>
              <w:t>保留金扣留</w:t>
            </w:r>
          </w:p>
        </w:tc>
        <w:tc>
          <w:tcPr>
            <w:tcW w:w="1018"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rPr>
            </w:pPr>
            <w:r>
              <w:rPr>
                <w:color w:val="auto"/>
                <w:sz w:val="24"/>
                <w:szCs w:val="24"/>
              </w:rPr>
              <w:t>材料款扣除</w:t>
            </w:r>
          </w:p>
        </w:tc>
        <w:tc>
          <w:tcPr>
            <w:tcW w:w="1022"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rPr>
            </w:pPr>
            <w:r>
              <w:rPr>
                <w:color w:val="auto"/>
                <w:sz w:val="24"/>
                <w:szCs w:val="24"/>
              </w:rPr>
              <w:t>预付款扣还</w:t>
            </w:r>
          </w:p>
        </w:tc>
        <w:tc>
          <w:tcPr>
            <w:tcW w:w="451"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rPr>
            </w:pPr>
            <w:r>
              <w:rPr>
                <w:color w:val="auto"/>
                <w:sz w:val="24"/>
                <w:szCs w:val="24"/>
              </w:rPr>
              <w:t>其他</w:t>
            </w:r>
          </w:p>
        </w:tc>
        <w:tc>
          <w:tcPr>
            <w:tcW w:w="808"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rPr>
            </w:pPr>
            <w:r>
              <w:rPr>
                <w:color w:val="auto"/>
                <w:sz w:val="24"/>
                <w:szCs w:val="24"/>
              </w:rPr>
              <w:t>应收款</w:t>
            </w:r>
          </w:p>
        </w:tc>
        <w:tc>
          <w:tcPr>
            <w:tcW w:w="1360" w:type="dxa"/>
            <w:tcBorders>
              <w:top w:val="single" w:color="auto" w:sz="4" w:space="0"/>
              <w:left w:val="single" w:color="auto" w:sz="4" w:space="0"/>
              <w:right w:val="single" w:color="auto" w:sz="4" w:space="0"/>
            </w:tcBorders>
            <w:shd w:val="clear" w:color="auto" w:fill="FFFFFF"/>
            <w:noWrap w:val="0"/>
            <w:vAlign w:val="center"/>
          </w:tcPr>
          <w:p>
            <w:pPr>
              <w:pStyle w:val="47"/>
              <w:spacing w:line="240" w:lineRule="auto"/>
              <w:ind w:firstLine="0"/>
              <w:jc w:val="center"/>
              <w:rPr>
                <w:color w:val="auto"/>
                <w:sz w:val="24"/>
                <w:szCs w:val="24"/>
              </w:rPr>
            </w:pPr>
            <w:r>
              <w:rPr>
                <w:color w:val="auto"/>
                <w:sz w:val="24"/>
                <w:szCs w:val="24"/>
              </w:rPr>
              <w:t>累计应收款</w:t>
            </w:r>
          </w:p>
        </w:tc>
      </w:tr>
      <w:tr>
        <w:tblPrEx>
          <w:tblCellMar>
            <w:top w:w="0" w:type="dxa"/>
            <w:left w:w="10" w:type="dxa"/>
            <w:bottom w:w="0" w:type="dxa"/>
            <w:right w:w="10" w:type="dxa"/>
          </w:tblCellMar>
        </w:tblPrEx>
        <w:trPr>
          <w:trHeight w:val="456" w:hRule="exact"/>
          <w:jc w:val="center"/>
        </w:trPr>
        <w:tc>
          <w:tcPr>
            <w:tcW w:w="494" w:type="dxa"/>
            <w:tcBorders>
              <w:top w:val="single" w:color="auto" w:sz="4" w:space="0"/>
              <w:left w:val="single" w:color="auto" w:sz="4" w:space="0"/>
            </w:tcBorders>
            <w:shd w:val="clear" w:color="auto" w:fill="FFFFFF"/>
            <w:noWrap w:val="0"/>
            <w:vAlign w:val="top"/>
          </w:tcPr>
          <w:p>
            <w:pPr>
              <w:rPr>
                <w:color w:val="auto"/>
                <w:sz w:val="24"/>
                <w:szCs w:val="24"/>
              </w:rPr>
            </w:pPr>
          </w:p>
        </w:tc>
        <w:tc>
          <w:tcPr>
            <w:tcW w:w="537" w:type="dxa"/>
            <w:tcBorders>
              <w:top w:val="single" w:color="auto" w:sz="4" w:space="0"/>
              <w:left w:val="single" w:color="auto" w:sz="4" w:space="0"/>
            </w:tcBorders>
            <w:shd w:val="clear" w:color="auto" w:fill="FFFFFF"/>
            <w:noWrap w:val="0"/>
            <w:vAlign w:val="top"/>
          </w:tcPr>
          <w:p>
            <w:pPr>
              <w:rPr>
                <w:color w:val="auto"/>
                <w:sz w:val="24"/>
                <w:szCs w:val="24"/>
              </w:rPr>
            </w:pPr>
          </w:p>
        </w:tc>
        <w:tc>
          <w:tcPr>
            <w:tcW w:w="1022" w:type="dxa"/>
            <w:tcBorders>
              <w:top w:val="single" w:color="auto" w:sz="4" w:space="0"/>
              <w:left w:val="single" w:color="auto" w:sz="4" w:space="0"/>
            </w:tcBorders>
            <w:shd w:val="clear" w:color="auto" w:fill="FFFFFF"/>
            <w:noWrap w:val="0"/>
            <w:vAlign w:val="top"/>
          </w:tcPr>
          <w:p>
            <w:pPr>
              <w:rPr>
                <w:color w:val="auto"/>
                <w:sz w:val="24"/>
                <w:szCs w:val="24"/>
              </w:rPr>
            </w:pPr>
          </w:p>
        </w:tc>
        <w:tc>
          <w:tcPr>
            <w:tcW w:w="1416" w:type="dxa"/>
            <w:tcBorders>
              <w:top w:val="single" w:color="auto" w:sz="4" w:space="0"/>
              <w:left w:val="single" w:color="auto" w:sz="4" w:space="0"/>
            </w:tcBorders>
            <w:shd w:val="clear" w:color="auto" w:fill="FFFFFF"/>
            <w:noWrap w:val="0"/>
            <w:vAlign w:val="top"/>
          </w:tcPr>
          <w:p>
            <w:pPr>
              <w:rPr>
                <w:color w:val="auto"/>
                <w:sz w:val="24"/>
                <w:szCs w:val="24"/>
              </w:rPr>
            </w:pPr>
          </w:p>
        </w:tc>
        <w:tc>
          <w:tcPr>
            <w:tcW w:w="1022" w:type="dxa"/>
            <w:tcBorders>
              <w:top w:val="single" w:color="auto" w:sz="4" w:space="0"/>
              <w:left w:val="single" w:color="auto" w:sz="4" w:space="0"/>
            </w:tcBorders>
            <w:shd w:val="clear" w:color="auto" w:fill="FFFFFF"/>
            <w:noWrap w:val="0"/>
            <w:vAlign w:val="top"/>
          </w:tcPr>
          <w:p>
            <w:pPr>
              <w:rPr>
                <w:color w:val="auto"/>
                <w:sz w:val="24"/>
                <w:szCs w:val="24"/>
              </w:rPr>
            </w:pPr>
          </w:p>
        </w:tc>
        <w:tc>
          <w:tcPr>
            <w:tcW w:w="1018" w:type="dxa"/>
            <w:tcBorders>
              <w:top w:val="single" w:color="auto" w:sz="4" w:space="0"/>
              <w:left w:val="single" w:color="auto" w:sz="4" w:space="0"/>
            </w:tcBorders>
            <w:shd w:val="clear" w:color="auto" w:fill="FFFFFF"/>
            <w:noWrap w:val="0"/>
            <w:vAlign w:val="top"/>
          </w:tcPr>
          <w:p>
            <w:pPr>
              <w:rPr>
                <w:color w:val="auto"/>
                <w:sz w:val="24"/>
                <w:szCs w:val="24"/>
              </w:rPr>
            </w:pPr>
          </w:p>
        </w:tc>
        <w:tc>
          <w:tcPr>
            <w:tcW w:w="1022" w:type="dxa"/>
            <w:tcBorders>
              <w:top w:val="single" w:color="auto" w:sz="4" w:space="0"/>
              <w:left w:val="single" w:color="auto" w:sz="4" w:space="0"/>
            </w:tcBorders>
            <w:shd w:val="clear" w:color="auto" w:fill="FFFFFF"/>
            <w:noWrap w:val="0"/>
            <w:vAlign w:val="top"/>
          </w:tcPr>
          <w:p>
            <w:pPr>
              <w:rPr>
                <w:color w:val="auto"/>
                <w:sz w:val="24"/>
                <w:szCs w:val="24"/>
              </w:rPr>
            </w:pPr>
          </w:p>
        </w:tc>
        <w:tc>
          <w:tcPr>
            <w:tcW w:w="451" w:type="dxa"/>
            <w:tcBorders>
              <w:top w:val="single" w:color="auto" w:sz="4" w:space="0"/>
              <w:left w:val="single" w:color="auto" w:sz="4" w:space="0"/>
            </w:tcBorders>
            <w:shd w:val="clear" w:color="auto" w:fill="FFFFFF"/>
            <w:noWrap w:val="0"/>
            <w:vAlign w:val="top"/>
          </w:tcPr>
          <w:p>
            <w:pPr>
              <w:rPr>
                <w:color w:val="auto"/>
                <w:sz w:val="24"/>
                <w:szCs w:val="24"/>
              </w:rPr>
            </w:pPr>
          </w:p>
        </w:tc>
        <w:tc>
          <w:tcPr>
            <w:tcW w:w="808" w:type="dxa"/>
            <w:tcBorders>
              <w:top w:val="single" w:color="auto" w:sz="4" w:space="0"/>
              <w:left w:val="single" w:color="auto" w:sz="4" w:space="0"/>
            </w:tcBorders>
            <w:shd w:val="clear" w:color="auto" w:fill="FFFFFF"/>
            <w:noWrap w:val="0"/>
            <w:vAlign w:val="top"/>
          </w:tcPr>
          <w:p>
            <w:pPr>
              <w:rPr>
                <w:color w:val="auto"/>
                <w:sz w:val="24"/>
                <w:szCs w:val="24"/>
              </w:rPr>
            </w:pPr>
          </w:p>
        </w:tc>
        <w:tc>
          <w:tcPr>
            <w:tcW w:w="1360" w:type="dxa"/>
            <w:tcBorders>
              <w:top w:val="single" w:color="auto" w:sz="4" w:space="0"/>
              <w:left w:val="single" w:color="auto" w:sz="4" w:space="0"/>
              <w:right w:val="single" w:color="auto" w:sz="4" w:space="0"/>
            </w:tcBorders>
            <w:shd w:val="clear" w:color="auto" w:fill="FFFFFF"/>
            <w:noWrap w:val="0"/>
            <w:vAlign w:val="top"/>
          </w:tcPr>
          <w:p>
            <w:pPr>
              <w:rPr>
                <w:color w:val="auto"/>
                <w:sz w:val="24"/>
                <w:szCs w:val="24"/>
              </w:rPr>
            </w:pPr>
          </w:p>
        </w:tc>
      </w:tr>
      <w:tr>
        <w:tblPrEx>
          <w:tblCellMar>
            <w:top w:w="0" w:type="dxa"/>
            <w:left w:w="10" w:type="dxa"/>
            <w:bottom w:w="0" w:type="dxa"/>
            <w:right w:w="10" w:type="dxa"/>
          </w:tblCellMar>
        </w:tblPrEx>
        <w:trPr>
          <w:trHeight w:val="456" w:hRule="exact"/>
          <w:jc w:val="center"/>
        </w:trPr>
        <w:tc>
          <w:tcPr>
            <w:tcW w:w="494" w:type="dxa"/>
            <w:tcBorders>
              <w:top w:val="single" w:color="auto" w:sz="4" w:space="0"/>
              <w:left w:val="single" w:color="auto" w:sz="4" w:space="0"/>
            </w:tcBorders>
            <w:shd w:val="clear" w:color="auto" w:fill="FFFFFF"/>
            <w:noWrap w:val="0"/>
            <w:vAlign w:val="top"/>
          </w:tcPr>
          <w:p>
            <w:pPr>
              <w:rPr>
                <w:color w:val="auto"/>
                <w:sz w:val="24"/>
                <w:szCs w:val="24"/>
              </w:rPr>
            </w:pPr>
          </w:p>
        </w:tc>
        <w:tc>
          <w:tcPr>
            <w:tcW w:w="537" w:type="dxa"/>
            <w:tcBorders>
              <w:top w:val="single" w:color="auto" w:sz="4" w:space="0"/>
              <w:left w:val="single" w:color="auto" w:sz="4" w:space="0"/>
            </w:tcBorders>
            <w:shd w:val="clear" w:color="auto" w:fill="FFFFFF"/>
            <w:noWrap w:val="0"/>
            <w:vAlign w:val="top"/>
          </w:tcPr>
          <w:p>
            <w:pPr>
              <w:rPr>
                <w:color w:val="auto"/>
                <w:sz w:val="24"/>
                <w:szCs w:val="24"/>
              </w:rPr>
            </w:pPr>
          </w:p>
        </w:tc>
        <w:tc>
          <w:tcPr>
            <w:tcW w:w="1022" w:type="dxa"/>
            <w:tcBorders>
              <w:top w:val="single" w:color="auto" w:sz="4" w:space="0"/>
              <w:left w:val="single" w:color="auto" w:sz="4" w:space="0"/>
            </w:tcBorders>
            <w:shd w:val="clear" w:color="auto" w:fill="FFFFFF"/>
            <w:noWrap w:val="0"/>
            <w:vAlign w:val="top"/>
          </w:tcPr>
          <w:p>
            <w:pPr>
              <w:rPr>
                <w:color w:val="auto"/>
                <w:sz w:val="24"/>
                <w:szCs w:val="24"/>
              </w:rPr>
            </w:pPr>
          </w:p>
        </w:tc>
        <w:tc>
          <w:tcPr>
            <w:tcW w:w="1416" w:type="dxa"/>
            <w:tcBorders>
              <w:top w:val="single" w:color="auto" w:sz="4" w:space="0"/>
              <w:left w:val="single" w:color="auto" w:sz="4" w:space="0"/>
            </w:tcBorders>
            <w:shd w:val="clear" w:color="auto" w:fill="FFFFFF"/>
            <w:noWrap w:val="0"/>
            <w:vAlign w:val="top"/>
          </w:tcPr>
          <w:p>
            <w:pPr>
              <w:rPr>
                <w:color w:val="auto"/>
                <w:sz w:val="24"/>
                <w:szCs w:val="24"/>
              </w:rPr>
            </w:pPr>
          </w:p>
        </w:tc>
        <w:tc>
          <w:tcPr>
            <w:tcW w:w="1022" w:type="dxa"/>
            <w:tcBorders>
              <w:top w:val="single" w:color="auto" w:sz="4" w:space="0"/>
              <w:left w:val="single" w:color="auto" w:sz="4" w:space="0"/>
            </w:tcBorders>
            <w:shd w:val="clear" w:color="auto" w:fill="FFFFFF"/>
            <w:noWrap w:val="0"/>
            <w:vAlign w:val="top"/>
          </w:tcPr>
          <w:p>
            <w:pPr>
              <w:rPr>
                <w:color w:val="auto"/>
                <w:sz w:val="24"/>
                <w:szCs w:val="24"/>
              </w:rPr>
            </w:pPr>
          </w:p>
        </w:tc>
        <w:tc>
          <w:tcPr>
            <w:tcW w:w="1018" w:type="dxa"/>
            <w:tcBorders>
              <w:top w:val="single" w:color="auto" w:sz="4" w:space="0"/>
              <w:left w:val="single" w:color="auto" w:sz="4" w:space="0"/>
            </w:tcBorders>
            <w:shd w:val="clear" w:color="auto" w:fill="FFFFFF"/>
            <w:noWrap w:val="0"/>
            <w:vAlign w:val="top"/>
          </w:tcPr>
          <w:p>
            <w:pPr>
              <w:rPr>
                <w:color w:val="auto"/>
                <w:sz w:val="24"/>
                <w:szCs w:val="24"/>
              </w:rPr>
            </w:pPr>
          </w:p>
        </w:tc>
        <w:tc>
          <w:tcPr>
            <w:tcW w:w="1022" w:type="dxa"/>
            <w:tcBorders>
              <w:top w:val="single" w:color="auto" w:sz="4" w:space="0"/>
              <w:left w:val="single" w:color="auto" w:sz="4" w:space="0"/>
            </w:tcBorders>
            <w:shd w:val="clear" w:color="auto" w:fill="FFFFFF"/>
            <w:noWrap w:val="0"/>
            <w:vAlign w:val="top"/>
          </w:tcPr>
          <w:p>
            <w:pPr>
              <w:rPr>
                <w:color w:val="auto"/>
                <w:sz w:val="24"/>
                <w:szCs w:val="24"/>
              </w:rPr>
            </w:pPr>
          </w:p>
        </w:tc>
        <w:tc>
          <w:tcPr>
            <w:tcW w:w="451" w:type="dxa"/>
            <w:tcBorders>
              <w:top w:val="single" w:color="auto" w:sz="4" w:space="0"/>
              <w:left w:val="single" w:color="auto" w:sz="4" w:space="0"/>
            </w:tcBorders>
            <w:shd w:val="clear" w:color="auto" w:fill="FFFFFF"/>
            <w:noWrap w:val="0"/>
            <w:vAlign w:val="top"/>
          </w:tcPr>
          <w:p>
            <w:pPr>
              <w:rPr>
                <w:color w:val="auto"/>
                <w:sz w:val="24"/>
                <w:szCs w:val="24"/>
              </w:rPr>
            </w:pPr>
          </w:p>
        </w:tc>
        <w:tc>
          <w:tcPr>
            <w:tcW w:w="808" w:type="dxa"/>
            <w:tcBorders>
              <w:top w:val="single" w:color="auto" w:sz="4" w:space="0"/>
              <w:left w:val="single" w:color="auto" w:sz="4" w:space="0"/>
            </w:tcBorders>
            <w:shd w:val="clear" w:color="auto" w:fill="FFFFFF"/>
            <w:noWrap w:val="0"/>
            <w:vAlign w:val="top"/>
          </w:tcPr>
          <w:p>
            <w:pPr>
              <w:rPr>
                <w:color w:val="auto"/>
                <w:sz w:val="24"/>
                <w:szCs w:val="24"/>
              </w:rPr>
            </w:pPr>
          </w:p>
        </w:tc>
        <w:tc>
          <w:tcPr>
            <w:tcW w:w="1360" w:type="dxa"/>
            <w:tcBorders>
              <w:top w:val="single" w:color="auto" w:sz="4" w:space="0"/>
              <w:left w:val="single" w:color="auto" w:sz="4" w:space="0"/>
              <w:right w:val="single" w:color="auto" w:sz="4" w:space="0"/>
            </w:tcBorders>
            <w:shd w:val="clear" w:color="auto" w:fill="FFFFFF"/>
            <w:noWrap w:val="0"/>
            <w:vAlign w:val="top"/>
          </w:tcPr>
          <w:p>
            <w:pPr>
              <w:rPr>
                <w:color w:val="auto"/>
                <w:sz w:val="24"/>
                <w:szCs w:val="24"/>
              </w:rPr>
            </w:pPr>
          </w:p>
        </w:tc>
      </w:tr>
      <w:tr>
        <w:tblPrEx>
          <w:tblCellMar>
            <w:top w:w="0" w:type="dxa"/>
            <w:left w:w="10" w:type="dxa"/>
            <w:bottom w:w="0" w:type="dxa"/>
            <w:right w:w="10" w:type="dxa"/>
          </w:tblCellMar>
        </w:tblPrEx>
        <w:trPr>
          <w:trHeight w:val="461" w:hRule="exact"/>
          <w:jc w:val="center"/>
        </w:trPr>
        <w:tc>
          <w:tcPr>
            <w:tcW w:w="494" w:type="dxa"/>
            <w:tcBorders>
              <w:top w:val="single" w:color="auto" w:sz="4" w:space="0"/>
              <w:left w:val="single" w:color="auto" w:sz="4" w:space="0"/>
              <w:bottom w:val="single" w:color="auto" w:sz="4" w:space="0"/>
            </w:tcBorders>
            <w:shd w:val="clear" w:color="auto" w:fill="FFFFFF"/>
            <w:noWrap w:val="0"/>
            <w:vAlign w:val="top"/>
          </w:tcPr>
          <w:p>
            <w:pPr>
              <w:rPr>
                <w:color w:val="auto"/>
                <w:sz w:val="24"/>
                <w:szCs w:val="24"/>
              </w:rPr>
            </w:pPr>
          </w:p>
        </w:tc>
        <w:tc>
          <w:tcPr>
            <w:tcW w:w="537" w:type="dxa"/>
            <w:tcBorders>
              <w:top w:val="single" w:color="auto" w:sz="4" w:space="0"/>
              <w:left w:val="single" w:color="auto" w:sz="4" w:space="0"/>
              <w:bottom w:val="single" w:color="auto" w:sz="4" w:space="0"/>
            </w:tcBorders>
            <w:shd w:val="clear" w:color="auto" w:fill="FFFFFF"/>
            <w:noWrap w:val="0"/>
            <w:vAlign w:val="top"/>
          </w:tcPr>
          <w:p>
            <w:pPr>
              <w:rPr>
                <w:color w:val="auto"/>
                <w:sz w:val="24"/>
                <w:szCs w:val="24"/>
              </w:rPr>
            </w:pPr>
          </w:p>
        </w:tc>
        <w:tc>
          <w:tcPr>
            <w:tcW w:w="1022" w:type="dxa"/>
            <w:tcBorders>
              <w:top w:val="single" w:color="auto" w:sz="4" w:space="0"/>
              <w:left w:val="single" w:color="auto" w:sz="4" w:space="0"/>
              <w:bottom w:val="single" w:color="auto" w:sz="4" w:space="0"/>
            </w:tcBorders>
            <w:shd w:val="clear" w:color="auto" w:fill="FFFFFF"/>
            <w:noWrap w:val="0"/>
            <w:vAlign w:val="top"/>
          </w:tcPr>
          <w:p>
            <w:pPr>
              <w:rPr>
                <w:color w:val="auto"/>
                <w:sz w:val="24"/>
                <w:szCs w:val="24"/>
              </w:rPr>
            </w:pPr>
          </w:p>
        </w:tc>
        <w:tc>
          <w:tcPr>
            <w:tcW w:w="1416" w:type="dxa"/>
            <w:tcBorders>
              <w:top w:val="single" w:color="auto" w:sz="4" w:space="0"/>
              <w:left w:val="single" w:color="auto" w:sz="4" w:space="0"/>
              <w:bottom w:val="single" w:color="auto" w:sz="4" w:space="0"/>
            </w:tcBorders>
            <w:shd w:val="clear" w:color="auto" w:fill="FFFFFF"/>
            <w:noWrap w:val="0"/>
            <w:vAlign w:val="top"/>
          </w:tcPr>
          <w:p>
            <w:pPr>
              <w:rPr>
                <w:color w:val="auto"/>
                <w:sz w:val="24"/>
                <w:szCs w:val="24"/>
              </w:rPr>
            </w:pPr>
          </w:p>
        </w:tc>
        <w:tc>
          <w:tcPr>
            <w:tcW w:w="1022" w:type="dxa"/>
            <w:tcBorders>
              <w:top w:val="single" w:color="auto" w:sz="4" w:space="0"/>
              <w:left w:val="single" w:color="auto" w:sz="4" w:space="0"/>
              <w:bottom w:val="single" w:color="auto" w:sz="4" w:space="0"/>
            </w:tcBorders>
            <w:shd w:val="clear" w:color="auto" w:fill="FFFFFF"/>
            <w:noWrap w:val="0"/>
            <w:vAlign w:val="top"/>
          </w:tcPr>
          <w:p>
            <w:pPr>
              <w:rPr>
                <w:color w:val="auto"/>
                <w:sz w:val="24"/>
                <w:szCs w:val="24"/>
              </w:rPr>
            </w:pPr>
          </w:p>
        </w:tc>
        <w:tc>
          <w:tcPr>
            <w:tcW w:w="1018" w:type="dxa"/>
            <w:tcBorders>
              <w:top w:val="single" w:color="auto" w:sz="4" w:space="0"/>
              <w:left w:val="single" w:color="auto" w:sz="4" w:space="0"/>
              <w:bottom w:val="single" w:color="auto" w:sz="4" w:space="0"/>
            </w:tcBorders>
            <w:shd w:val="clear" w:color="auto" w:fill="FFFFFF"/>
            <w:noWrap w:val="0"/>
            <w:vAlign w:val="top"/>
          </w:tcPr>
          <w:p>
            <w:pPr>
              <w:rPr>
                <w:color w:val="auto"/>
                <w:sz w:val="24"/>
                <w:szCs w:val="24"/>
              </w:rPr>
            </w:pPr>
          </w:p>
        </w:tc>
        <w:tc>
          <w:tcPr>
            <w:tcW w:w="1022" w:type="dxa"/>
            <w:tcBorders>
              <w:top w:val="single" w:color="auto" w:sz="4" w:space="0"/>
              <w:left w:val="single" w:color="auto" w:sz="4" w:space="0"/>
              <w:bottom w:val="single" w:color="auto" w:sz="4" w:space="0"/>
            </w:tcBorders>
            <w:shd w:val="clear" w:color="auto" w:fill="FFFFFF"/>
            <w:noWrap w:val="0"/>
            <w:vAlign w:val="top"/>
          </w:tcPr>
          <w:p>
            <w:pPr>
              <w:rPr>
                <w:color w:val="auto"/>
                <w:sz w:val="24"/>
                <w:szCs w:val="24"/>
              </w:rPr>
            </w:pPr>
          </w:p>
        </w:tc>
        <w:tc>
          <w:tcPr>
            <w:tcW w:w="451" w:type="dxa"/>
            <w:tcBorders>
              <w:top w:val="single" w:color="auto" w:sz="4" w:space="0"/>
              <w:left w:val="single" w:color="auto" w:sz="4" w:space="0"/>
              <w:bottom w:val="single" w:color="auto" w:sz="4" w:space="0"/>
            </w:tcBorders>
            <w:shd w:val="clear" w:color="auto" w:fill="FFFFFF"/>
            <w:noWrap w:val="0"/>
            <w:vAlign w:val="top"/>
          </w:tcPr>
          <w:p>
            <w:pPr>
              <w:rPr>
                <w:color w:val="auto"/>
                <w:sz w:val="24"/>
                <w:szCs w:val="24"/>
              </w:rPr>
            </w:pPr>
          </w:p>
        </w:tc>
        <w:tc>
          <w:tcPr>
            <w:tcW w:w="808" w:type="dxa"/>
            <w:tcBorders>
              <w:top w:val="single" w:color="auto" w:sz="4" w:space="0"/>
              <w:left w:val="single" w:color="auto" w:sz="4" w:space="0"/>
              <w:bottom w:val="single" w:color="auto" w:sz="4" w:space="0"/>
            </w:tcBorders>
            <w:shd w:val="clear" w:color="auto" w:fill="FFFFFF"/>
            <w:noWrap w:val="0"/>
            <w:vAlign w:val="top"/>
          </w:tcPr>
          <w:p>
            <w:pPr>
              <w:rPr>
                <w:color w:val="auto"/>
                <w:sz w:val="24"/>
                <w:szCs w:val="24"/>
              </w:rPr>
            </w:pPr>
          </w:p>
        </w:tc>
        <w:tc>
          <w:tcPr>
            <w:tcW w:w="1360"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rPr>
                <w:color w:val="auto"/>
                <w:sz w:val="24"/>
                <w:szCs w:val="24"/>
              </w:rPr>
            </w:pPr>
          </w:p>
        </w:tc>
      </w:tr>
    </w:tbl>
    <w:p>
      <w:pPr>
        <w:spacing w:after="579" w:line="1" w:lineRule="exact"/>
        <w:rPr>
          <w:color w:val="auto"/>
          <w:sz w:val="24"/>
          <w:szCs w:val="24"/>
        </w:rPr>
      </w:pPr>
    </w:p>
    <w:p>
      <w:pPr>
        <w:pStyle w:val="5"/>
        <w:spacing w:line="360" w:lineRule="exact"/>
        <w:rPr>
          <w:rFonts w:hint="eastAsia"/>
          <w:color w:val="auto"/>
          <w:sz w:val="24"/>
          <w:szCs w:val="24"/>
          <w:lang w:eastAsia="zh-CN"/>
        </w:rPr>
      </w:pPr>
      <w:bookmarkStart w:id="510" w:name="bookmark1166"/>
      <w:bookmarkEnd w:id="510"/>
      <w:bookmarkStart w:id="511" w:name="_Toc24903"/>
      <w:bookmarkStart w:id="512" w:name="bookmark1164"/>
      <w:bookmarkStart w:id="513" w:name="bookmark1165"/>
      <w:bookmarkStart w:id="514" w:name="_Toc1210479618"/>
      <w:bookmarkStart w:id="515" w:name="bookmark1167"/>
      <w:r>
        <w:rPr>
          <w:rFonts w:hint="eastAsia"/>
          <w:color w:val="auto"/>
          <w:sz w:val="24"/>
          <w:szCs w:val="24"/>
          <w:lang w:eastAsia="zh-CN"/>
        </w:rPr>
        <w:t>11. 开工和竣工（完工）</w:t>
      </w:r>
      <w:bookmarkEnd w:id="511"/>
      <w:bookmarkEnd w:id="512"/>
      <w:bookmarkEnd w:id="513"/>
      <w:bookmarkEnd w:id="514"/>
      <w:bookmarkEnd w:id="515"/>
    </w:p>
    <w:p>
      <w:pPr>
        <w:pStyle w:val="6"/>
        <w:ind w:left="0" w:leftChars="0" w:firstLine="0" w:firstLineChars="0"/>
        <w:rPr>
          <w:color w:val="auto"/>
          <w:sz w:val="24"/>
          <w:szCs w:val="24"/>
          <w:lang w:eastAsia="zh-CN"/>
        </w:rPr>
      </w:pPr>
      <w:bookmarkStart w:id="516" w:name="bookmark1169"/>
      <w:bookmarkStart w:id="517" w:name="_Toc23713"/>
      <w:bookmarkStart w:id="518" w:name="bookmark1170"/>
      <w:bookmarkStart w:id="519" w:name="bookmark1168"/>
      <w:r>
        <w:rPr>
          <w:color w:val="auto"/>
          <w:sz w:val="24"/>
          <w:szCs w:val="24"/>
          <w:lang w:eastAsia="zh-CN"/>
        </w:rPr>
        <w:t>11.1 开工</w:t>
      </w:r>
      <w:bookmarkEnd w:id="516"/>
      <w:bookmarkEnd w:id="517"/>
      <w:bookmarkEnd w:id="518"/>
      <w:bookmarkEnd w:id="519"/>
    </w:p>
    <w:p>
      <w:pPr>
        <w:pStyle w:val="45"/>
        <w:spacing w:line="351" w:lineRule="exact"/>
        <w:ind w:firstLine="420"/>
        <w:jc w:val="both"/>
        <w:rPr>
          <w:color w:val="auto"/>
          <w:sz w:val="24"/>
          <w:szCs w:val="24"/>
        </w:rPr>
      </w:pPr>
      <w:r>
        <w:rPr>
          <w:rFonts w:hint="eastAsia" w:ascii="Times New Roman" w:hAnsi="Times New Roman" w:cs="Times New Roman"/>
          <w:color w:val="auto"/>
          <w:sz w:val="24"/>
          <w:szCs w:val="24"/>
          <w:lang w:val="en-US" w:bidi="en-US"/>
        </w:rPr>
        <w:t>11</w:t>
      </w:r>
      <w:r>
        <w:rPr>
          <w:rFonts w:ascii="Times New Roman" w:hAnsi="Times New Roman" w:eastAsia="Times New Roman" w:cs="Times New Roman"/>
          <w:color w:val="auto"/>
          <w:sz w:val="24"/>
          <w:szCs w:val="24"/>
          <w:lang w:val="en-US" w:bidi="en-US"/>
        </w:rPr>
        <w:t>.1.1</w:t>
      </w:r>
      <w:r>
        <w:rPr>
          <w:color w:val="auto"/>
          <w:sz w:val="24"/>
          <w:szCs w:val="24"/>
        </w:rPr>
        <w:t>监理人应在开工日期</w:t>
      </w:r>
      <w:r>
        <w:rPr>
          <w:rFonts w:ascii="Times New Roman" w:hAnsi="Times New Roman" w:eastAsia="Times New Roman" w:cs="Times New Roman"/>
          <w:color w:val="auto"/>
          <w:sz w:val="24"/>
          <w:szCs w:val="24"/>
        </w:rPr>
        <w:t>7</w:t>
      </w:r>
      <w:r>
        <w:rPr>
          <w:color w:val="auto"/>
          <w:sz w:val="24"/>
          <w:szCs w:val="24"/>
        </w:rPr>
        <w:t>天前向承包人发出开工通知。监理人在发出开工通知前应获得</w:t>
      </w:r>
      <w:r>
        <w:rPr>
          <w:rFonts w:hint="eastAsia"/>
          <w:color w:val="auto"/>
          <w:sz w:val="24"/>
          <w:szCs w:val="24"/>
          <w:lang w:eastAsia="zh-CN"/>
        </w:rPr>
        <w:t>发包人书面同意</w:t>
      </w:r>
      <w:r>
        <w:rPr>
          <w:color w:val="auto"/>
          <w:sz w:val="24"/>
          <w:szCs w:val="24"/>
        </w:rPr>
        <w:t>。工期自监理人发出的开工通知中载明的开工日期起计算。承包人应 在开工日期后尽快施工。</w:t>
      </w:r>
    </w:p>
    <w:p>
      <w:pPr>
        <w:pStyle w:val="45"/>
        <w:spacing w:line="351" w:lineRule="exact"/>
        <w:ind w:firstLine="420"/>
        <w:jc w:val="both"/>
        <w:rPr>
          <w:color w:val="auto"/>
          <w:sz w:val="24"/>
          <w:szCs w:val="24"/>
        </w:rPr>
      </w:pPr>
      <w:r>
        <w:rPr>
          <w:rFonts w:hint="eastAsia" w:ascii="Times New Roman" w:hAnsi="Times New Roman" w:cs="Times New Roman"/>
          <w:color w:val="auto"/>
          <w:sz w:val="24"/>
          <w:szCs w:val="24"/>
          <w:lang w:val="en-US" w:bidi="en-US"/>
        </w:rPr>
        <w:t>11</w:t>
      </w:r>
      <w:r>
        <w:rPr>
          <w:rFonts w:ascii="Times New Roman" w:hAnsi="Times New Roman" w:eastAsia="Times New Roman" w:cs="Times New Roman"/>
          <w:color w:val="auto"/>
          <w:sz w:val="24"/>
          <w:szCs w:val="24"/>
          <w:lang w:val="en-US" w:bidi="en-US"/>
        </w:rPr>
        <w:t>.1.</w:t>
      </w:r>
      <w:r>
        <w:rPr>
          <w:rFonts w:ascii="Times New Roman" w:hAnsi="Times New Roman" w:eastAsia="Times New Roman" w:cs="Times New Roman"/>
          <w:color w:val="auto"/>
          <w:sz w:val="24"/>
          <w:szCs w:val="24"/>
        </w:rPr>
        <w:t>2</w:t>
      </w:r>
      <w:r>
        <w:rPr>
          <w:color w:val="auto"/>
          <w:sz w:val="24"/>
          <w:szCs w:val="24"/>
        </w:rPr>
        <w:t>承包人应按第</w:t>
      </w:r>
      <w:r>
        <w:rPr>
          <w:rFonts w:ascii="Times New Roman" w:hAnsi="Times New Roman" w:eastAsia="Times New Roman" w:cs="Times New Roman"/>
          <w:color w:val="auto"/>
          <w:sz w:val="24"/>
          <w:szCs w:val="24"/>
          <w:lang w:val="en-US" w:bidi="en-US"/>
        </w:rPr>
        <w:t xml:space="preserve">10. </w:t>
      </w:r>
      <w:r>
        <w:rPr>
          <w:rFonts w:ascii="Times New Roman" w:hAnsi="Times New Roman" w:eastAsia="Times New Roman" w:cs="Times New Roman"/>
          <w:color w:val="auto"/>
          <w:sz w:val="24"/>
          <w:szCs w:val="24"/>
        </w:rPr>
        <w:t>1</w:t>
      </w:r>
      <w:r>
        <w:rPr>
          <w:color w:val="auto"/>
          <w:sz w:val="24"/>
          <w:szCs w:val="24"/>
        </w:rPr>
        <w:t>款约定的合同进度计划，向监理人提交工程开工报审表, 经监理人审批后执行。开工报审表应详细说明按合同进度计划正常施工所需的施工道路、临时设施、材料设备、施工人员等施工组织措施的落实情况以及工程的进度安排。</w:t>
      </w:r>
    </w:p>
    <w:p>
      <w:pPr>
        <w:pStyle w:val="45"/>
        <w:spacing w:line="351" w:lineRule="exact"/>
        <w:ind w:firstLine="420"/>
        <w:jc w:val="both"/>
        <w:rPr>
          <w:color w:val="auto"/>
          <w:sz w:val="24"/>
          <w:szCs w:val="24"/>
        </w:rPr>
      </w:pPr>
      <w:r>
        <w:rPr>
          <w:rFonts w:hint="eastAsia" w:ascii="Times New Roman" w:hAnsi="Times New Roman" w:cs="Times New Roman"/>
          <w:color w:val="auto"/>
          <w:sz w:val="24"/>
          <w:szCs w:val="24"/>
          <w:lang w:val="en-US" w:bidi="en-US"/>
        </w:rPr>
        <w:t>11</w:t>
      </w:r>
      <w:r>
        <w:rPr>
          <w:rFonts w:ascii="Times New Roman" w:hAnsi="Times New Roman" w:eastAsia="Times New Roman" w:cs="Times New Roman"/>
          <w:color w:val="auto"/>
          <w:sz w:val="24"/>
          <w:szCs w:val="24"/>
          <w:lang w:val="en-US" w:bidi="en-US"/>
        </w:rPr>
        <w:t>.1.3</w:t>
      </w:r>
      <w:r>
        <w:rPr>
          <w:color w:val="auto"/>
          <w:sz w:val="24"/>
          <w:szCs w:val="24"/>
        </w:rPr>
        <w:t>若发包人未能按合同约定向承包人提供开工的必要条件，承包人有权要求延 长工期。监理人应在收到承包人的书面要求后，按第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color w:val="auto"/>
          <w:sz w:val="24"/>
          <w:szCs w:val="24"/>
        </w:rPr>
        <w:t>款的约定，与合同双方商定或确定增加的费用和延长的工期。</w:t>
      </w:r>
    </w:p>
    <w:p>
      <w:pPr>
        <w:pStyle w:val="45"/>
        <w:spacing w:after="140" w:line="351" w:lineRule="exact"/>
        <w:ind w:firstLine="420"/>
        <w:jc w:val="both"/>
        <w:rPr>
          <w:color w:val="auto"/>
          <w:sz w:val="24"/>
          <w:szCs w:val="24"/>
        </w:rPr>
      </w:pPr>
      <w:r>
        <w:rPr>
          <w:rFonts w:hint="eastAsia" w:ascii="Times New Roman" w:hAnsi="Times New Roman" w:cs="Times New Roman"/>
          <w:color w:val="auto"/>
          <w:sz w:val="24"/>
          <w:szCs w:val="24"/>
          <w:lang w:val="en-US" w:bidi="en-US"/>
        </w:rPr>
        <w:t>11</w:t>
      </w:r>
      <w:r>
        <w:rPr>
          <w:rFonts w:ascii="Times New Roman" w:hAnsi="Times New Roman" w:eastAsia="Times New Roman" w:cs="Times New Roman"/>
          <w:color w:val="auto"/>
          <w:sz w:val="24"/>
          <w:szCs w:val="24"/>
          <w:lang w:val="en-US" w:bidi="en-US"/>
        </w:rPr>
        <w:t>.1.4</w:t>
      </w:r>
      <w:r>
        <w:rPr>
          <w:color w:val="auto"/>
          <w:sz w:val="24"/>
          <w:szCs w:val="24"/>
        </w:rPr>
        <w:t>承包人在接到开工通知后</w:t>
      </w:r>
      <w:r>
        <w:rPr>
          <w:rFonts w:ascii="Times New Roman" w:hAnsi="Times New Roman" w:eastAsia="Times New Roman" w:cs="Times New Roman"/>
          <w:color w:val="auto"/>
          <w:sz w:val="24"/>
          <w:szCs w:val="24"/>
        </w:rPr>
        <w:t>14</w:t>
      </w:r>
      <w:r>
        <w:rPr>
          <w:color w:val="auto"/>
          <w:sz w:val="24"/>
          <w:szCs w:val="24"/>
        </w:rPr>
        <w:t>天内未按进度计划要求及时进场组织施工，监理人可通知承包人在接到通知后</w:t>
      </w:r>
      <w:r>
        <w:rPr>
          <w:rFonts w:ascii="Times New Roman" w:hAnsi="Times New Roman" w:eastAsia="Times New Roman" w:cs="Times New Roman"/>
          <w:color w:val="auto"/>
          <w:sz w:val="24"/>
          <w:szCs w:val="24"/>
        </w:rPr>
        <w:t>7</w:t>
      </w:r>
      <w:r>
        <w:rPr>
          <w:color w:val="auto"/>
          <w:sz w:val="24"/>
          <w:szCs w:val="24"/>
        </w:rPr>
        <w:t>天内提交一份说明其进场延误的书面报告，报送监理人。书面报告应说明不能及时进场的原因和补救措施，由此增加的费用和工期延误责任由承包人承担。</w:t>
      </w:r>
    </w:p>
    <w:p>
      <w:pPr>
        <w:pStyle w:val="6"/>
        <w:ind w:left="0" w:leftChars="0" w:firstLine="0" w:firstLineChars="0"/>
        <w:rPr>
          <w:color w:val="auto"/>
          <w:sz w:val="24"/>
          <w:szCs w:val="24"/>
          <w:lang w:eastAsia="zh-CN"/>
        </w:rPr>
      </w:pPr>
      <w:bookmarkStart w:id="520" w:name="bookmark1171"/>
      <w:bookmarkStart w:id="521" w:name="_Toc29025"/>
      <w:bookmarkStart w:id="522" w:name="bookmark1173"/>
      <w:bookmarkStart w:id="523" w:name="bookmark1172"/>
      <w:r>
        <w:rPr>
          <w:color w:val="auto"/>
          <w:sz w:val="24"/>
          <w:szCs w:val="24"/>
          <w:lang w:eastAsia="zh-CN"/>
        </w:rPr>
        <w:t>11.2竣工(完工)</w:t>
      </w:r>
      <w:bookmarkEnd w:id="520"/>
      <w:bookmarkEnd w:id="521"/>
      <w:bookmarkEnd w:id="522"/>
      <w:bookmarkEnd w:id="523"/>
    </w:p>
    <w:p>
      <w:pPr>
        <w:pStyle w:val="45"/>
        <w:spacing w:after="140" w:line="366" w:lineRule="exact"/>
        <w:ind w:firstLine="440"/>
        <w:jc w:val="both"/>
        <w:rPr>
          <w:color w:val="auto"/>
          <w:sz w:val="24"/>
          <w:szCs w:val="24"/>
        </w:rPr>
      </w:pPr>
      <w:r>
        <w:rPr>
          <w:color w:val="auto"/>
          <w:sz w:val="24"/>
          <w:szCs w:val="24"/>
        </w:rPr>
        <w:t>承包人应在第</w:t>
      </w:r>
      <w:r>
        <w:rPr>
          <w:rFonts w:ascii="Times New Roman" w:hAnsi="Times New Roman" w:eastAsia="Times New Roman" w:cs="Times New Roman"/>
          <w:color w:val="auto"/>
          <w:sz w:val="24"/>
          <w:szCs w:val="24"/>
          <w:lang w:val="en-US" w:bidi="en-US"/>
        </w:rPr>
        <w:t xml:space="preserve">1.1. 4. </w:t>
      </w:r>
      <w:r>
        <w:rPr>
          <w:rFonts w:ascii="Times New Roman" w:hAnsi="Times New Roman" w:eastAsia="Times New Roman" w:cs="Times New Roman"/>
          <w:color w:val="auto"/>
          <w:sz w:val="24"/>
          <w:szCs w:val="24"/>
        </w:rPr>
        <w:t>3</w:t>
      </w:r>
      <w:r>
        <w:rPr>
          <w:color w:val="auto"/>
          <w:sz w:val="24"/>
          <w:szCs w:val="24"/>
        </w:rPr>
        <w:t>目约定的期限内完成合同工程。合同工程实际完工时间在合同工程完工证书中明确</w:t>
      </w:r>
      <w:r>
        <w:rPr>
          <w:rFonts w:hint="eastAsia"/>
          <w:color w:val="auto"/>
          <w:sz w:val="24"/>
          <w:szCs w:val="24"/>
        </w:rPr>
        <w:t>（</w:t>
      </w:r>
      <w:r>
        <w:rPr>
          <w:color w:val="auto"/>
          <w:sz w:val="24"/>
          <w:szCs w:val="24"/>
        </w:rPr>
        <w:t>以完工验收鉴定书或竣工验收鉴定书标明的验收日期为准，没有标明验收日期的则以印发鉴定书的日期为准</w:t>
      </w:r>
      <w:r>
        <w:rPr>
          <w:rFonts w:hint="eastAsia"/>
          <w:color w:val="auto"/>
          <w:sz w:val="24"/>
          <w:szCs w:val="24"/>
        </w:rPr>
        <w:t>）</w:t>
      </w:r>
      <w:r>
        <w:rPr>
          <w:rFonts w:hint="eastAsia" w:ascii="Times New Roman" w:hAnsi="Times New Roman" w:cs="Times New Roman"/>
          <w:color w:val="auto"/>
          <w:sz w:val="24"/>
          <w:szCs w:val="24"/>
          <w:lang w:val="en-US" w:bidi="en-US"/>
        </w:rPr>
        <w:t>。</w:t>
      </w:r>
    </w:p>
    <w:p>
      <w:pPr>
        <w:pStyle w:val="6"/>
        <w:ind w:left="0" w:leftChars="0" w:firstLine="0" w:firstLineChars="0"/>
        <w:rPr>
          <w:color w:val="auto"/>
          <w:sz w:val="24"/>
          <w:szCs w:val="24"/>
          <w:lang w:eastAsia="zh-CN"/>
        </w:rPr>
      </w:pPr>
      <w:bookmarkStart w:id="524" w:name="bookmark1175"/>
      <w:bookmarkStart w:id="525" w:name="bookmark1174"/>
      <w:bookmarkStart w:id="526" w:name="_Toc7284"/>
      <w:bookmarkStart w:id="527" w:name="bookmark1176"/>
      <w:r>
        <w:rPr>
          <w:color w:val="auto"/>
          <w:sz w:val="24"/>
          <w:szCs w:val="24"/>
          <w:lang w:eastAsia="zh-CN"/>
        </w:rPr>
        <w:t>11.3发包人的工期延误</w:t>
      </w:r>
      <w:bookmarkEnd w:id="524"/>
      <w:bookmarkEnd w:id="525"/>
      <w:bookmarkEnd w:id="526"/>
      <w:bookmarkEnd w:id="527"/>
    </w:p>
    <w:p>
      <w:pPr>
        <w:pStyle w:val="45"/>
        <w:spacing w:after="140" w:line="360" w:lineRule="exact"/>
        <w:ind w:firstLine="440"/>
        <w:jc w:val="both"/>
        <w:rPr>
          <w:color w:val="auto"/>
          <w:sz w:val="24"/>
          <w:szCs w:val="24"/>
        </w:rPr>
      </w:pPr>
      <w:r>
        <w:rPr>
          <w:color w:val="auto"/>
          <w:sz w:val="24"/>
          <w:szCs w:val="24"/>
        </w:rPr>
        <w:t>在履行合同过程中，由于发包人的下列原因造成工期延误的，承包人有权要求发包人延长工期和(或)增加费用，并支付合理利润。需要修订合同进度计划的，按照第</w:t>
      </w:r>
      <w:r>
        <w:rPr>
          <w:rFonts w:ascii="Times New Roman" w:hAnsi="Times New Roman" w:eastAsia="Times New Roman" w:cs="Times New Roman"/>
          <w:color w:val="auto"/>
          <w:sz w:val="24"/>
          <w:szCs w:val="24"/>
          <w:lang w:val="en-US" w:bidi="en-US"/>
        </w:rPr>
        <w:t xml:space="preserve">10. </w:t>
      </w:r>
      <w:r>
        <w:rPr>
          <w:rFonts w:ascii="Times New Roman" w:hAnsi="Times New Roman" w:eastAsia="Times New Roman" w:cs="Times New Roman"/>
          <w:color w:val="auto"/>
          <w:sz w:val="24"/>
          <w:szCs w:val="24"/>
        </w:rPr>
        <w:t>2</w:t>
      </w:r>
      <w:r>
        <w:rPr>
          <w:color w:val="auto"/>
          <w:sz w:val="24"/>
          <w:szCs w:val="24"/>
        </w:rPr>
        <w:t>款的约定办理。</w:t>
      </w:r>
    </w:p>
    <w:p>
      <w:pPr>
        <w:pStyle w:val="45"/>
        <w:numPr>
          <w:ilvl w:val="0"/>
          <w:numId w:val="8"/>
        </w:numPr>
        <w:tabs>
          <w:tab w:val="left" w:pos="923"/>
        </w:tabs>
        <w:spacing w:line="360" w:lineRule="exact"/>
        <w:ind w:firstLine="440"/>
        <w:jc w:val="both"/>
        <w:rPr>
          <w:color w:val="auto"/>
          <w:sz w:val="24"/>
          <w:szCs w:val="24"/>
        </w:rPr>
      </w:pPr>
      <w:bookmarkStart w:id="528" w:name="bookmark1177"/>
      <w:bookmarkEnd w:id="528"/>
      <w:r>
        <w:rPr>
          <w:color w:val="auto"/>
          <w:sz w:val="24"/>
          <w:szCs w:val="24"/>
        </w:rPr>
        <w:t>增加合同工作内容；</w:t>
      </w:r>
    </w:p>
    <w:p>
      <w:pPr>
        <w:pStyle w:val="45"/>
        <w:numPr>
          <w:ilvl w:val="0"/>
          <w:numId w:val="8"/>
        </w:numPr>
        <w:tabs>
          <w:tab w:val="left" w:pos="903"/>
        </w:tabs>
        <w:spacing w:line="360" w:lineRule="exact"/>
        <w:ind w:firstLine="420"/>
        <w:rPr>
          <w:color w:val="auto"/>
          <w:sz w:val="24"/>
          <w:szCs w:val="24"/>
        </w:rPr>
      </w:pPr>
      <w:bookmarkStart w:id="529" w:name="bookmark1178"/>
      <w:bookmarkEnd w:id="529"/>
      <w:r>
        <w:rPr>
          <w:color w:val="auto"/>
          <w:sz w:val="24"/>
          <w:szCs w:val="24"/>
        </w:rPr>
        <w:t>改变合同中任何一项工作的质量要求或其他特性；</w:t>
      </w:r>
    </w:p>
    <w:p>
      <w:pPr>
        <w:pStyle w:val="45"/>
        <w:numPr>
          <w:ilvl w:val="0"/>
          <w:numId w:val="8"/>
        </w:numPr>
        <w:tabs>
          <w:tab w:val="left" w:pos="903"/>
        </w:tabs>
        <w:spacing w:line="360" w:lineRule="exact"/>
        <w:ind w:firstLine="420"/>
        <w:rPr>
          <w:color w:val="auto"/>
          <w:sz w:val="24"/>
          <w:szCs w:val="24"/>
        </w:rPr>
      </w:pPr>
      <w:bookmarkStart w:id="530" w:name="bookmark1179"/>
      <w:bookmarkEnd w:id="530"/>
      <w:r>
        <w:rPr>
          <w:color w:val="auto"/>
          <w:sz w:val="24"/>
          <w:szCs w:val="24"/>
        </w:rPr>
        <w:t>发包人迟延提供材料、工程设备或变更交货地点的；</w:t>
      </w:r>
    </w:p>
    <w:p>
      <w:pPr>
        <w:pStyle w:val="45"/>
        <w:numPr>
          <w:ilvl w:val="0"/>
          <w:numId w:val="8"/>
        </w:numPr>
        <w:tabs>
          <w:tab w:val="left" w:pos="903"/>
        </w:tabs>
        <w:spacing w:line="360" w:lineRule="exact"/>
        <w:ind w:firstLine="420"/>
        <w:rPr>
          <w:color w:val="auto"/>
          <w:sz w:val="24"/>
          <w:szCs w:val="24"/>
        </w:rPr>
      </w:pPr>
      <w:bookmarkStart w:id="531" w:name="bookmark1180"/>
      <w:bookmarkEnd w:id="531"/>
      <w:r>
        <w:rPr>
          <w:color w:val="auto"/>
          <w:sz w:val="24"/>
          <w:szCs w:val="24"/>
        </w:rPr>
        <w:t>因发包人原因导致的暂停施工；</w:t>
      </w:r>
    </w:p>
    <w:p>
      <w:pPr>
        <w:pStyle w:val="45"/>
        <w:numPr>
          <w:ilvl w:val="0"/>
          <w:numId w:val="8"/>
        </w:numPr>
        <w:tabs>
          <w:tab w:val="left" w:pos="903"/>
        </w:tabs>
        <w:spacing w:line="360" w:lineRule="exact"/>
        <w:ind w:firstLine="420"/>
        <w:rPr>
          <w:color w:val="auto"/>
          <w:sz w:val="24"/>
          <w:szCs w:val="24"/>
        </w:rPr>
      </w:pPr>
      <w:bookmarkStart w:id="532" w:name="bookmark1181"/>
      <w:bookmarkEnd w:id="532"/>
      <w:r>
        <w:rPr>
          <w:color w:val="auto"/>
          <w:sz w:val="24"/>
          <w:szCs w:val="24"/>
        </w:rPr>
        <w:t>提供图纸延误；</w:t>
      </w:r>
    </w:p>
    <w:p>
      <w:pPr>
        <w:pStyle w:val="45"/>
        <w:numPr>
          <w:ilvl w:val="0"/>
          <w:numId w:val="8"/>
        </w:numPr>
        <w:tabs>
          <w:tab w:val="left" w:pos="903"/>
        </w:tabs>
        <w:spacing w:line="360" w:lineRule="exact"/>
        <w:ind w:firstLine="420"/>
        <w:rPr>
          <w:color w:val="auto"/>
          <w:sz w:val="24"/>
          <w:szCs w:val="24"/>
        </w:rPr>
      </w:pPr>
      <w:bookmarkStart w:id="533" w:name="bookmark1183"/>
      <w:bookmarkEnd w:id="533"/>
      <w:bookmarkStart w:id="534" w:name="bookmark1182"/>
      <w:bookmarkEnd w:id="534"/>
      <w:r>
        <w:rPr>
          <w:color w:val="auto"/>
          <w:sz w:val="24"/>
          <w:szCs w:val="24"/>
        </w:rPr>
        <w:t>发包人造成工期延误的其他原因。</w:t>
      </w:r>
    </w:p>
    <w:p>
      <w:pPr>
        <w:pStyle w:val="6"/>
        <w:ind w:left="0" w:leftChars="0" w:firstLine="0" w:firstLineChars="0"/>
        <w:rPr>
          <w:color w:val="auto"/>
          <w:sz w:val="24"/>
          <w:szCs w:val="24"/>
          <w:lang w:eastAsia="zh-CN"/>
        </w:rPr>
      </w:pPr>
      <w:bookmarkStart w:id="535" w:name="bookmark1184"/>
      <w:bookmarkStart w:id="536" w:name="bookmark1185"/>
      <w:bookmarkStart w:id="537" w:name="bookmark1186"/>
      <w:bookmarkStart w:id="538" w:name="_Toc10371"/>
      <w:r>
        <w:rPr>
          <w:color w:val="auto"/>
          <w:sz w:val="24"/>
          <w:szCs w:val="24"/>
          <w:lang w:eastAsia="zh-CN"/>
        </w:rPr>
        <w:t>11.4异常恶劣的气候条件</w:t>
      </w:r>
      <w:bookmarkEnd w:id="535"/>
      <w:bookmarkEnd w:id="536"/>
      <w:bookmarkEnd w:id="537"/>
      <w:bookmarkEnd w:id="538"/>
    </w:p>
    <w:p>
      <w:pPr>
        <w:pStyle w:val="45"/>
        <w:spacing w:line="368" w:lineRule="exact"/>
        <w:ind w:firstLine="440"/>
        <w:jc w:val="both"/>
        <w:rPr>
          <w:color w:val="auto"/>
          <w:sz w:val="24"/>
          <w:szCs w:val="24"/>
        </w:rPr>
      </w:pPr>
      <w:r>
        <w:rPr>
          <w:rFonts w:hint="eastAsia" w:ascii="Times New Roman" w:hAnsi="Times New Roman" w:cs="Times New Roman"/>
          <w:color w:val="auto"/>
          <w:sz w:val="24"/>
          <w:szCs w:val="24"/>
          <w:lang w:val="en-US" w:bidi="en-US"/>
        </w:rPr>
        <w:t>11</w:t>
      </w:r>
      <w:r>
        <w:rPr>
          <w:rFonts w:ascii="Times New Roman" w:hAnsi="Times New Roman" w:eastAsia="Times New Roman" w:cs="Times New Roman"/>
          <w:color w:val="auto"/>
          <w:sz w:val="24"/>
          <w:szCs w:val="24"/>
          <w:lang w:val="en-US" w:bidi="en-US"/>
        </w:rPr>
        <w:t>.4.1</w:t>
      </w:r>
      <w:r>
        <w:rPr>
          <w:color w:val="auto"/>
          <w:sz w:val="24"/>
          <w:szCs w:val="24"/>
        </w:rPr>
        <w:t>当工程所在地发生危及施工安全的异常恶劣气候时，发包人和承包人应按本合同通用合同条款第</w:t>
      </w:r>
      <w:r>
        <w:rPr>
          <w:rFonts w:ascii="Times New Roman" w:hAnsi="Times New Roman" w:eastAsia="Times New Roman" w:cs="Times New Roman"/>
          <w:color w:val="auto"/>
          <w:sz w:val="24"/>
          <w:szCs w:val="24"/>
        </w:rPr>
        <w:t>12</w:t>
      </w:r>
      <w:r>
        <w:rPr>
          <w:color w:val="auto"/>
          <w:sz w:val="24"/>
          <w:szCs w:val="24"/>
        </w:rPr>
        <w:t>条的约定，及时采取暂停施工或部分暂停施工措施。异常恶劣气候条件解除后，承包人应及时安排复工。</w:t>
      </w:r>
    </w:p>
    <w:p>
      <w:pPr>
        <w:pStyle w:val="45"/>
        <w:spacing w:after="140" w:line="360" w:lineRule="exact"/>
        <w:ind w:firstLine="440"/>
        <w:jc w:val="both"/>
        <w:rPr>
          <w:color w:val="auto"/>
          <w:sz w:val="24"/>
          <w:szCs w:val="24"/>
        </w:rPr>
      </w:pPr>
      <w:r>
        <w:rPr>
          <w:rFonts w:hint="eastAsia" w:ascii="Times New Roman" w:hAnsi="Times New Roman" w:cs="Times New Roman"/>
          <w:color w:val="auto"/>
          <w:sz w:val="24"/>
          <w:szCs w:val="24"/>
          <w:lang w:val="en-US" w:bidi="en-US"/>
        </w:rPr>
        <w:t>11</w:t>
      </w:r>
      <w:r>
        <w:rPr>
          <w:rFonts w:ascii="Times New Roman" w:hAnsi="Times New Roman" w:eastAsia="Times New Roman" w:cs="Times New Roman"/>
          <w:color w:val="auto"/>
          <w:sz w:val="24"/>
          <w:szCs w:val="24"/>
          <w:lang w:val="en-US" w:bidi="en-US"/>
        </w:rPr>
        <w:t>.4.2</w:t>
      </w:r>
      <w:r>
        <w:rPr>
          <w:color w:val="auto"/>
          <w:sz w:val="24"/>
          <w:szCs w:val="24"/>
        </w:rPr>
        <w:t>异常恶劣气候条件造成的工期延误和工程损坏，应由发包人与承包人参照本合同通用合同条款第</w:t>
      </w:r>
      <w:r>
        <w:rPr>
          <w:rFonts w:ascii="Times New Roman" w:hAnsi="Times New Roman" w:eastAsia="Times New Roman" w:cs="Times New Roman"/>
          <w:color w:val="auto"/>
          <w:sz w:val="24"/>
          <w:szCs w:val="24"/>
          <w:lang w:val="en-US" w:bidi="en-US"/>
        </w:rPr>
        <w:t xml:space="preserve">21. </w:t>
      </w:r>
      <w:r>
        <w:rPr>
          <w:rFonts w:ascii="Times New Roman" w:hAnsi="Times New Roman" w:eastAsia="Times New Roman" w:cs="Times New Roman"/>
          <w:color w:val="auto"/>
          <w:sz w:val="24"/>
          <w:szCs w:val="24"/>
        </w:rPr>
        <w:t>3</w:t>
      </w:r>
      <w:r>
        <w:rPr>
          <w:color w:val="auto"/>
          <w:sz w:val="24"/>
          <w:szCs w:val="24"/>
        </w:rPr>
        <w:t>款的约定共同协商处理。</w:t>
      </w:r>
    </w:p>
    <w:p>
      <w:pPr>
        <w:pStyle w:val="45"/>
        <w:spacing w:line="377" w:lineRule="auto"/>
        <w:ind w:firstLine="420"/>
        <w:rPr>
          <w:color w:val="auto"/>
          <w:sz w:val="24"/>
          <w:szCs w:val="24"/>
        </w:rPr>
      </w:pPr>
      <w:r>
        <w:rPr>
          <w:rFonts w:hint="eastAsia" w:ascii="Times New Roman" w:hAnsi="Times New Roman" w:cs="Times New Roman"/>
          <w:color w:val="auto"/>
          <w:sz w:val="24"/>
          <w:szCs w:val="24"/>
          <w:lang w:val="en-US" w:bidi="en-US"/>
        </w:rPr>
        <w:t>11</w:t>
      </w:r>
      <w:r>
        <w:rPr>
          <w:rFonts w:ascii="Times New Roman" w:hAnsi="Times New Roman" w:eastAsia="Times New Roman" w:cs="Times New Roman"/>
          <w:color w:val="auto"/>
          <w:sz w:val="24"/>
          <w:szCs w:val="24"/>
          <w:lang w:val="en-US" w:bidi="en-US"/>
        </w:rPr>
        <w:t>.4.</w:t>
      </w:r>
      <w:r>
        <w:rPr>
          <w:rFonts w:ascii="Times New Roman" w:hAnsi="Times New Roman" w:eastAsia="Times New Roman" w:cs="Times New Roman"/>
          <w:color w:val="auto"/>
          <w:sz w:val="24"/>
          <w:szCs w:val="24"/>
        </w:rPr>
        <w:t>3</w:t>
      </w:r>
      <w:r>
        <w:rPr>
          <w:color w:val="auto"/>
          <w:sz w:val="24"/>
          <w:szCs w:val="24"/>
        </w:rPr>
        <w:t>本合同工程界定异常恶劣气候条件的范围在专用合同条款中约定。</w:t>
      </w:r>
    </w:p>
    <w:p>
      <w:pPr>
        <w:pStyle w:val="6"/>
        <w:ind w:left="0" w:leftChars="0" w:firstLine="0" w:firstLineChars="0"/>
        <w:rPr>
          <w:color w:val="auto"/>
          <w:sz w:val="24"/>
          <w:szCs w:val="24"/>
          <w:lang w:eastAsia="zh-CN"/>
        </w:rPr>
      </w:pPr>
      <w:bookmarkStart w:id="539" w:name="_Toc1075"/>
      <w:bookmarkStart w:id="540" w:name="bookmark1189"/>
      <w:bookmarkStart w:id="541" w:name="bookmark1188"/>
      <w:bookmarkStart w:id="542" w:name="bookmark1187"/>
      <w:r>
        <w:rPr>
          <w:color w:val="auto"/>
          <w:sz w:val="24"/>
          <w:szCs w:val="24"/>
          <w:lang w:eastAsia="zh-CN"/>
        </w:rPr>
        <w:t>11.5承包人工期延误</w:t>
      </w:r>
      <w:bookmarkEnd w:id="539"/>
      <w:bookmarkEnd w:id="540"/>
      <w:bookmarkEnd w:id="541"/>
      <w:bookmarkEnd w:id="542"/>
    </w:p>
    <w:p>
      <w:pPr>
        <w:pStyle w:val="45"/>
        <w:spacing w:after="140" w:line="359" w:lineRule="exact"/>
        <w:ind w:firstLine="440"/>
        <w:jc w:val="both"/>
        <w:rPr>
          <w:color w:val="auto"/>
          <w:sz w:val="24"/>
          <w:szCs w:val="24"/>
        </w:rPr>
      </w:pPr>
      <w:r>
        <w:rPr>
          <w:color w:val="auto"/>
          <w:sz w:val="24"/>
          <w:szCs w:val="24"/>
        </w:rPr>
        <w:t>由于承包人原因，未能按合同进度计划完成工作，或监理人认为承包人施工进度不能满足合同工期要求的，承包人应采取措施加快进度，并承担加快进度所增加的费用。由于承包人原因造成工期延误，承包人应支付逾期竣工违约金。逾期竣工违约金的计算方法在专用合同条款中约定。承包人支付逾期竣工违约金，不免除承包人完成工程及修补缺陷的义务。</w:t>
      </w:r>
    </w:p>
    <w:p>
      <w:pPr>
        <w:pStyle w:val="6"/>
        <w:ind w:left="0" w:leftChars="0" w:firstLine="0" w:firstLineChars="0"/>
        <w:rPr>
          <w:color w:val="auto"/>
          <w:sz w:val="24"/>
          <w:szCs w:val="24"/>
          <w:lang w:eastAsia="zh-CN"/>
        </w:rPr>
      </w:pPr>
      <w:bookmarkStart w:id="543" w:name="bookmark1192"/>
      <w:bookmarkStart w:id="544" w:name="bookmark1190"/>
      <w:bookmarkStart w:id="545" w:name="_Toc14969"/>
      <w:bookmarkStart w:id="546" w:name="bookmark1191"/>
      <w:r>
        <w:rPr>
          <w:color w:val="auto"/>
          <w:sz w:val="24"/>
          <w:szCs w:val="24"/>
          <w:lang w:eastAsia="zh-CN"/>
        </w:rPr>
        <w:t>11.6工期提前</w:t>
      </w:r>
      <w:bookmarkEnd w:id="543"/>
      <w:bookmarkEnd w:id="544"/>
      <w:bookmarkEnd w:id="545"/>
      <w:bookmarkEnd w:id="546"/>
    </w:p>
    <w:p>
      <w:pPr>
        <w:pStyle w:val="45"/>
        <w:spacing w:line="360" w:lineRule="exact"/>
        <w:ind w:firstLine="440"/>
        <w:jc w:val="both"/>
        <w:rPr>
          <w:color w:val="auto"/>
          <w:sz w:val="24"/>
          <w:szCs w:val="24"/>
        </w:rPr>
      </w:pPr>
      <w:r>
        <w:rPr>
          <w:color w:val="auto"/>
          <w:sz w:val="24"/>
          <w:szCs w:val="24"/>
        </w:rPr>
        <w:t>发包人要求承包人提前完工，或承包人提出提前完工的建议能够给发包人带来效益的， 应由监理人与承包人共同协商采取加快工程进度的措施和修订合同进度计划。发包人应承担承包人由此增加的费用，并向承包人支付专用合同条款约定的相应奖金。</w:t>
      </w:r>
    </w:p>
    <w:p>
      <w:pPr>
        <w:pStyle w:val="45"/>
        <w:spacing w:after="140" w:line="360" w:lineRule="exact"/>
        <w:ind w:firstLine="420"/>
        <w:jc w:val="both"/>
        <w:rPr>
          <w:color w:val="auto"/>
          <w:sz w:val="24"/>
          <w:szCs w:val="24"/>
        </w:rPr>
      </w:pPr>
      <w:r>
        <w:rPr>
          <w:color w:val="auto"/>
          <w:sz w:val="24"/>
          <w:szCs w:val="24"/>
        </w:rPr>
        <w:t>发包人要求提前完工的，双方协商一致后应签订提前完工协议，协议内容包括：</w:t>
      </w:r>
    </w:p>
    <w:p>
      <w:pPr>
        <w:pStyle w:val="45"/>
        <w:numPr>
          <w:ilvl w:val="0"/>
          <w:numId w:val="9"/>
        </w:numPr>
        <w:tabs>
          <w:tab w:val="left" w:pos="903"/>
        </w:tabs>
        <w:spacing w:line="360" w:lineRule="exact"/>
        <w:ind w:firstLine="420"/>
        <w:jc w:val="both"/>
        <w:rPr>
          <w:color w:val="auto"/>
          <w:sz w:val="24"/>
          <w:szCs w:val="24"/>
        </w:rPr>
      </w:pPr>
      <w:bookmarkStart w:id="547" w:name="bookmark1193"/>
      <w:bookmarkEnd w:id="547"/>
      <w:r>
        <w:rPr>
          <w:color w:val="auto"/>
          <w:sz w:val="24"/>
          <w:szCs w:val="24"/>
        </w:rPr>
        <w:t>提前的时间和修订后的进度计划。</w:t>
      </w:r>
    </w:p>
    <w:p>
      <w:pPr>
        <w:pStyle w:val="45"/>
        <w:numPr>
          <w:ilvl w:val="0"/>
          <w:numId w:val="9"/>
        </w:numPr>
        <w:tabs>
          <w:tab w:val="left" w:pos="903"/>
        </w:tabs>
        <w:spacing w:line="360" w:lineRule="exact"/>
        <w:ind w:firstLine="420"/>
        <w:jc w:val="both"/>
        <w:rPr>
          <w:color w:val="auto"/>
          <w:sz w:val="24"/>
          <w:szCs w:val="24"/>
        </w:rPr>
      </w:pPr>
      <w:bookmarkStart w:id="548" w:name="bookmark1194"/>
      <w:bookmarkEnd w:id="548"/>
      <w:r>
        <w:rPr>
          <w:color w:val="auto"/>
          <w:sz w:val="24"/>
          <w:szCs w:val="24"/>
        </w:rPr>
        <w:t>承包人的赶工措施。</w:t>
      </w:r>
    </w:p>
    <w:p>
      <w:pPr>
        <w:pStyle w:val="45"/>
        <w:numPr>
          <w:ilvl w:val="0"/>
          <w:numId w:val="9"/>
        </w:numPr>
        <w:tabs>
          <w:tab w:val="left" w:pos="923"/>
        </w:tabs>
        <w:spacing w:line="360" w:lineRule="exact"/>
        <w:ind w:firstLine="440"/>
        <w:jc w:val="both"/>
        <w:rPr>
          <w:color w:val="auto"/>
          <w:sz w:val="24"/>
          <w:szCs w:val="24"/>
        </w:rPr>
      </w:pPr>
      <w:r>
        <w:rPr>
          <w:color w:val="auto"/>
          <w:sz w:val="24"/>
          <w:szCs w:val="24"/>
        </w:rPr>
        <w:t>发包人为赶工提供的条件。</w:t>
      </w:r>
    </w:p>
    <w:p>
      <w:pPr>
        <w:pStyle w:val="45"/>
        <w:numPr>
          <w:ilvl w:val="0"/>
          <w:numId w:val="9"/>
        </w:numPr>
        <w:tabs>
          <w:tab w:val="left" w:pos="923"/>
        </w:tabs>
        <w:spacing w:after="280" w:line="360" w:lineRule="exact"/>
        <w:ind w:firstLine="440"/>
        <w:jc w:val="both"/>
        <w:rPr>
          <w:color w:val="auto"/>
          <w:sz w:val="24"/>
          <w:szCs w:val="24"/>
        </w:rPr>
      </w:pPr>
      <w:bookmarkStart w:id="549" w:name="bookmark1196"/>
      <w:bookmarkEnd w:id="549"/>
      <w:r>
        <w:rPr>
          <w:color w:val="auto"/>
          <w:sz w:val="24"/>
          <w:szCs w:val="24"/>
        </w:rPr>
        <w:t>赶工费用(包括利润和奖金)</w:t>
      </w:r>
    </w:p>
    <w:p>
      <w:pPr>
        <w:pStyle w:val="5"/>
        <w:spacing w:line="360" w:lineRule="exact"/>
        <w:rPr>
          <w:rFonts w:hint="eastAsia"/>
          <w:color w:val="auto"/>
          <w:sz w:val="24"/>
          <w:szCs w:val="24"/>
          <w:lang w:eastAsia="zh-CN"/>
        </w:rPr>
      </w:pPr>
      <w:bookmarkStart w:id="550" w:name="bookmark1199"/>
      <w:bookmarkStart w:id="551" w:name="_Toc1664070518"/>
      <w:bookmarkStart w:id="552" w:name="_Toc8400"/>
      <w:bookmarkStart w:id="553" w:name="_Toc20239"/>
      <w:bookmarkStart w:id="554" w:name="bookmark1198"/>
      <w:bookmarkStart w:id="555" w:name="bookmark1197"/>
      <w:r>
        <w:rPr>
          <w:rFonts w:hint="eastAsia"/>
          <w:color w:val="auto"/>
          <w:sz w:val="24"/>
          <w:szCs w:val="24"/>
          <w:lang w:eastAsia="zh-CN"/>
        </w:rPr>
        <w:t>12.暂停施工</w:t>
      </w:r>
      <w:bookmarkEnd w:id="550"/>
      <w:bookmarkEnd w:id="551"/>
      <w:bookmarkEnd w:id="552"/>
      <w:bookmarkEnd w:id="553"/>
      <w:bookmarkEnd w:id="554"/>
      <w:bookmarkEnd w:id="555"/>
    </w:p>
    <w:p>
      <w:pPr>
        <w:pStyle w:val="6"/>
        <w:ind w:left="0" w:leftChars="0" w:firstLine="0" w:firstLineChars="0"/>
        <w:jc w:val="both"/>
        <w:rPr>
          <w:color w:val="auto"/>
          <w:sz w:val="24"/>
          <w:szCs w:val="24"/>
          <w:lang w:eastAsia="zh-CN"/>
        </w:rPr>
      </w:pPr>
      <w:bookmarkStart w:id="556" w:name="bookmark1202"/>
      <w:bookmarkStart w:id="557" w:name="bookmark1201"/>
      <w:bookmarkStart w:id="558" w:name="bookmark1200"/>
      <w:bookmarkStart w:id="559" w:name="_Toc25279"/>
      <w:r>
        <w:rPr>
          <w:color w:val="auto"/>
          <w:sz w:val="24"/>
          <w:szCs w:val="24"/>
          <w:lang w:eastAsia="zh-CN"/>
        </w:rPr>
        <w:t>12.1承包人暂停施工的责任</w:t>
      </w:r>
      <w:bookmarkEnd w:id="556"/>
      <w:bookmarkEnd w:id="557"/>
      <w:bookmarkEnd w:id="558"/>
      <w:bookmarkEnd w:id="559"/>
    </w:p>
    <w:p>
      <w:pPr>
        <w:pStyle w:val="45"/>
        <w:spacing w:line="360" w:lineRule="exact"/>
        <w:ind w:firstLine="442"/>
        <w:jc w:val="both"/>
        <w:rPr>
          <w:color w:val="auto"/>
          <w:sz w:val="24"/>
          <w:szCs w:val="24"/>
        </w:rPr>
      </w:pPr>
      <w:r>
        <w:rPr>
          <w:color w:val="auto"/>
          <w:sz w:val="24"/>
          <w:szCs w:val="24"/>
        </w:rPr>
        <w:t>因下列暂停施工增加的费用和(或)工期延误由承包人承担：</w:t>
      </w:r>
    </w:p>
    <w:p>
      <w:pPr>
        <w:pStyle w:val="45"/>
        <w:numPr>
          <w:ilvl w:val="0"/>
          <w:numId w:val="10"/>
        </w:numPr>
        <w:tabs>
          <w:tab w:val="left" w:pos="923"/>
        </w:tabs>
        <w:spacing w:line="360" w:lineRule="exact"/>
        <w:ind w:firstLine="442"/>
        <w:jc w:val="both"/>
        <w:rPr>
          <w:color w:val="auto"/>
          <w:sz w:val="24"/>
          <w:szCs w:val="24"/>
        </w:rPr>
      </w:pPr>
      <w:bookmarkStart w:id="560" w:name="bookmark1203"/>
      <w:bookmarkEnd w:id="560"/>
      <w:r>
        <w:rPr>
          <w:color w:val="auto"/>
          <w:sz w:val="24"/>
          <w:szCs w:val="24"/>
        </w:rPr>
        <w:t>承包人违约引起的暂停施工；</w:t>
      </w:r>
    </w:p>
    <w:p>
      <w:pPr>
        <w:pStyle w:val="45"/>
        <w:numPr>
          <w:ilvl w:val="0"/>
          <w:numId w:val="10"/>
        </w:numPr>
        <w:tabs>
          <w:tab w:val="left" w:pos="923"/>
        </w:tabs>
        <w:spacing w:line="360" w:lineRule="exact"/>
        <w:ind w:firstLine="442"/>
        <w:jc w:val="both"/>
        <w:rPr>
          <w:color w:val="auto"/>
          <w:sz w:val="24"/>
          <w:szCs w:val="24"/>
        </w:rPr>
      </w:pPr>
      <w:bookmarkStart w:id="561" w:name="bookmark1204"/>
      <w:bookmarkEnd w:id="561"/>
      <w:r>
        <w:rPr>
          <w:color w:val="auto"/>
          <w:sz w:val="24"/>
          <w:szCs w:val="24"/>
        </w:rPr>
        <w:t>由于承包人原因为工程合理施工和安全保障所必需的暂停施工；</w:t>
      </w:r>
    </w:p>
    <w:p>
      <w:pPr>
        <w:pStyle w:val="45"/>
        <w:numPr>
          <w:ilvl w:val="0"/>
          <w:numId w:val="10"/>
        </w:numPr>
        <w:tabs>
          <w:tab w:val="left" w:pos="923"/>
        </w:tabs>
        <w:spacing w:line="360" w:lineRule="exact"/>
        <w:ind w:firstLine="442"/>
        <w:jc w:val="both"/>
        <w:rPr>
          <w:color w:val="auto"/>
          <w:sz w:val="24"/>
          <w:szCs w:val="24"/>
        </w:rPr>
      </w:pPr>
      <w:bookmarkStart w:id="562" w:name="bookmark1205"/>
      <w:bookmarkEnd w:id="562"/>
      <w:r>
        <w:rPr>
          <w:color w:val="auto"/>
          <w:sz w:val="24"/>
          <w:szCs w:val="24"/>
        </w:rPr>
        <w:t>承包人擅自暂停施工；</w:t>
      </w:r>
    </w:p>
    <w:p>
      <w:pPr>
        <w:pStyle w:val="45"/>
        <w:numPr>
          <w:ilvl w:val="0"/>
          <w:numId w:val="10"/>
        </w:numPr>
        <w:tabs>
          <w:tab w:val="left" w:pos="923"/>
        </w:tabs>
        <w:spacing w:line="360" w:lineRule="exact"/>
        <w:ind w:firstLine="442"/>
        <w:jc w:val="both"/>
        <w:rPr>
          <w:color w:val="auto"/>
          <w:sz w:val="24"/>
          <w:szCs w:val="24"/>
        </w:rPr>
      </w:pPr>
      <w:bookmarkStart w:id="563" w:name="bookmark1206"/>
      <w:bookmarkEnd w:id="563"/>
      <w:r>
        <w:rPr>
          <w:color w:val="auto"/>
          <w:sz w:val="24"/>
          <w:szCs w:val="24"/>
        </w:rPr>
        <w:t>承包人其他原因引起的暂停施工；</w:t>
      </w:r>
    </w:p>
    <w:p>
      <w:pPr>
        <w:pStyle w:val="45"/>
        <w:numPr>
          <w:ilvl w:val="0"/>
          <w:numId w:val="10"/>
        </w:numPr>
        <w:tabs>
          <w:tab w:val="left" w:pos="923"/>
        </w:tabs>
        <w:spacing w:after="120" w:line="360" w:lineRule="exact"/>
        <w:ind w:firstLine="442"/>
        <w:jc w:val="both"/>
        <w:rPr>
          <w:color w:val="auto"/>
          <w:sz w:val="24"/>
          <w:szCs w:val="24"/>
        </w:rPr>
      </w:pPr>
      <w:bookmarkStart w:id="564" w:name="bookmark1207"/>
      <w:bookmarkEnd w:id="564"/>
      <w:r>
        <w:rPr>
          <w:color w:val="auto"/>
          <w:sz w:val="24"/>
          <w:szCs w:val="24"/>
        </w:rPr>
        <w:t>专用合同条款约定由承包人承担的其他暂停施工。</w:t>
      </w:r>
    </w:p>
    <w:p>
      <w:pPr>
        <w:pStyle w:val="6"/>
        <w:ind w:left="0" w:leftChars="0" w:firstLine="0" w:firstLineChars="0"/>
        <w:jc w:val="both"/>
        <w:rPr>
          <w:color w:val="auto"/>
          <w:sz w:val="24"/>
          <w:szCs w:val="24"/>
          <w:lang w:eastAsia="zh-CN"/>
        </w:rPr>
      </w:pPr>
      <w:bookmarkStart w:id="565" w:name="bookmark1209"/>
      <w:bookmarkStart w:id="566" w:name="bookmark1210"/>
      <w:bookmarkStart w:id="567" w:name="_Toc19655"/>
      <w:bookmarkStart w:id="568" w:name="bookmark1208"/>
      <w:r>
        <w:rPr>
          <w:color w:val="auto"/>
          <w:sz w:val="24"/>
          <w:szCs w:val="24"/>
          <w:lang w:eastAsia="zh-CN"/>
        </w:rPr>
        <w:t>12.2发包人暂停施工的责任</w:t>
      </w:r>
      <w:bookmarkEnd w:id="565"/>
      <w:bookmarkEnd w:id="566"/>
      <w:bookmarkEnd w:id="567"/>
      <w:bookmarkEnd w:id="568"/>
    </w:p>
    <w:p>
      <w:pPr>
        <w:pStyle w:val="45"/>
        <w:spacing w:line="360" w:lineRule="exact"/>
        <w:ind w:firstLine="442"/>
        <w:jc w:val="both"/>
        <w:rPr>
          <w:color w:val="auto"/>
          <w:sz w:val="24"/>
          <w:szCs w:val="24"/>
        </w:rPr>
      </w:pPr>
      <w:r>
        <w:rPr>
          <w:color w:val="auto"/>
          <w:sz w:val="24"/>
          <w:szCs w:val="24"/>
        </w:rPr>
        <w:t>由于发包人原因引起的暂停施工造成工期延误的，承包人有权要求发包人延长工期和 (或)增加费用，并支付合理利润。属于下列任何一种情况引起的暂停施工，均为发包人的责任：</w:t>
      </w:r>
    </w:p>
    <w:p>
      <w:pPr>
        <w:pStyle w:val="45"/>
        <w:numPr>
          <w:ilvl w:val="0"/>
          <w:numId w:val="11"/>
        </w:numPr>
        <w:tabs>
          <w:tab w:val="left" w:pos="923"/>
        </w:tabs>
        <w:spacing w:line="360" w:lineRule="exact"/>
        <w:ind w:firstLine="442"/>
        <w:jc w:val="both"/>
        <w:rPr>
          <w:color w:val="auto"/>
          <w:sz w:val="24"/>
          <w:szCs w:val="24"/>
        </w:rPr>
      </w:pPr>
      <w:bookmarkStart w:id="569" w:name="bookmark1211"/>
      <w:bookmarkEnd w:id="569"/>
      <w:r>
        <w:rPr>
          <w:color w:val="auto"/>
          <w:sz w:val="24"/>
          <w:szCs w:val="24"/>
        </w:rPr>
        <w:t>由于发包人违约引起的暂停施工。</w:t>
      </w:r>
    </w:p>
    <w:p>
      <w:pPr>
        <w:pStyle w:val="45"/>
        <w:numPr>
          <w:ilvl w:val="0"/>
          <w:numId w:val="11"/>
        </w:numPr>
        <w:tabs>
          <w:tab w:val="left" w:pos="923"/>
        </w:tabs>
        <w:spacing w:line="360" w:lineRule="exact"/>
        <w:ind w:firstLine="442"/>
        <w:jc w:val="both"/>
        <w:rPr>
          <w:color w:val="auto"/>
          <w:sz w:val="24"/>
          <w:szCs w:val="24"/>
        </w:rPr>
      </w:pPr>
      <w:bookmarkStart w:id="570" w:name="bookmark1212"/>
      <w:bookmarkEnd w:id="570"/>
      <w:r>
        <w:rPr>
          <w:color w:val="auto"/>
          <w:sz w:val="24"/>
          <w:szCs w:val="24"/>
        </w:rPr>
        <w:t>由于不可抗力的自然或社会因素引起的暂停施工。</w:t>
      </w:r>
    </w:p>
    <w:p>
      <w:pPr>
        <w:pStyle w:val="45"/>
        <w:numPr>
          <w:ilvl w:val="0"/>
          <w:numId w:val="11"/>
        </w:numPr>
        <w:tabs>
          <w:tab w:val="left" w:pos="923"/>
        </w:tabs>
        <w:spacing w:after="120" w:line="360" w:lineRule="exact"/>
        <w:ind w:firstLine="442"/>
        <w:jc w:val="both"/>
        <w:rPr>
          <w:color w:val="auto"/>
          <w:sz w:val="24"/>
          <w:szCs w:val="24"/>
        </w:rPr>
      </w:pPr>
      <w:bookmarkStart w:id="571" w:name="bookmark1213"/>
      <w:bookmarkEnd w:id="571"/>
      <w:r>
        <w:rPr>
          <w:color w:val="auto"/>
          <w:sz w:val="24"/>
          <w:szCs w:val="24"/>
        </w:rPr>
        <w:t>专用合同条款中约定的其它由于发包人原因引起的暂停施工。</w:t>
      </w:r>
    </w:p>
    <w:p>
      <w:pPr>
        <w:pStyle w:val="6"/>
        <w:ind w:left="0" w:leftChars="0" w:firstLine="0" w:firstLineChars="0"/>
        <w:rPr>
          <w:color w:val="auto"/>
          <w:sz w:val="24"/>
          <w:szCs w:val="24"/>
          <w:lang w:eastAsia="zh-CN"/>
        </w:rPr>
      </w:pPr>
      <w:bookmarkStart w:id="572" w:name="bookmark1215"/>
      <w:bookmarkStart w:id="573" w:name="bookmark1214"/>
      <w:bookmarkStart w:id="574" w:name="bookmark1216"/>
      <w:bookmarkStart w:id="575" w:name="_Toc4901"/>
      <w:r>
        <w:rPr>
          <w:color w:val="auto"/>
          <w:sz w:val="24"/>
          <w:szCs w:val="24"/>
          <w:lang w:eastAsia="zh-CN"/>
        </w:rPr>
        <w:t>12.3监理人暂停施工指示</w:t>
      </w:r>
      <w:bookmarkEnd w:id="572"/>
      <w:bookmarkEnd w:id="573"/>
      <w:bookmarkEnd w:id="574"/>
      <w:bookmarkEnd w:id="575"/>
    </w:p>
    <w:p>
      <w:pPr>
        <w:pStyle w:val="45"/>
        <w:spacing w:line="359"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12.3.1</w:t>
      </w:r>
      <w:r>
        <w:rPr>
          <w:color w:val="auto"/>
          <w:sz w:val="24"/>
          <w:szCs w:val="24"/>
        </w:rPr>
        <w:t>监理人认为有必要时，可向承包人作出暂停施工的指示，承包人应按监理人指示暂停施工。不论由于何种原因引起的暂停施工，暂停施工期间承包人应负责妥善保护工程并提供安全保障。</w:t>
      </w:r>
    </w:p>
    <w:p>
      <w:pPr>
        <w:pStyle w:val="45"/>
        <w:spacing w:after="120" w:line="359"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12.3.2</w:t>
      </w:r>
      <w:r>
        <w:rPr>
          <w:color w:val="auto"/>
          <w:sz w:val="24"/>
          <w:szCs w:val="24"/>
        </w:rPr>
        <w:t>由于发包人的原因发生暂停施工的紧急情况，且监理人未及时下达暂停施工指示的，承包人可先暂停施工，并及时向监理人提出暂停施工的书面请求。监理人应在接到书面请求后的</w:t>
      </w:r>
      <w:r>
        <w:rPr>
          <w:rFonts w:ascii="Times New Roman" w:hAnsi="Times New Roman" w:eastAsia="Times New Roman" w:cs="Times New Roman"/>
          <w:color w:val="auto"/>
          <w:sz w:val="24"/>
          <w:szCs w:val="24"/>
        </w:rPr>
        <w:t>24</w:t>
      </w:r>
      <w:r>
        <w:rPr>
          <w:color w:val="auto"/>
          <w:sz w:val="24"/>
          <w:szCs w:val="24"/>
        </w:rPr>
        <w:t>小时内予以答复，逾期未答复的，视为同意承包人的暂停施工请求。</w:t>
      </w:r>
    </w:p>
    <w:p>
      <w:pPr>
        <w:pStyle w:val="6"/>
        <w:ind w:left="0" w:leftChars="0" w:firstLine="0" w:firstLineChars="0"/>
        <w:rPr>
          <w:color w:val="auto"/>
          <w:sz w:val="24"/>
          <w:szCs w:val="24"/>
          <w:lang w:eastAsia="zh-CN"/>
        </w:rPr>
      </w:pPr>
      <w:bookmarkStart w:id="576" w:name="bookmark1217"/>
      <w:bookmarkStart w:id="577" w:name="_Toc14048"/>
      <w:bookmarkStart w:id="578" w:name="bookmark1219"/>
      <w:bookmarkStart w:id="579" w:name="bookmark1218"/>
      <w:r>
        <w:rPr>
          <w:color w:val="auto"/>
          <w:sz w:val="24"/>
          <w:szCs w:val="24"/>
          <w:lang w:eastAsia="zh-CN"/>
        </w:rPr>
        <w:t>12.4暂停施工后的复工</w:t>
      </w:r>
      <w:bookmarkEnd w:id="576"/>
      <w:bookmarkEnd w:id="577"/>
      <w:bookmarkEnd w:id="578"/>
      <w:bookmarkEnd w:id="579"/>
    </w:p>
    <w:p>
      <w:pPr>
        <w:pStyle w:val="45"/>
        <w:spacing w:after="120" w:line="359" w:lineRule="exact"/>
        <w:ind w:firstLine="440"/>
        <w:jc w:val="both"/>
        <w:rPr>
          <w:rFonts w:ascii="Times New Roman" w:hAnsi="Times New Roman" w:cs="Times New Roman"/>
          <w:color w:val="auto"/>
          <w:sz w:val="24"/>
          <w:szCs w:val="24"/>
        </w:rPr>
      </w:pPr>
      <w:bookmarkStart w:id="580" w:name="bookmark1220"/>
      <w:bookmarkEnd w:id="580"/>
      <w:r>
        <w:rPr>
          <w:rFonts w:ascii="Times New Roman" w:hAnsi="Times New Roman" w:cs="Times New Roman"/>
          <w:color w:val="auto"/>
          <w:sz w:val="24"/>
          <w:szCs w:val="24"/>
        </w:rPr>
        <w:t>12.4.1暂停施工后，监理人应与发包人和承包人协商，采取有效措施积极消除暂停施工的影响。当工程具备复工条件时，监理人应立即向承包人发出复工通知。承包人收到复工通知后，应在监理人指定的期限内复工。</w:t>
      </w:r>
    </w:p>
    <w:p>
      <w:pPr>
        <w:pStyle w:val="45"/>
        <w:spacing w:after="120" w:line="359" w:lineRule="exact"/>
        <w:ind w:firstLine="440"/>
        <w:jc w:val="both"/>
        <w:rPr>
          <w:color w:val="auto"/>
          <w:sz w:val="24"/>
          <w:szCs w:val="24"/>
        </w:rPr>
      </w:pPr>
      <w:bookmarkStart w:id="581" w:name="bookmark1221"/>
      <w:bookmarkEnd w:id="581"/>
      <w:r>
        <w:rPr>
          <w:rFonts w:ascii="Times New Roman" w:hAnsi="Times New Roman" w:cs="Times New Roman"/>
          <w:color w:val="auto"/>
          <w:sz w:val="24"/>
          <w:szCs w:val="24"/>
        </w:rPr>
        <w:t>12</w:t>
      </w:r>
      <w:r>
        <w:rPr>
          <w:rFonts w:hint="eastAsia" w:ascii="Times New Roman" w:hAnsi="Times New Roman" w:cs="Times New Roman"/>
          <w:color w:val="auto"/>
          <w:sz w:val="24"/>
          <w:szCs w:val="24"/>
          <w:lang w:val="en-US"/>
        </w:rPr>
        <w:t>.4.</w:t>
      </w:r>
      <w:r>
        <w:rPr>
          <w:rFonts w:ascii="Times New Roman" w:hAnsi="Times New Roman" w:cs="Times New Roman"/>
          <w:color w:val="auto"/>
          <w:sz w:val="24"/>
          <w:szCs w:val="24"/>
        </w:rPr>
        <w:t>2承</w:t>
      </w:r>
      <w:r>
        <w:rPr>
          <w:color w:val="auto"/>
          <w:sz w:val="24"/>
          <w:szCs w:val="24"/>
        </w:rPr>
        <w:t>包人无故拖延和拒绝复工的，由此增加的费用和工期延误由承包人承担</w:t>
      </w:r>
      <w:r>
        <w:rPr>
          <w:rFonts w:hint="eastAsia"/>
          <w:color w:val="auto"/>
          <w:sz w:val="24"/>
          <w:szCs w:val="24"/>
        </w:rPr>
        <w:t>；</w:t>
      </w:r>
      <w:r>
        <w:rPr>
          <w:color w:val="auto"/>
          <w:sz w:val="24"/>
          <w:szCs w:val="24"/>
        </w:rPr>
        <w:t>因发包人原因无法按时复工的，承包人有权要求发包人延长工期和(或)增加费用，并支付合理利润。</w:t>
      </w:r>
    </w:p>
    <w:p>
      <w:pPr>
        <w:pStyle w:val="6"/>
        <w:ind w:left="0" w:leftChars="0" w:firstLine="0" w:firstLineChars="0"/>
        <w:rPr>
          <w:color w:val="auto"/>
          <w:sz w:val="24"/>
          <w:szCs w:val="24"/>
          <w:lang w:eastAsia="zh-CN"/>
        </w:rPr>
      </w:pPr>
      <w:bookmarkStart w:id="582" w:name="bookmark1195"/>
      <w:bookmarkEnd w:id="582"/>
      <w:bookmarkStart w:id="583" w:name="_Toc6811"/>
      <w:bookmarkStart w:id="584" w:name="bookmark1223"/>
      <w:bookmarkStart w:id="585" w:name="bookmark1224"/>
      <w:bookmarkStart w:id="586" w:name="bookmark1222"/>
      <w:r>
        <w:rPr>
          <w:color w:val="auto"/>
          <w:sz w:val="24"/>
          <w:szCs w:val="24"/>
          <w:lang w:eastAsia="zh-CN"/>
        </w:rPr>
        <w:t>12.5暂停施工持续56天以上</w:t>
      </w:r>
      <w:bookmarkEnd w:id="583"/>
      <w:bookmarkEnd w:id="584"/>
      <w:bookmarkEnd w:id="585"/>
      <w:bookmarkEnd w:id="586"/>
    </w:p>
    <w:p>
      <w:pPr>
        <w:pStyle w:val="45"/>
        <w:spacing w:line="365"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12.5.1</w:t>
      </w:r>
      <w:r>
        <w:rPr>
          <w:color w:val="auto"/>
          <w:sz w:val="24"/>
          <w:szCs w:val="24"/>
        </w:rPr>
        <w:t>监理人发出暂停施工指示后</w:t>
      </w:r>
      <w:r>
        <w:rPr>
          <w:rFonts w:ascii="Times New Roman" w:hAnsi="Times New Roman" w:eastAsia="Times New Roman" w:cs="Times New Roman"/>
          <w:color w:val="auto"/>
          <w:sz w:val="24"/>
          <w:szCs w:val="24"/>
        </w:rPr>
        <w:t>56</w:t>
      </w:r>
      <w:r>
        <w:rPr>
          <w:color w:val="auto"/>
          <w:sz w:val="24"/>
          <w:szCs w:val="24"/>
        </w:rPr>
        <w:t>天内未向承包人发出复工通知，除了该项停工属于第</w:t>
      </w:r>
      <w:r>
        <w:rPr>
          <w:rFonts w:ascii="Times New Roman" w:hAnsi="Times New Roman" w:eastAsia="Times New Roman" w:cs="Times New Roman"/>
          <w:color w:val="auto"/>
          <w:sz w:val="24"/>
          <w:szCs w:val="24"/>
          <w:lang w:val="en-US" w:bidi="en-US"/>
        </w:rPr>
        <w:t>12.1</w:t>
      </w:r>
      <w:r>
        <w:rPr>
          <w:color w:val="auto"/>
          <w:sz w:val="24"/>
          <w:szCs w:val="24"/>
        </w:rPr>
        <w:t xml:space="preserve">款的情况外，承包人可向监理人提交书面通知，要求监理人在收到书面通知后 </w:t>
      </w:r>
      <w:r>
        <w:rPr>
          <w:rFonts w:ascii="Times New Roman" w:hAnsi="Times New Roman" w:eastAsia="Times New Roman" w:cs="Times New Roman"/>
          <w:color w:val="auto"/>
          <w:sz w:val="24"/>
          <w:szCs w:val="24"/>
        </w:rPr>
        <w:t>28</w:t>
      </w:r>
      <w:r>
        <w:rPr>
          <w:color w:val="auto"/>
          <w:sz w:val="24"/>
          <w:szCs w:val="24"/>
        </w:rPr>
        <w:t>天内准许已暂停施工的工程或其中一部分工程继续施工。如监理人逾期不予批准，则承包人可以通知监理人，将工程受影响的部分视为按第</w:t>
      </w:r>
      <w:r>
        <w:rPr>
          <w:rFonts w:ascii="Times New Roman" w:hAnsi="Times New Roman" w:eastAsia="Times New Roman" w:cs="Times New Roman"/>
          <w:color w:val="auto"/>
          <w:sz w:val="24"/>
          <w:szCs w:val="24"/>
          <w:lang w:val="en-US" w:bidi="en-US"/>
        </w:rPr>
        <w:t xml:space="preserve">15.1 </w:t>
      </w:r>
      <w:r>
        <w:rPr>
          <w:rFonts w:ascii="Times New Roman" w:hAnsi="Times New Roman" w:eastAsia="Times New Roman" w:cs="Times New Roman"/>
          <w:color w:val="auto"/>
          <w:sz w:val="24"/>
          <w:szCs w:val="24"/>
        </w:rPr>
        <w:t>(1)</w:t>
      </w:r>
      <w:r>
        <w:rPr>
          <w:color w:val="auto"/>
          <w:sz w:val="24"/>
          <w:szCs w:val="24"/>
        </w:rPr>
        <w:t>项的可取消工作。如暂停 施工影响到整个工程，可视为发包人违约，应按第</w:t>
      </w:r>
      <w:r>
        <w:rPr>
          <w:rFonts w:ascii="Times New Roman" w:hAnsi="Times New Roman" w:eastAsia="Times New Roman" w:cs="Times New Roman"/>
          <w:color w:val="auto"/>
          <w:sz w:val="24"/>
          <w:szCs w:val="24"/>
          <w:lang w:val="en-US" w:bidi="en-US"/>
        </w:rPr>
        <w:t xml:space="preserve">22. </w:t>
      </w:r>
      <w:r>
        <w:rPr>
          <w:rFonts w:ascii="Times New Roman" w:hAnsi="Times New Roman" w:eastAsia="Times New Roman" w:cs="Times New Roman"/>
          <w:color w:val="auto"/>
          <w:sz w:val="24"/>
          <w:szCs w:val="24"/>
        </w:rPr>
        <w:t>2</w:t>
      </w:r>
      <w:r>
        <w:rPr>
          <w:color w:val="auto"/>
          <w:sz w:val="24"/>
          <w:szCs w:val="24"/>
        </w:rPr>
        <w:t>款的约定办理。</w:t>
      </w:r>
    </w:p>
    <w:p>
      <w:pPr>
        <w:pStyle w:val="45"/>
        <w:spacing w:after="280" w:line="37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12.5.2</w:t>
      </w:r>
      <w:r>
        <w:rPr>
          <w:color w:val="auto"/>
          <w:sz w:val="24"/>
          <w:szCs w:val="24"/>
        </w:rPr>
        <w:t>由于承包人责任引起的暂停施工，如承包人在收到监理人暂停施工指示后</w:t>
      </w:r>
      <w:r>
        <w:rPr>
          <w:rFonts w:ascii="Times New Roman" w:hAnsi="Times New Roman" w:eastAsia="Times New Roman" w:cs="Times New Roman"/>
          <w:color w:val="auto"/>
          <w:sz w:val="24"/>
          <w:szCs w:val="24"/>
        </w:rPr>
        <w:t xml:space="preserve">56 </w:t>
      </w:r>
      <w:r>
        <w:rPr>
          <w:color w:val="auto"/>
          <w:sz w:val="24"/>
          <w:szCs w:val="24"/>
        </w:rPr>
        <w:t>天内不认真采取有效的复工措施，造成工期延误，可视为承包人违约，应按第</w:t>
      </w:r>
      <w:r>
        <w:rPr>
          <w:rFonts w:ascii="Times New Roman" w:hAnsi="Times New Roman" w:eastAsia="Times New Roman" w:cs="Times New Roman"/>
          <w:color w:val="auto"/>
          <w:sz w:val="24"/>
          <w:szCs w:val="24"/>
          <w:lang w:val="en-US" w:bidi="en-US"/>
        </w:rPr>
        <w:t>22.1</w:t>
      </w:r>
      <w:r>
        <w:rPr>
          <w:color w:val="auto"/>
          <w:sz w:val="24"/>
          <w:szCs w:val="24"/>
        </w:rPr>
        <w:t>款的约定办理。</w:t>
      </w:r>
    </w:p>
    <w:p>
      <w:pPr>
        <w:pStyle w:val="5"/>
        <w:spacing w:line="360" w:lineRule="exact"/>
        <w:rPr>
          <w:rFonts w:hint="eastAsia"/>
          <w:color w:val="auto"/>
          <w:sz w:val="24"/>
          <w:szCs w:val="24"/>
          <w:lang w:eastAsia="zh-CN"/>
        </w:rPr>
      </w:pPr>
      <w:bookmarkStart w:id="587" w:name="_Toc10322"/>
      <w:bookmarkStart w:id="588" w:name="_Toc1332438160"/>
      <w:bookmarkStart w:id="589" w:name="bookmark1227"/>
      <w:bookmarkStart w:id="590" w:name="_Toc23975"/>
      <w:bookmarkStart w:id="591" w:name="bookmark1225"/>
      <w:bookmarkStart w:id="592" w:name="bookmark1226"/>
      <w:r>
        <w:rPr>
          <w:rFonts w:hint="eastAsia"/>
          <w:color w:val="auto"/>
          <w:sz w:val="24"/>
          <w:szCs w:val="24"/>
          <w:lang w:eastAsia="zh-CN"/>
        </w:rPr>
        <w:t>13.工程质量</w:t>
      </w:r>
      <w:bookmarkEnd w:id="587"/>
      <w:bookmarkEnd w:id="588"/>
      <w:bookmarkEnd w:id="589"/>
      <w:bookmarkEnd w:id="590"/>
      <w:bookmarkEnd w:id="591"/>
      <w:bookmarkEnd w:id="592"/>
    </w:p>
    <w:p>
      <w:pPr>
        <w:pStyle w:val="6"/>
        <w:ind w:left="0" w:leftChars="0" w:firstLine="0" w:firstLineChars="0"/>
        <w:rPr>
          <w:color w:val="auto"/>
          <w:sz w:val="24"/>
          <w:szCs w:val="24"/>
          <w:lang w:eastAsia="zh-CN"/>
        </w:rPr>
      </w:pPr>
      <w:bookmarkStart w:id="593" w:name="bookmark1228"/>
      <w:bookmarkStart w:id="594" w:name="_Toc9064"/>
      <w:bookmarkStart w:id="595" w:name="bookmark1230"/>
      <w:bookmarkStart w:id="596" w:name="bookmark1229"/>
      <w:r>
        <w:rPr>
          <w:color w:val="auto"/>
          <w:sz w:val="24"/>
          <w:szCs w:val="24"/>
          <w:lang w:eastAsia="zh-CN"/>
        </w:rPr>
        <w:t>13.1工程质量要求</w:t>
      </w:r>
      <w:bookmarkEnd w:id="593"/>
      <w:bookmarkEnd w:id="594"/>
      <w:bookmarkEnd w:id="595"/>
      <w:bookmarkEnd w:id="596"/>
    </w:p>
    <w:p>
      <w:pPr>
        <w:pStyle w:val="45"/>
        <w:tabs>
          <w:tab w:val="left" w:pos="820"/>
        </w:tabs>
        <w:spacing w:line="374" w:lineRule="exact"/>
        <w:ind w:left="420" w:firstLine="0"/>
        <w:jc w:val="both"/>
        <w:rPr>
          <w:color w:val="auto"/>
          <w:sz w:val="24"/>
          <w:szCs w:val="24"/>
        </w:rPr>
      </w:pPr>
      <w:bookmarkStart w:id="597" w:name="bookmark1231"/>
      <w:bookmarkEnd w:id="597"/>
      <w:r>
        <w:rPr>
          <w:rFonts w:ascii="Times New Roman" w:hAnsi="Times New Roman" w:eastAsia="Times New Roman" w:cs="Times New Roman"/>
          <w:color w:val="auto"/>
          <w:sz w:val="24"/>
          <w:szCs w:val="24"/>
          <w:lang w:val="en-US" w:bidi="en-US"/>
        </w:rPr>
        <w:t xml:space="preserve">13.1. </w:t>
      </w:r>
      <w:r>
        <w:rPr>
          <w:rFonts w:ascii="Times New Roman" w:hAnsi="Times New Roman" w:eastAsia="Times New Roman" w:cs="Times New Roman"/>
          <w:color w:val="auto"/>
          <w:sz w:val="24"/>
          <w:szCs w:val="24"/>
        </w:rPr>
        <w:t>1</w:t>
      </w:r>
      <w:r>
        <w:rPr>
          <w:color w:val="auto"/>
          <w:sz w:val="24"/>
          <w:szCs w:val="24"/>
        </w:rPr>
        <w:t>工程质量验收按合同约定验收标准执行。</w:t>
      </w:r>
    </w:p>
    <w:p>
      <w:pPr>
        <w:pStyle w:val="45"/>
        <w:spacing w:line="374"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13.1.2</w:t>
      </w:r>
      <w:r>
        <w:rPr>
          <w:color w:val="auto"/>
          <w:sz w:val="24"/>
          <w:szCs w:val="24"/>
        </w:rPr>
        <w:t>因承包人原因造成工程质量达不到合同约定验收标准的，监理人有权要求承包人返工直至符合合同要求为止，由此造成的费用增加和（或）工期延误由承包人承担。</w:t>
      </w:r>
    </w:p>
    <w:p>
      <w:pPr>
        <w:pStyle w:val="45"/>
        <w:spacing w:after="160" w:line="37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13.1.3</w:t>
      </w:r>
      <w:r>
        <w:rPr>
          <w:color w:val="auto"/>
          <w:sz w:val="24"/>
          <w:szCs w:val="24"/>
        </w:rPr>
        <w:t>因发包人原因造成工程质量达不到合同约定验收标准的，发包人应承担由于承包人返工造成的费用增加和（或）工期延误，并支付承包人合理利润。</w:t>
      </w:r>
    </w:p>
    <w:p>
      <w:pPr>
        <w:pStyle w:val="6"/>
        <w:ind w:left="0" w:leftChars="0" w:firstLine="0" w:firstLineChars="0"/>
        <w:rPr>
          <w:color w:val="auto"/>
          <w:sz w:val="24"/>
          <w:szCs w:val="24"/>
          <w:lang w:eastAsia="zh-CN"/>
        </w:rPr>
      </w:pPr>
      <w:bookmarkStart w:id="598" w:name="bookmark1232"/>
      <w:bookmarkStart w:id="599" w:name="bookmark1234"/>
      <w:bookmarkStart w:id="600" w:name="_Toc6308"/>
      <w:bookmarkStart w:id="601" w:name="bookmark1233"/>
      <w:r>
        <w:rPr>
          <w:color w:val="auto"/>
          <w:sz w:val="24"/>
          <w:szCs w:val="24"/>
          <w:lang w:eastAsia="zh-CN"/>
        </w:rPr>
        <w:t>13.2承包人的质量管理</w:t>
      </w:r>
      <w:bookmarkEnd w:id="598"/>
      <w:bookmarkEnd w:id="599"/>
      <w:bookmarkEnd w:id="600"/>
      <w:bookmarkEnd w:id="601"/>
    </w:p>
    <w:p>
      <w:pPr>
        <w:pStyle w:val="45"/>
        <w:spacing w:line="361"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13.2.1</w:t>
      </w:r>
      <w:r>
        <w:rPr>
          <w:color w:val="auto"/>
          <w:sz w:val="24"/>
          <w:szCs w:val="24"/>
        </w:rPr>
        <w:t>承包人应在施工场地设置专门的质量检查机构，配备专职质量检查人员，建立完善的质量检查制度。承包人应按技术标准和要求（合同技术条款）约定的内容和期限, 编制工程质量保证措施文件，包括质量检查机构的组织和岗位责任、质量检查人员的组成、质量检查程序和实施细则等，提交监理人监批。监理人应在技术标准和要求（合同技术条 款）约定期限内批复承包人。</w:t>
      </w:r>
    </w:p>
    <w:p>
      <w:pPr>
        <w:pStyle w:val="45"/>
        <w:spacing w:after="240" w:line="361" w:lineRule="exact"/>
        <w:ind w:firstLine="440"/>
        <w:jc w:val="both"/>
        <w:rPr>
          <w:color w:val="auto"/>
          <w:sz w:val="24"/>
          <w:szCs w:val="24"/>
        </w:rPr>
      </w:pPr>
      <w:bookmarkStart w:id="602" w:name="bookmark1235"/>
      <w:bookmarkEnd w:id="602"/>
      <w:r>
        <w:rPr>
          <w:rFonts w:ascii="Times New Roman" w:hAnsi="Times New Roman" w:cs="Times New Roman"/>
          <w:color w:val="auto"/>
          <w:sz w:val="24"/>
          <w:szCs w:val="24"/>
        </w:rPr>
        <w:t>13.2. 2承包人应加强对施工人员的质量教育和技术培训，定期考核施工人员的劳动 技能，严格执行规范和操作规程</w:t>
      </w:r>
      <w:r>
        <w:rPr>
          <w:color w:val="auto"/>
          <w:sz w:val="24"/>
          <w:szCs w:val="24"/>
        </w:rPr>
        <w:t>。</w:t>
      </w:r>
    </w:p>
    <w:p>
      <w:pPr>
        <w:pStyle w:val="6"/>
        <w:ind w:left="0" w:leftChars="0" w:firstLine="0" w:firstLineChars="0"/>
        <w:rPr>
          <w:color w:val="auto"/>
          <w:sz w:val="24"/>
          <w:szCs w:val="24"/>
          <w:lang w:eastAsia="zh-CN"/>
        </w:rPr>
      </w:pPr>
      <w:bookmarkStart w:id="603" w:name="_Toc19429"/>
      <w:bookmarkStart w:id="604" w:name="bookmark1237"/>
      <w:bookmarkStart w:id="605" w:name="bookmark1236"/>
      <w:bookmarkStart w:id="606" w:name="bookmark1238"/>
      <w:r>
        <w:rPr>
          <w:color w:val="auto"/>
          <w:sz w:val="24"/>
          <w:szCs w:val="24"/>
          <w:lang w:eastAsia="zh-CN"/>
        </w:rPr>
        <w:t>13.3承包人的质量检查</w:t>
      </w:r>
      <w:bookmarkEnd w:id="603"/>
      <w:bookmarkEnd w:id="604"/>
      <w:bookmarkEnd w:id="605"/>
      <w:bookmarkEnd w:id="606"/>
    </w:p>
    <w:p>
      <w:pPr>
        <w:pStyle w:val="45"/>
        <w:spacing w:after="160" w:line="362" w:lineRule="exact"/>
        <w:ind w:firstLine="440"/>
        <w:jc w:val="both"/>
        <w:rPr>
          <w:color w:val="auto"/>
          <w:sz w:val="24"/>
          <w:szCs w:val="24"/>
        </w:rPr>
      </w:pPr>
      <w:r>
        <w:rPr>
          <w:color w:val="auto"/>
          <w:sz w:val="24"/>
          <w:szCs w:val="24"/>
        </w:rPr>
        <w:t>承包人应按合同约定对材料、工程设备以及工程的所有部位及其施工工艺进行全过程的质量检查和检验，并作详细记录，编制工程质量报表，报送监理人审查。</w:t>
      </w:r>
    </w:p>
    <w:p>
      <w:pPr>
        <w:pStyle w:val="6"/>
        <w:ind w:left="0" w:leftChars="0" w:firstLine="0" w:firstLineChars="0"/>
        <w:rPr>
          <w:color w:val="auto"/>
          <w:sz w:val="24"/>
          <w:szCs w:val="24"/>
          <w:lang w:eastAsia="zh-CN"/>
        </w:rPr>
      </w:pPr>
      <w:bookmarkStart w:id="607" w:name="_Toc26103"/>
      <w:bookmarkStart w:id="608" w:name="bookmark1240"/>
      <w:bookmarkStart w:id="609" w:name="bookmark1241"/>
      <w:bookmarkStart w:id="610" w:name="bookmark1239"/>
      <w:r>
        <w:rPr>
          <w:color w:val="auto"/>
          <w:sz w:val="24"/>
          <w:szCs w:val="24"/>
          <w:lang w:eastAsia="zh-CN"/>
        </w:rPr>
        <w:t>13.4监理人的质量检查</w:t>
      </w:r>
      <w:bookmarkEnd w:id="607"/>
      <w:bookmarkEnd w:id="608"/>
      <w:bookmarkEnd w:id="609"/>
      <w:bookmarkEnd w:id="610"/>
    </w:p>
    <w:p>
      <w:pPr>
        <w:pStyle w:val="45"/>
        <w:spacing w:after="160" w:line="359" w:lineRule="exact"/>
        <w:ind w:firstLine="440"/>
        <w:jc w:val="both"/>
        <w:rPr>
          <w:color w:val="auto"/>
          <w:sz w:val="24"/>
          <w:szCs w:val="24"/>
        </w:rPr>
      </w:pPr>
      <w:r>
        <w:rPr>
          <w:color w:val="auto"/>
          <w:sz w:val="24"/>
          <w:szCs w:val="24"/>
        </w:rPr>
        <w:t>监理人有权对工程的所有部位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pPr>
        <w:pStyle w:val="6"/>
        <w:ind w:left="0" w:leftChars="0" w:firstLine="0" w:firstLineChars="0"/>
        <w:rPr>
          <w:color w:val="auto"/>
          <w:sz w:val="24"/>
          <w:szCs w:val="24"/>
          <w:lang w:eastAsia="zh-CN"/>
        </w:rPr>
      </w:pPr>
      <w:bookmarkStart w:id="611" w:name="bookmark1242"/>
      <w:bookmarkStart w:id="612" w:name="_Toc30255"/>
      <w:bookmarkStart w:id="613" w:name="bookmark1244"/>
      <w:bookmarkStart w:id="614" w:name="bookmark1243"/>
      <w:r>
        <w:rPr>
          <w:color w:val="auto"/>
          <w:sz w:val="24"/>
          <w:szCs w:val="24"/>
          <w:lang w:eastAsia="zh-CN"/>
        </w:rPr>
        <w:t>13.5工程隐蔽部位覆盖前的检查</w:t>
      </w:r>
      <w:bookmarkEnd w:id="611"/>
      <w:bookmarkEnd w:id="612"/>
      <w:bookmarkEnd w:id="613"/>
      <w:bookmarkEnd w:id="614"/>
    </w:p>
    <w:p>
      <w:pPr>
        <w:pStyle w:val="45"/>
        <w:tabs>
          <w:tab w:val="left" w:pos="840"/>
        </w:tabs>
        <w:spacing w:line="360" w:lineRule="exact"/>
        <w:ind w:firstLine="480" w:firstLineChars="200"/>
        <w:jc w:val="both"/>
        <w:rPr>
          <w:color w:val="auto"/>
          <w:sz w:val="24"/>
          <w:szCs w:val="24"/>
        </w:rPr>
      </w:pPr>
      <w:bookmarkStart w:id="615" w:name="bookmark1245"/>
      <w:bookmarkEnd w:id="615"/>
      <w:r>
        <w:rPr>
          <w:rFonts w:hint="eastAsia" w:ascii="Times New Roman" w:hAnsi="Times New Roman" w:cs="Times New Roman"/>
          <w:color w:val="auto"/>
          <w:sz w:val="24"/>
          <w:szCs w:val="24"/>
          <w:lang w:val="en-US" w:bidi="en-US"/>
        </w:rPr>
        <w:t>13.</w:t>
      </w:r>
      <w:r>
        <w:rPr>
          <w:rFonts w:ascii="Times New Roman" w:hAnsi="Times New Roman" w:eastAsia="Times New Roman" w:cs="Times New Roman"/>
          <w:color w:val="auto"/>
          <w:sz w:val="24"/>
          <w:szCs w:val="24"/>
          <w:lang w:val="en-US" w:bidi="en-US"/>
        </w:rPr>
        <w:t xml:space="preserve">5. </w:t>
      </w:r>
      <w:r>
        <w:rPr>
          <w:rFonts w:ascii="Times New Roman" w:hAnsi="Times New Roman" w:eastAsia="Times New Roman" w:cs="Times New Roman"/>
          <w:color w:val="auto"/>
          <w:sz w:val="24"/>
          <w:szCs w:val="24"/>
        </w:rPr>
        <w:t>1</w:t>
      </w:r>
      <w:r>
        <w:rPr>
          <w:color w:val="auto"/>
          <w:sz w:val="24"/>
          <w:szCs w:val="24"/>
        </w:rPr>
        <w:t>通知监理人检查</w:t>
      </w:r>
    </w:p>
    <w:p>
      <w:pPr>
        <w:pStyle w:val="45"/>
        <w:spacing w:after="160" w:line="360" w:lineRule="exact"/>
        <w:ind w:firstLine="440"/>
        <w:jc w:val="both"/>
        <w:rPr>
          <w:color w:val="auto"/>
          <w:sz w:val="24"/>
          <w:szCs w:val="24"/>
        </w:rPr>
      </w:pPr>
      <w:r>
        <w:rPr>
          <w:color w:val="auto"/>
          <w:sz w:val="24"/>
          <w:szCs w:val="24"/>
        </w:rPr>
        <w:t>经承包人自检确认的工程隐蔽部位具备覆盖条件后，承包人应通知监理人在约定的期 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13.5.2</w:t>
      </w:r>
      <w:r>
        <w:rPr>
          <w:color w:val="auto"/>
          <w:sz w:val="24"/>
          <w:szCs w:val="24"/>
        </w:rPr>
        <w:t>监理人未到场检查</w:t>
      </w:r>
    </w:p>
    <w:p>
      <w:pPr>
        <w:pStyle w:val="45"/>
        <w:spacing w:line="360" w:lineRule="exact"/>
        <w:ind w:firstLine="440"/>
        <w:jc w:val="both"/>
        <w:rPr>
          <w:color w:val="auto"/>
          <w:sz w:val="24"/>
          <w:szCs w:val="24"/>
        </w:rPr>
      </w:pPr>
      <w:r>
        <w:rPr>
          <w:color w:val="auto"/>
          <w:sz w:val="24"/>
          <w:szCs w:val="24"/>
        </w:rPr>
        <w:t>监理人未按第</w:t>
      </w:r>
      <w:r>
        <w:rPr>
          <w:rFonts w:ascii="Times New Roman" w:hAnsi="Times New Roman" w:eastAsia="Times New Roman" w:cs="Times New Roman"/>
          <w:color w:val="auto"/>
          <w:sz w:val="24"/>
          <w:szCs w:val="24"/>
          <w:lang w:val="en-US" w:bidi="en-US"/>
        </w:rPr>
        <w:t>13.5.1</w:t>
      </w:r>
      <w:r>
        <w:rPr>
          <w:color w:val="auto"/>
          <w:sz w:val="24"/>
          <w:szCs w:val="24"/>
        </w:rPr>
        <w:t>项约定的时间进行检查的，除监理人另有指示外，承包人可自行完成覆盖工作，并作相应记录报送监理人，监理人应签字确认。监理人事后对检查记录有疑问的，可按第</w:t>
      </w:r>
      <w:r>
        <w:rPr>
          <w:rFonts w:ascii="Times New Roman" w:hAnsi="Times New Roman" w:eastAsia="Times New Roman" w:cs="Times New Roman"/>
          <w:color w:val="auto"/>
          <w:sz w:val="24"/>
          <w:szCs w:val="24"/>
          <w:lang w:val="en-US" w:bidi="en-US"/>
        </w:rPr>
        <w:t>13.5.3</w:t>
      </w:r>
      <w:r>
        <w:rPr>
          <w:color w:val="auto"/>
          <w:sz w:val="24"/>
          <w:szCs w:val="24"/>
        </w:rPr>
        <w:t>项的约定重新检查。</w:t>
      </w:r>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13.5.3</w:t>
      </w:r>
      <w:r>
        <w:rPr>
          <w:color w:val="auto"/>
          <w:sz w:val="24"/>
          <w:szCs w:val="24"/>
        </w:rPr>
        <w:t>监理人重新检查</w:t>
      </w:r>
    </w:p>
    <w:p>
      <w:pPr>
        <w:pStyle w:val="45"/>
        <w:spacing w:line="360" w:lineRule="exact"/>
        <w:ind w:firstLine="440"/>
        <w:jc w:val="both"/>
        <w:rPr>
          <w:color w:val="auto"/>
          <w:sz w:val="24"/>
          <w:szCs w:val="24"/>
        </w:rPr>
      </w:pPr>
      <w:r>
        <w:rPr>
          <w:color w:val="auto"/>
          <w:sz w:val="24"/>
          <w:szCs w:val="24"/>
        </w:rPr>
        <w:t>承包人按第</w:t>
      </w:r>
      <w:r>
        <w:rPr>
          <w:rFonts w:ascii="Times New Roman" w:hAnsi="Times New Roman" w:eastAsia="Times New Roman" w:cs="Times New Roman"/>
          <w:color w:val="auto"/>
          <w:sz w:val="24"/>
          <w:szCs w:val="24"/>
          <w:lang w:val="en-US" w:bidi="en-US"/>
        </w:rPr>
        <w:t xml:space="preserve">13. 5. </w:t>
      </w:r>
      <w:r>
        <w:rPr>
          <w:rFonts w:ascii="Times New Roman" w:hAnsi="Times New Roman" w:eastAsia="Times New Roman" w:cs="Times New Roman"/>
          <w:color w:val="auto"/>
          <w:sz w:val="24"/>
          <w:szCs w:val="24"/>
        </w:rPr>
        <w:t>1</w:t>
      </w:r>
      <w:r>
        <w:rPr>
          <w:color w:val="auto"/>
          <w:sz w:val="24"/>
          <w:szCs w:val="24"/>
        </w:rPr>
        <w:t>项或第</w:t>
      </w:r>
      <w:r>
        <w:rPr>
          <w:rFonts w:ascii="Times New Roman" w:hAnsi="Times New Roman" w:eastAsia="Times New Roman" w:cs="Times New Roman"/>
          <w:color w:val="auto"/>
          <w:sz w:val="24"/>
          <w:szCs w:val="24"/>
          <w:lang w:val="en-US" w:bidi="en-US"/>
        </w:rPr>
        <w:t xml:space="preserve">13. 5. </w:t>
      </w:r>
      <w:r>
        <w:rPr>
          <w:rFonts w:ascii="Times New Roman" w:hAnsi="Times New Roman" w:eastAsia="Times New Roman" w:cs="Times New Roman"/>
          <w:color w:val="auto"/>
          <w:sz w:val="24"/>
          <w:szCs w:val="24"/>
        </w:rPr>
        <w:t>2</w:t>
      </w:r>
      <w:r>
        <w:rPr>
          <w:color w:val="auto"/>
          <w:sz w:val="24"/>
          <w:szCs w:val="24"/>
        </w:rPr>
        <w:t>项覆盖工程隐蔽部位后，监理人对质量有疑问的，可要求承包人对已覆盖的部位进行钻孔探测或揭开重新检验，承包人应遵照执行，并在检 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pPr>
        <w:pStyle w:val="45"/>
        <w:spacing w:line="355"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13.5.4</w:t>
      </w:r>
      <w:r>
        <w:rPr>
          <w:color w:val="auto"/>
          <w:sz w:val="24"/>
          <w:szCs w:val="24"/>
        </w:rPr>
        <w:t>承包人私自覆盖</w:t>
      </w:r>
    </w:p>
    <w:p>
      <w:pPr>
        <w:pStyle w:val="45"/>
        <w:spacing w:after="120" w:line="355" w:lineRule="exact"/>
        <w:ind w:firstLine="440"/>
        <w:jc w:val="both"/>
        <w:rPr>
          <w:color w:val="auto"/>
          <w:sz w:val="24"/>
          <w:szCs w:val="24"/>
        </w:rPr>
      </w:pPr>
      <w:r>
        <w:rPr>
          <w:color w:val="auto"/>
          <w:sz w:val="24"/>
          <w:szCs w:val="24"/>
        </w:rPr>
        <w:t>承包人未通知监理人到场检查，私自将工程隐蔽部位覆盖的，监理人有权指示承包人钻孔探测或揭开检查，由此增加的费用和（或）工期延误由承包人承担。</w:t>
      </w:r>
    </w:p>
    <w:p>
      <w:pPr>
        <w:pStyle w:val="6"/>
        <w:ind w:left="0" w:leftChars="0" w:firstLine="0" w:firstLineChars="0"/>
        <w:rPr>
          <w:color w:val="auto"/>
          <w:sz w:val="24"/>
          <w:szCs w:val="24"/>
          <w:lang w:eastAsia="zh-CN"/>
        </w:rPr>
      </w:pPr>
      <w:bookmarkStart w:id="616" w:name="bookmark1247"/>
      <w:bookmarkStart w:id="617" w:name="bookmark1248"/>
      <w:bookmarkStart w:id="618" w:name="_Toc31851"/>
      <w:bookmarkStart w:id="619" w:name="bookmark1246"/>
      <w:r>
        <w:rPr>
          <w:color w:val="auto"/>
          <w:sz w:val="24"/>
          <w:szCs w:val="24"/>
          <w:lang w:eastAsia="zh-CN"/>
        </w:rPr>
        <w:t>13.6清除不合格工程</w:t>
      </w:r>
      <w:bookmarkEnd w:id="616"/>
      <w:bookmarkEnd w:id="617"/>
      <w:bookmarkEnd w:id="618"/>
      <w:bookmarkEnd w:id="619"/>
    </w:p>
    <w:p>
      <w:pPr>
        <w:pStyle w:val="45"/>
        <w:spacing w:line="36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13.6.1</w:t>
      </w:r>
      <w:r>
        <w:rPr>
          <w:color w:val="auto"/>
          <w:sz w:val="24"/>
          <w:szCs w:val="24"/>
        </w:rPr>
        <w:t>承包人使用不合格材料、工程设备，或采用不适当的施工工艺，或施工不当， 造成工程不合格的，监理人可以随时发出指示，要求承包人立即采取措施进行补救，直至达到合同要求的质量标准，由此增加的费用和（或）工期延误由承包人承担。</w:t>
      </w:r>
    </w:p>
    <w:p>
      <w:pPr>
        <w:pStyle w:val="45"/>
        <w:spacing w:line="383"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13.6.2</w:t>
      </w:r>
      <w:r>
        <w:rPr>
          <w:color w:val="auto"/>
          <w:sz w:val="24"/>
          <w:szCs w:val="24"/>
        </w:rPr>
        <w:t>由于发包人提供的材料或工程设备不合格造成的工程不合格，需要承包人采取措施补救的，发包人应承担由此增加的费用和（或）工期延误，并支付承包人合理利润。</w:t>
      </w:r>
    </w:p>
    <w:p>
      <w:pPr>
        <w:pStyle w:val="6"/>
        <w:ind w:left="0" w:leftChars="0" w:firstLine="0" w:firstLineChars="0"/>
        <w:rPr>
          <w:color w:val="auto"/>
          <w:sz w:val="24"/>
          <w:szCs w:val="24"/>
          <w:lang w:eastAsia="zh-CN"/>
        </w:rPr>
      </w:pPr>
      <w:bookmarkStart w:id="620" w:name="_Toc3708"/>
      <w:r>
        <w:rPr>
          <w:color w:val="auto"/>
          <w:sz w:val="24"/>
          <w:szCs w:val="24"/>
          <w:lang w:eastAsia="zh-CN"/>
        </w:rPr>
        <w:t>13.7质量评定</w:t>
      </w:r>
      <w:bookmarkEnd w:id="620"/>
    </w:p>
    <w:p>
      <w:pPr>
        <w:pStyle w:val="45"/>
        <w:spacing w:line="37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13.7.1</w:t>
      </w:r>
      <w:r>
        <w:rPr>
          <w:color w:val="auto"/>
          <w:sz w:val="24"/>
          <w:szCs w:val="24"/>
        </w:rPr>
        <w:t>发包人应组织承包人进行工程项目划分，并确定单位工程、主要分部工程、重要隐蔽单元工程和关键部位单元工程。</w:t>
      </w:r>
    </w:p>
    <w:p>
      <w:pPr>
        <w:pStyle w:val="45"/>
        <w:spacing w:line="36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13.7.2</w:t>
      </w:r>
      <w:r>
        <w:rPr>
          <w:color w:val="auto"/>
          <w:sz w:val="24"/>
          <w:szCs w:val="24"/>
        </w:rPr>
        <w:t>工程实施过程中，单位工程、主要分部工程、重要隐蔽单元工程和关键部位单元工程的项目划分需要调整时，承包人应报发包人确认。</w:t>
      </w:r>
    </w:p>
    <w:p>
      <w:pPr>
        <w:pStyle w:val="45"/>
        <w:spacing w:line="365"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13.7.3</w:t>
      </w:r>
      <w:r>
        <w:rPr>
          <w:color w:val="auto"/>
          <w:sz w:val="24"/>
          <w:szCs w:val="24"/>
        </w:rPr>
        <w:t>承包人应在单元（工序）工程质量自评合格后，报监理人核定质量等级并签证认可。</w:t>
      </w:r>
    </w:p>
    <w:p>
      <w:pPr>
        <w:pStyle w:val="45"/>
        <w:spacing w:line="359"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13.7.4</w:t>
      </w:r>
      <w:r>
        <w:rPr>
          <w:color w:val="auto"/>
          <w:sz w:val="24"/>
          <w:szCs w:val="24"/>
        </w:rPr>
        <w:t>除专用合同条款另有约定外，承包人应在重要隐蔽单元工程和关键部位单元工程质量自评合格后以及监理人抽检后，由监理人组织承包人等单位组成的联合小组，共同检查核定其质量等级并填写签证表。发包人按有关规定完成质量结论报工程质量监督机构核备手续。</w:t>
      </w:r>
    </w:p>
    <w:p>
      <w:pPr>
        <w:pStyle w:val="45"/>
        <w:spacing w:line="374"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13.7.5</w:t>
      </w:r>
      <w:r>
        <w:rPr>
          <w:color w:val="auto"/>
          <w:sz w:val="24"/>
          <w:szCs w:val="24"/>
        </w:rPr>
        <w:t>承包人应在分部工程质量自评合格后，报监理人复核和发包人认定。发包人负责按有关规定完成分部工程质量结论报工程质量监督机构核备（核定）手续。</w:t>
      </w:r>
    </w:p>
    <w:p>
      <w:pPr>
        <w:pStyle w:val="45"/>
        <w:spacing w:line="374"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13.7.6</w:t>
      </w:r>
      <w:r>
        <w:rPr>
          <w:color w:val="auto"/>
          <w:sz w:val="24"/>
          <w:szCs w:val="24"/>
        </w:rPr>
        <w:t>承包人应在单位工程质量自评合格后，报监理人复核和发包人认定。发包人负责按有关规定完成单位工程质量结论报工程质量监督机构核定手续。</w:t>
      </w:r>
    </w:p>
    <w:p>
      <w:pPr>
        <w:pStyle w:val="45"/>
        <w:spacing w:after="120" w:line="365"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13.7.7</w:t>
      </w:r>
      <w:r>
        <w:rPr>
          <w:color w:val="auto"/>
          <w:sz w:val="24"/>
          <w:szCs w:val="24"/>
        </w:rPr>
        <w:t>除专用合同条款另有约定外，工程质量等级分为合格和优良，应分别达到约定的标准。</w:t>
      </w:r>
    </w:p>
    <w:p>
      <w:pPr>
        <w:pStyle w:val="6"/>
        <w:ind w:left="0" w:leftChars="0" w:firstLine="0" w:firstLineChars="0"/>
        <w:rPr>
          <w:color w:val="auto"/>
          <w:sz w:val="24"/>
          <w:szCs w:val="24"/>
          <w:lang w:eastAsia="zh-CN"/>
        </w:rPr>
      </w:pPr>
      <w:bookmarkStart w:id="621" w:name="bookmark1249"/>
      <w:bookmarkStart w:id="622" w:name="_Toc19883"/>
      <w:bookmarkStart w:id="623" w:name="bookmark1251"/>
      <w:bookmarkStart w:id="624" w:name="bookmark1250"/>
      <w:r>
        <w:rPr>
          <w:color w:val="auto"/>
          <w:sz w:val="24"/>
          <w:szCs w:val="24"/>
          <w:lang w:eastAsia="zh-CN"/>
        </w:rPr>
        <w:t>13.8质量事故处理</w:t>
      </w:r>
      <w:bookmarkEnd w:id="621"/>
      <w:bookmarkEnd w:id="622"/>
      <w:bookmarkEnd w:id="623"/>
      <w:bookmarkEnd w:id="624"/>
    </w:p>
    <w:p>
      <w:pPr>
        <w:pStyle w:val="45"/>
        <w:spacing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13.8.1</w:t>
      </w:r>
      <w:r>
        <w:rPr>
          <w:color w:val="auto"/>
          <w:sz w:val="24"/>
          <w:szCs w:val="24"/>
        </w:rPr>
        <w:t>发生质量事故时，承包人应及时向发包人和监理人报告。</w:t>
      </w:r>
    </w:p>
    <w:p>
      <w:pPr>
        <w:pStyle w:val="45"/>
        <w:spacing w:line="362" w:lineRule="exact"/>
        <w:ind w:firstLine="420"/>
        <w:jc w:val="both"/>
        <w:rPr>
          <w:color w:val="auto"/>
          <w:sz w:val="24"/>
          <w:szCs w:val="24"/>
        </w:rPr>
      </w:pPr>
      <w:r>
        <w:rPr>
          <w:rFonts w:ascii="Times New Roman" w:hAnsi="Times New Roman" w:eastAsia="Times New Roman" w:cs="Times New Roman"/>
          <w:color w:val="auto"/>
          <w:sz w:val="24"/>
          <w:szCs w:val="24"/>
          <w:lang w:val="en-US" w:bidi="en-US"/>
        </w:rPr>
        <w:t>13.8.2</w:t>
      </w:r>
      <w:r>
        <w:rPr>
          <w:color w:val="auto"/>
          <w:sz w:val="24"/>
          <w:szCs w:val="24"/>
        </w:rPr>
        <w:t>质量事故调查处理由发包人按相关规定履行手续，承包人应配合。</w:t>
      </w:r>
    </w:p>
    <w:p>
      <w:pPr>
        <w:pStyle w:val="45"/>
        <w:spacing w:line="36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13.8.3</w:t>
      </w:r>
      <w:r>
        <w:rPr>
          <w:color w:val="auto"/>
          <w:sz w:val="24"/>
          <w:szCs w:val="24"/>
        </w:rPr>
        <w:t>承包人应对质量缺陷进行备案。发包人委托监理人对质量缺陷备案情况进行监督检查并履行相关手续。</w:t>
      </w:r>
    </w:p>
    <w:p>
      <w:pPr>
        <w:pStyle w:val="45"/>
        <w:spacing w:after="240" w:line="358"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13.8.4</w:t>
      </w:r>
      <w:r>
        <w:rPr>
          <w:color w:val="auto"/>
          <w:sz w:val="24"/>
          <w:szCs w:val="24"/>
        </w:rPr>
        <w:t>除专用合同条款另有约定外，工程竣工验收时，发包人负责向竣工验收委员会汇报并提交历次质量缺陷处理的备案资料。</w:t>
      </w:r>
    </w:p>
    <w:p>
      <w:pPr>
        <w:pStyle w:val="5"/>
        <w:spacing w:line="360" w:lineRule="exact"/>
        <w:rPr>
          <w:rFonts w:hint="eastAsia"/>
          <w:color w:val="auto"/>
          <w:sz w:val="24"/>
          <w:szCs w:val="24"/>
          <w:lang w:eastAsia="zh-CN"/>
        </w:rPr>
      </w:pPr>
      <w:bookmarkStart w:id="625" w:name="bookmark1253"/>
      <w:bookmarkStart w:id="626" w:name="_Toc17645"/>
      <w:bookmarkStart w:id="627" w:name="bookmark1252"/>
      <w:bookmarkStart w:id="628" w:name="bookmark1254"/>
      <w:bookmarkStart w:id="629" w:name="_Toc203672915"/>
      <w:bookmarkStart w:id="630" w:name="_Toc5913"/>
      <w:r>
        <w:rPr>
          <w:rFonts w:hint="eastAsia"/>
          <w:color w:val="auto"/>
          <w:sz w:val="24"/>
          <w:szCs w:val="24"/>
          <w:lang w:eastAsia="zh-CN"/>
        </w:rPr>
        <w:t>14 .试验和检验</w:t>
      </w:r>
      <w:bookmarkEnd w:id="625"/>
      <w:bookmarkEnd w:id="626"/>
      <w:bookmarkEnd w:id="627"/>
      <w:bookmarkEnd w:id="628"/>
      <w:bookmarkEnd w:id="629"/>
      <w:bookmarkEnd w:id="630"/>
    </w:p>
    <w:p>
      <w:pPr>
        <w:pStyle w:val="6"/>
        <w:ind w:left="0" w:leftChars="0" w:firstLine="0" w:firstLineChars="0"/>
        <w:rPr>
          <w:color w:val="auto"/>
          <w:sz w:val="24"/>
          <w:szCs w:val="24"/>
          <w:lang w:eastAsia="zh-CN"/>
        </w:rPr>
      </w:pPr>
      <w:bookmarkStart w:id="631" w:name="bookmark1256"/>
      <w:bookmarkStart w:id="632" w:name="_Toc16875"/>
      <w:bookmarkStart w:id="633" w:name="bookmark1257"/>
      <w:bookmarkStart w:id="634" w:name="bookmark1255"/>
      <w:r>
        <w:rPr>
          <w:color w:val="auto"/>
          <w:sz w:val="24"/>
          <w:szCs w:val="24"/>
          <w:lang w:eastAsia="zh-CN"/>
        </w:rPr>
        <w:t>14.1材料、工程设备和工程的试验和检验</w:t>
      </w:r>
      <w:bookmarkEnd w:id="631"/>
      <w:bookmarkEnd w:id="632"/>
      <w:bookmarkEnd w:id="633"/>
      <w:bookmarkEnd w:id="634"/>
    </w:p>
    <w:p>
      <w:pPr>
        <w:pStyle w:val="45"/>
        <w:spacing w:line="356" w:lineRule="exact"/>
        <w:ind w:firstLine="440"/>
        <w:jc w:val="both"/>
        <w:rPr>
          <w:rFonts w:ascii="Times New Roman" w:hAnsi="Times New Roman" w:cs="Times New Roman"/>
          <w:color w:val="auto"/>
          <w:sz w:val="24"/>
          <w:szCs w:val="24"/>
        </w:rPr>
      </w:pPr>
      <w:bookmarkStart w:id="635" w:name="bookmark1258"/>
      <w:bookmarkEnd w:id="635"/>
      <w:r>
        <w:rPr>
          <w:rFonts w:ascii="Times New Roman" w:hAnsi="Times New Roman" w:cs="Times New Roman"/>
          <w:color w:val="auto"/>
          <w:sz w:val="24"/>
          <w:szCs w:val="24"/>
        </w:rPr>
        <w:t>14.1.1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pPr>
        <w:pStyle w:val="45"/>
        <w:spacing w:line="356"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14.1.2</w:t>
      </w:r>
      <w:r>
        <w:rPr>
          <w:rFonts w:ascii="Times New Roman" w:hAnsi="Times New Roman" w:cs="Times New Roman"/>
          <w:color w:val="auto"/>
          <w:sz w:val="24"/>
          <w:szCs w:val="24"/>
        </w:rPr>
        <w:t>监</w:t>
      </w:r>
      <w:r>
        <w:rPr>
          <w:color w:val="auto"/>
          <w:sz w:val="24"/>
          <w:szCs w:val="24"/>
        </w:rPr>
        <w:t>理人未按合同约定派员参加试验和检验的，除监理人另有指示外，承包人可自行试验和检验，并应立即将试验和检验结果报送监理人，监理人应签字确认。</w:t>
      </w:r>
    </w:p>
    <w:p>
      <w:pPr>
        <w:pStyle w:val="45"/>
        <w:spacing w:line="356"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14.1.3</w:t>
      </w:r>
      <w:r>
        <w:rPr>
          <w:color w:val="auto"/>
          <w:sz w:val="24"/>
          <w:szCs w:val="24"/>
        </w:rPr>
        <w:t>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pPr>
        <w:pStyle w:val="45"/>
        <w:spacing w:line="356"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14.1.4</w:t>
      </w:r>
      <w:r>
        <w:rPr>
          <w:color w:val="auto"/>
          <w:sz w:val="24"/>
          <w:szCs w:val="24"/>
        </w:rPr>
        <w:t>承包人应按相关规定和标准对水泥、钢材等原材料与中间产品质量进行检验, 并报监理人复核。</w:t>
      </w:r>
    </w:p>
    <w:p>
      <w:pPr>
        <w:pStyle w:val="45"/>
        <w:spacing w:line="356"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14.1.5</w:t>
      </w:r>
      <w:r>
        <w:rPr>
          <w:color w:val="auto"/>
          <w:sz w:val="24"/>
          <w:szCs w:val="24"/>
        </w:rPr>
        <w:t>除专用合同条款另有约定外，水工金属结构、启闭机及机电产品进场后，监理人组织发包人按合同进行交货检查和验收。安装前，承包人应检查产品是否有出厂合格证、设备安装说明书及有关技术文件，对在运输和存放过程中发生的变形、受潮、损坏等问题应作好记录，并进行妥善处理。</w:t>
      </w:r>
    </w:p>
    <w:p>
      <w:pPr>
        <w:pStyle w:val="45"/>
        <w:spacing w:after="120" w:line="356"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14.1.6</w:t>
      </w:r>
      <w:r>
        <w:rPr>
          <w:color w:val="auto"/>
          <w:sz w:val="24"/>
          <w:szCs w:val="24"/>
        </w:rPr>
        <w:t>对专用合同条款约定的试块、试件及有关材料，监理人实行见证取样。见证取样资料由承包人制备，记录应真实齐全，监理人、承包人等参与见证取样人员均应在相关文件上签字。</w:t>
      </w:r>
    </w:p>
    <w:p>
      <w:pPr>
        <w:pStyle w:val="6"/>
        <w:ind w:left="0" w:leftChars="0" w:firstLine="0" w:firstLineChars="0"/>
        <w:rPr>
          <w:color w:val="auto"/>
          <w:sz w:val="24"/>
          <w:szCs w:val="24"/>
          <w:lang w:eastAsia="zh-CN"/>
        </w:rPr>
      </w:pPr>
      <w:bookmarkStart w:id="636" w:name="_Toc24338"/>
      <w:bookmarkStart w:id="637" w:name="bookmark1259"/>
      <w:bookmarkStart w:id="638" w:name="bookmark1260"/>
      <w:bookmarkStart w:id="639" w:name="bookmark1261"/>
      <w:r>
        <w:rPr>
          <w:color w:val="auto"/>
          <w:sz w:val="24"/>
          <w:szCs w:val="24"/>
          <w:lang w:eastAsia="zh-CN"/>
        </w:rPr>
        <w:t>14.2现场材料试验</w:t>
      </w:r>
      <w:bookmarkEnd w:id="636"/>
      <w:bookmarkEnd w:id="637"/>
      <w:bookmarkEnd w:id="638"/>
      <w:bookmarkEnd w:id="639"/>
    </w:p>
    <w:p>
      <w:pPr>
        <w:pStyle w:val="45"/>
        <w:spacing w:line="356" w:lineRule="exact"/>
        <w:ind w:firstLine="440"/>
        <w:jc w:val="both"/>
        <w:rPr>
          <w:rFonts w:ascii="Times New Roman" w:hAnsi="Times New Roman" w:cs="Times New Roman"/>
          <w:color w:val="auto"/>
          <w:sz w:val="24"/>
          <w:szCs w:val="24"/>
        </w:rPr>
      </w:pPr>
      <w:bookmarkStart w:id="640" w:name="bookmark1262"/>
      <w:bookmarkEnd w:id="640"/>
      <w:r>
        <w:rPr>
          <w:rFonts w:ascii="Times New Roman" w:hAnsi="Times New Roman" w:cs="Times New Roman"/>
          <w:color w:val="auto"/>
          <w:sz w:val="24"/>
          <w:szCs w:val="24"/>
          <w:lang w:val="en-US" w:bidi="en-US"/>
        </w:rPr>
        <w:t>14.2.</w:t>
      </w:r>
      <w:r>
        <w:rPr>
          <w:rFonts w:ascii="Times New Roman" w:hAnsi="Times New Roman" w:eastAsia="Times New Roman" w:cs="Times New Roman"/>
          <w:color w:val="auto"/>
          <w:sz w:val="24"/>
          <w:szCs w:val="24"/>
        </w:rPr>
        <w:t>1</w:t>
      </w:r>
      <w:r>
        <w:rPr>
          <w:rFonts w:ascii="Times New Roman" w:hAnsi="Times New Roman" w:cs="Times New Roman"/>
          <w:color w:val="auto"/>
          <w:sz w:val="24"/>
          <w:szCs w:val="24"/>
        </w:rPr>
        <w:t>承包人根据合同约定或监理人指示进行的现场材料试验，应由承包人提供试 验场所、试验人员、试验设备器材以及其他必要的试验条件。</w:t>
      </w:r>
    </w:p>
    <w:p>
      <w:pPr>
        <w:pStyle w:val="45"/>
        <w:spacing w:line="356" w:lineRule="exact"/>
        <w:ind w:firstLine="440"/>
        <w:jc w:val="both"/>
        <w:rPr>
          <w:rFonts w:ascii="Times New Roman" w:hAnsi="Times New Roman" w:cs="Times New Roman"/>
          <w:color w:val="auto"/>
          <w:sz w:val="24"/>
          <w:szCs w:val="24"/>
        </w:rPr>
      </w:pPr>
      <w:bookmarkStart w:id="641" w:name="bookmark1263"/>
      <w:bookmarkEnd w:id="641"/>
      <w:r>
        <w:rPr>
          <w:rFonts w:ascii="Times New Roman" w:hAnsi="Times New Roman" w:cs="Times New Roman"/>
          <w:color w:val="auto"/>
          <w:sz w:val="24"/>
          <w:szCs w:val="24"/>
          <w:lang w:val="en-US" w:bidi="en-US"/>
        </w:rPr>
        <w:t>14.2.</w:t>
      </w:r>
      <w:r>
        <w:rPr>
          <w:rFonts w:ascii="Times New Roman" w:hAnsi="Times New Roman" w:eastAsia="Times New Roman" w:cs="Times New Roman"/>
          <w:color w:val="auto"/>
          <w:sz w:val="24"/>
          <w:szCs w:val="24"/>
        </w:rPr>
        <w:t>2</w:t>
      </w:r>
      <w:r>
        <w:rPr>
          <w:rFonts w:ascii="Times New Roman" w:hAnsi="Times New Roman" w:cs="Times New Roman"/>
          <w:color w:val="auto"/>
          <w:sz w:val="24"/>
          <w:szCs w:val="24"/>
        </w:rPr>
        <w:t>监理人在必要时可以使用承包人的试验场所、试验设备器材以及其他试验条件，进行以工程质量检查为目的的复核性材料试验，承包人应予以协助。</w:t>
      </w:r>
    </w:p>
    <w:p>
      <w:pPr>
        <w:pStyle w:val="6"/>
        <w:ind w:left="0" w:leftChars="0" w:firstLine="0" w:firstLineChars="0"/>
        <w:rPr>
          <w:color w:val="auto"/>
          <w:sz w:val="24"/>
          <w:szCs w:val="24"/>
          <w:lang w:eastAsia="zh-CN"/>
        </w:rPr>
      </w:pPr>
      <w:bookmarkStart w:id="642" w:name="bookmark1264"/>
      <w:bookmarkStart w:id="643" w:name="bookmark1265"/>
      <w:bookmarkStart w:id="644" w:name="_Toc21991"/>
      <w:bookmarkStart w:id="645" w:name="bookmark1266"/>
      <w:r>
        <w:rPr>
          <w:color w:val="auto"/>
          <w:sz w:val="24"/>
          <w:szCs w:val="24"/>
          <w:lang w:eastAsia="zh-CN"/>
        </w:rPr>
        <w:t>14.3现场工艺试验</w:t>
      </w:r>
      <w:bookmarkEnd w:id="642"/>
      <w:bookmarkEnd w:id="643"/>
      <w:bookmarkEnd w:id="644"/>
      <w:bookmarkEnd w:id="645"/>
    </w:p>
    <w:p>
      <w:pPr>
        <w:pStyle w:val="45"/>
        <w:spacing w:after="120" w:line="360" w:lineRule="exact"/>
        <w:ind w:firstLine="440"/>
        <w:jc w:val="both"/>
        <w:rPr>
          <w:color w:val="auto"/>
          <w:sz w:val="24"/>
          <w:szCs w:val="24"/>
        </w:rPr>
      </w:pPr>
      <w:r>
        <w:rPr>
          <w:color w:val="auto"/>
          <w:sz w:val="24"/>
          <w:szCs w:val="24"/>
        </w:rPr>
        <w:t>承包人应按合同约定或监理人指示进行现场工艺试验。对大型的现场工艺试验，监理人认为必要时，应由承包人根据监理人提出的工艺试验要求，编制工艺试验措施计划，报送监理人审批。</w:t>
      </w:r>
    </w:p>
    <w:p>
      <w:pPr>
        <w:pStyle w:val="5"/>
        <w:spacing w:line="360" w:lineRule="exact"/>
        <w:rPr>
          <w:rFonts w:hint="eastAsia"/>
          <w:color w:val="auto"/>
          <w:sz w:val="24"/>
          <w:szCs w:val="24"/>
          <w:lang w:eastAsia="zh-CN"/>
        </w:rPr>
      </w:pPr>
      <w:bookmarkStart w:id="646" w:name="_Toc255930512"/>
      <w:bookmarkStart w:id="647" w:name="bookmark1269"/>
      <w:bookmarkStart w:id="648" w:name="_Toc9858"/>
      <w:bookmarkStart w:id="649" w:name="_Toc24386"/>
      <w:bookmarkStart w:id="650" w:name="bookmark1268"/>
      <w:bookmarkStart w:id="651" w:name="bookmark1267"/>
      <w:r>
        <w:rPr>
          <w:rFonts w:hint="eastAsia"/>
          <w:color w:val="auto"/>
          <w:sz w:val="24"/>
          <w:szCs w:val="24"/>
          <w:lang w:eastAsia="zh-CN"/>
        </w:rPr>
        <w:t>15.变更</w:t>
      </w:r>
      <w:bookmarkEnd w:id="646"/>
      <w:bookmarkEnd w:id="647"/>
      <w:bookmarkEnd w:id="648"/>
      <w:bookmarkEnd w:id="649"/>
    </w:p>
    <w:p>
      <w:pPr>
        <w:pStyle w:val="6"/>
        <w:ind w:left="0" w:leftChars="0" w:firstLine="0" w:firstLineChars="0"/>
        <w:rPr>
          <w:color w:val="auto"/>
          <w:sz w:val="24"/>
          <w:szCs w:val="24"/>
          <w:lang w:eastAsia="zh-CN"/>
        </w:rPr>
      </w:pPr>
      <w:bookmarkStart w:id="652" w:name="_Toc30097"/>
      <w:bookmarkStart w:id="653" w:name="bookmark1270"/>
      <w:r>
        <w:rPr>
          <w:color w:val="auto"/>
          <w:sz w:val="24"/>
          <w:szCs w:val="24"/>
          <w:lang w:eastAsia="zh-CN"/>
        </w:rPr>
        <w:t>15.1变更的范围和内容</w:t>
      </w:r>
      <w:bookmarkEnd w:id="650"/>
      <w:bookmarkEnd w:id="651"/>
      <w:bookmarkEnd w:id="652"/>
      <w:bookmarkEnd w:id="653"/>
    </w:p>
    <w:p>
      <w:pPr>
        <w:pStyle w:val="45"/>
        <w:spacing w:line="360" w:lineRule="exact"/>
        <w:ind w:firstLine="440"/>
        <w:jc w:val="both"/>
        <w:rPr>
          <w:color w:val="auto"/>
          <w:sz w:val="24"/>
          <w:szCs w:val="24"/>
        </w:rPr>
      </w:pPr>
      <w:r>
        <w:rPr>
          <w:color w:val="auto"/>
          <w:sz w:val="24"/>
          <w:szCs w:val="24"/>
        </w:rPr>
        <w:t>在履行合同中发生以下情形之一，应按照本条规定进行变更。</w:t>
      </w:r>
    </w:p>
    <w:p>
      <w:pPr>
        <w:pStyle w:val="45"/>
        <w:numPr>
          <w:ilvl w:val="0"/>
          <w:numId w:val="12"/>
        </w:numPr>
        <w:tabs>
          <w:tab w:val="left" w:pos="923"/>
        </w:tabs>
        <w:spacing w:line="360" w:lineRule="exact"/>
        <w:ind w:firstLine="440"/>
        <w:jc w:val="both"/>
        <w:rPr>
          <w:color w:val="auto"/>
          <w:sz w:val="24"/>
          <w:szCs w:val="24"/>
        </w:rPr>
      </w:pPr>
      <w:bookmarkStart w:id="654" w:name="bookmark1271"/>
      <w:bookmarkEnd w:id="654"/>
      <w:r>
        <w:rPr>
          <w:color w:val="auto"/>
          <w:sz w:val="24"/>
          <w:szCs w:val="24"/>
        </w:rPr>
        <w:t>取消合同中任何一项工作，但被取消的工作不能转由发包人或其它人实施；</w:t>
      </w:r>
    </w:p>
    <w:p>
      <w:pPr>
        <w:pStyle w:val="45"/>
        <w:numPr>
          <w:ilvl w:val="0"/>
          <w:numId w:val="12"/>
        </w:numPr>
        <w:tabs>
          <w:tab w:val="left" w:pos="923"/>
        </w:tabs>
        <w:spacing w:line="360" w:lineRule="exact"/>
        <w:ind w:firstLine="440"/>
        <w:jc w:val="both"/>
        <w:rPr>
          <w:color w:val="auto"/>
          <w:sz w:val="24"/>
          <w:szCs w:val="24"/>
        </w:rPr>
      </w:pPr>
      <w:bookmarkStart w:id="655" w:name="bookmark1272"/>
      <w:bookmarkEnd w:id="655"/>
      <w:r>
        <w:rPr>
          <w:color w:val="auto"/>
          <w:sz w:val="24"/>
          <w:szCs w:val="24"/>
        </w:rPr>
        <w:t>改变合同中任何一项工作的质量或其它特性；</w:t>
      </w:r>
    </w:p>
    <w:p>
      <w:pPr>
        <w:pStyle w:val="45"/>
        <w:numPr>
          <w:ilvl w:val="0"/>
          <w:numId w:val="12"/>
        </w:numPr>
        <w:tabs>
          <w:tab w:val="left" w:pos="923"/>
        </w:tabs>
        <w:spacing w:line="360" w:lineRule="exact"/>
        <w:ind w:firstLine="440"/>
        <w:jc w:val="both"/>
        <w:rPr>
          <w:color w:val="auto"/>
          <w:sz w:val="24"/>
          <w:szCs w:val="24"/>
        </w:rPr>
      </w:pPr>
      <w:bookmarkStart w:id="656" w:name="bookmark1273"/>
      <w:bookmarkEnd w:id="656"/>
      <w:r>
        <w:rPr>
          <w:color w:val="auto"/>
          <w:sz w:val="24"/>
          <w:szCs w:val="24"/>
        </w:rPr>
        <w:t>改变合同工程的基线、标高、位置或尺寸；</w:t>
      </w:r>
    </w:p>
    <w:p>
      <w:pPr>
        <w:pStyle w:val="45"/>
        <w:numPr>
          <w:ilvl w:val="0"/>
          <w:numId w:val="12"/>
        </w:numPr>
        <w:tabs>
          <w:tab w:val="left" w:pos="923"/>
        </w:tabs>
        <w:spacing w:line="365" w:lineRule="exact"/>
        <w:ind w:firstLine="440"/>
        <w:jc w:val="both"/>
        <w:rPr>
          <w:color w:val="auto"/>
          <w:sz w:val="24"/>
          <w:szCs w:val="24"/>
        </w:rPr>
      </w:pPr>
      <w:bookmarkStart w:id="657" w:name="bookmark1274"/>
      <w:bookmarkEnd w:id="657"/>
      <w:r>
        <w:rPr>
          <w:color w:val="auto"/>
          <w:sz w:val="24"/>
          <w:szCs w:val="24"/>
        </w:rPr>
        <w:t>改变合同中任何一项工作的施工时间或改变已批准的施工工艺或顺序；</w:t>
      </w:r>
    </w:p>
    <w:p>
      <w:pPr>
        <w:pStyle w:val="45"/>
        <w:numPr>
          <w:ilvl w:val="0"/>
          <w:numId w:val="12"/>
        </w:numPr>
        <w:tabs>
          <w:tab w:val="left" w:pos="923"/>
        </w:tabs>
        <w:spacing w:line="365" w:lineRule="exact"/>
        <w:ind w:firstLine="440"/>
        <w:jc w:val="both"/>
        <w:rPr>
          <w:color w:val="auto"/>
          <w:sz w:val="24"/>
          <w:szCs w:val="24"/>
        </w:rPr>
      </w:pPr>
      <w:bookmarkStart w:id="658" w:name="bookmark1275"/>
      <w:bookmarkEnd w:id="658"/>
      <w:r>
        <w:rPr>
          <w:color w:val="auto"/>
          <w:sz w:val="24"/>
          <w:szCs w:val="24"/>
        </w:rPr>
        <w:t>为完成工程需要追加的额外工作；</w:t>
      </w:r>
    </w:p>
    <w:p>
      <w:pPr>
        <w:pStyle w:val="45"/>
        <w:numPr>
          <w:ilvl w:val="0"/>
          <w:numId w:val="12"/>
        </w:numPr>
        <w:tabs>
          <w:tab w:val="left" w:pos="920"/>
        </w:tabs>
        <w:spacing w:line="365" w:lineRule="exact"/>
        <w:ind w:firstLine="440"/>
        <w:jc w:val="both"/>
        <w:rPr>
          <w:color w:val="auto"/>
          <w:sz w:val="24"/>
          <w:szCs w:val="24"/>
        </w:rPr>
      </w:pPr>
      <w:bookmarkStart w:id="659" w:name="bookmark1276"/>
      <w:bookmarkEnd w:id="659"/>
      <w:r>
        <w:rPr>
          <w:color w:val="auto"/>
          <w:sz w:val="24"/>
          <w:szCs w:val="24"/>
        </w:rPr>
        <w:t>增加或减少专用合同条款中约定的关键项目工程量超过其工程总量的一定数量的百分比。</w:t>
      </w:r>
    </w:p>
    <w:p>
      <w:pPr>
        <w:pStyle w:val="45"/>
        <w:spacing w:line="365" w:lineRule="exact"/>
        <w:ind w:firstLine="440"/>
        <w:jc w:val="both"/>
        <w:rPr>
          <w:color w:val="auto"/>
          <w:sz w:val="24"/>
          <w:szCs w:val="24"/>
        </w:rPr>
      </w:pPr>
      <w:r>
        <w:rPr>
          <w:color w:val="auto"/>
          <w:sz w:val="24"/>
          <w:szCs w:val="24"/>
        </w:rPr>
        <w:t>上述第(</w:t>
      </w:r>
      <w:r>
        <w:rPr>
          <w:rFonts w:ascii="Times New Roman" w:hAnsi="Times New Roman" w:eastAsia="Times New Roman" w:cs="Times New Roman"/>
          <w:color w:val="auto"/>
          <w:sz w:val="24"/>
          <w:szCs w:val="24"/>
        </w:rPr>
        <w:t>1)~ (6)</w:t>
      </w:r>
      <w:r>
        <w:rPr>
          <w:color w:val="auto"/>
          <w:sz w:val="24"/>
          <w:szCs w:val="24"/>
        </w:rPr>
        <w:t>目的变更内容引起工程施工组织和进度计划发生实质性变动和影响其原定的价格时，才予调整该项目的单价。第(</w:t>
      </w:r>
      <w:r>
        <w:rPr>
          <w:rFonts w:ascii="Times New Roman" w:hAnsi="Times New Roman" w:eastAsia="Times New Roman" w:cs="Times New Roman"/>
          <w:color w:val="auto"/>
          <w:sz w:val="24"/>
          <w:szCs w:val="24"/>
        </w:rPr>
        <w:t>6)</w:t>
      </w:r>
      <w:r>
        <w:rPr>
          <w:color w:val="auto"/>
          <w:sz w:val="24"/>
          <w:szCs w:val="24"/>
        </w:rPr>
        <w:t>目情形下单价调整方式在专用合同条款中约定。</w:t>
      </w:r>
    </w:p>
    <w:p>
      <w:pPr>
        <w:pStyle w:val="6"/>
        <w:ind w:left="0" w:leftChars="0" w:firstLine="0" w:firstLineChars="0"/>
        <w:rPr>
          <w:color w:val="auto"/>
          <w:sz w:val="24"/>
          <w:szCs w:val="24"/>
          <w:lang w:eastAsia="zh-CN"/>
        </w:rPr>
      </w:pPr>
      <w:bookmarkStart w:id="660" w:name="bookmark1279"/>
      <w:bookmarkStart w:id="661" w:name="bookmark1278"/>
      <w:bookmarkStart w:id="662" w:name="_Toc25903"/>
      <w:bookmarkStart w:id="663" w:name="bookmark1277"/>
      <w:r>
        <w:rPr>
          <w:color w:val="auto"/>
          <w:sz w:val="24"/>
          <w:szCs w:val="24"/>
          <w:lang w:eastAsia="zh-CN"/>
        </w:rPr>
        <w:t>15.2变更权</w:t>
      </w:r>
      <w:bookmarkEnd w:id="660"/>
      <w:bookmarkEnd w:id="661"/>
      <w:bookmarkEnd w:id="662"/>
      <w:bookmarkEnd w:id="663"/>
    </w:p>
    <w:p>
      <w:pPr>
        <w:pStyle w:val="45"/>
        <w:spacing w:after="240" w:line="374" w:lineRule="exact"/>
        <w:ind w:firstLine="440"/>
        <w:jc w:val="both"/>
        <w:rPr>
          <w:color w:val="auto"/>
          <w:sz w:val="24"/>
          <w:szCs w:val="24"/>
        </w:rPr>
      </w:pPr>
      <w:r>
        <w:rPr>
          <w:color w:val="auto"/>
          <w:sz w:val="24"/>
          <w:szCs w:val="24"/>
        </w:rPr>
        <w:t>在履行合同过程中，经</w:t>
      </w:r>
      <w:r>
        <w:rPr>
          <w:rFonts w:hint="eastAsia"/>
          <w:color w:val="auto"/>
          <w:sz w:val="24"/>
          <w:szCs w:val="24"/>
          <w:lang w:eastAsia="zh-CN"/>
        </w:rPr>
        <w:t>发包人书面同意</w:t>
      </w:r>
      <w:r>
        <w:rPr>
          <w:color w:val="auto"/>
          <w:sz w:val="24"/>
          <w:szCs w:val="24"/>
        </w:rPr>
        <w:t>，监理人可按第</w:t>
      </w:r>
      <w:r>
        <w:rPr>
          <w:rFonts w:ascii="Times New Roman" w:hAnsi="Times New Roman" w:eastAsia="Times New Roman" w:cs="Times New Roman"/>
          <w:color w:val="auto"/>
          <w:sz w:val="24"/>
          <w:szCs w:val="24"/>
          <w:lang w:val="en-US" w:bidi="en-US"/>
        </w:rPr>
        <w:t xml:space="preserve">15. </w:t>
      </w:r>
      <w:r>
        <w:rPr>
          <w:rFonts w:ascii="Times New Roman" w:hAnsi="Times New Roman" w:eastAsia="Times New Roman" w:cs="Times New Roman"/>
          <w:color w:val="auto"/>
          <w:sz w:val="24"/>
          <w:szCs w:val="24"/>
        </w:rPr>
        <w:t>3</w:t>
      </w:r>
      <w:r>
        <w:rPr>
          <w:color w:val="auto"/>
          <w:sz w:val="24"/>
          <w:szCs w:val="24"/>
        </w:rPr>
        <w:t>款约定的变更程序向承包人作出变更指示，承包人应遵照执行。没有监理人的变更指示，承包人不得擅自变更。</w:t>
      </w:r>
    </w:p>
    <w:p>
      <w:pPr>
        <w:pStyle w:val="6"/>
        <w:ind w:left="0" w:leftChars="0" w:firstLine="0" w:firstLineChars="0"/>
        <w:rPr>
          <w:color w:val="auto"/>
          <w:sz w:val="24"/>
          <w:szCs w:val="24"/>
          <w:lang w:eastAsia="zh-CN"/>
        </w:rPr>
      </w:pPr>
      <w:bookmarkStart w:id="664" w:name="bookmark1281"/>
      <w:bookmarkStart w:id="665" w:name="_Toc24991"/>
      <w:bookmarkStart w:id="666" w:name="bookmark1282"/>
      <w:bookmarkStart w:id="667" w:name="bookmark1280"/>
      <w:r>
        <w:rPr>
          <w:color w:val="auto"/>
          <w:sz w:val="24"/>
          <w:szCs w:val="24"/>
          <w:lang w:eastAsia="zh-CN"/>
        </w:rPr>
        <w:t>15.3变更程序</w:t>
      </w:r>
      <w:bookmarkEnd w:id="664"/>
      <w:bookmarkEnd w:id="665"/>
      <w:bookmarkEnd w:id="666"/>
      <w:bookmarkEnd w:id="667"/>
    </w:p>
    <w:p>
      <w:pPr>
        <w:pStyle w:val="45"/>
        <w:spacing w:line="360" w:lineRule="exact"/>
        <w:ind w:firstLine="420"/>
        <w:rPr>
          <w:color w:val="auto"/>
          <w:sz w:val="24"/>
          <w:szCs w:val="24"/>
        </w:rPr>
      </w:pPr>
      <w:r>
        <w:rPr>
          <w:rFonts w:ascii="Times New Roman" w:hAnsi="Times New Roman" w:eastAsia="Times New Roman" w:cs="Times New Roman"/>
          <w:color w:val="auto"/>
          <w:sz w:val="24"/>
          <w:szCs w:val="24"/>
          <w:lang w:val="en-US" w:eastAsia="en-US" w:bidi="en-US"/>
        </w:rPr>
        <w:t>15.3.1</w:t>
      </w:r>
      <w:r>
        <w:rPr>
          <w:color w:val="auto"/>
          <w:sz w:val="24"/>
          <w:szCs w:val="24"/>
        </w:rPr>
        <w:t>变更的提出</w:t>
      </w:r>
    </w:p>
    <w:p>
      <w:pPr>
        <w:pStyle w:val="45"/>
        <w:numPr>
          <w:ilvl w:val="0"/>
          <w:numId w:val="13"/>
        </w:numPr>
        <w:tabs>
          <w:tab w:val="left" w:pos="918"/>
        </w:tabs>
        <w:spacing w:line="360" w:lineRule="exact"/>
        <w:ind w:firstLine="440"/>
        <w:jc w:val="both"/>
        <w:rPr>
          <w:color w:val="auto"/>
          <w:sz w:val="24"/>
          <w:szCs w:val="24"/>
        </w:rPr>
      </w:pPr>
      <w:bookmarkStart w:id="668" w:name="bookmark1283"/>
      <w:bookmarkEnd w:id="668"/>
      <w:r>
        <w:rPr>
          <w:color w:val="auto"/>
          <w:sz w:val="24"/>
          <w:szCs w:val="24"/>
        </w:rPr>
        <w:t>在合同履行过程中，可能发生第</w:t>
      </w:r>
      <w:r>
        <w:rPr>
          <w:rFonts w:ascii="Times New Roman" w:hAnsi="Times New Roman" w:eastAsia="Times New Roman" w:cs="Times New Roman"/>
          <w:color w:val="auto"/>
          <w:sz w:val="24"/>
          <w:szCs w:val="24"/>
          <w:lang w:val="en-US" w:bidi="en-US"/>
        </w:rPr>
        <w:t>15.1</w:t>
      </w:r>
      <w:r>
        <w:rPr>
          <w:color w:val="auto"/>
          <w:sz w:val="24"/>
          <w:szCs w:val="24"/>
        </w:rPr>
        <w:t>款约定情形的，监理人可向承包人发出变更意向书。变更意向书应说明变更的具体内容和发包人对变更的时间要求，并附必要的图纸和相关资料。变更意向书应要求承包人提交包括拟实施变更工作的计划、措施和竣工时间等内容的实施方案。</w:t>
      </w:r>
      <w:r>
        <w:rPr>
          <w:rFonts w:hint="eastAsia"/>
          <w:color w:val="auto"/>
          <w:sz w:val="24"/>
          <w:szCs w:val="24"/>
          <w:lang w:eastAsia="zh-CN"/>
        </w:rPr>
        <w:t>发包人书面同意</w:t>
      </w:r>
      <w:r>
        <w:rPr>
          <w:color w:val="auto"/>
          <w:sz w:val="24"/>
          <w:szCs w:val="24"/>
        </w:rPr>
        <w:t>承包人根据变更意向书要求提交的变更实施方案的，由监理人按第</w:t>
      </w:r>
      <w:r>
        <w:rPr>
          <w:rFonts w:ascii="Times New Roman" w:hAnsi="Times New Roman" w:eastAsia="Times New Roman" w:cs="Times New Roman"/>
          <w:color w:val="auto"/>
          <w:sz w:val="24"/>
          <w:szCs w:val="24"/>
          <w:lang w:val="en-US" w:bidi="en-US"/>
        </w:rPr>
        <w:t xml:space="preserve">15. </w:t>
      </w:r>
      <w:r>
        <w:rPr>
          <w:rFonts w:ascii="Times New Roman" w:hAnsi="Times New Roman" w:eastAsia="Times New Roman" w:cs="Times New Roman"/>
          <w:color w:val="auto"/>
          <w:sz w:val="24"/>
          <w:szCs w:val="24"/>
          <w:lang w:val="en-US" w:eastAsia="en-US" w:bidi="en-US"/>
        </w:rPr>
        <w:t xml:space="preserve">3. </w:t>
      </w:r>
      <w:r>
        <w:rPr>
          <w:rFonts w:ascii="Times New Roman" w:hAnsi="Times New Roman" w:eastAsia="Times New Roman" w:cs="Times New Roman"/>
          <w:color w:val="auto"/>
          <w:sz w:val="24"/>
          <w:szCs w:val="24"/>
        </w:rPr>
        <w:t>3</w:t>
      </w:r>
      <w:r>
        <w:rPr>
          <w:color w:val="auto"/>
          <w:sz w:val="24"/>
          <w:szCs w:val="24"/>
        </w:rPr>
        <w:t>项约定发出变更指示。</w:t>
      </w:r>
    </w:p>
    <w:p>
      <w:pPr>
        <w:pStyle w:val="45"/>
        <w:numPr>
          <w:ilvl w:val="0"/>
          <w:numId w:val="13"/>
        </w:numPr>
        <w:tabs>
          <w:tab w:val="left" w:pos="901"/>
        </w:tabs>
        <w:spacing w:line="360" w:lineRule="exact"/>
        <w:ind w:firstLine="440"/>
        <w:jc w:val="both"/>
        <w:rPr>
          <w:color w:val="auto"/>
          <w:sz w:val="24"/>
          <w:szCs w:val="24"/>
        </w:rPr>
      </w:pPr>
      <w:bookmarkStart w:id="669" w:name="bookmark1284"/>
      <w:bookmarkEnd w:id="669"/>
      <w:r>
        <w:rPr>
          <w:color w:val="auto"/>
          <w:sz w:val="24"/>
          <w:szCs w:val="24"/>
        </w:rPr>
        <w:t>在合同履行过程中，发生第</w:t>
      </w:r>
      <w:r>
        <w:rPr>
          <w:rFonts w:ascii="Times New Roman" w:hAnsi="Times New Roman" w:eastAsia="Times New Roman" w:cs="Times New Roman"/>
          <w:color w:val="auto"/>
          <w:sz w:val="24"/>
          <w:szCs w:val="24"/>
          <w:lang w:val="en-US" w:bidi="en-US"/>
        </w:rPr>
        <w:t xml:space="preserve">15. </w:t>
      </w:r>
      <w:r>
        <w:rPr>
          <w:rFonts w:ascii="Times New Roman" w:hAnsi="Times New Roman" w:eastAsia="Times New Roman" w:cs="Times New Roman"/>
          <w:color w:val="auto"/>
          <w:sz w:val="24"/>
          <w:szCs w:val="24"/>
        </w:rPr>
        <w:t>1</w:t>
      </w:r>
      <w:r>
        <w:rPr>
          <w:color w:val="auto"/>
          <w:sz w:val="24"/>
          <w:szCs w:val="24"/>
        </w:rPr>
        <w:t>款约定情形的，监理人应按照第</w:t>
      </w:r>
      <w:r>
        <w:rPr>
          <w:rFonts w:ascii="Times New Roman" w:hAnsi="Times New Roman" w:eastAsia="Times New Roman" w:cs="Times New Roman"/>
          <w:color w:val="auto"/>
          <w:sz w:val="24"/>
          <w:szCs w:val="24"/>
          <w:lang w:val="en-US" w:bidi="en-US"/>
        </w:rPr>
        <w:t xml:space="preserve">15. 3. </w:t>
      </w:r>
      <w:r>
        <w:rPr>
          <w:rFonts w:ascii="Times New Roman" w:hAnsi="Times New Roman" w:eastAsia="Times New Roman" w:cs="Times New Roman"/>
          <w:color w:val="auto"/>
          <w:sz w:val="24"/>
          <w:szCs w:val="24"/>
        </w:rPr>
        <w:t>3</w:t>
      </w:r>
      <w:r>
        <w:rPr>
          <w:color w:val="auto"/>
          <w:sz w:val="24"/>
          <w:szCs w:val="24"/>
        </w:rPr>
        <w:t>项约定向承包人发出变更指示。</w:t>
      </w:r>
    </w:p>
    <w:p>
      <w:pPr>
        <w:pStyle w:val="45"/>
        <w:numPr>
          <w:ilvl w:val="0"/>
          <w:numId w:val="13"/>
        </w:numPr>
        <w:tabs>
          <w:tab w:val="left" w:pos="922"/>
        </w:tabs>
        <w:spacing w:line="360" w:lineRule="exact"/>
        <w:ind w:firstLine="440"/>
        <w:jc w:val="both"/>
        <w:rPr>
          <w:color w:val="auto"/>
          <w:sz w:val="24"/>
          <w:szCs w:val="24"/>
        </w:rPr>
      </w:pPr>
      <w:bookmarkStart w:id="670" w:name="bookmark1285"/>
      <w:bookmarkEnd w:id="670"/>
      <w:r>
        <w:rPr>
          <w:color w:val="auto"/>
          <w:sz w:val="24"/>
          <w:szCs w:val="24"/>
        </w:rPr>
        <w:t>承包人收到监理人按合同约定发出的图纸和文件，经检查认为其中存在第</w:t>
      </w:r>
      <w:r>
        <w:rPr>
          <w:rFonts w:ascii="Times New Roman" w:hAnsi="Times New Roman" w:eastAsia="Times New Roman" w:cs="Times New Roman"/>
          <w:color w:val="auto"/>
          <w:sz w:val="24"/>
          <w:szCs w:val="24"/>
          <w:lang w:val="en-US" w:bidi="en-US"/>
        </w:rPr>
        <w:t xml:space="preserve">15. </w:t>
      </w:r>
      <w:r>
        <w:rPr>
          <w:rFonts w:ascii="Times New Roman" w:hAnsi="Times New Roman" w:eastAsia="Times New Roman" w:cs="Times New Roman"/>
          <w:color w:val="auto"/>
          <w:sz w:val="24"/>
          <w:szCs w:val="24"/>
        </w:rPr>
        <w:t>1</w:t>
      </w:r>
      <w:r>
        <w:rPr>
          <w:color w:val="auto"/>
          <w:sz w:val="24"/>
          <w:szCs w:val="24"/>
        </w:rPr>
        <w:t>款 约定情形的，可向监理人提出书面变更建议。变更建议应阐明要求变更的依据，并附必要的图纸和说明。监理人收到承包人书面建议后，应与发包人共同研究，确认存在变更的，应在收到承包人书面建议后的</w:t>
      </w:r>
      <w:r>
        <w:rPr>
          <w:rFonts w:ascii="Times New Roman" w:hAnsi="Times New Roman" w:eastAsia="Times New Roman" w:cs="Times New Roman"/>
          <w:color w:val="auto"/>
          <w:sz w:val="24"/>
          <w:szCs w:val="24"/>
        </w:rPr>
        <w:t>14</w:t>
      </w:r>
      <w:r>
        <w:rPr>
          <w:color w:val="auto"/>
          <w:sz w:val="24"/>
          <w:szCs w:val="24"/>
        </w:rPr>
        <w:t>天内作出变更指示。经研究后不同意作为变更的，应由监理人书面答复承包人。</w:t>
      </w:r>
    </w:p>
    <w:p>
      <w:pPr>
        <w:pStyle w:val="45"/>
        <w:numPr>
          <w:ilvl w:val="0"/>
          <w:numId w:val="13"/>
        </w:numPr>
        <w:tabs>
          <w:tab w:val="left" w:pos="922"/>
        </w:tabs>
        <w:spacing w:after="80" w:line="360" w:lineRule="exact"/>
        <w:ind w:firstLine="440"/>
        <w:jc w:val="both"/>
        <w:rPr>
          <w:color w:val="auto"/>
          <w:sz w:val="24"/>
          <w:szCs w:val="24"/>
        </w:rPr>
      </w:pPr>
      <w:bookmarkStart w:id="671" w:name="bookmark1286"/>
      <w:bookmarkEnd w:id="671"/>
      <w:r>
        <w:rPr>
          <w:color w:val="auto"/>
          <w:sz w:val="24"/>
          <w:szCs w:val="24"/>
        </w:rPr>
        <w:t>若承包人收到监理人的变更意向书后认为难以实施此项变更，应立即通知监理人, 说明原因并附详细依据。监理人与承包人和发包人协商后确定撤销、改变或不改变原变更 意向书。</w:t>
      </w:r>
    </w:p>
    <w:p>
      <w:pPr>
        <w:pStyle w:val="46"/>
        <w:spacing w:after="0" w:line="360" w:lineRule="exact"/>
        <w:ind w:firstLine="440"/>
        <w:jc w:val="both"/>
        <w:rPr>
          <w:color w:val="auto"/>
          <w:sz w:val="24"/>
          <w:szCs w:val="24"/>
        </w:rPr>
      </w:pPr>
      <w:r>
        <w:rPr>
          <w:color w:val="auto"/>
          <w:sz w:val="24"/>
          <w:szCs w:val="24"/>
        </w:rPr>
        <w:t>15.3.2</w:t>
      </w:r>
      <w:r>
        <w:rPr>
          <w:rFonts w:ascii="宋体" w:hAnsi="宋体" w:cs="宋体"/>
          <w:color w:val="auto"/>
          <w:sz w:val="24"/>
          <w:szCs w:val="24"/>
          <w:lang w:val="zh-CN" w:eastAsia="zh-CN" w:bidi="zh-CN"/>
        </w:rPr>
        <w:t>变更估价</w:t>
      </w:r>
    </w:p>
    <w:p>
      <w:pPr>
        <w:pStyle w:val="45"/>
        <w:numPr>
          <w:ilvl w:val="0"/>
          <w:numId w:val="14"/>
        </w:numPr>
        <w:spacing w:line="360" w:lineRule="exact"/>
        <w:ind w:firstLine="440"/>
        <w:jc w:val="both"/>
        <w:rPr>
          <w:color w:val="auto"/>
          <w:sz w:val="24"/>
          <w:szCs w:val="24"/>
        </w:rPr>
      </w:pPr>
      <w:bookmarkStart w:id="672" w:name="bookmark1287"/>
      <w:bookmarkEnd w:id="672"/>
      <w:r>
        <w:rPr>
          <w:color w:val="auto"/>
          <w:sz w:val="24"/>
          <w:szCs w:val="24"/>
        </w:rPr>
        <w:t>除专用合同条款对期限另有约定外，承包人应在收到变更指示或变更意向书后的</w:t>
      </w:r>
      <w:r>
        <w:rPr>
          <w:rFonts w:ascii="Times New Roman" w:hAnsi="Times New Roman" w:eastAsia="Times New Roman" w:cs="Times New Roman"/>
          <w:color w:val="auto"/>
          <w:sz w:val="24"/>
          <w:szCs w:val="24"/>
        </w:rPr>
        <w:t>14</w:t>
      </w:r>
      <w:r>
        <w:rPr>
          <w:color w:val="auto"/>
          <w:sz w:val="24"/>
          <w:szCs w:val="24"/>
        </w:rPr>
        <w:t>天内，向监理人提交变更报价书，报价内容应根据第</w:t>
      </w:r>
      <w:r>
        <w:rPr>
          <w:rFonts w:ascii="Times New Roman" w:hAnsi="Times New Roman" w:eastAsia="Times New Roman" w:cs="Times New Roman"/>
          <w:color w:val="auto"/>
          <w:sz w:val="24"/>
          <w:szCs w:val="24"/>
          <w:lang w:val="en-US" w:bidi="en-US"/>
        </w:rPr>
        <w:t xml:space="preserve">15. </w:t>
      </w:r>
      <w:r>
        <w:rPr>
          <w:rFonts w:ascii="Times New Roman" w:hAnsi="Times New Roman" w:eastAsia="Times New Roman" w:cs="Times New Roman"/>
          <w:color w:val="auto"/>
          <w:sz w:val="24"/>
          <w:szCs w:val="24"/>
        </w:rPr>
        <w:t>4</w:t>
      </w:r>
      <w:r>
        <w:rPr>
          <w:color w:val="auto"/>
          <w:sz w:val="24"/>
          <w:szCs w:val="24"/>
        </w:rPr>
        <w:t>款约定的估价原则，详细开列变更工作的价格组成及其依据，并附必要的施工方法说明和有关图纸。</w:t>
      </w:r>
    </w:p>
    <w:p>
      <w:pPr>
        <w:pStyle w:val="45"/>
        <w:numPr>
          <w:ilvl w:val="0"/>
          <w:numId w:val="14"/>
        </w:numPr>
        <w:tabs>
          <w:tab w:val="left" w:pos="915"/>
        </w:tabs>
        <w:spacing w:line="360" w:lineRule="exact"/>
        <w:ind w:firstLine="440"/>
        <w:jc w:val="both"/>
        <w:rPr>
          <w:color w:val="auto"/>
          <w:sz w:val="24"/>
          <w:szCs w:val="24"/>
        </w:rPr>
      </w:pPr>
      <w:bookmarkStart w:id="673" w:name="bookmark1288"/>
      <w:bookmarkEnd w:id="673"/>
      <w:r>
        <w:rPr>
          <w:color w:val="auto"/>
          <w:sz w:val="24"/>
          <w:szCs w:val="24"/>
        </w:rPr>
        <w:t>变更工作影响工期的，承包人应提出调整工期的具体细节。监理人认为有必要时, 可要求承包人提交要求提前或延长工期的施工进度计划及相应施工措施等详细资料。</w:t>
      </w:r>
    </w:p>
    <w:p>
      <w:pPr>
        <w:pStyle w:val="45"/>
        <w:numPr>
          <w:ilvl w:val="0"/>
          <w:numId w:val="14"/>
        </w:numPr>
        <w:tabs>
          <w:tab w:val="left" w:pos="920"/>
        </w:tabs>
        <w:spacing w:after="120" w:line="360" w:lineRule="exact"/>
        <w:ind w:firstLine="440"/>
        <w:jc w:val="both"/>
        <w:rPr>
          <w:color w:val="auto"/>
          <w:sz w:val="24"/>
          <w:szCs w:val="24"/>
        </w:rPr>
      </w:pPr>
      <w:bookmarkStart w:id="674" w:name="bookmark1289"/>
      <w:bookmarkEnd w:id="674"/>
      <w:r>
        <w:rPr>
          <w:color w:val="auto"/>
          <w:sz w:val="24"/>
          <w:szCs w:val="24"/>
        </w:rPr>
        <w:t>除专用合同条款对期限另有约定外，监理人收到承包人变更报价书后的</w:t>
      </w:r>
      <w:r>
        <w:rPr>
          <w:rFonts w:ascii="Times New Roman" w:hAnsi="Times New Roman" w:eastAsia="Times New Roman" w:cs="Times New Roman"/>
          <w:color w:val="auto"/>
          <w:sz w:val="24"/>
          <w:szCs w:val="24"/>
        </w:rPr>
        <w:t>14</w:t>
      </w:r>
      <w:r>
        <w:rPr>
          <w:color w:val="auto"/>
          <w:sz w:val="24"/>
          <w:szCs w:val="24"/>
        </w:rPr>
        <w:t>天内，根据第</w:t>
      </w:r>
      <w:r>
        <w:rPr>
          <w:rFonts w:ascii="Times New Roman" w:hAnsi="Times New Roman" w:eastAsia="Times New Roman" w:cs="Times New Roman"/>
          <w:color w:val="auto"/>
          <w:sz w:val="24"/>
          <w:szCs w:val="24"/>
          <w:lang w:val="en-US" w:bidi="en-US"/>
        </w:rPr>
        <w:t xml:space="preserve">15. </w:t>
      </w:r>
      <w:r>
        <w:rPr>
          <w:rFonts w:ascii="Times New Roman" w:hAnsi="Times New Roman" w:eastAsia="Times New Roman" w:cs="Times New Roman"/>
          <w:color w:val="auto"/>
          <w:sz w:val="24"/>
          <w:szCs w:val="24"/>
        </w:rPr>
        <w:t>4</w:t>
      </w:r>
      <w:r>
        <w:rPr>
          <w:color w:val="auto"/>
          <w:sz w:val="24"/>
          <w:szCs w:val="24"/>
        </w:rPr>
        <w:t>款约定的估价原则，按照第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color w:val="auto"/>
          <w:sz w:val="24"/>
          <w:szCs w:val="24"/>
        </w:rPr>
        <w:t>款商定或确定变更价格。</w:t>
      </w:r>
    </w:p>
    <w:p>
      <w:pPr>
        <w:pStyle w:val="46"/>
        <w:spacing w:after="0" w:line="360" w:lineRule="exact"/>
        <w:ind w:firstLine="440"/>
        <w:jc w:val="both"/>
        <w:rPr>
          <w:color w:val="auto"/>
          <w:sz w:val="24"/>
          <w:szCs w:val="24"/>
        </w:rPr>
      </w:pPr>
      <w:r>
        <w:rPr>
          <w:color w:val="auto"/>
          <w:sz w:val="24"/>
          <w:szCs w:val="24"/>
        </w:rPr>
        <w:t>15.3.3</w:t>
      </w:r>
      <w:r>
        <w:rPr>
          <w:rFonts w:ascii="宋体" w:hAnsi="宋体" w:cs="宋体"/>
          <w:color w:val="auto"/>
          <w:sz w:val="24"/>
          <w:szCs w:val="24"/>
          <w:lang w:val="zh-CN" w:eastAsia="zh-CN" w:bidi="zh-CN"/>
        </w:rPr>
        <w:t>变更指示</w:t>
      </w:r>
    </w:p>
    <w:p>
      <w:pPr>
        <w:pStyle w:val="45"/>
        <w:numPr>
          <w:ilvl w:val="0"/>
          <w:numId w:val="15"/>
        </w:numPr>
        <w:tabs>
          <w:tab w:val="left" w:pos="923"/>
        </w:tabs>
        <w:spacing w:line="360" w:lineRule="exact"/>
        <w:ind w:firstLine="440"/>
        <w:jc w:val="both"/>
        <w:rPr>
          <w:color w:val="auto"/>
          <w:sz w:val="24"/>
          <w:szCs w:val="24"/>
        </w:rPr>
      </w:pPr>
      <w:bookmarkStart w:id="675" w:name="bookmark1290"/>
      <w:bookmarkEnd w:id="675"/>
      <w:r>
        <w:rPr>
          <w:color w:val="auto"/>
          <w:sz w:val="24"/>
          <w:szCs w:val="24"/>
        </w:rPr>
        <w:t>变更指示只能由监理人发出。</w:t>
      </w:r>
    </w:p>
    <w:p>
      <w:pPr>
        <w:pStyle w:val="45"/>
        <w:numPr>
          <w:ilvl w:val="0"/>
          <w:numId w:val="15"/>
        </w:numPr>
        <w:tabs>
          <w:tab w:val="left" w:pos="922"/>
        </w:tabs>
        <w:spacing w:after="120" w:line="360" w:lineRule="exact"/>
        <w:ind w:firstLine="440"/>
        <w:jc w:val="both"/>
        <w:rPr>
          <w:color w:val="auto"/>
          <w:sz w:val="24"/>
          <w:szCs w:val="24"/>
        </w:rPr>
      </w:pPr>
      <w:bookmarkStart w:id="676" w:name="bookmark1291"/>
      <w:bookmarkEnd w:id="676"/>
      <w:r>
        <w:rPr>
          <w:color w:val="auto"/>
          <w:sz w:val="24"/>
          <w:szCs w:val="24"/>
        </w:rPr>
        <w:t>变更指示应说明变更的目的、范围、变更内容以及变更的工程量及其进度和技术要求，并附有关图纸和文件。承包人收到变更指示后，应按变更指示进行变更工作。</w:t>
      </w:r>
    </w:p>
    <w:p>
      <w:pPr>
        <w:pStyle w:val="6"/>
        <w:ind w:left="0" w:leftChars="0" w:firstLine="0" w:firstLineChars="0"/>
        <w:rPr>
          <w:color w:val="auto"/>
          <w:sz w:val="24"/>
          <w:szCs w:val="24"/>
          <w:lang w:eastAsia="zh-CN"/>
        </w:rPr>
      </w:pPr>
      <w:bookmarkStart w:id="677" w:name="bookmark1292"/>
      <w:bookmarkStart w:id="678" w:name="bookmark1293"/>
      <w:bookmarkStart w:id="679" w:name="_Toc9569"/>
      <w:bookmarkStart w:id="680" w:name="bookmark1294"/>
      <w:r>
        <w:rPr>
          <w:color w:val="auto"/>
          <w:sz w:val="24"/>
          <w:szCs w:val="24"/>
          <w:lang w:eastAsia="zh-CN"/>
        </w:rPr>
        <w:t>15.4变更的估价原则</w:t>
      </w:r>
      <w:bookmarkEnd w:id="677"/>
      <w:bookmarkEnd w:id="678"/>
      <w:bookmarkEnd w:id="679"/>
      <w:bookmarkEnd w:id="680"/>
    </w:p>
    <w:p>
      <w:pPr>
        <w:pStyle w:val="45"/>
        <w:spacing w:after="120" w:line="358" w:lineRule="exact"/>
        <w:ind w:firstLine="420"/>
        <w:rPr>
          <w:color w:val="auto"/>
          <w:sz w:val="24"/>
          <w:szCs w:val="24"/>
        </w:rPr>
      </w:pPr>
      <w:r>
        <w:rPr>
          <w:color w:val="auto"/>
          <w:sz w:val="24"/>
          <w:szCs w:val="24"/>
        </w:rPr>
        <w:t>除专用合同条款另有约定外，因变更引起的价格调整按照本款约定处理。</w:t>
      </w:r>
    </w:p>
    <w:p>
      <w:pPr>
        <w:pStyle w:val="45"/>
        <w:spacing w:line="374" w:lineRule="auto"/>
        <w:ind w:firstLine="420"/>
        <w:rPr>
          <w:color w:val="auto"/>
          <w:sz w:val="24"/>
          <w:szCs w:val="24"/>
        </w:rPr>
      </w:pPr>
      <w:r>
        <w:rPr>
          <w:rFonts w:ascii="Times New Roman" w:hAnsi="Times New Roman" w:eastAsia="Times New Roman" w:cs="Times New Roman"/>
          <w:color w:val="auto"/>
          <w:sz w:val="24"/>
          <w:szCs w:val="24"/>
          <w:lang w:val="en-US" w:bidi="en-US"/>
        </w:rPr>
        <w:t>15.4.1</w:t>
      </w:r>
      <w:r>
        <w:rPr>
          <w:color w:val="auto"/>
          <w:sz w:val="24"/>
          <w:szCs w:val="24"/>
        </w:rPr>
        <w:t>已标价工程量清单中有适用于变更工作的子目的，采用该子目的单价。</w:t>
      </w:r>
    </w:p>
    <w:p>
      <w:pPr>
        <w:pStyle w:val="45"/>
        <w:spacing w:line="358"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15.4.2</w:t>
      </w:r>
      <w:r>
        <w:rPr>
          <w:color w:val="auto"/>
          <w:sz w:val="24"/>
          <w:szCs w:val="24"/>
        </w:rPr>
        <w:t>已标价工程量清单中无适用于变更工作的子目，但有类似子目的，可在合理范围内参照类似子目的单价，由监理人按第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color w:val="auto"/>
          <w:sz w:val="24"/>
          <w:szCs w:val="24"/>
        </w:rPr>
        <w:t>款商定或确定变更工作的单价。</w:t>
      </w:r>
    </w:p>
    <w:p>
      <w:pPr>
        <w:pStyle w:val="45"/>
        <w:spacing w:after="120" w:line="358"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15.4.3</w:t>
      </w:r>
      <w:r>
        <w:rPr>
          <w:color w:val="auto"/>
          <w:sz w:val="24"/>
          <w:szCs w:val="24"/>
        </w:rPr>
        <w:t>已标价工程量清单中无适用或类似子目的单价，可按照成本加利润的原则，由监理人按第</w:t>
      </w:r>
      <w:r>
        <w:rPr>
          <w:rFonts w:ascii="Times New Roman" w:hAnsi="Times New Roman" w:eastAsia="Times New Roman" w:cs="Times New Roman"/>
          <w:color w:val="auto"/>
          <w:sz w:val="24"/>
          <w:szCs w:val="24"/>
          <w:lang w:val="en-US" w:bidi="en-US"/>
        </w:rPr>
        <w:t>3.</w:t>
      </w:r>
      <w:r>
        <w:rPr>
          <w:rFonts w:ascii="Times New Roman" w:hAnsi="Times New Roman" w:eastAsia="Times New Roman" w:cs="Times New Roman"/>
          <w:color w:val="auto"/>
          <w:sz w:val="24"/>
          <w:szCs w:val="24"/>
        </w:rPr>
        <w:t>5</w:t>
      </w:r>
      <w:r>
        <w:rPr>
          <w:color w:val="auto"/>
          <w:sz w:val="24"/>
          <w:szCs w:val="24"/>
        </w:rPr>
        <w:t>款商定或确定变更工作的单价。</w:t>
      </w:r>
    </w:p>
    <w:p>
      <w:pPr>
        <w:pStyle w:val="6"/>
        <w:ind w:left="0" w:leftChars="0" w:firstLine="0" w:firstLineChars="0"/>
        <w:rPr>
          <w:color w:val="auto"/>
          <w:sz w:val="24"/>
          <w:szCs w:val="24"/>
          <w:lang w:eastAsia="zh-CN"/>
        </w:rPr>
      </w:pPr>
      <w:bookmarkStart w:id="681" w:name="bookmark1297"/>
      <w:bookmarkStart w:id="682" w:name="bookmark1296"/>
      <w:bookmarkStart w:id="683" w:name="bookmark1295"/>
      <w:r>
        <w:rPr>
          <w:color w:val="auto"/>
          <w:sz w:val="24"/>
          <w:szCs w:val="24"/>
          <w:lang w:eastAsia="zh-CN"/>
        </w:rPr>
        <w:t>15.5承包人的合理化建议</w:t>
      </w:r>
      <w:bookmarkEnd w:id="681"/>
      <w:bookmarkEnd w:id="682"/>
      <w:bookmarkEnd w:id="683"/>
    </w:p>
    <w:p>
      <w:pPr>
        <w:pStyle w:val="45"/>
        <w:tabs>
          <w:tab w:val="left" w:pos="854"/>
        </w:tabs>
        <w:spacing w:line="365" w:lineRule="exact"/>
        <w:ind w:left="440" w:firstLine="0"/>
        <w:jc w:val="both"/>
        <w:rPr>
          <w:color w:val="auto"/>
          <w:sz w:val="24"/>
          <w:szCs w:val="24"/>
        </w:rPr>
      </w:pPr>
      <w:bookmarkStart w:id="684" w:name="bookmark1298"/>
      <w:bookmarkEnd w:id="684"/>
      <w:r>
        <w:rPr>
          <w:rFonts w:hint="eastAsia" w:ascii="Times New Roman" w:hAnsi="Times New Roman" w:cs="Times New Roman"/>
          <w:color w:val="auto"/>
          <w:sz w:val="24"/>
          <w:szCs w:val="24"/>
          <w:lang w:val="en-US" w:bidi="en-US"/>
        </w:rPr>
        <w:t>15.</w:t>
      </w:r>
      <w:r>
        <w:rPr>
          <w:rFonts w:ascii="Times New Roman" w:hAnsi="Times New Roman" w:eastAsia="Times New Roman" w:cs="Times New Roman"/>
          <w:color w:val="auto"/>
          <w:sz w:val="24"/>
          <w:szCs w:val="24"/>
          <w:lang w:val="en-US" w:bidi="en-US"/>
        </w:rPr>
        <w:t xml:space="preserve">5. </w:t>
      </w:r>
      <w:r>
        <w:rPr>
          <w:rFonts w:ascii="Times New Roman" w:hAnsi="Times New Roman" w:eastAsia="Times New Roman" w:cs="Times New Roman"/>
          <w:color w:val="auto"/>
          <w:sz w:val="24"/>
          <w:szCs w:val="24"/>
        </w:rPr>
        <w:t>1</w:t>
      </w:r>
      <w:r>
        <w:rPr>
          <w:color w:val="auto"/>
          <w:sz w:val="24"/>
          <w:szCs w:val="24"/>
        </w:rPr>
        <w:t>在履行合同过程中，承包人对发包人提供的图纸、技术要求以及其他方面提出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w:t>
      </w:r>
      <w:r>
        <w:rPr>
          <w:rFonts w:ascii="Times New Roman" w:hAnsi="Times New Roman" w:eastAsia="Times New Roman" w:cs="Times New Roman"/>
          <w:color w:val="auto"/>
          <w:sz w:val="24"/>
          <w:szCs w:val="24"/>
          <w:lang w:val="en-US" w:bidi="en-US"/>
        </w:rPr>
        <w:t xml:space="preserve">15. 3. </w:t>
      </w:r>
      <w:r>
        <w:rPr>
          <w:rFonts w:ascii="Times New Roman" w:hAnsi="Times New Roman" w:eastAsia="Times New Roman" w:cs="Times New Roman"/>
          <w:color w:val="auto"/>
          <w:sz w:val="24"/>
          <w:szCs w:val="24"/>
        </w:rPr>
        <w:t>3</w:t>
      </w:r>
      <w:r>
        <w:rPr>
          <w:color w:val="auto"/>
          <w:sz w:val="24"/>
          <w:szCs w:val="24"/>
        </w:rPr>
        <w:t>项约定向承包人发出变更指示。</w:t>
      </w:r>
    </w:p>
    <w:p>
      <w:pPr>
        <w:pStyle w:val="45"/>
        <w:spacing w:after="120" w:line="379"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15.5.2</w:t>
      </w:r>
      <w:r>
        <w:rPr>
          <w:color w:val="auto"/>
          <w:sz w:val="24"/>
          <w:szCs w:val="24"/>
        </w:rPr>
        <w:t>承包人提出的合理化建议降低了合同价格、缩短了工期或者提高了工程经济效益的，发包人可按国家有关规定在专用合同条款中约定给予奖励。</w:t>
      </w:r>
    </w:p>
    <w:p>
      <w:pPr>
        <w:pStyle w:val="6"/>
        <w:ind w:left="0" w:leftChars="0" w:firstLine="0" w:firstLineChars="0"/>
        <w:rPr>
          <w:color w:val="auto"/>
          <w:sz w:val="24"/>
          <w:szCs w:val="24"/>
          <w:lang w:eastAsia="zh-CN"/>
        </w:rPr>
      </w:pPr>
      <w:bookmarkStart w:id="685" w:name="bookmark1299"/>
      <w:bookmarkStart w:id="686" w:name="_Toc7702"/>
      <w:bookmarkStart w:id="687" w:name="bookmark1301"/>
      <w:bookmarkStart w:id="688" w:name="bookmark1300"/>
      <w:r>
        <w:rPr>
          <w:color w:val="auto"/>
          <w:sz w:val="24"/>
          <w:szCs w:val="24"/>
          <w:lang w:eastAsia="zh-CN"/>
        </w:rPr>
        <w:t>15.6暂列金额</w:t>
      </w:r>
      <w:bookmarkEnd w:id="685"/>
      <w:bookmarkEnd w:id="686"/>
      <w:bookmarkEnd w:id="687"/>
      <w:bookmarkEnd w:id="688"/>
    </w:p>
    <w:p>
      <w:pPr>
        <w:pStyle w:val="45"/>
        <w:spacing w:after="120" w:line="365" w:lineRule="exact"/>
        <w:ind w:firstLine="420"/>
        <w:rPr>
          <w:color w:val="auto"/>
          <w:sz w:val="24"/>
          <w:szCs w:val="24"/>
        </w:rPr>
      </w:pPr>
      <w:r>
        <w:rPr>
          <w:color w:val="auto"/>
          <w:sz w:val="24"/>
          <w:szCs w:val="24"/>
        </w:rPr>
        <w:t>暂列金额只能按照监理人的指示使用，并对合同价格进行相应调整。</w:t>
      </w:r>
    </w:p>
    <w:p>
      <w:pPr>
        <w:pStyle w:val="5"/>
        <w:spacing w:line="360" w:lineRule="exact"/>
        <w:rPr>
          <w:rFonts w:ascii="宋体" w:hAnsi="宋体"/>
          <w:color w:val="auto"/>
          <w:sz w:val="24"/>
          <w:szCs w:val="24"/>
          <w:lang w:eastAsia="zh-CN"/>
        </w:rPr>
      </w:pPr>
      <w:bookmarkStart w:id="689" w:name="_Toc31931"/>
      <w:bookmarkStart w:id="690" w:name="bookmark1304"/>
      <w:bookmarkStart w:id="691" w:name="bookmark1303"/>
      <w:bookmarkStart w:id="692" w:name="bookmark1302"/>
      <w:bookmarkStart w:id="693" w:name="_Toc1449902166"/>
      <w:bookmarkStart w:id="694" w:name="_Toc23161"/>
      <w:bookmarkStart w:id="695" w:name="_Toc1976762667"/>
      <w:r>
        <w:rPr>
          <w:rFonts w:ascii="宋体" w:hAnsi="宋体"/>
          <w:color w:val="auto"/>
          <w:sz w:val="24"/>
          <w:szCs w:val="24"/>
          <w:lang w:eastAsia="zh-CN"/>
        </w:rPr>
        <w:t>15.7计日工</w:t>
      </w:r>
      <w:bookmarkEnd w:id="689"/>
      <w:bookmarkEnd w:id="690"/>
      <w:bookmarkEnd w:id="691"/>
      <w:bookmarkEnd w:id="692"/>
      <w:bookmarkEnd w:id="693"/>
      <w:bookmarkEnd w:id="694"/>
      <w:bookmarkEnd w:id="695"/>
    </w:p>
    <w:p>
      <w:pPr>
        <w:pStyle w:val="45"/>
        <w:spacing w:line="360"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15.7.1</w:t>
      </w:r>
      <w:r>
        <w:rPr>
          <w:rFonts w:ascii="Times New Roman" w:hAnsi="Times New Roman" w:cs="Times New Roman"/>
          <w:color w:val="auto"/>
          <w:sz w:val="24"/>
          <w:szCs w:val="24"/>
        </w:rPr>
        <w:t>发包人认为有必要时，由监理人通知承包人以计日工方式实施变更的零星工作。其价款按列入已标价工程量清单中的计日工计价子目及其单价进行计算。</w:t>
      </w:r>
    </w:p>
    <w:p>
      <w:pPr>
        <w:pStyle w:val="45"/>
        <w:spacing w:line="360"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15.7.2</w:t>
      </w:r>
      <w:r>
        <w:rPr>
          <w:rFonts w:ascii="Times New Roman" w:hAnsi="Times New Roman" w:cs="Times New Roman"/>
          <w:color w:val="auto"/>
          <w:sz w:val="24"/>
          <w:szCs w:val="24"/>
        </w:rPr>
        <w:t>采用计日工计价的任何一项变更工作，应从暂列金额中支付，承包人应在该项变更的实施过程中，每天提交以下报表和有关凭证报送监理人审批：</w:t>
      </w:r>
    </w:p>
    <w:p>
      <w:pPr>
        <w:pStyle w:val="45"/>
        <w:numPr>
          <w:ilvl w:val="0"/>
          <w:numId w:val="16"/>
        </w:numPr>
        <w:tabs>
          <w:tab w:val="left" w:pos="903"/>
        </w:tabs>
        <w:spacing w:line="360" w:lineRule="exact"/>
        <w:ind w:firstLine="420"/>
        <w:rPr>
          <w:rFonts w:ascii="Times New Roman" w:hAnsi="Times New Roman" w:cs="Times New Roman"/>
          <w:color w:val="auto"/>
          <w:sz w:val="24"/>
          <w:szCs w:val="24"/>
        </w:rPr>
      </w:pPr>
      <w:bookmarkStart w:id="696" w:name="bookmark1305"/>
      <w:bookmarkEnd w:id="696"/>
      <w:r>
        <w:rPr>
          <w:rFonts w:ascii="Times New Roman" w:hAnsi="Times New Roman" w:cs="Times New Roman"/>
          <w:color w:val="auto"/>
          <w:sz w:val="24"/>
          <w:szCs w:val="24"/>
        </w:rPr>
        <w:t>工作名称、内容和数量；</w:t>
      </w:r>
    </w:p>
    <w:p>
      <w:pPr>
        <w:pStyle w:val="45"/>
        <w:numPr>
          <w:ilvl w:val="0"/>
          <w:numId w:val="16"/>
        </w:numPr>
        <w:tabs>
          <w:tab w:val="left" w:pos="903"/>
        </w:tabs>
        <w:spacing w:line="360" w:lineRule="exact"/>
        <w:ind w:firstLine="420"/>
        <w:rPr>
          <w:rFonts w:ascii="Times New Roman" w:hAnsi="Times New Roman" w:cs="Times New Roman"/>
          <w:color w:val="auto"/>
          <w:sz w:val="24"/>
          <w:szCs w:val="24"/>
        </w:rPr>
      </w:pPr>
      <w:bookmarkStart w:id="697" w:name="bookmark1306"/>
      <w:bookmarkEnd w:id="697"/>
      <w:r>
        <w:rPr>
          <w:rFonts w:ascii="Times New Roman" w:hAnsi="Times New Roman" w:cs="Times New Roman"/>
          <w:color w:val="auto"/>
          <w:sz w:val="24"/>
          <w:szCs w:val="24"/>
        </w:rPr>
        <w:t>投入该工作所有人员的姓名、工种、级别和耗用工时；</w:t>
      </w:r>
    </w:p>
    <w:p>
      <w:pPr>
        <w:pStyle w:val="45"/>
        <w:numPr>
          <w:ilvl w:val="0"/>
          <w:numId w:val="16"/>
        </w:numPr>
        <w:tabs>
          <w:tab w:val="left" w:pos="903"/>
        </w:tabs>
        <w:spacing w:line="360" w:lineRule="exact"/>
        <w:ind w:firstLine="420"/>
        <w:rPr>
          <w:rFonts w:ascii="Times New Roman" w:hAnsi="Times New Roman" w:cs="Times New Roman"/>
          <w:color w:val="auto"/>
          <w:sz w:val="24"/>
          <w:szCs w:val="24"/>
        </w:rPr>
      </w:pPr>
      <w:bookmarkStart w:id="698" w:name="bookmark1307"/>
      <w:bookmarkEnd w:id="698"/>
      <w:r>
        <w:rPr>
          <w:rFonts w:ascii="Times New Roman" w:hAnsi="Times New Roman" w:cs="Times New Roman"/>
          <w:color w:val="auto"/>
          <w:sz w:val="24"/>
          <w:szCs w:val="24"/>
        </w:rPr>
        <w:t>投入该工作的材料类别和数量；</w:t>
      </w:r>
    </w:p>
    <w:p>
      <w:pPr>
        <w:pStyle w:val="45"/>
        <w:numPr>
          <w:ilvl w:val="0"/>
          <w:numId w:val="16"/>
        </w:numPr>
        <w:tabs>
          <w:tab w:val="left" w:pos="903"/>
        </w:tabs>
        <w:spacing w:line="360" w:lineRule="exact"/>
        <w:ind w:firstLine="420"/>
        <w:rPr>
          <w:rFonts w:ascii="Times New Roman" w:hAnsi="Times New Roman" w:cs="Times New Roman"/>
          <w:color w:val="auto"/>
          <w:sz w:val="24"/>
          <w:szCs w:val="24"/>
        </w:rPr>
      </w:pPr>
      <w:bookmarkStart w:id="699" w:name="bookmark1308"/>
      <w:bookmarkEnd w:id="699"/>
      <w:r>
        <w:rPr>
          <w:rFonts w:ascii="Times New Roman" w:hAnsi="Times New Roman" w:cs="Times New Roman"/>
          <w:color w:val="auto"/>
          <w:sz w:val="24"/>
          <w:szCs w:val="24"/>
        </w:rPr>
        <w:t>投入该工作的施工设备型号、台数和耗用台时；</w:t>
      </w:r>
    </w:p>
    <w:p>
      <w:pPr>
        <w:pStyle w:val="45"/>
        <w:numPr>
          <w:ilvl w:val="0"/>
          <w:numId w:val="16"/>
        </w:numPr>
        <w:tabs>
          <w:tab w:val="left" w:pos="903"/>
        </w:tabs>
        <w:spacing w:line="360" w:lineRule="exact"/>
        <w:ind w:firstLine="420"/>
        <w:rPr>
          <w:rFonts w:ascii="Times New Roman" w:hAnsi="Times New Roman" w:cs="Times New Roman"/>
          <w:color w:val="auto"/>
          <w:sz w:val="24"/>
          <w:szCs w:val="24"/>
        </w:rPr>
      </w:pPr>
      <w:bookmarkStart w:id="700" w:name="bookmark1309"/>
      <w:bookmarkEnd w:id="700"/>
      <w:r>
        <w:rPr>
          <w:rFonts w:ascii="Times New Roman" w:hAnsi="Times New Roman" w:cs="Times New Roman"/>
          <w:color w:val="auto"/>
          <w:sz w:val="24"/>
          <w:szCs w:val="24"/>
        </w:rPr>
        <w:t>监理人要求提交的其他资料和凭证。</w:t>
      </w:r>
    </w:p>
    <w:p>
      <w:pPr>
        <w:pStyle w:val="45"/>
        <w:spacing w:after="80" w:line="360"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15.7.3</w:t>
      </w:r>
      <w:r>
        <w:rPr>
          <w:rFonts w:ascii="Times New Roman" w:hAnsi="Times New Roman" w:cs="Times New Roman"/>
          <w:color w:val="auto"/>
          <w:sz w:val="24"/>
          <w:szCs w:val="24"/>
        </w:rPr>
        <w:t>计日工由承包人汇总后，按第</w:t>
      </w:r>
      <w:r>
        <w:rPr>
          <w:rFonts w:ascii="Times New Roman" w:hAnsi="Times New Roman" w:eastAsia="Times New Roman" w:cs="Times New Roman"/>
          <w:color w:val="auto"/>
          <w:sz w:val="24"/>
          <w:szCs w:val="24"/>
          <w:lang w:val="en-US" w:bidi="en-US"/>
        </w:rPr>
        <w:t>17.3.2</w:t>
      </w:r>
      <w:r>
        <w:rPr>
          <w:rFonts w:ascii="Times New Roman" w:hAnsi="Times New Roman" w:cs="Times New Roman"/>
          <w:color w:val="auto"/>
          <w:sz w:val="24"/>
          <w:szCs w:val="24"/>
        </w:rPr>
        <w:t>项的约定列入进度付款申请单，由监理人复核并经</w:t>
      </w:r>
      <w:r>
        <w:rPr>
          <w:rFonts w:hint="eastAsia" w:ascii="Times New Roman" w:hAnsi="Times New Roman" w:cs="Times New Roman"/>
          <w:color w:val="auto"/>
          <w:sz w:val="24"/>
          <w:szCs w:val="24"/>
          <w:lang w:eastAsia="zh-CN"/>
        </w:rPr>
        <w:t>发包人书面同意</w:t>
      </w:r>
      <w:r>
        <w:rPr>
          <w:rFonts w:ascii="Times New Roman" w:hAnsi="Times New Roman" w:cs="Times New Roman"/>
          <w:color w:val="auto"/>
          <w:sz w:val="24"/>
          <w:szCs w:val="24"/>
        </w:rPr>
        <w:t>后列入进度付款。</w:t>
      </w:r>
    </w:p>
    <w:p>
      <w:pPr>
        <w:pStyle w:val="6"/>
        <w:ind w:left="0" w:leftChars="0" w:firstLine="0" w:firstLineChars="0"/>
        <w:rPr>
          <w:color w:val="auto"/>
          <w:sz w:val="24"/>
          <w:szCs w:val="24"/>
          <w:lang w:eastAsia="zh-CN"/>
        </w:rPr>
      </w:pPr>
      <w:bookmarkStart w:id="701" w:name="bookmark1312"/>
      <w:bookmarkStart w:id="702" w:name="bookmark1311"/>
      <w:bookmarkStart w:id="703" w:name="_Toc6776"/>
      <w:bookmarkStart w:id="704" w:name="bookmark1310"/>
      <w:r>
        <w:rPr>
          <w:color w:val="auto"/>
          <w:sz w:val="24"/>
          <w:szCs w:val="24"/>
          <w:lang w:eastAsia="zh-CN"/>
        </w:rPr>
        <w:t>15.8暂估价</w:t>
      </w:r>
      <w:bookmarkEnd w:id="701"/>
      <w:bookmarkEnd w:id="702"/>
      <w:bookmarkEnd w:id="703"/>
      <w:bookmarkEnd w:id="704"/>
    </w:p>
    <w:p>
      <w:pPr>
        <w:pStyle w:val="45"/>
        <w:spacing w:after="80" w:line="374" w:lineRule="exact"/>
        <w:ind w:firstLine="440"/>
        <w:jc w:val="both"/>
        <w:rPr>
          <w:rFonts w:ascii="Times New Roman" w:hAnsi="Times New Roman" w:cs="Times New Roman"/>
          <w:color w:val="auto"/>
          <w:sz w:val="24"/>
          <w:szCs w:val="24"/>
        </w:rPr>
      </w:pPr>
      <w:bookmarkStart w:id="705" w:name="bookmark1313"/>
      <w:bookmarkEnd w:id="705"/>
      <w:r>
        <w:rPr>
          <w:rFonts w:ascii="Times New Roman" w:hAnsi="Times New Roman" w:cs="Times New Roman"/>
          <w:color w:val="auto"/>
          <w:sz w:val="24"/>
          <w:szCs w:val="24"/>
        </w:rPr>
        <w:t>15.8.1发包人在工程量清单中给定暂估价的材料、工程设备和专业工程属于依法必须招标的范围并达到规定的规模标准的，若承包人不具备承担暂估价项目的能力或具备承担暂估价项目的能力但明确不参与投标的，由发包人和承包人组织招标；若承包人具备承担暂估价项目的能力且明确参与投标的，由发包人组织招标。暂估价项目中标金额与工程 量清单中所列金额差以及相应的税金等其他费用列入合同价格。必须招标的暂估价项目招标组织形式、发包人和承包人组织招标时双方的权利义务关系在专用合同条款中约定。</w:t>
      </w:r>
    </w:p>
    <w:p>
      <w:pPr>
        <w:pStyle w:val="45"/>
        <w:spacing w:after="80" w:line="374" w:lineRule="exact"/>
        <w:ind w:firstLine="440"/>
        <w:jc w:val="both"/>
        <w:rPr>
          <w:rFonts w:ascii="Times New Roman" w:hAnsi="Times New Roman" w:cs="Times New Roman"/>
          <w:color w:val="auto"/>
          <w:sz w:val="24"/>
          <w:szCs w:val="24"/>
        </w:rPr>
      </w:pPr>
      <w:bookmarkStart w:id="706" w:name="bookmark1314"/>
      <w:bookmarkEnd w:id="706"/>
      <w:r>
        <w:rPr>
          <w:rFonts w:ascii="Times New Roman" w:hAnsi="Times New Roman" w:cs="Times New Roman"/>
          <w:color w:val="auto"/>
          <w:sz w:val="24"/>
          <w:szCs w:val="24"/>
        </w:rPr>
        <w:t>15.8.2发包人在工程量清单中给定暂估价的材料和工程设备不属于依法必须招标的范围或未达到规定的规模标准的，应由承包人按第5.1款的约定提供。经监理人确认的材料、工程设备的价格与工程量清单中所列的暂估价的金额差以及相应的税金等其他费用列入合同价格。</w:t>
      </w:r>
    </w:p>
    <w:p>
      <w:pPr>
        <w:pStyle w:val="45"/>
        <w:spacing w:after="80" w:line="374" w:lineRule="exact"/>
        <w:ind w:firstLine="440"/>
        <w:jc w:val="both"/>
        <w:rPr>
          <w:rFonts w:ascii="Times New Roman" w:hAnsi="Times New Roman" w:cs="Times New Roman"/>
          <w:color w:val="auto"/>
          <w:sz w:val="24"/>
          <w:szCs w:val="24"/>
        </w:rPr>
      </w:pPr>
      <w:bookmarkStart w:id="707" w:name="bookmark1315"/>
      <w:bookmarkEnd w:id="707"/>
      <w:r>
        <w:rPr>
          <w:rFonts w:ascii="Times New Roman" w:hAnsi="Times New Roman" w:cs="Times New Roman"/>
          <w:color w:val="auto"/>
          <w:sz w:val="24"/>
          <w:szCs w:val="24"/>
        </w:rPr>
        <w:t>15.8.3发包人在工程量清单中给定暂估价的专业工程不属于依法必须招标的范围或未达到规定的规模标准的，由监理人按照第15.4款进行估价，但专用合同条款另有约定的除外。经估价的专业工程与工程量清单中所列的暂估价的金额差以及相应的税金等其他费用列入合同价格。</w:t>
      </w:r>
    </w:p>
    <w:p>
      <w:pPr>
        <w:pStyle w:val="5"/>
        <w:spacing w:line="360" w:lineRule="exact"/>
        <w:rPr>
          <w:rFonts w:hint="eastAsia"/>
          <w:color w:val="auto"/>
          <w:sz w:val="24"/>
          <w:szCs w:val="24"/>
          <w:lang w:eastAsia="zh-CN"/>
        </w:rPr>
      </w:pPr>
      <w:bookmarkStart w:id="708" w:name="_Toc242"/>
      <w:bookmarkStart w:id="709" w:name="bookmark1316"/>
      <w:bookmarkStart w:id="710" w:name="_Toc190018465"/>
      <w:bookmarkStart w:id="711" w:name="bookmark1317"/>
      <w:bookmarkStart w:id="712" w:name="bookmark1318"/>
      <w:bookmarkStart w:id="713" w:name="_Toc2081"/>
      <w:r>
        <w:rPr>
          <w:rFonts w:hint="eastAsia"/>
          <w:color w:val="auto"/>
          <w:sz w:val="24"/>
          <w:szCs w:val="24"/>
          <w:lang w:eastAsia="zh-CN"/>
        </w:rPr>
        <w:t>16 .价格调整</w:t>
      </w:r>
      <w:bookmarkEnd w:id="708"/>
      <w:bookmarkEnd w:id="709"/>
      <w:bookmarkEnd w:id="710"/>
      <w:bookmarkEnd w:id="711"/>
      <w:bookmarkEnd w:id="712"/>
      <w:bookmarkEnd w:id="713"/>
    </w:p>
    <w:p>
      <w:pPr>
        <w:pStyle w:val="6"/>
        <w:ind w:left="0" w:leftChars="0" w:firstLine="0" w:firstLineChars="0"/>
        <w:rPr>
          <w:color w:val="auto"/>
          <w:sz w:val="24"/>
          <w:szCs w:val="24"/>
          <w:lang w:eastAsia="zh-CN"/>
        </w:rPr>
      </w:pPr>
      <w:bookmarkStart w:id="714" w:name="bookmark1319"/>
      <w:bookmarkStart w:id="715" w:name="_Toc2131"/>
      <w:bookmarkStart w:id="716" w:name="bookmark1320"/>
      <w:bookmarkStart w:id="717" w:name="bookmark1321"/>
      <w:r>
        <w:rPr>
          <w:color w:val="auto"/>
          <w:sz w:val="24"/>
          <w:szCs w:val="24"/>
          <w:lang w:eastAsia="zh-CN"/>
        </w:rPr>
        <w:t>16.1物价波动引起的价格调整</w:t>
      </w:r>
      <w:bookmarkEnd w:id="714"/>
      <w:bookmarkEnd w:id="715"/>
      <w:bookmarkEnd w:id="716"/>
      <w:bookmarkEnd w:id="717"/>
    </w:p>
    <w:p>
      <w:pPr>
        <w:pStyle w:val="45"/>
        <w:spacing w:line="347" w:lineRule="exact"/>
        <w:ind w:firstLine="420"/>
        <w:jc w:val="both"/>
        <w:rPr>
          <w:color w:val="auto"/>
          <w:sz w:val="24"/>
          <w:szCs w:val="24"/>
        </w:rPr>
      </w:pPr>
      <w:r>
        <w:rPr>
          <w:color w:val="auto"/>
          <w:sz w:val="24"/>
          <w:szCs w:val="24"/>
        </w:rPr>
        <w:t>由于物价波动原因引起合同价格需要调整的，其价格调整方式在专用合同条款中约定</w:t>
      </w:r>
      <w:r>
        <w:rPr>
          <w:rFonts w:hint="eastAsia"/>
          <w:color w:val="auto"/>
          <w:sz w:val="24"/>
          <w:szCs w:val="24"/>
        </w:rPr>
        <w:t>；</w:t>
      </w:r>
      <w:r>
        <w:rPr>
          <w:color w:val="auto"/>
          <w:sz w:val="24"/>
          <w:szCs w:val="24"/>
        </w:rPr>
        <w:t>除专用合同条款另有约定外，因物价波动引起的价格调整按照本款约定处理。</w:t>
      </w:r>
    </w:p>
    <w:p>
      <w:pPr>
        <w:pStyle w:val="45"/>
        <w:tabs>
          <w:tab w:val="left" w:pos="839"/>
        </w:tabs>
        <w:spacing w:line="347" w:lineRule="exact"/>
        <w:ind w:left="420" w:firstLine="0"/>
        <w:jc w:val="both"/>
        <w:rPr>
          <w:color w:val="auto"/>
          <w:sz w:val="24"/>
          <w:szCs w:val="24"/>
        </w:rPr>
      </w:pPr>
      <w:bookmarkStart w:id="718" w:name="bookmark1322"/>
      <w:bookmarkEnd w:id="718"/>
      <w:r>
        <w:rPr>
          <w:rFonts w:hint="eastAsia" w:ascii="Times New Roman" w:hAnsi="Times New Roman" w:cs="Times New Roman"/>
          <w:color w:val="auto"/>
          <w:sz w:val="24"/>
          <w:szCs w:val="24"/>
          <w:lang w:val="en-US" w:bidi="en-US"/>
        </w:rPr>
        <w:t>16.</w:t>
      </w:r>
      <w:r>
        <w:rPr>
          <w:rFonts w:ascii="Times New Roman" w:hAnsi="Times New Roman" w:eastAsia="Times New Roman" w:cs="Times New Roman"/>
          <w:color w:val="auto"/>
          <w:sz w:val="24"/>
          <w:szCs w:val="24"/>
          <w:lang w:val="en-US" w:bidi="en-US"/>
        </w:rPr>
        <w:t xml:space="preserve">1. </w:t>
      </w:r>
      <w:r>
        <w:rPr>
          <w:rFonts w:ascii="Times New Roman" w:hAnsi="Times New Roman" w:eastAsia="Times New Roman" w:cs="Times New Roman"/>
          <w:color w:val="auto"/>
          <w:sz w:val="24"/>
          <w:szCs w:val="24"/>
        </w:rPr>
        <w:t>1</w:t>
      </w:r>
      <w:r>
        <w:rPr>
          <w:color w:val="auto"/>
          <w:sz w:val="24"/>
          <w:szCs w:val="24"/>
        </w:rPr>
        <w:t>采用价格指数调整价格差额</w:t>
      </w:r>
    </w:p>
    <w:p>
      <w:pPr>
        <w:pStyle w:val="46"/>
        <w:tabs>
          <w:tab w:val="left" w:pos="839"/>
        </w:tabs>
        <w:spacing w:after="0" w:line="347" w:lineRule="exact"/>
        <w:ind w:left="420" w:firstLine="0"/>
        <w:jc w:val="both"/>
        <w:rPr>
          <w:color w:val="auto"/>
          <w:sz w:val="24"/>
          <w:szCs w:val="24"/>
          <w:lang w:eastAsia="zh-CN"/>
        </w:rPr>
      </w:pPr>
      <w:bookmarkStart w:id="719" w:name="bookmark1323"/>
      <w:bookmarkEnd w:id="719"/>
      <w:r>
        <w:rPr>
          <w:rFonts w:hint="eastAsia"/>
          <w:color w:val="auto"/>
          <w:sz w:val="24"/>
          <w:szCs w:val="24"/>
          <w:lang w:eastAsia="zh-CN"/>
        </w:rPr>
        <w:t xml:space="preserve">16. </w:t>
      </w:r>
      <w:r>
        <w:rPr>
          <w:color w:val="auto"/>
          <w:sz w:val="24"/>
          <w:szCs w:val="24"/>
          <w:lang w:eastAsia="zh-CN"/>
        </w:rPr>
        <w:t xml:space="preserve">1. 1. </w:t>
      </w:r>
      <w:r>
        <w:rPr>
          <w:color w:val="auto"/>
          <w:sz w:val="24"/>
          <w:szCs w:val="24"/>
          <w:lang w:val="zh-CN" w:eastAsia="zh-CN" w:bidi="zh-CN"/>
        </w:rPr>
        <w:t>1</w:t>
      </w:r>
      <w:r>
        <w:rPr>
          <w:rFonts w:ascii="宋体" w:hAnsi="宋体" w:cs="宋体"/>
          <w:color w:val="auto"/>
          <w:sz w:val="24"/>
          <w:szCs w:val="24"/>
          <w:lang w:val="zh-CN" w:eastAsia="zh-CN" w:bidi="zh-CN"/>
        </w:rPr>
        <w:t>价格调整公式</w:t>
      </w:r>
    </w:p>
    <w:p>
      <w:pPr>
        <w:pStyle w:val="45"/>
        <w:spacing w:after="140" w:line="347" w:lineRule="exact"/>
        <w:ind w:firstLine="420"/>
        <w:jc w:val="both"/>
        <w:rPr>
          <w:color w:val="auto"/>
          <w:sz w:val="24"/>
          <w:szCs w:val="24"/>
        </w:rPr>
      </w:pPr>
      <w:r>
        <w:rPr>
          <w:color w:val="auto"/>
          <w:sz w:val="24"/>
          <w:szCs w:val="24"/>
        </w:rPr>
        <w:t>因人工、材料和设备等价格波动影响合同价格时，根据投标函附录中的价格指数和权重表约定的数据，按以下公式计算差额并调整合同价格。</w:t>
      </w:r>
    </w:p>
    <w:p>
      <w:pPr>
        <w:pStyle w:val="45"/>
        <w:spacing w:line="240" w:lineRule="auto"/>
        <w:ind w:firstLine="420"/>
        <w:rPr>
          <w:color w:val="auto"/>
          <w:sz w:val="24"/>
          <w:szCs w:val="24"/>
          <w:lang w:val="en-US"/>
        </w:rPr>
      </w:pPr>
      <w:r>
        <w:rPr>
          <w:rFonts w:hint="eastAsia"/>
          <w:color w:val="auto"/>
          <w:position w:val="-34"/>
          <w:sz w:val="24"/>
          <w:szCs w:val="24"/>
        </w:rPr>
        <w:object>
          <v:shape id="_x0000_i1025" o:spt="75" type="#_x0000_t75" style="height:49.5pt;width:324.05pt;" o:ole="t" filled="f" o:preferrelative="t" stroked="f" coordsize="21600,21600">
            <v:path/>
            <v:fill on="f" focussize="0,0"/>
            <v:stroke on="f"/>
            <v:imagedata r:id="rId23" o:title=""/>
            <o:lock v:ext="edit" aspectratio="t"/>
            <w10:wrap type="none"/>
            <w10:anchorlock/>
          </v:shape>
          <o:OLEObject Type="Embed" ProgID="Equation.3" ShapeID="_x0000_i1025" DrawAspect="Content" ObjectID="_1468075725" r:id="rId22">
            <o:LockedField>false</o:LockedField>
          </o:OLEObject>
        </w:object>
      </w:r>
    </w:p>
    <w:p>
      <w:pPr>
        <w:pStyle w:val="45"/>
        <w:spacing w:line="374" w:lineRule="exact"/>
        <w:ind w:firstLine="420"/>
        <w:rPr>
          <w:color w:val="auto"/>
          <w:sz w:val="24"/>
          <w:szCs w:val="24"/>
          <w:lang w:val="en-US"/>
        </w:rPr>
      </w:pPr>
    </w:p>
    <w:p>
      <w:pPr>
        <w:pStyle w:val="45"/>
        <w:spacing w:line="374" w:lineRule="exact"/>
        <w:ind w:firstLine="4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式中： △P -- 需调整的价格差额；</w:t>
      </w:r>
    </w:p>
    <w:p>
      <w:pPr>
        <w:pStyle w:val="45"/>
        <w:spacing w:line="374" w:lineRule="exact"/>
        <w:ind w:firstLine="4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P0 -- 第17.3.3项、第17.5.2项和第17.6.2项约定的付款证书中承包人应得到的已完成工程量的金额。此项金额应不包括价格调整、不计质量保证金的扣留和支付、预付款的支付和扣回。第15条约定的变更及其他金额已按现行价格计价的，也不计在内；</w:t>
      </w:r>
    </w:p>
    <w:p>
      <w:pPr>
        <w:pStyle w:val="45"/>
        <w:spacing w:line="374" w:lineRule="exact"/>
        <w:ind w:firstLine="420"/>
        <w:rPr>
          <w:rFonts w:ascii="Times New Roman" w:hAnsi="Times New Roman" w:cs="Times New Roman"/>
          <w:color w:val="auto"/>
          <w:sz w:val="24"/>
          <w:szCs w:val="24"/>
          <w:lang w:val="en-US"/>
        </w:rPr>
      </w:pPr>
      <w:bookmarkStart w:id="720" w:name="_Toc152042495"/>
      <w:bookmarkStart w:id="721" w:name="_Toc144974686"/>
      <w:r>
        <w:rPr>
          <w:rFonts w:ascii="Times New Roman" w:hAnsi="Times New Roman" w:cs="Times New Roman"/>
          <w:color w:val="auto"/>
          <w:sz w:val="24"/>
          <w:szCs w:val="24"/>
          <w:lang w:val="en-US"/>
        </w:rPr>
        <w:t>A -- 定值权重(即不调部分的权重)；</w:t>
      </w:r>
      <w:bookmarkEnd w:id="720"/>
      <w:bookmarkEnd w:id="721"/>
    </w:p>
    <w:p>
      <w:pPr>
        <w:pStyle w:val="45"/>
        <w:spacing w:line="374" w:lineRule="exact"/>
        <w:ind w:firstLine="4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B1；B2；B3·····Bn -- 各可调因子的变值权重(即可调部分的权重)为各可调因子在投标函投标总报价中所占的比例；</w:t>
      </w:r>
    </w:p>
    <w:p>
      <w:pPr>
        <w:pStyle w:val="45"/>
        <w:spacing w:line="374" w:lineRule="exact"/>
        <w:ind w:firstLine="420"/>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Ft1；Ft2；Ft3·····Ftn -- 各可调因子的现行价格指数，指第17.3.3项、第17.5.2项和第17.6.2项约定的付款证书相关周期最后一天的前42天的各可调因子的价格指数；</w:t>
      </w:r>
    </w:p>
    <w:p>
      <w:pPr>
        <w:pStyle w:val="45"/>
        <w:spacing w:line="374" w:lineRule="exact"/>
        <w:ind w:firstLine="42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Fo1；Fo2; Fo3·····Fon -- 各可调因子的基本价格指数，指基准日期的各可调因子的价格指数。</w:t>
      </w:r>
    </w:p>
    <w:p>
      <w:pPr>
        <w:pStyle w:val="45"/>
        <w:spacing w:after="120" w:line="353" w:lineRule="exact"/>
        <w:ind w:firstLine="420"/>
        <w:jc w:val="both"/>
        <w:rPr>
          <w:color w:val="auto"/>
          <w:sz w:val="24"/>
          <w:szCs w:val="24"/>
        </w:rPr>
      </w:pPr>
      <w:r>
        <w:rPr>
          <w:rFonts w:ascii="Times New Roman" w:hAnsi="Times New Roman" w:cs="Times New Roman"/>
          <w:color w:val="auto"/>
          <w:sz w:val="24"/>
          <w:szCs w:val="24"/>
        </w:rPr>
        <w:t>以上价格调整公式中的各可调因子、定值和变值权重，以及基本价格指数及其来源在投标函附录价格指数和权重表中约定。价格指数应首先采用有关部门提供的价格指数，缺乏上述价格指数时，可采用有关部门提供的价格代替。</w:t>
      </w:r>
    </w:p>
    <w:p>
      <w:pPr>
        <w:pStyle w:val="45"/>
        <w:spacing w:line="379" w:lineRule="auto"/>
        <w:ind w:firstLine="420"/>
        <w:rPr>
          <w:color w:val="auto"/>
          <w:sz w:val="24"/>
          <w:szCs w:val="24"/>
        </w:rPr>
      </w:pPr>
      <w:r>
        <w:rPr>
          <w:rFonts w:ascii="Times New Roman" w:hAnsi="Times New Roman" w:eastAsia="Times New Roman" w:cs="Times New Roman"/>
          <w:color w:val="auto"/>
          <w:sz w:val="24"/>
          <w:szCs w:val="24"/>
          <w:lang w:val="en-US" w:bidi="en-US"/>
        </w:rPr>
        <w:t>16.1.1.2</w:t>
      </w:r>
      <w:r>
        <w:rPr>
          <w:color w:val="auto"/>
          <w:sz w:val="24"/>
          <w:szCs w:val="24"/>
        </w:rPr>
        <w:t>暂时确定调整差额</w:t>
      </w:r>
    </w:p>
    <w:p>
      <w:pPr>
        <w:pStyle w:val="45"/>
        <w:spacing w:after="120" w:line="362" w:lineRule="exact"/>
        <w:ind w:firstLine="440"/>
        <w:jc w:val="both"/>
        <w:rPr>
          <w:color w:val="auto"/>
          <w:sz w:val="24"/>
          <w:szCs w:val="24"/>
        </w:rPr>
      </w:pPr>
      <w:r>
        <w:rPr>
          <w:color w:val="auto"/>
          <w:sz w:val="24"/>
          <w:szCs w:val="24"/>
        </w:rPr>
        <w:t>在计算调整差额时得不到现行价格指数的，可暂用上一次价格指数计算，并在以后的付款中再按实际价格指数进行调整。</w:t>
      </w:r>
    </w:p>
    <w:p>
      <w:pPr>
        <w:pStyle w:val="46"/>
        <w:spacing w:after="0" w:line="386" w:lineRule="auto"/>
        <w:ind w:firstLine="440"/>
        <w:jc w:val="both"/>
        <w:rPr>
          <w:color w:val="auto"/>
          <w:sz w:val="24"/>
          <w:szCs w:val="24"/>
          <w:lang w:eastAsia="zh-CN"/>
        </w:rPr>
      </w:pPr>
      <w:r>
        <w:rPr>
          <w:color w:val="auto"/>
          <w:sz w:val="24"/>
          <w:szCs w:val="24"/>
          <w:lang w:eastAsia="zh-CN"/>
        </w:rPr>
        <w:t>16.1.1.3</w:t>
      </w:r>
      <w:r>
        <w:rPr>
          <w:rFonts w:ascii="宋体" w:hAnsi="宋体" w:cs="宋体"/>
          <w:color w:val="auto"/>
          <w:sz w:val="24"/>
          <w:szCs w:val="24"/>
          <w:lang w:val="zh-CN" w:eastAsia="zh-CN" w:bidi="zh-CN"/>
        </w:rPr>
        <w:t>权重的调整</w:t>
      </w:r>
    </w:p>
    <w:p>
      <w:pPr>
        <w:pStyle w:val="45"/>
        <w:spacing w:after="120" w:line="370" w:lineRule="exact"/>
        <w:ind w:firstLine="440"/>
        <w:jc w:val="both"/>
        <w:rPr>
          <w:color w:val="auto"/>
          <w:sz w:val="24"/>
          <w:szCs w:val="24"/>
        </w:rPr>
      </w:pPr>
      <w:r>
        <w:rPr>
          <w:color w:val="auto"/>
          <w:sz w:val="24"/>
          <w:szCs w:val="24"/>
        </w:rPr>
        <w:t>按第</w:t>
      </w:r>
      <w:r>
        <w:rPr>
          <w:rFonts w:ascii="Times New Roman" w:hAnsi="Times New Roman" w:eastAsia="Times New Roman" w:cs="Times New Roman"/>
          <w:color w:val="auto"/>
          <w:sz w:val="24"/>
          <w:szCs w:val="24"/>
          <w:lang w:val="en-US" w:bidi="en-US"/>
        </w:rPr>
        <w:t xml:space="preserve">15. </w:t>
      </w:r>
      <w:r>
        <w:rPr>
          <w:rFonts w:ascii="Times New Roman" w:hAnsi="Times New Roman" w:eastAsia="Times New Roman" w:cs="Times New Roman"/>
          <w:color w:val="auto"/>
          <w:sz w:val="24"/>
          <w:szCs w:val="24"/>
        </w:rPr>
        <w:t>1</w:t>
      </w:r>
      <w:r>
        <w:rPr>
          <w:color w:val="auto"/>
          <w:sz w:val="24"/>
          <w:szCs w:val="24"/>
        </w:rPr>
        <w:t>款约定的变更导致原定合同中的权重不合理时，由监理人与承包人和发包人协商后进行调整。</w:t>
      </w:r>
    </w:p>
    <w:p>
      <w:pPr>
        <w:pStyle w:val="45"/>
        <w:spacing w:line="374" w:lineRule="auto"/>
        <w:ind w:firstLine="420"/>
        <w:rPr>
          <w:color w:val="auto"/>
          <w:sz w:val="24"/>
          <w:szCs w:val="24"/>
        </w:rPr>
      </w:pPr>
      <w:r>
        <w:rPr>
          <w:rFonts w:ascii="Times New Roman" w:hAnsi="Times New Roman" w:eastAsia="Times New Roman" w:cs="Times New Roman"/>
          <w:color w:val="auto"/>
          <w:sz w:val="24"/>
          <w:szCs w:val="24"/>
          <w:lang w:val="en-US" w:bidi="en-US"/>
        </w:rPr>
        <w:t>16.1.1.4</w:t>
      </w:r>
      <w:r>
        <w:rPr>
          <w:color w:val="auto"/>
          <w:sz w:val="24"/>
          <w:szCs w:val="24"/>
        </w:rPr>
        <w:t>承包人工期延误后的价格调整</w:t>
      </w:r>
    </w:p>
    <w:p>
      <w:pPr>
        <w:pStyle w:val="45"/>
        <w:spacing w:after="120" w:line="356" w:lineRule="exact"/>
        <w:ind w:firstLine="440"/>
        <w:jc w:val="both"/>
        <w:rPr>
          <w:color w:val="auto"/>
          <w:sz w:val="24"/>
          <w:szCs w:val="24"/>
        </w:rPr>
      </w:pPr>
      <w:r>
        <w:rPr>
          <w:color w:val="auto"/>
          <w:sz w:val="24"/>
          <w:szCs w:val="24"/>
        </w:rPr>
        <w:t>由于承包人原因未在约定的工期内竣工的，则对原约定竣工日期后继续施工的工程, 在使用第</w:t>
      </w:r>
      <w:r>
        <w:rPr>
          <w:rFonts w:ascii="Times New Roman" w:hAnsi="Times New Roman" w:eastAsia="Times New Roman" w:cs="Times New Roman"/>
          <w:color w:val="auto"/>
          <w:sz w:val="24"/>
          <w:szCs w:val="24"/>
          <w:lang w:val="en-US" w:bidi="en-US"/>
        </w:rPr>
        <w:t xml:space="preserve">16. 1. 1. </w:t>
      </w:r>
      <w:r>
        <w:rPr>
          <w:rFonts w:ascii="Times New Roman" w:hAnsi="Times New Roman" w:eastAsia="Times New Roman" w:cs="Times New Roman"/>
          <w:color w:val="auto"/>
          <w:sz w:val="24"/>
          <w:szCs w:val="24"/>
        </w:rPr>
        <w:t>1</w:t>
      </w:r>
      <w:r>
        <w:rPr>
          <w:color w:val="auto"/>
          <w:sz w:val="24"/>
          <w:szCs w:val="24"/>
        </w:rPr>
        <w:t>目价格调整公式时，应采用原约定竣工日期与实际竣工日期的两个价格指数中较低的一个作为现行价格指数。</w:t>
      </w:r>
    </w:p>
    <w:p>
      <w:pPr>
        <w:pStyle w:val="45"/>
        <w:tabs>
          <w:tab w:val="left" w:pos="861"/>
        </w:tabs>
        <w:spacing w:line="374" w:lineRule="auto"/>
        <w:ind w:firstLine="0"/>
        <w:jc w:val="both"/>
        <w:rPr>
          <w:color w:val="auto"/>
          <w:sz w:val="24"/>
          <w:szCs w:val="24"/>
        </w:rPr>
      </w:pPr>
      <w:bookmarkStart w:id="722" w:name="bookmark1325"/>
      <w:bookmarkEnd w:id="722"/>
      <w:r>
        <w:rPr>
          <w:rFonts w:hint="eastAsia" w:ascii="Times New Roman" w:hAnsi="Times New Roman" w:cs="Times New Roman"/>
          <w:color w:val="auto"/>
          <w:sz w:val="24"/>
          <w:szCs w:val="24"/>
          <w:lang w:val="en-US" w:bidi="en-US"/>
        </w:rPr>
        <w:t>16.</w:t>
      </w:r>
      <w:r>
        <w:rPr>
          <w:rFonts w:ascii="Times New Roman" w:hAnsi="Times New Roman" w:eastAsia="Times New Roman" w:cs="Times New Roman"/>
          <w:color w:val="auto"/>
          <w:sz w:val="24"/>
          <w:szCs w:val="24"/>
          <w:lang w:val="en-US" w:bidi="en-US"/>
        </w:rPr>
        <w:t xml:space="preserve">1. </w:t>
      </w:r>
      <w:r>
        <w:rPr>
          <w:rFonts w:ascii="Times New Roman" w:hAnsi="Times New Roman" w:eastAsia="Times New Roman" w:cs="Times New Roman"/>
          <w:color w:val="auto"/>
          <w:sz w:val="24"/>
          <w:szCs w:val="24"/>
        </w:rPr>
        <w:t>2</w:t>
      </w:r>
      <w:r>
        <w:rPr>
          <w:color w:val="auto"/>
          <w:sz w:val="24"/>
          <w:szCs w:val="24"/>
        </w:rPr>
        <w:t>采用造价信息调整价格差额</w:t>
      </w:r>
    </w:p>
    <w:p>
      <w:pPr>
        <w:pStyle w:val="45"/>
        <w:spacing w:line="359" w:lineRule="exact"/>
        <w:ind w:firstLine="440"/>
        <w:jc w:val="both"/>
        <w:rPr>
          <w:color w:val="auto"/>
          <w:sz w:val="24"/>
          <w:szCs w:val="24"/>
        </w:rPr>
      </w:pPr>
      <w:r>
        <w:rPr>
          <w:color w:val="auto"/>
          <w:sz w:val="24"/>
          <w:szCs w:val="24"/>
        </w:rPr>
        <w:t>施工期内，因人工、材料、设备和机械台班价格波动影响合同价格时，人工、机械使用费按照国家或省(自治区、直辖市)建设行政管理部门、行业建设管理部门或其授权的工程造价管理机构发布的人工成本信息、机械台班单价或机械使用费系数进行调整；需要进行价格调整的材料，其单价和采购数应由监理人复核，监理人确认需调整的材料单价及数量，作为调整工程合同价格差额的依据。</w:t>
      </w:r>
    </w:p>
    <w:p>
      <w:pPr>
        <w:pStyle w:val="45"/>
        <w:spacing w:after="160" w:line="359" w:lineRule="exact"/>
        <w:ind w:firstLine="420"/>
        <w:rPr>
          <w:color w:val="auto"/>
          <w:sz w:val="24"/>
          <w:szCs w:val="24"/>
        </w:rPr>
      </w:pPr>
      <w:r>
        <w:rPr>
          <w:color w:val="auto"/>
          <w:sz w:val="24"/>
          <w:szCs w:val="24"/>
        </w:rPr>
        <w:t>工程造价信息的来源以及价格调整的项目和系数在专用合同条款中约定。</w:t>
      </w:r>
    </w:p>
    <w:p>
      <w:pPr>
        <w:pStyle w:val="6"/>
        <w:ind w:left="0" w:leftChars="0" w:firstLine="0" w:firstLineChars="0"/>
        <w:rPr>
          <w:color w:val="auto"/>
          <w:sz w:val="24"/>
          <w:szCs w:val="24"/>
          <w:lang w:eastAsia="zh-CN"/>
        </w:rPr>
      </w:pPr>
      <w:bookmarkStart w:id="723" w:name="bookmark1327"/>
      <w:bookmarkStart w:id="724" w:name="bookmark1328"/>
      <w:bookmarkStart w:id="725" w:name="_Toc30516"/>
      <w:bookmarkStart w:id="726" w:name="bookmark1326"/>
      <w:r>
        <w:rPr>
          <w:color w:val="auto"/>
          <w:sz w:val="24"/>
          <w:szCs w:val="24"/>
          <w:lang w:eastAsia="zh-CN"/>
        </w:rPr>
        <w:t>16.2法律变化引起的价格调整</w:t>
      </w:r>
      <w:bookmarkEnd w:id="723"/>
      <w:bookmarkEnd w:id="724"/>
      <w:bookmarkEnd w:id="725"/>
      <w:bookmarkEnd w:id="726"/>
    </w:p>
    <w:p>
      <w:pPr>
        <w:pStyle w:val="45"/>
        <w:spacing w:after="300" w:line="348" w:lineRule="exact"/>
        <w:ind w:firstLine="440"/>
        <w:jc w:val="both"/>
        <w:rPr>
          <w:color w:val="auto"/>
          <w:sz w:val="24"/>
          <w:szCs w:val="24"/>
        </w:rPr>
      </w:pPr>
      <w:r>
        <w:rPr>
          <w:color w:val="auto"/>
          <w:sz w:val="24"/>
          <w:szCs w:val="24"/>
        </w:rPr>
        <w:t>在基准日后，因法律变化导致承包人在合同履行中所需要的工程费用发生除第</w:t>
      </w:r>
      <w:r>
        <w:rPr>
          <w:rFonts w:ascii="Times New Roman" w:hAnsi="Times New Roman" w:eastAsia="Times New Roman" w:cs="Times New Roman"/>
          <w:color w:val="auto"/>
          <w:sz w:val="24"/>
          <w:szCs w:val="24"/>
          <w:lang w:val="en-US" w:bidi="en-US"/>
        </w:rPr>
        <w:t xml:space="preserve">16. </w:t>
      </w:r>
      <w:r>
        <w:rPr>
          <w:rFonts w:ascii="Times New Roman" w:hAnsi="Times New Roman" w:eastAsia="Times New Roman" w:cs="Times New Roman"/>
          <w:color w:val="auto"/>
          <w:sz w:val="24"/>
          <w:szCs w:val="24"/>
        </w:rPr>
        <w:t>1</w:t>
      </w:r>
      <w:r>
        <w:rPr>
          <w:color w:val="auto"/>
          <w:sz w:val="24"/>
          <w:szCs w:val="24"/>
        </w:rPr>
        <w:t>款约定以外的增减时，监理人应根据法律、国家或省、自治区、直辖市有关部门的规定，按第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color w:val="auto"/>
          <w:sz w:val="24"/>
          <w:szCs w:val="24"/>
        </w:rPr>
        <w:t>款商定或确定需调整的合同价款。</w:t>
      </w:r>
    </w:p>
    <w:p>
      <w:pPr>
        <w:pStyle w:val="5"/>
        <w:spacing w:line="360" w:lineRule="exact"/>
        <w:rPr>
          <w:rFonts w:hint="eastAsia"/>
          <w:color w:val="auto"/>
          <w:sz w:val="24"/>
          <w:szCs w:val="24"/>
          <w:lang w:eastAsia="zh-CN"/>
        </w:rPr>
      </w:pPr>
      <w:bookmarkStart w:id="727" w:name="bookmark1331"/>
      <w:bookmarkStart w:id="728" w:name="bookmark1329"/>
      <w:bookmarkStart w:id="729" w:name="_Toc1918800147"/>
      <w:bookmarkStart w:id="730" w:name="_Toc15158"/>
      <w:bookmarkStart w:id="731" w:name="bookmark1330"/>
      <w:bookmarkStart w:id="732" w:name="_Toc10610"/>
      <w:r>
        <w:rPr>
          <w:rFonts w:hint="eastAsia"/>
          <w:color w:val="auto"/>
          <w:sz w:val="24"/>
          <w:szCs w:val="24"/>
          <w:lang w:eastAsia="zh-CN"/>
        </w:rPr>
        <w:t>17.计量与支付</w:t>
      </w:r>
      <w:bookmarkEnd w:id="727"/>
      <w:bookmarkEnd w:id="728"/>
      <w:bookmarkEnd w:id="729"/>
      <w:bookmarkEnd w:id="730"/>
      <w:bookmarkEnd w:id="731"/>
      <w:bookmarkEnd w:id="732"/>
    </w:p>
    <w:p>
      <w:pPr>
        <w:pStyle w:val="6"/>
        <w:ind w:left="0" w:leftChars="0" w:firstLine="0" w:firstLineChars="0"/>
        <w:rPr>
          <w:color w:val="auto"/>
          <w:sz w:val="24"/>
          <w:szCs w:val="24"/>
          <w:lang w:eastAsia="zh-CN"/>
        </w:rPr>
      </w:pPr>
      <w:bookmarkStart w:id="733" w:name="bookmark1333"/>
      <w:bookmarkStart w:id="734" w:name="bookmark1334"/>
      <w:bookmarkStart w:id="735" w:name="_Toc7733"/>
      <w:bookmarkStart w:id="736" w:name="bookmark1332"/>
      <w:r>
        <w:rPr>
          <w:color w:val="auto"/>
          <w:sz w:val="24"/>
          <w:szCs w:val="24"/>
          <w:lang w:eastAsia="zh-CN"/>
        </w:rPr>
        <w:t>17.1计量</w:t>
      </w:r>
      <w:bookmarkEnd w:id="733"/>
      <w:bookmarkEnd w:id="734"/>
      <w:bookmarkEnd w:id="735"/>
      <w:bookmarkEnd w:id="736"/>
    </w:p>
    <w:p>
      <w:pPr>
        <w:pStyle w:val="46"/>
        <w:tabs>
          <w:tab w:val="left" w:pos="841"/>
        </w:tabs>
        <w:spacing w:after="0" w:line="360" w:lineRule="exact"/>
        <w:ind w:firstLine="0"/>
        <w:rPr>
          <w:rFonts w:ascii="Times New Roman" w:hAnsi="Times New Roman"/>
          <w:color w:val="auto"/>
          <w:sz w:val="24"/>
          <w:szCs w:val="24"/>
          <w:lang w:eastAsia="zh-CN"/>
        </w:rPr>
      </w:pPr>
      <w:bookmarkStart w:id="737" w:name="bookmark1335"/>
      <w:bookmarkEnd w:id="737"/>
      <w:r>
        <w:rPr>
          <w:rFonts w:ascii="Times New Roman" w:hAnsi="Times New Roman"/>
          <w:color w:val="auto"/>
          <w:sz w:val="24"/>
          <w:szCs w:val="24"/>
          <w:lang w:eastAsia="zh-CN"/>
        </w:rPr>
        <w:t xml:space="preserve">    17.1. </w:t>
      </w:r>
      <w:r>
        <w:rPr>
          <w:rFonts w:ascii="Times New Roman" w:hAnsi="Times New Roman"/>
          <w:color w:val="auto"/>
          <w:sz w:val="24"/>
          <w:szCs w:val="24"/>
          <w:lang w:val="zh-CN" w:eastAsia="zh-CN" w:bidi="zh-CN"/>
        </w:rPr>
        <w:t>1计量单位</w:t>
      </w:r>
    </w:p>
    <w:p>
      <w:pPr>
        <w:pStyle w:val="45"/>
        <w:spacing w:after="120" w:line="36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计量采用国家法定的计量单位。</w:t>
      </w:r>
    </w:p>
    <w:p>
      <w:pPr>
        <w:pStyle w:val="45"/>
        <w:tabs>
          <w:tab w:val="left" w:pos="841"/>
        </w:tabs>
        <w:spacing w:line="360" w:lineRule="exact"/>
        <w:ind w:left="420" w:firstLine="0"/>
        <w:rPr>
          <w:rFonts w:ascii="Times New Roman" w:hAnsi="Times New Roman" w:cs="Times New Roman"/>
          <w:color w:val="auto"/>
          <w:sz w:val="24"/>
          <w:szCs w:val="24"/>
        </w:rPr>
      </w:pPr>
      <w:bookmarkStart w:id="738" w:name="bookmark1336"/>
      <w:bookmarkEnd w:id="738"/>
      <w:r>
        <w:rPr>
          <w:rFonts w:hint="eastAsia" w:ascii="Times New Roman" w:hAnsi="Times New Roman" w:cs="Times New Roman"/>
          <w:color w:val="auto"/>
          <w:sz w:val="24"/>
          <w:szCs w:val="24"/>
          <w:lang w:val="en-US" w:bidi="en-US"/>
        </w:rPr>
        <w:t>17.</w:t>
      </w:r>
      <w:r>
        <w:rPr>
          <w:rFonts w:ascii="Times New Roman" w:hAnsi="Times New Roman" w:eastAsia="Times New Roman" w:cs="Times New Roman"/>
          <w:color w:val="auto"/>
          <w:sz w:val="24"/>
          <w:szCs w:val="24"/>
          <w:lang w:val="en-US" w:bidi="en-US"/>
        </w:rPr>
        <w:t xml:space="preserve">1. </w:t>
      </w:r>
      <w:r>
        <w:rPr>
          <w:rFonts w:ascii="Times New Roman" w:hAnsi="Times New Roman" w:eastAsia="Times New Roman" w:cs="Times New Roman"/>
          <w:color w:val="auto"/>
          <w:sz w:val="24"/>
          <w:szCs w:val="24"/>
        </w:rPr>
        <w:t>2</w:t>
      </w:r>
      <w:r>
        <w:rPr>
          <w:rFonts w:ascii="Times New Roman" w:hAnsi="Times New Roman" w:cs="Times New Roman"/>
          <w:color w:val="auto"/>
          <w:sz w:val="24"/>
          <w:szCs w:val="24"/>
        </w:rPr>
        <w:t>计量方法</w:t>
      </w:r>
    </w:p>
    <w:p>
      <w:pPr>
        <w:pStyle w:val="45"/>
        <w:spacing w:after="120" w:line="36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结算工程量应按工程量清单中约定的方法计算。</w:t>
      </w:r>
    </w:p>
    <w:p>
      <w:pPr>
        <w:pStyle w:val="46"/>
        <w:spacing w:after="0" w:line="360" w:lineRule="exact"/>
        <w:rPr>
          <w:rFonts w:ascii="Times New Roman" w:hAnsi="Times New Roman"/>
          <w:color w:val="auto"/>
          <w:sz w:val="24"/>
          <w:szCs w:val="24"/>
          <w:lang w:eastAsia="zh-CN"/>
        </w:rPr>
      </w:pPr>
      <w:r>
        <w:rPr>
          <w:rFonts w:ascii="Times New Roman" w:hAnsi="Times New Roman"/>
          <w:color w:val="auto"/>
          <w:sz w:val="24"/>
          <w:szCs w:val="24"/>
          <w:lang w:eastAsia="zh-CN"/>
        </w:rPr>
        <w:t>17.1.</w:t>
      </w:r>
      <w:r>
        <w:rPr>
          <w:rFonts w:ascii="Times New Roman" w:hAnsi="Times New Roman"/>
          <w:color w:val="auto"/>
          <w:sz w:val="24"/>
          <w:szCs w:val="24"/>
          <w:lang w:val="zh-CN" w:eastAsia="zh-CN" w:bidi="zh-CN"/>
        </w:rPr>
        <w:t>3计量周期</w:t>
      </w:r>
    </w:p>
    <w:p>
      <w:pPr>
        <w:pStyle w:val="45"/>
        <w:spacing w:after="120" w:line="360"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rPr>
        <w:t>除专用合同条款另有约定外，单价子目已完成工程量按月计量，总价子目的计量周期 按批准的支付分解报告确定。</w:t>
      </w:r>
    </w:p>
    <w:p>
      <w:pPr>
        <w:pStyle w:val="45"/>
        <w:spacing w:line="360"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eastAsia="en-US" w:bidi="en-US"/>
        </w:rPr>
        <w:t>17.1.4</w:t>
      </w:r>
      <w:r>
        <w:rPr>
          <w:rFonts w:ascii="Times New Roman" w:hAnsi="Times New Roman" w:cs="Times New Roman"/>
          <w:color w:val="auto"/>
          <w:sz w:val="24"/>
          <w:szCs w:val="24"/>
        </w:rPr>
        <w:t>单价子目的计量</w:t>
      </w:r>
    </w:p>
    <w:p>
      <w:pPr>
        <w:pStyle w:val="45"/>
        <w:numPr>
          <w:ilvl w:val="0"/>
          <w:numId w:val="17"/>
        </w:numPr>
        <w:tabs>
          <w:tab w:val="left" w:pos="920"/>
        </w:tabs>
        <w:spacing w:line="360" w:lineRule="exact"/>
        <w:ind w:firstLine="440"/>
        <w:jc w:val="both"/>
        <w:rPr>
          <w:rFonts w:ascii="Times New Roman" w:hAnsi="Times New Roman" w:cs="Times New Roman"/>
          <w:color w:val="auto"/>
          <w:sz w:val="24"/>
          <w:szCs w:val="24"/>
        </w:rPr>
      </w:pPr>
      <w:bookmarkStart w:id="739" w:name="bookmark1337"/>
      <w:bookmarkEnd w:id="739"/>
      <w:r>
        <w:rPr>
          <w:rFonts w:ascii="Times New Roman" w:hAnsi="Times New Roman" w:cs="Times New Roman"/>
          <w:color w:val="auto"/>
          <w:sz w:val="24"/>
          <w:szCs w:val="24"/>
        </w:rPr>
        <w:t>已标价工程量清单中的单价子目工程量为估算工程量。结算工程量是承包人实际完成的，并按合同约定的计量方法进行计量的工程量。</w:t>
      </w:r>
    </w:p>
    <w:p>
      <w:pPr>
        <w:pStyle w:val="45"/>
        <w:numPr>
          <w:ilvl w:val="0"/>
          <w:numId w:val="17"/>
        </w:numPr>
        <w:tabs>
          <w:tab w:val="left" w:pos="920"/>
        </w:tabs>
        <w:spacing w:line="360" w:lineRule="exact"/>
        <w:ind w:firstLine="440"/>
        <w:jc w:val="both"/>
        <w:rPr>
          <w:rFonts w:ascii="Times New Roman" w:hAnsi="Times New Roman" w:cs="Times New Roman"/>
          <w:color w:val="auto"/>
          <w:sz w:val="24"/>
          <w:szCs w:val="24"/>
        </w:rPr>
      </w:pPr>
      <w:bookmarkStart w:id="740" w:name="bookmark1338"/>
      <w:bookmarkEnd w:id="740"/>
      <w:r>
        <w:rPr>
          <w:rFonts w:ascii="Times New Roman" w:hAnsi="Times New Roman" w:cs="Times New Roman"/>
          <w:color w:val="auto"/>
          <w:sz w:val="24"/>
          <w:szCs w:val="24"/>
        </w:rPr>
        <w:t>承包人对已完成的工程进行计量，向监理人提交进度付款申请单、已完成工程量报表和有关计量资料。</w:t>
      </w:r>
    </w:p>
    <w:p>
      <w:pPr>
        <w:pStyle w:val="45"/>
        <w:numPr>
          <w:ilvl w:val="0"/>
          <w:numId w:val="17"/>
        </w:numPr>
        <w:tabs>
          <w:tab w:val="left" w:pos="483"/>
        </w:tabs>
        <w:spacing w:line="360"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rPr>
        <w:t>监理人对承包人提交的工程量报表进行复核，以确定实际完成的工程量。对数量</w:t>
      </w:r>
      <w:bookmarkStart w:id="741" w:name="bookmark1339"/>
      <w:bookmarkEnd w:id="741"/>
      <w:r>
        <w:rPr>
          <w:rFonts w:ascii="Times New Roman" w:hAnsi="Times New Roman" w:cs="Times New Roman"/>
          <w:color w:val="auto"/>
          <w:sz w:val="24"/>
          <w:szCs w:val="24"/>
        </w:rPr>
        <w:t>有异议的，可要求承包人按第</w:t>
      </w:r>
      <w:r>
        <w:rPr>
          <w:rFonts w:ascii="Times New Roman" w:hAnsi="Times New Roman" w:eastAsia="Times New Roman" w:cs="Times New Roman"/>
          <w:color w:val="auto"/>
          <w:sz w:val="24"/>
          <w:szCs w:val="24"/>
          <w:lang w:val="en-US" w:bidi="en-US"/>
        </w:rPr>
        <w:t xml:space="preserve">8. </w:t>
      </w:r>
      <w:r>
        <w:rPr>
          <w:rFonts w:ascii="Times New Roman" w:hAnsi="Times New Roman" w:eastAsia="Times New Roman" w:cs="Times New Roman"/>
          <w:color w:val="auto"/>
          <w:sz w:val="24"/>
          <w:szCs w:val="24"/>
        </w:rPr>
        <w:t>2</w:t>
      </w:r>
      <w:r>
        <w:rPr>
          <w:rFonts w:ascii="Times New Roman" w:hAnsi="Times New Roman" w:cs="Times New Roman"/>
          <w:color w:val="auto"/>
          <w:sz w:val="24"/>
          <w:szCs w:val="24"/>
        </w:rPr>
        <w:t>款约定进行共同复核和抽样复测。承包人应协助监理人进行复核并按监理人要求提供补充计量资料。承包人未按监理人要求参加复核，监理人复核或修正的工程量视为承包人实际完成的工程量。</w:t>
      </w:r>
    </w:p>
    <w:p>
      <w:pPr>
        <w:pStyle w:val="45"/>
        <w:numPr>
          <w:ilvl w:val="0"/>
          <w:numId w:val="17"/>
        </w:numPr>
        <w:tabs>
          <w:tab w:val="left" w:pos="899"/>
        </w:tabs>
        <w:spacing w:line="360" w:lineRule="exact"/>
        <w:ind w:firstLine="440"/>
        <w:jc w:val="both"/>
        <w:rPr>
          <w:rFonts w:ascii="Times New Roman" w:hAnsi="Times New Roman" w:cs="Times New Roman"/>
          <w:color w:val="auto"/>
          <w:sz w:val="24"/>
          <w:szCs w:val="24"/>
        </w:rPr>
      </w:pPr>
      <w:bookmarkStart w:id="742" w:name="bookmark1340"/>
      <w:bookmarkEnd w:id="742"/>
      <w:r>
        <w:rPr>
          <w:rFonts w:ascii="Times New Roman" w:hAnsi="Times New Roman" w:cs="Times New Roman"/>
          <w:color w:val="auto"/>
          <w:sz w:val="24"/>
          <w:szCs w:val="24"/>
        </w:rPr>
        <w:t>监理人认为有必要时，可通知承包人共同进行联合测量、计量，承包人应遵照执行。</w:t>
      </w:r>
    </w:p>
    <w:p>
      <w:pPr>
        <w:pStyle w:val="45"/>
        <w:numPr>
          <w:ilvl w:val="0"/>
          <w:numId w:val="17"/>
        </w:numPr>
        <w:tabs>
          <w:tab w:val="left" w:pos="902"/>
        </w:tabs>
        <w:spacing w:line="360" w:lineRule="exact"/>
        <w:ind w:firstLine="440"/>
        <w:jc w:val="both"/>
        <w:rPr>
          <w:rFonts w:ascii="Times New Roman" w:hAnsi="Times New Roman" w:cs="Times New Roman"/>
          <w:color w:val="auto"/>
          <w:sz w:val="24"/>
          <w:szCs w:val="24"/>
        </w:rPr>
      </w:pPr>
      <w:bookmarkStart w:id="743" w:name="bookmark1341"/>
      <w:bookmarkEnd w:id="743"/>
      <w:r>
        <w:rPr>
          <w:rFonts w:ascii="Times New Roman" w:hAnsi="Times New Roman" w:cs="Times New Roman"/>
          <w:color w:val="auto"/>
          <w:sz w:val="24"/>
          <w:szCs w:val="24"/>
        </w:rPr>
        <w:t>承包人完成工程量清单中每个子目的工程量后，监理人应要求承包人派员共同对每个子目的历次计量报表进行汇总，以核实最终结算工程量。监理人可要求承包人提供补充计量资料，以确定最后一次进度付款的准确工程量。承包人未按监理人要求派员参加的，监理人最终核实的工程量视为承包人完成该子目的准确工程量。</w:t>
      </w:r>
    </w:p>
    <w:p>
      <w:pPr>
        <w:pStyle w:val="45"/>
        <w:numPr>
          <w:ilvl w:val="0"/>
          <w:numId w:val="17"/>
        </w:numPr>
        <w:tabs>
          <w:tab w:val="left" w:pos="902"/>
        </w:tabs>
        <w:spacing w:line="360" w:lineRule="exact"/>
        <w:ind w:firstLine="440"/>
        <w:jc w:val="both"/>
        <w:rPr>
          <w:rFonts w:ascii="Times New Roman" w:hAnsi="Times New Roman" w:cs="Times New Roman"/>
          <w:color w:val="auto"/>
          <w:sz w:val="24"/>
          <w:szCs w:val="24"/>
        </w:rPr>
      </w:pPr>
      <w:bookmarkStart w:id="744" w:name="bookmark1342"/>
      <w:bookmarkEnd w:id="744"/>
      <w:r>
        <w:rPr>
          <w:rFonts w:ascii="Times New Roman" w:hAnsi="Times New Roman" w:cs="Times New Roman"/>
          <w:color w:val="auto"/>
          <w:sz w:val="24"/>
          <w:szCs w:val="24"/>
        </w:rPr>
        <w:t>监理人应在收到承包人提交的工程量报表后的</w:t>
      </w:r>
      <w:r>
        <w:rPr>
          <w:rFonts w:ascii="Times New Roman" w:hAnsi="Times New Roman" w:eastAsia="Times New Roman" w:cs="Times New Roman"/>
          <w:color w:val="auto"/>
          <w:sz w:val="24"/>
          <w:szCs w:val="24"/>
        </w:rPr>
        <w:t>7</w:t>
      </w:r>
      <w:r>
        <w:rPr>
          <w:rFonts w:ascii="Times New Roman" w:hAnsi="Times New Roman" w:cs="Times New Roman"/>
          <w:color w:val="auto"/>
          <w:sz w:val="24"/>
          <w:szCs w:val="24"/>
        </w:rPr>
        <w:t>天内进行复核，监理人未在约定时间内复核的，承包人提交的工程量报表中的工程量视为承包人实际完成的工程量，据此计算工程价款。</w:t>
      </w:r>
    </w:p>
    <w:p>
      <w:pPr>
        <w:pStyle w:val="45"/>
        <w:spacing w:line="360"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17.1.5</w:t>
      </w:r>
      <w:r>
        <w:rPr>
          <w:rFonts w:ascii="Times New Roman" w:hAnsi="Times New Roman" w:cs="Times New Roman"/>
          <w:color w:val="auto"/>
          <w:sz w:val="24"/>
          <w:szCs w:val="24"/>
        </w:rPr>
        <w:t>总价子目的计量</w:t>
      </w:r>
    </w:p>
    <w:p>
      <w:pPr>
        <w:pStyle w:val="45"/>
        <w:spacing w:line="360" w:lineRule="exact"/>
        <w:ind w:firstLine="420"/>
        <w:rPr>
          <w:rFonts w:ascii="Times New Roman" w:hAnsi="Times New Roman" w:cs="Times New Roman"/>
          <w:color w:val="auto"/>
          <w:sz w:val="24"/>
          <w:szCs w:val="24"/>
        </w:rPr>
      </w:pPr>
      <w:r>
        <w:rPr>
          <w:rFonts w:ascii="Times New Roman" w:hAnsi="Times New Roman" w:cs="Times New Roman"/>
          <w:color w:val="auto"/>
          <w:sz w:val="24"/>
          <w:szCs w:val="24"/>
        </w:rPr>
        <w:t>总价子目的分解和计量按照下述约定进行。</w:t>
      </w:r>
    </w:p>
    <w:p>
      <w:pPr>
        <w:pStyle w:val="45"/>
        <w:numPr>
          <w:ilvl w:val="0"/>
          <w:numId w:val="18"/>
        </w:numPr>
        <w:tabs>
          <w:tab w:val="left" w:pos="899"/>
        </w:tabs>
        <w:spacing w:line="360" w:lineRule="exact"/>
        <w:ind w:firstLine="440"/>
        <w:jc w:val="both"/>
        <w:rPr>
          <w:rFonts w:ascii="Times New Roman" w:hAnsi="Times New Roman" w:cs="Times New Roman"/>
          <w:color w:val="auto"/>
          <w:sz w:val="24"/>
          <w:szCs w:val="24"/>
        </w:rPr>
      </w:pPr>
      <w:bookmarkStart w:id="745" w:name="bookmark1343"/>
      <w:bookmarkEnd w:id="745"/>
      <w:r>
        <w:rPr>
          <w:rFonts w:ascii="Times New Roman" w:hAnsi="Times New Roman" w:cs="Times New Roman"/>
          <w:color w:val="auto"/>
          <w:sz w:val="24"/>
          <w:szCs w:val="24"/>
        </w:rPr>
        <w:t>总价子目的计量和支付应以总价为基础，不因第</w:t>
      </w:r>
      <w:r>
        <w:rPr>
          <w:rFonts w:ascii="Times New Roman" w:hAnsi="Times New Roman" w:eastAsia="Times New Roman" w:cs="Times New Roman"/>
          <w:color w:val="auto"/>
          <w:sz w:val="24"/>
          <w:szCs w:val="24"/>
          <w:lang w:val="en-US" w:bidi="en-US"/>
        </w:rPr>
        <w:t>16.1</w:t>
      </w:r>
      <w:r>
        <w:rPr>
          <w:rFonts w:ascii="Times New Roman" w:hAnsi="Times New Roman" w:cs="Times New Roman"/>
          <w:color w:val="auto"/>
          <w:sz w:val="24"/>
          <w:szCs w:val="24"/>
        </w:rPr>
        <w:t>款中的因素而进行调整。承包人实际完成的工程量，是进行工程目标管理和控制进度支付的依据。</w:t>
      </w:r>
    </w:p>
    <w:p>
      <w:pPr>
        <w:pStyle w:val="45"/>
        <w:numPr>
          <w:ilvl w:val="0"/>
          <w:numId w:val="18"/>
        </w:numPr>
        <w:tabs>
          <w:tab w:val="left" w:pos="899"/>
        </w:tabs>
        <w:spacing w:line="360" w:lineRule="exact"/>
        <w:ind w:firstLine="440"/>
        <w:jc w:val="both"/>
        <w:rPr>
          <w:rFonts w:ascii="Times New Roman" w:hAnsi="Times New Roman" w:cs="Times New Roman"/>
          <w:color w:val="auto"/>
          <w:sz w:val="24"/>
          <w:szCs w:val="24"/>
        </w:rPr>
      </w:pPr>
      <w:bookmarkStart w:id="746" w:name="bookmark1344"/>
      <w:bookmarkEnd w:id="746"/>
      <w:r>
        <w:rPr>
          <w:rFonts w:ascii="Times New Roman" w:hAnsi="Times New Roman" w:cs="Times New Roman"/>
          <w:color w:val="auto"/>
          <w:sz w:val="24"/>
          <w:szCs w:val="24"/>
        </w:rPr>
        <w:t>承包人应按工程量清单的要求对总价子目进行分解，并在签订协议书后的</w:t>
      </w:r>
      <w:r>
        <w:rPr>
          <w:rFonts w:ascii="Times New Roman" w:hAnsi="Times New Roman" w:eastAsia="Times New Roman" w:cs="Times New Roman"/>
          <w:color w:val="auto"/>
          <w:sz w:val="24"/>
          <w:szCs w:val="24"/>
        </w:rPr>
        <w:t>28</w:t>
      </w:r>
      <w:r>
        <w:rPr>
          <w:rFonts w:ascii="Times New Roman" w:hAnsi="Times New Roman" w:cs="Times New Roman"/>
          <w:color w:val="auto"/>
          <w:sz w:val="24"/>
          <w:szCs w:val="24"/>
        </w:rPr>
        <w:t>天内将各子目的总价支付分解表提交监理人审批。分解表应标明其所属子目和分阶段需支付的金额。承包人应按批准的各总价子目支付周期，对已完成的总价子目进行计量，确定分项的应付金额列入进度付款申请单中。</w:t>
      </w:r>
    </w:p>
    <w:p>
      <w:pPr>
        <w:pStyle w:val="45"/>
        <w:numPr>
          <w:ilvl w:val="0"/>
          <w:numId w:val="18"/>
        </w:numPr>
        <w:tabs>
          <w:tab w:val="left" w:pos="899"/>
        </w:tabs>
        <w:spacing w:line="360" w:lineRule="exact"/>
        <w:ind w:firstLine="440"/>
        <w:jc w:val="both"/>
        <w:rPr>
          <w:rFonts w:ascii="Times New Roman" w:hAnsi="Times New Roman" w:cs="Times New Roman"/>
          <w:color w:val="auto"/>
          <w:sz w:val="24"/>
          <w:szCs w:val="24"/>
        </w:rPr>
      </w:pPr>
      <w:bookmarkStart w:id="747" w:name="bookmark1345"/>
      <w:bookmarkEnd w:id="747"/>
      <w:r>
        <w:rPr>
          <w:rFonts w:ascii="Times New Roman" w:hAnsi="Times New Roman" w:cs="Times New Roman"/>
          <w:color w:val="auto"/>
          <w:sz w:val="24"/>
          <w:szCs w:val="24"/>
        </w:rPr>
        <w:t>监理人对承包人提交的上述资料进行复核，以确定分阶段实际完成的工程量和工程形象目标。对其有异议的，可要求承包人按第</w:t>
      </w:r>
      <w:r>
        <w:rPr>
          <w:rFonts w:ascii="Times New Roman" w:hAnsi="Times New Roman" w:eastAsia="Times New Roman" w:cs="Times New Roman"/>
          <w:color w:val="auto"/>
          <w:sz w:val="24"/>
          <w:szCs w:val="24"/>
          <w:lang w:val="en-US" w:bidi="en-US"/>
        </w:rPr>
        <w:t xml:space="preserve">8. </w:t>
      </w:r>
      <w:r>
        <w:rPr>
          <w:rFonts w:ascii="Times New Roman" w:hAnsi="Times New Roman" w:eastAsia="Times New Roman" w:cs="Times New Roman"/>
          <w:color w:val="auto"/>
          <w:sz w:val="24"/>
          <w:szCs w:val="24"/>
        </w:rPr>
        <w:t>2</w:t>
      </w:r>
      <w:r>
        <w:rPr>
          <w:rFonts w:ascii="Times New Roman" w:hAnsi="Times New Roman" w:cs="Times New Roman"/>
          <w:color w:val="auto"/>
          <w:sz w:val="24"/>
          <w:szCs w:val="24"/>
        </w:rPr>
        <w:t>款约定进行共同复核和抽样复测。</w:t>
      </w:r>
    </w:p>
    <w:p>
      <w:pPr>
        <w:pStyle w:val="45"/>
        <w:numPr>
          <w:ilvl w:val="0"/>
          <w:numId w:val="18"/>
        </w:numPr>
        <w:tabs>
          <w:tab w:val="left" w:pos="899"/>
        </w:tabs>
        <w:spacing w:after="140" w:line="360" w:lineRule="exact"/>
        <w:ind w:firstLine="440"/>
        <w:jc w:val="both"/>
        <w:rPr>
          <w:rFonts w:ascii="Times New Roman" w:hAnsi="Times New Roman" w:cs="Times New Roman"/>
          <w:color w:val="auto"/>
          <w:sz w:val="24"/>
          <w:szCs w:val="24"/>
        </w:rPr>
      </w:pPr>
      <w:bookmarkStart w:id="748" w:name="bookmark1346"/>
      <w:bookmarkEnd w:id="748"/>
      <w:r>
        <w:rPr>
          <w:rFonts w:ascii="Times New Roman" w:hAnsi="Times New Roman" w:cs="Times New Roman"/>
          <w:color w:val="auto"/>
          <w:sz w:val="24"/>
          <w:szCs w:val="24"/>
        </w:rPr>
        <w:t>除按照第</w:t>
      </w:r>
      <w:r>
        <w:rPr>
          <w:rFonts w:ascii="Times New Roman" w:hAnsi="Times New Roman" w:eastAsia="Times New Roman" w:cs="Times New Roman"/>
          <w:color w:val="auto"/>
          <w:sz w:val="24"/>
          <w:szCs w:val="24"/>
        </w:rPr>
        <w:t>15</w:t>
      </w:r>
      <w:r>
        <w:rPr>
          <w:rFonts w:ascii="Times New Roman" w:hAnsi="Times New Roman" w:cs="Times New Roman"/>
          <w:color w:val="auto"/>
          <w:sz w:val="24"/>
          <w:szCs w:val="24"/>
        </w:rPr>
        <w:t>条约定的变更外，总价子目的工程量是承包人用于结算的最终工程量。</w:t>
      </w:r>
    </w:p>
    <w:p>
      <w:pPr>
        <w:pStyle w:val="6"/>
        <w:ind w:left="0" w:leftChars="0" w:firstLine="0" w:firstLineChars="0"/>
        <w:rPr>
          <w:color w:val="auto"/>
          <w:sz w:val="24"/>
          <w:szCs w:val="24"/>
          <w:lang w:eastAsia="zh-CN"/>
        </w:rPr>
      </w:pPr>
      <w:bookmarkStart w:id="749" w:name="bookmark1348"/>
      <w:bookmarkStart w:id="750" w:name="bookmark1347"/>
      <w:bookmarkStart w:id="751" w:name="bookmark1349"/>
      <w:bookmarkStart w:id="752" w:name="_Toc1366"/>
      <w:r>
        <w:rPr>
          <w:color w:val="auto"/>
          <w:sz w:val="24"/>
          <w:szCs w:val="24"/>
          <w:lang w:eastAsia="zh-CN"/>
        </w:rPr>
        <w:t>17.2预付款</w:t>
      </w:r>
      <w:bookmarkEnd w:id="749"/>
      <w:bookmarkEnd w:id="750"/>
      <w:bookmarkEnd w:id="751"/>
      <w:bookmarkEnd w:id="752"/>
    </w:p>
    <w:p>
      <w:pPr>
        <w:pStyle w:val="46"/>
        <w:spacing w:after="0" w:line="394" w:lineRule="auto"/>
        <w:ind w:firstLine="440"/>
        <w:jc w:val="both"/>
        <w:rPr>
          <w:color w:val="auto"/>
          <w:sz w:val="24"/>
          <w:szCs w:val="24"/>
          <w:lang w:eastAsia="zh-CN"/>
        </w:rPr>
      </w:pPr>
      <w:r>
        <w:rPr>
          <w:color w:val="auto"/>
          <w:sz w:val="24"/>
          <w:szCs w:val="24"/>
          <w:lang w:eastAsia="zh-CN"/>
        </w:rPr>
        <w:t>17.2.1</w:t>
      </w:r>
      <w:r>
        <w:rPr>
          <w:rFonts w:ascii="宋体" w:hAnsi="宋体" w:cs="宋体"/>
          <w:color w:val="auto"/>
          <w:sz w:val="24"/>
          <w:szCs w:val="24"/>
          <w:lang w:val="zh-CN" w:eastAsia="zh-CN" w:bidi="zh-CN"/>
        </w:rPr>
        <w:t>预付款</w:t>
      </w:r>
    </w:p>
    <w:p>
      <w:pPr>
        <w:pStyle w:val="45"/>
        <w:spacing w:line="349" w:lineRule="exact"/>
        <w:ind w:firstLine="440"/>
        <w:jc w:val="both"/>
        <w:rPr>
          <w:color w:val="auto"/>
          <w:sz w:val="24"/>
          <w:szCs w:val="24"/>
        </w:rPr>
      </w:pPr>
      <w:r>
        <w:rPr>
          <w:color w:val="auto"/>
          <w:sz w:val="24"/>
          <w:szCs w:val="24"/>
        </w:rPr>
        <w:t>预付款用于承包人为合同工程施工购置材料、工程设备、施工设备、修建临时设施以及组织施工队伍进场等，分为工程预付款和工程材料预付款。预付款必须专用于合同工程。预付款的额度和预付办法在专用合同条款中约定。</w:t>
      </w:r>
    </w:p>
    <w:p>
      <w:pPr>
        <w:pStyle w:val="45"/>
        <w:spacing w:line="354" w:lineRule="exact"/>
        <w:ind w:firstLine="440"/>
        <w:jc w:val="both"/>
        <w:rPr>
          <w:color w:val="auto"/>
          <w:sz w:val="24"/>
          <w:szCs w:val="24"/>
        </w:rPr>
      </w:pPr>
      <w:r>
        <w:rPr>
          <w:rFonts w:ascii="Times New Roman" w:hAnsi="Times New Roman" w:eastAsia="Times New Roman" w:cs="Times New Roman"/>
          <w:color w:val="auto"/>
          <w:sz w:val="24"/>
          <w:szCs w:val="24"/>
          <w:lang w:val="en-US" w:eastAsia="en-US" w:bidi="en-US"/>
        </w:rPr>
        <w:t>17.2.2</w:t>
      </w:r>
      <w:r>
        <w:rPr>
          <w:color w:val="auto"/>
          <w:sz w:val="24"/>
          <w:szCs w:val="24"/>
        </w:rPr>
        <w:t>预付款保函(担保)</w:t>
      </w:r>
    </w:p>
    <w:p>
      <w:pPr>
        <w:pStyle w:val="45"/>
        <w:numPr>
          <w:ilvl w:val="0"/>
          <w:numId w:val="19"/>
        </w:numPr>
        <w:tabs>
          <w:tab w:val="left" w:pos="899"/>
        </w:tabs>
        <w:spacing w:line="352" w:lineRule="exact"/>
        <w:ind w:firstLine="440"/>
        <w:jc w:val="both"/>
        <w:rPr>
          <w:color w:val="auto"/>
          <w:sz w:val="24"/>
          <w:szCs w:val="24"/>
        </w:rPr>
      </w:pPr>
      <w:bookmarkStart w:id="753" w:name="bookmark1350"/>
      <w:bookmarkEnd w:id="753"/>
      <w:r>
        <w:rPr>
          <w:color w:val="auto"/>
          <w:sz w:val="24"/>
          <w:szCs w:val="24"/>
        </w:rPr>
        <w:t>承包人应在收到第一次工程预付款的同时向发包人提交工程预付款担保，担保金额应与第一次工程预付款金额相同，工程预付款担保在第一次工程预付款被发包人扣回前一直有效。</w:t>
      </w:r>
    </w:p>
    <w:p>
      <w:pPr>
        <w:pStyle w:val="45"/>
        <w:numPr>
          <w:ilvl w:val="0"/>
          <w:numId w:val="19"/>
        </w:numPr>
        <w:tabs>
          <w:tab w:val="left" w:pos="903"/>
        </w:tabs>
        <w:spacing w:line="352" w:lineRule="exact"/>
        <w:ind w:firstLine="440"/>
        <w:jc w:val="both"/>
        <w:rPr>
          <w:color w:val="auto"/>
          <w:sz w:val="24"/>
          <w:szCs w:val="24"/>
        </w:rPr>
      </w:pPr>
      <w:bookmarkStart w:id="754" w:name="bookmark1351"/>
      <w:bookmarkEnd w:id="754"/>
      <w:r>
        <w:rPr>
          <w:color w:val="auto"/>
          <w:sz w:val="24"/>
          <w:szCs w:val="24"/>
        </w:rPr>
        <w:t>工程材料预付款的担保在专用合同条款中约定。</w:t>
      </w:r>
    </w:p>
    <w:p>
      <w:pPr>
        <w:pStyle w:val="45"/>
        <w:numPr>
          <w:ilvl w:val="0"/>
          <w:numId w:val="19"/>
        </w:numPr>
        <w:tabs>
          <w:tab w:val="left" w:pos="883"/>
        </w:tabs>
        <w:spacing w:line="352" w:lineRule="exact"/>
        <w:ind w:firstLine="420"/>
        <w:rPr>
          <w:color w:val="auto"/>
          <w:sz w:val="24"/>
          <w:szCs w:val="24"/>
        </w:rPr>
      </w:pPr>
      <w:bookmarkStart w:id="755" w:name="bookmark1352"/>
      <w:bookmarkEnd w:id="755"/>
      <w:r>
        <w:rPr>
          <w:color w:val="auto"/>
          <w:sz w:val="24"/>
          <w:szCs w:val="24"/>
        </w:rPr>
        <w:t>预付款担保的担保金额可根据预付款扣回的金额相应递减。</w:t>
      </w:r>
    </w:p>
    <w:p>
      <w:pPr>
        <w:pStyle w:val="45"/>
        <w:spacing w:line="35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17.2.3</w:t>
      </w:r>
      <w:r>
        <w:rPr>
          <w:color w:val="auto"/>
          <w:sz w:val="24"/>
          <w:szCs w:val="24"/>
        </w:rPr>
        <w:t>预付款的扣回与还清</w:t>
      </w:r>
    </w:p>
    <w:p>
      <w:pPr>
        <w:pStyle w:val="45"/>
        <w:spacing w:after="240" w:line="352" w:lineRule="exact"/>
        <w:ind w:firstLine="440"/>
        <w:jc w:val="both"/>
        <w:rPr>
          <w:color w:val="auto"/>
          <w:sz w:val="24"/>
          <w:szCs w:val="24"/>
        </w:rPr>
      </w:pPr>
      <w:r>
        <w:rPr>
          <w:color w:val="auto"/>
          <w:sz w:val="24"/>
          <w:szCs w:val="24"/>
        </w:rPr>
        <w:t>预付款在进度付款中扣回，扣回与还清办法在专用合同条款中约定。在颁发合同工程完工证书前，由于不可抗力或其它原因解除合同时，预付款尚未扣清的，尚未扣清的预付款余额应作为承包人的到期应付款。</w:t>
      </w:r>
    </w:p>
    <w:p>
      <w:pPr>
        <w:pStyle w:val="6"/>
        <w:ind w:left="0" w:leftChars="0" w:firstLine="0" w:firstLineChars="0"/>
        <w:rPr>
          <w:color w:val="auto"/>
          <w:sz w:val="24"/>
          <w:szCs w:val="24"/>
          <w:lang w:eastAsia="zh-CN"/>
        </w:rPr>
      </w:pPr>
      <w:bookmarkStart w:id="756" w:name="bookmark1354"/>
      <w:bookmarkStart w:id="757" w:name="bookmark1355"/>
      <w:bookmarkStart w:id="758" w:name="bookmark1353"/>
      <w:bookmarkStart w:id="759" w:name="_Toc2053"/>
      <w:r>
        <w:rPr>
          <w:color w:val="auto"/>
          <w:sz w:val="24"/>
          <w:szCs w:val="24"/>
          <w:lang w:eastAsia="zh-CN"/>
        </w:rPr>
        <w:t>17.3工程进度付款</w:t>
      </w:r>
      <w:bookmarkEnd w:id="756"/>
      <w:bookmarkEnd w:id="757"/>
      <w:bookmarkEnd w:id="758"/>
      <w:bookmarkEnd w:id="759"/>
    </w:p>
    <w:p>
      <w:pPr>
        <w:pStyle w:val="46"/>
        <w:spacing w:after="0" w:line="377" w:lineRule="auto"/>
        <w:rPr>
          <w:color w:val="auto"/>
          <w:sz w:val="24"/>
          <w:szCs w:val="24"/>
          <w:lang w:eastAsia="zh-CN"/>
        </w:rPr>
      </w:pPr>
      <w:r>
        <w:rPr>
          <w:color w:val="auto"/>
          <w:sz w:val="24"/>
          <w:szCs w:val="24"/>
          <w:lang w:eastAsia="zh-CN"/>
        </w:rPr>
        <w:t>17.3.1</w:t>
      </w:r>
      <w:r>
        <w:rPr>
          <w:rFonts w:ascii="宋体" w:hAnsi="宋体" w:cs="宋体"/>
          <w:color w:val="auto"/>
          <w:sz w:val="24"/>
          <w:szCs w:val="24"/>
          <w:lang w:val="zh-CN" w:eastAsia="zh-CN" w:bidi="zh-CN"/>
        </w:rPr>
        <w:t>付款周期</w:t>
      </w:r>
    </w:p>
    <w:p>
      <w:pPr>
        <w:pStyle w:val="45"/>
        <w:spacing w:line="240" w:lineRule="auto"/>
        <w:ind w:firstLine="420"/>
        <w:rPr>
          <w:color w:val="auto"/>
          <w:sz w:val="24"/>
          <w:szCs w:val="24"/>
        </w:rPr>
      </w:pPr>
      <w:r>
        <w:rPr>
          <w:color w:val="auto"/>
          <w:sz w:val="24"/>
          <w:szCs w:val="24"/>
        </w:rPr>
        <w:t>付款周期同计量周期。</w:t>
      </w:r>
    </w:p>
    <w:p>
      <w:pPr>
        <w:pStyle w:val="45"/>
        <w:spacing w:line="360" w:lineRule="exact"/>
        <w:ind w:firstLine="420"/>
        <w:rPr>
          <w:color w:val="auto"/>
          <w:sz w:val="24"/>
          <w:szCs w:val="24"/>
        </w:rPr>
      </w:pPr>
      <w:r>
        <w:rPr>
          <w:rFonts w:ascii="Times New Roman" w:hAnsi="Times New Roman" w:eastAsia="Times New Roman" w:cs="Times New Roman"/>
          <w:color w:val="auto"/>
          <w:sz w:val="24"/>
          <w:szCs w:val="24"/>
          <w:lang w:val="en-US" w:bidi="en-US"/>
        </w:rPr>
        <w:t>17.3.2</w:t>
      </w:r>
      <w:r>
        <w:rPr>
          <w:color w:val="auto"/>
          <w:sz w:val="24"/>
          <w:szCs w:val="24"/>
        </w:rPr>
        <w:t>进度付款申请单</w:t>
      </w:r>
    </w:p>
    <w:p>
      <w:pPr>
        <w:pStyle w:val="45"/>
        <w:spacing w:line="360" w:lineRule="exact"/>
        <w:ind w:firstLine="440"/>
        <w:jc w:val="both"/>
        <w:rPr>
          <w:color w:val="auto"/>
          <w:sz w:val="24"/>
          <w:szCs w:val="24"/>
        </w:rPr>
      </w:pPr>
      <w:r>
        <w:rPr>
          <w:color w:val="auto"/>
          <w:sz w:val="24"/>
          <w:szCs w:val="24"/>
        </w:rPr>
        <w:t>承包人应在每个付款周期末，按监理人批准的格式和专用合同条款约定的份数，向监理人提交进度付款申请单，并附相应的支持性证明文件。除专用合同条款另有约定外，进度付款申请单应包括下列内容：</w:t>
      </w:r>
    </w:p>
    <w:p>
      <w:pPr>
        <w:pStyle w:val="45"/>
        <w:numPr>
          <w:ilvl w:val="0"/>
          <w:numId w:val="20"/>
        </w:numPr>
        <w:tabs>
          <w:tab w:val="left" w:pos="903"/>
        </w:tabs>
        <w:spacing w:line="360" w:lineRule="exact"/>
        <w:ind w:firstLine="420"/>
        <w:rPr>
          <w:color w:val="auto"/>
          <w:sz w:val="24"/>
          <w:szCs w:val="24"/>
        </w:rPr>
      </w:pPr>
      <w:bookmarkStart w:id="760" w:name="bookmark1356"/>
      <w:bookmarkEnd w:id="760"/>
      <w:r>
        <w:rPr>
          <w:color w:val="auto"/>
          <w:sz w:val="24"/>
          <w:szCs w:val="24"/>
        </w:rPr>
        <w:t>截至本次付款周期末已实施工程的价款；</w:t>
      </w:r>
    </w:p>
    <w:p>
      <w:pPr>
        <w:pStyle w:val="45"/>
        <w:numPr>
          <w:ilvl w:val="0"/>
          <w:numId w:val="20"/>
        </w:numPr>
        <w:tabs>
          <w:tab w:val="left" w:pos="903"/>
        </w:tabs>
        <w:spacing w:line="358" w:lineRule="exact"/>
        <w:ind w:firstLine="420"/>
        <w:rPr>
          <w:color w:val="auto"/>
          <w:sz w:val="24"/>
          <w:szCs w:val="24"/>
        </w:rPr>
      </w:pPr>
      <w:bookmarkStart w:id="761" w:name="bookmark1357"/>
      <w:bookmarkEnd w:id="761"/>
      <w:r>
        <w:rPr>
          <w:color w:val="auto"/>
          <w:sz w:val="24"/>
          <w:szCs w:val="24"/>
        </w:rPr>
        <w:t>根据第</w:t>
      </w:r>
      <w:r>
        <w:rPr>
          <w:rFonts w:ascii="Times New Roman" w:hAnsi="Times New Roman" w:eastAsia="Times New Roman" w:cs="Times New Roman"/>
          <w:color w:val="auto"/>
          <w:sz w:val="24"/>
          <w:szCs w:val="24"/>
        </w:rPr>
        <w:t>15</w:t>
      </w:r>
      <w:r>
        <w:rPr>
          <w:color w:val="auto"/>
          <w:sz w:val="24"/>
          <w:szCs w:val="24"/>
        </w:rPr>
        <w:t>条应增加和扣减的变更金额；</w:t>
      </w:r>
    </w:p>
    <w:p>
      <w:pPr>
        <w:pStyle w:val="45"/>
        <w:numPr>
          <w:ilvl w:val="0"/>
          <w:numId w:val="20"/>
        </w:numPr>
        <w:tabs>
          <w:tab w:val="left" w:pos="903"/>
        </w:tabs>
        <w:spacing w:line="358" w:lineRule="exact"/>
        <w:ind w:firstLine="420"/>
        <w:rPr>
          <w:color w:val="auto"/>
          <w:sz w:val="24"/>
          <w:szCs w:val="24"/>
        </w:rPr>
      </w:pPr>
      <w:bookmarkStart w:id="762" w:name="bookmark1358"/>
      <w:bookmarkEnd w:id="762"/>
      <w:r>
        <w:rPr>
          <w:color w:val="auto"/>
          <w:sz w:val="24"/>
          <w:szCs w:val="24"/>
        </w:rPr>
        <w:t>根据第</w:t>
      </w:r>
      <w:r>
        <w:rPr>
          <w:rFonts w:ascii="Times New Roman" w:hAnsi="Times New Roman" w:eastAsia="Times New Roman" w:cs="Times New Roman"/>
          <w:color w:val="auto"/>
          <w:sz w:val="24"/>
          <w:szCs w:val="24"/>
        </w:rPr>
        <w:t>23</w:t>
      </w:r>
      <w:r>
        <w:rPr>
          <w:color w:val="auto"/>
          <w:sz w:val="24"/>
          <w:szCs w:val="24"/>
        </w:rPr>
        <w:t>条应增加和扣减的索赔金额；</w:t>
      </w:r>
    </w:p>
    <w:p>
      <w:pPr>
        <w:pStyle w:val="45"/>
        <w:numPr>
          <w:ilvl w:val="0"/>
          <w:numId w:val="20"/>
        </w:numPr>
        <w:tabs>
          <w:tab w:val="left" w:pos="903"/>
        </w:tabs>
        <w:spacing w:line="358" w:lineRule="exact"/>
        <w:ind w:firstLine="420"/>
        <w:rPr>
          <w:color w:val="auto"/>
          <w:sz w:val="24"/>
          <w:szCs w:val="24"/>
        </w:rPr>
      </w:pPr>
      <w:bookmarkStart w:id="763" w:name="bookmark1359"/>
      <w:bookmarkEnd w:id="763"/>
      <w:r>
        <w:rPr>
          <w:color w:val="auto"/>
          <w:sz w:val="24"/>
          <w:szCs w:val="24"/>
        </w:rPr>
        <w:t>根据第</w:t>
      </w:r>
      <w:r>
        <w:rPr>
          <w:rFonts w:ascii="Times New Roman" w:hAnsi="Times New Roman" w:eastAsia="Times New Roman" w:cs="Times New Roman"/>
          <w:color w:val="auto"/>
          <w:sz w:val="24"/>
          <w:szCs w:val="24"/>
          <w:lang w:val="en-US" w:bidi="en-US"/>
        </w:rPr>
        <w:t xml:space="preserve">17. </w:t>
      </w:r>
      <w:r>
        <w:rPr>
          <w:rFonts w:ascii="Times New Roman" w:hAnsi="Times New Roman" w:eastAsia="Times New Roman" w:cs="Times New Roman"/>
          <w:color w:val="auto"/>
          <w:sz w:val="24"/>
          <w:szCs w:val="24"/>
        </w:rPr>
        <w:t>2</w:t>
      </w:r>
      <w:r>
        <w:rPr>
          <w:color w:val="auto"/>
          <w:sz w:val="24"/>
          <w:szCs w:val="24"/>
        </w:rPr>
        <w:t>款约定应支付的预付款和扣减的返还预付款；</w:t>
      </w:r>
    </w:p>
    <w:p>
      <w:pPr>
        <w:pStyle w:val="45"/>
        <w:numPr>
          <w:ilvl w:val="0"/>
          <w:numId w:val="20"/>
        </w:numPr>
        <w:tabs>
          <w:tab w:val="left" w:pos="903"/>
        </w:tabs>
        <w:spacing w:line="358" w:lineRule="exact"/>
        <w:ind w:firstLine="420"/>
        <w:rPr>
          <w:color w:val="auto"/>
          <w:sz w:val="24"/>
          <w:szCs w:val="24"/>
        </w:rPr>
      </w:pPr>
      <w:bookmarkStart w:id="764" w:name="bookmark1360"/>
      <w:bookmarkEnd w:id="764"/>
      <w:r>
        <w:rPr>
          <w:color w:val="auto"/>
          <w:sz w:val="24"/>
          <w:szCs w:val="24"/>
        </w:rPr>
        <w:t>根据第</w:t>
      </w:r>
      <w:r>
        <w:rPr>
          <w:rFonts w:ascii="Times New Roman" w:hAnsi="Times New Roman" w:eastAsia="Times New Roman" w:cs="Times New Roman"/>
          <w:color w:val="auto"/>
          <w:sz w:val="24"/>
          <w:szCs w:val="24"/>
          <w:lang w:val="en-US" w:bidi="en-US"/>
        </w:rPr>
        <w:t xml:space="preserve">17.4. </w:t>
      </w:r>
      <w:r>
        <w:rPr>
          <w:rFonts w:ascii="Times New Roman" w:hAnsi="Times New Roman" w:eastAsia="Times New Roman" w:cs="Times New Roman"/>
          <w:color w:val="auto"/>
          <w:sz w:val="24"/>
          <w:szCs w:val="24"/>
        </w:rPr>
        <w:t>1</w:t>
      </w:r>
      <w:r>
        <w:rPr>
          <w:color w:val="auto"/>
          <w:sz w:val="24"/>
          <w:szCs w:val="24"/>
        </w:rPr>
        <w:t>项约定应扣减的质量保证金；</w:t>
      </w:r>
    </w:p>
    <w:p>
      <w:pPr>
        <w:pStyle w:val="45"/>
        <w:numPr>
          <w:ilvl w:val="0"/>
          <w:numId w:val="20"/>
        </w:numPr>
        <w:tabs>
          <w:tab w:val="left" w:pos="903"/>
        </w:tabs>
        <w:spacing w:line="358" w:lineRule="exact"/>
        <w:ind w:firstLine="420"/>
        <w:rPr>
          <w:color w:val="auto"/>
          <w:sz w:val="24"/>
          <w:szCs w:val="24"/>
        </w:rPr>
      </w:pPr>
      <w:bookmarkStart w:id="765" w:name="bookmark1361"/>
      <w:bookmarkEnd w:id="765"/>
      <w:r>
        <w:rPr>
          <w:color w:val="auto"/>
          <w:sz w:val="24"/>
          <w:szCs w:val="24"/>
        </w:rPr>
        <w:t>根据合同应增加和扣减的其他金额。</w:t>
      </w:r>
    </w:p>
    <w:p>
      <w:pPr>
        <w:pStyle w:val="45"/>
        <w:spacing w:line="358" w:lineRule="exact"/>
        <w:ind w:firstLine="420"/>
        <w:rPr>
          <w:color w:val="auto"/>
          <w:sz w:val="24"/>
          <w:szCs w:val="24"/>
        </w:rPr>
      </w:pPr>
      <w:r>
        <w:rPr>
          <w:rFonts w:ascii="Times New Roman" w:hAnsi="Times New Roman" w:eastAsia="Times New Roman" w:cs="Times New Roman"/>
          <w:color w:val="auto"/>
          <w:sz w:val="24"/>
          <w:szCs w:val="24"/>
          <w:lang w:val="en-US" w:bidi="en-US"/>
        </w:rPr>
        <w:t>17.3.3</w:t>
      </w:r>
      <w:r>
        <w:rPr>
          <w:color w:val="auto"/>
          <w:sz w:val="24"/>
          <w:szCs w:val="24"/>
        </w:rPr>
        <w:t>进度付款证书和支付时间</w:t>
      </w:r>
    </w:p>
    <w:p>
      <w:pPr>
        <w:pStyle w:val="45"/>
        <w:numPr>
          <w:ilvl w:val="0"/>
          <w:numId w:val="21"/>
        </w:numPr>
        <w:tabs>
          <w:tab w:val="left" w:pos="920"/>
        </w:tabs>
        <w:spacing w:line="358" w:lineRule="exact"/>
        <w:ind w:firstLine="440"/>
        <w:jc w:val="both"/>
        <w:rPr>
          <w:color w:val="auto"/>
          <w:sz w:val="24"/>
          <w:szCs w:val="24"/>
        </w:rPr>
      </w:pPr>
      <w:bookmarkStart w:id="766" w:name="bookmark1362"/>
      <w:bookmarkEnd w:id="766"/>
      <w:r>
        <w:rPr>
          <w:color w:val="auto"/>
          <w:sz w:val="24"/>
          <w:szCs w:val="24"/>
        </w:rPr>
        <w:t>监理人在收到承包人进度付款申请单以及相应的支持性证明文件后的</w:t>
      </w:r>
      <w:r>
        <w:rPr>
          <w:rFonts w:ascii="Times New Roman" w:hAnsi="Times New Roman" w:eastAsia="Times New Roman" w:cs="Times New Roman"/>
          <w:color w:val="auto"/>
          <w:sz w:val="24"/>
          <w:szCs w:val="24"/>
        </w:rPr>
        <w:t>14</w:t>
      </w:r>
      <w:r>
        <w:rPr>
          <w:color w:val="auto"/>
          <w:sz w:val="24"/>
          <w:szCs w:val="24"/>
        </w:rPr>
        <w:t>天内完成核查，提出发包人到期应支付给承包人的金额以及相应的支持性材料，经发包人审查同意后，由监理人向承包人出具经发包人签认的进度付款证书。监理人有权扣发承包人未能按照合同要求履行任何工作或义务的相应金额。</w:t>
      </w:r>
    </w:p>
    <w:p>
      <w:pPr>
        <w:pStyle w:val="45"/>
        <w:numPr>
          <w:ilvl w:val="0"/>
          <w:numId w:val="21"/>
        </w:numPr>
        <w:tabs>
          <w:tab w:val="left" w:pos="922"/>
        </w:tabs>
        <w:spacing w:line="367" w:lineRule="exact"/>
        <w:ind w:firstLine="440"/>
        <w:jc w:val="both"/>
        <w:rPr>
          <w:color w:val="auto"/>
          <w:sz w:val="24"/>
          <w:szCs w:val="24"/>
        </w:rPr>
      </w:pPr>
      <w:bookmarkStart w:id="767" w:name="bookmark1363"/>
      <w:bookmarkEnd w:id="767"/>
      <w:r>
        <w:rPr>
          <w:color w:val="auto"/>
          <w:sz w:val="24"/>
          <w:szCs w:val="24"/>
        </w:rPr>
        <w:t>发包人应在监理人收到进度付款申请单后的</w:t>
      </w:r>
      <w:r>
        <w:rPr>
          <w:rFonts w:ascii="Times New Roman" w:hAnsi="Times New Roman" w:eastAsia="Times New Roman" w:cs="Times New Roman"/>
          <w:color w:val="auto"/>
          <w:sz w:val="24"/>
          <w:szCs w:val="24"/>
        </w:rPr>
        <w:t>28</w:t>
      </w:r>
      <w:r>
        <w:rPr>
          <w:color w:val="auto"/>
          <w:sz w:val="24"/>
          <w:szCs w:val="24"/>
        </w:rPr>
        <w:t>天内，将进度应付款支付给承包人。发包人不按期支付的，按专用合同条款的约定支付逾期付款违约金。</w:t>
      </w:r>
    </w:p>
    <w:p>
      <w:pPr>
        <w:pStyle w:val="45"/>
        <w:numPr>
          <w:ilvl w:val="0"/>
          <w:numId w:val="21"/>
        </w:numPr>
        <w:tabs>
          <w:tab w:val="left" w:pos="922"/>
        </w:tabs>
        <w:spacing w:line="367" w:lineRule="exact"/>
        <w:ind w:firstLine="440"/>
        <w:jc w:val="both"/>
        <w:rPr>
          <w:color w:val="auto"/>
          <w:sz w:val="24"/>
          <w:szCs w:val="24"/>
        </w:rPr>
      </w:pPr>
      <w:bookmarkStart w:id="768" w:name="bookmark1364"/>
      <w:bookmarkEnd w:id="768"/>
      <w:r>
        <w:rPr>
          <w:color w:val="auto"/>
          <w:sz w:val="24"/>
          <w:szCs w:val="24"/>
        </w:rPr>
        <w:t>监理人出具进度付款证书，不应视为监理人已同意、批准或接受了承包人完成的该部分工作。</w:t>
      </w:r>
    </w:p>
    <w:p>
      <w:pPr>
        <w:pStyle w:val="45"/>
        <w:numPr>
          <w:ilvl w:val="0"/>
          <w:numId w:val="21"/>
        </w:numPr>
        <w:tabs>
          <w:tab w:val="left" w:pos="918"/>
        </w:tabs>
        <w:spacing w:line="367" w:lineRule="exact"/>
        <w:ind w:firstLine="440"/>
        <w:jc w:val="both"/>
        <w:rPr>
          <w:color w:val="auto"/>
          <w:sz w:val="24"/>
          <w:szCs w:val="24"/>
        </w:rPr>
      </w:pPr>
      <w:bookmarkStart w:id="769" w:name="bookmark1365"/>
      <w:bookmarkEnd w:id="769"/>
      <w:r>
        <w:rPr>
          <w:color w:val="auto"/>
          <w:sz w:val="24"/>
          <w:szCs w:val="24"/>
        </w:rPr>
        <w:t>进度付款涉及政府投资资金的，按照国库集中支付等国家相关规定和专用合同条款的约定办理。</w:t>
      </w:r>
    </w:p>
    <w:p>
      <w:pPr>
        <w:pStyle w:val="45"/>
        <w:spacing w:line="361"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17.3.4</w:t>
      </w:r>
      <w:r>
        <w:rPr>
          <w:color w:val="auto"/>
          <w:sz w:val="24"/>
          <w:szCs w:val="24"/>
        </w:rPr>
        <w:t>工程进度付款的修正</w:t>
      </w:r>
    </w:p>
    <w:p>
      <w:pPr>
        <w:pStyle w:val="45"/>
        <w:spacing w:after="120" w:line="361" w:lineRule="exact"/>
        <w:ind w:firstLine="440"/>
        <w:jc w:val="both"/>
        <w:rPr>
          <w:color w:val="auto"/>
          <w:sz w:val="24"/>
          <w:szCs w:val="24"/>
        </w:rPr>
      </w:pPr>
      <w:r>
        <w:rPr>
          <w:color w:val="auto"/>
          <w:sz w:val="24"/>
          <w:szCs w:val="24"/>
        </w:rPr>
        <w:t>在对以往历次已签发的进度付款证书进行汇总和复核中发现错、漏或重复的，监理人有权予以修正，承包人也有权提出修正申请。经双方复核同意的修正，应在本次进度付款中支付或扣除。</w:t>
      </w:r>
    </w:p>
    <w:p>
      <w:pPr>
        <w:pStyle w:val="6"/>
        <w:ind w:left="0" w:leftChars="0" w:firstLine="0" w:firstLineChars="0"/>
        <w:rPr>
          <w:color w:val="auto"/>
          <w:sz w:val="24"/>
          <w:szCs w:val="24"/>
          <w:lang w:eastAsia="zh-CN"/>
        </w:rPr>
      </w:pPr>
      <w:bookmarkStart w:id="770" w:name="bookmark1368"/>
      <w:bookmarkStart w:id="771" w:name="bookmark1366"/>
      <w:bookmarkStart w:id="772" w:name="bookmark1367"/>
      <w:bookmarkStart w:id="773" w:name="_Toc24179"/>
      <w:r>
        <w:rPr>
          <w:color w:val="auto"/>
          <w:sz w:val="24"/>
          <w:szCs w:val="24"/>
          <w:lang w:eastAsia="zh-CN"/>
        </w:rPr>
        <w:t>17.4质量保证金</w:t>
      </w:r>
      <w:bookmarkEnd w:id="770"/>
      <w:bookmarkEnd w:id="771"/>
      <w:bookmarkEnd w:id="772"/>
      <w:bookmarkEnd w:id="773"/>
    </w:p>
    <w:p>
      <w:pPr>
        <w:pStyle w:val="45"/>
        <w:spacing w:line="364"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17.4.1</w:t>
      </w:r>
      <w:r>
        <w:rPr>
          <w:color w:val="auto"/>
          <w:sz w:val="24"/>
          <w:szCs w:val="24"/>
        </w:rPr>
        <w:t>监理人应从第一个工程进度付款周期开始，在发包人的进度付款中，按专用合同条款约定扣留质量保证金，直至扣留的工程质量保证金总额达到专用合同条款约定的金额或比例为止。质量保证金的计算额度不包括预付款的支付与扣回金额。</w:t>
      </w:r>
    </w:p>
    <w:p>
      <w:pPr>
        <w:pStyle w:val="45"/>
        <w:spacing w:line="366"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17.4.2</w:t>
      </w:r>
      <w:r>
        <w:rPr>
          <w:color w:val="auto"/>
          <w:sz w:val="24"/>
          <w:szCs w:val="24"/>
        </w:rPr>
        <w:t>在第</w:t>
      </w:r>
      <w:r>
        <w:rPr>
          <w:rFonts w:ascii="Times New Roman" w:hAnsi="Times New Roman" w:eastAsia="Times New Roman" w:cs="Times New Roman"/>
          <w:color w:val="auto"/>
          <w:sz w:val="24"/>
          <w:szCs w:val="24"/>
          <w:lang w:val="en-US" w:bidi="en-US"/>
        </w:rPr>
        <w:t xml:space="preserve">1.1. 4. </w:t>
      </w:r>
      <w:r>
        <w:rPr>
          <w:rFonts w:ascii="Times New Roman" w:hAnsi="Times New Roman" w:eastAsia="Times New Roman" w:cs="Times New Roman"/>
          <w:color w:val="auto"/>
          <w:sz w:val="24"/>
          <w:szCs w:val="24"/>
        </w:rPr>
        <w:t>5</w:t>
      </w:r>
      <w:r>
        <w:rPr>
          <w:color w:val="auto"/>
          <w:sz w:val="24"/>
          <w:szCs w:val="24"/>
        </w:rPr>
        <w:t>目约定的缺陷责任期(工程质量保修期)满时，发包人将在</w:t>
      </w:r>
      <w:r>
        <w:rPr>
          <w:rFonts w:ascii="Times New Roman" w:hAnsi="Times New Roman" w:eastAsia="Times New Roman" w:cs="Times New Roman"/>
          <w:color w:val="auto"/>
          <w:sz w:val="24"/>
          <w:szCs w:val="24"/>
        </w:rPr>
        <w:t>30</w:t>
      </w:r>
      <w:r>
        <w:rPr>
          <w:color w:val="auto"/>
          <w:sz w:val="24"/>
          <w:szCs w:val="24"/>
        </w:rPr>
        <w:t>个工作日内会同承包人按照合同约定的内容核实承包人是否完成保修责任。如无异议，发包人应当在核实后将质量保证金支付给承包人。</w:t>
      </w:r>
    </w:p>
    <w:p>
      <w:pPr>
        <w:pStyle w:val="45"/>
        <w:spacing w:after="120" w:line="37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17.4.3</w:t>
      </w:r>
      <w:r>
        <w:rPr>
          <w:color w:val="auto"/>
          <w:sz w:val="24"/>
          <w:szCs w:val="24"/>
        </w:rPr>
        <w:t>在第</w:t>
      </w:r>
      <w:r>
        <w:rPr>
          <w:rFonts w:ascii="Times New Roman" w:hAnsi="Times New Roman" w:eastAsia="Times New Roman" w:cs="Times New Roman"/>
          <w:color w:val="auto"/>
          <w:sz w:val="24"/>
          <w:szCs w:val="24"/>
          <w:lang w:val="en-US" w:bidi="en-US"/>
        </w:rPr>
        <w:t>1.1.4.</w:t>
      </w:r>
      <w:r>
        <w:rPr>
          <w:rFonts w:ascii="Times New Roman" w:hAnsi="Times New Roman" w:eastAsia="Times New Roman" w:cs="Times New Roman"/>
          <w:color w:val="auto"/>
          <w:sz w:val="24"/>
          <w:szCs w:val="24"/>
        </w:rPr>
        <w:t>5</w:t>
      </w:r>
      <w:r>
        <w:rPr>
          <w:color w:val="auto"/>
          <w:sz w:val="24"/>
          <w:szCs w:val="24"/>
        </w:rPr>
        <w:t>目约定的缺陷责任期满时，承包人没有完成缺陷责任的，发包人有权扣留与未履行责任剩余工作所需金额相应的质量保证金余额，并有权根据第</w:t>
      </w:r>
      <w:r>
        <w:rPr>
          <w:rFonts w:ascii="Times New Roman" w:hAnsi="Times New Roman" w:eastAsia="Times New Roman" w:cs="Times New Roman"/>
          <w:color w:val="auto"/>
          <w:sz w:val="24"/>
          <w:szCs w:val="24"/>
          <w:lang w:val="en-US" w:bidi="en-US"/>
        </w:rPr>
        <w:t xml:space="preserve">19. </w:t>
      </w:r>
      <w:r>
        <w:rPr>
          <w:rFonts w:ascii="Times New Roman" w:hAnsi="Times New Roman" w:eastAsia="Times New Roman" w:cs="Times New Roman"/>
          <w:color w:val="auto"/>
          <w:sz w:val="24"/>
          <w:szCs w:val="24"/>
        </w:rPr>
        <w:t>3</w:t>
      </w:r>
      <w:r>
        <w:rPr>
          <w:color w:val="auto"/>
          <w:sz w:val="24"/>
          <w:szCs w:val="24"/>
        </w:rPr>
        <w:t>款约定要求延长缺陷责任期，直至完成剩余工作为止。</w:t>
      </w:r>
    </w:p>
    <w:p>
      <w:pPr>
        <w:pStyle w:val="6"/>
        <w:ind w:left="0" w:leftChars="0" w:firstLine="0" w:firstLineChars="0"/>
        <w:rPr>
          <w:color w:val="auto"/>
          <w:sz w:val="24"/>
          <w:szCs w:val="24"/>
          <w:lang w:eastAsia="zh-CN"/>
        </w:rPr>
      </w:pPr>
      <w:bookmarkStart w:id="774" w:name="bookmark1369"/>
      <w:bookmarkStart w:id="775" w:name="bookmark1371"/>
      <w:bookmarkStart w:id="776" w:name="bookmark1370"/>
      <w:bookmarkStart w:id="777" w:name="_Toc27561"/>
      <w:r>
        <w:rPr>
          <w:color w:val="auto"/>
          <w:sz w:val="24"/>
          <w:szCs w:val="24"/>
          <w:lang w:eastAsia="zh-CN"/>
        </w:rPr>
        <w:t>17.5竣工结算(完工结算)</w:t>
      </w:r>
      <w:bookmarkEnd w:id="774"/>
      <w:bookmarkEnd w:id="775"/>
      <w:bookmarkEnd w:id="776"/>
      <w:bookmarkEnd w:id="777"/>
    </w:p>
    <w:p>
      <w:pPr>
        <w:pStyle w:val="45"/>
        <w:ind w:firstLine="440"/>
        <w:jc w:val="both"/>
        <w:rPr>
          <w:color w:val="auto"/>
          <w:sz w:val="24"/>
          <w:szCs w:val="24"/>
        </w:rPr>
      </w:pPr>
      <w:r>
        <w:rPr>
          <w:rFonts w:ascii="Times New Roman" w:hAnsi="Times New Roman" w:eastAsia="Times New Roman" w:cs="Times New Roman"/>
          <w:color w:val="auto"/>
          <w:sz w:val="24"/>
          <w:szCs w:val="24"/>
          <w:lang w:val="en-US" w:bidi="en-US"/>
        </w:rPr>
        <w:t>17.5.1</w:t>
      </w:r>
      <w:r>
        <w:rPr>
          <w:color w:val="auto"/>
          <w:sz w:val="24"/>
          <w:szCs w:val="24"/>
        </w:rPr>
        <w:t>竣工(完工)付款申请单</w:t>
      </w:r>
    </w:p>
    <w:p>
      <w:pPr>
        <w:pStyle w:val="45"/>
        <w:numPr>
          <w:ilvl w:val="0"/>
          <w:numId w:val="22"/>
        </w:numPr>
        <w:tabs>
          <w:tab w:val="left" w:pos="918"/>
        </w:tabs>
        <w:spacing w:line="352" w:lineRule="exact"/>
        <w:ind w:firstLine="440"/>
        <w:jc w:val="both"/>
        <w:rPr>
          <w:color w:val="auto"/>
          <w:sz w:val="24"/>
          <w:szCs w:val="24"/>
        </w:rPr>
      </w:pPr>
      <w:bookmarkStart w:id="778" w:name="bookmark1372"/>
      <w:bookmarkEnd w:id="778"/>
      <w:r>
        <w:rPr>
          <w:color w:val="auto"/>
          <w:sz w:val="24"/>
          <w:szCs w:val="24"/>
        </w:rPr>
        <w:t>承包人应在合同工程完工证书颁发后</w:t>
      </w:r>
      <w:r>
        <w:rPr>
          <w:rFonts w:ascii="Times New Roman" w:hAnsi="Times New Roman" w:eastAsia="Times New Roman" w:cs="Times New Roman"/>
          <w:color w:val="auto"/>
          <w:sz w:val="24"/>
          <w:szCs w:val="24"/>
        </w:rPr>
        <w:t>28</w:t>
      </w:r>
      <w:r>
        <w:rPr>
          <w:color w:val="auto"/>
          <w:sz w:val="24"/>
          <w:szCs w:val="24"/>
        </w:rPr>
        <w:t>天内，按专用合同条款约定的份数向监理人提交完工付款申请单，并提供相关证明材料。完工付款申请单应包括下列内容：完工结算合同总价、发包人已支付承包人的工程价款、应扣留的质量保证金、应支付的完工付款金额。</w:t>
      </w:r>
    </w:p>
    <w:p>
      <w:pPr>
        <w:pStyle w:val="45"/>
        <w:numPr>
          <w:ilvl w:val="0"/>
          <w:numId w:val="22"/>
        </w:numPr>
        <w:tabs>
          <w:tab w:val="left" w:pos="916"/>
        </w:tabs>
        <w:spacing w:after="120" w:line="352" w:lineRule="exact"/>
        <w:ind w:firstLine="440"/>
        <w:jc w:val="both"/>
        <w:rPr>
          <w:color w:val="auto"/>
          <w:sz w:val="24"/>
          <w:szCs w:val="24"/>
        </w:rPr>
      </w:pPr>
      <w:bookmarkStart w:id="779" w:name="bookmark1373"/>
      <w:bookmarkEnd w:id="779"/>
      <w:r>
        <w:rPr>
          <w:color w:val="auto"/>
          <w:sz w:val="24"/>
          <w:szCs w:val="24"/>
        </w:rPr>
        <w:t>监理人对完工付款申请单有异议的，有权要求承包人进行修正和提供补充资料。经监理人和承包人协商后，由承包人向监理人提交修正后的完工付款申请单。</w:t>
      </w:r>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17.5.2</w:t>
      </w:r>
      <w:r>
        <w:rPr>
          <w:color w:val="auto"/>
          <w:sz w:val="24"/>
          <w:szCs w:val="24"/>
        </w:rPr>
        <w:t>竣工(完工)付款证书及支付时间</w:t>
      </w:r>
    </w:p>
    <w:p>
      <w:pPr>
        <w:pStyle w:val="45"/>
        <w:numPr>
          <w:ilvl w:val="0"/>
          <w:numId w:val="23"/>
        </w:numPr>
        <w:tabs>
          <w:tab w:val="left" w:pos="918"/>
        </w:tabs>
        <w:spacing w:line="360" w:lineRule="exact"/>
        <w:ind w:firstLine="440"/>
        <w:jc w:val="both"/>
        <w:rPr>
          <w:color w:val="auto"/>
          <w:sz w:val="24"/>
          <w:szCs w:val="24"/>
        </w:rPr>
      </w:pPr>
      <w:bookmarkStart w:id="780" w:name="bookmark1374"/>
      <w:bookmarkEnd w:id="780"/>
      <w:r>
        <w:rPr>
          <w:color w:val="auto"/>
          <w:sz w:val="24"/>
          <w:szCs w:val="24"/>
        </w:rPr>
        <w:t>监理人在收到承包人提交的完工付款申请单后的</w:t>
      </w:r>
      <w:r>
        <w:rPr>
          <w:rFonts w:ascii="Times New Roman" w:hAnsi="Times New Roman" w:eastAsia="Times New Roman" w:cs="Times New Roman"/>
          <w:color w:val="auto"/>
          <w:sz w:val="24"/>
          <w:szCs w:val="24"/>
        </w:rPr>
        <w:t>14</w:t>
      </w:r>
      <w:r>
        <w:rPr>
          <w:color w:val="auto"/>
          <w:sz w:val="24"/>
          <w:szCs w:val="24"/>
        </w:rPr>
        <w:t>天内完成核查，提出发包人到期应支付给承包人的价款送发包人审核并抄送承包人。发包人应在收到后</w:t>
      </w:r>
      <w:r>
        <w:rPr>
          <w:rFonts w:ascii="Times New Roman" w:hAnsi="Times New Roman" w:eastAsia="Times New Roman" w:cs="Times New Roman"/>
          <w:color w:val="auto"/>
          <w:sz w:val="24"/>
          <w:szCs w:val="24"/>
        </w:rPr>
        <w:t>14</w:t>
      </w:r>
      <w:r>
        <w:rPr>
          <w:color w:val="auto"/>
          <w:sz w:val="24"/>
          <w:szCs w:val="24"/>
        </w:rPr>
        <w:t>天内审核完毕，由监理人向承包人出具经发包人签认的完工付款证书。监理人未在约定时间内核查, 又未提出具体意见的，视为承包人提交的完工付款申请单已经监理人核查同意。发包人未 在约定时间内审核又未提出具体意见的，监理人提出发包人到期应支付给承包人的价款视 为已经</w:t>
      </w:r>
      <w:r>
        <w:rPr>
          <w:rFonts w:hint="eastAsia"/>
          <w:color w:val="auto"/>
          <w:sz w:val="24"/>
          <w:szCs w:val="24"/>
          <w:lang w:eastAsia="zh-CN"/>
        </w:rPr>
        <w:t>发包人书面同意</w:t>
      </w:r>
      <w:r>
        <w:rPr>
          <w:color w:val="auto"/>
          <w:sz w:val="24"/>
          <w:szCs w:val="24"/>
        </w:rPr>
        <w:t>。</w:t>
      </w:r>
    </w:p>
    <w:p>
      <w:pPr>
        <w:pStyle w:val="45"/>
        <w:numPr>
          <w:ilvl w:val="0"/>
          <w:numId w:val="23"/>
        </w:numPr>
        <w:tabs>
          <w:tab w:val="left" w:pos="918"/>
        </w:tabs>
        <w:spacing w:line="360" w:lineRule="exact"/>
        <w:ind w:firstLine="440"/>
        <w:jc w:val="both"/>
        <w:rPr>
          <w:color w:val="auto"/>
          <w:sz w:val="24"/>
          <w:szCs w:val="24"/>
        </w:rPr>
      </w:pPr>
      <w:bookmarkStart w:id="781" w:name="bookmark1375"/>
      <w:bookmarkEnd w:id="781"/>
      <w:r>
        <w:rPr>
          <w:color w:val="auto"/>
          <w:sz w:val="24"/>
          <w:szCs w:val="24"/>
        </w:rPr>
        <w:t>发包人应在监理人出具完工付款证书后的</w:t>
      </w:r>
      <w:r>
        <w:rPr>
          <w:rFonts w:ascii="Times New Roman" w:hAnsi="Times New Roman" w:eastAsia="Times New Roman" w:cs="Times New Roman"/>
          <w:color w:val="auto"/>
          <w:sz w:val="24"/>
          <w:szCs w:val="24"/>
        </w:rPr>
        <w:t>14</w:t>
      </w:r>
      <w:r>
        <w:rPr>
          <w:color w:val="auto"/>
          <w:sz w:val="24"/>
          <w:szCs w:val="24"/>
        </w:rPr>
        <w:t>天内，将应支付款支付给承包人。发包人不按期支付的，按第</w:t>
      </w:r>
      <w:r>
        <w:rPr>
          <w:rFonts w:ascii="Times New Roman" w:hAnsi="Times New Roman" w:eastAsia="Times New Roman" w:cs="Times New Roman"/>
          <w:color w:val="auto"/>
          <w:sz w:val="24"/>
          <w:szCs w:val="24"/>
          <w:lang w:val="en-US" w:bidi="en-US"/>
        </w:rPr>
        <w:t xml:space="preserve">17.3.3 </w:t>
      </w:r>
      <w:r>
        <w:rPr>
          <w:rFonts w:ascii="Times New Roman" w:hAnsi="Times New Roman" w:eastAsia="Times New Roman" w:cs="Times New Roman"/>
          <w:color w:val="auto"/>
          <w:sz w:val="24"/>
          <w:szCs w:val="24"/>
        </w:rPr>
        <w:t>(2)</w:t>
      </w:r>
      <w:r>
        <w:rPr>
          <w:color w:val="auto"/>
          <w:sz w:val="24"/>
          <w:szCs w:val="24"/>
        </w:rPr>
        <w:t>目的约定，将逾期付款违约金支付给承包人。</w:t>
      </w:r>
    </w:p>
    <w:p>
      <w:pPr>
        <w:pStyle w:val="45"/>
        <w:numPr>
          <w:ilvl w:val="0"/>
          <w:numId w:val="23"/>
        </w:numPr>
        <w:tabs>
          <w:tab w:val="left" w:pos="914"/>
        </w:tabs>
        <w:spacing w:after="120" w:line="360" w:lineRule="exact"/>
        <w:ind w:firstLine="440"/>
        <w:jc w:val="both"/>
        <w:rPr>
          <w:color w:val="auto"/>
          <w:sz w:val="24"/>
          <w:szCs w:val="24"/>
        </w:rPr>
      </w:pPr>
      <w:bookmarkStart w:id="782" w:name="bookmark1376"/>
      <w:bookmarkEnd w:id="782"/>
      <w:r>
        <w:rPr>
          <w:color w:val="auto"/>
          <w:sz w:val="24"/>
          <w:szCs w:val="24"/>
        </w:rPr>
        <w:t>承包人对发包人签认的完工付款证书有异议的，发包人可出具完工付款申请单中承包人已同意部分的临时付款证书。存在争议的部分，按第</w:t>
      </w:r>
      <w:r>
        <w:rPr>
          <w:rFonts w:ascii="Times New Roman" w:hAnsi="Times New Roman" w:eastAsia="Times New Roman" w:cs="Times New Roman"/>
          <w:color w:val="auto"/>
          <w:sz w:val="24"/>
          <w:szCs w:val="24"/>
        </w:rPr>
        <w:t>24</w:t>
      </w:r>
      <w:r>
        <w:rPr>
          <w:color w:val="auto"/>
          <w:sz w:val="24"/>
          <w:szCs w:val="24"/>
        </w:rPr>
        <w:t>条的约定办理。</w:t>
      </w:r>
    </w:p>
    <w:p>
      <w:pPr>
        <w:pStyle w:val="45"/>
        <w:numPr>
          <w:ilvl w:val="0"/>
          <w:numId w:val="23"/>
        </w:numPr>
        <w:tabs>
          <w:tab w:val="left" w:pos="922"/>
        </w:tabs>
        <w:spacing w:line="360" w:lineRule="exact"/>
        <w:ind w:firstLine="440"/>
        <w:jc w:val="both"/>
        <w:rPr>
          <w:color w:val="auto"/>
          <w:sz w:val="24"/>
          <w:szCs w:val="24"/>
        </w:rPr>
      </w:pPr>
      <w:bookmarkStart w:id="783" w:name="bookmark1377"/>
      <w:bookmarkEnd w:id="783"/>
      <w:r>
        <w:rPr>
          <w:color w:val="auto"/>
          <w:sz w:val="24"/>
          <w:szCs w:val="24"/>
        </w:rPr>
        <w:t>完工付款涉及政府投资资金的，按第</w:t>
      </w:r>
      <w:r>
        <w:rPr>
          <w:rFonts w:ascii="Times New Roman" w:hAnsi="Times New Roman" w:eastAsia="Times New Roman" w:cs="Times New Roman"/>
          <w:color w:val="auto"/>
          <w:sz w:val="24"/>
          <w:szCs w:val="24"/>
          <w:lang w:val="en-US" w:bidi="en-US"/>
        </w:rPr>
        <w:t xml:space="preserve">17.3.3 </w:t>
      </w:r>
      <w:r>
        <w:rPr>
          <w:rFonts w:ascii="Times New Roman" w:hAnsi="Times New Roman" w:eastAsia="Times New Roman" w:cs="Times New Roman"/>
          <w:color w:val="auto"/>
          <w:sz w:val="24"/>
          <w:szCs w:val="24"/>
        </w:rPr>
        <w:t>(4)</w:t>
      </w:r>
      <w:r>
        <w:rPr>
          <w:color w:val="auto"/>
          <w:sz w:val="24"/>
          <w:szCs w:val="24"/>
        </w:rPr>
        <w:t>目的约定办理。</w:t>
      </w:r>
    </w:p>
    <w:p>
      <w:pPr>
        <w:pStyle w:val="6"/>
        <w:ind w:left="0" w:leftChars="0" w:firstLine="0" w:firstLineChars="0"/>
        <w:rPr>
          <w:color w:val="auto"/>
          <w:sz w:val="24"/>
          <w:szCs w:val="24"/>
          <w:lang w:eastAsia="zh-CN"/>
        </w:rPr>
      </w:pPr>
      <w:bookmarkStart w:id="784" w:name="bookmark1380"/>
      <w:bookmarkStart w:id="785" w:name="bookmark1378"/>
      <w:bookmarkStart w:id="786" w:name="bookmark1379"/>
      <w:bookmarkStart w:id="787" w:name="_Toc20149"/>
      <w:r>
        <w:rPr>
          <w:color w:val="auto"/>
          <w:sz w:val="24"/>
          <w:szCs w:val="24"/>
          <w:lang w:eastAsia="zh-CN"/>
        </w:rPr>
        <w:t>17.6最终结清</w:t>
      </w:r>
      <w:bookmarkEnd w:id="784"/>
      <w:bookmarkEnd w:id="785"/>
      <w:bookmarkEnd w:id="786"/>
      <w:bookmarkEnd w:id="787"/>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17.6.1</w:t>
      </w:r>
      <w:r>
        <w:rPr>
          <w:color w:val="auto"/>
          <w:sz w:val="24"/>
          <w:szCs w:val="24"/>
        </w:rPr>
        <w:t>最终结清申请单</w:t>
      </w:r>
    </w:p>
    <w:p>
      <w:pPr>
        <w:pStyle w:val="45"/>
        <w:numPr>
          <w:ilvl w:val="0"/>
          <w:numId w:val="24"/>
        </w:numPr>
        <w:tabs>
          <w:tab w:val="left" w:pos="894"/>
        </w:tabs>
        <w:spacing w:line="346" w:lineRule="exact"/>
        <w:ind w:firstLine="440"/>
        <w:jc w:val="both"/>
        <w:rPr>
          <w:color w:val="auto"/>
          <w:sz w:val="24"/>
          <w:szCs w:val="24"/>
        </w:rPr>
      </w:pPr>
      <w:bookmarkStart w:id="788" w:name="bookmark1381"/>
      <w:bookmarkEnd w:id="788"/>
      <w:r>
        <w:rPr>
          <w:color w:val="auto"/>
          <w:sz w:val="24"/>
          <w:szCs w:val="24"/>
        </w:rPr>
        <w:t>工程质量保修责任终止证书签发后，承包人应按监理人批准的格式提交最终结清申请单。提交最终结清申请单的份数在专用合同条款中约定。</w:t>
      </w:r>
    </w:p>
    <w:p>
      <w:pPr>
        <w:pStyle w:val="45"/>
        <w:numPr>
          <w:ilvl w:val="0"/>
          <w:numId w:val="24"/>
        </w:numPr>
        <w:tabs>
          <w:tab w:val="left" w:pos="918"/>
        </w:tabs>
        <w:spacing w:after="120" w:line="346" w:lineRule="exact"/>
        <w:ind w:firstLine="440"/>
        <w:jc w:val="both"/>
        <w:rPr>
          <w:color w:val="auto"/>
          <w:sz w:val="24"/>
          <w:szCs w:val="24"/>
        </w:rPr>
      </w:pPr>
      <w:bookmarkStart w:id="789" w:name="bookmark1382"/>
      <w:bookmarkEnd w:id="789"/>
      <w:r>
        <w:rPr>
          <w:color w:val="auto"/>
          <w:sz w:val="24"/>
          <w:szCs w:val="24"/>
        </w:rPr>
        <w:t>发包人对最终结清申请单内容有异议的，有权要求承包人进行修正和提供补充资料，由承包人向监理人提交修正后的最终结清申请单。</w:t>
      </w:r>
    </w:p>
    <w:p>
      <w:pPr>
        <w:pStyle w:val="45"/>
        <w:ind w:firstLine="440"/>
        <w:jc w:val="both"/>
        <w:rPr>
          <w:color w:val="auto"/>
          <w:sz w:val="24"/>
          <w:szCs w:val="24"/>
        </w:rPr>
      </w:pPr>
      <w:r>
        <w:rPr>
          <w:rFonts w:ascii="Times New Roman" w:hAnsi="Times New Roman" w:eastAsia="Times New Roman" w:cs="Times New Roman"/>
          <w:color w:val="auto"/>
          <w:sz w:val="24"/>
          <w:szCs w:val="24"/>
          <w:lang w:val="en-US" w:bidi="en-US"/>
        </w:rPr>
        <w:t>17.6.2</w:t>
      </w:r>
      <w:r>
        <w:rPr>
          <w:color w:val="auto"/>
          <w:sz w:val="24"/>
          <w:szCs w:val="24"/>
        </w:rPr>
        <w:t>最终结清证书和支付时间</w:t>
      </w:r>
    </w:p>
    <w:p>
      <w:pPr>
        <w:pStyle w:val="45"/>
        <w:numPr>
          <w:ilvl w:val="0"/>
          <w:numId w:val="25"/>
        </w:numPr>
        <w:tabs>
          <w:tab w:val="left" w:pos="918"/>
        </w:tabs>
        <w:spacing w:line="346" w:lineRule="exact"/>
        <w:ind w:firstLine="440"/>
        <w:jc w:val="both"/>
        <w:rPr>
          <w:color w:val="auto"/>
          <w:sz w:val="24"/>
          <w:szCs w:val="24"/>
        </w:rPr>
      </w:pPr>
      <w:bookmarkStart w:id="790" w:name="bookmark1383"/>
      <w:bookmarkEnd w:id="790"/>
      <w:r>
        <w:rPr>
          <w:color w:val="auto"/>
          <w:sz w:val="24"/>
          <w:szCs w:val="24"/>
        </w:rPr>
        <w:t>监理人收到承包人提交的最终结清申请单后的</w:t>
      </w:r>
      <w:r>
        <w:rPr>
          <w:rFonts w:ascii="Times New Roman" w:hAnsi="Times New Roman" w:eastAsia="Times New Roman" w:cs="Times New Roman"/>
          <w:color w:val="auto"/>
          <w:sz w:val="24"/>
          <w:szCs w:val="24"/>
        </w:rPr>
        <w:t>14</w:t>
      </w:r>
      <w:r>
        <w:rPr>
          <w:color w:val="auto"/>
          <w:sz w:val="24"/>
          <w:szCs w:val="24"/>
        </w:rPr>
        <w:t>天内，提出发包人应支付给承包人的价款送发包人审核并抄送承包人。发包人应在收到后</w:t>
      </w:r>
      <w:r>
        <w:rPr>
          <w:rFonts w:ascii="Times New Roman" w:hAnsi="Times New Roman" w:eastAsia="Times New Roman" w:cs="Times New Roman"/>
          <w:color w:val="auto"/>
          <w:sz w:val="24"/>
          <w:szCs w:val="24"/>
        </w:rPr>
        <w:t>14</w:t>
      </w:r>
      <w:r>
        <w:rPr>
          <w:color w:val="auto"/>
          <w:sz w:val="24"/>
          <w:szCs w:val="24"/>
        </w:rPr>
        <w:t>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w:t>
      </w:r>
      <w:r>
        <w:rPr>
          <w:rFonts w:hint="eastAsia"/>
          <w:color w:val="auto"/>
          <w:sz w:val="24"/>
          <w:szCs w:val="24"/>
          <w:lang w:eastAsia="zh-CN"/>
        </w:rPr>
        <w:t>发包人书面同意</w:t>
      </w:r>
      <w:r>
        <w:rPr>
          <w:color w:val="auto"/>
          <w:sz w:val="24"/>
          <w:szCs w:val="24"/>
        </w:rPr>
        <w:t>。</w:t>
      </w:r>
    </w:p>
    <w:p>
      <w:pPr>
        <w:pStyle w:val="45"/>
        <w:numPr>
          <w:ilvl w:val="0"/>
          <w:numId w:val="25"/>
        </w:numPr>
        <w:tabs>
          <w:tab w:val="left" w:pos="918"/>
        </w:tabs>
        <w:spacing w:line="346" w:lineRule="exact"/>
        <w:ind w:firstLine="440"/>
        <w:jc w:val="both"/>
        <w:rPr>
          <w:color w:val="auto"/>
          <w:sz w:val="24"/>
          <w:szCs w:val="24"/>
        </w:rPr>
      </w:pPr>
      <w:bookmarkStart w:id="791" w:name="bookmark1384"/>
      <w:bookmarkEnd w:id="791"/>
      <w:r>
        <w:rPr>
          <w:color w:val="auto"/>
          <w:sz w:val="24"/>
          <w:szCs w:val="24"/>
        </w:rPr>
        <w:t>发包人应在监理人出具最终结清证书后的</w:t>
      </w:r>
      <w:r>
        <w:rPr>
          <w:rFonts w:ascii="Times New Roman" w:hAnsi="Times New Roman" w:eastAsia="Times New Roman" w:cs="Times New Roman"/>
          <w:color w:val="auto"/>
          <w:sz w:val="24"/>
          <w:szCs w:val="24"/>
        </w:rPr>
        <w:t>14</w:t>
      </w:r>
      <w:r>
        <w:rPr>
          <w:color w:val="auto"/>
          <w:sz w:val="24"/>
          <w:szCs w:val="24"/>
        </w:rPr>
        <w:t>天内，将应支付款支付给承包人。发包人不按期支付的，按第</w:t>
      </w:r>
      <w:r>
        <w:rPr>
          <w:rFonts w:ascii="Times New Roman" w:hAnsi="Times New Roman" w:eastAsia="Times New Roman" w:cs="Times New Roman"/>
          <w:color w:val="auto"/>
          <w:sz w:val="24"/>
          <w:szCs w:val="24"/>
          <w:lang w:val="en-US" w:bidi="en-US"/>
        </w:rPr>
        <w:t xml:space="preserve">17.3.3 </w:t>
      </w:r>
      <w:r>
        <w:rPr>
          <w:rFonts w:ascii="Times New Roman" w:hAnsi="Times New Roman" w:eastAsia="Times New Roman" w:cs="Times New Roman"/>
          <w:color w:val="auto"/>
          <w:sz w:val="24"/>
          <w:szCs w:val="24"/>
        </w:rPr>
        <w:t>(2)</w:t>
      </w:r>
      <w:r>
        <w:rPr>
          <w:color w:val="auto"/>
          <w:sz w:val="24"/>
          <w:szCs w:val="24"/>
        </w:rPr>
        <w:t>目的约定，将逾期付款违约金支付给承包人。</w:t>
      </w:r>
    </w:p>
    <w:p>
      <w:pPr>
        <w:pStyle w:val="45"/>
        <w:numPr>
          <w:ilvl w:val="0"/>
          <w:numId w:val="25"/>
        </w:numPr>
        <w:tabs>
          <w:tab w:val="left" w:pos="922"/>
        </w:tabs>
        <w:spacing w:line="346" w:lineRule="exact"/>
        <w:ind w:firstLine="440"/>
        <w:jc w:val="both"/>
        <w:rPr>
          <w:color w:val="auto"/>
          <w:sz w:val="24"/>
          <w:szCs w:val="24"/>
        </w:rPr>
      </w:pPr>
      <w:bookmarkStart w:id="792" w:name="bookmark1385"/>
      <w:bookmarkEnd w:id="792"/>
      <w:r>
        <w:rPr>
          <w:color w:val="auto"/>
          <w:sz w:val="24"/>
          <w:szCs w:val="24"/>
        </w:rPr>
        <w:t>承包人对发包人签认的最终结清证书有异议的，按第</w:t>
      </w:r>
      <w:r>
        <w:rPr>
          <w:rFonts w:ascii="Times New Roman" w:hAnsi="Times New Roman" w:eastAsia="Times New Roman" w:cs="Times New Roman"/>
          <w:color w:val="auto"/>
          <w:sz w:val="24"/>
          <w:szCs w:val="24"/>
        </w:rPr>
        <w:t>24</w:t>
      </w:r>
      <w:r>
        <w:rPr>
          <w:color w:val="auto"/>
          <w:sz w:val="24"/>
          <w:szCs w:val="24"/>
        </w:rPr>
        <w:t>条的约定办理。</w:t>
      </w:r>
    </w:p>
    <w:p>
      <w:pPr>
        <w:pStyle w:val="45"/>
        <w:numPr>
          <w:ilvl w:val="0"/>
          <w:numId w:val="25"/>
        </w:numPr>
        <w:tabs>
          <w:tab w:val="left" w:pos="922"/>
        </w:tabs>
        <w:spacing w:after="120" w:line="346" w:lineRule="exact"/>
        <w:ind w:firstLine="440"/>
        <w:jc w:val="both"/>
        <w:rPr>
          <w:color w:val="auto"/>
          <w:sz w:val="24"/>
          <w:szCs w:val="24"/>
        </w:rPr>
      </w:pPr>
      <w:bookmarkStart w:id="793" w:name="bookmark1386"/>
      <w:bookmarkEnd w:id="793"/>
      <w:r>
        <w:rPr>
          <w:color w:val="auto"/>
          <w:sz w:val="24"/>
          <w:szCs w:val="24"/>
        </w:rPr>
        <w:t>最终结清付款涉及政府投资资金的，按第</w:t>
      </w:r>
      <w:r>
        <w:rPr>
          <w:rFonts w:ascii="Times New Roman" w:hAnsi="Times New Roman" w:eastAsia="Times New Roman" w:cs="Times New Roman"/>
          <w:color w:val="auto"/>
          <w:sz w:val="24"/>
          <w:szCs w:val="24"/>
          <w:lang w:val="en-US" w:bidi="en-US"/>
        </w:rPr>
        <w:t xml:space="preserve">17.3.3 </w:t>
      </w:r>
      <w:r>
        <w:rPr>
          <w:rFonts w:ascii="Times New Roman" w:hAnsi="Times New Roman" w:eastAsia="Times New Roman" w:cs="Times New Roman"/>
          <w:color w:val="auto"/>
          <w:sz w:val="24"/>
          <w:szCs w:val="24"/>
        </w:rPr>
        <w:t>(4)</w:t>
      </w:r>
      <w:r>
        <w:rPr>
          <w:color w:val="auto"/>
          <w:sz w:val="24"/>
          <w:szCs w:val="24"/>
        </w:rPr>
        <w:t>目的约定办理。</w:t>
      </w:r>
    </w:p>
    <w:p>
      <w:pPr>
        <w:pStyle w:val="6"/>
        <w:ind w:left="0" w:leftChars="0" w:firstLine="0" w:firstLineChars="0"/>
        <w:rPr>
          <w:color w:val="auto"/>
          <w:sz w:val="24"/>
          <w:szCs w:val="24"/>
          <w:lang w:eastAsia="zh-CN"/>
        </w:rPr>
      </w:pPr>
      <w:bookmarkStart w:id="794" w:name="bookmark1389"/>
      <w:bookmarkStart w:id="795" w:name="_Toc4347"/>
      <w:bookmarkStart w:id="796" w:name="bookmark1388"/>
      <w:bookmarkStart w:id="797" w:name="bookmark1387"/>
      <w:r>
        <w:rPr>
          <w:color w:val="auto"/>
          <w:sz w:val="24"/>
          <w:szCs w:val="24"/>
          <w:lang w:eastAsia="zh-CN"/>
        </w:rPr>
        <w:t>17.7竣工财务决算</w:t>
      </w:r>
      <w:bookmarkEnd w:id="794"/>
      <w:bookmarkEnd w:id="795"/>
      <w:bookmarkEnd w:id="796"/>
      <w:bookmarkEnd w:id="797"/>
    </w:p>
    <w:p>
      <w:pPr>
        <w:pStyle w:val="45"/>
        <w:spacing w:after="160" w:line="346" w:lineRule="exact"/>
        <w:ind w:firstLine="420"/>
        <w:jc w:val="both"/>
        <w:rPr>
          <w:color w:val="auto"/>
          <w:sz w:val="24"/>
          <w:szCs w:val="24"/>
        </w:rPr>
      </w:pPr>
      <w:r>
        <w:rPr>
          <w:color w:val="auto"/>
          <w:sz w:val="24"/>
          <w:szCs w:val="24"/>
        </w:rPr>
        <w:t>发包人负责编制本工程项目竣工财务决算，承包人应按专用合同条款的约定提供竣工财务决算编制所需的相关材料。</w:t>
      </w:r>
    </w:p>
    <w:p>
      <w:pPr>
        <w:pStyle w:val="6"/>
        <w:ind w:left="0" w:leftChars="0" w:firstLine="0" w:firstLineChars="0"/>
        <w:rPr>
          <w:color w:val="auto"/>
          <w:sz w:val="24"/>
          <w:szCs w:val="24"/>
          <w:lang w:eastAsia="zh-CN"/>
        </w:rPr>
      </w:pPr>
      <w:bookmarkStart w:id="798" w:name="bookmark1390"/>
      <w:bookmarkStart w:id="799" w:name="bookmark1392"/>
      <w:bookmarkStart w:id="800" w:name="bookmark1391"/>
      <w:bookmarkStart w:id="801" w:name="_Toc9623"/>
      <w:r>
        <w:rPr>
          <w:color w:val="auto"/>
          <w:sz w:val="24"/>
          <w:szCs w:val="24"/>
          <w:lang w:eastAsia="zh-CN"/>
        </w:rPr>
        <w:t>17.8竣工审计</w:t>
      </w:r>
      <w:bookmarkEnd w:id="798"/>
      <w:bookmarkEnd w:id="799"/>
      <w:bookmarkEnd w:id="800"/>
      <w:bookmarkEnd w:id="801"/>
    </w:p>
    <w:p>
      <w:pPr>
        <w:pStyle w:val="45"/>
        <w:spacing w:after="300" w:line="362" w:lineRule="exact"/>
        <w:ind w:firstLine="420"/>
        <w:rPr>
          <w:color w:val="auto"/>
          <w:sz w:val="24"/>
          <w:szCs w:val="24"/>
        </w:rPr>
      </w:pPr>
      <w:r>
        <w:rPr>
          <w:color w:val="auto"/>
          <w:sz w:val="24"/>
          <w:szCs w:val="24"/>
        </w:rPr>
        <w:t>发包人负责完成本工程竣工审计手续，承包人应完成相关配合工作。</w:t>
      </w:r>
    </w:p>
    <w:p>
      <w:pPr>
        <w:pStyle w:val="5"/>
        <w:spacing w:line="360" w:lineRule="exact"/>
        <w:rPr>
          <w:rFonts w:hint="eastAsia"/>
          <w:color w:val="auto"/>
          <w:sz w:val="24"/>
          <w:szCs w:val="24"/>
          <w:lang w:eastAsia="zh-CN"/>
        </w:rPr>
      </w:pPr>
      <w:bookmarkStart w:id="802" w:name="_Toc28198"/>
      <w:bookmarkStart w:id="803" w:name="bookmark1393"/>
      <w:bookmarkStart w:id="804" w:name="_Toc245565770"/>
      <w:bookmarkStart w:id="805" w:name="bookmark1395"/>
      <w:bookmarkStart w:id="806" w:name="_Toc15468"/>
      <w:bookmarkStart w:id="807" w:name="bookmark1394"/>
      <w:r>
        <w:rPr>
          <w:rFonts w:hint="eastAsia"/>
          <w:color w:val="auto"/>
          <w:sz w:val="24"/>
          <w:szCs w:val="24"/>
          <w:lang w:eastAsia="zh-CN"/>
        </w:rPr>
        <w:t>18.竣工验收（验收）</w:t>
      </w:r>
      <w:bookmarkEnd w:id="802"/>
      <w:bookmarkEnd w:id="803"/>
      <w:bookmarkEnd w:id="804"/>
      <w:bookmarkEnd w:id="805"/>
      <w:bookmarkEnd w:id="806"/>
      <w:bookmarkEnd w:id="807"/>
    </w:p>
    <w:p>
      <w:pPr>
        <w:pStyle w:val="6"/>
        <w:ind w:left="0" w:leftChars="0" w:firstLine="0" w:firstLineChars="0"/>
        <w:rPr>
          <w:color w:val="auto"/>
          <w:sz w:val="24"/>
          <w:szCs w:val="24"/>
          <w:lang w:eastAsia="zh-CN"/>
        </w:rPr>
      </w:pPr>
      <w:bookmarkStart w:id="808" w:name="bookmark1396"/>
      <w:bookmarkStart w:id="809" w:name="bookmark1397"/>
      <w:bookmarkStart w:id="810" w:name="bookmark1398"/>
      <w:bookmarkStart w:id="811" w:name="_Toc1314"/>
      <w:r>
        <w:rPr>
          <w:color w:val="auto"/>
          <w:sz w:val="24"/>
          <w:szCs w:val="24"/>
          <w:lang w:eastAsia="zh-CN"/>
        </w:rPr>
        <w:t>18.1验收工作分类</w:t>
      </w:r>
      <w:bookmarkEnd w:id="808"/>
      <w:bookmarkEnd w:id="809"/>
      <w:bookmarkEnd w:id="810"/>
      <w:bookmarkEnd w:id="811"/>
    </w:p>
    <w:p>
      <w:pPr>
        <w:pStyle w:val="45"/>
        <w:spacing w:after="160" w:line="358" w:lineRule="exact"/>
        <w:ind w:firstLine="440"/>
        <w:jc w:val="both"/>
        <w:rPr>
          <w:color w:val="auto"/>
          <w:sz w:val="24"/>
          <w:szCs w:val="24"/>
        </w:rPr>
      </w:pPr>
      <w:r>
        <w:rPr>
          <w:color w:val="auto"/>
          <w:sz w:val="24"/>
          <w:szCs w:val="24"/>
        </w:rPr>
        <w:t>本工程验收工作按主持单位分为法人验收和政府验收。法人验收和政府验收的类别在专用合同条款中约定。除专用合同条款另有约定外，法人验收由发包人主持。承包人应完成法人验收和政府验收的配合工作，所需费用应含在已标价工程量清单中。</w:t>
      </w:r>
    </w:p>
    <w:p>
      <w:pPr>
        <w:pStyle w:val="6"/>
        <w:ind w:left="0" w:leftChars="0" w:firstLine="0" w:firstLineChars="0"/>
        <w:rPr>
          <w:color w:val="auto"/>
          <w:sz w:val="24"/>
          <w:szCs w:val="24"/>
          <w:lang w:eastAsia="zh-CN"/>
        </w:rPr>
      </w:pPr>
      <w:bookmarkStart w:id="812" w:name="bookmark1400"/>
      <w:bookmarkStart w:id="813" w:name="bookmark1399"/>
      <w:bookmarkStart w:id="814" w:name="bookmark1401"/>
      <w:bookmarkStart w:id="815" w:name="_Toc8655"/>
      <w:r>
        <w:rPr>
          <w:color w:val="auto"/>
          <w:sz w:val="24"/>
          <w:szCs w:val="24"/>
          <w:lang w:eastAsia="zh-CN"/>
        </w:rPr>
        <w:t>18.2分部工程验收</w:t>
      </w:r>
      <w:bookmarkEnd w:id="812"/>
      <w:bookmarkEnd w:id="813"/>
      <w:bookmarkEnd w:id="814"/>
      <w:bookmarkEnd w:id="815"/>
    </w:p>
    <w:p>
      <w:pPr>
        <w:pStyle w:val="45"/>
        <w:spacing w:line="367"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18.2.1</w:t>
      </w:r>
      <w:r>
        <w:rPr>
          <w:color w:val="auto"/>
          <w:sz w:val="24"/>
          <w:szCs w:val="24"/>
        </w:rPr>
        <w:t>分部工程具备验收条件时，承包人应向发包人提交验收申请报告，发包人应在收到验收申请报告之日起</w:t>
      </w:r>
      <w:r>
        <w:rPr>
          <w:rFonts w:ascii="Times New Roman" w:hAnsi="Times New Roman" w:eastAsia="Times New Roman" w:cs="Times New Roman"/>
          <w:color w:val="auto"/>
          <w:sz w:val="24"/>
          <w:szCs w:val="24"/>
        </w:rPr>
        <w:t>10</w:t>
      </w:r>
      <w:r>
        <w:rPr>
          <w:color w:val="auto"/>
          <w:sz w:val="24"/>
          <w:szCs w:val="24"/>
        </w:rPr>
        <w:t>个工作日内决定是否同意进行验收。</w:t>
      </w:r>
    </w:p>
    <w:p>
      <w:pPr>
        <w:pStyle w:val="45"/>
        <w:spacing w:line="367"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18.2.2</w:t>
      </w:r>
      <w:r>
        <w:rPr>
          <w:color w:val="auto"/>
          <w:sz w:val="24"/>
          <w:szCs w:val="24"/>
        </w:rPr>
        <w:t>除专用合同条款另有约定外，监理人主持分部工程验收，承包人应派符合条件的代表参加验收工作组。</w:t>
      </w:r>
    </w:p>
    <w:p>
      <w:pPr>
        <w:pStyle w:val="45"/>
        <w:spacing w:after="160" w:line="37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18.2.3</w:t>
      </w:r>
      <w:r>
        <w:rPr>
          <w:color w:val="auto"/>
          <w:sz w:val="24"/>
          <w:szCs w:val="24"/>
        </w:rPr>
        <w:t>分部工程验收通过后，发包人向承包人发送分部工程验收鉴定书。承包人应及时完成分部工程验收鉴定书载明应由承包人处理的遗留问题。</w:t>
      </w:r>
    </w:p>
    <w:p>
      <w:pPr>
        <w:pStyle w:val="6"/>
        <w:ind w:left="0" w:leftChars="0" w:firstLine="0" w:firstLineChars="0"/>
        <w:rPr>
          <w:color w:val="auto"/>
          <w:sz w:val="24"/>
          <w:szCs w:val="24"/>
          <w:lang w:eastAsia="zh-CN"/>
        </w:rPr>
      </w:pPr>
      <w:bookmarkStart w:id="816" w:name="_Toc19460"/>
      <w:bookmarkStart w:id="817" w:name="bookmark1404"/>
      <w:bookmarkStart w:id="818" w:name="bookmark1403"/>
      <w:bookmarkStart w:id="819" w:name="bookmark1402"/>
      <w:r>
        <w:rPr>
          <w:color w:val="auto"/>
          <w:sz w:val="24"/>
          <w:szCs w:val="24"/>
          <w:lang w:eastAsia="zh-CN"/>
        </w:rPr>
        <w:t>18.3单位工程验收</w:t>
      </w:r>
      <w:bookmarkEnd w:id="816"/>
      <w:bookmarkEnd w:id="817"/>
      <w:bookmarkEnd w:id="818"/>
      <w:bookmarkEnd w:id="819"/>
    </w:p>
    <w:p>
      <w:pPr>
        <w:pStyle w:val="45"/>
        <w:spacing w:line="365"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18.3.1</w:t>
      </w:r>
      <w:r>
        <w:rPr>
          <w:color w:val="auto"/>
          <w:sz w:val="24"/>
          <w:szCs w:val="24"/>
        </w:rPr>
        <w:t>单位工程具备验收条件时，承包人应向发包人提交验收申请报告，发包人应在收到验收申请报告之日起</w:t>
      </w:r>
      <w:r>
        <w:rPr>
          <w:rFonts w:ascii="Times New Roman" w:hAnsi="Times New Roman" w:eastAsia="Times New Roman" w:cs="Times New Roman"/>
          <w:color w:val="auto"/>
          <w:sz w:val="24"/>
          <w:szCs w:val="24"/>
        </w:rPr>
        <w:t>10</w:t>
      </w:r>
      <w:r>
        <w:rPr>
          <w:color w:val="auto"/>
          <w:sz w:val="24"/>
          <w:szCs w:val="24"/>
        </w:rPr>
        <w:t>个工作日内决定是否同意进行验收。</w:t>
      </w:r>
    </w:p>
    <w:p>
      <w:pPr>
        <w:pStyle w:val="45"/>
        <w:spacing w:line="365"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18.3.2</w:t>
      </w:r>
      <w:r>
        <w:rPr>
          <w:color w:val="auto"/>
          <w:sz w:val="24"/>
          <w:szCs w:val="24"/>
        </w:rPr>
        <w:t>发包人主持单位工程验收，承包人应派符合条件的代表参加验收工作组。</w:t>
      </w:r>
    </w:p>
    <w:p>
      <w:pPr>
        <w:pStyle w:val="45"/>
        <w:spacing w:after="100" w:line="365"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18.3.3</w:t>
      </w:r>
      <w:r>
        <w:rPr>
          <w:color w:val="auto"/>
          <w:sz w:val="24"/>
          <w:szCs w:val="24"/>
        </w:rPr>
        <w:t>单位工程验收通过后，发包人向承包人发送单位工程验收鉴定书。承包人应及时完成单位工程验收鉴定书载明应由承包人处理的遗留问题。</w:t>
      </w:r>
    </w:p>
    <w:p>
      <w:pPr>
        <w:pStyle w:val="45"/>
        <w:spacing w:after="160" w:line="240" w:lineRule="auto"/>
        <w:ind w:firstLine="420"/>
        <w:rPr>
          <w:color w:val="auto"/>
          <w:sz w:val="24"/>
          <w:szCs w:val="24"/>
        </w:rPr>
      </w:pPr>
      <w:r>
        <w:rPr>
          <w:rFonts w:ascii="Times New Roman" w:hAnsi="Times New Roman" w:eastAsia="Times New Roman" w:cs="Times New Roman"/>
          <w:color w:val="auto"/>
          <w:sz w:val="24"/>
          <w:szCs w:val="24"/>
          <w:lang w:val="en-US" w:bidi="en-US"/>
        </w:rPr>
        <w:t>18.3.4</w:t>
      </w:r>
      <w:r>
        <w:rPr>
          <w:color w:val="auto"/>
          <w:sz w:val="24"/>
          <w:szCs w:val="24"/>
        </w:rPr>
        <w:t>需提前投入使用的单位工程在专用合同条款中明确。</w:t>
      </w:r>
    </w:p>
    <w:p>
      <w:pPr>
        <w:pStyle w:val="6"/>
        <w:ind w:left="0" w:leftChars="0" w:firstLine="0" w:firstLineChars="0"/>
        <w:rPr>
          <w:color w:val="auto"/>
          <w:sz w:val="24"/>
          <w:szCs w:val="24"/>
          <w:lang w:eastAsia="zh-CN"/>
        </w:rPr>
      </w:pPr>
      <w:bookmarkStart w:id="820" w:name="_Toc24227"/>
      <w:bookmarkStart w:id="821" w:name="bookmark1406"/>
      <w:bookmarkStart w:id="822" w:name="bookmark1407"/>
      <w:bookmarkStart w:id="823" w:name="bookmark1405"/>
      <w:r>
        <w:rPr>
          <w:color w:val="auto"/>
          <w:sz w:val="24"/>
          <w:szCs w:val="24"/>
          <w:lang w:eastAsia="zh-CN"/>
        </w:rPr>
        <w:t>18.4合同工程完工验收</w:t>
      </w:r>
      <w:bookmarkEnd w:id="820"/>
      <w:bookmarkEnd w:id="821"/>
      <w:bookmarkEnd w:id="822"/>
      <w:bookmarkEnd w:id="823"/>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18.4.1</w:t>
      </w:r>
      <w:r>
        <w:rPr>
          <w:color w:val="auto"/>
          <w:sz w:val="24"/>
          <w:szCs w:val="24"/>
        </w:rPr>
        <w:t>合同工程具备验收条件时，承包人应向发包人提交验收申请报告，发包人应在收到验收申请报告之日起</w:t>
      </w:r>
      <w:r>
        <w:rPr>
          <w:rFonts w:ascii="Times New Roman" w:hAnsi="Times New Roman" w:eastAsia="Times New Roman" w:cs="Times New Roman"/>
          <w:color w:val="auto"/>
          <w:sz w:val="24"/>
          <w:szCs w:val="24"/>
        </w:rPr>
        <w:t>20</w:t>
      </w:r>
      <w:r>
        <w:rPr>
          <w:color w:val="auto"/>
          <w:sz w:val="24"/>
          <w:szCs w:val="24"/>
        </w:rPr>
        <w:t>个工作日内决定是否同意进行验收。</w:t>
      </w:r>
    </w:p>
    <w:p>
      <w:pPr>
        <w:pStyle w:val="45"/>
        <w:spacing w:line="360" w:lineRule="exact"/>
        <w:ind w:firstLine="420"/>
        <w:rPr>
          <w:color w:val="auto"/>
          <w:sz w:val="24"/>
          <w:szCs w:val="24"/>
        </w:rPr>
      </w:pPr>
      <w:r>
        <w:rPr>
          <w:rFonts w:ascii="Times New Roman" w:hAnsi="Times New Roman" w:eastAsia="Times New Roman" w:cs="Times New Roman"/>
          <w:color w:val="auto"/>
          <w:sz w:val="24"/>
          <w:szCs w:val="24"/>
          <w:lang w:val="en-US" w:bidi="en-US"/>
        </w:rPr>
        <w:t>18.4.2</w:t>
      </w:r>
      <w:r>
        <w:rPr>
          <w:color w:val="auto"/>
          <w:sz w:val="24"/>
          <w:szCs w:val="24"/>
        </w:rPr>
        <w:t>发包人主持合同工程完工验收，承包人应派项目经理参加验收工作组。</w:t>
      </w:r>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18.4.3</w:t>
      </w:r>
      <w:r>
        <w:rPr>
          <w:color w:val="auto"/>
          <w:sz w:val="24"/>
          <w:szCs w:val="24"/>
        </w:rPr>
        <w:t>合同工程完工验收通过后，发包人向承包人发送合同工程完工验收鉴定书。承包人应及时完成合同工程完工验收鉴定书载明应由承包人处理的遗留问题。</w:t>
      </w:r>
    </w:p>
    <w:p>
      <w:pPr>
        <w:pStyle w:val="45"/>
        <w:spacing w:after="160"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18.4.4</w:t>
      </w:r>
      <w:r>
        <w:rPr>
          <w:color w:val="auto"/>
          <w:sz w:val="24"/>
          <w:szCs w:val="24"/>
        </w:rPr>
        <w:t>合同工程完工验收通过后，发包人与承包人应在</w:t>
      </w:r>
      <w:r>
        <w:rPr>
          <w:rFonts w:ascii="Times New Roman" w:hAnsi="Times New Roman" w:eastAsia="Times New Roman" w:cs="Times New Roman"/>
          <w:color w:val="auto"/>
          <w:sz w:val="24"/>
          <w:szCs w:val="24"/>
        </w:rPr>
        <w:t>30</w:t>
      </w:r>
      <w:r>
        <w:rPr>
          <w:color w:val="auto"/>
          <w:sz w:val="24"/>
          <w:szCs w:val="24"/>
        </w:rPr>
        <w:t>个工作日内组织专人负责工程交接，双方交接负责人应在交接记录上签字。承包人应按验收鉴定书约定的时间及时 移交工程及其档案资料。工程移交时，承包人应向发包人递交工程质量保修书。在承包人 递交了工程质量保修书、完成施工场地清理以及提交有关资料后，发包人应</w:t>
      </w:r>
      <w:r>
        <w:rPr>
          <w:rFonts w:ascii="Times New Roman" w:hAnsi="Times New Roman" w:eastAsia="Times New Roman" w:cs="Times New Roman"/>
          <w:color w:val="auto"/>
          <w:sz w:val="24"/>
          <w:szCs w:val="24"/>
        </w:rPr>
        <w:t>30</w:t>
      </w:r>
      <w:r>
        <w:rPr>
          <w:color w:val="auto"/>
          <w:sz w:val="24"/>
          <w:szCs w:val="24"/>
        </w:rPr>
        <w:t>个工作日内 向承包人颁发合同工程完工证书。</w:t>
      </w:r>
    </w:p>
    <w:p>
      <w:pPr>
        <w:pStyle w:val="6"/>
        <w:ind w:left="0" w:leftChars="0" w:firstLine="0" w:firstLineChars="0"/>
        <w:rPr>
          <w:color w:val="auto"/>
          <w:sz w:val="24"/>
          <w:szCs w:val="24"/>
          <w:lang w:eastAsia="zh-CN"/>
        </w:rPr>
      </w:pPr>
      <w:bookmarkStart w:id="824" w:name="bookmark1410"/>
      <w:bookmarkStart w:id="825" w:name="_Toc32064"/>
      <w:bookmarkStart w:id="826" w:name="bookmark1409"/>
      <w:bookmarkStart w:id="827" w:name="bookmark1408"/>
      <w:r>
        <w:rPr>
          <w:color w:val="auto"/>
          <w:sz w:val="24"/>
          <w:szCs w:val="24"/>
          <w:lang w:eastAsia="zh-CN"/>
        </w:rPr>
        <w:t>18.5阶段验收</w:t>
      </w:r>
      <w:bookmarkEnd w:id="824"/>
      <w:bookmarkEnd w:id="825"/>
      <w:bookmarkEnd w:id="826"/>
      <w:bookmarkEnd w:id="827"/>
    </w:p>
    <w:p>
      <w:pPr>
        <w:pStyle w:val="45"/>
        <w:spacing w:line="372" w:lineRule="exact"/>
        <w:ind w:firstLine="511" w:firstLineChars="213"/>
        <w:jc w:val="both"/>
        <w:rPr>
          <w:color w:val="auto"/>
          <w:sz w:val="24"/>
          <w:szCs w:val="24"/>
        </w:rPr>
      </w:pPr>
      <w:r>
        <w:rPr>
          <w:rFonts w:ascii="Times New Roman" w:hAnsi="Times New Roman" w:eastAsia="Times New Roman" w:cs="Times New Roman"/>
          <w:color w:val="auto"/>
          <w:sz w:val="24"/>
          <w:szCs w:val="24"/>
          <w:lang w:val="en-US" w:bidi="en-US"/>
        </w:rPr>
        <w:t>18.5.1</w:t>
      </w:r>
      <w:r>
        <w:rPr>
          <w:color w:val="auto"/>
          <w:sz w:val="24"/>
          <w:szCs w:val="24"/>
        </w:rPr>
        <w:t>工程建设具备阶段验收条件时，发包人负责提出阶段验收申请报告。承包人应派代表参加阶段验收，并作为被验收单位在验收鉴定书上签字。阶段验收的具体类别在专用合同条款中约定。</w:t>
      </w:r>
    </w:p>
    <w:p>
      <w:pPr>
        <w:pStyle w:val="45"/>
        <w:tabs>
          <w:tab w:val="left" w:pos="841"/>
        </w:tabs>
        <w:spacing w:after="140" w:line="355" w:lineRule="exact"/>
        <w:ind w:left="420" w:firstLine="0"/>
        <w:rPr>
          <w:color w:val="auto"/>
          <w:sz w:val="24"/>
          <w:szCs w:val="24"/>
        </w:rPr>
      </w:pPr>
      <w:r>
        <w:rPr>
          <w:rFonts w:hint="eastAsia" w:ascii="Times New Roman" w:hAnsi="Times New Roman" w:cs="Times New Roman"/>
          <w:color w:val="auto"/>
          <w:sz w:val="24"/>
          <w:szCs w:val="24"/>
          <w:lang w:val="en-US" w:bidi="en-US"/>
        </w:rPr>
        <w:t>18.</w:t>
      </w:r>
      <w:r>
        <w:rPr>
          <w:rFonts w:ascii="Times New Roman" w:hAnsi="Times New Roman" w:eastAsia="Times New Roman" w:cs="Times New Roman"/>
          <w:color w:val="auto"/>
          <w:sz w:val="24"/>
          <w:szCs w:val="24"/>
          <w:lang w:val="en-US" w:bidi="en-US"/>
        </w:rPr>
        <w:t>5.</w:t>
      </w:r>
      <w:r>
        <w:rPr>
          <w:rFonts w:ascii="Times New Roman" w:hAnsi="Times New Roman" w:eastAsia="Times New Roman" w:cs="Times New Roman"/>
          <w:color w:val="auto"/>
          <w:sz w:val="24"/>
          <w:szCs w:val="24"/>
        </w:rPr>
        <w:t>2</w:t>
      </w:r>
      <w:r>
        <w:rPr>
          <w:color w:val="auto"/>
          <w:sz w:val="24"/>
          <w:szCs w:val="24"/>
        </w:rPr>
        <w:t>承包人应及时完成阶段验收鉴定书载明应由承包人处理的遗留问题。</w:t>
      </w:r>
    </w:p>
    <w:p>
      <w:pPr>
        <w:pStyle w:val="6"/>
        <w:ind w:left="0" w:leftChars="0" w:firstLine="0" w:firstLineChars="0"/>
        <w:rPr>
          <w:color w:val="auto"/>
          <w:sz w:val="24"/>
          <w:szCs w:val="24"/>
          <w:lang w:eastAsia="zh-CN"/>
        </w:rPr>
      </w:pPr>
      <w:bookmarkStart w:id="828" w:name="bookmark1414"/>
      <w:bookmarkStart w:id="829" w:name="_Toc16235"/>
      <w:bookmarkStart w:id="830" w:name="bookmark1412"/>
      <w:bookmarkStart w:id="831" w:name="bookmark1413"/>
      <w:r>
        <w:rPr>
          <w:color w:val="auto"/>
          <w:sz w:val="24"/>
          <w:szCs w:val="24"/>
          <w:lang w:eastAsia="zh-CN"/>
        </w:rPr>
        <w:t>18.6专项验收</w:t>
      </w:r>
      <w:bookmarkEnd w:id="828"/>
      <w:bookmarkEnd w:id="829"/>
      <w:bookmarkEnd w:id="830"/>
      <w:bookmarkEnd w:id="831"/>
    </w:p>
    <w:p>
      <w:pPr>
        <w:pStyle w:val="45"/>
        <w:spacing w:line="353"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18.6.1</w:t>
      </w:r>
      <w:r>
        <w:rPr>
          <w:color w:val="auto"/>
          <w:sz w:val="24"/>
          <w:szCs w:val="24"/>
        </w:rPr>
        <w:t>发包人负责提出专项验收申请报告。承包人应按专项验收的相关规定参加专项验收。专项验收的具体类别在专用合同条款中约定。</w:t>
      </w:r>
    </w:p>
    <w:p>
      <w:pPr>
        <w:pStyle w:val="45"/>
        <w:spacing w:after="140" w:line="355" w:lineRule="exact"/>
        <w:ind w:firstLine="420"/>
        <w:rPr>
          <w:color w:val="auto"/>
          <w:sz w:val="24"/>
          <w:szCs w:val="24"/>
        </w:rPr>
      </w:pPr>
      <w:r>
        <w:rPr>
          <w:rFonts w:ascii="Times New Roman" w:hAnsi="Times New Roman" w:eastAsia="Times New Roman" w:cs="Times New Roman"/>
          <w:color w:val="auto"/>
          <w:sz w:val="24"/>
          <w:szCs w:val="24"/>
          <w:lang w:val="en-US" w:bidi="en-US"/>
        </w:rPr>
        <w:t>18.6.</w:t>
      </w:r>
      <w:r>
        <w:rPr>
          <w:rFonts w:ascii="Times New Roman" w:hAnsi="Times New Roman" w:eastAsia="Times New Roman" w:cs="Times New Roman"/>
          <w:color w:val="auto"/>
          <w:sz w:val="24"/>
          <w:szCs w:val="24"/>
        </w:rPr>
        <w:t>2</w:t>
      </w:r>
      <w:r>
        <w:rPr>
          <w:color w:val="auto"/>
          <w:sz w:val="24"/>
          <w:szCs w:val="24"/>
        </w:rPr>
        <w:t>承包应及时完成专项验收成果性文件载明应由承包人处理的遗留问题。</w:t>
      </w:r>
    </w:p>
    <w:p>
      <w:pPr>
        <w:pStyle w:val="6"/>
        <w:ind w:left="0" w:leftChars="0" w:firstLine="0" w:firstLineChars="0"/>
        <w:rPr>
          <w:color w:val="auto"/>
          <w:sz w:val="24"/>
          <w:szCs w:val="24"/>
          <w:lang w:eastAsia="zh-CN"/>
        </w:rPr>
      </w:pPr>
      <w:bookmarkStart w:id="832" w:name="bookmark1416"/>
      <w:bookmarkStart w:id="833" w:name="_Toc31377"/>
      <w:bookmarkStart w:id="834" w:name="bookmark1417"/>
      <w:bookmarkStart w:id="835" w:name="bookmark1415"/>
      <w:r>
        <w:rPr>
          <w:color w:val="auto"/>
          <w:sz w:val="24"/>
          <w:szCs w:val="24"/>
          <w:lang w:eastAsia="zh-CN"/>
        </w:rPr>
        <w:t>18.7竣工验收</w:t>
      </w:r>
      <w:bookmarkEnd w:id="832"/>
      <w:bookmarkEnd w:id="833"/>
      <w:bookmarkEnd w:id="834"/>
      <w:bookmarkEnd w:id="835"/>
    </w:p>
    <w:p>
      <w:pPr>
        <w:pStyle w:val="45"/>
        <w:spacing w:line="355"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18.7.1</w:t>
      </w:r>
      <w:r>
        <w:rPr>
          <w:rFonts w:ascii="Times New Roman" w:hAnsi="Times New Roman" w:cs="Times New Roman"/>
          <w:color w:val="auto"/>
          <w:sz w:val="24"/>
          <w:szCs w:val="24"/>
        </w:rPr>
        <w:t>申请竣工验收前，发包人组织竣工验收自查，承包人应派项目经理或技术负责人参加。</w:t>
      </w:r>
    </w:p>
    <w:p>
      <w:pPr>
        <w:pStyle w:val="45"/>
        <w:spacing w:line="36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18.7.2</w:t>
      </w:r>
      <w:r>
        <w:rPr>
          <w:color w:val="auto"/>
          <w:sz w:val="24"/>
          <w:szCs w:val="24"/>
        </w:rPr>
        <w:t>竣工验收分为竣工技术预验收和竣工验收两个阶段，发包人应通知承包人派法定代表人或项目经理参加技术预验收和竣工验收。</w:t>
      </w:r>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18.7.3</w:t>
      </w:r>
      <w:r>
        <w:rPr>
          <w:color w:val="auto"/>
          <w:sz w:val="24"/>
          <w:szCs w:val="24"/>
        </w:rPr>
        <w:t>专用合同条款约定工程需要进行技术鉴定的，承包人应提交有关资料并完成配合工作。</w:t>
      </w:r>
    </w:p>
    <w:p>
      <w:pPr>
        <w:pStyle w:val="45"/>
        <w:spacing w:line="36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18.7.4</w:t>
      </w:r>
      <w:r>
        <w:rPr>
          <w:color w:val="auto"/>
          <w:sz w:val="24"/>
          <w:szCs w:val="24"/>
        </w:rPr>
        <w:t>竣工验收需要进行质量检测的，所需费用由发包人承担，但因承包人原因造成质量不合格的除外。</w:t>
      </w:r>
    </w:p>
    <w:p>
      <w:pPr>
        <w:pStyle w:val="45"/>
        <w:spacing w:after="140" w:line="354"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18.7.5</w:t>
      </w:r>
      <w:r>
        <w:rPr>
          <w:color w:val="auto"/>
          <w:sz w:val="24"/>
          <w:szCs w:val="24"/>
        </w:rPr>
        <w:t>工程质量保修期满以及竣工验收遗留问题和尾工处理完成并通过验收后，发包人负责将处理情况和验收成果报送竣工验收主持单位，申请领取工程竣工证书，并发送承包人。</w:t>
      </w:r>
    </w:p>
    <w:p>
      <w:pPr>
        <w:pStyle w:val="6"/>
        <w:ind w:left="0" w:leftChars="0" w:firstLine="0" w:firstLineChars="0"/>
        <w:rPr>
          <w:color w:val="auto"/>
          <w:sz w:val="24"/>
          <w:szCs w:val="24"/>
          <w:lang w:eastAsia="zh-CN"/>
        </w:rPr>
      </w:pPr>
      <w:bookmarkStart w:id="836" w:name="bookmark1419"/>
      <w:bookmarkStart w:id="837" w:name="bookmark1418"/>
      <w:bookmarkStart w:id="838" w:name="bookmark1420"/>
      <w:bookmarkStart w:id="839" w:name="_Toc28956"/>
      <w:r>
        <w:rPr>
          <w:color w:val="auto"/>
          <w:sz w:val="24"/>
          <w:szCs w:val="24"/>
          <w:lang w:eastAsia="zh-CN"/>
        </w:rPr>
        <w:t>18.8施工期运行</w:t>
      </w:r>
      <w:bookmarkEnd w:id="836"/>
      <w:bookmarkEnd w:id="837"/>
      <w:bookmarkEnd w:id="838"/>
      <w:bookmarkEnd w:id="839"/>
    </w:p>
    <w:p>
      <w:pPr>
        <w:pStyle w:val="45"/>
        <w:spacing w:line="35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18.8.1</w:t>
      </w:r>
      <w:r>
        <w:rPr>
          <w:color w:val="auto"/>
          <w:sz w:val="24"/>
          <w:szCs w:val="24"/>
        </w:rPr>
        <w:t>施工期运行是指合同工程尚未全部完工，其中某单位工程或部分工程已完工, 需要投入施工期运行的，经发包人按第</w:t>
      </w:r>
      <w:r>
        <w:rPr>
          <w:rFonts w:ascii="Times New Roman" w:hAnsi="Times New Roman" w:eastAsia="Times New Roman" w:cs="Times New Roman"/>
          <w:color w:val="auto"/>
          <w:sz w:val="24"/>
          <w:szCs w:val="24"/>
          <w:lang w:val="en-US" w:bidi="en-US"/>
        </w:rPr>
        <w:t xml:space="preserve">18. </w:t>
      </w:r>
      <w:r>
        <w:rPr>
          <w:rFonts w:ascii="Times New Roman" w:hAnsi="Times New Roman" w:eastAsia="Times New Roman" w:cs="Times New Roman"/>
          <w:color w:val="auto"/>
          <w:sz w:val="24"/>
          <w:szCs w:val="24"/>
        </w:rPr>
        <w:t>2</w:t>
      </w:r>
      <w:r>
        <w:rPr>
          <w:color w:val="auto"/>
          <w:sz w:val="24"/>
          <w:szCs w:val="24"/>
        </w:rPr>
        <w:t>款或第</w:t>
      </w:r>
      <w:r>
        <w:rPr>
          <w:rFonts w:ascii="Times New Roman" w:hAnsi="Times New Roman" w:eastAsia="Times New Roman" w:cs="Times New Roman"/>
          <w:color w:val="auto"/>
          <w:sz w:val="24"/>
          <w:szCs w:val="24"/>
          <w:lang w:val="en-US" w:bidi="en-US"/>
        </w:rPr>
        <w:t xml:space="preserve">18. </w:t>
      </w:r>
      <w:r>
        <w:rPr>
          <w:rFonts w:ascii="Times New Roman" w:hAnsi="Times New Roman" w:eastAsia="Times New Roman" w:cs="Times New Roman"/>
          <w:color w:val="auto"/>
          <w:sz w:val="24"/>
          <w:szCs w:val="24"/>
        </w:rPr>
        <w:t>3</w:t>
      </w:r>
      <w:r>
        <w:rPr>
          <w:color w:val="auto"/>
          <w:sz w:val="24"/>
          <w:szCs w:val="24"/>
        </w:rPr>
        <w:t>款的约定验收合格，证明能确保安全后，才能在施工期投入运行。需要在施工期运行的单位工程或部分工程在专用合同条款中约定。</w:t>
      </w:r>
    </w:p>
    <w:p>
      <w:pPr>
        <w:pStyle w:val="45"/>
        <w:spacing w:after="140" w:line="37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18.8.2</w:t>
      </w:r>
      <w:r>
        <w:rPr>
          <w:color w:val="auto"/>
          <w:sz w:val="24"/>
          <w:szCs w:val="24"/>
        </w:rPr>
        <w:t>在施工期运行中发现工程或工程设备损坏或存在缺陷的，由承包人按第</w:t>
      </w:r>
      <w:r>
        <w:rPr>
          <w:rFonts w:ascii="Times New Roman" w:hAnsi="Times New Roman" w:eastAsia="Times New Roman" w:cs="Times New Roman"/>
          <w:color w:val="auto"/>
          <w:sz w:val="24"/>
          <w:szCs w:val="24"/>
          <w:lang w:val="en-US" w:bidi="en-US"/>
        </w:rPr>
        <w:t xml:space="preserve">19. </w:t>
      </w:r>
      <w:r>
        <w:rPr>
          <w:rFonts w:ascii="Times New Roman" w:hAnsi="Times New Roman" w:eastAsia="Times New Roman" w:cs="Times New Roman"/>
          <w:color w:val="auto"/>
          <w:sz w:val="24"/>
          <w:szCs w:val="24"/>
        </w:rPr>
        <w:t xml:space="preserve">2 </w:t>
      </w:r>
      <w:r>
        <w:rPr>
          <w:color w:val="auto"/>
          <w:sz w:val="24"/>
          <w:szCs w:val="24"/>
        </w:rPr>
        <w:t>款约定进行修复。</w:t>
      </w:r>
    </w:p>
    <w:p>
      <w:pPr>
        <w:pStyle w:val="6"/>
        <w:ind w:left="0" w:leftChars="0" w:firstLine="0" w:firstLineChars="0"/>
        <w:rPr>
          <w:color w:val="auto"/>
          <w:sz w:val="24"/>
          <w:szCs w:val="24"/>
          <w:lang w:eastAsia="zh-CN"/>
        </w:rPr>
      </w:pPr>
      <w:bookmarkStart w:id="840" w:name="bookmark1422"/>
      <w:bookmarkStart w:id="841" w:name="bookmark1423"/>
      <w:bookmarkStart w:id="842" w:name="bookmark1421"/>
      <w:bookmarkStart w:id="843" w:name="_Toc20150"/>
      <w:r>
        <w:rPr>
          <w:color w:val="auto"/>
          <w:sz w:val="24"/>
          <w:szCs w:val="24"/>
          <w:lang w:eastAsia="zh-CN"/>
        </w:rPr>
        <w:t>18.9试运行</w:t>
      </w:r>
      <w:bookmarkEnd w:id="840"/>
      <w:bookmarkEnd w:id="841"/>
      <w:bookmarkEnd w:id="842"/>
      <w:bookmarkEnd w:id="843"/>
    </w:p>
    <w:p>
      <w:pPr>
        <w:pStyle w:val="45"/>
        <w:spacing w:line="35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18.9.1</w:t>
      </w:r>
      <w:r>
        <w:rPr>
          <w:color w:val="auto"/>
          <w:sz w:val="24"/>
          <w:szCs w:val="24"/>
        </w:rPr>
        <w:t>除专用合同条款另有约定外，承包人应按规定进行工程及工程设备试运行, 负责提供试运行所需的人员、器材和必要的条件，并承担全部试运行费用。</w:t>
      </w:r>
    </w:p>
    <w:p>
      <w:pPr>
        <w:pStyle w:val="45"/>
        <w:spacing w:after="240" w:line="372" w:lineRule="exact"/>
        <w:ind w:firstLine="511" w:firstLineChars="213"/>
        <w:jc w:val="both"/>
        <w:rPr>
          <w:color w:val="auto"/>
          <w:sz w:val="24"/>
          <w:szCs w:val="24"/>
        </w:rPr>
      </w:pPr>
      <w:r>
        <w:rPr>
          <w:rFonts w:ascii="Times New Roman" w:hAnsi="Times New Roman" w:eastAsia="Times New Roman" w:cs="Times New Roman"/>
          <w:color w:val="auto"/>
          <w:sz w:val="24"/>
          <w:szCs w:val="24"/>
          <w:lang w:val="en-US" w:bidi="en-US"/>
        </w:rPr>
        <w:t>18.9.2</w:t>
      </w:r>
      <w:r>
        <w:rPr>
          <w:color w:val="auto"/>
          <w:sz w:val="24"/>
          <w:szCs w:val="24"/>
        </w:rPr>
        <w:t>由于承包人的原因导致试运行失败的，承包人应采取措施保证试运行合格, 并承担相应费用。由于发包人的原因导致试运行失败的，承包人应当采取措施保证试运行合格，发包人应承担由此产生的费用，并支付承包人合理利润。</w:t>
      </w:r>
      <w:bookmarkStart w:id="844" w:name="bookmark1411"/>
      <w:bookmarkEnd w:id="844"/>
    </w:p>
    <w:p>
      <w:pPr>
        <w:pStyle w:val="6"/>
        <w:ind w:left="0" w:leftChars="0" w:firstLine="0" w:firstLineChars="0"/>
        <w:rPr>
          <w:color w:val="auto"/>
          <w:sz w:val="24"/>
          <w:szCs w:val="24"/>
          <w:lang w:eastAsia="zh-CN"/>
        </w:rPr>
      </w:pPr>
      <w:bookmarkStart w:id="845" w:name="_Toc1706"/>
      <w:bookmarkStart w:id="846" w:name="bookmark1425"/>
      <w:bookmarkStart w:id="847" w:name="bookmark1424"/>
      <w:bookmarkStart w:id="848" w:name="bookmark1426"/>
      <w:r>
        <w:rPr>
          <w:color w:val="auto"/>
          <w:sz w:val="24"/>
          <w:szCs w:val="24"/>
          <w:lang w:eastAsia="zh-CN"/>
        </w:rPr>
        <w:t>18.10竣工（完工）清场</w:t>
      </w:r>
      <w:bookmarkEnd w:id="845"/>
      <w:bookmarkEnd w:id="846"/>
      <w:bookmarkEnd w:id="847"/>
      <w:bookmarkEnd w:id="848"/>
    </w:p>
    <w:p>
      <w:pPr>
        <w:pStyle w:val="45"/>
        <w:spacing w:line="355"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18.10.1</w:t>
      </w:r>
      <w:r>
        <w:rPr>
          <w:rFonts w:ascii="Times New Roman" w:hAnsi="Times New Roman" w:cs="Times New Roman"/>
          <w:color w:val="auto"/>
          <w:sz w:val="24"/>
          <w:szCs w:val="24"/>
        </w:rPr>
        <w:t>工程项目竣工（完工）清场的工作范围和内容在技术标准和要求（合同技术条款）中约定。</w:t>
      </w:r>
    </w:p>
    <w:p>
      <w:pPr>
        <w:pStyle w:val="45"/>
        <w:spacing w:after="240" w:line="36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18.10.2</w:t>
      </w:r>
      <w:r>
        <w:rPr>
          <w:color w:val="auto"/>
          <w:sz w:val="24"/>
          <w:szCs w:val="24"/>
        </w:rPr>
        <w:t>承包未按监理人的要求恢复临时占地，或者场地清理未达到合同约定的，发包人有权委托其它人恢复或清理，所发生的金额从拟支付给承包人的款项中扣除。</w:t>
      </w:r>
    </w:p>
    <w:p>
      <w:pPr>
        <w:pStyle w:val="6"/>
        <w:ind w:left="0" w:leftChars="0" w:firstLine="0" w:firstLineChars="0"/>
        <w:rPr>
          <w:color w:val="auto"/>
          <w:sz w:val="24"/>
          <w:szCs w:val="24"/>
          <w:lang w:eastAsia="zh-CN"/>
        </w:rPr>
      </w:pPr>
      <w:bookmarkStart w:id="849" w:name="bookmark1428"/>
      <w:bookmarkStart w:id="850" w:name="bookmark1427"/>
      <w:bookmarkStart w:id="851" w:name="_Toc28474"/>
      <w:bookmarkStart w:id="852" w:name="bookmark1429"/>
      <w:r>
        <w:rPr>
          <w:color w:val="auto"/>
          <w:sz w:val="24"/>
          <w:szCs w:val="24"/>
          <w:lang w:eastAsia="zh-CN"/>
        </w:rPr>
        <w:t>18.11施工队伍的撤离</w:t>
      </w:r>
      <w:bookmarkEnd w:id="849"/>
      <w:bookmarkEnd w:id="850"/>
      <w:bookmarkEnd w:id="851"/>
      <w:bookmarkEnd w:id="852"/>
    </w:p>
    <w:p>
      <w:pPr>
        <w:pStyle w:val="45"/>
        <w:spacing w:after="300" w:line="355" w:lineRule="exact"/>
        <w:ind w:firstLine="420"/>
        <w:jc w:val="both"/>
        <w:rPr>
          <w:color w:val="auto"/>
          <w:sz w:val="24"/>
          <w:szCs w:val="24"/>
        </w:rPr>
      </w:pPr>
      <w:r>
        <w:rPr>
          <w:color w:val="auto"/>
          <w:sz w:val="24"/>
          <w:szCs w:val="24"/>
        </w:rPr>
        <w:t>合同工程完工证书颁发后的</w:t>
      </w:r>
      <w:r>
        <w:rPr>
          <w:rFonts w:ascii="Times New Roman" w:hAnsi="Times New Roman" w:eastAsia="Times New Roman" w:cs="Times New Roman"/>
          <w:color w:val="auto"/>
          <w:sz w:val="24"/>
          <w:szCs w:val="24"/>
        </w:rPr>
        <w:t>56</w:t>
      </w:r>
      <w:r>
        <w:rPr>
          <w:color w:val="auto"/>
          <w:sz w:val="24"/>
          <w:szCs w:val="24"/>
        </w:rPr>
        <w:t>天内，除了经监理人同意需在缺陷责任期（工程质量保修期）内继续工作和使用的人员、施工设备和临时工程外，其余的人员、施工设备和临时工程均应撤离施工场地或拆除。除合同另有约定外，缺陷责任期（工程质量保修期）满时, 承包人的人员和施工设备应全部撤离施工场地。</w:t>
      </w:r>
    </w:p>
    <w:p>
      <w:pPr>
        <w:pStyle w:val="5"/>
        <w:spacing w:line="360" w:lineRule="exact"/>
        <w:rPr>
          <w:rFonts w:hint="eastAsia"/>
          <w:color w:val="auto"/>
          <w:sz w:val="24"/>
          <w:szCs w:val="24"/>
          <w:lang w:eastAsia="zh-CN"/>
        </w:rPr>
      </w:pPr>
      <w:bookmarkStart w:id="853" w:name="_Toc15410"/>
      <w:bookmarkStart w:id="854" w:name="bookmark1431"/>
      <w:bookmarkStart w:id="855" w:name="_Toc3205"/>
      <w:bookmarkStart w:id="856" w:name="bookmark1430"/>
      <w:bookmarkStart w:id="857" w:name="bookmark1432"/>
      <w:bookmarkStart w:id="858" w:name="_Toc695152116"/>
      <w:r>
        <w:rPr>
          <w:rFonts w:hint="eastAsia"/>
          <w:color w:val="auto"/>
          <w:sz w:val="24"/>
          <w:szCs w:val="24"/>
          <w:lang w:eastAsia="zh-CN"/>
        </w:rPr>
        <w:t>19.缺陷责任与保修责任</w:t>
      </w:r>
      <w:bookmarkEnd w:id="853"/>
      <w:bookmarkEnd w:id="854"/>
      <w:bookmarkEnd w:id="855"/>
      <w:bookmarkEnd w:id="856"/>
      <w:bookmarkEnd w:id="857"/>
      <w:bookmarkEnd w:id="858"/>
    </w:p>
    <w:p>
      <w:pPr>
        <w:pStyle w:val="6"/>
        <w:ind w:left="0" w:leftChars="0" w:firstLine="0" w:firstLineChars="0"/>
        <w:rPr>
          <w:color w:val="auto"/>
          <w:sz w:val="24"/>
          <w:szCs w:val="24"/>
          <w:lang w:eastAsia="zh-CN"/>
        </w:rPr>
      </w:pPr>
      <w:bookmarkStart w:id="859" w:name="bookmark1433"/>
      <w:bookmarkStart w:id="860" w:name="bookmark1435"/>
      <w:bookmarkStart w:id="861" w:name="bookmark1434"/>
      <w:bookmarkStart w:id="862" w:name="_Toc22913"/>
      <w:r>
        <w:rPr>
          <w:color w:val="auto"/>
          <w:sz w:val="24"/>
          <w:szCs w:val="24"/>
          <w:lang w:eastAsia="zh-CN"/>
        </w:rPr>
        <w:t>19.1缺陷责任期（工程质量保修期）的起算时间</w:t>
      </w:r>
      <w:bookmarkEnd w:id="859"/>
      <w:bookmarkEnd w:id="860"/>
      <w:bookmarkEnd w:id="861"/>
      <w:bookmarkEnd w:id="862"/>
    </w:p>
    <w:p>
      <w:pPr>
        <w:pStyle w:val="45"/>
        <w:spacing w:after="160" w:line="354" w:lineRule="exact"/>
        <w:ind w:firstLine="440"/>
        <w:jc w:val="both"/>
        <w:rPr>
          <w:color w:val="auto"/>
          <w:sz w:val="24"/>
          <w:szCs w:val="24"/>
        </w:rPr>
      </w:pPr>
      <w:r>
        <w:rPr>
          <w:color w:val="auto"/>
          <w:sz w:val="24"/>
          <w:szCs w:val="24"/>
        </w:rPr>
        <w:t>除专用合同条款另有约定外，缺陷责任期（工程质量保修期）从工程通过合同工程完 工验收后开始计算。在合同工程完工验收前，已经发包人提前验收的单位工程或部分工程, 若未投入使用，其缺陷责任期（工程质量保修期）亦从工程通过合同工程完工验收后开始计算；若已投入使用，其缺陷责任期（工程质量保修期）从通过单位工程或部分工程投入使用验收后开始计算。缺陷责任期（工程质量保修期）的期限在专用合同条款中约定。</w:t>
      </w:r>
    </w:p>
    <w:p>
      <w:pPr>
        <w:pStyle w:val="6"/>
        <w:ind w:left="0" w:leftChars="0" w:firstLine="0" w:firstLineChars="0"/>
        <w:rPr>
          <w:color w:val="auto"/>
          <w:sz w:val="24"/>
          <w:szCs w:val="24"/>
          <w:lang w:eastAsia="zh-CN"/>
        </w:rPr>
      </w:pPr>
      <w:bookmarkStart w:id="863" w:name="bookmark1438"/>
      <w:bookmarkStart w:id="864" w:name="_Toc27743"/>
      <w:bookmarkStart w:id="865" w:name="bookmark1436"/>
      <w:bookmarkStart w:id="866" w:name="bookmark1437"/>
      <w:r>
        <w:rPr>
          <w:color w:val="auto"/>
          <w:sz w:val="24"/>
          <w:szCs w:val="24"/>
          <w:lang w:eastAsia="zh-CN"/>
        </w:rPr>
        <w:t>19.2缺陷责任</w:t>
      </w:r>
      <w:bookmarkEnd w:id="863"/>
      <w:bookmarkEnd w:id="864"/>
      <w:bookmarkEnd w:id="865"/>
      <w:bookmarkEnd w:id="866"/>
    </w:p>
    <w:p>
      <w:pPr>
        <w:pStyle w:val="45"/>
        <w:tabs>
          <w:tab w:val="left" w:pos="853"/>
        </w:tabs>
        <w:spacing w:line="360" w:lineRule="exact"/>
        <w:ind w:left="440" w:firstLine="0"/>
        <w:jc w:val="both"/>
        <w:rPr>
          <w:color w:val="auto"/>
          <w:sz w:val="24"/>
          <w:szCs w:val="24"/>
        </w:rPr>
      </w:pPr>
      <w:bookmarkStart w:id="867" w:name="bookmark1439"/>
      <w:bookmarkEnd w:id="867"/>
      <w:r>
        <w:rPr>
          <w:rFonts w:hint="eastAsia" w:ascii="Times New Roman" w:hAnsi="Times New Roman" w:cs="Times New Roman"/>
          <w:color w:val="auto"/>
          <w:sz w:val="24"/>
          <w:szCs w:val="24"/>
          <w:lang w:val="en-US" w:bidi="en-US"/>
        </w:rPr>
        <w:t>19.</w:t>
      </w:r>
      <w:r>
        <w:rPr>
          <w:rFonts w:ascii="Times New Roman" w:hAnsi="Times New Roman" w:eastAsia="Times New Roman" w:cs="Times New Roman"/>
          <w:color w:val="auto"/>
          <w:sz w:val="24"/>
          <w:szCs w:val="24"/>
          <w:lang w:val="en-US" w:bidi="en-US"/>
        </w:rPr>
        <w:t xml:space="preserve">2. </w:t>
      </w:r>
      <w:r>
        <w:rPr>
          <w:rFonts w:ascii="Times New Roman" w:hAnsi="Times New Roman" w:eastAsia="Times New Roman" w:cs="Times New Roman"/>
          <w:color w:val="auto"/>
          <w:sz w:val="24"/>
          <w:szCs w:val="24"/>
        </w:rPr>
        <w:t>1</w:t>
      </w:r>
      <w:r>
        <w:rPr>
          <w:color w:val="auto"/>
          <w:sz w:val="24"/>
          <w:szCs w:val="24"/>
        </w:rPr>
        <w:t>承包人应在缺陷责任期内对已交付使用的工程承担缺陷责任。</w:t>
      </w:r>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19.2.2</w:t>
      </w:r>
      <w:r>
        <w:rPr>
          <w:color w:val="auto"/>
          <w:sz w:val="24"/>
          <w:szCs w:val="24"/>
        </w:rPr>
        <w:t>缺陷责任期内，发包人对已接收使用的工程负责日常维护工作。发包人在使用过程中，发现已接收的工程存在新的缺陷或已修复的缺陷部位或部件又遭损坏的，承包人应负责修复，直至检验合格为止。</w:t>
      </w:r>
    </w:p>
    <w:p>
      <w:pPr>
        <w:pStyle w:val="45"/>
        <w:spacing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19.2.3</w:t>
      </w:r>
      <w:r>
        <w:rPr>
          <w:color w:val="auto"/>
          <w:sz w:val="24"/>
          <w:szCs w:val="24"/>
        </w:rPr>
        <w:t>监理人和承包人应共同查清缺陷和（或）损坏的原因。经查明属承包人原因造成的，应由承包人承担修复和查验的费用。经查验属发包人原因造成的，发包人应承担修复和查验的费用，并支付承包人合理利润。</w:t>
      </w:r>
    </w:p>
    <w:p>
      <w:pPr>
        <w:pStyle w:val="45"/>
        <w:spacing w:after="160" w:line="360" w:lineRule="exact"/>
        <w:ind w:firstLine="440"/>
        <w:jc w:val="both"/>
        <w:rPr>
          <w:color w:val="auto"/>
          <w:sz w:val="24"/>
          <w:szCs w:val="24"/>
        </w:rPr>
      </w:pPr>
      <w:r>
        <w:rPr>
          <w:rFonts w:ascii="Times New Roman" w:hAnsi="Times New Roman" w:eastAsia="Times New Roman" w:cs="Times New Roman"/>
          <w:color w:val="auto"/>
          <w:sz w:val="24"/>
          <w:szCs w:val="24"/>
          <w:lang w:val="en-US" w:bidi="en-US"/>
        </w:rPr>
        <w:t>19.2.4</w:t>
      </w:r>
      <w:r>
        <w:rPr>
          <w:color w:val="auto"/>
          <w:sz w:val="24"/>
          <w:szCs w:val="24"/>
        </w:rPr>
        <w:t>承包人不能在合理时间内修复缺陷的，发包人可自行修复或委托其他人修复, 所需费用和利润的承担，按第</w:t>
      </w:r>
      <w:r>
        <w:rPr>
          <w:rFonts w:ascii="Times New Roman" w:hAnsi="Times New Roman" w:eastAsia="Times New Roman" w:cs="Times New Roman"/>
          <w:color w:val="auto"/>
          <w:sz w:val="24"/>
          <w:szCs w:val="24"/>
          <w:lang w:val="en-US" w:bidi="en-US"/>
        </w:rPr>
        <w:t xml:space="preserve">19. 2. </w:t>
      </w:r>
      <w:r>
        <w:rPr>
          <w:rFonts w:ascii="Times New Roman" w:hAnsi="Times New Roman" w:eastAsia="Times New Roman" w:cs="Times New Roman"/>
          <w:color w:val="auto"/>
          <w:sz w:val="24"/>
          <w:szCs w:val="24"/>
        </w:rPr>
        <w:t>3</w:t>
      </w:r>
      <w:r>
        <w:rPr>
          <w:color w:val="auto"/>
          <w:sz w:val="24"/>
          <w:szCs w:val="24"/>
        </w:rPr>
        <w:t>项约定办理。</w:t>
      </w:r>
    </w:p>
    <w:p>
      <w:pPr>
        <w:pStyle w:val="6"/>
        <w:ind w:left="0" w:leftChars="0" w:firstLine="0" w:firstLineChars="0"/>
        <w:rPr>
          <w:color w:val="auto"/>
          <w:sz w:val="24"/>
          <w:szCs w:val="24"/>
          <w:lang w:eastAsia="zh-CN"/>
        </w:rPr>
      </w:pPr>
      <w:bookmarkStart w:id="868" w:name="bookmark1443"/>
      <w:bookmarkStart w:id="869" w:name="_Toc4593"/>
      <w:bookmarkStart w:id="870" w:name="bookmark1444"/>
      <w:bookmarkStart w:id="871" w:name="bookmark1445"/>
      <w:r>
        <w:rPr>
          <w:color w:val="auto"/>
          <w:sz w:val="24"/>
          <w:szCs w:val="24"/>
          <w:lang w:eastAsia="zh-CN"/>
        </w:rPr>
        <w:t>19.</w:t>
      </w:r>
      <w:r>
        <w:rPr>
          <w:rFonts w:hint="eastAsia"/>
          <w:color w:val="auto"/>
          <w:sz w:val="24"/>
          <w:szCs w:val="24"/>
          <w:lang w:val="en-US" w:eastAsia="zh-CN"/>
        </w:rPr>
        <w:t>3</w:t>
      </w:r>
      <w:r>
        <w:rPr>
          <w:color w:val="auto"/>
          <w:sz w:val="24"/>
          <w:szCs w:val="24"/>
          <w:lang w:eastAsia="zh-CN"/>
        </w:rPr>
        <w:t>进一步试验和试运行</w:t>
      </w:r>
      <w:bookmarkEnd w:id="868"/>
      <w:bookmarkEnd w:id="869"/>
      <w:bookmarkEnd w:id="870"/>
      <w:bookmarkEnd w:id="871"/>
    </w:p>
    <w:p>
      <w:pPr>
        <w:pStyle w:val="45"/>
        <w:spacing w:after="160" w:line="360" w:lineRule="exact"/>
        <w:ind w:firstLine="440"/>
        <w:jc w:val="both"/>
        <w:rPr>
          <w:color w:val="auto"/>
          <w:sz w:val="24"/>
          <w:szCs w:val="24"/>
        </w:rPr>
      </w:pPr>
      <w:r>
        <w:rPr>
          <w:color w:val="auto"/>
          <w:sz w:val="24"/>
          <w:szCs w:val="24"/>
        </w:rPr>
        <w:t>任何一项缺陷或损坏修复后，经检查证明其影响了工程或工程设备的使用性能，承包人应重新进行合同约定的试验和试运行，试验和试运行的全部费用应由责任方承担。</w:t>
      </w:r>
    </w:p>
    <w:p>
      <w:pPr>
        <w:pStyle w:val="6"/>
        <w:ind w:left="0" w:leftChars="0" w:firstLine="0" w:firstLineChars="0"/>
        <w:rPr>
          <w:color w:val="auto"/>
          <w:sz w:val="24"/>
          <w:szCs w:val="24"/>
          <w:lang w:eastAsia="zh-CN"/>
        </w:rPr>
      </w:pPr>
      <w:bookmarkStart w:id="872" w:name="_Toc19734"/>
      <w:bookmarkStart w:id="873" w:name="bookmark1440"/>
      <w:bookmarkStart w:id="874" w:name="bookmark1442"/>
      <w:bookmarkStart w:id="875" w:name="bookmark1441"/>
      <w:bookmarkStart w:id="876" w:name="bookmark1448"/>
      <w:bookmarkStart w:id="877" w:name="bookmark1447"/>
      <w:bookmarkStart w:id="878" w:name="bookmark1446"/>
      <w:bookmarkStart w:id="879" w:name="_Toc13710"/>
      <w:r>
        <w:rPr>
          <w:color w:val="auto"/>
          <w:sz w:val="24"/>
          <w:szCs w:val="24"/>
          <w:lang w:eastAsia="zh-CN"/>
        </w:rPr>
        <w:t>19.</w:t>
      </w:r>
      <w:r>
        <w:rPr>
          <w:rFonts w:hint="eastAsia"/>
          <w:color w:val="auto"/>
          <w:sz w:val="24"/>
          <w:szCs w:val="24"/>
          <w:lang w:val="en-US" w:eastAsia="zh-CN"/>
        </w:rPr>
        <w:t>4</w:t>
      </w:r>
      <w:r>
        <w:rPr>
          <w:color w:val="auto"/>
          <w:sz w:val="24"/>
          <w:szCs w:val="24"/>
          <w:lang w:eastAsia="zh-CN"/>
        </w:rPr>
        <w:t>缺陷责任期的延长</w:t>
      </w:r>
      <w:bookmarkEnd w:id="872"/>
      <w:bookmarkEnd w:id="873"/>
      <w:bookmarkEnd w:id="874"/>
      <w:bookmarkEnd w:id="875"/>
    </w:p>
    <w:p>
      <w:pPr>
        <w:pStyle w:val="45"/>
        <w:spacing w:after="160" w:line="343" w:lineRule="exact"/>
        <w:ind w:firstLine="440"/>
        <w:jc w:val="both"/>
        <w:rPr>
          <w:color w:val="auto"/>
          <w:sz w:val="24"/>
          <w:szCs w:val="24"/>
        </w:rPr>
      </w:pPr>
      <w:r>
        <w:rPr>
          <w:color w:val="auto"/>
          <w:sz w:val="24"/>
          <w:szCs w:val="24"/>
        </w:rPr>
        <w:t>由于承包人原因造成某项缺陷或损坏使某项工程或工程设备不能按原定目标使用而需要再次检查、检验和修复的，发包人有权要求承包人相应延长缺陷责任期，但缺陷责任期最长不超过</w:t>
      </w:r>
      <w:r>
        <w:rPr>
          <w:rFonts w:ascii="Times New Roman" w:hAnsi="Times New Roman" w:eastAsia="Times New Roman" w:cs="Times New Roman"/>
          <w:color w:val="auto"/>
          <w:sz w:val="24"/>
          <w:szCs w:val="24"/>
        </w:rPr>
        <w:t>2</w:t>
      </w:r>
      <w:r>
        <w:rPr>
          <w:color w:val="auto"/>
          <w:sz w:val="24"/>
          <w:szCs w:val="24"/>
        </w:rPr>
        <w:t>年。</w:t>
      </w:r>
    </w:p>
    <w:p>
      <w:pPr>
        <w:pStyle w:val="6"/>
        <w:ind w:left="0" w:leftChars="0" w:firstLine="0" w:firstLineChars="0"/>
        <w:rPr>
          <w:color w:val="auto"/>
          <w:sz w:val="24"/>
          <w:szCs w:val="24"/>
          <w:lang w:eastAsia="zh-CN"/>
        </w:rPr>
      </w:pPr>
      <w:r>
        <w:rPr>
          <w:color w:val="auto"/>
          <w:sz w:val="24"/>
          <w:szCs w:val="24"/>
          <w:lang w:eastAsia="zh-CN"/>
        </w:rPr>
        <w:t>19.5承包人的进入权</w:t>
      </w:r>
      <w:bookmarkEnd w:id="876"/>
      <w:bookmarkEnd w:id="877"/>
      <w:bookmarkEnd w:id="878"/>
      <w:bookmarkEnd w:id="879"/>
    </w:p>
    <w:p>
      <w:pPr>
        <w:pStyle w:val="45"/>
        <w:spacing w:after="160" w:line="362" w:lineRule="exact"/>
        <w:ind w:firstLine="440"/>
        <w:jc w:val="both"/>
        <w:rPr>
          <w:color w:val="auto"/>
          <w:sz w:val="24"/>
          <w:szCs w:val="24"/>
        </w:rPr>
      </w:pPr>
      <w:r>
        <w:rPr>
          <w:color w:val="auto"/>
          <w:sz w:val="24"/>
          <w:szCs w:val="24"/>
        </w:rPr>
        <w:t>缺陷责任期内承包人为缺陷修复工作需要，有权进入工程现场，但应遵守发包人的保安和保密规定。</w:t>
      </w:r>
    </w:p>
    <w:p>
      <w:pPr>
        <w:pStyle w:val="6"/>
        <w:ind w:left="0" w:leftChars="0" w:firstLine="0" w:firstLineChars="0"/>
        <w:rPr>
          <w:color w:val="auto"/>
          <w:sz w:val="24"/>
          <w:szCs w:val="24"/>
          <w:lang w:eastAsia="zh-CN"/>
        </w:rPr>
      </w:pPr>
      <w:bookmarkStart w:id="880" w:name="bookmark1449"/>
      <w:bookmarkStart w:id="881" w:name="_Toc16024"/>
      <w:bookmarkStart w:id="882" w:name="bookmark1450"/>
      <w:bookmarkStart w:id="883" w:name="bookmark1451"/>
      <w:r>
        <w:rPr>
          <w:color w:val="auto"/>
          <w:sz w:val="24"/>
          <w:szCs w:val="24"/>
          <w:lang w:eastAsia="zh-CN"/>
        </w:rPr>
        <w:t>19.6缺陷责任期终止证书（工程质量保修责任终止证书）</w:t>
      </w:r>
      <w:bookmarkEnd w:id="880"/>
      <w:bookmarkEnd w:id="881"/>
      <w:bookmarkEnd w:id="882"/>
      <w:bookmarkEnd w:id="883"/>
    </w:p>
    <w:p>
      <w:pPr>
        <w:pStyle w:val="45"/>
        <w:spacing w:line="362" w:lineRule="exact"/>
        <w:ind w:firstLine="440"/>
        <w:jc w:val="both"/>
        <w:rPr>
          <w:color w:val="auto"/>
          <w:sz w:val="24"/>
          <w:szCs w:val="24"/>
        </w:rPr>
      </w:pPr>
      <w:r>
        <w:rPr>
          <w:color w:val="auto"/>
          <w:sz w:val="24"/>
          <w:szCs w:val="24"/>
        </w:rPr>
        <w:t>合同工程完工验收后，发包人与承包人应办理工程交接手续，承包人应向发包人递交工程质量保修书。</w:t>
      </w:r>
    </w:p>
    <w:p>
      <w:pPr>
        <w:pStyle w:val="45"/>
        <w:spacing w:after="160" w:line="361" w:lineRule="exact"/>
        <w:ind w:firstLine="440"/>
        <w:jc w:val="both"/>
        <w:rPr>
          <w:color w:val="auto"/>
          <w:sz w:val="24"/>
          <w:szCs w:val="24"/>
        </w:rPr>
      </w:pPr>
      <w:r>
        <w:rPr>
          <w:color w:val="auto"/>
          <w:sz w:val="24"/>
          <w:szCs w:val="24"/>
        </w:rPr>
        <w:t>缺陷责任期（工程质量保修期）满后</w:t>
      </w:r>
      <w:r>
        <w:rPr>
          <w:rFonts w:ascii="Times New Roman" w:hAnsi="Times New Roman" w:eastAsia="Times New Roman" w:cs="Times New Roman"/>
          <w:color w:val="auto"/>
          <w:sz w:val="24"/>
          <w:szCs w:val="24"/>
        </w:rPr>
        <w:t>30</w:t>
      </w:r>
      <w:r>
        <w:rPr>
          <w:color w:val="auto"/>
          <w:sz w:val="24"/>
          <w:szCs w:val="24"/>
        </w:rPr>
        <w:t>个工作日内，发包人应向承包人颁发工程质量保修责任终止证书，并退还剩余的质量保证金，但保修责任范围内的质量缺陷未处理完成的应除外。</w:t>
      </w:r>
    </w:p>
    <w:p>
      <w:pPr>
        <w:pStyle w:val="6"/>
        <w:ind w:left="0" w:leftChars="0" w:firstLine="0" w:firstLineChars="0"/>
        <w:rPr>
          <w:color w:val="auto"/>
          <w:sz w:val="24"/>
          <w:szCs w:val="24"/>
          <w:lang w:eastAsia="zh-CN"/>
        </w:rPr>
      </w:pPr>
      <w:bookmarkStart w:id="884" w:name="bookmark1452"/>
      <w:bookmarkStart w:id="885" w:name="bookmark1454"/>
      <w:bookmarkStart w:id="886" w:name="_Toc10377"/>
      <w:bookmarkStart w:id="887" w:name="bookmark1453"/>
      <w:r>
        <w:rPr>
          <w:color w:val="auto"/>
          <w:sz w:val="24"/>
          <w:szCs w:val="24"/>
          <w:lang w:eastAsia="zh-CN"/>
        </w:rPr>
        <w:t>19.7保修责任</w:t>
      </w:r>
      <w:bookmarkEnd w:id="884"/>
      <w:bookmarkEnd w:id="885"/>
      <w:bookmarkEnd w:id="886"/>
      <w:bookmarkEnd w:id="887"/>
    </w:p>
    <w:p>
      <w:pPr>
        <w:pStyle w:val="45"/>
        <w:spacing w:after="260" w:line="347" w:lineRule="exact"/>
        <w:ind w:firstLine="440"/>
        <w:jc w:val="both"/>
        <w:rPr>
          <w:color w:val="auto"/>
          <w:sz w:val="24"/>
          <w:szCs w:val="24"/>
        </w:rPr>
      </w:pPr>
      <w:r>
        <w:rPr>
          <w:color w:val="auto"/>
          <w:sz w:val="24"/>
          <w:szCs w:val="24"/>
        </w:rPr>
        <w:t>合同当事人根据有关法律规定，在专用合同条款中约定工程质量保修范围、期限和责任。保修期自实际完工验收日期起计算。在全部工程竣工验收前，已经发包人提前验收的单位工程，其保修期的起算日期相应提前。</w:t>
      </w:r>
    </w:p>
    <w:p>
      <w:pPr>
        <w:pStyle w:val="5"/>
        <w:spacing w:line="360" w:lineRule="exact"/>
        <w:rPr>
          <w:rFonts w:hint="eastAsia"/>
          <w:color w:val="auto"/>
          <w:sz w:val="24"/>
          <w:szCs w:val="24"/>
          <w:lang w:eastAsia="zh-CN"/>
        </w:rPr>
      </w:pPr>
      <w:bookmarkStart w:id="888" w:name="_Toc30886"/>
      <w:bookmarkStart w:id="889" w:name="_Toc1962875816"/>
      <w:bookmarkStart w:id="890" w:name="bookmark1457"/>
      <w:bookmarkStart w:id="891" w:name="_Toc31099"/>
      <w:bookmarkStart w:id="892" w:name="bookmark1456"/>
      <w:bookmarkStart w:id="893" w:name="bookmark1455"/>
      <w:r>
        <w:rPr>
          <w:rFonts w:hint="eastAsia"/>
          <w:color w:val="auto"/>
          <w:sz w:val="24"/>
          <w:szCs w:val="24"/>
          <w:lang w:eastAsia="zh-CN"/>
        </w:rPr>
        <w:t>20.保险</w:t>
      </w:r>
      <w:bookmarkEnd w:id="888"/>
      <w:bookmarkEnd w:id="889"/>
      <w:bookmarkEnd w:id="890"/>
      <w:bookmarkEnd w:id="891"/>
    </w:p>
    <w:p>
      <w:pPr>
        <w:pStyle w:val="6"/>
        <w:ind w:left="0" w:leftChars="0" w:firstLine="0" w:firstLineChars="0"/>
        <w:rPr>
          <w:color w:val="auto"/>
          <w:sz w:val="24"/>
          <w:szCs w:val="24"/>
          <w:lang w:eastAsia="zh-CN"/>
        </w:rPr>
      </w:pPr>
      <w:bookmarkStart w:id="894" w:name="_Toc16520"/>
      <w:bookmarkStart w:id="895" w:name="bookmark1458"/>
      <w:r>
        <w:rPr>
          <w:color w:val="auto"/>
          <w:sz w:val="24"/>
          <w:szCs w:val="24"/>
          <w:lang w:eastAsia="zh-CN"/>
        </w:rPr>
        <w:t>20.1工程保险</w:t>
      </w:r>
      <w:bookmarkEnd w:id="892"/>
      <w:bookmarkEnd w:id="893"/>
      <w:bookmarkEnd w:id="894"/>
      <w:bookmarkEnd w:id="895"/>
    </w:p>
    <w:p>
      <w:pPr>
        <w:pStyle w:val="45"/>
        <w:spacing w:after="120" w:line="348" w:lineRule="exact"/>
        <w:ind w:firstLine="440"/>
        <w:jc w:val="both"/>
        <w:rPr>
          <w:color w:val="auto"/>
          <w:sz w:val="24"/>
          <w:szCs w:val="24"/>
        </w:rPr>
      </w:pPr>
      <w:r>
        <w:rPr>
          <w:color w:val="auto"/>
          <w:sz w:val="24"/>
          <w:szCs w:val="24"/>
        </w:rPr>
        <w:t>除专用合同条款另有约定外，承包人应以发包人和承包人的共同名义向双方同意的保险人投保建筑工程一切险、安装工程一切险。其具体的投保内容、保险金额、保险费率、 保险期限等有关内容在专用合同条款中约定。</w:t>
      </w:r>
    </w:p>
    <w:p>
      <w:pPr>
        <w:pStyle w:val="6"/>
        <w:ind w:left="0" w:leftChars="0" w:firstLine="0" w:firstLineChars="0"/>
        <w:rPr>
          <w:color w:val="auto"/>
          <w:sz w:val="24"/>
          <w:szCs w:val="24"/>
          <w:lang w:eastAsia="zh-CN"/>
        </w:rPr>
      </w:pPr>
      <w:bookmarkStart w:id="896" w:name="_Toc19236"/>
      <w:bookmarkStart w:id="897" w:name="bookmark1459"/>
      <w:bookmarkStart w:id="898" w:name="bookmark1461"/>
      <w:bookmarkStart w:id="899" w:name="bookmark1460"/>
      <w:r>
        <w:rPr>
          <w:color w:val="auto"/>
          <w:sz w:val="24"/>
          <w:szCs w:val="24"/>
          <w:lang w:eastAsia="zh-CN"/>
        </w:rPr>
        <w:t>20.2人员工伤事故的保险</w:t>
      </w:r>
      <w:bookmarkEnd w:id="896"/>
      <w:bookmarkEnd w:id="897"/>
      <w:bookmarkEnd w:id="898"/>
      <w:bookmarkEnd w:id="899"/>
    </w:p>
    <w:p>
      <w:pPr>
        <w:pStyle w:val="45"/>
        <w:tabs>
          <w:tab w:val="left" w:pos="878"/>
        </w:tabs>
        <w:spacing w:line="353" w:lineRule="exact"/>
        <w:ind w:left="440" w:firstLine="0"/>
        <w:jc w:val="both"/>
        <w:rPr>
          <w:color w:val="auto"/>
          <w:sz w:val="24"/>
          <w:szCs w:val="24"/>
        </w:rPr>
      </w:pPr>
      <w:bookmarkStart w:id="900" w:name="bookmark1462"/>
      <w:bookmarkEnd w:id="900"/>
      <w:r>
        <w:rPr>
          <w:rFonts w:hint="eastAsia" w:ascii="Times New Roman" w:hAnsi="Times New Roman" w:cs="Times New Roman"/>
          <w:color w:val="auto"/>
          <w:sz w:val="24"/>
          <w:szCs w:val="24"/>
          <w:lang w:val="en-US" w:bidi="en-US"/>
        </w:rPr>
        <w:t>20.</w:t>
      </w:r>
      <w:r>
        <w:rPr>
          <w:rFonts w:ascii="Times New Roman" w:hAnsi="Times New Roman" w:eastAsia="Times New Roman" w:cs="Times New Roman"/>
          <w:color w:val="auto"/>
          <w:sz w:val="24"/>
          <w:szCs w:val="24"/>
          <w:lang w:val="en-US" w:bidi="en-US"/>
        </w:rPr>
        <w:t>2.</w:t>
      </w:r>
      <w:r>
        <w:rPr>
          <w:rFonts w:ascii="Times New Roman" w:hAnsi="Times New Roman" w:eastAsia="Times New Roman" w:cs="Times New Roman"/>
          <w:color w:val="auto"/>
          <w:sz w:val="24"/>
          <w:szCs w:val="24"/>
        </w:rPr>
        <w:t>1</w:t>
      </w:r>
      <w:r>
        <w:rPr>
          <w:color w:val="auto"/>
          <w:sz w:val="24"/>
          <w:szCs w:val="24"/>
        </w:rPr>
        <w:t>承包人员工伤事故的保险</w:t>
      </w:r>
    </w:p>
    <w:p>
      <w:pPr>
        <w:pStyle w:val="45"/>
        <w:spacing w:line="353" w:lineRule="exact"/>
        <w:ind w:firstLine="440"/>
        <w:jc w:val="both"/>
        <w:rPr>
          <w:color w:val="auto"/>
          <w:sz w:val="24"/>
          <w:szCs w:val="24"/>
        </w:rPr>
      </w:pPr>
      <w:r>
        <w:rPr>
          <w:color w:val="auto"/>
          <w:sz w:val="24"/>
          <w:szCs w:val="24"/>
        </w:rPr>
        <w:t>承包人应依照有关法律规定参加工伤保险，为其履行合同所雇佣的全部人员，缴纳工 伤保险费，并要求其分包人也进行此项保险。</w:t>
      </w:r>
    </w:p>
    <w:p>
      <w:pPr>
        <w:pStyle w:val="45"/>
        <w:spacing w:line="358"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20.2.</w:t>
      </w:r>
      <w:r>
        <w:rPr>
          <w:rFonts w:ascii="Times New Roman" w:hAnsi="Times New Roman" w:eastAsia="Times New Roman" w:cs="Times New Roman"/>
          <w:color w:val="auto"/>
          <w:sz w:val="24"/>
          <w:szCs w:val="24"/>
        </w:rPr>
        <w:t>2</w:t>
      </w:r>
      <w:r>
        <w:rPr>
          <w:color w:val="auto"/>
          <w:sz w:val="24"/>
          <w:szCs w:val="24"/>
        </w:rPr>
        <w:t>发包人员工伤事故的保险</w:t>
      </w:r>
    </w:p>
    <w:p>
      <w:pPr>
        <w:pStyle w:val="45"/>
        <w:spacing w:after="120" w:line="358" w:lineRule="exact"/>
        <w:ind w:firstLine="440"/>
        <w:jc w:val="both"/>
        <w:rPr>
          <w:color w:val="auto"/>
          <w:sz w:val="24"/>
          <w:szCs w:val="24"/>
        </w:rPr>
      </w:pPr>
      <w:r>
        <w:rPr>
          <w:color w:val="auto"/>
          <w:sz w:val="24"/>
          <w:szCs w:val="24"/>
        </w:rPr>
        <w:t>发包人应依照有关法律规定参加工伤保险，为其现场机构雇佣的全部人员，缴纳工伤保险费，并要求其监理人也进行此项保险。</w:t>
      </w:r>
    </w:p>
    <w:p>
      <w:pPr>
        <w:pStyle w:val="6"/>
        <w:ind w:left="0" w:leftChars="0" w:firstLine="0" w:firstLineChars="0"/>
        <w:rPr>
          <w:color w:val="auto"/>
          <w:sz w:val="24"/>
          <w:szCs w:val="24"/>
          <w:lang w:eastAsia="zh-CN"/>
        </w:rPr>
      </w:pPr>
      <w:bookmarkStart w:id="901" w:name="bookmark1464"/>
      <w:bookmarkStart w:id="902" w:name="_Toc9146"/>
      <w:bookmarkStart w:id="903" w:name="bookmark1465"/>
      <w:bookmarkStart w:id="904" w:name="bookmark1463"/>
      <w:r>
        <w:rPr>
          <w:color w:val="auto"/>
          <w:sz w:val="24"/>
          <w:szCs w:val="24"/>
          <w:lang w:eastAsia="zh-CN"/>
        </w:rPr>
        <w:t>20.3人身意外伤害险</w:t>
      </w:r>
      <w:bookmarkEnd w:id="901"/>
      <w:bookmarkEnd w:id="902"/>
      <w:bookmarkEnd w:id="903"/>
      <w:bookmarkEnd w:id="904"/>
    </w:p>
    <w:p>
      <w:pPr>
        <w:pStyle w:val="45"/>
        <w:spacing w:line="36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20.3.1</w:t>
      </w:r>
      <w:r>
        <w:rPr>
          <w:color w:val="auto"/>
          <w:sz w:val="24"/>
          <w:szCs w:val="24"/>
        </w:rPr>
        <w:t>发包人应在整个施工期间为其现场机构雇用的全部人员，投保人身意外伤害险，缴纳保险费，并要求其监理人也进行此项保险。</w:t>
      </w:r>
    </w:p>
    <w:p>
      <w:pPr>
        <w:pStyle w:val="45"/>
        <w:spacing w:after="120" w:line="367"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20.3.2</w:t>
      </w:r>
      <w:r>
        <w:rPr>
          <w:color w:val="auto"/>
          <w:sz w:val="24"/>
          <w:szCs w:val="24"/>
        </w:rPr>
        <w:t>承包人应在整个施工期间为其现场机构雇用的全部人员，投保人身意外伤害险，缴纳保险费，并要求其分包人也进行此项保险。</w:t>
      </w:r>
    </w:p>
    <w:p>
      <w:pPr>
        <w:pStyle w:val="6"/>
        <w:ind w:left="0" w:leftChars="0" w:firstLine="0" w:firstLineChars="0"/>
        <w:rPr>
          <w:color w:val="auto"/>
          <w:sz w:val="24"/>
          <w:szCs w:val="24"/>
          <w:lang w:eastAsia="zh-CN"/>
        </w:rPr>
      </w:pPr>
      <w:bookmarkStart w:id="905" w:name="bookmark1467"/>
      <w:bookmarkStart w:id="906" w:name="bookmark1466"/>
      <w:bookmarkStart w:id="907" w:name="_Toc10666"/>
      <w:bookmarkStart w:id="908" w:name="bookmark1468"/>
      <w:r>
        <w:rPr>
          <w:color w:val="auto"/>
          <w:sz w:val="24"/>
          <w:szCs w:val="24"/>
          <w:lang w:eastAsia="zh-CN"/>
        </w:rPr>
        <w:t>20.4第三者责任险</w:t>
      </w:r>
      <w:bookmarkEnd w:id="905"/>
      <w:bookmarkEnd w:id="906"/>
      <w:bookmarkEnd w:id="907"/>
      <w:bookmarkEnd w:id="908"/>
    </w:p>
    <w:p>
      <w:pPr>
        <w:pStyle w:val="45"/>
        <w:spacing w:line="359"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20.4.1</w:t>
      </w:r>
      <w:r>
        <w:rPr>
          <w:color w:val="auto"/>
          <w:sz w:val="24"/>
          <w:szCs w:val="24"/>
        </w:rPr>
        <w:t>第三者责任系指在保险期内，对因工程意外事故造成的、依法应由被保险人负责的工地上及毗邻地区的第三者人身伤亡、疾病或财产损失（本工程除外），以及被保险人因此而支付的诉讼费用和事先经保险人书面同意支付的其他费用等赔偿责任。</w:t>
      </w:r>
    </w:p>
    <w:p>
      <w:pPr>
        <w:pStyle w:val="45"/>
        <w:spacing w:after="120" w:line="361"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20.4.2</w:t>
      </w:r>
      <w:r>
        <w:rPr>
          <w:color w:val="auto"/>
          <w:sz w:val="24"/>
          <w:szCs w:val="24"/>
        </w:rPr>
        <w:t>在缺陷责任期终止证书颁发前，承包人应以承包人和发包人的共同名义，投保第</w:t>
      </w:r>
      <w:r>
        <w:rPr>
          <w:rFonts w:ascii="Times New Roman" w:hAnsi="Times New Roman" w:eastAsia="Times New Roman" w:cs="Times New Roman"/>
          <w:color w:val="auto"/>
          <w:sz w:val="24"/>
          <w:szCs w:val="24"/>
          <w:lang w:val="en-US" w:bidi="en-US"/>
        </w:rPr>
        <w:t>20. 4.1</w:t>
      </w:r>
      <w:r>
        <w:rPr>
          <w:color w:val="auto"/>
          <w:sz w:val="24"/>
          <w:szCs w:val="24"/>
        </w:rPr>
        <w:t>项约定的第三者责任险，其保险费率、保险金额等有关内容在专用合同条款中约定。</w:t>
      </w:r>
    </w:p>
    <w:p>
      <w:pPr>
        <w:pStyle w:val="6"/>
        <w:ind w:left="0" w:leftChars="0" w:firstLine="0" w:firstLineChars="0"/>
        <w:rPr>
          <w:color w:val="auto"/>
          <w:sz w:val="24"/>
          <w:szCs w:val="24"/>
          <w:lang w:eastAsia="zh-CN"/>
        </w:rPr>
      </w:pPr>
      <w:bookmarkStart w:id="909" w:name="bookmark1469"/>
      <w:bookmarkStart w:id="910" w:name="_Toc15855"/>
      <w:bookmarkStart w:id="911" w:name="bookmark1471"/>
      <w:bookmarkStart w:id="912" w:name="bookmark1470"/>
      <w:r>
        <w:rPr>
          <w:color w:val="auto"/>
          <w:sz w:val="24"/>
          <w:szCs w:val="24"/>
          <w:lang w:eastAsia="zh-CN"/>
        </w:rPr>
        <w:t>20.5其他保险</w:t>
      </w:r>
      <w:bookmarkEnd w:id="909"/>
      <w:bookmarkEnd w:id="910"/>
      <w:bookmarkEnd w:id="911"/>
      <w:bookmarkEnd w:id="912"/>
    </w:p>
    <w:p>
      <w:pPr>
        <w:pStyle w:val="45"/>
        <w:spacing w:after="120" w:line="350" w:lineRule="exact"/>
        <w:ind w:firstLine="440"/>
        <w:jc w:val="both"/>
        <w:rPr>
          <w:color w:val="auto"/>
          <w:sz w:val="24"/>
          <w:szCs w:val="24"/>
        </w:rPr>
      </w:pPr>
      <w:r>
        <w:rPr>
          <w:color w:val="auto"/>
          <w:sz w:val="24"/>
          <w:szCs w:val="24"/>
        </w:rPr>
        <w:t>除专用合同条款另有约定外，承包人应为其施工设备、进场的材料和工程设备等办理保险。</w:t>
      </w:r>
    </w:p>
    <w:p>
      <w:pPr>
        <w:pStyle w:val="6"/>
        <w:ind w:left="0" w:leftChars="0" w:firstLine="0" w:firstLineChars="0"/>
        <w:rPr>
          <w:color w:val="auto"/>
          <w:sz w:val="24"/>
          <w:szCs w:val="24"/>
          <w:lang w:eastAsia="zh-CN"/>
        </w:rPr>
      </w:pPr>
      <w:bookmarkStart w:id="913" w:name="bookmark1472"/>
      <w:bookmarkStart w:id="914" w:name="bookmark1473"/>
      <w:bookmarkStart w:id="915" w:name="_Toc20306"/>
      <w:bookmarkStart w:id="916" w:name="bookmark1474"/>
      <w:r>
        <w:rPr>
          <w:color w:val="auto"/>
          <w:sz w:val="24"/>
          <w:szCs w:val="24"/>
          <w:lang w:eastAsia="zh-CN"/>
        </w:rPr>
        <w:t>20.6对各项保险的一般要求</w:t>
      </w:r>
      <w:bookmarkEnd w:id="913"/>
      <w:bookmarkEnd w:id="914"/>
      <w:bookmarkEnd w:id="915"/>
      <w:bookmarkEnd w:id="916"/>
    </w:p>
    <w:p>
      <w:pPr>
        <w:pStyle w:val="46"/>
        <w:spacing w:after="0" w:line="360" w:lineRule="exact"/>
        <w:ind w:firstLine="442"/>
        <w:jc w:val="both"/>
        <w:rPr>
          <w:color w:val="auto"/>
          <w:sz w:val="24"/>
          <w:szCs w:val="24"/>
          <w:lang w:eastAsia="zh-CN"/>
        </w:rPr>
      </w:pPr>
      <w:r>
        <w:rPr>
          <w:color w:val="auto"/>
          <w:sz w:val="24"/>
          <w:szCs w:val="24"/>
          <w:lang w:eastAsia="zh-CN"/>
        </w:rPr>
        <w:t>20. 6.</w:t>
      </w:r>
      <w:r>
        <w:rPr>
          <w:color w:val="auto"/>
          <w:sz w:val="24"/>
          <w:szCs w:val="24"/>
          <w:lang w:val="zh-CN" w:eastAsia="zh-CN" w:bidi="zh-CN"/>
        </w:rPr>
        <w:t>1</w:t>
      </w:r>
      <w:r>
        <w:rPr>
          <w:rFonts w:ascii="宋体" w:hAnsi="宋体" w:cs="宋体"/>
          <w:color w:val="auto"/>
          <w:sz w:val="24"/>
          <w:szCs w:val="24"/>
          <w:lang w:val="zh-CN" w:eastAsia="zh-CN" w:bidi="zh-CN"/>
        </w:rPr>
        <w:t>保险凭证</w:t>
      </w:r>
    </w:p>
    <w:p>
      <w:pPr>
        <w:pStyle w:val="45"/>
        <w:spacing w:line="360" w:lineRule="exact"/>
        <w:ind w:firstLine="442"/>
        <w:jc w:val="both"/>
        <w:rPr>
          <w:color w:val="auto"/>
          <w:sz w:val="24"/>
          <w:szCs w:val="24"/>
        </w:rPr>
      </w:pPr>
      <w:r>
        <w:rPr>
          <w:color w:val="auto"/>
          <w:sz w:val="24"/>
          <w:szCs w:val="24"/>
        </w:rPr>
        <w:t>承包人应在专用合同条款约定的期限内向发包人提交各项保险生效的证据和保险单副本，保险单必须与专用合同条款约定的条件保持一致。</w:t>
      </w:r>
    </w:p>
    <w:p>
      <w:pPr>
        <w:pStyle w:val="45"/>
        <w:spacing w:line="360" w:lineRule="exact"/>
        <w:ind w:firstLine="442"/>
        <w:jc w:val="both"/>
        <w:rPr>
          <w:color w:val="auto"/>
          <w:sz w:val="24"/>
          <w:szCs w:val="24"/>
        </w:rPr>
      </w:pPr>
      <w:r>
        <w:rPr>
          <w:rFonts w:ascii="Times New Roman" w:hAnsi="Times New Roman" w:eastAsia="Times New Roman" w:cs="Times New Roman"/>
          <w:color w:val="auto"/>
          <w:sz w:val="24"/>
          <w:szCs w:val="24"/>
          <w:lang w:val="en-US" w:bidi="en-US"/>
        </w:rPr>
        <w:t>20.6.2</w:t>
      </w:r>
      <w:r>
        <w:rPr>
          <w:color w:val="auto"/>
          <w:sz w:val="24"/>
          <w:szCs w:val="24"/>
        </w:rPr>
        <w:t>保险合同条款的变动</w:t>
      </w:r>
    </w:p>
    <w:p>
      <w:pPr>
        <w:pStyle w:val="45"/>
        <w:spacing w:after="120" w:line="360" w:lineRule="exact"/>
        <w:ind w:firstLine="442"/>
        <w:jc w:val="both"/>
        <w:rPr>
          <w:color w:val="auto"/>
          <w:sz w:val="24"/>
          <w:szCs w:val="24"/>
        </w:rPr>
      </w:pPr>
      <w:r>
        <w:rPr>
          <w:color w:val="auto"/>
          <w:sz w:val="24"/>
          <w:szCs w:val="24"/>
        </w:rPr>
        <w:t>承包人需要变动保险合同条款时，应事先征得</w:t>
      </w:r>
      <w:r>
        <w:rPr>
          <w:rFonts w:hint="eastAsia"/>
          <w:color w:val="auto"/>
          <w:sz w:val="24"/>
          <w:szCs w:val="24"/>
          <w:lang w:eastAsia="zh-CN"/>
        </w:rPr>
        <w:t>发包人书面同意</w:t>
      </w:r>
      <w:r>
        <w:rPr>
          <w:color w:val="auto"/>
          <w:sz w:val="24"/>
          <w:szCs w:val="24"/>
        </w:rPr>
        <w:t>，并通知监理人。保险人作出变动的，承包人应在收到保险人通知后立即通知发包人和监理人。</w:t>
      </w:r>
    </w:p>
    <w:p>
      <w:pPr>
        <w:pStyle w:val="46"/>
        <w:spacing w:after="0" w:line="360" w:lineRule="exact"/>
        <w:ind w:firstLine="442"/>
        <w:jc w:val="both"/>
        <w:rPr>
          <w:color w:val="auto"/>
          <w:sz w:val="24"/>
          <w:szCs w:val="24"/>
          <w:lang w:eastAsia="zh-CN"/>
        </w:rPr>
      </w:pPr>
      <w:r>
        <w:rPr>
          <w:color w:val="auto"/>
          <w:sz w:val="24"/>
          <w:szCs w:val="24"/>
          <w:lang w:eastAsia="zh-CN"/>
        </w:rPr>
        <w:t>20.6.</w:t>
      </w:r>
      <w:r>
        <w:rPr>
          <w:color w:val="auto"/>
          <w:sz w:val="24"/>
          <w:szCs w:val="24"/>
          <w:lang w:val="zh-CN" w:eastAsia="zh-CN" w:bidi="zh-CN"/>
        </w:rPr>
        <w:t>3</w:t>
      </w:r>
      <w:r>
        <w:rPr>
          <w:rFonts w:ascii="宋体" w:hAnsi="宋体" w:cs="宋体"/>
          <w:color w:val="auto"/>
          <w:sz w:val="24"/>
          <w:szCs w:val="24"/>
          <w:lang w:val="zh-CN" w:eastAsia="zh-CN" w:bidi="zh-CN"/>
        </w:rPr>
        <w:t>持续保险</w:t>
      </w:r>
    </w:p>
    <w:p>
      <w:pPr>
        <w:pStyle w:val="45"/>
        <w:spacing w:line="360" w:lineRule="exact"/>
        <w:ind w:firstLine="442"/>
        <w:jc w:val="both"/>
        <w:rPr>
          <w:color w:val="auto"/>
          <w:sz w:val="24"/>
          <w:szCs w:val="24"/>
        </w:rPr>
      </w:pPr>
      <w:r>
        <w:rPr>
          <w:color w:val="auto"/>
          <w:sz w:val="24"/>
          <w:szCs w:val="24"/>
        </w:rPr>
        <w:t>承包人应与保险人保持联系，使保险人能够随时了解工程实施中的变动，并确保按保险合同条款要求持续保险。</w:t>
      </w:r>
    </w:p>
    <w:p>
      <w:pPr>
        <w:pStyle w:val="45"/>
        <w:spacing w:line="360" w:lineRule="exact"/>
        <w:ind w:firstLine="442"/>
        <w:jc w:val="both"/>
        <w:rPr>
          <w:color w:val="auto"/>
          <w:sz w:val="24"/>
          <w:szCs w:val="24"/>
        </w:rPr>
      </w:pPr>
      <w:r>
        <w:rPr>
          <w:rFonts w:ascii="Times New Roman" w:hAnsi="Times New Roman" w:eastAsia="Times New Roman" w:cs="Times New Roman"/>
          <w:color w:val="auto"/>
          <w:sz w:val="24"/>
          <w:szCs w:val="24"/>
          <w:lang w:val="en-US" w:bidi="en-US"/>
        </w:rPr>
        <w:t>20.6.4</w:t>
      </w:r>
      <w:r>
        <w:rPr>
          <w:color w:val="auto"/>
          <w:sz w:val="24"/>
          <w:szCs w:val="24"/>
        </w:rPr>
        <w:t>保险金不足的补偿</w:t>
      </w:r>
    </w:p>
    <w:p>
      <w:pPr>
        <w:pStyle w:val="45"/>
        <w:spacing w:after="120" w:line="360" w:lineRule="exact"/>
        <w:ind w:firstLine="442"/>
        <w:jc w:val="both"/>
        <w:rPr>
          <w:color w:val="auto"/>
          <w:sz w:val="24"/>
          <w:szCs w:val="24"/>
        </w:rPr>
      </w:pPr>
      <w:r>
        <w:rPr>
          <w:color w:val="auto"/>
          <w:sz w:val="24"/>
          <w:szCs w:val="24"/>
        </w:rPr>
        <w:t>保险金不足以补偿损失时，应由承包人和发包人各自负责补偿的范围和金额在专用合 同条款中约定。</w:t>
      </w:r>
    </w:p>
    <w:p>
      <w:pPr>
        <w:pStyle w:val="45"/>
        <w:spacing w:line="360" w:lineRule="exact"/>
        <w:ind w:firstLine="442"/>
        <w:jc w:val="both"/>
        <w:rPr>
          <w:color w:val="auto"/>
          <w:sz w:val="24"/>
          <w:szCs w:val="24"/>
        </w:rPr>
      </w:pPr>
      <w:r>
        <w:rPr>
          <w:rFonts w:ascii="Times New Roman" w:hAnsi="Times New Roman" w:eastAsia="Times New Roman" w:cs="Times New Roman"/>
          <w:color w:val="auto"/>
          <w:sz w:val="24"/>
          <w:szCs w:val="24"/>
          <w:lang w:val="en-US" w:eastAsia="en-US" w:bidi="en-US"/>
        </w:rPr>
        <w:t>20. 6.</w:t>
      </w:r>
      <w:r>
        <w:rPr>
          <w:rFonts w:ascii="Times New Roman" w:hAnsi="Times New Roman" w:eastAsia="Times New Roman" w:cs="Times New Roman"/>
          <w:color w:val="auto"/>
          <w:sz w:val="24"/>
          <w:szCs w:val="24"/>
        </w:rPr>
        <w:t>5</w:t>
      </w:r>
      <w:r>
        <w:rPr>
          <w:color w:val="auto"/>
          <w:sz w:val="24"/>
          <w:szCs w:val="24"/>
        </w:rPr>
        <w:t>未按约定投保的补救</w:t>
      </w:r>
    </w:p>
    <w:p>
      <w:pPr>
        <w:pStyle w:val="45"/>
        <w:numPr>
          <w:ilvl w:val="0"/>
          <w:numId w:val="26"/>
        </w:numPr>
        <w:tabs>
          <w:tab w:val="left" w:pos="903"/>
        </w:tabs>
        <w:spacing w:line="352" w:lineRule="exact"/>
        <w:ind w:firstLine="440"/>
        <w:jc w:val="both"/>
        <w:rPr>
          <w:color w:val="auto"/>
          <w:sz w:val="24"/>
          <w:szCs w:val="24"/>
        </w:rPr>
      </w:pPr>
      <w:bookmarkStart w:id="917" w:name="bookmark1475"/>
      <w:bookmarkEnd w:id="917"/>
      <w:r>
        <w:rPr>
          <w:color w:val="auto"/>
          <w:sz w:val="24"/>
          <w:szCs w:val="24"/>
        </w:rPr>
        <w:t>由于负有投保义务的一方当事人未按合同约定办理保险，或未能使保险持续有效的，另一方当事人可代为办理，所需费用由对方当事人承担。</w:t>
      </w:r>
    </w:p>
    <w:p>
      <w:pPr>
        <w:pStyle w:val="45"/>
        <w:numPr>
          <w:ilvl w:val="0"/>
          <w:numId w:val="26"/>
        </w:numPr>
        <w:tabs>
          <w:tab w:val="left" w:pos="915"/>
        </w:tabs>
        <w:spacing w:line="352" w:lineRule="exact"/>
        <w:ind w:firstLine="440"/>
        <w:jc w:val="both"/>
        <w:rPr>
          <w:color w:val="auto"/>
          <w:sz w:val="24"/>
          <w:szCs w:val="24"/>
        </w:rPr>
      </w:pPr>
      <w:bookmarkStart w:id="918" w:name="bookmark1476"/>
      <w:bookmarkEnd w:id="918"/>
      <w:r>
        <w:rPr>
          <w:color w:val="auto"/>
          <w:sz w:val="24"/>
          <w:szCs w:val="24"/>
        </w:rPr>
        <w:t>由于负有投保义务的一方当事人未按合同约定办理某项保险，导致受益人未能得到保险人的赔偿，原应从该项保险得到的保险金应由负有投保义务的一方当事人支付。</w:t>
      </w:r>
    </w:p>
    <w:p>
      <w:pPr>
        <w:pStyle w:val="46"/>
        <w:spacing w:after="0" w:line="353" w:lineRule="exact"/>
        <w:jc w:val="both"/>
        <w:rPr>
          <w:color w:val="auto"/>
          <w:sz w:val="24"/>
          <w:szCs w:val="24"/>
          <w:lang w:eastAsia="zh-CN"/>
        </w:rPr>
      </w:pPr>
      <w:r>
        <w:rPr>
          <w:color w:val="auto"/>
          <w:sz w:val="24"/>
          <w:szCs w:val="24"/>
          <w:lang w:eastAsia="zh-CN"/>
        </w:rPr>
        <w:t>20.6.6</w:t>
      </w:r>
      <w:r>
        <w:rPr>
          <w:rFonts w:ascii="宋体" w:hAnsi="宋体" w:cs="宋体"/>
          <w:color w:val="auto"/>
          <w:sz w:val="24"/>
          <w:szCs w:val="24"/>
          <w:lang w:val="zh-CN" w:eastAsia="zh-CN" w:bidi="zh-CN"/>
        </w:rPr>
        <w:t>报告义务</w:t>
      </w:r>
    </w:p>
    <w:p>
      <w:pPr>
        <w:pStyle w:val="45"/>
        <w:spacing w:after="120" w:line="353" w:lineRule="exact"/>
        <w:ind w:firstLine="420"/>
        <w:jc w:val="both"/>
        <w:rPr>
          <w:color w:val="auto"/>
          <w:sz w:val="24"/>
          <w:szCs w:val="24"/>
        </w:rPr>
      </w:pPr>
      <w:r>
        <w:rPr>
          <w:color w:val="auto"/>
          <w:sz w:val="24"/>
          <w:szCs w:val="24"/>
        </w:rPr>
        <w:t>当保险事故发生时，投保人应按照保险单规定的条件和期限及时向保险人报告。</w:t>
      </w:r>
    </w:p>
    <w:p>
      <w:pPr>
        <w:pStyle w:val="6"/>
        <w:ind w:left="0" w:leftChars="0" w:firstLine="0" w:firstLineChars="0"/>
        <w:rPr>
          <w:color w:val="auto"/>
          <w:sz w:val="24"/>
          <w:szCs w:val="24"/>
          <w:lang w:eastAsia="zh-CN"/>
        </w:rPr>
      </w:pPr>
      <w:bookmarkStart w:id="919" w:name="bookmark1477"/>
      <w:bookmarkStart w:id="920" w:name="_Toc12103"/>
      <w:bookmarkStart w:id="921" w:name="bookmark1478"/>
      <w:bookmarkStart w:id="922" w:name="bookmark1479"/>
      <w:r>
        <w:rPr>
          <w:color w:val="auto"/>
          <w:sz w:val="24"/>
          <w:szCs w:val="24"/>
          <w:lang w:eastAsia="zh-CN"/>
        </w:rPr>
        <w:t>20.7风险责任的转移</w:t>
      </w:r>
      <w:bookmarkEnd w:id="919"/>
      <w:bookmarkEnd w:id="920"/>
      <w:bookmarkEnd w:id="921"/>
      <w:bookmarkEnd w:id="922"/>
    </w:p>
    <w:p>
      <w:pPr>
        <w:pStyle w:val="45"/>
        <w:spacing w:after="260" w:line="353" w:lineRule="exact"/>
        <w:ind w:firstLine="440"/>
        <w:jc w:val="both"/>
        <w:rPr>
          <w:color w:val="auto"/>
          <w:sz w:val="24"/>
          <w:szCs w:val="24"/>
        </w:rPr>
      </w:pPr>
      <w:r>
        <w:rPr>
          <w:color w:val="auto"/>
          <w:sz w:val="24"/>
          <w:szCs w:val="24"/>
        </w:rPr>
        <w:t>工程通过合同工程完工验收并移交给发包人后，原由承包人应承担的风险责任，以及保险的责任、权利和义务同时转移给发包人，但承包人在缺陷责任期(工程质量保修期) 前造成损失和损坏情形除外</w:t>
      </w:r>
      <w:r>
        <w:rPr>
          <w:color w:val="auto"/>
          <w:sz w:val="24"/>
          <w:szCs w:val="24"/>
          <w:lang w:val="en-US" w:bidi="en-US"/>
        </w:rPr>
        <w:t>。</w:t>
      </w:r>
    </w:p>
    <w:p>
      <w:pPr>
        <w:pStyle w:val="5"/>
        <w:spacing w:line="360" w:lineRule="exact"/>
        <w:rPr>
          <w:rFonts w:hint="eastAsia"/>
          <w:color w:val="auto"/>
          <w:sz w:val="24"/>
          <w:szCs w:val="24"/>
          <w:lang w:eastAsia="zh-CN"/>
        </w:rPr>
      </w:pPr>
      <w:bookmarkStart w:id="923" w:name="_Toc5879"/>
      <w:bookmarkStart w:id="924" w:name="bookmark1480"/>
      <w:bookmarkStart w:id="925" w:name="bookmark1481"/>
      <w:bookmarkStart w:id="926" w:name="_Toc1105309634"/>
      <w:bookmarkStart w:id="927" w:name="bookmark1482"/>
      <w:bookmarkStart w:id="928" w:name="_Toc30841"/>
      <w:r>
        <w:rPr>
          <w:rFonts w:hint="eastAsia"/>
          <w:color w:val="auto"/>
          <w:sz w:val="24"/>
          <w:szCs w:val="24"/>
          <w:lang w:eastAsia="zh-CN"/>
        </w:rPr>
        <w:t>21.不可抗力</w:t>
      </w:r>
      <w:bookmarkEnd w:id="923"/>
      <w:bookmarkEnd w:id="924"/>
      <w:bookmarkEnd w:id="925"/>
      <w:bookmarkEnd w:id="926"/>
      <w:bookmarkEnd w:id="927"/>
      <w:bookmarkEnd w:id="928"/>
    </w:p>
    <w:p>
      <w:pPr>
        <w:pStyle w:val="6"/>
        <w:ind w:left="0" w:leftChars="0" w:firstLine="0" w:firstLineChars="0"/>
        <w:rPr>
          <w:color w:val="auto"/>
          <w:sz w:val="24"/>
          <w:szCs w:val="24"/>
          <w:lang w:eastAsia="zh-CN"/>
        </w:rPr>
      </w:pPr>
      <w:bookmarkStart w:id="929" w:name="bookmark1485"/>
      <w:bookmarkStart w:id="930" w:name="bookmark1484"/>
      <w:bookmarkStart w:id="931" w:name="bookmark1483"/>
      <w:bookmarkStart w:id="932" w:name="_Toc15722"/>
      <w:r>
        <w:rPr>
          <w:color w:val="auto"/>
          <w:sz w:val="24"/>
          <w:szCs w:val="24"/>
          <w:lang w:eastAsia="zh-CN"/>
        </w:rPr>
        <w:t>21.1不可抗力的确认</w:t>
      </w:r>
      <w:bookmarkEnd w:id="929"/>
      <w:bookmarkEnd w:id="930"/>
      <w:bookmarkEnd w:id="931"/>
      <w:bookmarkEnd w:id="932"/>
    </w:p>
    <w:p>
      <w:pPr>
        <w:pStyle w:val="45"/>
        <w:spacing w:line="353"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21.1.1</w:t>
      </w:r>
      <w:r>
        <w:rPr>
          <w:color w:val="auto"/>
          <w:sz w:val="24"/>
          <w:szCs w:val="24"/>
        </w:rPr>
        <w:t>不可抗力是指承包人和发包人在订立合同时不可预见，在工程施工过程中不可避免发生并不能克服的自然灾害和社会性突发事件，如地震、海啸、瘟疫、水灾、骚乱、 暴动、战争和专用合同条款约定的其他情形。</w:t>
      </w:r>
    </w:p>
    <w:p>
      <w:pPr>
        <w:pStyle w:val="45"/>
        <w:spacing w:after="120" w:line="353"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21.1.2</w:t>
      </w:r>
      <w:r>
        <w:rPr>
          <w:color w:val="auto"/>
          <w:sz w:val="24"/>
          <w:szCs w:val="24"/>
        </w:rPr>
        <w:t>不可抗力发生后，发包人和承包人应及时认真统计所造成的损失，收集不可抗力造成损失的证据。合同双方对是否属于不可抗力或其损失的意见不一致的，由监理人按第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color w:val="auto"/>
          <w:sz w:val="24"/>
          <w:szCs w:val="24"/>
        </w:rPr>
        <w:t>款商定或确定。发生争议时，按第</w:t>
      </w:r>
      <w:r>
        <w:rPr>
          <w:rFonts w:ascii="Times New Roman" w:hAnsi="Times New Roman" w:eastAsia="Times New Roman" w:cs="Times New Roman"/>
          <w:color w:val="auto"/>
          <w:sz w:val="24"/>
          <w:szCs w:val="24"/>
        </w:rPr>
        <w:t>24</w:t>
      </w:r>
      <w:r>
        <w:rPr>
          <w:color w:val="auto"/>
          <w:sz w:val="24"/>
          <w:szCs w:val="24"/>
        </w:rPr>
        <w:t>条的约定办理。</w:t>
      </w:r>
    </w:p>
    <w:p>
      <w:pPr>
        <w:pStyle w:val="6"/>
        <w:ind w:left="0" w:leftChars="0" w:firstLine="0" w:firstLineChars="0"/>
        <w:rPr>
          <w:color w:val="auto"/>
          <w:sz w:val="24"/>
          <w:szCs w:val="24"/>
          <w:lang w:eastAsia="zh-CN"/>
        </w:rPr>
      </w:pPr>
      <w:bookmarkStart w:id="933" w:name="bookmark1487"/>
      <w:bookmarkStart w:id="934" w:name="bookmark1488"/>
      <w:bookmarkStart w:id="935" w:name="_Toc5372"/>
      <w:bookmarkStart w:id="936" w:name="bookmark1486"/>
      <w:r>
        <w:rPr>
          <w:color w:val="auto"/>
          <w:sz w:val="24"/>
          <w:szCs w:val="24"/>
          <w:lang w:eastAsia="zh-CN"/>
        </w:rPr>
        <w:t>21.2不可抗力的通知</w:t>
      </w:r>
      <w:bookmarkEnd w:id="933"/>
      <w:bookmarkEnd w:id="934"/>
      <w:bookmarkEnd w:id="935"/>
      <w:bookmarkEnd w:id="936"/>
    </w:p>
    <w:p>
      <w:pPr>
        <w:pStyle w:val="45"/>
        <w:spacing w:line="359"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21.2.1</w:t>
      </w:r>
      <w:r>
        <w:rPr>
          <w:color w:val="auto"/>
          <w:sz w:val="24"/>
          <w:szCs w:val="24"/>
        </w:rPr>
        <w:t>合同一方当事人遇到不可抗力事件，使其履行合同义务受到阻碍时，应立即通知合同另一方当事人和监理人，书面说明不可抗力和受阻碍的详细情况，并提供必要的证明。</w:t>
      </w:r>
    </w:p>
    <w:p>
      <w:pPr>
        <w:pStyle w:val="45"/>
        <w:spacing w:after="240" w:line="361"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21.2.2</w:t>
      </w:r>
      <w:r>
        <w:rPr>
          <w:color w:val="auto"/>
          <w:sz w:val="24"/>
          <w:szCs w:val="24"/>
        </w:rPr>
        <w:t>如不可抗力持续发生，合同一方当事人应及时向合同另一方当事人和监理人提交中间报告，说明不可抗力和履行合同受阻的情况，并于不可抗力事件结束后</w:t>
      </w:r>
      <w:r>
        <w:rPr>
          <w:rFonts w:ascii="Times New Roman" w:hAnsi="Times New Roman" w:eastAsia="Times New Roman" w:cs="Times New Roman"/>
          <w:color w:val="auto"/>
          <w:sz w:val="24"/>
          <w:szCs w:val="24"/>
        </w:rPr>
        <w:t>28</w:t>
      </w:r>
      <w:r>
        <w:rPr>
          <w:color w:val="auto"/>
          <w:sz w:val="24"/>
          <w:szCs w:val="24"/>
        </w:rPr>
        <w:t>天内提交最终报告及有关资料。</w:t>
      </w:r>
    </w:p>
    <w:p>
      <w:pPr>
        <w:pStyle w:val="6"/>
        <w:ind w:left="0" w:leftChars="0" w:firstLine="0" w:firstLineChars="0"/>
        <w:rPr>
          <w:color w:val="auto"/>
          <w:sz w:val="24"/>
          <w:szCs w:val="24"/>
          <w:lang w:eastAsia="zh-CN"/>
        </w:rPr>
      </w:pPr>
      <w:bookmarkStart w:id="937" w:name="_Toc17208"/>
      <w:bookmarkStart w:id="938" w:name="bookmark1489"/>
      <w:bookmarkStart w:id="939" w:name="bookmark1491"/>
      <w:bookmarkStart w:id="940" w:name="bookmark1490"/>
      <w:r>
        <w:rPr>
          <w:color w:val="auto"/>
          <w:sz w:val="24"/>
          <w:szCs w:val="24"/>
          <w:lang w:eastAsia="zh-CN"/>
        </w:rPr>
        <w:t>21.3不可抗力后果及其处理</w:t>
      </w:r>
      <w:bookmarkEnd w:id="937"/>
      <w:bookmarkEnd w:id="938"/>
      <w:bookmarkEnd w:id="939"/>
      <w:bookmarkEnd w:id="940"/>
    </w:p>
    <w:p>
      <w:pPr>
        <w:pStyle w:val="45"/>
        <w:spacing w:line="36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21.3.1</w:t>
      </w:r>
      <w:r>
        <w:rPr>
          <w:color w:val="auto"/>
          <w:sz w:val="24"/>
          <w:szCs w:val="24"/>
        </w:rPr>
        <w:t>不可抗力造成损害的责任</w:t>
      </w:r>
    </w:p>
    <w:p>
      <w:pPr>
        <w:pStyle w:val="45"/>
        <w:spacing w:line="349" w:lineRule="exact"/>
        <w:ind w:firstLine="440"/>
        <w:jc w:val="both"/>
        <w:rPr>
          <w:color w:val="auto"/>
          <w:sz w:val="24"/>
          <w:szCs w:val="24"/>
        </w:rPr>
      </w:pPr>
      <w:r>
        <w:rPr>
          <w:color w:val="auto"/>
          <w:sz w:val="24"/>
          <w:szCs w:val="24"/>
        </w:rPr>
        <w:t>除专用合同条款另有约定外，不可抗力导致的人员伤亡、财产损失、费用增加和(或) 工期延误等后果，由合同双方按以下原则承担：</w:t>
      </w:r>
    </w:p>
    <w:p>
      <w:pPr>
        <w:pStyle w:val="45"/>
        <w:numPr>
          <w:ilvl w:val="0"/>
          <w:numId w:val="27"/>
        </w:numPr>
        <w:tabs>
          <w:tab w:val="left" w:pos="903"/>
        </w:tabs>
        <w:spacing w:line="349" w:lineRule="exact"/>
        <w:ind w:firstLine="440"/>
        <w:jc w:val="both"/>
        <w:rPr>
          <w:color w:val="auto"/>
          <w:sz w:val="24"/>
          <w:szCs w:val="24"/>
        </w:rPr>
      </w:pPr>
      <w:bookmarkStart w:id="941" w:name="bookmark1492"/>
      <w:bookmarkEnd w:id="941"/>
      <w:r>
        <w:rPr>
          <w:color w:val="auto"/>
          <w:sz w:val="24"/>
          <w:szCs w:val="24"/>
        </w:rPr>
        <w:t>永久工程，包括已运至施工场地的材料和工程设备的损害，以及因工程损害造成的第三者人员伤亡和财产损失由发包人承担；</w:t>
      </w:r>
    </w:p>
    <w:p>
      <w:pPr>
        <w:pStyle w:val="45"/>
        <w:numPr>
          <w:ilvl w:val="0"/>
          <w:numId w:val="27"/>
        </w:numPr>
        <w:tabs>
          <w:tab w:val="left" w:pos="923"/>
        </w:tabs>
        <w:spacing w:line="349" w:lineRule="exact"/>
        <w:ind w:firstLine="440"/>
        <w:jc w:val="both"/>
        <w:rPr>
          <w:color w:val="auto"/>
          <w:sz w:val="24"/>
          <w:szCs w:val="24"/>
        </w:rPr>
      </w:pPr>
      <w:bookmarkStart w:id="942" w:name="bookmark1493"/>
      <w:bookmarkEnd w:id="942"/>
      <w:r>
        <w:rPr>
          <w:color w:val="auto"/>
          <w:sz w:val="24"/>
          <w:szCs w:val="24"/>
        </w:rPr>
        <w:t>承包人设备的损坏由承包人承担；</w:t>
      </w:r>
    </w:p>
    <w:p>
      <w:pPr>
        <w:pStyle w:val="45"/>
        <w:numPr>
          <w:ilvl w:val="0"/>
          <w:numId w:val="27"/>
        </w:numPr>
        <w:tabs>
          <w:tab w:val="left" w:pos="923"/>
        </w:tabs>
        <w:spacing w:line="362" w:lineRule="exact"/>
        <w:ind w:firstLine="440"/>
        <w:jc w:val="both"/>
        <w:rPr>
          <w:color w:val="auto"/>
          <w:sz w:val="24"/>
          <w:szCs w:val="24"/>
        </w:rPr>
      </w:pPr>
      <w:bookmarkStart w:id="943" w:name="bookmark1494"/>
      <w:bookmarkEnd w:id="943"/>
      <w:r>
        <w:rPr>
          <w:color w:val="auto"/>
          <w:sz w:val="24"/>
          <w:szCs w:val="24"/>
        </w:rPr>
        <w:t>发包人和承包人各自承担其人员伤亡和其他财产损失及其相关费用；</w:t>
      </w:r>
    </w:p>
    <w:p>
      <w:pPr>
        <w:pStyle w:val="45"/>
        <w:numPr>
          <w:ilvl w:val="0"/>
          <w:numId w:val="27"/>
        </w:numPr>
        <w:tabs>
          <w:tab w:val="left" w:pos="915"/>
        </w:tabs>
        <w:spacing w:line="362" w:lineRule="exact"/>
        <w:ind w:firstLine="440"/>
        <w:jc w:val="both"/>
        <w:rPr>
          <w:color w:val="auto"/>
          <w:sz w:val="24"/>
          <w:szCs w:val="24"/>
        </w:rPr>
      </w:pPr>
      <w:bookmarkStart w:id="944" w:name="bookmark1495"/>
      <w:bookmarkEnd w:id="944"/>
      <w:r>
        <w:rPr>
          <w:color w:val="auto"/>
          <w:sz w:val="24"/>
          <w:szCs w:val="24"/>
        </w:rPr>
        <w:t>承包人的停工损失由承包人承担，但停工期间应监理人要求照管工程和清理、修复工程的金额由发包人承担；</w:t>
      </w:r>
    </w:p>
    <w:p>
      <w:pPr>
        <w:pStyle w:val="45"/>
        <w:numPr>
          <w:ilvl w:val="0"/>
          <w:numId w:val="27"/>
        </w:numPr>
        <w:tabs>
          <w:tab w:val="left" w:pos="920"/>
        </w:tabs>
        <w:spacing w:line="362" w:lineRule="exact"/>
        <w:ind w:firstLine="440"/>
        <w:jc w:val="both"/>
        <w:rPr>
          <w:color w:val="auto"/>
          <w:sz w:val="24"/>
          <w:szCs w:val="24"/>
        </w:rPr>
      </w:pPr>
      <w:bookmarkStart w:id="945" w:name="bookmark1496"/>
      <w:bookmarkEnd w:id="945"/>
      <w:r>
        <w:rPr>
          <w:color w:val="auto"/>
          <w:sz w:val="24"/>
          <w:szCs w:val="24"/>
        </w:rPr>
        <w:t>不能按期竣工的，应合理延长工期，承包人不需支付逾期竣工违约金。发包人要求赶工的，承包人应采取赶工措施，赶工费用由发包人承担。</w:t>
      </w:r>
    </w:p>
    <w:p>
      <w:pPr>
        <w:pStyle w:val="45"/>
        <w:spacing w:line="362"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21.3.2</w:t>
      </w:r>
      <w:r>
        <w:rPr>
          <w:rFonts w:ascii="Times New Roman" w:hAnsi="Times New Roman" w:cs="Times New Roman"/>
          <w:color w:val="auto"/>
          <w:sz w:val="24"/>
          <w:szCs w:val="24"/>
        </w:rPr>
        <w:t>延迟履行期间发生的不可抗力</w:t>
      </w:r>
    </w:p>
    <w:p>
      <w:pPr>
        <w:pStyle w:val="45"/>
        <w:spacing w:line="362"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rPr>
        <w:t>合同一方当事人延迟履行，在延迟履行期间发生不可抗力的，不免除其责任。</w:t>
      </w:r>
    </w:p>
    <w:p>
      <w:pPr>
        <w:pStyle w:val="45"/>
        <w:spacing w:line="362"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21.3.3</w:t>
      </w:r>
      <w:r>
        <w:rPr>
          <w:rFonts w:ascii="Times New Roman" w:hAnsi="Times New Roman" w:cs="Times New Roman"/>
          <w:color w:val="auto"/>
          <w:sz w:val="24"/>
          <w:szCs w:val="24"/>
        </w:rPr>
        <w:t>避免和减少不可抗力损失</w:t>
      </w:r>
    </w:p>
    <w:p>
      <w:pPr>
        <w:pStyle w:val="45"/>
        <w:spacing w:line="358"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rPr>
        <w:t>不可抗力发生后，发包人和承包人均应采取措施尽量避免和减少损失的扩大，任何一 方没有采取有效措施导致损失扩大的，应对扩大的损失承担责任。</w:t>
      </w:r>
    </w:p>
    <w:p>
      <w:pPr>
        <w:pStyle w:val="45"/>
        <w:spacing w:line="362" w:lineRule="exact"/>
        <w:ind w:firstLine="440"/>
        <w:jc w:val="both"/>
        <w:rPr>
          <w:rFonts w:ascii="Times New Roman" w:hAnsi="Times New Roman" w:cs="Times New Roman"/>
          <w:color w:val="auto"/>
          <w:sz w:val="24"/>
          <w:szCs w:val="24"/>
          <w:lang w:val="en-US"/>
        </w:rPr>
      </w:pPr>
      <w:r>
        <w:rPr>
          <w:rFonts w:ascii="Times New Roman" w:hAnsi="Times New Roman" w:cs="Times New Roman"/>
          <w:color w:val="auto"/>
          <w:sz w:val="24"/>
          <w:szCs w:val="24"/>
          <w:lang w:val="en-US"/>
        </w:rPr>
        <w:t>21.3.4因不可抗力解除合同</w:t>
      </w:r>
    </w:p>
    <w:p>
      <w:pPr>
        <w:pStyle w:val="45"/>
        <w:spacing w:after="280" w:line="349" w:lineRule="exact"/>
        <w:ind w:firstLine="440"/>
        <w:jc w:val="both"/>
        <w:rPr>
          <w:color w:val="auto"/>
          <w:sz w:val="24"/>
          <w:szCs w:val="24"/>
        </w:rPr>
      </w:pPr>
      <w:r>
        <w:rPr>
          <w:rFonts w:ascii="Times New Roman" w:hAnsi="Times New Roman" w:cs="Times New Roman"/>
          <w:color w:val="auto"/>
          <w:sz w:val="24"/>
          <w:szCs w:val="24"/>
        </w:rPr>
        <w:t>合同一</w:t>
      </w:r>
      <w:r>
        <w:rPr>
          <w:color w:val="auto"/>
          <w:sz w:val="24"/>
          <w:szCs w:val="24"/>
        </w:rPr>
        <w:t>方当事人因不可抗力不能履行合同的，应当及时通知对方解除合同。合同解除后，承包人应按照第</w:t>
      </w:r>
      <w:r>
        <w:rPr>
          <w:rFonts w:ascii="Times New Roman" w:hAnsi="Times New Roman" w:eastAsia="Times New Roman" w:cs="Times New Roman"/>
          <w:color w:val="auto"/>
          <w:sz w:val="24"/>
          <w:szCs w:val="24"/>
          <w:lang w:val="en-US" w:bidi="en-US"/>
        </w:rPr>
        <w:t>22.2.5</w:t>
      </w:r>
      <w:r>
        <w:rPr>
          <w:color w:val="auto"/>
          <w:sz w:val="24"/>
          <w:szCs w:val="24"/>
        </w:rPr>
        <w:t>项约定撤离施工场地。已经订货的材料、设备由订货方负责退货或解除订货合同，不能退还的货款和因退货、解除订货合同发生的费用，由发包人承担, 因未及时退货造成的损失由责任方承担。合同解除后的付款，参照第</w:t>
      </w:r>
      <w:r>
        <w:rPr>
          <w:rFonts w:ascii="Times New Roman" w:hAnsi="Times New Roman" w:eastAsia="Times New Roman" w:cs="Times New Roman"/>
          <w:color w:val="auto"/>
          <w:sz w:val="24"/>
          <w:szCs w:val="24"/>
          <w:lang w:val="en-US" w:bidi="en-US"/>
        </w:rPr>
        <w:t>22. 2.4</w:t>
      </w:r>
      <w:r>
        <w:rPr>
          <w:color w:val="auto"/>
          <w:sz w:val="24"/>
          <w:szCs w:val="24"/>
        </w:rPr>
        <w:t>项约定，由监理人按第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color w:val="auto"/>
          <w:sz w:val="24"/>
          <w:szCs w:val="24"/>
        </w:rPr>
        <w:t>款商定或确定。</w:t>
      </w:r>
    </w:p>
    <w:p>
      <w:pPr>
        <w:pStyle w:val="5"/>
        <w:spacing w:line="360" w:lineRule="exact"/>
        <w:rPr>
          <w:rFonts w:hint="eastAsia"/>
          <w:color w:val="auto"/>
          <w:sz w:val="24"/>
          <w:szCs w:val="24"/>
          <w:lang w:eastAsia="zh-CN"/>
        </w:rPr>
      </w:pPr>
      <w:bookmarkStart w:id="946" w:name="bookmark1499"/>
      <w:bookmarkStart w:id="947" w:name="_Toc7819"/>
      <w:bookmarkStart w:id="948" w:name="_Toc1370608202"/>
      <w:bookmarkStart w:id="949" w:name="_Toc6299"/>
      <w:bookmarkStart w:id="950" w:name="bookmark1498"/>
      <w:bookmarkStart w:id="951" w:name="bookmark1497"/>
      <w:r>
        <w:rPr>
          <w:rFonts w:hint="eastAsia"/>
          <w:color w:val="auto"/>
          <w:sz w:val="24"/>
          <w:szCs w:val="24"/>
          <w:lang w:eastAsia="zh-CN"/>
        </w:rPr>
        <w:t>22.违约</w:t>
      </w:r>
      <w:bookmarkEnd w:id="946"/>
      <w:bookmarkEnd w:id="947"/>
      <w:bookmarkEnd w:id="948"/>
      <w:bookmarkEnd w:id="949"/>
    </w:p>
    <w:p>
      <w:pPr>
        <w:pStyle w:val="6"/>
        <w:ind w:left="0" w:leftChars="0" w:firstLine="0" w:firstLineChars="0"/>
        <w:rPr>
          <w:color w:val="auto"/>
          <w:sz w:val="24"/>
          <w:szCs w:val="24"/>
          <w:lang w:eastAsia="zh-CN"/>
        </w:rPr>
      </w:pPr>
      <w:bookmarkStart w:id="952" w:name="_Toc15198"/>
      <w:bookmarkStart w:id="953" w:name="bookmark1500"/>
      <w:r>
        <w:rPr>
          <w:color w:val="auto"/>
          <w:sz w:val="24"/>
          <w:szCs w:val="24"/>
          <w:lang w:eastAsia="zh-CN"/>
        </w:rPr>
        <w:t>22.1承包人违约</w:t>
      </w:r>
      <w:bookmarkEnd w:id="950"/>
      <w:bookmarkEnd w:id="951"/>
      <w:bookmarkEnd w:id="952"/>
      <w:bookmarkEnd w:id="953"/>
    </w:p>
    <w:p>
      <w:pPr>
        <w:pStyle w:val="45"/>
        <w:spacing w:line="379" w:lineRule="auto"/>
        <w:ind w:firstLine="420"/>
        <w:jc w:val="both"/>
        <w:rPr>
          <w:color w:val="auto"/>
          <w:sz w:val="24"/>
          <w:szCs w:val="24"/>
        </w:rPr>
      </w:pPr>
      <w:r>
        <w:rPr>
          <w:rFonts w:ascii="Times New Roman" w:hAnsi="Times New Roman" w:eastAsia="Times New Roman" w:cs="Times New Roman"/>
          <w:color w:val="auto"/>
          <w:sz w:val="24"/>
          <w:szCs w:val="24"/>
          <w:lang w:val="en-US" w:bidi="en-US"/>
        </w:rPr>
        <w:t>22.1.1</w:t>
      </w:r>
      <w:r>
        <w:rPr>
          <w:color w:val="auto"/>
          <w:sz w:val="24"/>
          <w:szCs w:val="24"/>
        </w:rPr>
        <w:t>承包人违约的情形</w:t>
      </w:r>
    </w:p>
    <w:p>
      <w:pPr>
        <w:pStyle w:val="45"/>
        <w:spacing w:line="362" w:lineRule="exact"/>
        <w:ind w:firstLine="420"/>
        <w:jc w:val="both"/>
        <w:rPr>
          <w:color w:val="auto"/>
          <w:sz w:val="24"/>
          <w:szCs w:val="24"/>
        </w:rPr>
      </w:pPr>
      <w:r>
        <w:rPr>
          <w:color w:val="auto"/>
          <w:sz w:val="24"/>
          <w:szCs w:val="24"/>
        </w:rPr>
        <w:t>在履行合同过程中发生的下列情况属承包人违约：</w:t>
      </w:r>
    </w:p>
    <w:p>
      <w:pPr>
        <w:pStyle w:val="45"/>
        <w:numPr>
          <w:ilvl w:val="0"/>
          <w:numId w:val="28"/>
        </w:numPr>
        <w:tabs>
          <w:tab w:val="left" w:pos="920"/>
        </w:tabs>
        <w:spacing w:line="379" w:lineRule="exact"/>
        <w:ind w:firstLine="440"/>
        <w:jc w:val="both"/>
        <w:rPr>
          <w:color w:val="auto"/>
          <w:sz w:val="24"/>
          <w:szCs w:val="24"/>
        </w:rPr>
      </w:pPr>
      <w:bookmarkStart w:id="954" w:name="bookmark1501"/>
      <w:bookmarkEnd w:id="954"/>
      <w:r>
        <w:rPr>
          <w:color w:val="auto"/>
          <w:sz w:val="24"/>
          <w:szCs w:val="24"/>
        </w:rPr>
        <w:t>承包人违反第</w:t>
      </w:r>
      <w:r>
        <w:rPr>
          <w:rFonts w:ascii="Times New Roman" w:hAnsi="Times New Roman" w:eastAsia="Times New Roman" w:cs="Times New Roman"/>
          <w:color w:val="auto"/>
          <w:sz w:val="24"/>
          <w:szCs w:val="24"/>
          <w:lang w:val="en-US" w:bidi="en-US"/>
        </w:rPr>
        <w:t>1.8</w:t>
      </w:r>
      <w:r>
        <w:rPr>
          <w:color w:val="auto"/>
          <w:sz w:val="24"/>
          <w:szCs w:val="24"/>
        </w:rPr>
        <w:t>款或第</w:t>
      </w:r>
      <w:r>
        <w:rPr>
          <w:rFonts w:ascii="Times New Roman" w:hAnsi="Times New Roman" w:eastAsia="Times New Roman" w:cs="Times New Roman"/>
          <w:color w:val="auto"/>
          <w:sz w:val="24"/>
          <w:szCs w:val="24"/>
          <w:lang w:val="en-US" w:bidi="en-US"/>
        </w:rPr>
        <w:t xml:space="preserve">4. </w:t>
      </w:r>
      <w:r>
        <w:rPr>
          <w:rFonts w:ascii="Times New Roman" w:hAnsi="Times New Roman" w:eastAsia="Times New Roman" w:cs="Times New Roman"/>
          <w:color w:val="auto"/>
          <w:sz w:val="24"/>
          <w:szCs w:val="24"/>
        </w:rPr>
        <w:t>3</w:t>
      </w:r>
      <w:r>
        <w:rPr>
          <w:color w:val="auto"/>
          <w:sz w:val="24"/>
          <w:szCs w:val="24"/>
        </w:rPr>
        <w:t>款的约定，私自将合同的全部或部分权利转让给其他人，或私自将合同的全部或部分义务转移给其他人；</w:t>
      </w:r>
    </w:p>
    <w:p>
      <w:pPr>
        <w:pStyle w:val="45"/>
        <w:numPr>
          <w:ilvl w:val="0"/>
          <w:numId w:val="28"/>
        </w:numPr>
        <w:tabs>
          <w:tab w:val="left" w:pos="920"/>
        </w:tabs>
        <w:spacing w:line="377" w:lineRule="exact"/>
        <w:ind w:firstLine="440"/>
        <w:jc w:val="both"/>
        <w:rPr>
          <w:color w:val="auto"/>
          <w:sz w:val="24"/>
          <w:szCs w:val="24"/>
        </w:rPr>
      </w:pPr>
      <w:bookmarkStart w:id="955" w:name="bookmark1502"/>
      <w:bookmarkEnd w:id="955"/>
      <w:r>
        <w:rPr>
          <w:color w:val="auto"/>
          <w:sz w:val="24"/>
          <w:szCs w:val="24"/>
        </w:rPr>
        <w:t>承包人违反第</w:t>
      </w:r>
      <w:r>
        <w:rPr>
          <w:rFonts w:ascii="Times New Roman" w:hAnsi="Times New Roman" w:eastAsia="Times New Roman" w:cs="Times New Roman"/>
          <w:color w:val="auto"/>
          <w:sz w:val="24"/>
          <w:szCs w:val="24"/>
          <w:lang w:val="en-US" w:bidi="en-US"/>
        </w:rPr>
        <w:t xml:space="preserve">5. </w:t>
      </w:r>
      <w:r>
        <w:rPr>
          <w:rFonts w:ascii="Times New Roman" w:hAnsi="Times New Roman" w:eastAsia="Times New Roman" w:cs="Times New Roman"/>
          <w:color w:val="auto"/>
          <w:sz w:val="24"/>
          <w:szCs w:val="24"/>
        </w:rPr>
        <w:t>3</w:t>
      </w:r>
      <w:r>
        <w:rPr>
          <w:color w:val="auto"/>
          <w:sz w:val="24"/>
          <w:szCs w:val="24"/>
        </w:rPr>
        <w:t>款或第</w:t>
      </w:r>
      <w:r>
        <w:rPr>
          <w:rFonts w:ascii="Times New Roman" w:hAnsi="Times New Roman" w:eastAsia="Times New Roman" w:cs="Times New Roman"/>
          <w:color w:val="auto"/>
          <w:sz w:val="24"/>
          <w:szCs w:val="24"/>
          <w:lang w:val="en-US" w:bidi="en-US"/>
        </w:rPr>
        <w:t xml:space="preserve">6. </w:t>
      </w:r>
      <w:r>
        <w:rPr>
          <w:rFonts w:ascii="Times New Roman" w:hAnsi="Times New Roman" w:eastAsia="Times New Roman" w:cs="Times New Roman"/>
          <w:color w:val="auto"/>
          <w:sz w:val="24"/>
          <w:szCs w:val="24"/>
        </w:rPr>
        <w:t>4</w:t>
      </w:r>
      <w:r>
        <w:rPr>
          <w:color w:val="auto"/>
          <w:sz w:val="24"/>
          <w:szCs w:val="24"/>
        </w:rPr>
        <w:t>款的约定，未经监理人批准，私自将已按合同约定进入施工场地的施工设备、临时设施或材料撤离施工场地；</w:t>
      </w:r>
    </w:p>
    <w:p>
      <w:pPr>
        <w:pStyle w:val="45"/>
        <w:numPr>
          <w:ilvl w:val="0"/>
          <w:numId w:val="28"/>
        </w:numPr>
        <w:tabs>
          <w:tab w:val="left" w:pos="922"/>
        </w:tabs>
        <w:spacing w:line="379" w:lineRule="exact"/>
        <w:ind w:firstLine="440"/>
        <w:jc w:val="both"/>
        <w:rPr>
          <w:color w:val="auto"/>
          <w:sz w:val="24"/>
          <w:szCs w:val="24"/>
        </w:rPr>
      </w:pPr>
      <w:bookmarkStart w:id="956" w:name="bookmark1503"/>
      <w:bookmarkEnd w:id="956"/>
      <w:r>
        <w:rPr>
          <w:color w:val="auto"/>
          <w:sz w:val="24"/>
          <w:szCs w:val="24"/>
        </w:rPr>
        <w:t>承包人违反第</w:t>
      </w:r>
      <w:r>
        <w:rPr>
          <w:rFonts w:ascii="Times New Roman" w:hAnsi="Times New Roman" w:eastAsia="Times New Roman" w:cs="Times New Roman"/>
          <w:color w:val="auto"/>
          <w:sz w:val="24"/>
          <w:szCs w:val="24"/>
          <w:lang w:val="en-US" w:bidi="en-US"/>
        </w:rPr>
        <w:t xml:space="preserve">5. </w:t>
      </w:r>
      <w:r>
        <w:rPr>
          <w:rFonts w:ascii="Times New Roman" w:hAnsi="Times New Roman" w:eastAsia="Times New Roman" w:cs="Times New Roman"/>
          <w:color w:val="auto"/>
          <w:sz w:val="24"/>
          <w:szCs w:val="24"/>
        </w:rPr>
        <w:t>4</w:t>
      </w:r>
      <w:r>
        <w:rPr>
          <w:color w:val="auto"/>
          <w:sz w:val="24"/>
          <w:szCs w:val="24"/>
        </w:rPr>
        <w:t>款的约定使用了不合格材料或工程设备，工程质量达不到标准要求，又拒绝清除不合格工程；</w:t>
      </w:r>
    </w:p>
    <w:p>
      <w:pPr>
        <w:pStyle w:val="45"/>
        <w:numPr>
          <w:ilvl w:val="0"/>
          <w:numId w:val="28"/>
        </w:numPr>
        <w:tabs>
          <w:tab w:val="left" w:pos="922"/>
        </w:tabs>
        <w:spacing w:line="365" w:lineRule="exact"/>
        <w:ind w:firstLine="440"/>
        <w:jc w:val="both"/>
        <w:rPr>
          <w:color w:val="auto"/>
          <w:sz w:val="24"/>
          <w:szCs w:val="24"/>
        </w:rPr>
      </w:pPr>
      <w:bookmarkStart w:id="957" w:name="bookmark1504"/>
      <w:bookmarkEnd w:id="957"/>
      <w:r>
        <w:rPr>
          <w:color w:val="auto"/>
          <w:sz w:val="24"/>
          <w:szCs w:val="24"/>
        </w:rPr>
        <w:t>承包人未能按合同进度计划及时完成合同约定的工作，已造成或预期造成工期延误；</w:t>
      </w:r>
    </w:p>
    <w:p>
      <w:pPr>
        <w:pStyle w:val="45"/>
        <w:numPr>
          <w:ilvl w:val="0"/>
          <w:numId w:val="28"/>
        </w:numPr>
        <w:tabs>
          <w:tab w:val="left" w:pos="922"/>
        </w:tabs>
        <w:spacing w:line="362" w:lineRule="exact"/>
        <w:ind w:firstLine="440"/>
        <w:jc w:val="both"/>
        <w:rPr>
          <w:color w:val="auto"/>
          <w:sz w:val="24"/>
          <w:szCs w:val="24"/>
        </w:rPr>
      </w:pPr>
      <w:bookmarkStart w:id="958" w:name="bookmark1505"/>
      <w:bookmarkEnd w:id="958"/>
      <w:r>
        <w:rPr>
          <w:color w:val="auto"/>
          <w:sz w:val="24"/>
          <w:szCs w:val="24"/>
        </w:rPr>
        <w:t>承包人在缺陷责任期(工程质量保修期)内，未能对合同工程完工验收鉴定书中所列的缺陷清单的内容或缺陷责任期(工程质量保修期)内发生的缺陷进行修复，而又拒绝按监理人指示再进行修补；</w:t>
      </w:r>
    </w:p>
    <w:p>
      <w:pPr>
        <w:pStyle w:val="45"/>
        <w:numPr>
          <w:ilvl w:val="0"/>
          <w:numId w:val="28"/>
        </w:numPr>
        <w:tabs>
          <w:tab w:val="left" w:pos="903"/>
        </w:tabs>
        <w:spacing w:line="349" w:lineRule="exact"/>
        <w:ind w:firstLine="420"/>
        <w:jc w:val="both"/>
        <w:rPr>
          <w:color w:val="auto"/>
          <w:sz w:val="24"/>
          <w:szCs w:val="24"/>
        </w:rPr>
      </w:pPr>
      <w:bookmarkStart w:id="959" w:name="bookmark1506"/>
      <w:bookmarkEnd w:id="959"/>
      <w:r>
        <w:rPr>
          <w:color w:val="auto"/>
          <w:sz w:val="24"/>
          <w:szCs w:val="24"/>
        </w:rPr>
        <w:t>承包人无法继续履行或明确表示不履行或实质上已停止履行合同；</w:t>
      </w:r>
    </w:p>
    <w:p>
      <w:pPr>
        <w:pStyle w:val="45"/>
        <w:numPr>
          <w:ilvl w:val="0"/>
          <w:numId w:val="28"/>
        </w:numPr>
        <w:tabs>
          <w:tab w:val="left" w:pos="903"/>
        </w:tabs>
        <w:spacing w:line="349" w:lineRule="exact"/>
        <w:ind w:firstLine="420"/>
        <w:jc w:val="both"/>
        <w:rPr>
          <w:color w:val="auto"/>
          <w:sz w:val="24"/>
          <w:szCs w:val="24"/>
        </w:rPr>
      </w:pPr>
      <w:bookmarkStart w:id="960" w:name="bookmark1507"/>
      <w:bookmarkEnd w:id="960"/>
      <w:r>
        <w:rPr>
          <w:color w:val="auto"/>
          <w:sz w:val="24"/>
          <w:szCs w:val="24"/>
        </w:rPr>
        <w:t>承包人不按合同约定履行义务的其他情况。</w:t>
      </w:r>
    </w:p>
    <w:p>
      <w:pPr>
        <w:pStyle w:val="45"/>
        <w:spacing w:line="349" w:lineRule="exact"/>
        <w:ind w:firstLine="420"/>
        <w:jc w:val="both"/>
        <w:rPr>
          <w:color w:val="auto"/>
          <w:sz w:val="24"/>
          <w:szCs w:val="24"/>
        </w:rPr>
      </w:pPr>
      <w:r>
        <w:rPr>
          <w:rFonts w:ascii="Times New Roman" w:hAnsi="Times New Roman" w:eastAsia="Times New Roman" w:cs="Times New Roman"/>
          <w:color w:val="auto"/>
          <w:sz w:val="24"/>
          <w:szCs w:val="24"/>
          <w:lang w:val="en-US" w:eastAsia="en-US" w:bidi="en-US"/>
        </w:rPr>
        <w:t>22.1.2</w:t>
      </w:r>
      <w:r>
        <w:rPr>
          <w:color w:val="auto"/>
          <w:sz w:val="24"/>
          <w:szCs w:val="24"/>
        </w:rPr>
        <w:t>对承包人违约的处理</w:t>
      </w:r>
    </w:p>
    <w:p>
      <w:pPr>
        <w:pStyle w:val="45"/>
        <w:numPr>
          <w:ilvl w:val="0"/>
          <w:numId w:val="29"/>
        </w:numPr>
        <w:tabs>
          <w:tab w:val="left" w:pos="922"/>
        </w:tabs>
        <w:spacing w:line="349" w:lineRule="exact"/>
        <w:ind w:firstLine="440"/>
        <w:jc w:val="both"/>
        <w:rPr>
          <w:color w:val="auto"/>
          <w:sz w:val="24"/>
          <w:szCs w:val="24"/>
        </w:rPr>
      </w:pPr>
      <w:bookmarkStart w:id="961" w:name="bookmark1508"/>
      <w:bookmarkEnd w:id="961"/>
      <w:r>
        <w:rPr>
          <w:color w:val="auto"/>
          <w:sz w:val="24"/>
          <w:szCs w:val="24"/>
        </w:rPr>
        <w:t>承包人发生第</w:t>
      </w:r>
      <w:r>
        <w:rPr>
          <w:rFonts w:ascii="Times New Roman" w:hAnsi="Times New Roman" w:eastAsia="Times New Roman" w:cs="Times New Roman"/>
          <w:color w:val="auto"/>
          <w:sz w:val="24"/>
          <w:szCs w:val="24"/>
          <w:lang w:val="en-US" w:bidi="en-US"/>
        </w:rPr>
        <w:t xml:space="preserve">22.1.1 </w:t>
      </w:r>
      <w:r>
        <w:rPr>
          <w:rFonts w:ascii="Times New Roman" w:hAnsi="Times New Roman" w:eastAsia="Times New Roman" w:cs="Times New Roman"/>
          <w:color w:val="auto"/>
          <w:sz w:val="24"/>
          <w:szCs w:val="24"/>
        </w:rPr>
        <w:t>(6)</w:t>
      </w:r>
      <w:r>
        <w:rPr>
          <w:color w:val="auto"/>
          <w:sz w:val="24"/>
          <w:szCs w:val="24"/>
        </w:rPr>
        <w:t>目约定的违约情况时，发包人可通知承包人立即解除合同，并按有关法律处理。</w:t>
      </w:r>
    </w:p>
    <w:p>
      <w:pPr>
        <w:pStyle w:val="45"/>
        <w:numPr>
          <w:ilvl w:val="0"/>
          <w:numId w:val="29"/>
        </w:numPr>
        <w:tabs>
          <w:tab w:val="left" w:pos="920"/>
        </w:tabs>
        <w:spacing w:line="349" w:lineRule="exact"/>
        <w:ind w:firstLine="440"/>
        <w:jc w:val="both"/>
        <w:rPr>
          <w:color w:val="auto"/>
          <w:sz w:val="24"/>
          <w:szCs w:val="24"/>
        </w:rPr>
      </w:pPr>
      <w:bookmarkStart w:id="962" w:name="bookmark1509"/>
      <w:bookmarkEnd w:id="962"/>
      <w:r>
        <w:rPr>
          <w:color w:val="auto"/>
          <w:sz w:val="24"/>
          <w:szCs w:val="24"/>
        </w:rPr>
        <w:t>承包人发生除第</w:t>
      </w:r>
      <w:r>
        <w:rPr>
          <w:rFonts w:ascii="Times New Roman" w:hAnsi="Times New Roman" w:eastAsia="Times New Roman" w:cs="Times New Roman"/>
          <w:color w:val="auto"/>
          <w:sz w:val="24"/>
          <w:szCs w:val="24"/>
          <w:lang w:val="en-US" w:bidi="en-US"/>
        </w:rPr>
        <w:t xml:space="preserve">22. 1. </w:t>
      </w:r>
      <w:r>
        <w:rPr>
          <w:rFonts w:ascii="Times New Roman" w:hAnsi="Times New Roman" w:eastAsia="Times New Roman" w:cs="Times New Roman"/>
          <w:color w:val="auto"/>
          <w:sz w:val="24"/>
          <w:szCs w:val="24"/>
        </w:rPr>
        <w:t>1 (6)</w:t>
      </w:r>
      <w:r>
        <w:rPr>
          <w:color w:val="auto"/>
          <w:sz w:val="24"/>
          <w:szCs w:val="24"/>
        </w:rPr>
        <w:t>目约定以外的其他违约情况时，监理人可向承包人发出整改通知，要求其在指定的期限内改正。承包人应承担其违约所引起的费用增加和 (或)工期延误。</w:t>
      </w:r>
    </w:p>
    <w:p>
      <w:pPr>
        <w:pStyle w:val="45"/>
        <w:numPr>
          <w:ilvl w:val="0"/>
          <w:numId w:val="29"/>
        </w:numPr>
        <w:tabs>
          <w:tab w:val="left" w:pos="922"/>
        </w:tabs>
        <w:spacing w:line="349" w:lineRule="exact"/>
        <w:ind w:firstLine="440"/>
        <w:jc w:val="both"/>
        <w:rPr>
          <w:color w:val="auto"/>
          <w:sz w:val="24"/>
          <w:szCs w:val="24"/>
        </w:rPr>
      </w:pPr>
      <w:bookmarkStart w:id="963" w:name="bookmark1510"/>
      <w:bookmarkEnd w:id="963"/>
      <w:r>
        <w:rPr>
          <w:color w:val="auto"/>
          <w:sz w:val="24"/>
          <w:szCs w:val="24"/>
        </w:rPr>
        <w:t>经检查证明承包人已采取了有效措施纠正违约行为，具备复工条件的，可由监理人签发复工通知复工。</w:t>
      </w:r>
    </w:p>
    <w:p>
      <w:pPr>
        <w:pStyle w:val="45"/>
        <w:spacing w:line="349"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22.1.3</w:t>
      </w:r>
      <w:r>
        <w:rPr>
          <w:rFonts w:ascii="Times New Roman" w:hAnsi="Times New Roman" w:cs="Times New Roman"/>
          <w:color w:val="auto"/>
          <w:sz w:val="24"/>
          <w:szCs w:val="24"/>
        </w:rPr>
        <w:t>承包人违约解除合同</w:t>
      </w:r>
    </w:p>
    <w:p>
      <w:pPr>
        <w:pStyle w:val="45"/>
        <w:spacing w:line="349"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rPr>
        <w:t>监理人发出整改通知</w:t>
      </w:r>
      <w:r>
        <w:rPr>
          <w:rFonts w:ascii="Times New Roman" w:hAnsi="Times New Roman" w:eastAsia="Times New Roman" w:cs="Times New Roman"/>
          <w:color w:val="auto"/>
          <w:sz w:val="24"/>
          <w:szCs w:val="24"/>
        </w:rPr>
        <w:t>28</w:t>
      </w:r>
      <w:r>
        <w:rPr>
          <w:rFonts w:ascii="Times New Roman" w:hAnsi="Times New Roman" w:cs="Times New Roman"/>
          <w:color w:val="auto"/>
          <w:sz w:val="24"/>
          <w:szCs w:val="24"/>
        </w:rPr>
        <w:t>天后，承包人仍不纠正违约行为的，发包人可向承包人发出解除合同通知。合同解除后，发包人可派员进驻施工场地，另行组织人员或委托其他承包人施工。发包人因继续完成该工程的需要，有权扣留使用承包人在现场的材料、设备和临时设施。但发包人的这一行动不免除承包人应承担的违约责任，也不影响发包人根据合同约 定享有的索赔权利。</w:t>
      </w:r>
    </w:p>
    <w:p>
      <w:pPr>
        <w:pStyle w:val="45"/>
        <w:spacing w:line="349"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lang w:val="en-US"/>
        </w:rPr>
        <w:t>22.1.4</w:t>
      </w:r>
      <w:r>
        <w:rPr>
          <w:rFonts w:ascii="Times New Roman" w:hAnsi="Times New Roman" w:cs="Times New Roman"/>
          <w:color w:val="auto"/>
          <w:sz w:val="24"/>
          <w:szCs w:val="24"/>
        </w:rPr>
        <w:t>合同解除后的估价、付款和结清</w:t>
      </w:r>
    </w:p>
    <w:p>
      <w:pPr>
        <w:pStyle w:val="45"/>
        <w:numPr>
          <w:ilvl w:val="0"/>
          <w:numId w:val="30"/>
        </w:numPr>
        <w:tabs>
          <w:tab w:val="left" w:pos="920"/>
        </w:tabs>
        <w:spacing w:line="361" w:lineRule="exact"/>
        <w:ind w:firstLine="440"/>
        <w:jc w:val="both"/>
        <w:rPr>
          <w:rFonts w:ascii="Times New Roman" w:hAnsi="Times New Roman" w:cs="Times New Roman"/>
          <w:color w:val="auto"/>
          <w:sz w:val="24"/>
          <w:szCs w:val="24"/>
        </w:rPr>
      </w:pPr>
      <w:bookmarkStart w:id="964" w:name="bookmark1511"/>
      <w:bookmarkEnd w:id="964"/>
      <w:r>
        <w:rPr>
          <w:rFonts w:ascii="Times New Roman" w:hAnsi="Times New Roman" w:cs="Times New Roman"/>
          <w:color w:val="auto"/>
          <w:sz w:val="24"/>
          <w:szCs w:val="24"/>
        </w:rPr>
        <w:t>合同解除后，监理人按第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rFonts w:ascii="Times New Roman" w:hAnsi="Times New Roman" w:cs="Times New Roman"/>
          <w:color w:val="auto"/>
          <w:sz w:val="24"/>
          <w:szCs w:val="24"/>
        </w:rPr>
        <w:t>款商定或确定承包人实际完成工作的价值，以及承包人已提供的材料、施工设备、工程设备和临时工程等的价值。</w:t>
      </w:r>
    </w:p>
    <w:p>
      <w:pPr>
        <w:pStyle w:val="45"/>
        <w:numPr>
          <w:ilvl w:val="0"/>
          <w:numId w:val="30"/>
        </w:numPr>
        <w:tabs>
          <w:tab w:val="left" w:pos="922"/>
        </w:tabs>
        <w:spacing w:line="361" w:lineRule="exact"/>
        <w:ind w:firstLine="440"/>
        <w:jc w:val="both"/>
        <w:rPr>
          <w:rFonts w:ascii="Times New Roman" w:hAnsi="Times New Roman" w:cs="Times New Roman"/>
          <w:color w:val="auto"/>
          <w:sz w:val="24"/>
          <w:szCs w:val="24"/>
        </w:rPr>
      </w:pPr>
      <w:bookmarkStart w:id="965" w:name="bookmark1512"/>
      <w:bookmarkEnd w:id="965"/>
      <w:r>
        <w:rPr>
          <w:rFonts w:ascii="Times New Roman" w:hAnsi="Times New Roman" w:cs="Times New Roman"/>
          <w:color w:val="auto"/>
          <w:sz w:val="24"/>
          <w:szCs w:val="24"/>
        </w:rPr>
        <w:t>合同解除后，发包人应暂停对承包人的一切付款，查清各项付款和已扣款金额, 包括承包人应支付的违约金。</w:t>
      </w:r>
    </w:p>
    <w:p>
      <w:pPr>
        <w:pStyle w:val="45"/>
        <w:numPr>
          <w:ilvl w:val="0"/>
          <w:numId w:val="30"/>
        </w:numPr>
        <w:tabs>
          <w:tab w:val="left" w:pos="920"/>
        </w:tabs>
        <w:spacing w:line="374" w:lineRule="exact"/>
        <w:ind w:firstLine="440"/>
        <w:jc w:val="both"/>
        <w:rPr>
          <w:rFonts w:ascii="Times New Roman" w:hAnsi="Times New Roman" w:cs="Times New Roman"/>
          <w:color w:val="auto"/>
          <w:sz w:val="24"/>
          <w:szCs w:val="24"/>
        </w:rPr>
      </w:pPr>
      <w:bookmarkStart w:id="966" w:name="bookmark1513"/>
      <w:bookmarkEnd w:id="966"/>
      <w:r>
        <w:rPr>
          <w:rFonts w:ascii="Times New Roman" w:hAnsi="Times New Roman" w:cs="Times New Roman"/>
          <w:color w:val="auto"/>
          <w:sz w:val="24"/>
          <w:szCs w:val="24"/>
        </w:rPr>
        <w:t>合同解除后，发包人应按第</w:t>
      </w:r>
      <w:r>
        <w:rPr>
          <w:rFonts w:ascii="Times New Roman" w:hAnsi="Times New Roman" w:eastAsia="Times New Roman" w:cs="Times New Roman"/>
          <w:color w:val="auto"/>
          <w:sz w:val="24"/>
          <w:szCs w:val="24"/>
          <w:lang w:val="en-US" w:bidi="en-US"/>
        </w:rPr>
        <w:t xml:space="preserve">23. </w:t>
      </w:r>
      <w:r>
        <w:rPr>
          <w:rFonts w:ascii="Times New Roman" w:hAnsi="Times New Roman" w:eastAsia="Times New Roman" w:cs="Times New Roman"/>
          <w:color w:val="auto"/>
          <w:sz w:val="24"/>
          <w:szCs w:val="24"/>
        </w:rPr>
        <w:t>4</w:t>
      </w:r>
      <w:r>
        <w:rPr>
          <w:rFonts w:ascii="Times New Roman" w:hAnsi="Times New Roman" w:cs="Times New Roman"/>
          <w:color w:val="auto"/>
          <w:sz w:val="24"/>
          <w:szCs w:val="24"/>
        </w:rPr>
        <w:t>款的约定向承包人索赔由于解除合同给发包人造成的损失。</w:t>
      </w:r>
    </w:p>
    <w:p>
      <w:pPr>
        <w:pStyle w:val="45"/>
        <w:numPr>
          <w:ilvl w:val="0"/>
          <w:numId w:val="30"/>
        </w:numPr>
        <w:tabs>
          <w:tab w:val="left" w:pos="903"/>
        </w:tabs>
        <w:spacing w:line="360" w:lineRule="exact"/>
        <w:ind w:firstLine="420"/>
        <w:jc w:val="both"/>
        <w:rPr>
          <w:rFonts w:ascii="Times New Roman" w:hAnsi="Times New Roman" w:cs="Times New Roman"/>
          <w:color w:val="auto"/>
          <w:sz w:val="24"/>
          <w:szCs w:val="24"/>
        </w:rPr>
      </w:pPr>
      <w:bookmarkStart w:id="967" w:name="bookmark1514"/>
      <w:bookmarkEnd w:id="967"/>
      <w:r>
        <w:rPr>
          <w:rFonts w:ascii="Times New Roman" w:hAnsi="Times New Roman" w:cs="Times New Roman"/>
          <w:color w:val="auto"/>
          <w:sz w:val="24"/>
          <w:szCs w:val="24"/>
        </w:rPr>
        <w:t>合同双方确认上述往来款项后，出具最终结清付款证书，结清全部合同款项。</w:t>
      </w:r>
    </w:p>
    <w:p>
      <w:pPr>
        <w:pStyle w:val="45"/>
        <w:numPr>
          <w:ilvl w:val="0"/>
          <w:numId w:val="30"/>
        </w:numPr>
        <w:tabs>
          <w:tab w:val="left" w:pos="922"/>
        </w:tabs>
        <w:spacing w:after="120" w:line="360" w:lineRule="exact"/>
        <w:ind w:firstLine="440"/>
        <w:jc w:val="both"/>
        <w:rPr>
          <w:rFonts w:ascii="Times New Roman" w:hAnsi="Times New Roman" w:cs="Times New Roman"/>
          <w:color w:val="auto"/>
          <w:sz w:val="24"/>
          <w:szCs w:val="24"/>
        </w:rPr>
      </w:pPr>
      <w:bookmarkStart w:id="968" w:name="bookmark1515"/>
      <w:bookmarkEnd w:id="968"/>
      <w:r>
        <w:rPr>
          <w:rFonts w:ascii="Times New Roman" w:hAnsi="Times New Roman" w:cs="Times New Roman"/>
          <w:color w:val="auto"/>
          <w:sz w:val="24"/>
          <w:szCs w:val="24"/>
        </w:rPr>
        <w:t>发包人和承包人未能就解除合同后的结清达成一致而形成争议的，按第</w:t>
      </w:r>
      <w:r>
        <w:rPr>
          <w:rFonts w:ascii="Times New Roman" w:hAnsi="Times New Roman" w:eastAsia="Times New Roman" w:cs="Times New Roman"/>
          <w:color w:val="auto"/>
          <w:sz w:val="24"/>
          <w:szCs w:val="24"/>
        </w:rPr>
        <w:t>24</w:t>
      </w:r>
      <w:r>
        <w:rPr>
          <w:rFonts w:ascii="Times New Roman" w:hAnsi="Times New Roman" w:cs="Times New Roman"/>
          <w:color w:val="auto"/>
          <w:sz w:val="24"/>
          <w:szCs w:val="24"/>
        </w:rPr>
        <w:t>条的约定办理。</w:t>
      </w:r>
    </w:p>
    <w:p>
      <w:pPr>
        <w:pStyle w:val="45"/>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22.1.5</w:t>
      </w:r>
      <w:r>
        <w:rPr>
          <w:rFonts w:ascii="Times New Roman" w:hAnsi="Times New Roman" w:cs="Times New Roman"/>
          <w:color w:val="auto"/>
          <w:sz w:val="24"/>
          <w:szCs w:val="24"/>
        </w:rPr>
        <w:t>协议利益的转让</w:t>
      </w:r>
    </w:p>
    <w:p>
      <w:pPr>
        <w:pStyle w:val="45"/>
        <w:spacing w:line="351" w:lineRule="exact"/>
        <w:ind w:firstLine="440"/>
        <w:jc w:val="both"/>
        <w:rPr>
          <w:rFonts w:ascii="Times New Roman" w:hAnsi="Times New Roman" w:cs="Times New Roman"/>
          <w:color w:val="auto"/>
          <w:sz w:val="24"/>
          <w:szCs w:val="24"/>
        </w:rPr>
      </w:pPr>
      <w:r>
        <w:rPr>
          <w:rFonts w:ascii="Times New Roman" w:hAnsi="Times New Roman" w:cs="Times New Roman"/>
          <w:color w:val="auto"/>
          <w:sz w:val="24"/>
          <w:szCs w:val="24"/>
        </w:rPr>
        <w:t>因承包人违约解除合同的，发包人有权要求承包人将其为实施合同而签订的材料和设备的订货协议或任何服务协议利益转让给发包人，并在解除合同后的</w:t>
      </w:r>
      <w:r>
        <w:rPr>
          <w:rFonts w:ascii="Times New Roman" w:hAnsi="Times New Roman" w:eastAsia="Times New Roman" w:cs="Times New Roman"/>
          <w:color w:val="auto"/>
          <w:sz w:val="24"/>
          <w:szCs w:val="24"/>
        </w:rPr>
        <w:t>14</w:t>
      </w:r>
      <w:r>
        <w:rPr>
          <w:rFonts w:ascii="Times New Roman" w:hAnsi="Times New Roman" w:cs="Times New Roman"/>
          <w:color w:val="auto"/>
          <w:sz w:val="24"/>
          <w:szCs w:val="24"/>
        </w:rPr>
        <w:t>天内，依法办理转让手续。</w:t>
      </w:r>
    </w:p>
    <w:p>
      <w:pPr>
        <w:pStyle w:val="45"/>
        <w:spacing w:line="349" w:lineRule="exact"/>
        <w:ind w:firstLine="440"/>
        <w:jc w:val="both"/>
        <w:rPr>
          <w:color w:val="auto"/>
          <w:sz w:val="24"/>
          <w:szCs w:val="24"/>
          <w:lang w:val="en-US"/>
        </w:rPr>
      </w:pPr>
      <w:bookmarkStart w:id="969" w:name="bookmark1516"/>
      <w:bookmarkEnd w:id="969"/>
      <w:r>
        <w:rPr>
          <w:rFonts w:ascii="Times New Roman" w:hAnsi="Times New Roman" w:cs="Times New Roman"/>
          <w:color w:val="auto"/>
          <w:sz w:val="24"/>
          <w:szCs w:val="24"/>
          <w:lang w:val="en-US"/>
        </w:rPr>
        <w:t>22.1.6紧</w:t>
      </w:r>
      <w:r>
        <w:rPr>
          <w:color w:val="auto"/>
          <w:sz w:val="24"/>
          <w:szCs w:val="24"/>
          <w:lang w:val="en-US"/>
        </w:rPr>
        <w:t>急情况下无能力或不愿进行抢救</w:t>
      </w:r>
    </w:p>
    <w:p>
      <w:pPr>
        <w:pStyle w:val="45"/>
        <w:spacing w:after="120" w:line="351" w:lineRule="exact"/>
        <w:ind w:firstLine="440"/>
        <w:jc w:val="both"/>
        <w:rPr>
          <w:color w:val="auto"/>
          <w:sz w:val="24"/>
          <w:szCs w:val="24"/>
        </w:rPr>
      </w:pPr>
      <w:r>
        <w:rPr>
          <w:color w:val="auto"/>
          <w:sz w:val="24"/>
          <w:szCs w:val="24"/>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pPr>
        <w:pStyle w:val="6"/>
        <w:ind w:left="0" w:leftChars="0" w:firstLine="0" w:firstLineChars="0"/>
        <w:rPr>
          <w:color w:val="auto"/>
          <w:sz w:val="24"/>
          <w:szCs w:val="24"/>
          <w:lang w:eastAsia="zh-CN"/>
        </w:rPr>
      </w:pPr>
      <w:bookmarkStart w:id="970" w:name="bookmark1518"/>
      <w:bookmarkStart w:id="971" w:name="bookmark1519"/>
      <w:bookmarkStart w:id="972" w:name="bookmark1517"/>
      <w:bookmarkStart w:id="973" w:name="_Toc24772"/>
      <w:r>
        <w:rPr>
          <w:color w:val="auto"/>
          <w:sz w:val="24"/>
          <w:szCs w:val="24"/>
          <w:lang w:eastAsia="zh-CN"/>
        </w:rPr>
        <w:t>22.2发包人违约</w:t>
      </w:r>
      <w:bookmarkEnd w:id="970"/>
      <w:bookmarkEnd w:id="971"/>
      <w:bookmarkEnd w:id="972"/>
      <w:bookmarkEnd w:id="973"/>
    </w:p>
    <w:p>
      <w:pPr>
        <w:pStyle w:val="45"/>
        <w:spacing w:line="350" w:lineRule="exact"/>
        <w:ind w:firstLine="420"/>
        <w:jc w:val="both"/>
        <w:rPr>
          <w:color w:val="auto"/>
          <w:sz w:val="24"/>
          <w:szCs w:val="24"/>
        </w:rPr>
      </w:pPr>
      <w:r>
        <w:rPr>
          <w:rFonts w:ascii="Times New Roman" w:hAnsi="Times New Roman" w:eastAsia="Times New Roman" w:cs="Times New Roman"/>
          <w:color w:val="auto"/>
          <w:sz w:val="24"/>
          <w:szCs w:val="24"/>
          <w:lang w:val="en-US" w:bidi="en-US"/>
        </w:rPr>
        <w:t>22.2.1</w:t>
      </w:r>
      <w:r>
        <w:rPr>
          <w:color w:val="auto"/>
          <w:sz w:val="24"/>
          <w:szCs w:val="24"/>
        </w:rPr>
        <w:t>发包人违约的情形</w:t>
      </w:r>
    </w:p>
    <w:p>
      <w:pPr>
        <w:pStyle w:val="45"/>
        <w:spacing w:line="350" w:lineRule="exact"/>
        <w:ind w:firstLine="420"/>
        <w:jc w:val="both"/>
        <w:rPr>
          <w:color w:val="auto"/>
          <w:sz w:val="24"/>
          <w:szCs w:val="24"/>
        </w:rPr>
      </w:pPr>
      <w:r>
        <w:rPr>
          <w:color w:val="auto"/>
          <w:sz w:val="24"/>
          <w:szCs w:val="24"/>
        </w:rPr>
        <w:t>在履行合同过程中发生的下列情形，属发包人违约：</w:t>
      </w:r>
    </w:p>
    <w:p>
      <w:pPr>
        <w:pStyle w:val="45"/>
        <w:numPr>
          <w:ilvl w:val="0"/>
          <w:numId w:val="31"/>
        </w:numPr>
        <w:spacing w:line="350" w:lineRule="exact"/>
        <w:ind w:firstLine="420"/>
        <w:jc w:val="both"/>
        <w:rPr>
          <w:color w:val="auto"/>
          <w:sz w:val="24"/>
          <w:szCs w:val="24"/>
        </w:rPr>
      </w:pPr>
      <w:bookmarkStart w:id="974" w:name="bookmark1520"/>
      <w:bookmarkEnd w:id="974"/>
      <w:r>
        <w:rPr>
          <w:color w:val="auto"/>
          <w:sz w:val="24"/>
          <w:szCs w:val="24"/>
        </w:rPr>
        <w:t>发包人未能按合同约定支付预付款或合同价款，或拖延、拒绝批准付款申请和支付凭证，导致付款延误的；</w:t>
      </w:r>
    </w:p>
    <w:p>
      <w:pPr>
        <w:pStyle w:val="45"/>
        <w:numPr>
          <w:ilvl w:val="0"/>
          <w:numId w:val="31"/>
        </w:numPr>
        <w:tabs>
          <w:tab w:val="left" w:pos="903"/>
        </w:tabs>
        <w:spacing w:line="362" w:lineRule="exact"/>
        <w:ind w:firstLine="420"/>
        <w:rPr>
          <w:color w:val="auto"/>
          <w:sz w:val="24"/>
          <w:szCs w:val="24"/>
        </w:rPr>
      </w:pPr>
      <w:bookmarkStart w:id="975" w:name="bookmark1521"/>
      <w:bookmarkEnd w:id="975"/>
      <w:r>
        <w:rPr>
          <w:color w:val="auto"/>
          <w:sz w:val="24"/>
          <w:szCs w:val="24"/>
        </w:rPr>
        <w:t>发包人原因造成停工的；</w:t>
      </w:r>
    </w:p>
    <w:p>
      <w:pPr>
        <w:pStyle w:val="45"/>
        <w:numPr>
          <w:ilvl w:val="0"/>
          <w:numId w:val="31"/>
        </w:numPr>
        <w:tabs>
          <w:tab w:val="left" w:pos="903"/>
        </w:tabs>
        <w:spacing w:line="362" w:lineRule="exact"/>
        <w:ind w:firstLine="420"/>
        <w:rPr>
          <w:color w:val="auto"/>
          <w:sz w:val="24"/>
          <w:szCs w:val="24"/>
        </w:rPr>
      </w:pPr>
      <w:bookmarkStart w:id="976" w:name="bookmark1522"/>
      <w:bookmarkEnd w:id="976"/>
      <w:r>
        <w:rPr>
          <w:color w:val="auto"/>
          <w:sz w:val="24"/>
          <w:szCs w:val="24"/>
        </w:rPr>
        <w:t>监理人无正当理由没有在约定期限内发出复工指示，导致承包人无法复工的；</w:t>
      </w:r>
    </w:p>
    <w:p>
      <w:pPr>
        <w:pStyle w:val="45"/>
        <w:numPr>
          <w:ilvl w:val="0"/>
          <w:numId w:val="31"/>
        </w:numPr>
        <w:tabs>
          <w:tab w:val="left" w:pos="903"/>
        </w:tabs>
        <w:spacing w:line="362" w:lineRule="exact"/>
        <w:ind w:firstLine="420"/>
        <w:rPr>
          <w:color w:val="auto"/>
          <w:sz w:val="24"/>
          <w:szCs w:val="24"/>
        </w:rPr>
      </w:pPr>
      <w:bookmarkStart w:id="977" w:name="bookmark1523"/>
      <w:bookmarkEnd w:id="977"/>
      <w:r>
        <w:rPr>
          <w:color w:val="auto"/>
          <w:sz w:val="24"/>
          <w:szCs w:val="24"/>
        </w:rPr>
        <w:t>发包人无法继续履行或明确表示不履行或实质上已停止履行合同的；</w:t>
      </w:r>
    </w:p>
    <w:p>
      <w:pPr>
        <w:pStyle w:val="45"/>
        <w:numPr>
          <w:ilvl w:val="0"/>
          <w:numId w:val="31"/>
        </w:numPr>
        <w:tabs>
          <w:tab w:val="left" w:pos="903"/>
        </w:tabs>
        <w:spacing w:line="362" w:lineRule="exact"/>
        <w:ind w:firstLine="420"/>
        <w:rPr>
          <w:color w:val="auto"/>
          <w:sz w:val="24"/>
          <w:szCs w:val="24"/>
        </w:rPr>
      </w:pPr>
      <w:bookmarkStart w:id="978" w:name="bookmark1524"/>
      <w:bookmarkEnd w:id="978"/>
      <w:r>
        <w:rPr>
          <w:color w:val="auto"/>
          <w:sz w:val="24"/>
          <w:szCs w:val="24"/>
        </w:rPr>
        <w:t>发包人不履行合同约定其他义务的。</w:t>
      </w:r>
    </w:p>
    <w:p>
      <w:pPr>
        <w:pStyle w:val="45"/>
        <w:spacing w:line="362" w:lineRule="exact"/>
        <w:ind w:firstLine="420"/>
        <w:rPr>
          <w:color w:val="auto"/>
          <w:sz w:val="24"/>
          <w:szCs w:val="24"/>
        </w:rPr>
      </w:pPr>
      <w:r>
        <w:rPr>
          <w:rFonts w:ascii="Times New Roman" w:hAnsi="Times New Roman" w:eastAsia="Times New Roman" w:cs="Times New Roman"/>
          <w:color w:val="auto"/>
          <w:sz w:val="24"/>
          <w:szCs w:val="24"/>
          <w:lang w:val="en-US" w:bidi="en-US"/>
        </w:rPr>
        <w:t>22.2.2</w:t>
      </w:r>
      <w:r>
        <w:rPr>
          <w:color w:val="auto"/>
          <w:sz w:val="24"/>
          <w:szCs w:val="24"/>
        </w:rPr>
        <w:t>承包人有权暂停施工</w:t>
      </w:r>
    </w:p>
    <w:p>
      <w:pPr>
        <w:pStyle w:val="45"/>
        <w:spacing w:line="362" w:lineRule="exact"/>
        <w:ind w:firstLine="440"/>
        <w:jc w:val="both"/>
        <w:rPr>
          <w:color w:val="auto"/>
          <w:sz w:val="24"/>
          <w:szCs w:val="24"/>
        </w:rPr>
      </w:pPr>
      <w:r>
        <w:rPr>
          <w:color w:val="auto"/>
          <w:sz w:val="24"/>
          <w:szCs w:val="24"/>
        </w:rPr>
        <w:t>发包人发生除第</w:t>
      </w:r>
      <w:r>
        <w:rPr>
          <w:rFonts w:ascii="Times New Roman" w:hAnsi="Times New Roman" w:eastAsia="Times New Roman" w:cs="Times New Roman"/>
          <w:color w:val="auto"/>
          <w:sz w:val="24"/>
          <w:szCs w:val="24"/>
          <w:lang w:val="en-US" w:bidi="en-US"/>
        </w:rPr>
        <w:t xml:space="preserve">22.2.1 </w:t>
      </w:r>
      <w:r>
        <w:rPr>
          <w:rFonts w:ascii="Times New Roman" w:hAnsi="Times New Roman" w:eastAsia="Times New Roman" w:cs="Times New Roman"/>
          <w:color w:val="auto"/>
          <w:sz w:val="24"/>
          <w:szCs w:val="24"/>
        </w:rPr>
        <w:t>(4)</w:t>
      </w:r>
      <w:r>
        <w:rPr>
          <w:color w:val="auto"/>
          <w:sz w:val="24"/>
          <w:szCs w:val="24"/>
        </w:rPr>
        <w:t>目以外的违约情况时，承包人可向发包人发出通知，要求发包人采取有效措施纠正违约行为。发包人收到承包人通知后的</w:t>
      </w:r>
      <w:r>
        <w:rPr>
          <w:rFonts w:ascii="Times New Roman" w:hAnsi="Times New Roman" w:eastAsia="Times New Roman" w:cs="Times New Roman"/>
          <w:color w:val="auto"/>
          <w:sz w:val="24"/>
          <w:szCs w:val="24"/>
        </w:rPr>
        <w:t>28</w:t>
      </w:r>
      <w:r>
        <w:rPr>
          <w:color w:val="auto"/>
          <w:sz w:val="24"/>
          <w:szCs w:val="24"/>
        </w:rPr>
        <w:t>天内仍不履行合同义 务，承包人有权暂停施工，并通知监理人，发包人应承担由此增加的费用和(或)工期延误，并支付承包人合理利润。</w:t>
      </w:r>
    </w:p>
    <w:p>
      <w:pPr>
        <w:pStyle w:val="45"/>
        <w:spacing w:line="362" w:lineRule="exact"/>
        <w:ind w:firstLine="420"/>
        <w:rPr>
          <w:color w:val="auto"/>
          <w:sz w:val="24"/>
          <w:szCs w:val="24"/>
        </w:rPr>
      </w:pPr>
      <w:r>
        <w:rPr>
          <w:color w:val="auto"/>
          <w:sz w:val="24"/>
          <w:szCs w:val="24"/>
          <w:lang w:val="en-US" w:eastAsia="en-US"/>
        </w:rPr>
        <w:t>22.2.3</w:t>
      </w:r>
      <w:r>
        <w:rPr>
          <w:color w:val="auto"/>
          <w:sz w:val="24"/>
          <w:szCs w:val="24"/>
        </w:rPr>
        <w:t>发包人违约解除合同</w:t>
      </w:r>
    </w:p>
    <w:p>
      <w:pPr>
        <w:pStyle w:val="45"/>
        <w:numPr>
          <w:ilvl w:val="0"/>
          <w:numId w:val="32"/>
        </w:numPr>
        <w:tabs>
          <w:tab w:val="left" w:pos="923"/>
        </w:tabs>
        <w:spacing w:line="367" w:lineRule="exact"/>
        <w:ind w:firstLine="440"/>
        <w:jc w:val="both"/>
        <w:rPr>
          <w:color w:val="auto"/>
          <w:sz w:val="24"/>
          <w:szCs w:val="24"/>
        </w:rPr>
      </w:pPr>
      <w:bookmarkStart w:id="979" w:name="bookmark1525"/>
      <w:bookmarkEnd w:id="979"/>
      <w:r>
        <w:rPr>
          <w:color w:val="auto"/>
          <w:sz w:val="24"/>
          <w:szCs w:val="24"/>
        </w:rPr>
        <w:t>发生第</w:t>
      </w:r>
      <w:r>
        <w:rPr>
          <w:rFonts w:ascii="Times New Roman" w:hAnsi="Times New Roman" w:eastAsia="Times New Roman" w:cs="Times New Roman"/>
          <w:color w:val="auto"/>
          <w:sz w:val="24"/>
          <w:szCs w:val="24"/>
          <w:lang w:val="en-US" w:bidi="en-US"/>
        </w:rPr>
        <w:t xml:space="preserve">22.2.1 </w:t>
      </w:r>
      <w:r>
        <w:rPr>
          <w:rFonts w:ascii="Times New Roman" w:hAnsi="Times New Roman" w:eastAsia="Times New Roman" w:cs="Times New Roman"/>
          <w:color w:val="auto"/>
          <w:sz w:val="24"/>
          <w:szCs w:val="24"/>
        </w:rPr>
        <w:t>(4)</w:t>
      </w:r>
      <w:r>
        <w:rPr>
          <w:color w:val="auto"/>
          <w:sz w:val="24"/>
          <w:szCs w:val="24"/>
        </w:rPr>
        <w:t>目的违约情况时，承包人可书面通知发包人解除合同。</w:t>
      </w:r>
    </w:p>
    <w:p>
      <w:pPr>
        <w:pStyle w:val="45"/>
        <w:numPr>
          <w:ilvl w:val="0"/>
          <w:numId w:val="32"/>
        </w:numPr>
        <w:tabs>
          <w:tab w:val="left" w:pos="920"/>
        </w:tabs>
        <w:spacing w:line="367" w:lineRule="exact"/>
        <w:ind w:firstLine="440"/>
        <w:jc w:val="both"/>
        <w:rPr>
          <w:color w:val="auto"/>
          <w:sz w:val="24"/>
          <w:szCs w:val="24"/>
        </w:rPr>
      </w:pPr>
      <w:bookmarkStart w:id="980" w:name="bookmark1526"/>
      <w:bookmarkEnd w:id="980"/>
      <w:r>
        <w:rPr>
          <w:color w:val="auto"/>
          <w:sz w:val="24"/>
          <w:szCs w:val="24"/>
        </w:rPr>
        <w:t>承包人按</w:t>
      </w:r>
      <w:r>
        <w:rPr>
          <w:rFonts w:ascii="Times New Roman" w:hAnsi="Times New Roman" w:eastAsia="Times New Roman" w:cs="Times New Roman"/>
          <w:color w:val="auto"/>
          <w:sz w:val="24"/>
          <w:szCs w:val="24"/>
          <w:lang w:val="en-US" w:bidi="en-US"/>
        </w:rPr>
        <w:t xml:space="preserve">22. 2. </w:t>
      </w:r>
      <w:r>
        <w:rPr>
          <w:rFonts w:ascii="Times New Roman" w:hAnsi="Times New Roman" w:eastAsia="Times New Roman" w:cs="Times New Roman"/>
          <w:color w:val="auto"/>
          <w:sz w:val="24"/>
          <w:szCs w:val="24"/>
        </w:rPr>
        <w:t>2</w:t>
      </w:r>
      <w:r>
        <w:rPr>
          <w:color w:val="auto"/>
          <w:sz w:val="24"/>
          <w:szCs w:val="24"/>
        </w:rPr>
        <w:t>项暂停施工</w:t>
      </w:r>
      <w:r>
        <w:rPr>
          <w:rFonts w:ascii="Times New Roman" w:hAnsi="Times New Roman" w:eastAsia="Times New Roman" w:cs="Times New Roman"/>
          <w:color w:val="auto"/>
          <w:sz w:val="24"/>
          <w:szCs w:val="24"/>
        </w:rPr>
        <w:t>28</w:t>
      </w:r>
      <w:r>
        <w:rPr>
          <w:color w:val="auto"/>
          <w:sz w:val="24"/>
          <w:szCs w:val="24"/>
        </w:rPr>
        <w:t>天后，发包人仍不纠正违约行为的，承包人可向发包人发出解除合同通知。但承包人的这一行动不免除发包人承担的违约责任，也不影响承包人根据合同约定享有的索赔权利。</w:t>
      </w:r>
    </w:p>
    <w:p>
      <w:pPr>
        <w:pStyle w:val="45"/>
        <w:spacing w:line="374"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22.2.4</w:t>
      </w:r>
      <w:r>
        <w:rPr>
          <w:color w:val="auto"/>
          <w:sz w:val="24"/>
          <w:szCs w:val="24"/>
        </w:rPr>
        <w:t>解除合同后的付款</w:t>
      </w:r>
    </w:p>
    <w:p>
      <w:pPr>
        <w:pStyle w:val="45"/>
        <w:spacing w:line="374" w:lineRule="exact"/>
        <w:ind w:firstLine="440"/>
        <w:jc w:val="both"/>
        <w:rPr>
          <w:color w:val="auto"/>
          <w:sz w:val="24"/>
          <w:szCs w:val="24"/>
        </w:rPr>
      </w:pPr>
      <w:r>
        <w:rPr>
          <w:color w:val="auto"/>
          <w:sz w:val="24"/>
          <w:szCs w:val="24"/>
        </w:rPr>
        <w:t>因发包人违约解除合同的，发包人应在解除合同后</w:t>
      </w:r>
      <w:r>
        <w:rPr>
          <w:rFonts w:ascii="Times New Roman" w:hAnsi="Times New Roman" w:eastAsia="Times New Roman" w:cs="Times New Roman"/>
          <w:color w:val="auto"/>
          <w:sz w:val="24"/>
          <w:szCs w:val="24"/>
        </w:rPr>
        <w:t>28</w:t>
      </w:r>
      <w:r>
        <w:rPr>
          <w:color w:val="auto"/>
          <w:sz w:val="24"/>
          <w:szCs w:val="24"/>
        </w:rPr>
        <w:t>天内向承包人支付下列金额，承包人应在此期限内及时向发包人提交要求支付下列金额的有关资料和凭证：</w:t>
      </w:r>
    </w:p>
    <w:p>
      <w:pPr>
        <w:pStyle w:val="45"/>
        <w:numPr>
          <w:ilvl w:val="0"/>
          <w:numId w:val="33"/>
        </w:numPr>
        <w:tabs>
          <w:tab w:val="left" w:pos="903"/>
        </w:tabs>
        <w:spacing w:line="374" w:lineRule="exact"/>
        <w:ind w:firstLine="420"/>
        <w:rPr>
          <w:color w:val="auto"/>
          <w:sz w:val="24"/>
          <w:szCs w:val="24"/>
        </w:rPr>
      </w:pPr>
      <w:bookmarkStart w:id="981" w:name="bookmark1527"/>
      <w:bookmarkEnd w:id="981"/>
      <w:r>
        <w:rPr>
          <w:color w:val="auto"/>
          <w:sz w:val="24"/>
          <w:szCs w:val="24"/>
        </w:rPr>
        <w:t>合同解除日以前所完成工作的价款；</w:t>
      </w:r>
    </w:p>
    <w:p>
      <w:pPr>
        <w:pStyle w:val="45"/>
        <w:numPr>
          <w:ilvl w:val="0"/>
          <w:numId w:val="33"/>
        </w:numPr>
        <w:tabs>
          <w:tab w:val="left" w:pos="920"/>
        </w:tabs>
        <w:spacing w:line="365" w:lineRule="exact"/>
        <w:ind w:firstLine="440"/>
        <w:jc w:val="both"/>
        <w:rPr>
          <w:color w:val="auto"/>
          <w:sz w:val="24"/>
          <w:szCs w:val="24"/>
        </w:rPr>
      </w:pPr>
      <w:bookmarkStart w:id="982" w:name="bookmark1528"/>
      <w:bookmarkEnd w:id="982"/>
      <w:r>
        <w:rPr>
          <w:color w:val="auto"/>
          <w:sz w:val="24"/>
          <w:szCs w:val="24"/>
        </w:rPr>
        <w:t>承包人为该工程施工订购并已付款的材料、工程设备和其他物品的金额。发包人付还后，该材料、工程设备和其他物品归发包人所有；</w:t>
      </w:r>
    </w:p>
    <w:p>
      <w:pPr>
        <w:pStyle w:val="45"/>
        <w:numPr>
          <w:ilvl w:val="0"/>
          <w:numId w:val="33"/>
        </w:numPr>
        <w:tabs>
          <w:tab w:val="left" w:pos="903"/>
        </w:tabs>
        <w:spacing w:line="365" w:lineRule="exact"/>
        <w:ind w:firstLine="420"/>
        <w:rPr>
          <w:color w:val="auto"/>
          <w:sz w:val="24"/>
          <w:szCs w:val="24"/>
        </w:rPr>
      </w:pPr>
      <w:bookmarkStart w:id="983" w:name="bookmark1529"/>
      <w:bookmarkEnd w:id="983"/>
      <w:r>
        <w:rPr>
          <w:color w:val="auto"/>
          <w:sz w:val="24"/>
          <w:szCs w:val="24"/>
        </w:rPr>
        <w:t>承包人为完成工程所发生的，而发包人未支付的金额；</w:t>
      </w:r>
    </w:p>
    <w:p>
      <w:pPr>
        <w:pStyle w:val="45"/>
        <w:numPr>
          <w:ilvl w:val="0"/>
          <w:numId w:val="33"/>
        </w:numPr>
        <w:tabs>
          <w:tab w:val="left" w:pos="903"/>
        </w:tabs>
        <w:spacing w:line="358" w:lineRule="exact"/>
        <w:ind w:firstLine="420"/>
        <w:rPr>
          <w:color w:val="auto"/>
          <w:sz w:val="24"/>
          <w:szCs w:val="24"/>
        </w:rPr>
      </w:pPr>
      <w:bookmarkStart w:id="984" w:name="bookmark1530"/>
      <w:bookmarkEnd w:id="984"/>
      <w:r>
        <w:rPr>
          <w:color w:val="auto"/>
          <w:sz w:val="24"/>
          <w:szCs w:val="24"/>
        </w:rPr>
        <w:t>承包人撤离施工场地以及遣散承包人人员的金额；</w:t>
      </w:r>
    </w:p>
    <w:p>
      <w:pPr>
        <w:pStyle w:val="45"/>
        <w:numPr>
          <w:ilvl w:val="0"/>
          <w:numId w:val="33"/>
        </w:numPr>
        <w:tabs>
          <w:tab w:val="left" w:pos="903"/>
        </w:tabs>
        <w:spacing w:line="358" w:lineRule="exact"/>
        <w:ind w:firstLine="420"/>
        <w:rPr>
          <w:color w:val="auto"/>
          <w:sz w:val="24"/>
          <w:szCs w:val="24"/>
        </w:rPr>
      </w:pPr>
      <w:bookmarkStart w:id="985" w:name="bookmark1531"/>
      <w:bookmarkEnd w:id="985"/>
      <w:r>
        <w:rPr>
          <w:color w:val="auto"/>
          <w:sz w:val="24"/>
          <w:szCs w:val="24"/>
        </w:rPr>
        <w:t>由于解除合同应赔偿的承包人损失；</w:t>
      </w:r>
    </w:p>
    <w:p>
      <w:pPr>
        <w:pStyle w:val="45"/>
        <w:numPr>
          <w:ilvl w:val="0"/>
          <w:numId w:val="33"/>
        </w:numPr>
        <w:tabs>
          <w:tab w:val="left" w:pos="903"/>
        </w:tabs>
        <w:spacing w:line="358" w:lineRule="exact"/>
        <w:ind w:firstLine="420"/>
        <w:rPr>
          <w:color w:val="auto"/>
          <w:sz w:val="24"/>
          <w:szCs w:val="24"/>
        </w:rPr>
      </w:pPr>
      <w:bookmarkStart w:id="986" w:name="bookmark1532"/>
      <w:bookmarkEnd w:id="986"/>
      <w:r>
        <w:rPr>
          <w:color w:val="auto"/>
          <w:sz w:val="24"/>
          <w:szCs w:val="24"/>
        </w:rPr>
        <w:t>按合同约定在合同解除日前应支付给承包人的其他金额。</w:t>
      </w:r>
    </w:p>
    <w:p>
      <w:pPr>
        <w:pStyle w:val="45"/>
        <w:spacing w:line="358" w:lineRule="exact"/>
        <w:ind w:firstLine="440"/>
        <w:jc w:val="both"/>
        <w:rPr>
          <w:color w:val="auto"/>
          <w:sz w:val="24"/>
          <w:szCs w:val="24"/>
        </w:rPr>
      </w:pPr>
      <w:r>
        <w:rPr>
          <w:color w:val="auto"/>
          <w:sz w:val="24"/>
          <w:szCs w:val="24"/>
        </w:rPr>
        <w:t>发包人应按本项约定支付上述金额并退还质量保证金和履约担保，但有权要求承包人支付应偿还给发包人的各项金额。</w:t>
      </w:r>
    </w:p>
    <w:p>
      <w:pPr>
        <w:pStyle w:val="45"/>
        <w:spacing w:line="362" w:lineRule="exact"/>
        <w:ind w:firstLine="420"/>
        <w:rPr>
          <w:color w:val="auto"/>
          <w:sz w:val="24"/>
          <w:szCs w:val="24"/>
          <w:lang w:val="en-US"/>
        </w:rPr>
      </w:pPr>
      <w:r>
        <w:rPr>
          <w:color w:val="auto"/>
          <w:sz w:val="24"/>
          <w:szCs w:val="24"/>
          <w:lang w:val="en-US"/>
        </w:rPr>
        <w:t>22.2.5解除合同后的承包人撤离</w:t>
      </w:r>
    </w:p>
    <w:p>
      <w:pPr>
        <w:pStyle w:val="45"/>
        <w:spacing w:after="180" w:line="348" w:lineRule="exact"/>
        <w:ind w:firstLine="440"/>
        <w:jc w:val="both"/>
        <w:rPr>
          <w:color w:val="auto"/>
          <w:sz w:val="24"/>
          <w:szCs w:val="24"/>
        </w:rPr>
      </w:pPr>
      <w:r>
        <w:rPr>
          <w:color w:val="auto"/>
          <w:sz w:val="24"/>
          <w:szCs w:val="24"/>
        </w:rPr>
        <w:t>因发包人违约而解除合同后，承包人应妥善做好已竣工工程和已购材料、设备的保护和移交工作，按发包人要求将承包人设备和人员撤出施工场地。承包人撤出施工场地应遵 守第</w:t>
      </w:r>
      <w:r>
        <w:rPr>
          <w:rFonts w:ascii="Times New Roman" w:hAnsi="Times New Roman" w:eastAsia="Times New Roman" w:cs="Times New Roman"/>
          <w:color w:val="auto"/>
          <w:sz w:val="24"/>
          <w:szCs w:val="24"/>
          <w:lang w:val="en-US" w:bidi="en-US"/>
        </w:rPr>
        <w:t xml:space="preserve">18. 7. </w:t>
      </w:r>
      <w:r>
        <w:rPr>
          <w:rFonts w:ascii="Times New Roman" w:hAnsi="Times New Roman" w:eastAsia="Times New Roman" w:cs="Times New Roman"/>
          <w:color w:val="auto"/>
          <w:sz w:val="24"/>
          <w:szCs w:val="24"/>
        </w:rPr>
        <w:t>1</w:t>
      </w:r>
      <w:r>
        <w:rPr>
          <w:color w:val="auto"/>
          <w:sz w:val="24"/>
          <w:szCs w:val="24"/>
        </w:rPr>
        <w:t>项的约定，发包人应为承包人撤出提供必要条件。</w:t>
      </w:r>
    </w:p>
    <w:p>
      <w:pPr>
        <w:pStyle w:val="6"/>
        <w:ind w:left="0" w:leftChars="0" w:firstLine="0" w:firstLineChars="0"/>
        <w:rPr>
          <w:color w:val="auto"/>
          <w:sz w:val="24"/>
          <w:szCs w:val="24"/>
          <w:lang w:eastAsia="zh-CN"/>
        </w:rPr>
      </w:pPr>
      <w:bookmarkStart w:id="987" w:name="bookmark1535"/>
      <w:bookmarkStart w:id="988" w:name="bookmark1534"/>
      <w:bookmarkStart w:id="989" w:name="bookmark1533"/>
      <w:bookmarkStart w:id="990" w:name="_Toc9266"/>
      <w:r>
        <w:rPr>
          <w:color w:val="auto"/>
          <w:sz w:val="24"/>
          <w:szCs w:val="24"/>
          <w:lang w:eastAsia="zh-CN"/>
        </w:rPr>
        <w:t>22.3第三人造成的违约</w:t>
      </w:r>
      <w:bookmarkEnd w:id="987"/>
      <w:bookmarkEnd w:id="988"/>
      <w:bookmarkEnd w:id="989"/>
      <w:bookmarkEnd w:id="990"/>
    </w:p>
    <w:p>
      <w:pPr>
        <w:pStyle w:val="45"/>
        <w:spacing w:after="260" w:line="350" w:lineRule="exact"/>
        <w:ind w:firstLine="440"/>
        <w:jc w:val="both"/>
        <w:rPr>
          <w:color w:val="auto"/>
          <w:sz w:val="24"/>
          <w:szCs w:val="24"/>
        </w:rPr>
      </w:pPr>
      <w:r>
        <w:rPr>
          <w:color w:val="auto"/>
          <w:sz w:val="24"/>
          <w:szCs w:val="24"/>
        </w:rPr>
        <w:t>在履行合同过程中，一方当事人因第三人的原因造成违约的，应当向对方当事人承担违约责任。一方当事人和第三人之间的纠纷，依照法律规定或者按照约定解决。</w:t>
      </w:r>
    </w:p>
    <w:p>
      <w:pPr>
        <w:pStyle w:val="5"/>
        <w:rPr>
          <w:rFonts w:hint="eastAsia"/>
          <w:color w:val="auto"/>
          <w:sz w:val="24"/>
          <w:szCs w:val="24"/>
          <w:lang w:eastAsia="zh-CN"/>
        </w:rPr>
      </w:pPr>
      <w:bookmarkStart w:id="991" w:name="_Toc26868"/>
      <w:bookmarkStart w:id="992" w:name="_Toc1103187323"/>
      <w:bookmarkStart w:id="993" w:name="_Toc9507"/>
      <w:r>
        <w:rPr>
          <w:rFonts w:hint="eastAsia"/>
          <w:color w:val="auto"/>
          <w:sz w:val="24"/>
          <w:szCs w:val="24"/>
          <w:lang w:eastAsia="zh-CN"/>
        </w:rPr>
        <w:t>23.索赔</w:t>
      </w:r>
      <w:bookmarkEnd w:id="991"/>
      <w:bookmarkEnd w:id="992"/>
      <w:bookmarkEnd w:id="993"/>
    </w:p>
    <w:p>
      <w:pPr>
        <w:pStyle w:val="6"/>
        <w:ind w:left="0" w:leftChars="0" w:firstLine="0" w:firstLineChars="0"/>
        <w:rPr>
          <w:color w:val="auto"/>
          <w:sz w:val="24"/>
          <w:szCs w:val="24"/>
          <w:lang w:eastAsia="zh-CN"/>
        </w:rPr>
      </w:pPr>
      <w:bookmarkStart w:id="994" w:name="bookmark1537"/>
      <w:bookmarkStart w:id="995" w:name="_Toc12223"/>
      <w:bookmarkStart w:id="996" w:name="bookmark1538"/>
      <w:bookmarkStart w:id="997" w:name="bookmark1536"/>
      <w:r>
        <w:rPr>
          <w:color w:val="auto"/>
          <w:sz w:val="24"/>
          <w:szCs w:val="24"/>
          <w:lang w:eastAsia="zh-CN"/>
        </w:rPr>
        <w:t>23.1承包人索赔的提出</w:t>
      </w:r>
      <w:bookmarkEnd w:id="994"/>
      <w:bookmarkEnd w:id="995"/>
      <w:bookmarkEnd w:id="996"/>
      <w:bookmarkEnd w:id="997"/>
    </w:p>
    <w:p>
      <w:pPr>
        <w:ind w:firstLine="480" w:firstLineChars="200"/>
        <w:rPr>
          <w:color w:val="auto"/>
          <w:sz w:val="24"/>
          <w:szCs w:val="24"/>
          <w:lang w:eastAsia="zh-CN"/>
        </w:rPr>
      </w:pPr>
      <w:r>
        <w:rPr>
          <w:color w:val="auto"/>
          <w:sz w:val="24"/>
          <w:szCs w:val="24"/>
          <w:lang w:eastAsia="zh-CN"/>
        </w:rPr>
        <w:t>根据合同约定，承包人认为有权得到追加付款和(或)延长工期的，应按以下程序向发包人提出索赔：</w:t>
      </w:r>
    </w:p>
    <w:p>
      <w:pPr>
        <w:pStyle w:val="45"/>
        <w:numPr>
          <w:ilvl w:val="0"/>
          <w:numId w:val="34"/>
        </w:numPr>
        <w:tabs>
          <w:tab w:val="left" w:pos="918"/>
        </w:tabs>
        <w:spacing w:line="362" w:lineRule="exact"/>
        <w:ind w:firstLine="440"/>
        <w:jc w:val="both"/>
        <w:rPr>
          <w:color w:val="auto"/>
          <w:sz w:val="24"/>
          <w:szCs w:val="24"/>
        </w:rPr>
      </w:pPr>
      <w:bookmarkStart w:id="998" w:name="bookmark1539"/>
      <w:bookmarkEnd w:id="998"/>
      <w:r>
        <w:rPr>
          <w:color w:val="auto"/>
          <w:sz w:val="24"/>
          <w:szCs w:val="24"/>
        </w:rPr>
        <w:t>承包人应在知道或应当知道索赔事件发生后</w:t>
      </w:r>
      <w:r>
        <w:rPr>
          <w:rFonts w:ascii="Times New Roman" w:hAnsi="Times New Roman" w:eastAsia="Times New Roman" w:cs="Times New Roman"/>
          <w:color w:val="auto"/>
          <w:sz w:val="24"/>
          <w:szCs w:val="24"/>
        </w:rPr>
        <w:t>28</w:t>
      </w:r>
      <w:r>
        <w:rPr>
          <w:color w:val="auto"/>
          <w:sz w:val="24"/>
          <w:szCs w:val="24"/>
        </w:rPr>
        <w:t>天内，向监理人递交索赔意向通知书，并说明发生索赔事件的事由。承包人未在前述</w:t>
      </w:r>
      <w:r>
        <w:rPr>
          <w:rFonts w:ascii="Times New Roman" w:hAnsi="Times New Roman" w:eastAsia="Times New Roman" w:cs="Times New Roman"/>
          <w:color w:val="auto"/>
          <w:sz w:val="24"/>
          <w:szCs w:val="24"/>
        </w:rPr>
        <w:t>28</w:t>
      </w:r>
      <w:r>
        <w:rPr>
          <w:color w:val="auto"/>
          <w:sz w:val="24"/>
          <w:szCs w:val="24"/>
        </w:rPr>
        <w:t>天内发出索赔意向通知书的，丧失要求追加付款和(或)延长工期的权利；</w:t>
      </w:r>
    </w:p>
    <w:p>
      <w:pPr>
        <w:pStyle w:val="45"/>
        <w:numPr>
          <w:ilvl w:val="0"/>
          <w:numId w:val="34"/>
        </w:numPr>
        <w:tabs>
          <w:tab w:val="left" w:pos="918"/>
        </w:tabs>
        <w:spacing w:line="354" w:lineRule="exact"/>
        <w:ind w:firstLine="440"/>
        <w:jc w:val="both"/>
        <w:rPr>
          <w:color w:val="auto"/>
          <w:sz w:val="24"/>
          <w:szCs w:val="24"/>
        </w:rPr>
      </w:pPr>
      <w:bookmarkStart w:id="999" w:name="bookmark1540"/>
      <w:bookmarkEnd w:id="999"/>
      <w:r>
        <w:rPr>
          <w:color w:val="auto"/>
          <w:sz w:val="24"/>
          <w:szCs w:val="24"/>
        </w:rPr>
        <w:t>承包人应在发出索赔意向通知书后</w:t>
      </w:r>
      <w:r>
        <w:rPr>
          <w:rFonts w:ascii="Times New Roman" w:hAnsi="Times New Roman" w:eastAsia="Times New Roman" w:cs="Times New Roman"/>
          <w:color w:val="auto"/>
          <w:sz w:val="24"/>
          <w:szCs w:val="24"/>
        </w:rPr>
        <w:t>28</w:t>
      </w:r>
      <w:r>
        <w:rPr>
          <w:color w:val="auto"/>
          <w:sz w:val="24"/>
          <w:szCs w:val="24"/>
        </w:rPr>
        <w:t>天内，向监理人正式递交索赔通知书。索赔通知书应详细说明索赔理由以及要求追加的付款金额和(或)延长的工期，并附必要的记 录和证明材料；</w:t>
      </w:r>
    </w:p>
    <w:p>
      <w:pPr>
        <w:pStyle w:val="45"/>
        <w:numPr>
          <w:ilvl w:val="0"/>
          <w:numId w:val="34"/>
        </w:numPr>
        <w:tabs>
          <w:tab w:val="left" w:pos="903"/>
        </w:tabs>
        <w:spacing w:line="354" w:lineRule="exact"/>
        <w:ind w:firstLine="440"/>
        <w:jc w:val="both"/>
        <w:rPr>
          <w:color w:val="auto"/>
          <w:sz w:val="24"/>
          <w:szCs w:val="24"/>
        </w:rPr>
      </w:pPr>
      <w:bookmarkStart w:id="1000" w:name="bookmark1541"/>
      <w:bookmarkEnd w:id="1000"/>
      <w:r>
        <w:rPr>
          <w:color w:val="auto"/>
          <w:sz w:val="24"/>
          <w:szCs w:val="24"/>
        </w:rPr>
        <w:t>索赔事件具有连续影响的，承包人应按合理时间间隔继续递交延续索赔通知，说明连续影响的实际情况和记录，列出累计的追加付款金额和(或)工期延长天数；</w:t>
      </w:r>
    </w:p>
    <w:p>
      <w:pPr>
        <w:pStyle w:val="45"/>
        <w:numPr>
          <w:ilvl w:val="0"/>
          <w:numId w:val="34"/>
        </w:numPr>
        <w:tabs>
          <w:tab w:val="left" w:pos="920"/>
        </w:tabs>
        <w:spacing w:after="120" w:line="367" w:lineRule="exact"/>
        <w:ind w:firstLine="440"/>
        <w:jc w:val="both"/>
        <w:rPr>
          <w:color w:val="auto"/>
          <w:sz w:val="24"/>
          <w:szCs w:val="24"/>
        </w:rPr>
      </w:pPr>
      <w:bookmarkStart w:id="1001" w:name="bookmark1542"/>
      <w:bookmarkEnd w:id="1001"/>
      <w:r>
        <w:rPr>
          <w:color w:val="auto"/>
          <w:sz w:val="24"/>
          <w:szCs w:val="24"/>
        </w:rPr>
        <w:t>在索赔事件影响结束后的</w:t>
      </w:r>
      <w:r>
        <w:rPr>
          <w:rFonts w:ascii="Times New Roman" w:hAnsi="Times New Roman" w:eastAsia="Times New Roman" w:cs="Times New Roman"/>
          <w:color w:val="auto"/>
          <w:sz w:val="24"/>
          <w:szCs w:val="24"/>
        </w:rPr>
        <w:t>28</w:t>
      </w:r>
      <w:r>
        <w:rPr>
          <w:color w:val="auto"/>
          <w:sz w:val="24"/>
          <w:szCs w:val="24"/>
        </w:rPr>
        <w:t>天内，承包人应向监理人递交最终索赔通知书，说明最终要求索赔的追加付款金额和延长的工期，并附必要的记录和证明材料。</w:t>
      </w:r>
    </w:p>
    <w:p>
      <w:pPr>
        <w:pStyle w:val="6"/>
        <w:ind w:left="0" w:leftChars="0" w:firstLine="0" w:firstLineChars="0"/>
        <w:rPr>
          <w:color w:val="auto"/>
          <w:sz w:val="24"/>
          <w:szCs w:val="24"/>
          <w:lang w:eastAsia="zh-CN"/>
        </w:rPr>
      </w:pPr>
      <w:bookmarkStart w:id="1002" w:name="bookmark1544"/>
      <w:bookmarkStart w:id="1003" w:name="bookmark1545"/>
      <w:bookmarkStart w:id="1004" w:name="bookmark1543"/>
      <w:bookmarkStart w:id="1005" w:name="_Toc5534"/>
      <w:r>
        <w:rPr>
          <w:color w:val="auto"/>
          <w:sz w:val="24"/>
          <w:szCs w:val="24"/>
          <w:lang w:eastAsia="zh-CN"/>
        </w:rPr>
        <w:t>23.2承包人索赔处理程序</w:t>
      </w:r>
      <w:bookmarkEnd w:id="1002"/>
      <w:bookmarkEnd w:id="1003"/>
      <w:bookmarkEnd w:id="1004"/>
      <w:bookmarkEnd w:id="1005"/>
    </w:p>
    <w:p>
      <w:pPr>
        <w:pStyle w:val="45"/>
        <w:numPr>
          <w:ilvl w:val="0"/>
          <w:numId w:val="35"/>
        </w:numPr>
        <w:tabs>
          <w:tab w:val="left" w:pos="922"/>
        </w:tabs>
        <w:spacing w:line="348" w:lineRule="exact"/>
        <w:ind w:firstLine="440"/>
        <w:jc w:val="both"/>
        <w:rPr>
          <w:color w:val="auto"/>
          <w:sz w:val="24"/>
          <w:szCs w:val="24"/>
        </w:rPr>
      </w:pPr>
      <w:bookmarkStart w:id="1006" w:name="bookmark1546"/>
      <w:bookmarkEnd w:id="1006"/>
      <w:r>
        <w:rPr>
          <w:color w:val="auto"/>
          <w:sz w:val="24"/>
          <w:szCs w:val="24"/>
        </w:rPr>
        <w:t>监理人收到承包人提交的索赔通知书后，应及时审查索赔通知书的内容、查验承包人的记录和证明材料，必要时监理人可要求承包人提交全部原始记录副本。</w:t>
      </w:r>
    </w:p>
    <w:p>
      <w:pPr>
        <w:pStyle w:val="45"/>
        <w:numPr>
          <w:ilvl w:val="0"/>
          <w:numId w:val="35"/>
        </w:numPr>
        <w:tabs>
          <w:tab w:val="left" w:pos="918"/>
        </w:tabs>
        <w:spacing w:line="361" w:lineRule="exact"/>
        <w:ind w:firstLine="440"/>
        <w:jc w:val="both"/>
        <w:rPr>
          <w:color w:val="auto"/>
          <w:sz w:val="24"/>
          <w:szCs w:val="24"/>
        </w:rPr>
      </w:pPr>
      <w:bookmarkStart w:id="1007" w:name="bookmark1547"/>
      <w:bookmarkEnd w:id="1007"/>
      <w:r>
        <w:rPr>
          <w:color w:val="auto"/>
          <w:sz w:val="24"/>
          <w:szCs w:val="24"/>
        </w:rPr>
        <w:t>监理人应按第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color w:val="auto"/>
          <w:sz w:val="24"/>
          <w:szCs w:val="24"/>
        </w:rPr>
        <w:t>款商定或确定追加的付款和(或)延长的工期，并在收到上述索赔通知书或有关索赔的进一步证明材料后的</w:t>
      </w:r>
      <w:r>
        <w:rPr>
          <w:rFonts w:ascii="Times New Roman" w:hAnsi="Times New Roman" w:eastAsia="Times New Roman" w:cs="Times New Roman"/>
          <w:color w:val="auto"/>
          <w:sz w:val="24"/>
          <w:szCs w:val="24"/>
        </w:rPr>
        <w:t>42</w:t>
      </w:r>
      <w:r>
        <w:rPr>
          <w:color w:val="auto"/>
          <w:sz w:val="24"/>
          <w:szCs w:val="24"/>
        </w:rPr>
        <w:t>天内，将索赔处理结果答复承包人。</w:t>
      </w:r>
    </w:p>
    <w:p>
      <w:pPr>
        <w:pStyle w:val="45"/>
        <w:numPr>
          <w:ilvl w:val="0"/>
          <w:numId w:val="35"/>
        </w:numPr>
        <w:tabs>
          <w:tab w:val="left" w:pos="920"/>
        </w:tabs>
        <w:spacing w:after="120" w:line="361" w:lineRule="exact"/>
        <w:ind w:firstLine="440"/>
        <w:jc w:val="both"/>
        <w:rPr>
          <w:color w:val="auto"/>
          <w:sz w:val="24"/>
          <w:szCs w:val="24"/>
        </w:rPr>
      </w:pPr>
      <w:bookmarkStart w:id="1008" w:name="bookmark1548"/>
      <w:bookmarkEnd w:id="1008"/>
      <w:r>
        <w:rPr>
          <w:color w:val="auto"/>
          <w:sz w:val="24"/>
          <w:szCs w:val="24"/>
        </w:rPr>
        <w:t>承包人接受索赔处理结果的，发包人应在作出索赔处理结果答复后</w:t>
      </w:r>
      <w:r>
        <w:rPr>
          <w:rFonts w:ascii="Times New Roman" w:hAnsi="Times New Roman" w:eastAsia="Times New Roman" w:cs="Times New Roman"/>
          <w:color w:val="auto"/>
          <w:sz w:val="24"/>
          <w:szCs w:val="24"/>
        </w:rPr>
        <w:t>28</w:t>
      </w:r>
      <w:r>
        <w:rPr>
          <w:color w:val="auto"/>
          <w:sz w:val="24"/>
          <w:szCs w:val="24"/>
        </w:rPr>
        <w:t>天内完成赔付。承包人不接受索赔处理结果的，按第</w:t>
      </w:r>
      <w:r>
        <w:rPr>
          <w:rFonts w:ascii="Times New Roman" w:hAnsi="Times New Roman" w:eastAsia="Times New Roman" w:cs="Times New Roman"/>
          <w:color w:val="auto"/>
          <w:sz w:val="24"/>
          <w:szCs w:val="24"/>
        </w:rPr>
        <w:t>24</w:t>
      </w:r>
      <w:r>
        <w:rPr>
          <w:color w:val="auto"/>
          <w:sz w:val="24"/>
          <w:szCs w:val="24"/>
        </w:rPr>
        <w:t>条的约定办理。</w:t>
      </w:r>
    </w:p>
    <w:p>
      <w:pPr>
        <w:pStyle w:val="6"/>
        <w:ind w:left="0" w:leftChars="0" w:firstLine="0" w:firstLineChars="0"/>
        <w:rPr>
          <w:color w:val="auto"/>
          <w:sz w:val="24"/>
          <w:szCs w:val="24"/>
          <w:lang w:eastAsia="zh-CN"/>
        </w:rPr>
      </w:pPr>
      <w:bookmarkStart w:id="1009" w:name="bookmark1551"/>
      <w:bookmarkStart w:id="1010" w:name="_Toc2285"/>
      <w:bookmarkStart w:id="1011" w:name="bookmark1549"/>
      <w:bookmarkStart w:id="1012" w:name="bookmark1550"/>
      <w:r>
        <w:rPr>
          <w:color w:val="auto"/>
          <w:sz w:val="24"/>
          <w:szCs w:val="24"/>
          <w:lang w:eastAsia="zh-CN"/>
        </w:rPr>
        <w:t>23.3承包人提出索赔的期限</w:t>
      </w:r>
      <w:bookmarkEnd w:id="1009"/>
      <w:bookmarkEnd w:id="1010"/>
      <w:bookmarkEnd w:id="1011"/>
      <w:bookmarkEnd w:id="1012"/>
    </w:p>
    <w:p>
      <w:pPr>
        <w:pStyle w:val="45"/>
        <w:numPr>
          <w:ilvl w:val="0"/>
          <w:numId w:val="36"/>
        </w:numPr>
        <w:tabs>
          <w:tab w:val="left" w:pos="855"/>
        </w:tabs>
        <w:spacing w:line="362" w:lineRule="exact"/>
        <w:ind w:firstLine="440"/>
        <w:jc w:val="both"/>
        <w:rPr>
          <w:color w:val="auto"/>
          <w:sz w:val="24"/>
          <w:szCs w:val="24"/>
        </w:rPr>
      </w:pPr>
      <w:bookmarkStart w:id="1013" w:name="bookmark1552"/>
      <w:bookmarkEnd w:id="1013"/>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1</w:t>
      </w:r>
      <w:r>
        <w:rPr>
          <w:color w:val="auto"/>
          <w:sz w:val="24"/>
          <w:szCs w:val="24"/>
        </w:rPr>
        <w:t>承包人按第</w:t>
      </w:r>
      <w:r>
        <w:rPr>
          <w:rFonts w:ascii="Times New Roman" w:hAnsi="Times New Roman" w:eastAsia="Times New Roman" w:cs="Times New Roman"/>
          <w:color w:val="auto"/>
          <w:sz w:val="24"/>
          <w:szCs w:val="24"/>
          <w:lang w:val="en-US" w:bidi="en-US"/>
        </w:rPr>
        <w:t xml:space="preserve">17. </w:t>
      </w:r>
      <w:r>
        <w:rPr>
          <w:rFonts w:ascii="Times New Roman" w:hAnsi="Times New Roman" w:eastAsia="Times New Roman" w:cs="Times New Roman"/>
          <w:color w:val="auto"/>
          <w:sz w:val="24"/>
          <w:szCs w:val="24"/>
        </w:rPr>
        <w:t>5</w:t>
      </w:r>
      <w:r>
        <w:rPr>
          <w:color w:val="auto"/>
          <w:sz w:val="24"/>
          <w:szCs w:val="24"/>
        </w:rPr>
        <w:t>款的约定接受了完工付款证书后，应被认为已无权再提出在合同工程完工证书颁发前所发生的任何索赔。</w:t>
      </w:r>
    </w:p>
    <w:p>
      <w:pPr>
        <w:pStyle w:val="45"/>
        <w:spacing w:after="120" w:line="372"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23.3.2</w:t>
      </w:r>
      <w:r>
        <w:rPr>
          <w:color w:val="auto"/>
          <w:sz w:val="24"/>
          <w:szCs w:val="24"/>
        </w:rPr>
        <w:t>承包人按第</w:t>
      </w:r>
      <w:r>
        <w:rPr>
          <w:rFonts w:ascii="Times New Roman" w:hAnsi="Times New Roman" w:eastAsia="Times New Roman" w:cs="Times New Roman"/>
          <w:color w:val="auto"/>
          <w:sz w:val="24"/>
          <w:szCs w:val="24"/>
          <w:lang w:val="en-US" w:bidi="en-US"/>
        </w:rPr>
        <w:t xml:space="preserve">17. </w:t>
      </w:r>
      <w:r>
        <w:rPr>
          <w:rFonts w:ascii="Times New Roman" w:hAnsi="Times New Roman" w:eastAsia="Times New Roman" w:cs="Times New Roman"/>
          <w:color w:val="auto"/>
          <w:sz w:val="24"/>
          <w:szCs w:val="24"/>
        </w:rPr>
        <w:t>6</w:t>
      </w:r>
      <w:r>
        <w:rPr>
          <w:color w:val="auto"/>
          <w:sz w:val="24"/>
          <w:szCs w:val="24"/>
        </w:rPr>
        <w:t>款的约定提交的最终结清申请单中，只限于提出合同工程完工证书颁发后发生的索赔。提出索赔的期限自接受最终结清证书时终止。</w:t>
      </w:r>
    </w:p>
    <w:p>
      <w:pPr>
        <w:pStyle w:val="6"/>
        <w:ind w:left="0" w:leftChars="0" w:firstLine="0" w:firstLineChars="0"/>
        <w:rPr>
          <w:color w:val="auto"/>
          <w:sz w:val="24"/>
          <w:szCs w:val="24"/>
          <w:lang w:eastAsia="zh-CN"/>
        </w:rPr>
      </w:pPr>
      <w:bookmarkStart w:id="1014" w:name="bookmark1554"/>
      <w:bookmarkStart w:id="1015" w:name="bookmark1553"/>
      <w:bookmarkStart w:id="1016" w:name="bookmark1555"/>
      <w:bookmarkStart w:id="1017" w:name="_Toc1321"/>
      <w:r>
        <w:rPr>
          <w:color w:val="auto"/>
          <w:sz w:val="24"/>
          <w:szCs w:val="24"/>
          <w:lang w:eastAsia="zh-CN"/>
        </w:rPr>
        <w:t>23.4发包人的索赔</w:t>
      </w:r>
      <w:bookmarkEnd w:id="1014"/>
      <w:bookmarkEnd w:id="1015"/>
      <w:bookmarkEnd w:id="1016"/>
      <w:bookmarkEnd w:id="1017"/>
    </w:p>
    <w:p>
      <w:pPr>
        <w:pStyle w:val="45"/>
        <w:spacing w:line="367"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23.4.1</w:t>
      </w:r>
      <w:r>
        <w:rPr>
          <w:color w:val="auto"/>
          <w:sz w:val="24"/>
          <w:szCs w:val="24"/>
        </w:rPr>
        <w:t>发生索赔事件后，监理人应及时书面通知承包人，详细说明发包人有权得到的索赔金额和(或)延长缺陷责任期的细节和依据。发包人提出索赔的期限和要求与第</w:t>
      </w:r>
      <w:bookmarkStart w:id="1018" w:name="bookmark1556"/>
      <w:bookmarkEnd w:id="1018"/>
      <w:r>
        <w:rPr>
          <w:rFonts w:hint="eastAsia"/>
          <w:color w:val="auto"/>
          <w:sz w:val="24"/>
          <w:szCs w:val="24"/>
          <w:lang w:val="en-US"/>
        </w:rPr>
        <w:t>23.</w:t>
      </w:r>
      <w:r>
        <w:rPr>
          <w:rFonts w:ascii="Times New Roman" w:hAnsi="Times New Roman" w:eastAsia="Times New Roman" w:cs="Times New Roman"/>
          <w:color w:val="auto"/>
          <w:sz w:val="24"/>
          <w:szCs w:val="24"/>
        </w:rPr>
        <w:t>3</w:t>
      </w:r>
      <w:r>
        <w:rPr>
          <w:color w:val="auto"/>
          <w:sz w:val="24"/>
          <w:szCs w:val="24"/>
        </w:rPr>
        <w:t>款的约定相同，延长缺陷责任期的通知应在缺陷责任期届满前发出。</w:t>
      </w:r>
    </w:p>
    <w:p>
      <w:pPr>
        <w:pStyle w:val="45"/>
        <w:spacing w:line="367"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23.4.2</w:t>
      </w:r>
      <w:r>
        <w:rPr>
          <w:color w:val="auto"/>
          <w:sz w:val="24"/>
          <w:szCs w:val="24"/>
        </w:rPr>
        <w:t>监理人按第</w:t>
      </w:r>
      <w:r>
        <w:rPr>
          <w:rFonts w:ascii="Times New Roman" w:hAnsi="Times New Roman" w:eastAsia="Times New Roman" w:cs="Times New Roman"/>
          <w:color w:val="auto"/>
          <w:sz w:val="24"/>
          <w:szCs w:val="24"/>
          <w:lang w:val="en-US" w:bidi="en-US"/>
        </w:rPr>
        <w:t xml:space="preserve">3. </w:t>
      </w:r>
      <w:r>
        <w:rPr>
          <w:rFonts w:ascii="Times New Roman" w:hAnsi="Times New Roman" w:eastAsia="Times New Roman" w:cs="Times New Roman"/>
          <w:color w:val="auto"/>
          <w:sz w:val="24"/>
          <w:szCs w:val="24"/>
        </w:rPr>
        <w:t>5</w:t>
      </w:r>
      <w:r>
        <w:rPr>
          <w:color w:val="auto"/>
          <w:sz w:val="24"/>
          <w:szCs w:val="24"/>
        </w:rPr>
        <w:t>款商定或确定发包人从承包人处得到赔付的金额和(或)缺陷责任期的延长期。承包人应付给发包人的金额可从拟支付给承包人的合同价款中扣除, 或由承包人以其他方式支付给发包人。</w:t>
      </w:r>
    </w:p>
    <w:p>
      <w:pPr>
        <w:pStyle w:val="45"/>
        <w:spacing w:after="260" w:line="354" w:lineRule="exact"/>
        <w:ind w:firstLine="440"/>
        <w:jc w:val="both"/>
        <w:rPr>
          <w:color w:val="auto"/>
          <w:sz w:val="24"/>
          <w:szCs w:val="24"/>
        </w:rPr>
      </w:pPr>
      <w:r>
        <w:rPr>
          <w:rFonts w:ascii="Times New Roman" w:hAnsi="Times New Roman" w:eastAsia="Times New Roman" w:cs="Times New Roman"/>
          <w:color w:val="auto"/>
          <w:sz w:val="24"/>
          <w:szCs w:val="24"/>
          <w:lang w:val="en-US" w:bidi="en-US"/>
        </w:rPr>
        <w:t xml:space="preserve">23. 4. </w:t>
      </w:r>
      <w:r>
        <w:rPr>
          <w:rFonts w:ascii="Times New Roman" w:hAnsi="Times New Roman" w:eastAsia="Times New Roman" w:cs="Times New Roman"/>
          <w:color w:val="auto"/>
          <w:sz w:val="24"/>
          <w:szCs w:val="24"/>
        </w:rPr>
        <w:t>3</w:t>
      </w:r>
      <w:r>
        <w:rPr>
          <w:color w:val="auto"/>
          <w:sz w:val="24"/>
          <w:szCs w:val="24"/>
        </w:rPr>
        <w:t>承包人对监理人按第</w:t>
      </w:r>
      <w:r>
        <w:rPr>
          <w:rFonts w:ascii="Times New Roman" w:hAnsi="Times New Roman" w:eastAsia="Times New Roman" w:cs="Times New Roman"/>
          <w:color w:val="auto"/>
          <w:sz w:val="24"/>
          <w:szCs w:val="24"/>
          <w:lang w:val="en-US" w:bidi="en-US"/>
        </w:rPr>
        <w:t xml:space="preserve">23.4. </w:t>
      </w:r>
      <w:r>
        <w:rPr>
          <w:rFonts w:ascii="Times New Roman" w:hAnsi="Times New Roman" w:eastAsia="Times New Roman" w:cs="Times New Roman"/>
          <w:color w:val="auto"/>
          <w:sz w:val="24"/>
          <w:szCs w:val="24"/>
        </w:rPr>
        <w:t>1</w:t>
      </w:r>
      <w:r>
        <w:rPr>
          <w:color w:val="auto"/>
          <w:sz w:val="24"/>
          <w:szCs w:val="24"/>
        </w:rPr>
        <w:t>项发出的索赔书面通知内容持异议时，应在收到书面通知后的</w:t>
      </w:r>
      <w:r>
        <w:rPr>
          <w:rFonts w:ascii="Times New Roman" w:hAnsi="Times New Roman" w:eastAsia="Times New Roman" w:cs="Times New Roman"/>
          <w:color w:val="auto"/>
          <w:sz w:val="24"/>
          <w:szCs w:val="24"/>
        </w:rPr>
        <w:t>14</w:t>
      </w:r>
      <w:r>
        <w:rPr>
          <w:color w:val="auto"/>
          <w:sz w:val="24"/>
          <w:szCs w:val="24"/>
        </w:rPr>
        <w:t>天内，将持有异议的书面报告及其证明材料提交监理人。监理人应在收到 承包人书面报告后的</w:t>
      </w:r>
      <w:r>
        <w:rPr>
          <w:rFonts w:ascii="Times New Roman" w:hAnsi="Times New Roman" w:eastAsia="Times New Roman" w:cs="Times New Roman"/>
          <w:color w:val="auto"/>
          <w:sz w:val="24"/>
          <w:szCs w:val="24"/>
        </w:rPr>
        <w:t>14</w:t>
      </w:r>
      <w:r>
        <w:rPr>
          <w:color w:val="auto"/>
          <w:sz w:val="24"/>
          <w:szCs w:val="24"/>
        </w:rPr>
        <w:t>天内，将异议的处理意见通知承包人，并按第</w:t>
      </w:r>
      <w:r>
        <w:rPr>
          <w:rFonts w:ascii="Times New Roman" w:hAnsi="Times New Roman" w:eastAsia="Times New Roman" w:cs="Times New Roman"/>
          <w:color w:val="auto"/>
          <w:sz w:val="24"/>
          <w:szCs w:val="24"/>
          <w:lang w:val="en-US" w:bidi="en-US"/>
        </w:rPr>
        <w:t>23.4.2</w:t>
      </w:r>
      <w:r>
        <w:rPr>
          <w:color w:val="auto"/>
          <w:sz w:val="24"/>
          <w:szCs w:val="24"/>
        </w:rPr>
        <w:t>项的约定执 行赔付。若承包人不接受监理人的索赔处理意见，可按本合同第</w:t>
      </w:r>
      <w:r>
        <w:rPr>
          <w:rFonts w:ascii="Times New Roman" w:hAnsi="Times New Roman" w:eastAsia="Times New Roman" w:cs="Times New Roman"/>
          <w:color w:val="auto"/>
          <w:sz w:val="24"/>
          <w:szCs w:val="24"/>
        </w:rPr>
        <w:t>24</w:t>
      </w:r>
      <w:r>
        <w:rPr>
          <w:color w:val="auto"/>
          <w:sz w:val="24"/>
          <w:szCs w:val="24"/>
        </w:rPr>
        <w:t>条的规定办理。</w:t>
      </w:r>
    </w:p>
    <w:p>
      <w:pPr>
        <w:pStyle w:val="5"/>
        <w:spacing w:line="360" w:lineRule="exact"/>
        <w:rPr>
          <w:rFonts w:hint="eastAsia"/>
          <w:color w:val="auto"/>
          <w:sz w:val="24"/>
          <w:szCs w:val="24"/>
          <w:lang w:eastAsia="zh-CN"/>
        </w:rPr>
      </w:pPr>
      <w:bookmarkStart w:id="1019" w:name="bookmark1559"/>
      <w:bookmarkEnd w:id="1019"/>
      <w:bookmarkStart w:id="1020" w:name="_Toc10915"/>
      <w:bookmarkStart w:id="1021" w:name="bookmark1557"/>
      <w:bookmarkStart w:id="1022" w:name="bookmark1560"/>
      <w:bookmarkStart w:id="1023" w:name="bookmark1558"/>
      <w:bookmarkStart w:id="1024" w:name="_Toc32550"/>
      <w:bookmarkStart w:id="1025" w:name="_Toc1226611882"/>
      <w:r>
        <w:rPr>
          <w:rFonts w:hint="eastAsia"/>
          <w:color w:val="auto"/>
          <w:sz w:val="24"/>
          <w:szCs w:val="24"/>
          <w:lang w:eastAsia="zh-CN"/>
        </w:rPr>
        <w:t>2</w:t>
      </w:r>
      <w:r>
        <w:rPr>
          <w:color w:val="auto"/>
          <w:sz w:val="24"/>
          <w:szCs w:val="24"/>
          <w:lang w:eastAsia="zh-CN"/>
        </w:rPr>
        <w:t>4.</w:t>
      </w:r>
      <w:r>
        <w:rPr>
          <w:rFonts w:hint="eastAsia"/>
          <w:color w:val="auto"/>
          <w:sz w:val="24"/>
          <w:szCs w:val="24"/>
          <w:lang w:eastAsia="zh-CN"/>
        </w:rPr>
        <w:t>争议的解决</w:t>
      </w:r>
      <w:bookmarkEnd w:id="1020"/>
      <w:bookmarkEnd w:id="1021"/>
      <w:bookmarkEnd w:id="1022"/>
      <w:bookmarkEnd w:id="1023"/>
      <w:bookmarkEnd w:id="1024"/>
      <w:bookmarkEnd w:id="1025"/>
    </w:p>
    <w:p>
      <w:pPr>
        <w:pStyle w:val="6"/>
        <w:ind w:left="0" w:leftChars="0" w:firstLine="0" w:firstLineChars="0"/>
        <w:rPr>
          <w:color w:val="auto"/>
          <w:sz w:val="24"/>
          <w:szCs w:val="24"/>
          <w:lang w:eastAsia="zh-CN"/>
        </w:rPr>
      </w:pPr>
      <w:bookmarkStart w:id="1026" w:name="bookmark1561"/>
      <w:bookmarkStart w:id="1027" w:name="_Toc12687"/>
      <w:bookmarkStart w:id="1028" w:name="bookmark1563"/>
      <w:bookmarkStart w:id="1029" w:name="bookmark1562"/>
      <w:r>
        <w:rPr>
          <w:color w:val="auto"/>
          <w:sz w:val="24"/>
          <w:szCs w:val="24"/>
          <w:lang w:eastAsia="zh-CN"/>
        </w:rPr>
        <w:t>24.1争议的解决方式</w:t>
      </w:r>
      <w:bookmarkEnd w:id="1026"/>
      <w:bookmarkEnd w:id="1027"/>
      <w:bookmarkEnd w:id="1028"/>
      <w:bookmarkEnd w:id="1029"/>
    </w:p>
    <w:p>
      <w:pPr>
        <w:pStyle w:val="45"/>
        <w:spacing w:after="80" w:line="362" w:lineRule="exact"/>
        <w:ind w:firstLine="420"/>
        <w:jc w:val="both"/>
        <w:rPr>
          <w:color w:val="auto"/>
          <w:sz w:val="24"/>
          <w:szCs w:val="24"/>
        </w:rPr>
      </w:pPr>
      <w:r>
        <w:rPr>
          <w:color w:val="auto"/>
          <w:sz w:val="24"/>
          <w:szCs w:val="24"/>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pPr>
        <w:pStyle w:val="45"/>
        <w:numPr>
          <w:ilvl w:val="0"/>
          <w:numId w:val="37"/>
        </w:numPr>
        <w:tabs>
          <w:tab w:val="left" w:pos="901"/>
        </w:tabs>
        <w:spacing w:line="382" w:lineRule="auto"/>
        <w:ind w:firstLine="420"/>
        <w:jc w:val="both"/>
        <w:rPr>
          <w:color w:val="auto"/>
          <w:sz w:val="24"/>
          <w:szCs w:val="24"/>
        </w:rPr>
      </w:pPr>
      <w:bookmarkStart w:id="1030" w:name="bookmark1564"/>
      <w:bookmarkEnd w:id="1030"/>
      <w:r>
        <w:rPr>
          <w:color w:val="auto"/>
          <w:sz w:val="24"/>
          <w:szCs w:val="24"/>
        </w:rPr>
        <w:t>向约定的仲裁委员会申请仲裁；</w:t>
      </w:r>
    </w:p>
    <w:p>
      <w:pPr>
        <w:pStyle w:val="45"/>
        <w:numPr>
          <w:ilvl w:val="0"/>
          <w:numId w:val="37"/>
        </w:numPr>
        <w:tabs>
          <w:tab w:val="left" w:pos="901"/>
        </w:tabs>
        <w:spacing w:line="379" w:lineRule="auto"/>
        <w:ind w:firstLine="420"/>
        <w:jc w:val="both"/>
        <w:rPr>
          <w:color w:val="auto"/>
          <w:sz w:val="24"/>
          <w:szCs w:val="24"/>
        </w:rPr>
      </w:pPr>
      <w:bookmarkStart w:id="1031" w:name="bookmark1565"/>
      <w:bookmarkEnd w:id="1031"/>
      <w:r>
        <w:rPr>
          <w:color w:val="auto"/>
          <w:sz w:val="24"/>
          <w:szCs w:val="24"/>
        </w:rPr>
        <w:t>向有管辖权的人民法院提起诉讼。</w:t>
      </w:r>
    </w:p>
    <w:p>
      <w:pPr>
        <w:pStyle w:val="6"/>
        <w:ind w:left="0" w:leftChars="0" w:firstLine="0" w:firstLineChars="0"/>
        <w:rPr>
          <w:color w:val="auto"/>
          <w:sz w:val="24"/>
          <w:szCs w:val="24"/>
          <w:lang w:eastAsia="zh-CN"/>
        </w:rPr>
      </w:pPr>
      <w:bookmarkStart w:id="1032" w:name="bookmark1568"/>
      <w:bookmarkStart w:id="1033" w:name="bookmark1566"/>
      <w:bookmarkStart w:id="1034" w:name="_Toc13288"/>
      <w:bookmarkStart w:id="1035" w:name="bookmark1567"/>
      <w:r>
        <w:rPr>
          <w:color w:val="auto"/>
          <w:sz w:val="24"/>
          <w:szCs w:val="24"/>
          <w:lang w:eastAsia="zh-CN"/>
        </w:rPr>
        <w:t>24.2友好解决</w:t>
      </w:r>
      <w:bookmarkEnd w:id="1032"/>
      <w:bookmarkEnd w:id="1033"/>
      <w:bookmarkEnd w:id="1034"/>
      <w:bookmarkEnd w:id="1035"/>
    </w:p>
    <w:p>
      <w:pPr>
        <w:pStyle w:val="45"/>
        <w:spacing w:after="140" w:line="346" w:lineRule="exact"/>
        <w:ind w:firstLine="440"/>
        <w:jc w:val="both"/>
        <w:rPr>
          <w:color w:val="auto"/>
          <w:sz w:val="24"/>
          <w:szCs w:val="24"/>
        </w:rPr>
      </w:pPr>
      <w:r>
        <w:rPr>
          <w:color w:val="auto"/>
          <w:sz w:val="24"/>
          <w:szCs w:val="24"/>
        </w:rPr>
        <w:t>在提请争议评审、仲裁或者诉讼前，以及在争议评审、仲裁或诉讼过程中，发包人和承包人均可共同努力友好协商解决争议。</w:t>
      </w:r>
    </w:p>
    <w:p>
      <w:pPr>
        <w:pStyle w:val="6"/>
        <w:ind w:left="0" w:leftChars="0" w:firstLine="0" w:firstLineChars="0"/>
        <w:rPr>
          <w:color w:val="auto"/>
          <w:sz w:val="24"/>
          <w:szCs w:val="24"/>
          <w:lang w:eastAsia="zh-CN"/>
        </w:rPr>
      </w:pPr>
      <w:bookmarkStart w:id="1036" w:name="bookmark1571"/>
      <w:bookmarkStart w:id="1037" w:name="_Toc12305"/>
      <w:bookmarkStart w:id="1038" w:name="bookmark1569"/>
      <w:bookmarkStart w:id="1039" w:name="bookmark1570"/>
      <w:r>
        <w:rPr>
          <w:color w:val="auto"/>
          <w:sz w:val="24"/>
          <w:szCs w:val="24"/>
          <w:lang w:eastAsia="zh-CN"/>
        </w:rPr>
        <w:t>24.3争议评审</w:t>
      </w:r>
      <w:bookmarkEnd w:id="1036"/>
      <w:bookmarkEnd w:id="1037"/>
      <w:bookmarkEnd w:id="1038"/>
      <w:bookmarkEnd w:id="1039"/>
    </w:p>
    <w:p>
      <w:pPr>
        <w:pStyle w:val="45"/>
        <w:spacing w:line="379"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24.3.1</w:t>
      </w:r>
      <w:r>
        <w:rPr>
          <w:color w:val="auto"/>
          <w:sz w:val="24"/>
          <w:szCs w:val="24"/>
        </w:rPr>
        <w:t>采用争议评审的，发包人和承包人应在开工日后的</w:t>
      </w:r>
      <w:r>
        <w:rPr>
          <w:rFonts w:ascii="Times New Roman" w:hAnsi="Times New Roman" w:eastAsia="Times New Roman" w:cs="Times New Roman"/>
          <w:color w:val="auto"/>
          <w:sz w:val="24"/>
          <w:szCs w:val="24"/>
        </w:rPr>
        <w:t>28</w:t>
      </w:r>
      <w:r>
        <w:rPr>
          <w:color w:val="auto"/>
          <w:sz w:val="24"/>
          <w:szCs w:val="24"/>
        </w:rPr>
        <w:t>天内或在争议发生后, 协商成立争议评审组。争议评审组由有合同管理和工程实践经验的专家组成。</w:t>
      </w:r>
    </w:p>
    <w:p>
      <w:pPr>
        <w:pStyle w:val="45"/>
        <w:spacing w:line="358"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24.3.2</w:t>
      </w:r>
      <w:r>
        <w:rPr>
          <w:color w:val="auto"/>
          <w:sz w:val="24"/>
          <w:szCs w:val="24"/>
        </w:rPr>
        <w:t>合同双方的争议，应首先由申请人向争议评审组提交一份详细的评审申请报告，并附必要的文件、图纸和证明材料，申请人还应将上述报告的副本同时提交给被申请人和监理人。</w:t>
      </w:r>
    </w:p>
    <w:p>
      <w:pPr>
        <w:pStyle w:val="45"/>
        <w:spacing w:line="379"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24.3.3</w:t>
      </w:r>
      <w:r>
        <w:rPr>
          <w:color w:val="auto"/>
          <w:sz w:val="24"/>
          <w:szCs w:val="24"/>
        </w:rPr>
        <w:t>被申请人在收到申请人评审申请报告副本后的</w:t>
      </w:r>
      <w:r>
        <w:rPr>
          <w:rFonts w:ascii="Times New Roman" w:hAnsi="Times New Roman" w:eastAsia="Times New Roman" w:cs="Times New Roman"/>
          <w:color w:val="auto"/>
          <w:sz w:val="24"/>
          <w:szCs w:val="24"/>
        </w:rPr>
        <w:t>28</w:t>
      </w:r>
      <w:r>
        <w:rPr>
          <w:color w:val="auto"/>
          <w:sz w:val="24"/>
          <w:szCs w:val="24"/>
        </w:rPr>
        <w:t>天内，向争议评审组提交一份答辩报告，并附证明材料。被申请人应将答辩报告的副本同时提交给申请人和监理人。</w:t>
      </w:r>
    </w:p>
    <w:p>
      <w:pPr>
        <w:pStyle w:val="45"/>
        <w:spacing w:line="364" w:lineRule="exact"/>
        <w:ind w:firstLine="440"/>
        <w:jc w:val="both"/>
        <w:rPr>
          <w:rFonts w:ascii="Times New Roman" w:hAnsi="Times New Roman" w:cs="Times New Roman"/>
          <w:color w:val="auto"/>
          <w:sz w:val="24"/>
          <w:szCs w:val="24"/>
        </w:rPr>
      </w:pPr>
      <w:r>
        <w:rPr>
          <w:rFonts w:ascii="Times New Roman" w:hAnsi="Times New Roman" w:eastAsia="Times New Roman" w:cs="Times New Roman"/>
          <w:color w:val="auto"/>
          <w:sz w:val="24"/>
          <w:szCs w:val="24"/>
          <w:lang w:val="en-US" w:bidi="en-US"/>
        </w:rPr>
        <w:t>24.3.4</w:t>
      </w:r>
      <w:r>
        <w:rPr>
          <w:color w:val="auto"/>
          <w:sz w:val="24"/>
          <w:szCs w:val="24"/>
        </w:rPr>
        <w:t>除专用合同条款另有约定外，争议评审组在收到合同双方报告后的</w:t>
      </w:r>
      <w:r>
        <w:rPr>
          <w:rFonts w:ascii="Times New Roman" w:hAnsi="Times New Roman" w:eastAsia="Times New Roman" w:cs="Times New Roman"/>
          <w:color w:val="auto"/>
          <w:sz w:val="24"/>
          <w:szCs w:val="24"/>
        </w:rPr>
        <w:t>14</w:t>
      </w:r>
      <w:r>
        <w:rPr>
          <w:color w:val="auto"/>
          <w:sz w:val="24"/>
          <w:szCs w:val="24"/>
        </w:rPr>
        <w:t>天内， 邀请双方代表和有关人员举行调查会，向双方调查争议细节；必要时争议评审组可要求双方进一步提供补</w:t>
      </w:r>
      <w:r>
        <w:rPr>
          <w:rFonts w:ascii="Times New Roman" w:hAnsi="Times New Roman" w:cs="Times New Roman"/>
          <w:color w:val="auto"/>
          <w:sz w:val="24"/>
          <w:szCs w:val="24"/>
        </w:rPr>
        <w:t>充材料。</w:t>
      </w:r>
    </w:p>
    <w:p>
      <w:pPr>
        <w:pStyle w:val="45"/>
        <w:spacing w:line="364" w:lineRule="exact"/>
        <w:ind w:firstLine="440"/>
        <w:jc w:val="both"/>
        <w:rPr>
          <w:color w:val="auto"/>
          <w:sz w:val="24"/>
          <w:szCs w:val="24"/>
        </w:rPr>
      </w:pPr>
      <w:bookmarkStart w:id="1040" w:name="bookmark1572"/>
      <w:bookmarkEnd w:id="1040"/>
      <w:r>
        <w:rPr>
          <w:rFonts w:ascii="Times New Roman" w:hAnsi="Times New Roman" w:cs="Times New Roman"/>
          <w:color w:val="auto"/>
          <w:sz w:val="24"/>
          <w:szCs w:val="24"/>
        </w:rPr>
        <w:t>24.3.5</w:t>
      </w:r>
      <w:r>
        <w:rPr>
          <w:color w:val="auto"/>
          <w:sz w:val="24"/>
          <w:szCs w:val="24"/>
        </w:rPr>
        <w:t>除专用合同条款另有约定外，在调查会结束后的14天内，争议评审组应在不受任何干扰的情况下进行独立、公正的评审，作出书面评审意见，并说明理由。在争议评审期间，争议双方暂按总监理工程师的确定执行。</w:t>
      </w:r>
    </w:p>
    <w:p>
      <w:pPr>
        <w:pStyle w:val="45"/>
        <w:spacing w:line="365"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24.3.6</w:t>
      </w:r>
      <w:r>
        <w:rPr>
          <w:color w:val="auto"/>
          <w:sz w:val="24"/>
          <w:szCs w:val="24"/>
        </w:rPr>
        <w:t>发包人和承包人接受评审意见的，由监理人根据评审意见拟定执行协议，经争议双方签字后作为合同的补充文件，并遵照执行。</w:t>
      </w:r>
    </w:p>
    <w:p>
      <w:pPr>
        <w:pStyle w:val="45"/>
        <w:spacing w:after="140" w:line="359" w:lineRule="exact"/>
        <w:ind w:firstLine="440"/>
        <w:jc w:val="both"/>
        <w:rPr>
          <w:color w:val="auto"/>
          <w:sz w:val="24"/>
          <w:szCs w:val="24"/>
        </w:rPr>
      </w:pPr>
      <w:r>
        <w:rPr>
          <w:rFonts w:ascii="Times New Roman" w:hAnsi="Times New Roman" w:eastAsia="Times New Roman" w:cs="Times New Roman"/>
          <w:color w:val="auto"/>
          <w:sz w:val="24"/>
          <w:szCs w:val="24"/>
          <w:lang w:val="en-US" w:bidi="en-US"/>
        </w:rPr>
        <w:t>24.3.7</w:t>
      </w:r>
      <w:r>
        <w:rPr>
          <w:color w:val="auto"/>
          <w:sz w:val="24"/>
          <w:szCs w:val="24"/>
        </w:rPr>
        <w:t>发包人或承包人不接受评审意见，并要求提交仲裁或提起诉讼的，应在收到评审意见后的</w:t>
      </w:r>
      <w:r>
        <w:rPr>
          <w:rFonts w:ascii="Times New Roman" w:hAnsi="Times New Roman" w:eastAsia="Times New Roman" w:cs="Times New Roman"/>
          <w:color w:val="auto"/>
          <w:sz w:val="24"/>
          <w:szCs w:val="24"/>
        </w:rPr>
        <w:t>14</w:t>
      </w:r>
      <w:r>
        <w:rPr>
          <w:color w:val="auto"/>
          <w:sz w:val="24"/>
          <w:szCs w:val="24"/>
        </w:rPr>
        <w:t>天内将仲裁或起诉意向书面通知另一方，并抄送监理人，但在仲裁或诉讼结束前应暂按总监理工程师的确定执行。</w:t>
      </w:r>
    </w:p>
    <w:p>
      <w:pPr>
        <w:pStyle w:val="6"/>
        <w:ind w:left="0" w:leftChars="0" w:firstLine="0" w:firstLineChars="0"/>
        <w:rPr>
          <w:color w:val="auto"/>
          <w:sz w:val="24"/>
          <w:szCs w:val="24"/>
          <w:lang w:eastAsia="zh-CN"/>
        </w:rPr>
      </w:pPr>
      <w:bookmarkStart w:id="1041" w:name="_Toc548"/>
      <w:bookmarkStart w:id="1042" w:name="bookmark1575"/>
      <w:bookmarkStart w:id="1043" w:name="bookmark1574"/>
      <w:bookmarkStart w:id="1044" w:name="bookmark1573"/>
      <w:r>
        <w:rPr>
          <w:color w:val="auto"/>
          <w:sz w:val="24"/>
          <w:szCs w:val="24"/>
          <w:lang w:eastAsia="zh-CN"/>
        </w:rPr>
        <w:t>24.4仲裁</w:t>
      </w:r>
      <w:bookmarkEnd w:id="1041"/>
      <w:bookmarkEnd w:id="1042"/>
      <w:bookmarkEnd w:id="1043"/>
      <w:bookmarkEnd w:id="1044"/>
    </w:p>
    <w:p>
      <w:pPr>
        <w:pStyle w:val="45"/>
        <w:spacing w:line="384" w:lineRule="auto"/>
        <w:ind w:firstLine="420"/>
        <w:jc w:val="both"/>
        <w:rPr>
          <w:color w:val="auto"/>
          <w:sz w:val="24"/>
          <w:szCs w:val="24"/>
        </w:rPr>
      </w:pPr>
      <w:r>
        <w:rPr>
          <w:rFonts w:ascii="Times New Roman" w:hAnsi="Times New Roman" w:eastAsia="Times New Roman" w:cs="Times New Roman"/>
          <w:color w:val="auto"/>
          <w:sz w:val="24"/>
          <w:szCs w:val="24"/>
          <w:lang w:val="en-US" w:bidi="en-US"/>
        </w:rPr>
        <w:t>24.4.1</w:t>
      </w:r>
      <w:r>
        <w:rPr>
          <w:color w:val="auto"/>
          <w:sz w:val="24"/>
          <w:szCs w:val="24"/>
        </w:rPr>
        <w:t>若合同双方商定直接向仲裁机构申请仲裁，应签订仲裁协议并约定仲裁机构。</w:t>
      </w:r>
    </w:p>
    <w:p>
      <w:pPr>
        <w:pStyle w:val="45"/>
        <w:spacing w:line="384" w:lineRule="auto"/>
        <w:ind w:firstLine="420"/>
        <w:jc w:val="both"/>
        <w:rPr>
          <w:color w:val="auto"/>
          <w:sz w:val="24"/>
          <w:szCs w:val="24"/>
        </w:rPr>
        <w:sectPr>
          <w:footerReference r:id="rId14" w:type="first"/>
          <w:footerReference r:id="rId13" w:type="default"/>
          <w:pgSz w:w="11910" w:h="16840"/>
          <w:pgMar w:top="1340" w:right="1500" w:bottom="280" w:left="1680" w:header="720" w:footer="720" w:gutter="0"/>
          <w:pgNumType w:fmt="decimal"/>
          <w:cols w:space="720" w:num="1"/>
        </w:sectPr>
      </w:pPr>
      <w:r>
        <w:rPr>
          <w:rFonts w:ascii="Times New Roman" w:hAnsi="Times New Roman" w:eastAsia="Times New Roman" w:cs="Times New Roman"/>
          <w:color w:val="auto"/>
          <w:sz w:val="24"/>
          <w:szCs w:val="24"/>
          <w:lang w:val="en-US" w:bidi="en-US"/>
        </w:rPr>
        <w:t>24.4.2</w:t>
      </w:r>
      <w:r>
        <w:rPr>
          <w:color w:val="auto"/>
          <w:sz w:val="24"/>
          <w:szCs w:val="24"/>
        </w:rPr>
        <w:t>若合同双方未能达成仲裁协议，则本合同的仲裁条款无效，任一方均有权向人民法院提起诉讼。</w:t>
      </w:r>
    </w:p>
    <w:p>
      <w:pPr>
        <w:pStyle w:val="4"/>
        <w:bidi w:val="0"/>
        <w:jc w:val="center"/>
        <w:outlineLvl w:val="1"/>
        <w:rPr>
          <w:rFonts w:hint="eastAsia" w:ascii="Times New Roman" w:hAnsi="Times New Roman" w:eastAsia="宋体" w:cs="Times New Roman"/>
          <w:b/>
          <w:color w:val="auto"/>
          <w:sz w:val="30"/>
          <w:szCs w:val="30"/>
          <w:lang w:eastAsia="zh-CN"/>
        </w:rPr>
      </w:pPr>
      <w:bookmarkStart w:id="1045" w:name="_Toc827"/>
      <w:bookmarkStart w:id="1046" w:name="_Toc2081996794"/>
      <w:r>
        <w:rPr>
          <w:rFonts w:hint="eastAsia" w:ascii="Times New Roman" w:hAnsi="Times New Roman" w:eastAsia="宋体" w:cs="Times New Roman"/>
          <w:b/>
          <w:color w:val="auto"/>
          <w:sz w:val="30"/>
          <w:szCs w:val="30"/>
          <w:lang w:eastAsia="zh-CN"/>
        </w:rPr>
        <w:t>第三节 专用合同条款</w:t>
      </w:r>
      <w:bookmarkEnd w:id="1045"/>
      <w:bookmarkEnd w:id="1046"/>
    </w:p>
    <w:p>
      <w:pPr>
        <w:pStyle w:val="5"/>
        <w:spacing w:line="360" w:lineRule="exact"/>
        <w:jc w:val="both"/>
        <w:rPr>
          <w:rFonts w:hint="eastAsia"/>
          <w:color w:val="auto"/>
          <w:sz w:val="24"/>
          <w:szCs w:val="24"/>
          <w:highlight w:val="none"/>
          <w:lang w:eastAsia="zh-CN"/>
        </w:rPr>
      </w:pPr>
      <w:bookmarkStart w:id="1047" w:name="_Toc1406168910"/>
      <w:bookmarkStart w:id="1048" w:name="_Toc24414"/>
      <w:r>
        <w:rPr>
          <w:rFonts w:hint="eastAsia"/>
          <w:color w:val="auto"/>
          <w:sz w:val="24"/>
          <w:szCs w:val="24"/>
          <w:highlight w:val="none"/>
          <w:lang w:eastAsia="zh-CN"/>
        </w:rPr>
        <w:t>1. 一般约定</w:t>
      </w:r>
      <w:bookmarkEnd w:id="1047"/>
      <w:bookmarkEnd w:id="1048"/>
    </w:p>
    <w:p>
      <w:pPr>
        <w:pStyle w:val="6"/>
        <w:ind w:left="0" w:leftChars="0" w:firstLine="0" w:firstLineChars="0"/>
        <w:jc w:val="both"/>
        <w:rPr>
          <w:color w:val="auto"/>
          <w:sz w:val="24"/>
          <w:szCs w:val="24"/>
          <w:highlight w:val="none"/>
          <w:lang w:eastAsia="zh-CN"/>
        </w:rPr>
      </w:pPr>
      <w:bookmarkStart w:id="1049" w:name="bookmark1584"/>
      <w:bookmarkStart w:id="1050" w:name="bookmark1583"/>
      <w:bookmarkStart w:id="1051" w:name="bookmark1585"/>
      <w:r>
        <w:rPr>
          <w:color w:val="auto"/>
          <w:sz w:val="24"/>
          <w:szCs w:val="24"/>
          <w:highlight w:val="none"/>
          <w:lang w:eastAsia="zh-CN"/>
        </w:rPr>
        <w:t>1.1词语定义</w:t>
      </w:r>
      <w:bookmarkEnd w:id="1049"/>
      <w:bookmarkEnd w:id="1050"/>
      <w:bookmarkEnd w:id="1051"/>
    </w:p>
    <w:p>
      <w:pPr>
        <w:pStyle w:val="45"/>
        <w:spacing w:after="100" w:line="402"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1.1.2</w:t>
      </w:r>
      <w:r>
        <w:rPr>
          <w:color w:val="auto"/>
          <w:sz w:val="24"/>
          <w:szCs w:val="24"/>
          <w:highlight w:val="none"/>
        </w:rPr>
        <w:t>合同当事人和人员</w:t>
      </w:r>
    </w:p>
    <w:p>
      <w:pPr>
        <w:pStyle w:val="46"/>
        <w:tabs>
          <w:tab w:val="left" w:pos="4064"/>
        </w:tabs>
        <w:spacing w:after="100"/>
        <w:ind w:firstLine="440"/>
        <w:jc w:val="both"/>
        <w:rPr>
          <w:color w:val="auto"/>
          <w:sz w:val="24"/>
          <w:szCs w:val="24"/>
          <w:highlight w:val="none"/>
          <w:lang w:eastAsia="zh-CN"/>
        </w:rPr>
      </w:pPr>
      <w:r>
        <w:rPr>
          <w:color w:val="auto"/>
          <w:sz w:val="24"/>
          <w:szCs w:val="24"/>
          <w:highlight w:val="none"/>
          <w:lang w:eastAsia="zh-CN"/>
        </w:rPr>
        <w:t>1.1.2.</w:t>
      </w:r>
      <w:r>
        <w:rPr>
          <w:color w:val="auto"/>
          <w:sz w:val="24"/>
          <w:szCs w:val="24"/>
          <w:highlight w:val="none"/>
          <w:lang w:val="zh-CN" w:eastAsia="zh-CN" w:bidi="zh-CN"/>
        </w:rPr>
        <w:t>2</w:t>
      </w:r>
      <w:r>
        <w:rPr>
          <w:rFonts w:ascii="宋体" w:hAnsi="宋体" w:cs="宋体"/>
          <w:color w:val="auto"/>
          <w:sz w:val="24"/>
          <w:szCs w:val="24"/>
          <w:highlight w:val="none"/>
          <w:lang w:val="zh-CN" w:eastAsia="zh-CN" w:bidi="zh-CN"/>
        </w:rPr>
        <w:t>发包人：</w:t>
      </w:r>
      <w:r>
        <w:rPr>
          <w:color w:val="auto"/>
          <w:sz w:val="24"/>
          <w:szCs w:val="24"/>
          <w:highlight w:val="none"/>
          <w:u w:val="single"/>
          <w:lang w:eastAsia="zh-CN"/>
        </w:rPr>
        <w:tab/>
      </w:r>
      <w:r>
        <w:rPr>
          <w:rFonts w:hint="eastAsia"/>
          <w:color w:val="auto"/>
          <w:sz w:val="24"/>
          <w:szCs w:val="24"/>
          <w:highlight w:val="none"/>
          <w:lang w:eastAsia="zh-CN"/>
        </w:rPr>
        <w:t>。</w:t>
      </w:r>
    </w:p>
    <w:p>
      <w:pPr>
        <w:pStyle w:val="46"/>
        <w:tabs>
          <w:tab w:val="left" w:pos="4066"/>
        </w:tabs>
        <w:spacing w:after="100"/>
        <w:ind w:firstLine="440"/>
        <w:jc w:val="both"/>
        <w:rPr>
          <w:rFonts w:hint="eastAsia"/>
          <w:color w:val="auto"/>
          <w:sz w:val="24"/>
          <w:szCs w:val="24"/>
          <w:highlight w:val="none"/>
          <w:lang w:eastAsia="zh-CN"/>
        </w:rPr>
      </w:pPr>
      <w:r>
        <w:rPr>
          <w:color w:val="auto"/>
          <w:sz w:val="24"/>
          <w:szCs w:val="24"/>
          <w:highlight w:val="none"/>
          <w:lang w:eastAsia="zh-CN"/>
        </w:rPr>
        <w:t>1.1.2.</w:t>
      </w:r>
      <w:r>
        <w:rPr>
          <w:color w:val="auto"/>
          <w:sz w:val="24"/>
          <w:szCs w:val="24"/>
          <w:highlight w:val="none"/>
          <w:lang w:val="zh-CN" w:eastAsia="zh-CN" w:bidi="zh-CN"/>
        </w:rPr>
        <w:t>3</w:t>
      </w:r>
      <w:r>
        <w:rPr>
          <w:rFonts w:ascii="宋体" w:hAnsi="宋体" w:cs="宋体"/>
          <w:color w:val="auto"/>
          <w:sz w:val="24"/>
          <w:szCs w:val="24"/>
          <w:highlight w:val="none"/>
          <w:lang w:val="zh-CN" w:eastAsia="zh-CN" w:bidi="zh-CN"/>
        </w:rPr>
        <w:t>承包人：</w:t>
      </w:r>
      <w:r>
        <w:rPr>
          <w:color w:val="auto"/>
          <w:sz w:val="24"/>
          <w:szCs w:val="24"/>
          <w:highlight w:val="none"/>
          <w:u w:val="single"/>
          <w:lang w:eastAsia="zh-CN"/>
        </w:rPr>
        <w:tab/>
      </w:r>
      <w:r>
        <w:rPr>
          <w:rFonts w:hint="eastAsia"/>
          <w:color w:val="auto"/>
          <w:sz w:val="24"/>
          <w:szCs w:val="24"/>
          <w:highlight w:val="none"/>
          <w:lang w:eastAsia="zh-CN"/>
        </w:rPr>
        <w:t>。</w:t>
      </w:r>
    </w:p>
    <w:p>
      <w:pPr>
        <w:pStyle w:val="46"/>
        <w:tabs>
          <w:tab w:val="left" w:pos="4066"/>
        </w:tabs>
        <w:spacing w:after="100"/>
        <w:ind w:firstLine="440"/>
        <w:jc w:val="both"/>
        <w:rPr>
          <w:color w:val="auto"/>
          <w:sz w:val="24"/>
          <w:szCs w:val="24"/>
          <w:highlight w:val="none"/>
          <w:lang w:eastAsia="zh-CN"/>
        </w:rPr>
      </w:pPr>
      <w:r>
        <w:rPr>
          <w:color w:val="auto"/>
          <w:sz w:val="24"/>
          <w:szCs w:val="24"/>
          <w:highlight w:val="none"/>
          <w:lang w:eastAsia="zh-CN"/>
        </w:rPr>
        <w:t>1.1.2.</w:t>
      </w:r>
      <w:r>
        <w:rPr>
          <w:rFonts w:hint="eastAsia"/>
          <w:color w:val="auto"/>
          <w:sz w:val="24"/>
          <w:szCs w:val="24"/>
          <w:highlight w:val="none"/>
          <w:lang w:eastAsia="zh-CN" w:bidi="zh-CN"/>
        </w:rPr>
        <w:t>4承包人项目负责人、技术负责人和专职安全员</w:t>
      </w:r>
      <w:r>
        <w:rPr>
          <w:rFonts w:ascii="宋体" w:hAnsi="宋体" w:cs="宋体"/>
          <w:color w:val="auto"/>
          <w:sz w:val="24"/>
          <w:szCs w:val="24"/>
          <w:highlight w:val="none"/>
          <w:lang w:val="zh-CN" w:eastAsia="zh-CN" w:bidi="zh-CN"/>
        </w:rPr>
        <w:t>：</w:t>
      </w:r>
      <w:r>
        <w:rPr>
          <w:color w:val="auto"/>
          <w:sz w:val="24"/>
          <w:szCs w:val="24"/>
          <w:highlight w:val="none"/>
          <w:u w:val="single"/>
          <w:lang w:eastAsia="zh-CN"/>
        </w:rPr>
        <w:tab/>
      </w:r>
      <w:r>
        <w:rPr>
          <w:rFonts w:hint="eastAsia"/>
          <w:color w:val="auto"/>
          <w:sz w:val="24"/>
          <w:szCs w:val="24"/>
          <w:highlight w:val="none"/>
          <w:u w:val="single"/>
          <w:lang w:eastAsia="zh-CN"/>
        </w:rPr>
        <w:t xml:space="preserve">             </w:t>
      </w:r>
      <w:r>
        <w:rPr>
          <w:rFonts w:hint="eastAsia"/>
          <w:color w:val="auto"/>
          <w:sz w:val="24"/>
          <w:szCs w:val="24"/>
          <w:highlight w:val="none"/>
          <w:lang w:eastAsia="zh-CN"/>
        </w:rPr>
        <w:t>（项目负责人、技术负责人和专职安全员的姓名、身份证号号码，项目负责人执业证书号码以及项目负责人和专职安全员水行政主管部门颁发的安全生产考核合格证书号码）。</w:t>
      </w:r>
    </w:p>
    <w:p>
      <w:pPr>
        <w:pStyle w:val="46"/>
        <w:tabs>
          <w:tab w:val="left" w:pos="4064"/>
        </w:tabs>
        <w:spacing w:after="100"/>
        <w:ind w:firstLine="440"/>
        <w:jc w:val="both"/>
        <w:rPr>
          <w:color w:val="auto"/>
          <w:sz w:val="24"/>
          <w:szCs w:val="24"/>
          <w:highlight w:val="none"/>
          <w:lang w:eastAsia="zh-CN"/>
        </w:rPr>
      </w:pPr>
      <w:r>
        <w:rPr>
          <w:color w:val="auto"/>
          <w:sz w:val="24"/>
          <w:szCs w:val="24"/>
          <w:highlight w:val="none"/>
          <w:lang w:eastAsia="zh-CN"/>
        </w:rPr>
        <w:t>1.1.2.</w:t>
      </w:r>
      <w:r>
        <w:rPr>
          <w:color w:val="auto"/>
          <w:sz w:val="24"/>
          <w:szCs w:val="24"/>
          <w:highlight w:val="none"/>
          <w:lang w:val="zh-CN" w:eastAsia="zh-CN" w:bidi="zh-CN"/>
        </w:rPr>
        <w:t>5</w:t>
      </w:r>
      <w:r>
        <w:rPr>
          <w:rFonts w:ascii="宋体" w:hAnsi="宋体" w:cs="宋体"/>
          <w:color w:val="auto"/>
          <w:sz w:val="24"/>
          <w:szCs w:val="24"/>
          <w:highlight w:val="none"/>
          <w:lang w:val="zh-CN" w:eastAsia="zh-CN" w:bidi="zh-CN"/>
        </w:rPr>
        <w:t>分包人:</w:t>
      </w:r>
      <w:r>
        <w:rPr>
          <w:color w:val="auto"/>
          <w:sz w:val="24"/>
          <w:szCs w:val="24"/>
          <w:highlight w:val="none"/>
          <w:u w:val="single"/>
          <w:lang w:eastAsia="zh-CN"/>
        </w:rPr>
        <w:tab/>
      </w:r>
      <w:r>
        <w:rPr>
          <w:rFonts w:hint="eastAsia"/>
          <w:color w:val="auto"/>
          <w:sz w:val="24"/>
          <w:szCs w:val="24"/>
          <w:highlight w:val="none"/>
          <w:lang w:eastAsia="zh-CN"/>
        </w:rPr>
        <w:t>。</w:t>
      </w:r>
    </w:p>
    <w:p>
      <w:pPr>
        <w:pStyle w:val="46"/>
        <w:tabs>
          <w:tab w:val="left" w:pos="4064"/>
        </w:tabs>
        <w:spacing w:after="100"/>
        <w:ind w:firstLine="440"/>
        <w:jc w:val="both"/>
        <w:rPr>
          <w:color w:val="auto"/>
          <w:sz w:val="24"/>
          <w:szCs w:val="24"/>
          <w:highlight w:val="none"/>
          <w:lang w:eastAsia="zh-CN"/>
        </w:rPr>
      </w:pPr>
      <w:r>
        <w:rPr>
          <w:color w:val="auto"/>
          <w:sz w:val="24"/>
          <w:szCs w:val="24"/>
          <w:highlight w:val="none"/>
          <w:lang w:eastAsia="zh-CN"/>
        </w:rPr>
        <w:t>1.1.2.6</w:t>
      </w:r>
      <w:r>
        <w:rPr>
          <w:rFonts w:ascii="宋体" w:hAnsi="宋体" w:cs="宋体"/>
          <w:color w:val="auto"/>
          <w:sz w:val="24"/>
          <w:szCs w:val="24"/>
          <w:highlight w:val="none"/>
          <w:lang w:val="zh-CN" w:eastAsia="zh-CN" w:bidi="zh-CN"/>
        </w:rPr>
        <w:t>监理人：</w:t>
      </w:r>
      <w:r>
        <w:rPr>
          <w:color w:val="auto"/>
          <w:sz w:val="24"/>
          <w:szCs w:val="24"/>
          <w:highlight w:val="none"/>
          <w:u w:val="single"/>
          <w:lang w:eastAsia="zh-CN"/>
        </w:rPr>
        <w:tab/>
      </w:r>
      <w:r>
        <w:rPr>
          <w:rFonts w:hint="eastAsia"/>
          <w:color w:val="auto"/>
          <w:sz w:val="24"/>
          <w:szCs w:val="24"/>
          <w:highlight w:val="none"/>
          <w:lang w:eastAsia="zh-CN"/>
        </w:rPr>
        <w:t>。</w:t>
      </w:r>
    </w:p>
    <w:p>
      <w:pPr>
        <w:pStyle w:val="46"/>
        <w:tabs>
          <w:tab w:val="left" w:pos="3649"/>
        </w:tabs>
        <w:spacing w:after="100"/>
        <w:ind w:firstLine="440"/>
        <w:jc w:val="both"/>
        <w:rPr>
          <w:color w:val="auto"/>
          <w:sz w:val="24"/>
          <w:szCs w:val="24"/>
          <w:highlight w:val="none"/>
          <w:lang w:eastAsia="zh-CN"/>
        </w:rPr>
      </w:pPr>
      <w:r>
        <w:rPr>
          <w:color w:val="auto"/>
          <w:sz w:val="24"/>
          <w:szCs w:val="24"/>
          <w:highlight w:val="none"/>
          <w:lang w:eastAsia="zh-CN"/>
        </w:rPr>
        <w:t>1.1.4</w:t>
      </w:r>
      <w:r>
        <w:rPr>
          <w:rFonts w:ascii="宋体" w:hAnsi="宋体" w:cs="宋体"/>
          <w:color w:val="auto"/>
          <w:sz w:val="24"/>
          <w:szCs w:val="24"/>
          <w:highlight w:val="none"/>
          <w:lang w:val="zh-CN" w:eastAsia="zh-CN" w:bidi="zh-CN"/>
        </w:rPr>
        <w:t>日期：</w:t>
      </w:r>
      <w:r>
        <w:rPr>
          <w:rFonts w:hint="eastAsia" w:ascii="宋体" w:hAnsi="宋体" w:cs="宋体"/>
          <w:color w:val="auto"/>
          <w:sz w:val="24"/>
          <w:szCs w:val="24"/>
          <w:highlight w:val="none"/>
          <w:u w:val="single"/>
          <w:lang w:val="zh-CN" w:eastAsia="zh-CN" w:bidi="zh-CN"/>
        </w:rPr>
        <w:t>实际开工日期以监理单位发出的开工令载明的日期为准</w:t>
      </w:r>
      <w:r>
        <w:rPr>
          <w:rFonts w:hint="eastAsia" w:ascii="宋体" w:hAnsi="宋体" w:cs="宋体"/>
          <w:color w:val="auto"/>
          <w:sz w:val="24"/>
          <w:szCs w:val="24"/>
          <w:highlight w:val="none"/>
          <w:lang w:val="zh-CN" w:eastAsia="zh-CN" w:bidi="zh-CN"/>
        </w:rPr>
        <w:t>。</w:t>
      </w:r>
    </w:p>
    <w:p>
      <w:pPr>
        <w:pStyle w:val="45"/>
        <w:tabs>
          <w:tab w:val="left" w:pos="6303"/>
        </w:tabs>
        <w:spacing w:after="240" w:line="240" w:lineRule="auto"/>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1.1.4.</w:t>
      </w:r>
      <w:r>
        <w:rPr>
          <w:rFonts w:ascii="Times New Roman" w:hAnsi="Times New Roman" w:eastAsia="Times New Roman" w:cs="Times New Roman"/>
          <w:color w:val="auto"/>
          <w:sz w:val="24"/>
          <w:szCs w:val="24"/>
          <w:highlight w:val="none"/>
        </w:rPr>
        <w:t>5</w:t>
      </w:r>
      <w:r>
        <w:rPr>
          <w:color w:val="auto"/>
          <w:sz w:val="24"/>
          <w:szCs w:val="24"/>
          <w:highlight w:val="none"/>
        </w:rPr>
        <w:t>缺陷责任期(工程质量保修期):</w:t>
      </w:r>
      <w:r>
        <w:rPr>
          <w:rFonts w:hint="eastAsia"/>
          <w:color w:val="auto"/>
          <w:sz w:val="24"/>
          <w:szCs w:val="24"/>
          <w:highlight w:val="none"/>
          <w:u w:val="single"/>
        </w:rPr>
        <w:t>竣工验收后1年</w:t>
      </w:r>
      <w:r>
        <w:rPr>
          <w:rFonts w:hint="eastAsia" w:ascii="Times New Roman" w:hAnsi="Times New Roman" w:cs="Times New Roman"/>
          <w:color w:val="auto"/>
          <w:sz w:val="24"/>
          <w:szCs w:val="24"/>
          <w:highlight w:val="none"/>
          <w:lang w:val="en-US" w:bidi="en-US"/>
        </w:rPr>
        <w:t>。</w:t>
      </w:r>
    </w:p>
    <w:p>
      <w:pPr>
        <w:pStyle w:val="6"/>
        <w:ind w:left="0" w:leftChars="0" w:firstLine="0" w:firstLineChars="0"/>
        <w:jc w:val="both"/>
        <w:rPr>
          <w:color w:val="auto"/>
          <w:sz w:val="24"/>
          <w:szCs w:val="24"/>
          <w:highlight w:val="none"/>
          <w:lang w:eastAsia="zh-CN"/>
        </w:rPr>
      </w:pPr>
      <w:bookmarkStart w:id="1052" w:name="bookmark1588"/>
      <w:bookmarkStart w:id="1053" w:name="bookmark1586"/>
      <w:bookmarkStart w:id="1054" w:name="bookmark1587"/>
      <w:r>
        <w:rPr>
          <w:color w:val="auto"/>
          <w:sz w:val="24"/>
          <w:szCs w:val="24"/>
          <w:highlight w:val="none"/>
          <w:lang w:eastAsia="zh-CN"/>
        </w:rPr>
        <w:t>1.4合同文件的优先顺序</w:t>
      </w:r>
      <w:bookmarkEnd w:id="1052"/>
      <w:bookmarkEnd w:id="1053"/>
      <w:bookmarkEnd w:id="1054"/>
    </w:p>
    <w:p>
      <w:pPr>
        <w:pStyle w:val="45"/>
        <w:spacing w:after="100" w:line="402" w:lineRule="exact"/>
        <w:ind w:firstLine="440"/>
        <w:jc w:val="both"/>
        <w:rPr>
          <w:color w:val="auto"/>
          <w:sz w:val="24"/>
          <w:szCs w:val="24"/>
          <w:highlight w:val="none"/>
        </w:rPr>
      </w:pPr>
      <w:r>
        <w:rPr>
          <w:color w:val="auto"/>
          <w:sz w:val="24"/>
          <w:szCs w:val="24"/>
          <w:highlight w:val="none"/>
        </w:rPr>
        <w:t>进入合同的各项文件及其优先顺序如下：</w:t>
      </w:r>
    </w:p>
    <w:p>
      <w:pPr>
        <w:pStyle w:val="45"/>
        <w:numPr>
          <w:ilvl w:val="0"/>
          <w:numId w:val="38"/>
        </w:numPr>
        <w:tabs>
          <w:tab w:val="left" w:pos="923"/>
        </w:tabs>
        <w:spacing w:after="100" w:line="240" w:lineRule="auto"/>
        <w:ind w:firstLine="440"/>
        <w:jc w:val="both"/>
        <w:rPr>
          <w:color w:val="auto"/>
          <w:sz w:val="24"/>
          <w:szCs w:val="24"/>
          <w:highlight w:val="none"/>
        </w:rPr>
      </w:pPr>
      <w:bookmarkStart w:id="1055" w:name="bookmark1589"/>
      <w:bookmarkEnd w:id="1055"/>
      <w:r>
        <w:rPr>
          <w:color w:val="auto"/>
          <w:sz w:val="24"/>
          <w:szCs w:val="24"/>
          <w:highlight w:val="none"/>
        </w:rPr>
        <w:t>合同协议书(包括补充协议、合同谈判备忘录)；</w:t>
      </w:r>
    </w:p>
    <w:p>
      <w:pPr>
        <w:pStyle w:val="45"/>
        <w:numPr>
          <w:ilvl w:val="0"/>
          <w:numId w:val="38"/>
        </w:numPr>
        <w:tabs>
          <w:tab w:val="left" w:pos="923"/>
        </w:tabs>
        <w:spacing w:after="100" w:line="240" w:lineRule="auto"/>
        <w:ind w:firstLine="440"/>
        <w:jc w:val="both"/>
        <w:rPr>
          <w:color w:val="auto"/>
          <w:sz w:val="24"/>
          <w:szCs w:val="24"/>
          <w:highlight w:val="none"/>
        </w:rPr>
      </w:pPr>
      <w:bookmarkStart w:id="1056" w:name="bookmark1590"/>
      <w:bookmarkEnd w:id="1056"/>
      <w:r>
        <w:rPr>
          <w:color w:val="auto"/>
          <w:sz w:val="24"/>
          <w:szCs w:val="24"/>
          <w:highlight w:val="none"/>
        </w:rPr>
        <w:t>中标通知书；</w:t>
      </w:r>
    </w:p>
    <w:p>
      <w:pPr>
        <w:pStyle w:val="45"/>
        <w:numPr>
          <w:ilvl w:val="0"/>
          <w:numId w:val="38"/>
        </w:numPr>
        <w:tabs>
          <w:tab w:val="left" w:pos="923"/>
        </w:tabs>
        <w:spacing w:after="100" w:line="240" w:lineRule="auto"/>
        <w:ind w:firstLine="440"/>
        <w:jc w:val="both"/>
        <w:rPr>
          <w:color w:val="auto"/>
          <w:sz w:val="24"/>
          <w:szCs w:val="24"/>
          <w:highlight w:val="none"/>
        </w:rPr>
      </w:pPr>
      <w:bookmarkStart w:id="1057" w:name="bookmark1591"/>
      <w:bookmarkEnd w:id="1057"/>
      <w:r>
        <w:rPr>
          <w:color w:val="auto"/>
          <w:sz w:val="24"/>
          <w:szCs w:val="24"/>
          <w:highlight w:val="none"/>
        </w:rPr>
        <w:t>投标函及投标函附录；</w:t>
      </w:r>
    </w:p>
    <w:p>
      <w:pPr>
        <w:pStyle w:val="45"/>
        <w:numPr>
          <w:ilvl w:val="0"/>
          <w:numId w:val="38"/>
        </w:numPr>
        <w:tabs>
          <w:tab w:val="left" w:pos="923"/>
        </w:tabs>
        <w:spacing w:after="100" w:line="240" w:lineRule="auto"/>
        <w:ind w:firstLine="440"/>
        <w:jc w:val="both"/>
        <w:rPr>
          <w:color w:val="auto"/>
          <w:sz w:val="24"/>
          <w:szCs w:val="24"/>
          <w:highlight w:val="none"/>
        </w:rPr>
      </w:pPr>
      <w:bookmarkStart w:id="1058" w:name="bookmark1592"/>
      <w:bookmarkEnd w:id="1058"/>
      <w:r>
        <w:rPr>
          <w:color w:val="auto"/>
          <w:sz w:val="24"/>
          <w:szCs w:val="24"/>
          <w:highlight w:val="none"/>
        </w:rPr>
        <w:t>专用合同条款(含附加条款)；</w:t>
      </w:r>
    </w:p>
    <w:p>
      <w:pPr>
        <w:pStyle w:val="45"/>
        <w:numPr>
          <w:ilvl w:val="0"/>
          <w:numId w:val="38"/>
        </w:numPr>
        <w:tabs>
          <w:tab w:val="left" w:pos="923"/>
        </w:tabs>
        <w:spacing w:after="100" w:line="240" w:lineRule="auto"/>
        <w:ind w:firstLine="440"/>
        <w:jc w:val="both"/>
        <w:rPr>
          <w:color w:val="auto"/>
          <w:sz w:val="24"/>
          <w:szCs w:val="24"/>
          <w:highlight w:val="none"/>
        </w:rPr>
      </w:pPr>
      <w:bookmarkStart w:id="1059" w:name="bookmark1593"/>
      <w:bookmarkEnd w:id="1059"/>
      <w:r>
        <w:rPr>
          <w:color w:val="auto"/>
          <w:sz w:val="24"/>
          <w:szCs w:val="24"/>
          <w:highlight w:val="none"/>
        </w:rPr>
        <w:t>通用合同条款；</w:t>
      </w:r>
    </w:p>
    <w:p>
      <w:pPr>
        <w:pStyle w:val="45"/>
        <w:numPr>
          <w:ilvl w:val="0"/>
          <w:numId w:val="38"/>
        </w:numPr>
        <w:tabs>
          <w:tab w:val="left" w:pos="923"/>
        </w:tabs>
        <w:spacing w:after="100" w:line="240" w:lineRule="auto"/>
        <w:ind w:firstLine="440"/>
        <w:jc w:val="both"/>
        <w:rPr>
          <w:color w:val="auto"/>
          <w:sz w:val="24"/>
          <w:szCs w:val="24"/>
          <w:highlight w:val="none"/>
        </w:rPr>
      </w:pPr>
      <w:bookmarkStart w:id="1060" w:name="bookmark1594"/>
      <w:bookmarkEnd w:id="1060"/>
      <w:r>
        <w:rPr>
          <w:color w:val="auto"/>
          <w:sz w:val="24"/>
          <w:szCs w:val="24"/>
          <w:highlight w:val="none"/>
        </w:rPr>
        <w:t>技术标准和要求(合同技术条款)；</w:t>
      </w:r>
    </w:p>
    <w:p>
      <w:pPr>
        <w:pStyle w:val="45"/>
        <w:numPr>
          <w:ilvl w:val="0"/>
          <w:numId w:val="38"/>
        </w:numPr>
        <w:tabs>
          <w:tab w:val="left" w:pos="923"/>
        </w:tabs>
        <w:spacing w:after="100" w:line="240" w:lineRule="auto"/>
        <w:ind w:firstLine="440"/>
        <w:jc w:val="both"/>
        <w:rPr>
          <w:color w:val="auto"/>
          <w:sz w:val="24"/>
          <w:szCs w:val="24"/>
          <w:highlight w:val="none"/>
        </w:rPr>
      </w:pPr>
      <w:bookmarkStart w:id="1061" w:name="bookmark1595"/>
      <w:bookmarkEnd w:id="1061"/>
      <w:r>
        <w:rPr>
          <w:color w:val="auto"/>
          <w:sz w:val="24"/>
          <w:szCs w:val="24"/>
          <w:highlight w:val="none"/>
        </w:rPr>
        <w:t>图纸；</w:t>
      </w:r>
    </w:p>
    <w:p>
      <w:pPr>
        <w:pStyle w:val="45"/>
        <w:numPr>
          <w:ilvl w:val="0"/>
          <w:numId w:val="38"/>
        </w:numPr>
        <w:tabs>
          <w:tab w:val="left" w:pos="923"/>
        </w:tabs>
        <w:spacing w:after="100" w:line="240" w:lineRule="auto"/>
        <w:ind w:firstLine="440"/>
        <w:jc w:val="both"/>
        <w:rPr>
          <w:color w:val="auto"/>
          <w:sz w:val="24"/>
          <w:szCs w:val="24"/>
          <w:highlight w:val="none"/>
        </w:rPr>
      </w:pPr>
      <w:bookmarkStart w:id="1062" w:name="bookmark1596"/>
      <w:bookmarkEnd w:id="1062"/>
      <w:r>
        <w:rPr>
          <w:color w:val="auto"/>
          <w:sz w:val="24"/>
          <w:szCs w:val="24"/>
          <w:highlight w:val="none"/>
        </w:rPr>
        <w:t>已标价工程量清单；</w:t>
      </w:r>
    </w:p>
    <w:p>
      <w:pPr>
        <w:pStyle w:val="45"/>
        <w:numPr>
          <w:ilvl w:val="0"/>
          <w:numId w:val="38"/>
        </w:numPr>
        <w:tabs>
          <w:tab w:val="left" w:pos="923"/>
        </w:tabs>
        <w:spacing w:after="100" w:line="240" w:lineRule="auto"/>
        <w:ind w:firstLine="440"/>
        <w:jc w:val="both"/>
        <w:rPr>
          <w:color w:val="auto"/>
          <w:sz w:val="24"/>
          <w:szCs w:val="24"/>
          <w:highlight w:val="none"/>
        </w:rPr>
      </w:pPr>
      <w:bookmarkStart w:id="1063" w:name="bookmark1597"/>
      <w:bookmarkEnd w:id="1063"/>
      <w:r>
        <w:rPr>
          <w:color w:val="auto"/>
          <w:sz w:val="24"/>
          <w:szCs w:val="24"/>
          <w:highlight w:val="none"/>
        </w:rPr>
        <w:t>投标文件其他内容；</w:t>
      </w:r>
    </w:p>
    <w:p>
      <w:pPr>
        <w:pStyle w:val="45"/>
        <w:numPr>
          <w:ilvl w:val="0"/>
          <w:numId w:val="38"/>
        </w:numPr>
        <w:tabs>
          <w:tab w:val="left" w:pos="1026"/>
        </w:tabs>
        <w:spacing w:after="240" w:line="240" w:lineRule="auto"/>
        <w:ind w:firstLine="440"/>
        <w:jc w:val="both"/>
        <w:rPr>
          <w:color w:val="auto"/>
          <w:sz w:val="24"/>
          <w:szCs w:val="24"/>
          <w:highlight w:val="none"/>
        </w:rPr>
      </w:pPr>
      <w:bookmarkStart w:id="1064" w:name="bookmark1598"/>
      <w:bookmarkEnd w:id="1064"/>
      <w:r>
        <w:rPr>
          <w:color w:val="auto"/>
          <w:sz w:val="24"/>
          <w:szCs w:val="24"/>
          <w:highlight w:val="none"/>
        </w:rPr>
        <w:t>其他合同文件。</w:t>
      </w:r>
    </w:p>
    <w:p>
      <w:pPr>
        <w:pStyle w:val="6"/>
        <w:ind w:left="0" w:leftChars="0" w:firstLine="0" w:firstLineChars="0"/>
        <w:jc w:val="both"/>
        <w:rPr>
          <w:color w:val="auto"/>
          <w:sz w:val="24"/>
          <w:szCs w:val="24"/>
          <w:highlight w:val="none"/>
          <w:lang w:eastAsia="zh-CN"/>
        </w:rPr>
      </w:pPr>
      <w:bookmarkStart w:id="1065" w:name="bookmark1601"/>
      <w:bookmarkStart w:id="1066" w:name="bookmark1600"/>
      <w:bookmarkStart w:id="1067" w:name="bookmark1599"/>
      <w:r>
        <w:rPr>
          <w:color w:val="auto"/>
          <w:sz w:val="24"/>
          <w:szCs w:val="24"/>
          <w:highlight w:val="none"/>
          <w:lang w:eastAsia="zh-CN"/>
        </w:rPr>
        <w:t>1.7联络</w:t>
      </w:r>
      <w:bookmarkEnd w:id="1065"/>
      <w:bookmarkEnd w:id="1066"/>
      <w:bookmarkEnd w:id="1067"/>
    </w:p>
    <w:p>
      <w:pPr>
        <w:pStyle w:val="45"/>
        <w:tabs>
          <w:tab w:val="left" w:pos="2074"/>
        </w:tabs>
        <w:spacing w:after="180" w:line="382" w:lineRule="exact"/>
        <w:ind w:firstLine="46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1.7.2</w:t>
      </w:r>
      <w:r>
        <w:rPr>
          <w:color w:val="auto"/>
          <w:sz w:val="24"/>
          <w:szCs w:val="24"/>
          <w:highlight w:val="none"/>
        </w:rPr>
        <w:t>来往函件均应按技术标准和要求(合同技术条款)约定的期限送</w:t>
      </w:r>
      <w:r>
        <w:rPr>
          <w:rFonts w:hint="eastAsia"/>
          <w:color w:val="auto"/>
          <w:sz w:val="24"/>
          <w:szCs w:val="24"/>
          <w:highlight w:val="none"/>
          <w:u w:val="single"/>
          <w:lang w:val="en-US" w:eastAsia="zh-CN"/>
        </w:rPr>
        <w:t xml:space="preserve">      </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068" w:name="bookmark1604"/>
      <w:bookmarkEnd w:id="1068"/>
      <w:bookmarkStart w:id="1069" w:name="_Toc105283944"/>
      <w:bookmarkStart w:id="1070" w:name="bookmark1605"/>
      <w:bookmarkStart w:id="1071" w:name="_Toc7249"/>
      <w:bookmarkStart w:id="1072" w:name="bookmark1603"/>
      <w:bookmarkStart w:id="1073" w:name="_Toc30112"/>
      <w:bookmarkStart w:id="1074" w:name="bookmark1602"/>
      <w:bookmarkStart w:id="1075" w:name="_Toc27866"/>
      <w:r>
        <w:rPr>
          <w:rFonts w:hint="eastAsia"/>
          <w:color w:val="auto"/>
          <w:sz w:val="24"/>
          <w:szCs w:val="24"/>
          <w:highlight w:val="none"/>
          <w:lang w:eastAsia="zh-CN"/>
        </w:rPr>
        <w:t>2. 发包人义务</w:t>
      </w:r>
      <w:bookmarkEnd w:id="1069"/>
      <w:bookmarkEnd w:id="1070"/>
      <w:bookmarkEnd w:id="1071"/>
      <w:bookmarkEnd w:id="1072"/>
      <w:bookmarkEnd w:id="1073"/>
      <w:bookmarkEnd w:id="1074"/>
      <w:bookmarkEnd w:id="1075"/>
    </w:p>
    <w:p>
      <w:pPr>
        <w:pStyle w:val="6"/>
        <w:ind w:left="0" w:leftChars="0" w:firstLine="0" w:firstLineChars="0"/>
        <w:jc w:val="both"/>
        <w:rPr>
          <w:color w:val="auto"/>
          <w:sz w:val="24"/>
          <w:szCs w:val="24"/>
          <w:highlight w:val="none"/>
          <w:lang w:eastAsia="zh-CN"/>
        </w:rPr>
      </w:pPr>
      <w:bookmarkStart w:id="1076" w:name="bookmark1607"/>
      <w:bookmarkStart w:id="1077" w:name="bookmark1606"/>
      <w:bookmarkStart w:id="1078" w:name="bookmark1608"/>
      <w:r>
        <w:rPr>
          <w:color w:val="auto"/>
          <w:sz w:val="24"/>
          <w:szCs w:val="24"/>
          <w:highlight w:val="none"/>
          <w:lang w:eastAsia="zh-CN"/>
        </w:rPr>
        <w:t>2.3提供施工场地</w:t>
      </w:r>
      <w:bookmarkEnd w:id="1076"/>
      <w:bookmarkEnd w:id="1077"/>
      <w:bookmarkEnd w:id="1078"/>
    </w:p>
    <w:p>
      <w:pPr>
        <w:pStyle w:val="45"/>
        <w:tabs>
          <w:tab w:val="left" w:pos="8227"/>
        </w:tabs>
        <w:spacing w:after="180" w:line="422" w:lineRule="exact"/>
        <w:ind w:firstLine="460"/>
        <w:jc w:val="both"/>
        <w:rPr>
          <w:rFonts w:ascii="Times New Roman" w:hAnsi="Times New Roman" w:eastAsia="Times New Roman" w:cs="Times New Roman"/>
          <w:color w:val="auto"/>
          <w:sz w:val="24"/>
          <w:szCs w:val="24"/>
          <w:highlight w:val="none"/>
          <w:lang w:val="en-US" w:bidi="en-US"/>
        </w:rPr>
      </w:pPr>
      <w:r>
        <w:rPr>
          <w:rFonts w:ascii="Times New Roman" w:hAnsi="Times New Roman" w:eastAsia="Times New Roman" w:cs="Times New Roman"/>
          <w:color w:val="auto"/>
          <w:sz w:val="24"/>
          <w:szCs w:val="24"/>
          <w:highlight w:val="none"/>
          <w:lang w:val="en-US" w:bidi="en-US"/>
        </w:rPr>
        <w:t>2.3.2发包人提供的施工场地范围为：</w:t>
      </w:r>
      <w:r>
        <w:rPr>
          <w:rFonts w:hint="eastAsia" w:ascii="Times New Roman" w:hAnsi="Times New Roman" w:eastAsia="Times New Roman" w:cs="Times New Roman"/>
          <w:color w:val="auto"/>
          <w:sz w:val="24"/>
          <w:szCs w:val="24"/>
          <w:highlight w:val="none"/>
          <w:lang w:val="en-US" w:bidi="en-US"/>
        </w:rPr>
        <w:t xml:space="preserve"> 发包人负责办理工地范围内的征地、拆迁和移民等有关手续，并提供施工场地周围管线（含地上及地下）和邻近建筑物、构筑物(含文物保护建筑)、古树名木等相关资料，向承包人提供施工用地。</w:t>
      </w:r>
    </w:p>
    <w:p>
      <w:pPr>
        <w:pStyle w:val="45"/>
        <w:tabs>
          <w:tab w:val="left" w:pos="8227"/>
        </w:tabs>
        <w:spacing w:after="180" w:line="422" w:lineRule="exact"/>
        <w:ind w:firstLine="460"/>
        <w:jc w:val="both"/>
        <w:rPr>
          <w:rFonts w:hint="eastAsia" w:ascii="Times New Roman" w:hAnsi="Times New Roman" w:cs="Times New Roman"/>
          <w:color w:val="auto"/>
          <w:sz w:val="24"/>
          <w:szCs w:val="24"/>
          <w:highlight w:val="none"/>
          <w:lang w:val="en-US" w:bidi="en-US"/>
        </w:rPr>
      </w:pPr>
      <w:r>
        <w:rPr>
          <w:rFonts w:ascii="Times New Roman" w:hAnsi="Times New Roman" w:eastAsia="Times New Roman" w:cs="Times New Roman"/>
          <w:color w:val="auto"/>
          <w:sz w:val="24"/>
          <w:szCs w:val="24"/>
          <w:highlight w:val="none"/>
          <w:lang w:val="en-US" w:bidi="en-US"/>
        </w:rPr>
        <w:t>2.3.3发包人应在开工前14天内，向承包人提供与施工现场相关的工程地质和地下管线资料，对资料的真实准确性负责。但发包人对承包人在使用上述资料时所作的分析、判断和推论不承担责任。发包人负责协调处理施工场地周围地下管线和邻近建筑物、构筑物的保护工作，并协助解决对承包人施工有干扰的外部条件</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079" w:name="bookmark1614"/>
      <w:bookmarkEnd w:id="1079"/>
      <w:bookmarkStart w:id="1080" w:name="bookmark1609"/>
      <w:bookmarkEnd w:id="1080"/>
      <w:bookmarkStart w:id="1081" w:name="_Toc2059059865"/>
      <w:bookmarkStart w:id="1082" w:name="_Toc6637"/>
      <w:bookmarkStart w:id="1083" w:name="_Toc5847"/>
      <w:bookmarkStart w:id="1084" w:name="bookmark1615"/>
      <w:bookmarkStart w:id="1085" w:name="_Toc23945"/>
      <w:bookmarkStart w:id="1086" w:name="bookmark1613"/>
      <w:bookmarkStart w:id="1087" w:name="bookmark1612"/>
      <w:r>
        <w:rPr>
          <w:rFonts w:hint="eastAsia"/>
          <w:color w:val="auto"/>
          <w:sz w:val="24"/>
          <w:szCs w:val="24"/>
          <w:highlight w:val="none"/>
          <w:lang w:eastAsia="zh-CN"/>
        </w:rPr>
        <w:t>3. 监理人</w:t>
      </w:r>
      <w:bookmarkEnd w:id="1081"/>
      <w:bookmarkEnd w:id="1082"/>
      <w:bookmarkEnd w:id="1083"/>
      <w:bookmarkEnd w:id="1084"/>
      <w:bookmarkEnd w:id="1085"/>
    </w:p>
    <w:p>
      <w:pPr>
        <w:pStyle w:val="6"/>
        <w:ind w:left="0" w:leftChars="0" w:firstLine="0" w:firstLineChars="0"/>
        <w:jc w:val="both"/>
        <w:rPr>
          <w:color w:val="auto"/>
          <w:sz w:val="24"/>
          <w:szCs w:val="24"/>
          <w:highlight w:val="none"/>
          <w:lang w:eastAsia="zh-CN"/>
        </w:rPr>
      </w:pPr>
      <w:bookmarkStart w:id="1088" w:name="bookmark1616"/>
      <w:r>
        <w:rPr>
          <w:color w:val="auto"/>
          <w:sz w:val="24"/>
          <w:szCs w:val="24"/>
          <w:highlight w:val="none"/>
          <w:lang w:eastAsia="zh-CN"/>
        </w:rPr>
        <w:t>3.1监理人的职责和权力</w:t>
      </w:r>
      <w:bookmarkEnd w:id="1086"/>
      <w:bookmarkEnd w:id="1087"/>
      <w:bookmarkEnd w:id="1088"/>
    </w:p>
    <w:p>
      <w:pPr>
        <w:pStyle w:val="45"/>
        <w:spacing w:after="280" w:line="353"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3.1.1</w:t>
      </w:r>
      <w:r>
        <w:rPr>
          <w:color w:val="auto"/>
          <w:sz w:val="24"/>
          <w:szCs w:val="24"/>
          <w:highlight w:val="none"/>
        </w:rPr>
        <w:t>监理人须根据发包人事先批准的权力范围行使权力，发包人批准的权力范围： 按本工程委托监理合同。</w:t>
      </w:r>
    </w:p>
    <w:p>
      <w:pPr>
        <w:pStyle w:val="5"/>
        <w:spacing w:line="360" w:lineRule="exact"/>
        <w:jc w:val="both"/>
        <w:rPr>
          <w:rFonts w:hint="eastAsia"/>
          <w:color w:val="auto"/>
          <w:sz w:val="24"/>
          <w:szCs w:val="24"/>
          <w:highlight w:val="none"/>
          <w:lang w:eastAsia="zh-CN"/>
        </w:rPr>
      </w:pPr>
      <w:bookmarkStart w:id="1089" w:name="bookmark1619"/>
      <w:bookmarkEnd w:id="1089"/>
      <w:bookmarkStart w:id="1090" w:name="_Toc23429"/>
      <w:bookmarkStart w:id="1091" w:name="_Toc4014"/>
      <w:bookmarkStart w:id="1092" w:name="_Toc26032"/>
      <w:bookmarkStart w:id="1093" w:name="_Toc718918703"/>
      <w:bookmarkStart w:id="1094" w:name="bookmark1620"/>
      <w:bookmarkStart w:id="1095" w:name="bookmark1618"/>
      <w:bookmarkStart w:id="1096" w:name="bookmark1617"/>
      <w:r>
        <w:rPr>
          <w:rFonts w:hint="eastAsia"/>
          <w:color w:val="auto"/>
          <w:sz w:val="24"/>
          <w:szCs w:val="24"/>
          <w:highlight w:val="none"/>
          <w:lang w:eastAsia="zh-CN"/>
        </w:rPr>
        <w:t>4. 承包人</w:t>
      </w:r>
      <w:bookmarkEnd w:id="1090"/>
      <w:bookmarkEnd w:id="1091"/>
      <w:bookmarkEnd w:id="1092"/>
      <w:bookmarkEnd w:id="1093"/>
      <w:bookmarkEnd w:id="1094"/>
    </w:p>
    <w:p>
      <w:pPr>
        <w:pStyle w:val="6"/>
        <w:ind w:left="0" w:leftChars="0" w:firstLine="0" w:firstLineChars="0"/>
        <w:jc w:val="both"/>
        <w:rPr>
          <w:color w:val="auto"/>
          <w:sz w:val="24"/>
          <w:szCs w:val="24"/>
          <w:highlight w:val="none"/>
          <w:lang w:eastAsia="zh-CN"/>
        </w:rPr>
      </w:pPr>
      <w:bookmarkStart w:id="1097" w:name="bookmark1621"/>
      <w:r>
        <w:rPr>
          <w:color w:val="auto"/>
          <w:sz w:val="24"/>
          <w:szCs w:val="24"/>
          <w:highlight w:val="none"/>
          <w:lang w:eastAsia="zh-CN"/>
        </w:rPr>
        <w:t>4.1承包人的一般义务</w:t>
      </w:r>
      <w:bookmarkEnd w:id="1095"/>
      <w:bookmarkEnd w:id="1096"/>
      <w:bookmarkEnd w:id="1097"/>
    </w:p>
    <w:p>
      <w:pPr>
        <w:ind w:firstLine="480" w:firstLineChars="200"/>
        <w:jc w:val="both"/>
        <w:rPr>
          <w:rFonts w:ascii="Times New Roman" w:hAnsi="Times New Roman" w:eastAsia="宋体"/>
          <w:color w:val="auto"/>
          <w:sz w:val="24"/>
          <w:szCs w:val="24"/>
          <w:highlight w:val="none"/>
          <w:lang w:eastAsia="zh-CN"/>
        </w:rPr>
      </w:pPr>
      <w:bookmarkStart w:id="1098" w:name="bookmark1622"/>
      <w:bookmarkEnd w:id="1098"/>
      <w:r>
        <w:rPr>
          <w:rFonts w:ascii="Times New Roman" w:hAnsi="Times New Roman" w:eastAsia="宋体"/>
          <w:color w:val="auto"/>
          <w:sz w:val="24"/>
          <w:szCs w:val="24"/>
          <w:highlight w:val="none"/>
          <w:lang w:eastAsia="zh-CN"/>
        </w:rPr>
        <w:t>4.1.10其他义务</w:t>
      </w:r>
    </w:p>
    <w:p>
      <w:pPr>
        <w:pStyle w:val="45"/>
        <w:numPr>
          <w:ins w:id="0" w:author="Unknown" w:date="2022-06-02T18:15:00Z"/>
        </w:numPr>
        <w:spacing w:line="360" w:lineRule="exact"/>
        <w:ind w:firstLine="442"/>
        <w:jc w:val="both"/>
        <w:rPr>
          <w:color w:val="auto"/>
          <w:sz w:val="24"/>
          <w:szCs w:val="24"/>
          <w:highlight w:val="none"/>
        </w:rPr>
      </w:pPr>
      <w:bookmarkStart w:id="1099" w:name="bookmark1623"/>
      <w:bookmarkEnd w:id="1099"/>
      <w:r>
        <w:rPr>
          <w:rFonts w:hint="eastAsia"/>
          <w:color w:val="auto"/>
          <w:sz w:val="24"/>
          <w:szCs w:val="24"/>
          <w:highlight w:val="none"/>
        </w:rPr>
        <w:t>（一）</w:t>
      </w:r>
      <w:r>
        <w:rPr>
          <w:color w:val="auto"/>
          <w:sz w:val="24"/>
          <w:szCs w:val="24"/>
          <w:highlight w:val="none"/>
        </w:rPr>
        <w:t>办理有关保险。</w:t>
      </w:r>
    </w:p>
    <w:p>
      <w:pPr>
        <w:pStyle w:val="45"/>
        <w:spacing w:line="360" w:lineRule="exact"/>
        <w:ind w:firstLine="442"/>
        <w:jc w:val="both"/>
        <w:rPr>
          <w:color w:val="auto"/>
          <w:sz w:val="24"/>
          <w:szCs w:val="24"/>
          <w:highlight w:val="none"/>
        </w:rPr>
      </w:pPr>
      <w:r>
        <w:rPr>
          <w:color w:val="auto"/>
          <w:sz w:val="24"/>
          <w:szCs w:val="24"/>
          <w:highlight w:val="none"/>
        </w:rPr>
        <w:t>按照《</w:t>
      </w:r>
      <w:r>
        <w:rPr>
          <w:rFonts w:hint="eastAsia"/>
          <w:color w:val="auto"/>
          <w:sz w:val="24"/>
          <w:szCs w:val="24"/>
          <w:highlight w:val="none"/>
        </w:rPr>
        <w:t>中华人民共和国建筑法</w:t>
      </w:r>
      <w:r>
        <w:rPr>
          <w:color w:val="auto"/>
          <w:sz w:val="24"/>
          <w:szCs w:val="24"/>
          <w:highlight w:val="none"/>
        </w:rPr>
        <w:t>》规定，必须在工程开工前，为参加本合同工程现场施工的所有作业人员及管理人员，包括参加工程建设的管理人员、监理人员、施工人员(含民工)办理工伤保险，并缴纳工伤保险费。保险期限自投保之日(工程开工之日)起至工程竣工验收时止, 时间上涵盖施工全过程的任一时段。</w:t>
      </w:r>
    </w:p>
    <w:p>
      <w:pPr>
        <w:pStyle w:val="45"/>
        <w:spacing w:line="360" w:lineRule="exact"/>
        <w:ind w:firstLine="442"/>
        <w:jc w:val="both"/>
        <w:rPr>
          <w:color w:val="auto"/>
          <w:sz w:val="24"/>
          <w:szCs w:val="24"/>
          <w:highlight w:val="none"/>
        </w:rPr>
      </w:pPr>
      <w:r>
        <w:rPr>
          <w:color w:val="auto"/>
          <w:sz w:val="24"/>
          <w:szCs w:val="24"/>
          <w:highlight w:val="none"/>
        </w:rPr>
        <w:t>按照《</w:t>
      </w:r>
      <w:r>
        <w:rPr>
          <w:rFonts w:hint="eastAsia"/>
          <w:color w:val="auto"/>
          <w:sz w:val="24"/>
          <w:szCs w:val="24"/>
          <w:highlight w:val="none"/>
        </w:rPr>
        <w:t>中华人民共和国建筑法</w:t>
      </w:r>
      <w:r>
        <w:rPr>
          <w:color w:val="auto"/>
          <w:sz w:val="24"/>
          <w:szCs w:val="24"/>
          <w:highlight w:val="none"/>
        </w:rPr>
        <w:t>》规定，鼓励为从事危险作业的职工办理意外伤害保险。</w:t>
      </w:r>
    </w:p>
    <w:p>
      <w:pPr>
        <w:pStyle w:val="45"/>
        <w:tabs>
          <w:tab w:val="left" w:pos="1028"/>
        </w:tabs>
        <w:spacing w:line="360" w:lineRule="exact"/>
        <w:ind w:firstLine="240" w:firstLineChars="100"/>
        <w:jc w:val="both"/>
        <w:rPr>
          <w:rFonts w:hint="eastAsia" w:eastAsia="宋体"/>
          <w:color w:val="auto"/>
          <w:sz w:val="24"/>
          <w:szCs w:val="24"/>
          <w:highlight w:val="none"/>
          <w:lang w:eastAsia="zh-CN"/>
        </w:rPr>
      </w:pPr>
      <w:bookmarkStart w:id="1100" w:name="bookmark1624"/>
      <w:bookmarkEnd w:id="1100"/>
      <w:r>
        <w:rPr>
          <w:rFonts w:hint="eastAsia"/>
          <w:color w:val="auto"/>
          <w:sz w:val="24"/>
          <w:szCs w:val="24"/>
          <w:highlight w:val="none"/>
        </w:rPr>
        <w:t>（二）</w:t>
      </w:r>
      <w:r>
        <w:rPr>
          <w:color w:val="auto"/>
          <w:sz w:val="24"/>
          <w:szCs w:val="24"/>
          <w:highlight w:val="none"/>
        </w:rPr>
        <w:t>依法与招用的农民工签订并履行劳动合同，建立职工名册，及时办理劳动用工备案。实行农民工工资专用账户管理、银行代发农民工工资制度和农民工工资保证金制度</w:t>
      </w:r>
      <w:r>
        <w:rPr>
          <w:rFonts w:hint="eastAsia"/>
          <w:color w:val="auto"/>
          <w:sz w:val="24"/>
          <w:szCs w:val="24"/>
          <w:highlight w:val="none"/>
          <w:lang w:eastAsia="zh-CN"/>
        </w:rPr>
        <w:t>等</w:t>
      </w:r>
      <w:r>
        <w:rPr>
          <w:color w:val="auto"/>
          <w:sz w:val="24"/>
          <w:szCs w:val="24"/>
          <w:highlight w:val="none"/>
        </w:rPr>
        <w:t>。</w:t>
      </w:r>
      <w:r>
        <w:rPr>
          <w:rFonts w:hint="eastAsia"/>
          <w:color w:val="auto"/>
          <w:sz w:val="24"/>
          <w:szCs w:val="24"/>
          <w:highlight w:val="none"/>
        </w:rPr>
        <w:t>根据《广西壮族自治区人力资源和社会保障厅 广西壮族自治区住房和城乡建设厅 广西壮族自治区交通运输厅 广西壮族自治区水利厅 中国银行保险监督管理委员会广西监管局关于印发广西壮族自治区工程建设领域农民工工资保证金规定实施办法的通知》（桂人社规〔2021〕16号）</w:t>
      </w:r>
      <w:r>
        <w:rPr>
          <w:rFonts w:hint="eastAsia"/>
          <w:color w:val="auto"/>
          <w:sz w:val="24"/>
          <w:szCs w:val="24"/>
          <w:highlight w:val="none"/>
          <w:lang w:eastAsia="zh-CN"/>
        </w:rPr>
        <w:t>执行</w:t>
      </w:r>
      <w:r>
        <w:rPr>
          <w:rFonts w:hint="eastAsia"/>
          <w:color w:val="auto"/>
          <w:sz w:val="24"/>
          <w:szCs w:val="24"/>
          <w:highlight w:val="none"/>
        </w:rPr>
        <w:t>农民工工资保证金</w:t>
      </w:r>
      <w:r>
        <w:rPr>
          <w:rFonts w:hint="eastAsia"/>
          <w:color w:val="auto"/>
          <w:sz w:val="24"/>
          <w:szCs w:val="24"/>
          <w:highlight w:val="none"/>
          <w:lang w:eastAsia="zh-CN"/>
        </w:rPr>
        <w:t>有关</w:t>
      </w:r>
      <w:r>
        <w:rPr>
          <w:rFonts w:hint="eastAsia"/>
          <w:color w:val="auto"/>
          <w:sz w:val="24"/>
          <w:szCs w:val="24"/>
          <w:highlight w:val="none"/>
        </w:rPr>
        <w:t>制度</w:t>
      </w:r>
      <w:r>
        <w:rPr>
          <w:rFonts w:hint="eastAsia"/>
          <w:color w:val="auto"/>
          <w:sz w:val="24"/>
          <w:szCs w:val="24"/>
          <w:highlight w:val="none"/>
          <w:lang w:eastAsia="zh-CN"/>
        </w:rPr>
        <w:t>，按照《广西壮族自治区人力资源和社会保障厅等8部门关于印发广西壮族自治区工程建设领域农民工工资专用账户管理暂行办法实施细则的通知》做好农民工工资专用账户管理工作。</w:t>
      </w:r>
    </w:p>
    <w:p>
      <w:pPr>
        <w:pStyle w:val="45"/>
        <w:tabs>
          <w:tab w:val="left" w:pos="1031"/>
        </w:tabs>
        <w:spacing w:line="360" w:lineRule="exact"/>
        <w:ind w:firstLine="240" w:firstLineChars="100"/>
        <w:jc w:val="both"/>
        <w:rPr>
          <w:color w:val="auto"/>
          <w:sz w:val="24"/>
          <w:szCs w:val="24"/>
          <w:highlight w:val="none"/>
        </w:rPr>
      </w:pPr>
      <w:bookmarkStart w:id="1101" w:name="bookmark1625"/>
      <w:bookmarkEnd w:id="1101"/>
      <w:r>
        <w:rPr>
          <w:rFonts w:hint="eastAsia"/>
          <w:color w:val="auto"/>
          <w:sz w:val="24"/>
          <w:szCs w:val="24"/>
          <w:highlight w:val="none"/>
        </w:rPr>
        <w:t>（三）</w:t>
      </w:r>
      <w:r>
        <w:rPr>
          <w:color w:val="auto"/>
          <w:sz w:val="24"/>
          <w:szCs w:val="24"/>
          <w:highlight w:val="none"/>
        </w:rPr>
        <w:t>工程施工的义务和责任</w:t>
      </w:r>
    </w:p>
    <w:p>
      <w:pPr>
        <w:pStyle w:val="45"/>
        <w:numPr>
          <w:ilvl w:val="0"/>
          <w:numId w:val="39"/>
        </w:numPr>
        <w:tabs>
          <w:tab w:val="left" w:pos="920"/>
        </w:tabs>
        <w:spacing w:line="359" w:lineRule="exact"/>
        <w:ind w:firstLine="440"/>
        <w:jc w:val="both"/>
        <w:rPr>
          <w:color w:val="auto"/>
          <w:sz w:val="24"/>
          <w:szCs w:val="24"/>
          <w:highlight w:val="none"/>
        </w:rPr>
      </w:pPr>
      <w:bookmarkStart w:id="1102" w:name="bookmark1626"/>
      <w:bookmarkEnd w:id="1102"/>
      <w:r>
        <w:rPr>
          <w:color w:val="auto"/>
          <w:sz w:val="24"/>
          <w:szCs w:val="24"/>
          <w:highlight w:val="none"/>
        </w:rPr>
        <w:t>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pStyle w:val="45"/>
        <w:numPr>
          <w:ilvl w:val="0"/>
          <w:numId w:val="39"/>
        </w:numPr>
        <w:tabs>
          <w:tab w:val="left" w:pos="918"/>
        </w:tabs>
        <w:spacing w:line="359" w:lineRule="exact"/>
        <w:ind w:firstLine="440"/>
        <w:jc w:val="both"/>
        <w:rPr>
          <w:color w:val="auto"/>
          <w:sz w:val="24"/>
          <w:szCs w:val="24"/>
          <w:highlight w:val="none"/>
        </w:rPr>
      </w:pPr>
      <w:bookmarkStart w:id="1103" w:name="bookmark1627"/>
      <w:bookmarkEnd w:id="1103"/>
      <w:r>
        <w:rPr>
          <w:color w:val="auto"/>
          <w:sz w:val="24"/>
          <w:szCs w:val="24"/>
          <w:highlight w:val="none"/>
        </w:rPr>
        <w:t>除民房外，承包人应按监理人的指示负责拆除、清理已征用土地上的杂物、灌木、 树木、树根、杂草等。</w:t>
      </w:r>
    </w:p>
    <w:p>
      <w:pPr>
        <w:pStyle w:val="45"/>
        <w:numPr>
          <w:ilvl w:val="0"/>
          <w:numId w:val="39"/>
        </w:numPr>
        <w:tabs>
          <w:tab w:val="left" w:pos="920"/>
        </w:tabs>
        <w:spacing w:line="359" w:lineRule="exact"/>
        <w:ind w:firstLine="440"/>
        <w:jc w:val="both"/>
        <w:rPr>
          <w:color w:val="auto"/>
          <w:sz w:val="24"/>
          <w:szCs w:val="24"/>
          <w:highlight w:val="none"/>
        </w:rPr>
      </w:pPr>
      <w:bookmarkStart w:id="1104" w:name="bookmark1628"/>
      <w:bookmarkEnd w:id="1104"/>
      <w:r>
        <w:rPr>
          <w:color w:val="auto"/>
          <w:sz w:val="24"/>
          <w:szCs w:val="24"/>
          <w:highlight w:val="none"/>
        </w:rPr>
        <w:t>承包人应充分理解有一些设施(如施工道路、桥梁)可能会有其它人和单位使用通行，在使用过程中发生干扰时，应立即通知监理人并服从监理人的决定。</w:t>
      </w:r>
    </w:p>
    <w:p>
      <w:pPr>
        <w:pStyle w:val="45"/>
        <w:numPr>
          <w:ilvl w:val="0"/>
          <w:numId w:val="39"/>
        </w:numPr>
        <w:tabs>
          <w:tab w:val="left" w:pos="922"/>
        </w:tabs>
        <w:spacing w:line="359" w:lineRule="exact"/>
        <w:ind w:firstLine="440"/>
        <w:jc w:val="both"/>
        <w:rPr>
          <w:color w:val="auto"/>
          <w:sz w:val="24"/>
          <w:szCs w:val="24"/>
          <w:highlight w:val="none"/>
        </w:rPr>
      </w:pPr>
      <w:bookmarkStart w:id="1105" w:name="bookmark1629"/>
      <w:bookmarkEnd w:id="1105"/>
      <w:r>
        <w:rPr>
          <w:color w:val="auto"/>
          <w:sz w:val="24"/>
          <w:szCs w:val="24"/>
          <w:highlight w:val="none"/>
        </w:rPr>
        <w:t>承包人应为监理人、发包人现场代表对施工现场的检查监督提供必要的配合，并对这种配合对施工的影响应有充分的考虑。</w:t>
      </w:r>
    </w:p>
    <w:p>
      <w:pPr>
        <w:pStyle w:val="45"/>
        <w:numPr>
          <w:ilvl w:val="0"/>
          <w:numId w:val="39"/>
        </w:numPr>
        <w:tabs>
          <w:tab w:val="left" w:pos="915"/>
        </w:tabs>
        <w:spacing w:line="359" w:lineRule="exact"/>
        <w:ind w:firstLine="440"/>
        <w:jc w:val="both"/>
        <w:rPr>
          <w:color w:val="auto"/>
          <w:sz w:val="24"/>
          <w:szCs w:val="24"/>
          <w:highlight w:val="none"/>
        </w:rPr>
      </w:pPr>
      <w:bookmarkStart w:id="1106" w:name="bookmark1630"/>
      <w:bookmarkEnd w:id="1106"/>
      <w:r>
        <w:rPr>
          <w:color w:val="auto"/>
          <w:sz w:val="24"/>
          <w:szCs w:val="24"/>
          <w:highlight w:val="none"/>
        </w:rPr>
        <w:t>工程竣工后，承包人应按监理人的指示清理施工现场直至监理人、发包人满意 为止。</w:t>
      </w:r>
    </w:p>
    <w:p>
      <w:pPr>
        <w:pStyle w:val="45"/>
        <w:numPr>
          <w:ilvl w:val="0"/>
          <w:numId w:val="39"/>
        </w:numPr>
        <w:tabs>
          <w:tab w:val="left" w:pos="920"/>
        </w:tabs>
        <w:spacing w:line="362" w:lineRule="exact"/>
        <w:ind w:firstLine="440"/>
        <w:jc w:val="both"/>
        <w:rPr>
          <w:color w:val="auto"/>
          <w:sz w:val="24"/>
          <w:szCs w:val="24"/>
          <w:highlight w:val="none"/>
        </w:rPr>
      </w:pPr>
      <w:bookmarkStart w:id="1107" w:name="bookmark1631"/>
      <w:bookmarkEnd w:id="1107"/>
      <w:r>
        <w:rPr>
          <w:color w:val="auto"/>
          <w:sz w:val="24"/>
          <w:szCs w:val="24"/>
          <w:highlight w:val="none"/>
        </w:rPr>
        <w:t>对上述(</w:t>
      </w:r>
      <w:r>
        <w:rPr>
          <w:rFonts w:ascii="Times New Roman" w:hAnsi="Times New Roman" w:eastAsia="Times New Roman" w:cs="Times New Roman"/>
          <w:color w:val="auto"/>
          <w:sz w:val="24"/>
          <w:szCs w:val="24"/>
          <w:highlight w:val="none"/>
        </w:rPr>
        <w:t>1) ~ (5)</w:t>
      </w:r>
      <w:r>
        <w:rPr>
          <w:color w:val="auto"/>
          <w:sz w:val="24"/>
          <w:szCs w:val="24"/>
          <w:highlight w:val="none"/>
        </w:rPr>
        <w:t>项工作，费用已包括在有关单价和总价中，发包人不再另行支付由此所发生的一切费用。</w:t>
      </w:r>
    </w:p>
    <w:p>
      <w:pPr>
        <w:pStyle w:val="45"/>
        <w:numPr>
          <w:ilvl w:val="0"/>
          <w:numId w:val="39"/>
        </w:numPr>
        <w:tabs>
          <w:tab w:val="left" w:pos="922"/>
        </w:tabs>
        <w:spacing w:after="80" w:line="362" w:lineRule="exact"/>
        <w:ind w:firstLine="440"/>
        <w:jc w:val="both"/>
        <w:rPr>
          <w:color w:val="auto"/>
          <w:sz w:val="24"/>
          <w:szCs w:val="24"/>
          <w:highlight w:val="none"/>
        </w:rPr>
      </w:pPr>
      <w:bookmarkStart w:id="1108" w:name="bookmark1632"/>
      <w:bookmarkEnd w:id="1108"/>
      <w:r>
        <w:rPr>
          <w:color w:val="auto"/>
          <w:sz w:val="24"/>
          <w:szCs w:val="24"/>
          <w:highlight w:val="none"/>
        </w:rPr>
        <w:t>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pStyle w:val="45"/>
        <w:numPr>
          <w:ilvl w:val="0"/>
          <w:numId w:val="39"/>
        </w:numPr>
        <w:tabs>
          <w:tab w:val="left" w:pos="924"/>
        </w:tabs>
        <w:spacing w:line="359" w:lineRule="exact"/>
        <w:ind w:firstLine="440"/>
        <w:jc w:val="both"/>
        <w:rPr>
          <w:color w:val="auto"/>
          <w:sz w:val="24"/>
          <w:szCs w:val="24"/>
          <w:highlight w:val="none"/>
        </w:rPr>
      </w:pPr>
      <w:bookmarkStart w:id="1109" w:name="bookmark1633"/>
      <w:bookmarkEnd w:id="1109"/>
      <w:r>
        <w:rPr>
          <w:color w:val="auto"/>
          <w:sz w:val="24"/>
          <w:szCs w:val="24"/>
          <w:highlight w:val="none"/>
        </w:rPr>
        <w:t>承包人必须文明、安全施工，在施工期间发生的一切人员伤亡和财产损失等责任事故和所发生的一切费用概由承包人承担。</w:t>
      </w:r>
    </w:p>
    <w:p>
      <w:pPr>
        <w:pStyle w:val="45"/>
        <w:numPr>
          <w:ilvl w:val="0"/>
          <w:numId w:val="39"/>
        </w:numPr>
        <w:tabs>
          <w:tab w:val="left" w:pos="924"/>
        </w:tabs>
        <w:spacing w:line="359" w:lineRule="exact"/>
        <w:ind w:firstLine="440"/>
        <w:jc w:val="both"/>
        <w:rPr>
          <w:color w:val="auto"/>
          <w:sz w:val="24"/>
          <w:szCs w:val="24"/>
          <w:highlight w:val="none"/>
        </w:rPr>
      </w:pPr>
      <w:bookmarkStart w:id="1110" w:name="bookmark1634"/>
      <w:bookmarkEnd w:id="1110"/>
      <w:r>
        <w:rPr>
          <w:color w:val="auto"/>
          <w:sz w:val="24"/>
          <w:szCs w:val="24"/>
          <w:highlight w:val="none"/>
        </w:rPr>
        <w:t>按照发包人的要求做好安全文明宣传、监督检查宣传等工作，相关费用由承包人承担。</w:t>
      </w:r>
    </w:p>
    <w:p>
      <w:pPr>
        <w:pStyle w:val="45"/>
        <w:numPr>
          <w:ilvl w:val="0"/>
          <w:numId w:val="39"/>
        </w:numPr>
        <w:tabs>
          <w:tab w:val="left" w:pos="924"/>
        </w:tabs>
        <w:spacing w:line="359" w:lineRule="exact"/>
        <w:ind w:firstLine="440"/>
        <w:jc w:val="both"/>
        <w:rPr>
          <w:color w:val="auto"/>
          <w:sz w:val="24"/>
          <w:szCs w:val="24"/>
          <w:highlight w:val="none"/>
        </w:rPr>
      </w:pPr>
      <w:bookmarkStart w:id="1111" w:name="bookmark1635"/>
      <w:bookmarkEnd w:id="1111"/>
      <w:r>
        <w:rPr>
          <w:color w:val="auto"/>
          <w:sz w:val="24"/>
          <w:szCs w:val="24"/>
          <w:highlight w:val="none"/>
        </w:rPr>
        <w:t>承包人应按约定时间和要求，完成以下工作：</w:t>
      </w:r>
    </w:p>
    <w:p>
      <w:pPr>
        <w:pStyle w:val="45"/>
        <w:numPr>
          <w:ilvl w:val="0"/>
          <w:numId w:val="40"/>
        </w:numPr>
        <w:tabs>
          <w:tab w:val="left" w:pos="839"/>
        </w:tabs>
        <w:spacing w:line="359" w:lineRule="exact"/>
        <w:ind w:firstLine="440"/>
        <w:jc w:val="both"/>
        <w:rPr>
          <w:color w:val="auto"/>
          <w:sz w:val="24"/>
          <w:szCs w:val="24"/>
          <w:highlight w:val="none"/>
        </w:rPr>
      </w:pPr>
      <w:bookmarkStart w:id="1112" w:name="bookmark1636"/>
      <w:bookmarkEnd w:id="1112"/>
      <w:r>
        <w:rPr>
          <w:color w:val="auto"/>
          <w:sz w:val="24"/>
          <w:szCs w:val="24"/>
          <w:highlight w:val="none"/>
        </w:rPr>
        <w:t>按时提交施工组织设计、单位工程的施工方案。</w:t>
      </w:r>
    </w:p>
    <w:p>
      <w:pPr>
        <w:pStyle w:val="45"/>
        <w:numPr>
          <w:ilvl w:val="0"/>
          <w:numId w:val="40"/>
        </w:numPr>
        <w:tabs>
          <w:tab w:val="left" w:pos="839"/>
        </w:tabs>
        <w:spacing w:line="359" w:lineRule="exact"/>
        <w:ind w:firstLine="440"/>
        <w:jc w:val="both"/>
        <w:rPr>
          <w:color w:val="auto"/>
          <w:sz w:val="24"/>
          <w:szCs w:val="24"/>
          <w:highlight w:val="none"/>
        </w:rPr>
      </w:pPr>
      <w:bookmarkStart w:id="1113" w:name="bookmark1637"/>
      <w:bookmarkEnd w:id="1113"/>
      <w:r>
        <w:rPr>
          <w:color w:val="auto"/>
          <w:sz w:val="24"/>
          <w:szCs w:val="24"/>
          <w:highlight w:val="none"/>
        </w:rPr>
        <w:t>每月</w:t>
      </w:r>
      <w:r>
        <w:rPr>
          <w:rFonts w:ascii="Times New Roman" w:hAnsi="Times New Roman" w:eastAsia="Times New Roman" w:cs="Times New Roman"/>
          <w:color w:val="auto"/>
          <w:sz w:val="24"/>
          <w:szCs w:val="24"/>
          <w:highlight w:val="none"/>
        </w:rPr>
        <w:t>25</w:t>
      </w:r>
      <w:r>
        <w:rPr>
          <w:color w:val="auto"/>
          <w:sz w:val="24"/>
          <w:szCs w:val="24"/>
          <w:highlight w:val="none"/>
        </w:rPr>
        <w:t>日向监理人提交当月工程进度报表及下月进度计划。</w:t>
      </w:r>
    </w:p>
    <w:p>
      <w:pPr>
        <w:pStyle w:val="45"/>
        <w:numPr>
          <w:ilvl w:val="0"/>
          <w:numId w:val="40"/>
        </w:numPr>
        <w:tabs>
          <w:tab w:val="left" w:pos="839"/>
        </w:tabs>
        <w:spacing w:line="359" w:lineRule="exact"/>
        <w:ind w:firstLine="440"/>
        <w:jc w:val="both"/>
        <w:rPr>
          <w:color w:val="auto"/>
          <w:sz w:val="24"/>
          <w:szCs w:val="24"/>
          <w:highlight w:val="none"/>
        </w:rPr>
      </w:pPr>
      <w:bookmarkStart w:id="1114" w:name="bookmark1638"/>
      <w:bookmarkEnd w:id="1114"/>
      <w:r>
        <w:rPr>
          <w:color w:val="auto"/>
          <w:sz w:val="24"/>
          <w:szCs w:val="24"/>
          <w:highlight w:val="none"/>
        </w:rPr>
        <w:t>承包人自行负责施工安全保卫工作及夜间施工照明。</w:t>
      </w:r>
    </w:p>
    <w:p>
      <w:pPr>
        <w:pStyle w:val="45"/>
        <w:numPr>
          <w:ilvl w:val="0"/>
          <w:numId w:val="40"/>
        </w:numPr>
        <w:tabs>
          <w:tab w:val="left" w:pos="798"/>
        </w:tabs>
        <w:spacing w:line="359" w:lineRule="exact"/>
        <w:ind w:firstLine="440"/>
        <w:jc w:val="both"/>
        <w:rPr>
          <w:color w:val="auto"/>
          <w:sz w:val="24"/>
          <w:szCs w:val="24"/>
          <w:highlight w:val="none"/>
        </w:rPr>
      </w:pPr>
      <w:bookmarkStart w:id="1115" w:name="bookmark1639"/>
      <w:bookmarkEnd w:id="1115"/>
      <w:r>
        <w:rPr>
          <w:color w:val="auto"/>
          <w:sz w:val="24"/>
          <w:szCs w:val="24"/>
          <w:highlight w:val="none"/>
        </w:rPr>
        <w:t>需承包人办理的有关施工场地交通、环卫和施工噪音降尘管理等手续：遵守有关部门对施工现场交通、环卫和施工噪音降尘管理规定，如有发生，费用由承包人承担。</w:t>
      </w:r>
    </w:p>
    <w:p>
      <w:pPr>
        <w:pStyle w:val="45"/>
        <w:numPr>
          <w:ilvl w:val="0"/>
          <w:numId w:val="40"/>
        </w:numPr>
        <w:tabs>
          <w:tab w:val="left" w:pos="819"/>
        </w:tabs>
        <w:spacing w:line="359" w:lineRule="exact"/>
        <w:ind w:firstLine="440"/>
        <w:jc w:val="both"/>
        <w:rPr>
          <w:color w:val="auto"/>
          <w:sz w:val="24"/>
          <w:szCs w:val="24"/>
          <w:highlight w:val="none"/>
        </w:rPr>
      </w:pPr>
      <w:bookmarkStart w:id="1116" w:name="bookmark1640"/>
      <w:bookmarkEnd w:id="1116"/>
      <w:r>
        <w:rPr>
          <w:color w:val="auto"/>
          <w:sz w:val="24"/>
          <w:szCs w:val="24"/>
          <w:highlight w:val="none"/>
        </w:rPr>
        <w:t>已完工程成品保护的特殊要求及费用承担：已完工工程未交付发包人之前，承包人按协议条款约定负责已完成工程的成品保护工作，保护期间发生损坏，承包人自费予以修复。</w:t>
      </w:r>
    </w:p>
    <w:p>
      <w:pPr>
        <w:pStyle w:val="45"/>
        <w:numPr>
          <w:ilvl w:val="0"/>
          <w:numId w:val="40"/>
        </w:numPr>
        <w:tabs>
          <w:tab w:val="left" w:pos="814"/>
        </w:tabs>
        <w:spacing w:line="359" w:lineRule="exact"/>
        <w:ind w:firstLine="440"/>
        <w:jc w:val="both"/>
        <w:rPr>
          <w:color w:val="auto"/>
          <w:sz w:val="24"/>
          <w:szCs w:val="24"/>
          <w:highlight w:val="none"/>
        </w:rPr>
      </w:pPr>
      <w:bookmarkStart w:id="1117" w:name="bookmark1641"/>
      <w:bookmarkEnd w:id="1117"/>
      <w:r>
        <w:rPr>
          <w:color w:val="auto"/>
          <w:sz w:val="24"/>
          <w:szCs w:val="24"/>
          <w:highlight w:val="none"/>
        </w:rPr>
        <w:t>承包人有义务对施工场地周围管线(含地上及地下)和邻近建筑物、构筑物(含文物保护建筑)、古树名木等进行探明并负责保护。</w:t>
      </w:r>
    </w:p>
    <w:p>
      <w:pPr>
        <w:pStyle w:val="45"/>
        <w:numPr>
          <w:ilvl w:val="0"/>
          <w:numId w:val="40"/>
        </w:numPr>
        <w:tabs>
          <w:tab w:val="left" w:pos="819"/>
        </w:tabs>
        <w:spacing w:line="359" w:lineRule="exact"/>
        <w:ind w:firstLine="440"/>
        <w:jc w:val="both"/>
        <w:rPr>
          <w:color w:val="auto"/>
          <w:sz w:val="24"/>
          <w:szCs w:val="24"/>
          <w:highlight w:val="none"/>
        </w:rPr>
      </w:pPr>
      <w:bookmarkStart w:id="1118" w:name="bookmark1642"/>
      <w:bookmarkEnd w:id="1118"/>
      <w:r>
        <w:rPr>
          <w:color w:val="auto"/>
          <w:sz w:val="24"/>
          <w:szCs w:val="24"/>
          <w:highlight w:val="none"/>
        </w:rPr>
        <w:t>施工场地清洁卫生的要求：按城建卫生有关规定执行，由承包人负责，费用由承包人承担。</w:t>
      </w:r>
    </w:p>
    <w:p>
      <w:pPr>
        <w:pStyle w:val="45"/>
        <w:numPr>
          <w:ilvl w:val="0"/>
          <w:numId w:val="40"/>
        </w:numPr>
        <w:tabs>
          <w:tab w:val="left" w:pos="839"/>
        </w:tabs>
        <w:spacing w:after="120" w:line="359" w:lineRule="exact"/>
        <w:ind w:firstLine="440"/>
        <w:jc w:val="both"/>
        <w:rPr>
          <w:color w:val="auto"/>
          <w:sz w:val="24"/>
          <w:szCs w:val="24"/>
          <w:highlight w:val="none"/>
        </w:rPr>
      </w:pPr>
      <w:bookmarkStart w:id="1119" w:name="bookmark1643"/>
      <w:bookmarkEnd w:id="1119"/>
      <w:r>
        <w:rPr>
          <w:color w:val="auto"/>
          <w:sz w:val="24"/>
          <w:szCs w:val="24"/>
          <w:highlight w:val="none"/>
        </w:rPr>
        <w:t>承包人承担施工场地、水电及运输通道的修建和维护、清场等费用。</w:t>
      </w:r>
    </w:p>
    <w:p>
      <w:pPr>
        <w:pStyle w:val="45"/>
        <w:numPr>
          <w:ilvl w:val="0"/>
          <w:numId w:val="39"/>
        </w:numPr>
        <w:tabs>
          <w:tab w:val="left" w:pos="1026"/>
        </w:tabs>
        <w:spacing w:line="374" w:lineRule="auto"/>
        <w:ind w:firstLine="440"/>
        <w:jc w:val="both"/>
        <w:rPr>
          <w:color w:val="auto"/>
          <w:sz w:val="24"/>
          <w:szCs w:val="24"/>
          <w:highlight w:val="none"/>
        </w:rPr>
      </w:pPr>
      <w:bookmarkStart w:id="1120" w:name="bookmark1644"/>
      <w:bookmarkEnd w:id="1120"/>
      <w:r>
        <w:rPr>
          <w:color w:val="auto"/>
          <w:sz w:val="24"/>
          <w:szCs w:val="24"/>
          <w:highlight w:val="none"/>
        </w:rPr>
        <w:t>双方约定承包人应做的其他工作：</w:t>
      </w:r>
    </w:p>
    <w:p>
      <w:pPr>
        <w:pStyle w:val="45"/>
        <w:numPr>
          <w:ilvl w:val="0"/>
          <w:numId w:val="41"/>
        </w:numPr>
        <w:tabs>
          <w:tab w:val="left" w:pos="819"/>
        </w:tabs>
        <w:spacing w:line="359" w:lineRule="exact"/>
        <w:ind w:firstLine="440"/>
        <w:jc w:val="both"/>
        <w:rPr>
          <w:color w:val="auto"/>
          <w:sz w:val="24"/>
          <w:szCs w:val="24"/>
          <w:highlight w:val="none"/>
        </w:rPr>
      </w:pPr>
      <w:bookmarkStart w:id="1121" w:name="bookmark1645"/>
      <w:bookmarkEnd w:id="1121"/>
      <w:r>
        <w:rPr>
          <w:color w:val="auto"/>
          <w:sz w:val="24"/>
          <w:szCs w:val="24"/>
          <w:highlight w:val="none"/>
        </w:rPr>
        <w:t>凡属于需要承包人交付给其他承包人的工作面以及与其他承包人交叉作业的工作面, 承包人必须服从监理人的决定，按规定的完工日期完成并将清理好的工作面移交给发包人, 并取得监理人的同意。</w:t>
      </w:r>
    </w:p>
    <w:p>
      <w:pPr>
        <w:pStyle w:val="45"/>
        <w:numPr>
          <w:ilvl w:val="0"/>
          <w:numId w:val="41"/>
        </w:numPr>
        <w:tabs>
          <w:tab w:val="left" w:pos="817"/>
        </w:tabs>
        <w:spacing w:after="120" w:line="359" w:lineRule="exact"/>
        <w:ind w:firstLine="440"/>
        <w:jc w:val="both"/>
        <w:rPr>
          <w:color w:val="auto"/>
          <w:sz w:val="24"/>
          <w:szCs w:val="24"/>
          <w:highlight w:val="none"/>
        </w:rPr>
      </w:pPr>
      <w:bookmarkStart w:id="1122" w:name="bookmark1646"/>
      <w:bookmarkEnd w:id="1122"/>
      <w:r>
        <w:rPr>
          <w:color w:val="auto"/>
          <w:sz w:val="24"/>
          <w:szCs w:val="24"/>
          <w:highlight w:val="none"/>
        </w:rPr>
        <w:t>工程完工后，承包人应按监理人的指示清理施工现场。并在工程完工后</w:t>
      </w:r>
      <w:r>
        <w:rPr>
          <w:rFonts w:ascii="Times New Roman" w:hAnsi="Times New Roman" w:eastAsia="Times New Roman" w:cs="Times New Roman"/>
          <w:color w:val="auto"/>
          <w:sz w:val="24"/>
          <w:szCs w:val="24"/>
          <w:highlight w:val="none"/>
        </w:rPr>
        <w:t>6</w:t>
      </w:r>
      <w:r>
        <w:rPr>
          <w:color w:val="auto"/>
          <w:sz w:val="24"/>
          <w:szCs w:val="24"/>
          <w:highlight w:val="none"/>
        </w:rPr>
        <w:t>个月内完成并提交工程竣工资料和工程结算资料。承包人逾期提交，发包人将对承包人的拖延行为视为违约，并按</w:t>
      </w:r>
      <w:r>
        <w:rPr>
          <w:rFonts w:ascii="Times New Roman" w:hAnsi="Times New Roman" w:eastAsia="Times New Roman" w:cs="Times New Roman"/>
          <w:color w:val="auto"/>
          <w:sz w:val="24"/>
          <w:szCs w:val="24"/>
          <w:highlight w:val="none"/>
        </w:rPr>
        <w:t>100</w:t>
      </w:r>
      <w:r>
        <w:rPr>
          <w:color w:val="auto"/>
          <w:sz w:val="24"/>
          <w:szCs w:val="24"/>
          <w:highlight w:val="none"/>
        </w:rPr>
        <w:t>元/天计算违约金，违约金从承包人应得的工程款中扣除，但其最终的累计总金额与各项逾期完工违约金合计不超过合同价格的</w:t>
      </w:r>
      <w:r>
        <w:rPr>
          <w:rFonts w:ascii="Times New Roman" w:hAnsi="Times New Roman" w:eastAsia="Times New Roman" w:cs="Times New Roman"/>
          <w:color w:val="auto"/>
          <w:sz w:val="24"/>
          <w:szCs w:val="24"/>
          <w:highlight w:val="none"/>
        </w:rPr>
        <w:t>5%</w:t>
      </w:r>
      <w:r>
        <w:rPr>
          <w:color w:val="auto"/>
          <w:sz w:val="24"/>
          <w:szCs w:val="24"/>
          <w:highlight w:val="none"/>
        </w:rPr>
        <w:t>。</w:t>
      </w:r>
    </w:p>
    <w:p>
      <w:pPr>
        <w:pStyle w:val="45"/>
        <w:numPr>
          <w:ilvl w:val="0"/>
          <w:numId w:val="39"/>
        </w:numPr>
        <w:tabs>
          <w:tab w:val="left" w:pos="1026"/>
        </w:tabs>
        <w:spacing w:line="374" w:lineRule="auto"/>
        <w:ind w:firstLine="440"/>
        <w:jc w:val="both"/>
        <w:rPr>
          <w:color w:val="auto"/>
          <w:sz w:val="24"/>
          <w:szCs w:val="24"/>
          <w:highlight w:val="none"/>
        </w:rPr>
      </w:pPr>
      <w:bookmarkStart w:id="1123" w:name="bookmark1647"/>
      <w:bookmarkEnd w:id="1123"/>
      <w:r>
        <w:rPr>
          <w:color w:val="auto"/>
          <w:sz w:val="24"/>
          <w:szCs w:val="24"/>
          <w:highlight w:val="none"/>
        </w:rPr>
        <w:t>其他未尽事宜待签订施工合同时双方再协商。</w:t>
      </w:r>
    </w:p>
    <w:p>
      <w:pPr>
        <w:pStyle w:val="45"/>
        <w:tabs>
          <w:tab w:val="left" w:pos="1031"/>
        </w:tabs>
        <w:spacing w:line="359" w:lineRule="exact"/>
        <w:ind w:firstLine="480" w:firstLineChars="200"/>
        <w:jc w:val="both"/>
        <w:rPr>
          <w:color w:val="auto"/>
          <w:sz w:val="24"/>
          <w:szCs w:val="24"/>
          <w:highlight w:val="none"/>
        </w:rPr>
      </w:pPr>
      <w:bookmarkStart w:id="1124" w:name="bookmark1648"/>
      <w:bookmarkEnd w:id="1124"/>
      <w:r>
        <w:rPr>
          <w:rFonts w:hint="eastAsia"/>
          <w:color w:val="auto"/>
          <w:sz w:val="24"/>
          <w:szCs w:val="24"/>
          <w:highlight w:val="none"/>
        </w:rPr>
        <w:t>（四）</w:t>
      </w:r>
      <w:r>
        <w:rPr>
          <w:color w:val="auto"/>
          <w:sz w:val="24"/>
          <w:szCs w:val="24"/>
          <w:highlight w:val="none"/>
        </w:rPr>
        <w:t>鼓励承包人根据工程建设实际，吸纳建档立卡贫困劳动力参加工程建设。</w:t>
      </w:r>
    </w:p>
    <w:p>
      <w:pPr>
        <w:pStyle w:val="45"/>
        <w:tabs>
          <w:tab w:val="left" w:pos="1030"/>
        </w:tabs>
        <w:spacing w:after="120" w:line="359" w:lineRule="exact"/>
        <w:ind w:firstLine="480" w:firstLineChars="200"/>
        <w:jc w:val="both"/>
        <w:rPr>
          <w:color w:val="auto"/>
          <w:sz w:val="24"/>
          <w:szCs w:val="24"/>
          <w:highlight w:val="none"/>
        </w:rPr>
      </w:pPr>
      <w:bookmarkStart w:id="1125" w:name="bookmark1649"/>
      <w:bookmarkEnd w:id="1125"/>
      <w:r>
        <w:rPr>
          <w:rFonts w:hint="eastAsia"/>
          <w:color w:val="auto"/>
          <w:sz w:val="24"/>
          <w:szCs w:val="24"/>
          <w:highlight w:val="none"/>
        </w:rPr>
        <w:t>（五）</w:t>
      </w:r>
      <w:r>
        <w:rPr>
          <w:color w:val="auto"/>
          <w:sz w:val="24"/>
          <w:szCs w:val="24"/>
          <w:highlight w:val="none"/>
        </w:rPr>
        <w:t>执行自治区关于松材线虫病防控工作的有关规定，工程建设采用的模板、支撑及脚手架以钢模板、钢支撑为主，</w:t>
      </w:r>
      <w:r>
        <w:rPr>
          <w:rFonts w:hint="eastAsia"/>
          <w:color w:val="auto"/>
          <w:sz w:val="24"/>
          <w:szCs w:val="24"/>
          <w:highlight w:val="none"/>
        </w:rPr>
        <w:t>不使用松木及其包装材料。</w:t>
      </w:r>
      <w:r>
        <w:rPr>
          <w:color w:val="auto"/>
          <w:sz w:val="24"/>
          <w:szCs w:val="24"/>
          <w:highlight w:val="none"/>
        </w:rPr>
        <w:t>木质模板及仿材尽量就地采购，避免长途转运。</w:t>
      </w:r>
    </w:p>
    <w:p>
      <w:pPr>
        <w:pStyle w:val="6"/>
        <w:ind w:left="0" w:leftChars="0" w:firstLine="0" w:firstLineChars="0"/>
        <w:jc w:val="both"/>
        <w:rPr>
          <w:rFonts w:hint="eastAsia"/>
          <w:color w:val="auto"/>
          <w:sz w:val="24"/>
          <w:szCs w:val="24"/>
          <w:highlight w:val="none"/>
          <w:lang w:eastAsia="zh-CN"/>
        </w:rPr>
      </w:pPr>
      <w:r>
        <w:rPr>
          <w:rFonts w:hint="eastAsia"/>
          <w:color w:val="auto"/>
          <w:sz w:val="24"/>
          <w:szCs w:val="24"/>
          <w:highlight w:val="none"/>
          <w:lang w:eastAsia="zh-CN"/>
        </w:rPr>
        <w:t>4.2履约担保</w:t>
      </w:r>
    </w:p>
    <w:p>
      <w:pPr>
        <w:pStyle w:val="45"/>
        <w:tabs>
          <w:tab w:val="left" w:pos="1030"/>
        </w:tabs>
        <w:spacing w:after="120" w:line="359" w:lineRule="exact"/>
        <w:ind w:firstLine="480" w:firstLineChars="200"/>
        <w:jc w:val="both"/>
        <w:rPr>
          <w:rFonts w:hint="eastAsia"/>
          <w:color w:val="auto"/>
          <w:sz w:val="24"/>
          <w:szCs w:val="24"/>
          <w:highlight w:val="none"/>
        </w:rPr>
      </w:pPr>
      <w:r>
        <w:rPr>
          <w:rFonts w:hint="eastAsia"/>
          <w:color w:val="auto"/>
          <w:sz w:val="24"/>
          <w:szCs w:val="24"/>
          <w:highlight w:val="none"/>
        </w:rPr>
        <w:t>4.2.1本工程履约担保可采取银行担保、银行转账、工程担保或保证保险等形式（严禁要求中标人以现金方式提交保证金的行为），不计利息，按中标合同金额的</w:t>
      </w:r>
      <w:r>
        <w:rPr>
          <w:rFonts w:hint="eastAsia"/>
          <w:color w:val="auto"/>
          <w:sz w:val="24"/>
          <w:szCs w:val="24"/>
          <w:highlight w:val="none"/>
          <w:lang w:val="en-US" w:eastAsia="zh-CN"/>
        </w:rPr>
        <w:t>2</w:t>
      </w:r>
      <w:r>
        <w:rPr>
          <w:rFonts w:hint="eastAsia"/>
          <w:color w:val="auto"/>
          <w:sz w:val="24"/>
          <w:szCs w:val="24"/>
          <w:highlight w:val="none"/>
        </w:rPr>
        <w:t>%交纳。</w:t>
      </w:r>
    </w:p>
    <w:p>
      <w:pPr>
        <w:pStyle w:val="45"/>
        <w:tabs>
          <w:tab w:val="left" w:pos="1030"/>
        </w:tabs>
        <w:spacing w:after="120" w:line="359" w:lineRule="exact"/>
        <w:ind w:firstLine="480" w:firstLineChars="200"/>
        <w:jc w:val="both"/>
        <w:rPr>
          <w:rFonts w:hint="eastAsia"/>
          <w:color w:val="auto"/>
          <w:sz w:val="24"/>
          <w:szCs w:val="24"/>
          <w:highlight w:val="none"/>
        </w:rPr>
      </w:pPr>
      <w:r>
        <w:rPr>
          <w:rFonts w:hint="eastAsia"/>
          <w:color w:val="auto"/>
          <w:sz w:val="24"/>
          <w:szCs w:val="24"/>
          <w:highlight w:val="none"/>
        </w:rPr>
        <w:t>4.2.2履约保证金金额：按中标金额的</w:t>
      </w:r>
      <w:r>
        <w:rPr>
          <w:rFonts w:hint="eastAsia"/>
          <w:color w:val="auto"/>
          <w:sz w:val="24"/>
          <w:szCs w:val="24"/>
          <w:highlight w:val="none"/>
          <w:lang w:val="en-US" w:eastAsia="zh-CN"/>
        </w:rPr>
        <w:t>2</w:t>
      </w:r>
      <w:r>
        <w:rPr>
          <w:rFonts w:hint="eastAsia"/>
          <w:color w:val="auto"/>
          <w:sz w:val="24"/>
          <w:szCs w:val="24"/>
          <w:highlight w:val="none"/>
        </w:rPr>
        <w:t>%。</w:t>
      </w:r>
    </w:p>
    <w:p>
      <w:pPr>
        <w:pStyle w:val="45"/>
        <w:tabs>
          <w:tab w:val="left" w:pos="1030"/>
        </w:tabs>
        <w:spacing w:after="120" w:line="359" w:lineRule="exact"/>
        <w:ind w:firstLine="480" w:firstLineChars="200"/>
        <w:jc w:val="both"/>
        <w:rPr>
          <w:rFonts w:hint="eastAsia"/>
          <w:color w:val="auto"/>
          <w:sz w:val="24"/>
          <w:szCs w:val="24"/>
          <w:highlight w:val="none"/>
        </w:rPr>
      </w:pPr>
      <w:r>
        <w:rPr>
          <w:rFonts w:hint="eastAsia"/>
          <w:color w:val="auto"/>
          <w:sz w:val="24"/>
          <w:szCs w:val="24"/>
          <w:highlight w:val="none"/>
        </w:rPr>
        <w:t>4.2.3履约保证金递交方式：转帐、网上银行支付等非现金形式。</w:t>
      </w:r>
    </w:p>
    <w:p>
      <w:pPr>
        <w:pStyle w:val="45"/>
        <w:tabs>
          <w:tab w:val="left" w:pos="1030"/>
        </w:tabs>
        <w:spacing w:after="120" w:line="359" w:lineRule="exact"/>
        <w:ind w:firstLine="480" w:firstLineChars="200"/>
        <w:jc w:val="both"/>
        <w:rPr>
          <w:rFonts w:hint="eastAsia" w:ascii="宋体" w:hAnsi="宋体" w:eastAsia="宋体" w:cs="宋体"/>
          <w:color w:val="auto"/>
          <w:sz w:val="24"/>
          <w:szCs w:val="24"/>
          <w:highlight w:val="none"/>
          <w:lang w:val="en-US" w:eastAsia="zh-CN"/>
        </w:rPr>
      </w:pPr>
      <w:r>
        <w:rPr>
          <w:rFonts w:hint="eastAsia"/>
          <w:color w:val="auto"/>
          <w:sz w:val="24"/>
          <w:szCs w:val="24"/>
          <w:highlight w:val="none"/>
        </w:rPr>
        <w:t>4.4.</w:t>
      </w: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履约保证金返还：履约保证金必须在招标人书面确认项目完成并同意后才能退还，并无息退还到中标人的基本帐户，返还时中标人须提供以下资料：</w:t>
      </w:r>
    </w:p>
    <w:p>
      <w:pPr>
        <w:pStyle w:val="45"/>
        <w:tabs>
          <w:tab w:val="left" w:pos="1030"/>
        </w:tabs>
        <w:spacing w:after="120" w:line="359" w:lineRule="exact"/>
        <w:ind w:firstLine="480" w:firstLineChars="200"/>
        <w:jc w:val="both"/>
        <w:rPr>
          <w:rFonts w:hint="eastAsia"/>
          <w:color w:val="auto"/>
          <w:sz w:val="24"/>
          <w:szCs w:val="24"/>
          <w:highlight w:val="none"/>
        </w:rPr>
      </w:pPr>
      <w:r>
        <w:rPr>
          <w:rFonts w:hint="eastAsia"/>
          <w:color w:val="auto"/>
          <w:sz w:val="24"/>
          <w:szCs w:val="24"/>
          <w:highlight w:val="none"/>
        </w:rPr>
        <w:t>（1）《履约保证金返还审批表》一式四份；</w:t>
      </w:r>
    </w:p>
    <w:p>
      <w:pPr>
        <w:pStyle w:val="45"/>
        <w:tabs>
          <w:tab w:val="left" w:pos="1030"/>
        </w:tabs>
        <w:spacing w:after="120" w:line="359" w:lineRule="exact"/>
        <w:ind w:firstLine="480" w:firstLineChars="200"/>
        <w:jc w:val="both"/>
        <w:rPr>
          <w:rFonts w:hint="eastAsia"/>
          <w:color w:val="auto"/>
          <w:sz w:val="24"/>
          <w:szCs w:val="24"/>
          <w:highlight w:val="none"/>
        </w:rPr>
      </w:pPr>
      <w:r>
        <w:rPr>
          <w:rFonts w:hint="eastAsia"/>
          <w:color w:val="auto"/>
          <w:sz w:val="24"/>
          <w:szCs w:val="24"/>
          <w:highlight w:val="none"/>
        </w:rPr>
        <w:t>（2）《</w:t>
      </w:r>
      <w:r>
        <w:rPr>
          <w:rFonts w:hint="eastAsia"/>
          <w:color w:val="auto"/>
          <w:sz w:val="24"/>
          <w:szCs w:val="24"/>
          <w:highlight w:val="none"/>
          <w:lang w:eastAsia="zh-CN"/>
        </w:rPr>
        <w:t>合同工程完工证书</w:t>
      </w:r>
      <w:r>
        <w:rPr>
          <w:rFonts w:hint="eastAsia"/>
          <w:color w:val="auto"/>
          <w:sz w:val="24"/>
          <w:szCs w:val="24"/>
          <w:highlight w:val="none"/>
        </w:rPr>
        <w:t>》；</w:t>
      </w:r>
    </w:p>
    <w:p>
      <w:pPr>
        <w:pStyle w:val="45"/>
        <w:tabs>
          <w:tab w:val="left" w:pos="1030"/>
        </w:tabs>
        <w:spacing w:after="120" w:line="359" w:lineRule="exact"/>
        <w:ind w:firstLine="480" w:firstLineChars="200"/>
        <w:jc w:val="both"/>
        <w:rPr>
          <w:rFonts w:hint="eastAsia"/>
          <w:color w:val="auto"/>
          <w:sz w:val="24"/>
          <w:szCs w:val="24"/>
          <w:highlight w:val="none"/>
        </w:rPr>
      </w:pPr>
      <w:r>
        <w:rPr>
          <w:rFonts w:hint="eastAsia"/>
          <w:color w:val="auto"/>
          <w:sz w:val="24"/>
          <w:szCs w:val="24"/>
          <w:highlight w:val="none"/>
        </w:rPr>
        <w:t>（3）《合同》复印件；</w:t>
      </w:r>
    </w:p>
    <w:p>
      <w:pPr>
        <w:pStyle w:val="45"/>
        <w:tabs>
          <w:tab w:val="left" w:pos="1030"/>
        </w:tabs>
        <w:spacing w:after="120" w:line="359" w:lineRule="exact"/>
        <w:ind w:firstLine="480" w:firstLineChars="200"/>
        <w:jc w:val="both"/>
        <w:rPr>
          <w:rFonts w:hint="eastAsia"/>
          <w:color w:val="auto"/>
          <w:sz w:val="24"/>
          <w:szCs w:val="24"/>
          <w:highlight w:val="none"/>
        </w:rPr>
      </w:pPr>
      <w:r>
        <w:rPr>
          <w:rFonts w:hint="eastAsia"/>
          <w:color w:val="auto"/>
          <w:sz w:val="24"/>
          <w:szCs w:val="24"/>
          <w:highlight w:val="none"/>
        </w:rPr>
        <w:t>（4）银行开户许可证或银行转账底单复印件（加盖公章）。</w:t>
      </w:r>
    </w:p>
    <w:p>
      <w:pPr>
        <w:pStyle w:val="45"/>
        <w:tabs>
          <w:tab w:val="left" w:pos="1030"/>
        </w:tabs>
        <w:spacing w:after="120" w:line="359" w:lineRule="exact"/>
        <w:ind w:firstLine="480" w:firstLineChars="200"/>
        <w:jc w:val="both"/>
        <w:rPr>
          <w:color w:val="auto"/>
          <w:sz w:val="24"/>
          <w:szCs w:val="24"/>
          <w:highlight w:val="none"/>
        </w:rPr>
      </w:pPr>
      <w:r>
        <w:rPr>
          <w:rFonts w:hint="eastAsia"/>
          <w:color w:val="auto"/>
          <w:sz w:val="24"/>
          <w:szCs w:val="24"/>
          <w:highlight w:val="none"/>
        </w:rPr>
        <w:t>备注：（1）履约保证金不足额缴纳的，或金融机构、担保机构出具的保函额度不足的或者保函有效期低于合同履行期限（即签订合同之日起至履行完合同约定的权利及义务之日止）的，不予签订合同。（2）采用金融机构、担保机构出具的保函的，必须为无条件保函，否则不予签订合同。</w:t>
      </w:r>
    </w:p>
    <w:p>
      <w:pPr>
        <w:pStyle w:val="6"/>
        <w:ind w:left="0" w:leftChars="0" w:firstLine="0" w:firstLineChars="0"/>
        <w:jc w:val="both"/>
        <w:rPr>
          <w:color w:val="auto"/>
          <w:sz w:val="24"/>
          <w:szCs w:val="24"/>
          <w:highlight w:val="none"/>
          <w:lang w:eastAsia="zh-CN"/>
        </w:rPr>
      </w:pPr>
      <w:bookmarkStart w:id="1126" w:name="bookmark1651"/>
      <w:bookmarkStart w:id="1127" w:name="bookmark1650"/>
      <w:bookmarkStart w:id="1128" w:name="bookmark1652"/>
      <w:r>
        <w:rPr>
          <w:color w:val="auto"/>
          <w:sz w:val="24"/>
          <w:szCs w:val="24"/>
          <w:highlight w:val="none"/>
          <w:lang w:eastAsia="zh-CN"/>
        </w:rPr>
        <w:t>4.3分包</w:t>
      </w:r>
      <w:bookmarkEnd w:id="1126"/>
      <w:bookmarkEnd w:id="1127"/>
      <w:bookmarkEnd w:id="1128"/>
    </w:p>
    <w:p>
      <w:pPr>
        <w:pStyle w:val="45"/>
        <w:spacing w:line="363" w:lineRule="exact"/>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4.3.1</w:t>
      </w:r>
      <w:r>
        <w:rPr>
          <w:color w:val="auto"/>
          <w:sz w:val="24"/>
          <w:szCs w:val="24"/>
          <w:highlight w:val="none"/>
        </w:rPr>
        <w:t>承包人不得将其承包的全部工程转包给第三人，或将其承包的全部工程肢解后以分包的名义转包给第三人。</w:t>
      </w:r>
    </w:p>
    <w:p>
      <w:pPr>
        <w:pStyle w:val="45"/>
        <w:tabs>
          <w:tab w:val="left" w:pos="5849"/>
        </w:tabs>
        <w:spacing w:line="374" w:lineRule="auto"/>
        <w:ind w:firstLine="420"/>
        <w:jc w:val="both"/>
        <w:rPr>
          <w:rFonts w:hint="eastAsia" w:eastAsia="宋体"/>
          <w:color w:val="auto"/>
          <w:sz w:val="24"/>
          <w:szCs w:val="24"/>
          <w:highlight w:val="none"/>
          <w:lang w:eastAsia="zh-CN"/>
        </w:rPr>
      </w:pPr>
      <w:r>
        <w:rPr>
          <w:rFonts w:ascii="Times New Roman" w:hAnsi="Times New Roman" w:cs="Times New Roman"/>
          <w:color w:val="auto"/>
          <w:sz w:val="24"/>
          <w:szCs w:val="24"/>
          <w:highlight w:val="none"/>
          <w:lang w:val="en-US"/>
        </w:rPr>
        <w:t>4.3.</w:t>
      </w:r>
      <w:r>
        <w:rPr>
          <w:rFonts w:ascii="Times New Roman" w:hAnsi="Times New Roman" w:cs="Times New Roman"/>
          <w:color w:val="auto"/>
          <w:sz w:val="24"/>
          <w:szCs w:val="24"/>
          <w:highlight w:val="none"/>
        </w:rPr>
        <w:t>2</w:t>
      </w:r>
      <w:r>
        <w:rPr>
          <w:color w:val="auto"/>
          <w:sz w:val="24"/>
          <w:szCs w:val="24"/>
          <w:highlight w:val="none"/>
        </w:rPr>
        <w:t>允许承包人分包的工程项目、工作内容与分包金额限额为：</w:t>
      </w:r>
      <w:r>
        <w:rPr>
          <w:rFonts w:hint="eastAsia"/>
          <w:color w:val="auto"/>
          <w:sz w:val="24"/>
          <w:szCs w:val="24"/>
          <w:highlight w:val="none"/>
          <w:lang w:eastAsia="zh-CN"/>
        </w:rPr>
        <w:t>无。</w:t>
      </w:r>
    </w:p>
    <w:p>
      <w:pPr>
        <w:pStyle w:val="6"/>
        <w:ind w:left="0" w:leftChars="0" w:firstLine="0" w:firstLineChars="0"/>
        <w:jc w:val="both"/>
        <w:rPr>
          <w:rFonts w:hint="eastAsia"/>
          <w:color w:val="auto"/>
          <w:sz w:val="24"/>
          <w:szCs w:val="24"/>
          <w:highlight w:val="none"/>
          <w:lang w:eastAsia="zh-CN"/>
        </w:rPr>
      </w:pPr>
      <w:bookmarkStart w:id="1129" w:name="bookmark1653"/>
      <w:bookmarkEnd w:id="1129"/>
      <w:bookmarkStart w:id="1130" w:name="bookmark1654"/>
      <w:bookmarkEnd w:id="1130"/>
      <w:r>
        <w:rPr>
          <w:rFonts w:hint="eastAsia"/>
          <w:color w:val="auto"/>
          <w:sz w:val="24"/>
          <w:szCs w:val="24"/>
          <w:highlight w:val="none"/>
          <w:lang w:eastAsia="zh-CN"/>
        </w:rPr>
        <w:t>4.5承包人项目负责人</w:t>
      </w:r>
    </w:p>
    <w:p>
      <w:pPr>
        <w:pStyle w:val="45"/>
        <w:tabs>
          <w:tab w:val="left" w:pos="5849"/>
        </w:tabs>
        <w:spacing w:line="374" w:lineRule="auto"/>
        <w:ind w:left="174" w:leftChars="83" w:firstLine="240" w:firstLineChars="100"/>
        <w:jc w:val="both"/>
        <w:rPr>
          <w:rFonts w:hint="eastAsia" w:ascii="Times New Roman" w:hAnsi="Times New Roman" w:cs="Times New Roman"/>
          <w:color w:val="auto"/>
          <w:sz w:val="24"/>
          <w:szCs w:val="24"/>
          <w:highlight w:val="none"/>
          <w:lang w:val="en-US" w:bidi="en-US"/>
        </w:rPr>
      </w:pPr>
      <w:r>
        <w:rPr>
          <w:rFonts w:hint="eastAsia" w:ascii="Times New Roman" w:hAnsi="Times New Roman" w:cs="Times New Roman"/>
          <w:color w:val="auto"/>
          <w:sz w:val="24"/>
          <w:szCs w:val="24"/>
          <w:highlight w:val="none"/>
          <w:lang w:val="en-US" w:bidi="en-US"/>
        </w:rPr>
        <w:t>4.5.5（1）同一施工项目负责人不能同时在两个及以上的工程项目上担任施工项目负责人</w:t>
      </w:r>
    </w:p>
    <w:p>
      <w:pPr>
        <w:pStyle w:val="45"/>
        <w:tabs>
          <w:tab w:val="left" w:pos="5849"/>
        </w:tabs>
        <w:spacing w:line="374" w:lineRule="auto"/>
        <w:ind w:left="174" w:leftChars="83" w:firstLine="240" w:firstLineChars="100"/>
        <w:jc w:val="both"/>
        <w:rPr>
          <w:rFonts w:hint="eastAsia" w:ascii="Times New Roman" w:hAnsi="Times New Roman" w:cs="Times New Roman"/>
          <w:color w:val="auto"/>
          <w:sz w:val="24"/>
          <w:szCs w:val="24"/>
          <w:highlight w:val="none"/>
          <w:lang w:val="en-US" w:bidi="en-US"/>
        </w:rPr>
      </w:pPr>
      <w:r>
        <w:rPr>
          <w:rFonts w:hint="eastAsia" w:ascii="Times New Roman" w:hAnsi="Times New Roman" w:cs="Times New Roman"/>
          <w:color w:val="auto"/>
          <w:sz w:val="24"/>
          <w:szCs w:val="24"/>
          <w:highlight w:val="none"/>
          <w:lang w:val="en-US" w:bidi="en-US"/>
        </w:rPr>
        <w:t>（2）承包人应保证项目负责人每月在工地现场的时间不少于</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u w:val="single"/>
          <w:lang w:val="en-US" w:eastAsia="zh-CN" w:bidi="en-US"/>
        </w:rPr>
        <w:t>22</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lang w:val="en-US" w:bidi="en-US"/>
        </w:rPr>
        <w:t>日，否则将按每人每天人民币</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u w:val="single"/>
          <w:lang w:val="en-US" w:eastAsia="zh-CN" w:bidi="en-US"/>
        </w:rPr>
        <w:t>500</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lang w:val="en-US" w:bidi="en-US"/>
        </w:rPr>
        <w:t>元的标准</w:t>
      </w:r>
      <w:r>
        <w:rPr>
          <w:rFonts w:hint="eastAsia" w:ascii="Times New Roman" w:hAnsi="Times New Roman" w:cs="Times New Roman"/>
          <w:color w:val="auto"/>
          <w:sz w:val="24"/>
          <w:szCs w:val="24"/>
          <w:highlight w:val="none"/>
          <w:lang w:val="en-US" w:eastAsia="zh-CN" w:bidi="en-US"/>
        </w:rPr>
        <w:t>计算违约金</w:t>
      </w:r>
      <w:r>
        <w:rPr>
          <w:rFonts w:hint="eastAsia" w:ascii="Times New Roman" w:hAnsi="Times New Roman" w:cs="Times New Roman"/>
          <w:color w:val="auto"/>
          <w:sz w:val="24"/>
          <w:szCs w:val="24"/>
          <w:highlight w:val="none"/>
          <w:lang w:val="en-US" w:bidi="en-US"/>
        </w:rPr>
        <w:t xml:space="preserve">，由有关行政监督部门处理后报请有关行政监督部门将结果记入市场主体信用档案，公布不良行为记录。上述人员因其他事务需短期离开工地，应向发包人请假，经批准后方可离开，离开期间应委托项目相关负责人负责其外出时的日常工作。 </w:t>
      </w:r>
    </w:p>
    <w:p>
      <w:pPr>
        <w:pStyle w:val="6"/>
        <w:ind w:left="0" w:leftChars="0" w:firstLine="0" w:firstLineChars="0"/>
        <w:jc w:val="both"/>
        <w:rPr>
          <w:rFonts w:hint="eastAsia"/>
          <w:color w:val="auto"/>
          <w:sz w:val="24"/>
          <w:szCs w:val="24"/>
          <w:highlight w:val="none"/>
          <w:lang w:eastAsia="zh-CN"/>
        </w:rPr>
      </w:pPr>
      <w:r>
        <w:rPr>
          <w:rFonts w:hint="eastAsia"/>
          <w:color w:val="auto"/>
          <w:sz w:val="24"/>
          <w:szCs w:val="24"/>
          <w:highlight w:val="none"/>
          <w:lang w:eastAsia="zh-CN"/>
        </w:rPr>
        <w:t>4.6承包人人员的管理</w:t>
      </w:r>
    </w:p>
    <w:p>
      <w:pPr>
        <w:pStyle w:val="45"/>
        <w:tabs>
          <w:tab w:val="left" w:pos="5849"/>
        </w:tabs>
        <w:spacing w:line="374" w:lineRule="auto"/>
        <w:ind w:firstLine="480" w:firstLineChars="200"/>
        <w:jc w:val="both"/>
        <w:rPr>
          <w:rFonts w:hint="eastAsia" w:ascii="Times New Roman" w:hAnsi="Times New Roman" w:cs="Times New Roman"/>
          <w:color w:val="auto"/>
          <w:sz w:val="24"/>
          <w:szCs w:val="24"/>
          <w:highlight w:val="none"/>
          <w:lang w:val="en-US" w:bidi="en-US"/>
        </w:rPr>
      </w:pPr>
      <w:r>
        <w:rPr>
          <w:rFonts w:hint="eastAsia" w:ascii="Times New Roman" w:hAnsi="Times New Roman" w:cs="Times New Roman"/>
          <w:color w:val="auto"/>
          <w:sz w:val="24"/>
          <w:szCs w:val="24"/>
          <w:highlight w:val="none"/>
          <w:lang w:val="en-US" w:bidi="en-US"/>
        </w:rPr>
        <w:t>4.6.5承包人应保证</w:t>
      </w:r>
      <w:r>
        <w:rPr>
          <w:rFonts w:hint="eastAsia" w:ascii="Times New Roman" w:hAnsi="Times New Roman" w:cs="Times New Roman"/>
          <w:color w:val="auto"/>
          <w:sz w:val="24"/>
          <w:szCs w:val="24"/>
          <w:highlight w:val="none"/>
          <w:lang w:val="en-US" w:eastAsia="zh-CN" w:bidi="en-US"/>
        </w:rPr>
        <w:t>项目经理、</w:t>
      </w:r>
      <w:r>
        <w:rPr>
          <w:rFonts w:hint="eastAsia" w:ascii="Times New Roman" w:hAnsi="Times New Roman" w:cs="Times New Roman"/>
          <w:color w:val="auto"/>
          <w:sz w:val="24"/>
          <w:szCs w:val="24"/>
          <w:highlight w:val="none"/>
          <w:lang w:val="en-US" w:bidi="en-US"/>
        </w:rPr>
        <w:t>技术负责人、质量管理人员</w:t>
      </w:r>
      <w:r>
        <w:rPr>
          <w:rFonts w:hint="eastAsia" w:ascii="Times New Roman" w:hAnsi="Times New Roman" w:cs="Times New Roman"/>
          <w:color w:val="auto"/>
          <w:sz w:val="24"/>
          <w:szCs w:val="24"/>
          <w:highlight w:val="none"/>
          <w:lang w:val="en-US" w:eastAsia="zh-CN" w:bidi="en-US"/>
        </w:rPr>
        <w:t>、</w:t>
      </w:r>
      <w:r>
        <w:rPr>
          <w:rFonts w:hint="eastAsia" w:ascii="Times New Roman" w:hAnsi="Times New Roman" w:cs="Times New Roman"/>
          <w:color w:val="auto"/>
          <w:sz w:val="24"/>
          <w:szCs w:val="24"/>
          <w:highlight w:val="none"/>
          <w:lang w:val="en-US" w:bidi="en-US"/>
        </w:rPr>
        <w:t>专职安全员每月在工地现场的时间不少于</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u w:val="single"/>
          <w:lang w:val="en-US" w:eastAsia="zh-CN" w:bidi="en-US"/>
        </w:rPr>
        <w:t>22</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lang w:val="en-US" w:bidi="en-US"/>
        </w:rPr>
        <w:t xml:space="preserve"> 日，否则</w:t>
      </w:r>
      <w:r>
        <w:rPr>
          <w:rFonts w:hint="eastAsia" w:ascii="Times New Roman" w:hAnsi="Times New Roman" w:cs="Times New Roman"/>
          <w:color w:val="auto"/>
          <w:sz w:val="24"/>
          <w:szCs w:val="24"/>
          <w:highlight w:val="none"/>
          <w:lang w:val="en-US" w:eastAsia="zh-CN" w:bidi="en-US"/>
        </w:rPr>
        <w:t>项目经理、</w:t>
      </w:r>
      <w:r>
        <w:rPr>
          <w:rFonts w:hint="eastAsia" w:ascii="Times New Roman" w:hAnsi="Times New Roman" w:cs="Times New Roman"/>
          <w:color w:val="auto"/>
          <w:sz w:val="24"/>
          <w:szCs w:val="24"/>
          <w:highlight w:val="none"/>
          <w:lang w:val="en-US" w:bidi="en-US"/>
        </w:rPr>
        <w:t xml:space="preserve">技术负责人将按每人每天人民币 </w:t>
      </w:r>
      <w:r>
        <w:rPr>
          <w:rFonts w:hint="eastAsia" w:ascii="Times New Roman" w:hAnsi="Times New Roman" w:cs="Times New Roman"/>
          <w:color w:val="auto"/>
          <w:sz w:val="24"/>
          <w:szCs w:val="24"/>
          <w:highlight w:val="none"/>
          <w:u w:val="single"/>
          <w:lang w:val="en-US" w:eastAsia="zh-CN" w:bidi="en-US"/>
        </w:rPr>
        <w:t xml:space="preserve"> </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u w:val="single"/>
          <w:lang w:val="en-US" w:eastAsia="zh-CN" w:bidi="en-US"/>
        </w:rPr>
        <w:t>500</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lang w:val="en-US" w:bidi="en-US"/>
        </w:rPr>
        <w:t>元的标准</w:t>
      </w:r>
      <w:r>
        <w:rPr>
          <w:rFonts w:hint="eastAsia" w:ascii="Times New Roman" w:hAnsi="Times New Roman" w:cs="Times New Roman"/>
          <w:color w:val="auto"/>
          <w:sz w:val="24"/>
          <w:szCs w:val="24"/>
          <w:highlight w:val="none"/>
          <w:lang w:val="en-US" w:eastAsia="zh-CN" w:bidi="en-US"/>
        </w:rPr>
        <w:t>计算违约金，</w:t>
      </w:r>
      <w:r>
        <w:rPr>
          <w:rFonts w:hint="eastAsia" w:ascii="Times New Roman" w:hAnsi="Times New Roman" w:cs="Times New Roman"/>
          <w:color w:val="auto"/>
          <w:sz w:val="24"/>
          <w:szCs w:val="24"/>
          <w:highlight w:val="none"/>
          <w:lang w:val="en-US" w:bidi="en-US"/>
        </w:rPr>
        <w:t>质量管理人员</w:t>
      </w:r>
      <w:r>
        <w:rPr>
          <w:rFonts w:hint="eastAsia" w:ascii="Times New Roman" w:hAnsi="Times New Roman" w:cs="Times New Roman"/>
          <w:color w:val="auto"/>
          <w:sz w:val="24"/>
          <w:szCs w:val="24"/>
          <w:highlight w:val="none"/>
          <w:lang w:val="en-US" w:eastAsia="zh-CN" w:bidi="en-US"/>
        </w:rPr>
        <w:t>、</w:t>
      </w:r>
      <w:r>
        <w:rPr>
          <w:rFonts w:hint="eastAsia" w:ascii="Times New Roman" w:hAnsi="Times New Roman" w:cs="Times New Roman"/>
          <w:color w:val="auto"/>
          <w:sz w:val="24"/>
          <w:szCs w:val="24"/>
          <w:highlight w:val="none"/>
          <w:lang w:val="en-US" w:bidi="en-US"/>
        </w:rPr>
        <w:t xml:space="preserve">专职安全员将按每人每天人民币  </w:t>
      </w:r>
      <w:r>
        <w:rPr>
          <w:rFonts w:hint="eastAsia" w:ascii="Times New Roman" w:hAnsi="Times New Roman" w:cs="Times New Roman"/>
          <w:color w:val="auto"/>
          <w:sz w:val="24"/>
          <w:szCs w:val="24"/>
          <w:highlight w:val="none"/>
          <w:lang w:val="en-US" w:eastAsia="zh-CN" w:bidi="en-US"/>
        </w:rPr>
        <w:t xml:space="preserve">  </w:t>
      </w:r>
      <w:r>
        <w:rPr>
          <w:rFonts w:hint="eastAsia" w:ascii="Times New Roman" w:hAnsi="Times New Roman" w:cs="Times New Roman"/>
          <w:color w:val="auto"/>
          <w:sz w:val="24"/>
          <w:szCs w:val="24"/>
          <w:highlight w:val="none"/>
          <w:u w:val="single"/>
          <w:lang w:val="en-US" w:eastAsia="zh-CN" w:bidi="en-US"/>
        </w:rPr>
        <w:t>300</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lang w:val="en-US" w:bidi="en-US"/>
        </w:rPr>
        <w:t>元的标准</w:t>
      </w:r>
      <w:r>
        <w:rPr>
          <w:rFonts w:hint="eastAsia" w:ascii="Times New Roman" w:hAnsi="Times New Roman" w:cs="Times New Roman"/>
          <w:color w:val="auto"/>
          <w:sz w:val="24"/>
          <w:szCs w:val="24"/>
          <w:highlight w:val="none"/>
          <w:lang w:val="en-US" w:eastAsia="zh-CN" w:bidi="en-US"/>
        </w:rPr>
        <w:t>计算违约金，违约金在工程款中扣除</w:t>
      </w:r>
      <w:r>
        <w:rPr>
          <w:rFonts w:hint="eastAsia" w:ascii="Times New Roman" w:hAnsi="Times New Roman" w:cs="Times New Roman"/>
          <w:color w:val="auto"/>
          <w:sz w:val="24"/>
          <w:szCs w:val="24"/>
          <w:highlight w:val="none"/>
          <w:lang w:val="en-US" w:bidi="en-US"/>
        </w:rPr>
        <w:t>。</w:t>
      </w:r>
    </w:p>
    <w:p>
      <w:pPr>
        <w:pStyle w:val="45"/>
        <w:tabs>
          <w:tab w:val="left" w:pos="5849"/>
        </w:tabs>
        <w:spacing w:line="374" w:lineRule="auto"/>
        <w:ind w:firstLine="480" w:firstLineChars="200"/>
        <w:jc w:val="both"/>
        <w:rPr>
          <w:rFonts w:hint="eastAsia" w:ascii="Times New Roman" w:hAnsi="Times New Roman" w:eastAsia="宋体" w:cs="Times New Roman"/>
          <w:color w:val="auto"/>
          <w:sz w:val="24"/>
          <w:szCs w:val="24"/>
          <w:highlight w:val="none"/>
          <w:lang w:val="en-US" w:eastAsia="zh-CN" w:bidi="en-US"/>
        </w:rPr>
      </w:pPr>
      <w:r>
        <w:rPr>
          <w:rFonts w:hint="eastAsia" w:ascii="Times New Roman" w:hAnsi="Times New Roman" w:cs="Times New Roman"/>
          <w:color w:val="auto"/>
          <w:sz w:val="24"/>
          <w:szCs w:val="24"/>
          <w:highlight w:val="none"/>
          <w:lang w:val="en-US" w:bidi="en-US"/>
        </w:rPr>
        <w:t>上述人员因其他事务需短期离开工地，应向发包人请假，经批准后方可离开，离开期间应委托项目相关负责人负责其外出时的日常工作。对未按规定到位和在岗的，发包人将报告县、市、自治区水行政主管部门，纳入市场主体信用管理体系</w:t>
      </w:r>
      <w:r>
        <w:rPr>
          <w:rFonts w:hint="eastAsia" w:ascii="Times New Roman" w:hAnsi="Times New Roman" w:cs="Times New Roman"/>
          <w:color w:val="auto"/>
          <w:sz w:val="24"/>
          <w:szCs w:val="24"/>
          <w:highlight w:val="none"/>
          <w:lang w:val="en-US" w:eastAsia="zh-CN" w:bidi="en-US"/>
        </w:rPr>
        <w:t>。</w:t>
      </w:r>
    </w:p>
    <w:p>
      <w:pPr>
        <w:pStyle w:val="6"/>
        <w:ind w:left="0" w:leftChars="0" w:firstLine="0" w:firstLineChars="0"/>
        <w:jc w:val="both"/>
        <w:rPr>
          <w:color w:val="auto"/>
          <w:sz w:val="24"/>
          <w:szCs w:val="24"/>
          <w:highlight w:val="none"/>
          <w:lang w:eastAsia="zh-CN"/>
        </w:rPr>
      </w:pPr>
      <w:bookmarkStart w:id="1131" w:name="bookmark1657"/>
      <w:bookmarkStart w:id="1132" w:name="bookmark1656"/>
      <w:bookmarkStart w:id="1133" w:name="bookmark1658"/>
      <w:r>
        <w:rPr>
          <w:color w:val="auto"/>
          <w:sz w:val="24"/>
          <w:szCs w:val="24"/>
          <w:highlight w:val="none"/>
          <w:lang w:eastAsia="zh-CN"/>
        </w:rPr>
        <w:t>4.7撤换承包人项目经理和其他人员</w:t>
      </w:r>
      <w:bookmarkEnd w:id="1131"/>
      <w:bookmarkEnd w:id="1132"/>
      <w:bookmarkEnd w:id="1133"/>
    </w:p>
    <w:p>
      <w:pPr>
        <w:pStyle w:val="45"/>
        <w:spacing w:line="374" w:lineRule="auto"/>
        <w:ind w:firstLine="420"/>
        <w:jc w:val="both"/>
        <w:rPr>
          <w:rFonts w:ascii="Times New Roman" w:hAnsi="Times New Roman" w:cs="Times New Roman"/>
          <w:color w:val="auto"/>
          <w:sz w:val="24"/>
          <w:szCs w:val="24"/>
          <w:highlight w:val="none"/>
        </w:rPr>
      </w:pPr>
      <w:r>
        <w:rPr>
          <w:rFonts w:hint="eastAsia" w:ascii="Times New Roman" w:hAnsi="Times New Roman" w:eastAsia="Times New Roman" w:cs="Times New Roman"/>
          <w:color w:val="auto"/>
          <w:sz w:val="24"/>
          <w:szCs w:val="24"/>
          <w:highlight w:val="none"/>
          <w:lang w:val="en-US" w:bidi="en-US"/>
        </w:rPr>
        <w:sym w:font="Wingdings 2" w:char="00A3"/>
      </w:r>
      <w:r>
        <w:rPr>
          <w:rFonts w:ascii="Times New Roman" w:hAnsi="Times New Roman" w:eastAsia="Times New Roman" w:cs="Times New Roman"/>
          <w:color w:val="auto"/>
          <w:sz w:val="24"/>
          <w:szCs w:val="24"/>
          <w:highlight w:val="none"/>
          <w:lang w:val="en-US" w:bidi="en-US"/>
        </w:rPr>
        <w:t>4.7.</w:t>
      </w:r>
      <w:r>
        <w:rPr>
          <w:rFonts w:ascii="Times New Roman" w:hAnsi="Times New Roman" w:eastAsia="Times New Roman" w:cs="Times New Roman"/>
          <w:color w:val="auto"/>
          <w:sz w:val="24"/>
          <w:szCs w:val="24"/>
          <w:highlight w:val="none"/>
        </w:rPr>
        <w:t>1</w:t>
      </w:r>
      <w:r>
        <w:rPr>
          <w:rFonts w:ascii="Times New Roman" w:hAnsi="Times New Roman" w:cs="Times New Roman"/>
          <w:color w:val="auto"/>
          <w:sz w:val="24"/>
          <w:szCs w:val="24"/>
          <w:highlight w:val="none"/>
        </w:rPr>
        <w:t>中标人根据投标文件的承诺，投入本项目的项目经理、技术负责人、质量管理员、安全管理员等主要管理人员中标后不得更换(除因故去世、调离本单位</w:t>
      </w:r>
      <w:r>
        <w:rPr>
          <w:rFonts w:hint="eastAsia" w:ascii="Times New Roman" w:hAnsi="Times New Roman" w:cs="Times New Roman"/>
          <w:color w:val="auto"/>
          <w:sz w:val="24"/>
          <w:szCs w:val="24"/>
          <w:highlight w:val="none"/>
          <w:lang w:eastAsia="zh-CN"/>
        </w:rPr>
        <w:t>、因病无法进行履行工作职责</w:t>
      </w:r>
      <w:r>
        <w:rPr>
          <w:rFonts w:ascii="Times New Roman" w:hAnsi="Times New Roman" w:cs="Times New Roman"/>
          <w:color w:val="auto"/>
          <w:sz w:val="24"/>
          <w:szCs w:val="24"/>
          <w:highlight w:val="none"/>
        </w:rPr>
        <w:t>外</w:t>
      </w:r>
      <w:r>
        <w:rPr>
          <w:rFonts w:hint="eastAsia"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rPr>
        <w:t>。</w:t>
      </w:r>
    </w:p>
    <w:p>
      <w:pPr>
        <w:pStyle w:val="45"/>
        <w:spacing w:line="356" w:lineRule="exact"/>
        <w:ind w:firstLine="440"/>
        <w:jc w:val="both"/>
        <w:rPr>
          <w:rFonts w:ascii="Times New Roman" w:hAnsi="Times New Roman" w:cs="Times New Roman"/>
          <w:color w:val="auto"/>
          <w:sz w:val="24"/>
          <w:szCs w:val="24"/>
          <w:highlight w:val="none"/>
        </w:rPr>
      </w:pPr>
      <w:r>
        <w:rPr>
          <w:rFonts w:hint="eastAsia" w:ascii="Times New Roman" w:hAnsi="Times New Roman" w:eastAsia="Times New Roman" w:cs="Times New Roman"/>
          <w:color w:val="auto"/>
          <w:sz w:val="24"/>
          <w:szCs w:val="24"/>
          <w:highlight w:val="none"/>
          <w:lang w:val="en-US" w:bidi="en-US"/>
        </w:rPr>
        <w:sym w:font="Wingdings 2" w:char="0052"/>
      </w:r>
      <w:r>
        <w:rPr>
          <w:rFonts w:ascii="Times New Roman" w:hAnsi="Times New Roman" w:eastAsia="Times New Roman" w:cs="Times New Roman"/>
          <w:color w:val="auto"/>
          <w:sz w:val="24"/>
          <w:szCs w:val="24"/>
          <w:highlight w:val="none"/>
          <w:lang w:val="en-US" w:bidi="en-US"/>
        </w:rPr>
        <w:t>4.7.</w:t>
      </w:r>
      <w:r>
        <w:rPr>
          <w:rFonts w:ascii="Times New Roman" w:hAnsi="Times New Roman" w:eastAsia="Times New Roman" w:cs="Times New Roman"/>
          <w:color w:val="auto"/>
          <w:sz w:val="24"/>
          <w:szCs w:val="24"/>
          <w:highlight w:val="none"/>
        </w:rPr>
        <w:t>1</w:t>
      </w:r>
      <w:r>
        <w:rPr>
          <w:rFonts w:ascii="Times New Roman" w:hAnsi="Times New Roman" w:cs="Times New Roman"/>
          <w:color w:val="auto"/>
          <w:sz w:val="24"/>
          <w:szCs w:val="24"/>
          <w:highlight w:val="none"/>
        </w:rPr>
        <w:t>投入本项目的项目经理、技术负责人、质量管理员、专职管理员等主要管理人员中标后，经中标人申请、监理机构审核允许、招标人同意后方可变更为不低于同等条 件的人员。</w:t>
      </w:r>
    </w:p>
    <w:p>
      <w:pPr>
        <w:pStyle w:val="45"/>
        <w:tabs>
          <w:tab w:val="left" w:pos="4711"/>
        </w:tabs>
        <w:spacing w:after="140" w:line="356"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4.7.2除非发包人要求或者批准，承包人擅自更换项目经理、项目副经理、技术负责人、专职安全员的，</w:t>
      </w:r>
      <w:r>
        <w:rPr>
          <w:rFonts w:hint="eastAsia" w:ascii="Times New Roman" w:hAnsi="Times New Roman" w:cs="Times New Roman"/>
          <w:color w:val="auto"/>
          <w:sz w:val="24"/>
          <w:szCs w:val="24"/>
          <w:highlight w:val="none"/>
          <w:lang w:val="en-US" w:bidi="en-US"/>
        </w:rPr>
        <w:t>将按每人每天人民币</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u w:val="single"/>
          <w:lang w:val="en-US" w:eastAsia="zh-CN" w:bidi="en-US"/>
        </w:rPr>
        <w:t>500</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lang w:val="en-US" w:bidi="en-US"/>
        </w:rPr>
        <w:t>元的标准</w:t>
      </w:r>
      <w:r>
        <w:rPr>
          <w:rFonts w:hint="eastAsia" w:ascii="Times New Roman" w:hAnsi="Times New Roman" w:eastAsia="宋体" w:cs="Times New Roman"/>
          <w:color w:val="auto"/>
          <w:sz w:val="24"/>
          <w:szCs w:val="24"/>
          <w:highlight w:val="none"/>
          <w:lang w:val="en-US" w:eastAsia="zh-CN" w:bidi="en-US"/>
        </w:rPr>
        <w:t>进行处罚</w:t>
      </w:r>
      <w:r>
        <w:rPr>
          <w:color w:val="auto"/>
          <w:sz w:val="24"/>
          <w:szCs w:val="24"/>
          <w:highlight w:val="none"/>
        </w:rPr>
        <w:t>，由有关行政监督部门处理后报请有关行政监督部门将结果记入市场主体信用档案，公布不良行为记录。</w:t>
      </w:r>
    </w:p>
    <w:p>
      <w:pPr>
        <w:pStyle w:val="45"/>
        <w:tabs>
          <w:tab w:val="left" w:pos="4711"/>
        </w:tabs>
        <w:spacing w:after="140" w:line="356" w:lineRule="exact"/>
        <w:ind w:firstLine="440"/>
        <w:jc w:val="both"/>
        <w:rPr>
          <w:rFonts w:ascii="Times New Roman" w:hAnsi="Times New Roman" w:cs="Times New Roman"/>
          <w:color w:val="auto"/>
          <w:sz w:val="24"/>
          <w:szCs w:val="24"/>
          <w:highlight w:val="none"/>
          <w:lang w:val="en-US"/>
        </w:rPr>
      </w:pPr>
      <w:r>
        <w:rPr>
          <w:rFonts w:ascii="Times New Roman" w:hAnsi="Times New Roman" w:cs="Times New Roman"/>
          <w:color w:val="auto"/>
          <w:sz w:val="24"/>
          <w:szCs w:val="24"/>
          <w:highlight w:val="none"/>
          <w:lang w:val="en-US"/>
        </w:rPr>
        <w:t>4.7.3尽管承包人已按第4.6.2款的规定派遣了各类人员，</w:t>
      </w:r>
      <w:r>
        <w:rPr>
          <w:rFonts w:hint="eastAsia" w:ascii="Times New Roman" w:hAnsi="Times New Roman" w:cs="Times New Roman"/>
          <w:color w:val="auto"/>
          <w:sz w:val="24"/>
          <w:szCs w:val="24"/>
          <w:highlight w:val="none"/>
          <w:lang w:val="en-US"/>
        </w:rPr>
        <w:t>但</w:t>
      </w:r>
      <w:r>
        <w:rPr>
          <w:rFonts w:ascii="Times New Roman" w:hAnsi="Times New Roman" w:cs="Times New Roman"/>
          <w:color w:val="auto"/>
          <w:sz w:val="24"/>
          <w:szCs w:val="24"/>
          <w:highlight w:val="none"/>
          <w:lang w:val="en-US"/>
        </w:rPr>
        <w:t>仍然不能满足合同工程的进度计划或质量要求时，发包人有权要求承包人继续增派（/或更换）人员。承包人在接到通知14天内，增派（和/或更换）的人员</w:t>
      </w:r>
      <w:r>
        <w:rPr>
          <w:rFonts w:hint="eastAsia" w:ascii="Times New Roman" w:hAnsi="Times New Roman" w:cs="Times New Roman"/>
          <w:color w:val="auto"/>
          <w:sz w:val="24"/>
          <w:szCs w:val="24"/>
          <w:highlight w:val="none"/>
          <w:lang w:val="en-US"/>
        </w:rPr>
        <w:t>要</w:t>
      </w:r>
      <w:r>
        <w:rPr>
          <w:rFonts w:ascii="Times New Roman" w:hAnsi="Times New Roman" w:cs="Times New Roman"/>
          <w:color w:val="auto"/>
          <w:sz w:val="24"/>
          <w:szCs w:val="24"/>
          <w:highlight w:val="none"/>
          <w:lang w:val="en-US"/>
        </w:rPr>
        <w:t>到岗，否则，承包人应按</w:t>
      </w:r>
      <w:r>
        <w:rPr>
          <w:rFonts w:hint="eastAsia" w:ascii="Times New Roman" w:hAnsi="Times New Roman" w:cs="Times New Roman"/>
          <w:color w:val="auto"/>
          <w:sz w:val="24"/>
          <w:szCs w:val="24"/>
          <w:highlight w:val="none"/>
          <w:lang w:val="en-US" w:bidi="en-US"/>
        </w:rPr>
        <w:t>每人每天人民币</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u w:val="single"/>
          <w:lang w:val="en-US" w:eastAsia="zh-CN" w:bidi="en-US"/>
        </w:rPr>
        <w:t>500</w:t>
      </w:r>
      <w:r>
        <w:rPr>
          <w:rFonts w:hint="eastAsia" w:ascii="Times New Roman" w:hAnsi="Times New Roman" w:cs="Times New Roman"/>
          <w:color w:val="auto"/>
          <w:sz w:val="24"/>
          <w:szCs w:val="24"/>
          <w:highlight w:val="none"/>
          <w:u w:val="single"/>
          <w:lang w:val="en-US" w:bidi="en-US"/>
        </w:rPr>
        <w:t xml:space="preserve">   </w:t>
      </w:r>
      <w:r>
        <w:rPr>
          <w:rFonts w:hint="eastAsia" w:ascii="Times New Roman" w:hAnsi="Times New Roman" w:cs="Times New Roman"/>
          <w:color w:val="auto"/>
          <w:sz w:val="24"/>
          <w:szCs w:val="24"/>
          <w:highlight w:val="none"/>
          <w:lang w:val="en-US" w:bidi="en-US"/>
        </w:rPr>
        <w:t>元</w:t>
      </w:r>
      <w:r>
        <w:rPr>
          <w:rFonts w:ascii="Times New Roman" w:hAnsi="Times New Roman" w:cs="Times New Roman"/>
          <w:color w:val="auto"/>
          <w:sz w:val="24"/>
          <w:szCs w:val="24"/>
          <w:highlight w:val="none"/>
          <w:lang w:val="en-US"/>
        </w:rPr>
        <w:t>的标准</w:t>
      </w:r>
      <w:r>
        <w:rPr>
          <w:rFonts w:hint="eastAsia" w:ascii="Times New Roman" w:hAnsi="Times New Roman" w:cs="Times New Roman"/>
          <w:color w:val="auto"/>
          <w:sz w:val="24"/>
          <w:szCs w:val="24"/>
          <w:highlight w:val="none"/>
          <w:lang w:val="en-US" w:eastAsia="zh-CN"/>
        </w:rPr>
        <w:t>计算违约金，</w:t>
      </w:r>
      <w:r>
        <w:rPr>
          <w:rFonts w:ascii="Times New Roman" w:hAnsi="Times New Roman" w:cs="Times New Roman"/>
          <w:color w:val="auto"/>
          <w:sz w:val="24"/>
          <w:szCs w:val="24"/>
          <w:highlight w:val="none"/>
          <w:lang w:val="en-US"/>
        </w:rPr>
        <w:t>直至按照发包人的要求增派（和/或更换）的人员到岗为此。</w:t>
      </w:r>
    </w:p>
    <w:p>
      <w:pPr>
        <w:pStyle w:val="6"/>
        <w:ind w:left="0" w:leftChars="0" w:firstLine="0" w:firstLineChars="0"/>
        <w:jc w:val="both"/>
        <w:rPr>
          <w:color w:val="auto"/>
          <w:sz w:val="24"/>
          <w:szCs w:val="24"/>
          <w:highlight w:val="none"/>
          <w:lang w:eastAsia="zh-CN"/>
        </w:rPr>
      </w:pPr>
      <w:bookmarkStart w:id="1134" w:name="bookmark1659"/>
      <w:bookmarkStart w:id="1135" w:name="bookmark1661"/>
      <w:bookmarkStart w:id="1136" w:name="bookmark1660"/>
      <w:r>
        <w:rPr>
          <w:color w:val="auto"/>
          <w:sz w:val="24"/>
          <w:szCs w:val="24"/>
          <w:highlight w:val="none"/>
          <w:lang w:eastAsia="zh-CN"/>
        </w:rPr>
        <w:t>4.11不利物质条件</w:t>
      </w:r>
      <w:bookmarkEnd w:id="1134"/>
      <w:bookmarkEnd w:id="1135"/>
      <w:bookmarkEnd w:id="1136"/>
    </w:p>
    <w:p>
      <w:pPr>
        <w:pStyle w:val="45"/>
        <w:tabs>
          <w:tab w:val="left" w:pos="8230"/>
        </w:tabs>
        <w:spacing w:line="300" w:lineRule="auto"/>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4.11.1</w:t>
      </w:r>
      <w:r>
        <w:rPr>
          <w:color w:val="auto"/>
          <w:sz w:val="24"/>
          <w:szCs w:val="24"/>
          <w:highlight w:val="none"/>
        </w:rPr>
        <w:t>不利物质条件的范围：</w:t>
      </w:r>
      <w:r>
        <w:rPr>
          <w:rFonts w:hint="eastAsia"/>
          <w:color w:val="auto"/>
          <w:sz w:val="24"/>
          <w:szCs w:val="24"/>
          <w:highlight w:val="none"/>
          <w:u w:val="single"/>
        </w:rPr>
        <w:t xml:space="preserve"> 不可预见的自然物质条件、非自然的物质障碍和污染物，包括地下和水文条件，但不包括气候条件，由发包人、监理人和承包人现场确定</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137" w:name="bookmark1664"/>
      <w:bookmarkEnd w:id="1137"/>
      <w:bookmarkStart w:id="1138" w:name="_Toc347230106"/>
      <w:bookmarkStart w:id="1139" w:name="_Toc3524"/>
      <w:bookmarkStart w:id="1140" w:name="bookmark1663"/>
      <w:bookmarkStart w:id="1141" w:name="bookmark1662"/>
      <w:bookmarkStart w:id="1142" w:name="bookmark1665"/>
      <w:r>
        <w:rPr>
          <w:rFonts w:hint="eastAsia"/>
          <w:color w:val="auto"/>
          <w:sz w:val="24"/>
          <w:szCs w:val="24"/>
          <w:highlight w:val="none"/>
          <w:lang w:eastAsia="zh-CN"/>
        </w:rPr>
        <w:t>5. 材料和工程设备</w:t>
      </w:r>
      <w:bookmarkEnd w:id="1138"/>
      <w:bookmarkEnd w:id="1139"/>
      <w:bookmarkEnd w:id="1140"/>
      <w:bookmarkEnd w:id="1141"/>
      <w:bookmarkEnd w:id="1142"/>
    </w:p>
    <w:p>
      <w:pPr>
        <w:pStyle w:val="6"/>
        <w:ind w:left="0" w:leftChars="0" w:firstLine="0" w:firstLineChars="0"/>
        <w:jc w:val="both"/>
        <w:rPr>
          <w:color w:val="auto"/>
          <w:sz w:val="24"/>
          <w:szCs w:val="24"/>
          <w:highlight w:val="none"/>
          <w:lang w:eastAsia="zh-CN"/>
        </w:rPr>
      </w:pPr>
      <w:bookmarkStart w:id="1143" w:name="bookmark1666"/>
      <w:bookmarkStart w:id="1144" w:name="bookmark1667"/>
      <w:bookmarkStart w:id="1145" w:name="bookmark1668"/>
      <w:r>
        <w:rPr>
          <w:color w:val="auto"/>
          <w:sz w:val="24"/>
          <w:szCs w:val="24"/>
          <w:highlight w:val="none"/>
          <w:lang w:eastAsia="zh-CN"/>
        </w:rPr>
        <w:t>5.2发包人提供的材料和工程设备</w:t>
      </w:r>
      <w:bookmarkEnd w:id="1143"/>
      <w:bookmarkEnd w:id="1144"/>
      <w:bookmarkEnd w:id="1145"/>
    </w:p>
    <w:p>
      <w:pPr>
        <w:pStyle w:val="5"/>
        <w:spacing w:line="360" w:lineRule="exact"/>
        <w:jc w:val="both"/>
        <w:rPr>
          <w:rFonts w:hint="eastAsia" w:ascii="宋体" w:hAnsi="宋体" w:eastAsia="宋体" w:cs="宋体"/>
          <w:b w:val="0"/>
          <w:color w:val="auto"/>
          <w:sz w:val="24"/>
          <w:szCs w:val="24"/>
          <w:highlight w:val="none"/>
          <w:u w:val="none"/>
          <w:lang w:val="zh-CN" w:eastAsia="zh-CN" w:bidi="zh-CN"/>
        </w:rPr>
      </w:pPr>
      <w:bookmarkStart w:id="1146" w:name="bookmark1669"/>
      <w:bookmarkEnd w:id="1146"/>
      <w:r>
        <w:rPr>
          <w:rFonts w:hint="eastAsia" w:ascii="宋体" w:hAnsi="宋体" w:eastAsia="宋体" w:cs="宋体"/>
          <w:b w:val="0"/>
          <w:color w:val="auto"/>
          <w:sz w:val="24"/>
          <w:szCs w:val="24"/>
          <w:highlight w:val="none"/>
          <w:u w:val="none"/>
          <w:lang w:val="zh-CN" w:eastAsia="zh-CN" w:bidi="zh-CN"/>
        </w:rPr>
        <w:t>5.2.1  发包人提供的材料和工程</w:t>
      </w:r>
      <w:bookmarkStart w:id="1147" w:name="bookmark1672"/>
      <w:bookmarkEnd w:id="1147"/>
      <w:bookmarkStart w:id="1148" w:name="_Toc1942276484"/>
      <w:bookmarkStart w:id="1149" w:name="bookmark1671"/>
      <w:bookmarkStart w:id="1150" w:name="bookmark1673"/>
      <w:bookmarkStart w:id="1151" w:name="bookmark1670"/>
      <w:bookmarkStart w:id="1152" w:name="_Toc4956"/>
      <w:bookmarkStart w:id="1153" w:name="_Toc453"/>
      <w:bookmarkStart w:id="1154" w:name="_Toc6599"/>
      <w:r>
        <w:rPr>
          <w:rFonts w:hint="eastAsia" w:ascii="宋体" w:hAnsi="宋体" w:eastAsia="宋体" w:cs="宋体"/>
          <w:b w:val="0"/>
          <w:color w:val="auto"/>
          <w:sz w:val="24"/>
          <w:szCs w:val="24"/>
          <w:highlight w:val="none"/>
          <w:u w:val="none"/>
          <w:lang w:val="zh-CN" w:eastAsia="zh-CN" w:bidi="zh-CN"/>
        </w:rPr>
        <w:t>设备：无。</w:t>
      </w:r>
    </w:p>
    <w:p>
      <w:pPr>
        <w:pStyle w:val="5"/>
        <w:spacing w:line="360" w:lineRule="exact"/>
        <w:jc w:val="both"/>
        <w:rPr>
          <w:rFonts w:hint="eastAsia"/>
          <w:color w:val="auto"/>
          <w:sz w:val="24"/>
          <w:szCs w:val="24"/>
          <w:highlight w:val="none"/>
          <w:lang w:eastAsia="zh-CN"/>
        </w:rPr>
      </w:pPr>
      <w:r>
        <w:rPr>
          <w:rFonts w:hint="eastAsia"/>
          <w:color w:val="auto"/>
          <w:sz w:val="24"/>
          <w:szCs w:val="24"/>
          <w:highlight w:val="none"/>
          <w:lang w:eastAsia="zh-CN"/>
        </w:rPr>
        <w:t>6. 施工设备和临时设施</w:t>
      </w:r>
      <w:bookmarkEnd w:id="1148"/>
      <w:bookmarkEnd w:id="1149"/>
      <w:bookmarkEnd w:id="1150"/>
      <w:bookmarkEnd w:id="1151"/>
      <w:bookmarkEnd w:id="1152"/>
      <w:bookmarkEnd w:id="1153"/>
      <w:bookmarkEnd w:id="1154"/>
    </w:p>
    <w:p>
      <w:pPr>
        <w:pStyle w:val="6"/>
        <w:ind w:left="0" w:leftChars="0" w:firstLine="0" w:firstLineChars="0"/>
        <w:jc w:val="both"/>
        <w:rPr>
          <w:color w:val="auto"/>
          <w:sz w:val="24"/>
          <w:szCs w:val="24"/>
          <w:highlight w:val="none"/>
          <w:lang w:eastAsia="zh-CN"/>
        </w:rPr>
      </w:pPr>
      <w:bookmarkStart w:id="1155" w:name="bookmark1676"/>
      <w:bookmarkStart w:id="1156" w:name="bookmark1675"/>
      <w:bookmarkStart w:id="1157" w:name="bookmark1674"/>
      <w:r>
        <w:rPr>
          <w:color w:val="auto"/>
          <w:sz w:val="24"/>
          <w:szCs w:val="24"/>
          <w:highlight w:val="none"/>
          <w:lang w:eastAsia="zh-CN"/>
        </w:rPr>
        <w:t>6.1承包人提供的施工设备和临时设施</w:t>
      </w:r>
      <w:bookmarkEnd w:id="1155"/>
      <w:bookmarkEnd w:id="1156"/>
      <w:bookmarkEnd w:id="1157"/>
    </w:p>
    <w:p>
      <w:pPr>
        <w:pStyle w:val="45"/>
        <w:spacing w:after="140" w:line="365"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6.1.2</w:t>
      </w:r>
      <w:r>
        <w:rPr>
          <w:color w:val="auto"/>
          <w:sz w:val="24"/>
          <w:szCs w:val="24"/>
          <w:highlight w:val="none"/>
        </w:rPr>
        <w:t>承包人自行承担修建临时设施的费用，需要临时占地的，由承包人办理相关申请手续，发包人予以协助，发生的相关费用由承包人承担。</w:t>
      </w:r>
    </w:p>
    <w:p>
      <w:pPr>
        <w:pStyle w:val="6"/>
        <w:ind w:left="0" w:leftChars="0" w:firstLine="0" w:firstLineChars="0"/>
        <w:jc w:val="both"/>
        <w:rPr>
          <w:color w:val="auto"/>
          <w:sz w:val="24"/>
          <w:szCs w:val="24"/>
          <w:highlight w:val="none"/>
          <w:lang w:eastAsia="zh-CN"/>
        </w:rPr>
      </w:pPr>
      <w:bookmarkStart w:id="1158" w:name="bookmark1677"/>
      <w:bookmarkStart w:id="1159" w:name="bookmark1678"/>
      <w:bookmarkStart w:id="1160" w:name="bookmark1679"/>
      <w:r>
        <w:rPr>
          <w:color w:val="auto"/>
          <w:sz w:val="24"/>
          <w:szCs w:val="24"/>
          <w:highlight w:val="none"/>
          <w:lang w:eastAsia="zh-CN"/>
        </w:rPr>
        <w:t>6.2发包人提供的施工设备和临时设施</w:t>
      </w:r>
      <w:bookmarkEnd w:id="1158"/>
      <w:bookmarkEnd w:id="1159"/>
      <w:bookmarkEnd w:id="1160"/>
    </w:p>
    <w:p>
      <w:pPr>
        <w:pStyle w:val="45"/>
        <w:spacing w:after="140" w:line="365" w:lineRule="exact"/>
        <w:ind w:firstLine="440"/>
        <w:jc w:val="both"/>
        <w:rPr>
          <w:rFonts w:hint="eastAsia" w:ascii="Times New Roman" w:hAnsi="Times New Roman" w:eastAsia="Times New Roman" w:cs="Times New Roman"/>
          <w:color w:val="auto"/>
          <w:sz w:val="24"/>
          <w:szCs w:val="24"/>
          <w:highlight w:val="none"/>
          <w:lang w:val="en-US" w:eastAsia="zh-CN" w:bidi="en-US"/>
        </w:rPr>
      </w:pPr>
      <w:bookmarkStart w:id="1161" w:name="bookmark1684"/>
      <w:bookmarkEnd w:id="1161"/>
      <w:bookmarkStart w:id="1162" w:name="bookmark1680"/>
      <w:bookmarkEnd w:id="1162"/>
      <w:bookmarkStart w:id="1163" w:name="_Toc8746"/>
      <w:bookmarkStart w:id="1164" w:name="bookmark1683"/>
      <w:bookmarkStart w:id="1165" w:name="bookmark1685"/>
      <w:bookmarkStart w:id="1166" w:name="_Toc2758"/>
      <w:bookmarkStart w:id="1167" w:name="_Toc1966053410"/>
      <w:bookmarkStart w:id="1168" w:name="_Toc18798"/>
      <w:bookmarkStart w:id="1169" w:name="bookmark1682"/>
      <w:bookmarkStart w:id="1170" w:name="bookmark1686"/>
      <w:bookmarkStart w:id="1171" w:name="bookmark1688"/>
      <w:bookmarkStart w:id="1172" w:name="bookmark1687"/>
      <w:r>
        <w:rPr>
          <w:rFonts w:hint="eastAsia" w:ascii="Times New Roman" w:hAnsi="Times New Roman" w:eastAsia="Times New Roman" w:cs="Times New Roman"/>
          <w:color w:val="auto"/>
          <w:sz w:val="24"/>
          <w:szCs w:val="24"/>
          <w:highlight w:val="none"/>
          <w:lang w:val="en-US" w:eastAsia="zh-CN" w:bidi="en-US"/>
        </w:rPr>
        <w:t>（1）发包人提供的的施工设备：</w:t>
      </w:r>
      <w:r>
        <w:rPr>
          <w:rFonts w:hint="eastAsia" w:ascii="Times New Roman" w:hAnsi="Times New Roman" w:eastAsia="Times New Roman" w:cs="Times New Roman"/>
          <w:color w:val="auto"/>
          <w:sz w:val="24"/>
          <w:szCs w:val="24"/>
          <w:highlight w:val="none"/>
          <w:u w:val="single"/>
          <w:lang w:val="en-US" w:eastAsia="zh-CN" w:bidi="en-US"/>
        </w:rPr>
        <w:t>无</w:t>
      </w:r>
      <w:r>
        <w:rPr>
          <w:rFonts w:hint="eastAsia" w:ascii="Times New Roman" w:hAnsi="Times New Roman" w:eastAsia="Times New Roman" w:cs="Times New Roman"/>
          <w:color w:val="auto"/>
          <w:sz w:val="24"/>
          <w:szCs w:val="24"/>
          <w:highlight w:val="none"/>
          <w:lang w:val="en-US" w:eastAsia="zh-CN" w:bidi="en-US"/>
        </w:rPr>
        <w:t>。</w:t>
      </w:r>
    </w:p>
    <w:p>
      <w:pPr>
        <w:pStyle w:val="45"/>
        <w:spacing w:after="140" w:line="365" w:lineRule="exact"/>
        <w:ind w:firstLine="440"/>
        <w:jc w:val="both"/>
        <w:rPr>
          <w:rFonts w:hint="eastAsia" w:ascii="Times New Roman" w:hAnsi="Times New Roman" w:eastAsia="Times New Roman" w:cs="Times New Roman"/>
          <w:color w:val="auto"/>
          <w:sz w:val="24"/>
          <w:szCs w:val="24"/>
          <w:highlight w:val="none"/>
          <w:lang w:val="en-US" w:eastAsia="zh-CN" w:bidi="en-US"/>
        </w:rPr>
      </w:pPr>
      <w:r>
        <w:rPr>
          <w:rFonts w:hint="eastAsia" w:ascii="Times New Roman" w:hAnsi="Times New Roman" w:eastAsia="Times New Roman" w:cs="Times New Roman"/>
          <w:color w:val="auto"/>
          <w:sz w:val="24"/>
          <w:szCs w:val="24"/>
          <w:highlight w:val="none"/>
          <w:lang w:val="en-US" w:eastAsia="zh-CN" w:bidi="en-US"/>
        </w:rPr>
        <w:t>（2）发包人提供的临时设施：</w:t>
      </w:r>
      <w:r>
        <w:rPr>
          <w:rFonts w:hint="eastAsia" w:ascii="Times New Roman" w:hAnsi="Times New Roman" w:eastAsia="Times New Roman" w:cs="Times New Roman"/>
          <w:color w:val="auto"/>
          <w:sz w:val="24"/>
          <w:szCs w:val="24"/>
          <w:highlight w:val="none"/>
          <w:u w:val="single"/>
          <w:lang w:val="en-US" w:eastAsia="zh-CN" w:bidi="en-US"/>
        </w:rPr>
        <w:t>无</w:t>
      </w:r>
      <w:r>
        <w:rPr>
          <w:rFonts w:hint="eastAsia" w:ascii="Times New Roman" w:hAnsi="Times New Roman" w:eastAsia="Times New Roman" w:cs="Times New Roman"/>
          <w:color w:val="auto"/>
          <w:sz w:val="24"/>
          <w:szCs w:val="24"/>
          <w:highlight w:val="none"/>
          <w:lang w:val="en-US" w:eastAsia="zh-CN" w:bidi="en-US"/>
        </w:rPr>
        <w:t>。</w:t>
      </w:r>
    </w:p>
    <w:p>
      <w:pPr>
        <w:pStyle w:val="5"/>
        <w:spacing w:line="360" w:lineRule="exact"/>
        <w:jc w:val="both"/>
        <w:rPr>
          <w:rFonts w:hint="eastAsia"/>
          <w:color w:val="auto"/>
          <w:sz w:val="24"/>
          <w:szCs w:val="24"/>
          <w:highlight w:val="none"/>
          <w:lang w:eastAsia="zh-CN"/>
        </w:rPr>
      </w:pPr>
      <w:r>
        <w:rPr>
          <w:rFonts w:hint="eastAsia"/>
          <w:color w:val="auto"/>
          <w:sz w:val="24"/>
          <w:szCs w:val="24"/>
          <w:highlight w:val="none"/>
          <w:lang w:eastAsia="zh-CN"/>
        </w:rPr>
        <w:t>7. 交通运输</w:t>
      </w:r>
      <w:bookmarkEnd w:id="1163"/>
      <w:bookmarkEnd w:id="1164"/>
      <w:bookmarkEnd w:id="1165"/>
      <w:bookmarkEnd w:id="1166"/>
      <w:bookmarkEnd w:id="1167"/>
      <w:bookmarkEnd w:id="1168"/>
      <w:bookmarkEnd w:id="1169"/>
    </w:p>
    <w:p>
      <w:pPr>
        <w:pStyle w:val="6"/>
        <w:ind w:left="0" w:leftChars="0" w:firstLine="0" w:firstLineChars="0"/>
        <w:jc w:val="both"/>
        <w:rPr>
          <w:color w:val="auto"/>
          <w:sz w:val="24"/>
          <w:szCs w:val="24"/>
          <w:highlight w:val="none"/>
          <w:lang w:eastAsia="zh-CN"/>
        </w:rPr>
      </w:pPr>
      <w:r>
        <w:rPr>
          <w:color w:val="auto"/>
          <w:sz w:val="24"/>
          <w:szCs w:val="24"/>
          <w:highlight w:val="none"/>
          <w:lang w:eastAsia="zh-CN"/>
        </w:rPr>
        <w:t>7.1道路通行权和场外设施</w:t>
      </w:r>
      <w:bookmarkEnd w:id="1170"/>
      <w:bookmarkEnd w:id="1171"/>
      <w:bookmarkEnd w:id="1172"/>
    </w:p>
    <w:p>
      <w:pPr>
        <w:pStyle w:val="45"/>
        <w:tabs>
          <w:tab w:val="left" w:pos="8218"/>
        </w:tabs>
        <w:spacing w:line="256" w:lineRule="exact"/>
        <w:ind w:firstLine="420"/>
        <w:jc w:val="both"/>
        <w:rPr>
          <w:rFonts w:ascii="Times New Roman" w:hAnsi="Times New Roman" w:cs="Times New Roman"/>
          <w:color w:val="auto"/>
          <w:sz w:val="24"/>
          <w:szCs w:val="24"/>
          <w:highlight w:val="none"/>
          <w:lang w:val="en-US" w:bidi="en-US"/>
        </w:rPr>
      </w:pPr>
      <w:r>
        <w:rPr>
          <w:color w:val="auto"/>
          <w:sz w:val="24"/>
          <w:szCs w:val="24"/>
          <w:highlight w:val="none"/>
        </w:rPr>
        <w:t>道路通行权和场外设施的约定：</w:t>
      </w:r>
      <w:r>
        <w:rPr>
          <w:rFonts w:hint="eastAsia"/>
          <w:color w:val="auto"/>
          <w:sz w:val="24"/>
          <w:szCs w:val="24"/>
          <w:highlight w:val="none"/>
          <w:u w:val="single"/>
        </w:rPr>
        <w:t xml:space="preserve"> 承包人应根据合同工程的施工需要，负责办理取得出入施工场地的专用和临时道路的通行权，以及取得为工程建设所需修建场外设施的权利 </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173" w:name="_Toc28858"/>
      <w:bookmarkStart w:id="1174" w:name="bookmark1689"/>
      <w:bookmarkStart w:id="1175" w:name="bookmark1690"/>
      <w:bookmarkStart w:id="1176" w:name="_Toc1043714604"/>
      <w:bookmarkStart w:id="1177" w:name="bookmark1692"/>
      <w:bookmarkStart w:id="1178" w:name="_Toc976"/>
      <w:bookmarkStart w:id="1179" w:name="_Toc18147"/>
      <w:bookmarkStart w:id="1180" w:name="bookmark1695"/>
      <w:bookmarkStart w:id="1181" w:name="bookmark1693"/>
      <w:bookmarkStart w:id="1182" w:name="bookmark1694"/>
      <w:r>
        <w:rPr>
          <w:rFonts w:hint="eastAsia"/>
          <w:color w:val="auto"/>
          <w:sz w:val="24"/>
          <w:szCs w:val="24"/>
          <w:highlight w:val="none"/>
          <w:lang w:eastAsia="zh-CN"/>
        </w:rPr>
        <w:t>8. 测量放线</w:t>
      </w:r>
      <w:bookmarkEnd w:id="1173"/>
      <w:bookmarkEnd w:id="1174"/>
      <w:bookmarkEnd w:id="1175"/>
      <w:bookmarkEnd w:id="1176"/>
      <w:bookmarkEnd w:id="1177"/>
      <w:bookmarkEnd w:id="1178"/>
      <w:bookmarkEnd w:id="1179"/>
    </w:p>
    <w:p>
      <w:pPr>
        <w:pStyle w:val="6"/>
        <w:ind w:left="0" w:leftChars="0" w:firstLine="0" w:firstLineChars="0"/>
        <w:jc w:val="both"/>
        <w:rPr>
          <w:color w:val="auto"/>
          <w:sz w:val="24"/>
          <w:szCs w:val="24"/>
          <w:highlight w:val="none"/>
          <w:lang w:eastAsia="zh-CN"/>
        </w:rPr>
      </w:pPr>
      <w:r>
        <w:rPr>
          <w:color w:val="auto"/>
          <w:sz w:val="24"/>
          <w:szCs w:val="24"/>
          <w:highlight w:val="none"/>
          <w:lang w:eastAsia="zh-CN"/>
        </w:rPr>
        <w:t>8.1施工控制网</w:t>
      </w:r>
      <w:bookmarkEnd w:id="1180"/>
      <w:bookmarkEnd w:id="1181"/>
      <w:bookmarkEnd w:id="1182"/>
    </w:p>
    <w:p>
      <w:pPr>
        <w:pStyle w:val="46"/>
        <w:tabs>
          <w:tab w:val="left" w:pos="750"/>
          <w:tab w:val="left" w:pos="4898"/>
        </w:tabs>
        <w:spacing w:after="140" w:line="372" w:lineRule="auto"/>
        <w:ind w:left="420" w:firstLine="0"/>
        <w:jc w:val="both"/>
        <w:rPr>
          <w:rFonts w:hint="eastAsia"/>
          <w:color w:val="auto"/>
          <w:sz w:val="24"/>
          <w:szCs w:val="24"/>
          <w:highlight w:val="none"/>
          <w:lang w:eastAsia="zh-CN"/>
        </w:rPr>
      </w:pPr>
      <w:bookmarkStart w:id="1183" w:name="bookmark1696"/>
      <w:bookmarkEnd w:id="1183"/>
      <w:r>
        <w:rPr>
          <w:rFonts w:hint="eastAsia"/>
          <w:color w:val="auto"/>
          <w:sz w:val="24"/>
          <w:szCs w:val="24"/>
          <w:highlight w:val="none"/>
          <w:lang w:eastAsia="zh-CN" w:bidi="zh-CN"/>
        </w:rPr>
        <w:t>8.1.</w:t>
      </w:r>
      <w:r>
        <w:rPr>
          <w:color w:val="auto"/>
          <w:sz w:val="24"/>
          <w:szCs w:val="24"/>
          <w:highlight w:val="none"/>
          <w:lang w:val="zh-CN" w:eastAsia="zh-CN" w:bidi="zh-CN"/>
        </w:rPr>
        <w:t xml:space="preserve">1 </w:t>
      </w:r>
      <w:r>
        <w:rPr>
          <w:rFonts w:ascii="宋体" w:hAnsi="宋体" w:cs="宋体"/>
          <w:color w:val="auto"/>
          <w:sz w:val="24"/>
          <w:szCs w:val="24"/>
          <w:highlight w:val="none"/>
          <w:lang w:val="zh-CN" w:eastAsia="zh-CN" w:bidi="zh-CN"/>
        </w:rPr>
        <w:t>施工控制网的约定：</w:t>
      </w:r>
      <w:r>
        <w:rPr>
          <w:rFonts w:hint="eastAsia" w:ascii="宋体" w:hAnsi="宋体" w:cs="宋体"/>
          <w:color w:val="auto"/>
          <w:sz w:val="24"/>
          <w:szCs w:val="24"/>
          <w:highlight w:val="none"/>
          <w:lang w:val="zh-CN" w:eastAsia="zh-CN" w:bidi="zh-CN"/>
        </w:rPr>
        <w:t>由</w:t>
      </w:r>
      <w:r>
        <w:rPr>
          <w:rFonts w:hint="eastAsia" w:ascii="宋体" w:hAnsi="宋体" w:cs="宋体"/>
          <w:color w:val="auto"/>
          <w:sz w:val="24"/>
          <w:szCs w:val="24"/>
          <w:highlight w:val="none"/>
          <w:u w:val="single"/>
          <w:lang w:val="zh-CN" w:eastAsia="zh-CN" w:bidi="zh-CN"/>
        </w:rPr>
        <w:t>承包人负责测设，并报监理人审批，相关费用由承包人承担</w:t>
      </w:r>
      <w:r>
        <w:rPr>
          <w:rFonts w:hint="eastAsia"/>
          <w:color w:val="auto"/>
          <w:sz w:val="24"/>
          <w:szCs w:val="24"/>
          <w:highlight w:val="none"/>
          <w:lang w:eastAsia="zh-CN"/>
        </w:rPr>
        <w:t>。</w:t>
      </w:r>
    </w:p>
    <w:p>
      <w:pPr>
        <w:pStyle w:val="46"/>
        <w:tabs>
          <w:tab w:val="left" w:pos="750"/>
          <w:tab w:val="left" w:pos="4898"/>
        </w:tabs>
        <w:spacing w:after="140" w:line="372" w:lineRule="auto"/>
        <w:ind w:left="420" w:firstLine="0"/>
        <w:jc w:val="both"/>
        <w:rPr>
          <w:rFonts w:hint="eastAsia"/>
          <w:color w:val="auto"/>
          <w:sz w:val="24"/>
          <w:szCs w:val="24"/>
          <w:highlight w:val="none"/>
          <w:lang w:eastAsia="zh-CN"/>
        </w:rPr>
      </w:pPr>
      <w:r>
        <w:rPr>
          <w:rFonts w:hint="eastAsia"/>
          <w:color w:val="auto"/>
          <w:sz w:val="24"/>
          <w:szCs w:val="24"/>
          <w:highlight w:val="none"/>
          <w:lang w:eastAsia="zh-CN"/>
        </w:rPr>
        <w:t>增加以下条款：</w:t>
      </w:r>
    </w:p>
    <w:p>
      <w:pPr>
        <w:pStyle w:val="46"/>
        <w:keepNext w:val="0"/>
        <w:keepLines w:val="0"/>
        <w:pageBreakBefore w:val="0"/>
        <w:widowControl w:val="0"/>
        <w:tabs>
          <w:tab w:val="left" w:pos="750"/>
          <w:tab w:val="left" w:pos="4898"/>
        </w:tabs>
        <w:kinsoku/>
        <w:wordWrap/>
        <w:overflowPunct/>
        <w:topLinePunct w:val="0"/>
        <w:autoSpaceDE/>
        <w:autoSpaceDN/>
        <w:bidi w:val="0"/>
        <w:adjustRightInd/>
        <w:snapToGrid/>
        <w:spacing w:after="0" w:line="372" w:lineRule="auto"/>
        <w:ind w:left="0"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8.1.3对基准坐标资料的内容的确认与维护</w:t>
      </w:r>
    </w:p>
    <w:p>
      <w:pPr>
        <w:pStyle w:val="46"/>
        <w:keepNext w:val="0"/>
        <w:keepLines w:val="0"/>
        <w:pageBreakBefore w:val="0"/>
        <w:widowControl w:val="0"/>
        <w:tabs>
          <w:tab w:val="left" w:pos="750"/>
          <w:tab w:val="left" w:pos="4898"/>
        </w:tabs>
        <w:kinsoku/>
        <w:wordWrap/>
        <w:overflowPunct/>
        <w:topLinePunct w:val="0"/>
        <w:autoSpaceDE/>
        <w:autoSpaceDN/>
        <w:bidi w:val="0"/>
        <w:adjustRightInd/>
        <w:snapToGrid/>
        <w:spacing w:after="0" w:line="372" w:lineRule="auto"/>
        <w:ind w:left="0"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1）承包人应根据发包人书面移交的控制网数据，负责对原始控制网数据的复测，根据工程施工放样的需要对控制网进行加密。承包人有义务提出并纠正发包人提供的基本坐标资料中的差错，并对所有放线的准确性负责。</w:t>
      </w:r>
    </w:p>
    <w:p>
      <w:pPr>
        <w:pStyle w:val="46"/>
        <w:keepNext w:val="0"/>
        <w:keepLines w:val="0"/>
        <w:pageBreakBefore w:val="0"/>
        <w:widowControl w:val="0"/>
        <w:tabs>
          <w:tab w:val="left" w:pos="750"/>
          <w:tab w:val="left" w:pos="4898"/>
        </w:tabs>
        <w:kinsoku/>
        <w:wordWrap/>
        <w:overflowPunct/>
        <w:topLinePunct w:val="0"/>
        <w:autoSpaceDE/>
        <w:autoSpaceDN/>
        <w:bidi w:val="0"/>
        <w:adjustRightInd/>
        <w:snapToGrid/>
        <w:spacing w:after="0" w:line="372" w:lineRule="auto"/>
        <w:ind w:left="0"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（2）对因自身原因造成原始控制点的破坏，不得因此向发包人索取可能延长的工期和可能增加的费用；</w:t>
      </w:r>
    </w:p>
    <w:p>
      <w:pPr>
        <w:pStyle w:val="46"/>
        <w:keepNext w:val="0"/>
        <w:keepLines w:val="0"/>
        <w:pageBreakBefore w:val="0"/>
        <w:widowControl w:val="0"/>
        <w:tabs>
          <w:tab w:val="left" w:pos="750"/>
          <w:tab w:val="left" w:pos="4898"/>
        </w:tabs>
        <w:kinsoku/>
        <w:wordWrap/>
        <w:overflowPunct/>
        <w:topLinePunct w:val="0"/>
        <w:autoSpaceDE/>
        <w:autoSpaceDN/>
        <w:bidi w:val="0"/>
        <w:adjustRightInd/>
        <w:snapToGrid/>
        <w:spacing w:after="0" w:line="372" w:lineRule="auto"/>
        <w:ind w:left="0" w:firstLine="480" w:firstLineChars="200"/>
        <w:jc w:val="both"/>
        <w:textAlignment w:val="auto"/>
        <w:rPr>
          <w:rFonts w:hint="eastAsia"/>
          <w:color w:val="auto"/>
          <w:sz w:val="24"/>
          <w:szCs w:val="24"/>
          <w:highlight w:val="none"/>
          <w:lang w:eastAsia="zh-CN"/>
        </w:rPr>
      </w:pPr>
      <w:r>
        <w:rPr>
          <w:rFonts w:hint="eastAsia"/>
          <w:color w:val="auto"/>
          <w:sz w:val="24"/>
          <w:szCs w:val="24"/>
          <w:highlight w:val="none"/>
          <w:lang w:eastAsia="zh-CN"/>
        </w:rPr>
        <w:t>（3）施工控制网允许发包人、监理人以及其它承包人使用。</w:t>
      </w:r>
    </w:p>
    <w:p>
      <w:pPr>
        <w:pStyle w:val="5"/>
        <w:spacing w:line="360" w:lineRule="exact"/>
        <w:jc w:val="both"/>
        <w:rPr>
          <w:rFonts w:hint="eastAsia"/>
          <w:color w:val="auto"/>
          <w:sz w:val="24"/>
          <w:szCs w:val="24"/>
          <w:highlight w:val="none"/>
          <w:lang w:eastAsia="zh-CN"/>
        </w:rPr>
      </w:pPr>
      <w:bookmarkStart w:id="1184" w:name="_Toc15023"/>
      <w:bookmarkStart w:id="1185" w:name="_Toc15272"/>
      <w:bookmarkStart w:id="1186" w:name="_Toc202010781"/>
      <w:r>
        <w:rPr>
          <w:rFonts w:hint="eastAsia"/>
          <w:color w:val="auto"/>
          <w:sz w:val="24"/>
          <w:szCs w:val="24"/>
          <w:highlight w:val="none"/>
          <w:lang w:eastAsia="zh-CN"/>
        </w:rPr>
        <w:t>9. 施工安全、治安保卫和环境保护</w:t>
      </w:r>
      <w:bookmarkEnd w:id="1184"/>
      <w:bookmarkEnd w:id="1185"/>
      <w:bookmarkEnd w:id="1186"/>
    </w:p>
    <w:p>
      <w:pPr>
        <w:pStyle w:val="6"/>
        <w:ind w:left="0" w:leftChars="0" w:firstLine="0" w:firstLineChars="0"/>
        <w:jc w:val="both"/>
        <w:rPr>
          <w:color w:val="auto"/>
          <w:sz w:val="24"/>
          <w:szCs w:val="24"/>
          <w:highlight w:val="none"/>
          <w:lang w:eastAsia="zh-CN"/>
        </w:rPr>
      </w:pPr>
      <w:r>
        <w:rPr>
          <w:color w:val="auto"/>
          <w:sz w:val="24"/>
          <w:szCs w:val="24"/>
          <w:highlight w:val="none"/>
          <w:lang w:eastAsia="zh-CN"/>
        </w:rPr>
        <w:t>9.2承包人的施工安全责任</w:t>
      </w:r>
    </w:p>
    <w:p>
      <w:pPr>
        <w:pStyle w:val="45"/>
        <w:tabs>
          <w:tab w:val="left" w:pos="754"/>
        </w:tabs>
        <w:spacing w:line="377" w:lineRule="auto"/>
        <w:ind w:left="0" w:leftChars="0" w:firstLine="480" w:firstLineChars="20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 xml:space="preserve">9. 2. </w:t>
      </w:r>
      <w:r>
        <w:rPr>
          <w:rFonts w:ascii="Times New Roman" w:hAnsi="Times New Roman" w:eastAsia="Times New Roman" w:cs="Times New Roman"/>
          <w:color w:val="auto"/>
          <w:sz w:val="24"/>
          <w:szCs w:val="24"/>
          <w:highlight w:val="none"/>
        </w:rPr>
        <w:t>12</w:t>
      </w:r>
      <w:r>
        <w:rPr>
          <w:color w:val="auto"/>
          <w:sz w:val="24"/>
          <w:szCs w:val="24"/>
          <w:highlight w:val="none"/>
        </w:rPr>
        <w:t>下列工程应编制专项施工方案：</w:t>
      </w:r>
      <w:r>
        <w:rPr>
          <w:rFonts w:hint="eastAsia"/>
          <w:color w:val="auto"/>
          <w:sz w:val="24"/>
          <w:szCs w:val="24"/>
          <w:highlight w:val="none"/>
          <w:u w:val="single"/>
        </w:rPr>
        <w:t>（1）土方和石方开挖工程，包括拆除、爆破，料场开挖及运输等；（2）基础处理，包括基础灌浆等；（3）金属结构安装；（4）其它危险性较大的工程。专项施工方案评审发生的费用由承包人负责</w:t>
      </w:r>
      <w:r>
        <w:rPr>
          <w:rFonts w:hint="eastAsia"/>
          <w:color w:val="auto"/>
          <w:sz w:val="24"/>
          <w:szCs w:val="24"/>
          <w:highlight w:val="none"/>
          <w:u w:val="single"/>
          <w:lang w:val="en-US"/>
        </w:rPr>
        <w:t xml:space="preserve"> </w:t>
      </w:r>
      <w:r>
        <w:rPr>
          <w:rFonts w:hint="eastAsia" w:ascii="Times New Roman" w:hAnsi="Times New Roman" w:cs="Times New Roman"/>
          <w:color w:val="auto"/>
          <w:sz w:val="24"/>
          <w:szCs w:val="24"/>
          <w:highlight w:val="none"/>
          <w:lang w:val="en-US" w:bidi="en-US"/>
        </w:rPr>
        <w:t>。</w:t>
      </w:r>
      <w:r>
        <w:rPr>
          <w:color w:val="auto"/>
          <w:sz w:val="24"/>
          <w:szCs w:val="24"/>
          <w:highlight w:val="none"/>
        </w:rPr>
        <w:t>其中应组织专家论证和审查的专项施工方案：</w:t>
      </w:r>
      <w:r>
        <w:rPr>
          <w:rFonts w:hint="eastAsia"/>
          <w:color w:val="auto"/>
          <w:sz w:val="24"/>
          <w:szCs w:val="24"/>
          <w:highlight w:val="none"/>
          <w:u w:val="single"/>
        </w:rPr>
        <w:t>高边坡、深基坑、地下暗挖工程、高大模板工程的专项施工方案</w:t>
      </w:r>
      <w:r>
        <w:rPr>
          <w:rFonts w:hint="eastAsia" w:ascii="Times New Roman" w:hAnsi="Times New Roman" w:cs="Times New Roman"/>
          <w:color w:val="auto"/>
          <w:sz w:val="24"/>
          <w:szCs w:val="24"/>
          <w:highlight w:val="none"/>
          <w:lang w:val="en-US" w:bidi="en-US"/>
        </w:rPr>
        <w:t>。</w:t>
      </w:r>
    </w:p>
    <w:p>
      <w:pPr>
        <w:pStyle w:val="6"/>
        <w:ind w:left="0" w:leftChars="0" w:firstLine="0" w:firstLineChars="0"/>
        <w:jc w:val="both"/>
        <w:rPr>
          <w:color w:val="auto"/>
          <w:sz w:val="24"/>
          <w:szCs w:val="24"/>
          <w:highlight w:val="none"/>
          <w:lang w:eastAsia="zh-CN"/>
        </w:rPr>
      </w:pPr>
      <w:r>
        <w:rPr>
          <w:color w:val="auto"/>
          <w:sz w:val="24"/>
          <w:szCs w:val="24"/>
          <w:highlight w:val="none"/>
          <w:lang w:eastAsia="zh-CN"/>
        </w:rPr>
        <w:t>9.7文明工地</w:t>
      </w:r>
    </w:p>
    <w:p>
      <w:pPr>
        <w:pStyle w:val="45"/>
        <w:keepNext w:val="0"/>
        <w:keepLines w:val="0"/>
        <w:pageBreakBefore w:val="0"/>
        <w:widowControl w:val="0"/>
        <w:tabs>
          <w:tab w:val="left" w:pos="5323"/>
        </w:tabs>
        <w:kinsoku/>
        <w:wordWrap/>
        <w:overflowPunct/>
        <w:topLinePunct w:val="0"/>
        <w:autoSpaceDE/>
        <w:autoSpaceDN/>
        <w:bidi w:val="0"/>
        <w:adjustRightInd/>
        <w:snapToGrid/>
        <w:spacing w:after="140" w:line="240" w:lineRule="auto"/>
        <w:ind w:firstLine="420"/>
        <w:jc w:val="both"/>
        <w:textAlignment w:val="auto"/>
        <w:rPr>
          <w:rFonts w:hint="eastAsia"/>
          <w:color w:val="auto"/>
          <w:sz w:val="24"/>
          <w:szCs w:val="24"/>
          <w:highlight w:val="none"/>
          <w:lang w:val="en-US"/>
        </w:rPr>
      </w:pPr>
      <w:r>
        <w:rPr>
          <w:rFonts w:ascii="Times New Roman" w:hAnsi="Times New Roman" w:eastAsia="Times New Roman" w:cs="Times New Roman"/>
          <w:color w:val="auto"/>
          <w:sz w:val="24"/>
          <w:szCs w:val="24"/>
          <w:highlight w:val="none"/>
          <w:lang w:val="en-US" w:bidi="en-US"/>
        </w:rPr>
        <w:t xml:space="preserve">9.7. </w:t>
      </w:r>
      <w:r>
        <w:rPr>
          <w:rFonts w:ascii="Times New Roman" w:hAnsi="Times New Roman" w:eastAsia="Times New Roman" w:cs="Times New Roman"/>
          <w:color w:val="auto"/>
          <w:sz w:val="24"/>
          <w:szCs w:val="24"/>
          <w:highlight w:val="none"/>
        </w:rPr>
        <w:t>1</w:t>
      </w:r>
      <w:r>
        <w:rPr>
          <w:color w:val="auto"/>
          <w:sz w:val="24"/>
          <w:szCs w:val="24"/>
          <w:highlight w:val="none"/>
        </w:rPr>
        <w:t>本合同文明工地的约定：</w:t>
      </w:r>
      <w:r>
        <w:rPr>
          <w:rFonts w:hint="eastAsia"/>
          <w:color w:val="auto"/>
          <w:sz w:val="24"/>
          <w:szCs w:val="24"/>
          <w:highlight w:val="none"/>
          <w:u w:val="single"/>
          <w:lang w:eastAsia="zh-CN"/>
        </w:rPr>
        <w:t>积极创建文明工地</w:t>
      </w:r>
      <w:r>
        <w:rPr>
          <w:rFonts w:hint="eastAsia"/>
          <w:color w:val="auto"/>
          <w:sz w:val="24"/>
          <w:szCs w:val="24"/>
          <w:highlight w:val="none"/>
          <w:lang w:val="en-US"/>
        </w:rPr>
        <w:t>。</w:t>
      </w:r>
      <w:bookmarkStart w:id="1187" w:name="bookmark1709"/>
      <w:bookmarkStart w:id="1188" w:name="bookmark1708"/>
      <w:bookmarkStart w:id="1189" w:name="bookmark1710"/>
      <w:bookmarkStart w:id="1190" w:name="_Toc845"/>
      <w:bookmarkStart w:id="1191" w:name="_Toc8738"/>
    </w:p>
    <w:p>
      <w:pPr>
        <w:pStyle w:val="5"/>
        <w:spacing w:line="360" w:lineRule="exact"/>
        <w:jc w:val="both"/>
        <w:rPr>
          <w:rFonts w:hint="eastAsia"/>
          <w:color w:val="auto"/>
          <w:sz w:val="24"/>
          <w:szCs w:val="24"/>
          <w:highlight w:val="none"/>
          <w:lang w:eastAsia="zh-CN"/>
        </w:rPr>
      </w:pPr>
      <w:bookmarkStart w:id="1192" w:name="_Toc279920817"/>
      <w:bookmarkStart w:id="1193" w:name="_Toc31061"/>
      <w:r>
        <w:rPr>
          <w:rFonts w:hint="eastAsia"/>
          <w:color w:val="auto"/>
          <w:sz w:val="24"/>
          <w:szCs w:val="24"/>
          <w:highlight w:val="none"/>
          <w:lang w:eastAsia="zh-CN"/>
        </w:rPr>
        <w:t>11. 开工和竣工（完工</w:t>
      </w:r>
      <w:bookmarkEnd w:id="1187"/>
      <w:bookmarkEnd w:id="1188"/>
      <w:bookmarkEnd w:id="1189"/>
      <w:bookmarkEnd w:id="1190"/>
      <w:bookmarkEnd w:id="1191"/>
      <w:r>
        <w:rPr>
          <w:rFonts w:hint="eastAsia"/>
          <w:color w:val="auto"/>
          <w:sz w:val="24"/>
          <w:szCs w:val="24"/>
          <w:highlight w:val="none"/>
          <w:lang w:eastAsia="zh-CN"/>
        </w:rPr>
        <w:t>）</w:t>
      </w:r>
      <w:bookmarkEnd w:id="1192"/>
      <w:bookmarkEnd w:id="1193"/>
    </w:p>
    <w:p>
      <w:pPr>
        <w:pStyle w:val="6"/>
        <w:ind w:left="0" w:leftChars="0" w:firstLine="0" w:firstLineChars="0"/>
        <w:jc w:val="both"/>
        <w:rPr>
          <w:color w:val="auto"/>
          <w:sz w:val="24"/>
          <w:szCs w:val="24"/>
          <w:highlight w:val="none"/>
          <w:lang w:eastAsia="zh-CN"/>
        </w:rPr>
      </w:pPr>
      <w:bookmarkStart w:id="1194" w:name="bookmark1713"/>
      <w:bookmarkStart w:id="1195" w:name="bookmark1712"/>
      <w:bookmarkStart w:id="1196" w:name="bookmark1711"/>
      <w:r>
        <w:rPr>
          <w:color w:val="auto"/>
          <w:sz w:val="24"/>
          <w:szCs w:val="24"/>
          <w:highlight w:val="none"/>
          <w:lang w:eastAsia="zh-CN"/>
        </w:rPr>
        <w:t>11.2本工程主体工程完工时间为：</w:t>
      </w:r>
      <w:r>
        <w:rPr>
          <w:color w:val="auto"/>
          <w:sz w:val="24"/>
          <w:szCs w:val="24"/>
          <w:highlight w:val="none"/>
          <w:lang w:eastAsia="zh-CN"/>
        </w:rPr>
        <w:tab/>
      </w:r>
      <w:r>
        <w:rPr>
          <w:color w:val="auto"/>
          <w:sz w:val="24"/>
          <w:szCs w:val="24"/>
          <w:highlight w:val="none"/>
          <w:lang w:eastAsia="zh-CN"/>
        </w:rPr>
        <w:t xml:space="preserve">  年     月      日。</w:t>
      </w:r>
      <w:bookmarkEnd w:id="1194"/>
      <w:bookmarkEnd w:id="1195"/>
      <w:bookmarkEnd w:id="1196"/>
    </w:p>
    <w:p>
      <w:pPr>
        <w:pStyle w:val="6"/>
        <w:ind w:left="0" w:leftChars="0" w:firstLine="0" w:firstLineChars="0"/>
        <w:jc w:val="both"/>
        <w:rPr>
          <w:color w:val="auto"/>
          <w:sz w:val="24"/>
          <w:szCs w:val="24"/>
          <w:highlight w:val="none"/>
          <w:lang w:eastAsia="zh-CN"/>
        </w:rPr>
      </w:pPr>
      <w:bookmarkStart w:id="1197" w:name="bookmark1714"/>
      <w:bookmarkStart w:id="1198" w:name="bookmark1715"/>
      <w:bookmarkStart w:id="1199" w:name="bookmark1716"/>
      <w:r>
        <w:rPr>
          <w:color w:val="auto"/>
          <w:sz w:val="24"/>
          <w:szCs w:val="24"/>
          <w:highlight w:val="none"/>
          <w:lang w:eastAsia="zh-CN"/>
        </w:rPr>
        <w:t>11.3发包人的工期延误</w:t>
      </w:r>
      <w:bookmarkEnd w:id="1197"/>
      <w:bookmarkEnd w:id="1198"/>
      <w:bookmarkEnd w:id="1199"/>
    </w:p>
    <w:p>
      <w:pPr>
        <w:pStyle w:val="6"/>
        <w:ind w:left="0" w:leftChars="0" w:firstLine="0" w:firstLineChars="0"/>
        <w:jc w:val="both"/>
        <w:rPr>
          <w:color w:val="auto"/>
          <w:sz w:val="24"/>
          <w:szCs w:val="24"/>
          <w:highlight w:val="none"/>
          <w:lang w:eastAsia="zh-CN"/>
        </w:rPr>
      </w:pPr>
      <w:bookmarkStart w:id="1200" w:name="bookmark1719"/>
      <w:bookmarkStart w:id="1201" w:name="bookmark1718"/>
      <w:bookmarkStart w:id="1202" w:name="bookmark1717"/>
      <w:r>
        <w:rPr>
          <w:color w:val="auto"/>
          <w:sz w:val="24"/>
          <w:szCs w:val="24"/>
          <w:highlight w:val="none"/>
          <w:lang w:eastAsia="zh-CN"/>
        </w:rPr>
        <w:t>11.4异常恶劣的气候条件</w:t>
      </w:r>
      <w:bookmarkEnd w:id="1200"/>
      <w:bookmarkEnd w:id="1201"/>
      <w:bookmarkEnd w:id="1202"/>
    </w:p>
    <w:p>
      <w:pPr>
        <w:pStyle w:val="45"/>
        <w:spacing w:after="100" w:line="240" w:lineRule="auto"/>
        <w:ind w:firstLine="420"/>
        <w:jc w:val="both"/>
        <w:rPr>
          <w:color w:val="auto"/>
          <w:sz w:val="24"/>
          <w:szCs w:val="24"/>
          <w:highlight w:val="none"/>
        </w:rPr>
      </w:pPr>
      <w:r>
        <w:rPr>
          <w:rFonts w:hint="eastAsia" w:ascii="Times New Roman" w:hAnsi="Times New Roman" w:cs="Times New Roman"/>
          <w:color w:val="auto"/>
          <w:sz w:val="24"/>
          <w:szCs w:val="24"/>
          <w:highlight w:val="none"/>
          <w:lang w:val="en-US" w:bidi="en-US"/>
        </w:rPr>
        <w:t>11</w:t>
      </w:r>
      <w:r>
        <w:rPr>
          <w:rFonts w:ascii="Times New Roman" w:hAnsi="Times New Roman" w:eastAsia="Times New Roman" w:cs="Times New Roman"/>
          <w:color w:val="auto"/>
          <w:sz w:val="24"/>
          <w:szCs w:val="24"/>
          <w:highlight w:val="none"/>
          <w:lang w:val="en-US" w:bidi="en-US"/>
        </w:rPr>
        <w:t>.4.3</w:t>
      </w:r>
      <w:r>
        <w:rPr>
          <w:color w:val="auto"/>
          <w:sz w:val="24"/>
          <w:szCs w:val="24"/>
          <w:highlight w:val="none"/>
        </w:rPr>
        <w:t>本合同工程界定异常恶劣气候条件的范围为：</w:t>
      </w:r>
    </w:p>
    <w:p>
      <w:pPr>
        <w:pStyle w:val="45"/>
        <w:numPr>
          <w:ilvl w:val="0"/>
          <w:numId w:val="42"/>
        </w:numPr>
        <w:tabs>
          <w:tab w:val="left" w:pos="903"/>
          <w:tab w:val="left" w:pos="2959"/>
          <w:tab w:val="left" w:pos="5261"/>
        </w:tabs>
        <w:spacing w:after="100" w:line="240" w:lineRule="auto"/>
        <w:ind w:firstLine="420"/>
        <w:jc w:val="both"/>
        <w:rPr>
          <w:color w:val="auto"/>
          <w:sz w:val="24"/>
          <w:szCs w:val="24"/>
          <w:highlight w:val="none"/>
        </w:rPr>
      </w:pPr>
      <w:bookmarkStart w:id="1203" w:name="bookmark1720"/>
      <w:bookmarkEnd w:id="1203"/>
      <w:r>
        <w:rPr>
          <w:color w:val="auto"/>
          <w:sz w:val="24"/>
          <w:szCs w:val="24"/>
          <w:highlight w:val="none"/>
        </w:rPr>
        <w:t>日降雨量大于</w:t>
      </w:r>
      <w:r>
        <w:rPr>
          <w:rFonts w:hint="eastAsia"/>
          <w:color w:val="auto"/>
          <w:sz w:val="24"/>
          <w:szCs w:val="24"/>
          <w:highlight w:val="none"/>
          <w:u w:val="single"/>
        </w:rPr>
        <w:t>25</w:t>
      </w:r>
      <w:r>
        <w:rPr>
          <w:rFonts w:ascii="Times New Roman" w:hAnsi="Times New Roman" w:eastAsia="Times New Roman" w:cs="Times New Roman"/>
          <w:color w:val="auto"/>
          <w:sz w:val="24"/>
          <w:szCs w:val="24"/>
          <w:highlight w:val="none"/>
          <w:lang w:val="en-US" w:bidi="en-US"/>
        </w:rPr>
        <w:t>mm</w:t>
      </w:r>
      <w:r>
        <w:rPr>
          <w:color w:val="auto"/>
          <w:sz w:val="24"/>
          <w:szCs w:val="24"/>
          <w:highlight w:val="none"/>
        </w:rPr>
        <w:t>的雨日超过</w:t>
      </w:r>
      <w:r>
        <w:rPr>
          <w:rFonts w:hint="eastAsia"/>
          <w:color w:val="auto"/>
          <w:sz w:val="24"/>
          <w:szCs w:val="24"/>
          <w:highlight w:val="none"/>
          <w:u w:val="single"/>
          <w:lang w:val="en-US" w:eastAsia="zh-CN"/>
        </w:rPr>
        <w:t xml:space="preserve"> 1</w:t>
      </w:r>
      <w:r>
        <w:rPr>
          <w:color w:val="auto"/>
          <w:sz w:val="24"/>
          <w:szCs w:val="24"/>
          <w:highlight w:val="none"/>
        </w:rPr>
        <w:t>天；</w:t>
      </w:r>
    </w:p>
    <w:p>
      <w:pPr>
        <w:pStyle w:val="45"/>
        <w:numPr>
          <w:ilvl w:val="0"/>
          <w:numId w:val="42"/>
        </w:numPr>
        <w:tabs>
          <w:tab w:val="left" w:pos="903"/>
          <w:tab w:val="left" w:pos="2539"/>
          <w:tab w:val="left" w:pos="4044"/>
        </w:tabs>
        <w:spacing w:after="100" w:line="240" w:lineRule="auto"/>
        <w:ind w:firstLine="420"/>
        <w:jc w:val="both"/>
        <w:rPr>
          <w:color w:val="auto"/>
          <w:sz w:val="24"/>
          <w:szCs w:val="24"/>
          <w:highlight w:val="none"/>
        </w:rPr>
      </w:pPr>
      <w:bookmarkStart w:id="1204" w:name="bookmark1721"/>
      <w:bookmarkEnd w:id="1204"/>
      <w:r>
        <w:rPr>
          <w:color w:val="auto"/>
          <w:sz w:val="24"/>
          <w:szCs w:val="24"/>
          <w:highlight w:val="none"/>
        </w:rPr>
        <w:t>风速大于</w:t>
      </w:r>
      <w:r>
        <w:rPr>
          <w:rFonts w:hint="eastAsia"/>
          <w:color w:val="auto"/>
          <w:sz w:val="24"/>
          <w:szCs w:val="24"/>
          <w:highlight w:val="none"/>
          <w:u w:val="single"/>
          <w:lang w:val="en-US" w:eastAsia="zh-CN"/>
        </w:rPr>
        <w:t xml:space="preserve"> 20 </w:t>
      </w:r>
      <w:r>
        <w:rPr>
          <w:rFonts w:ascii="Times New Roman" w:hAnsi="Times New Roman" w:eastAsia="Times New Roman" w:cs="Times New Roman"/>
          <w:color w:val="auto"/>
          <w:sz w:val="24"/>
          <w:szCs w:val="24"/>
          <w:highlight w:val="none"/>
          <w:lang w:val="en-US" w:bidi="en-US"/>
        </w:rPr>
        <w:t>m/s</w:t>
      </w:r>
      <w:r>
        <w:rPr>
          <w:color w:val="auto"/>
          <w:sz w:val="24"/>
          <w:szCs w:val="24"/>
          <w:highlight w:val="none"/>
        </w:rPr>
        <w:t>的</w:t>
      </w:r>
      <w:r>
        <w:rPr>
          <w:rFonts w:hint="eastAsia"/>
          <w:color w:val="auto"/>
          <w:sz w:val="24"/>
          <w:szCs w:val="24"/>
          <w:highlight w:val="none"/>
          <w:u w:val="single"/>
          <w:lang w:val="en-US" w:eastAsia="zh-CN"/>
        </w:rPr>
        <w:t xml:space="preserve"> 8</w:t>
      </w:r>
      <w:r>
        <w:rPr>
          <w:color w:val="auto"/>
          <w:sz w:val="24"/>
          <w:szCs w:val="24"/>
          <w:highlight w:val="none"/>
        </w:rPr>
        <w:t>级以上台风灾害；</w:t>
      </w:r>
    </w:p>
    <w:p>
      <w:pPr>
        <w:pStyle w:val="45"/>
        <w:numPr>
          <w:ilvl w:val="0"/>
          <w:numId w:val="42"/>
        </w:numPr>
        <w:tabs>
          <w:tab w:val="left" w:pos="903"/>
          <w:tab w:val="left" w:pos="2750"/>
          <w:tab w:val="left" w:pos="4855"/>
        </w:tabs>
        <w:spacing w:after="100" w:line="240" w:lineRule="auto"/>
        <w:ind w:firstLine="420"/>
        <w:jc w:val="both"/>
        <w:rPr>
          <w:color w:val="auto"/>
          <w:sz w:val="24"/>
          <w:szCs w:val="24"/>
          <w:highlight w:val="none"/>
        </w:rPr>
      </w:pPr>
      <w:bookmarkStart w:id="1205" w:name="bookmark1722"/>
      <w:bookmarkEnd w:id="1205"/>
      <w:r>
        <w:rPr>
          <w:color w:val="auto"/>
          <w:sz w:val="24"/>
          <w:szCs w:val="24"/>
          <w:highlight w:val="none"/>
        </w:rPr>
        <w:t>日气温超过</w:t>
      </w:r>
      <w:r>
        <w:rPr>
          <w:rFonts w:hint="eastAsia"/>
          <w:color w:val="auto"/>
          <w:sz w:val="24"/>
          <w:szCs w:val="24"/>
          <w:highlight w:val="none"/>
          <w:u w:val="single"/>
          <w:lang w:val="en-US" w:eastAsia="zh-CN"/>
        </w:rPr>
        <w:t xml:space="preserve"> 40 </w:t>
      </w:r>
      <w:r>
        <w:rPr>
          <w:rFonts w:hint="eastAsia"/>
          <w:color w:val="auto"/>
          <w:sz w:val="24"/>
          <w:szCs w:val="24"/>
          <w:highlight w:val="none"/>
          <w:lang w:val="en-US" w:bidi="en-US"/>
        </w:rPr>
        <w:t>℃</w:t>
      </w:r>
      <w:r>
        <w:rPr>
          <w:color w:val="auto"/>
          <w:sz w:val="24"/>
          <w:szCs w:val="24"/>
          <w:highlight w:val="none"/>
        </w:rPr>
        <w:t>的高温大于</w:t>
      </w:r>
      <w:r>
        <w:rPr>
          <w:rFonts w:hint="eastAsia"/>
          <w:color w:val="auto"/>
          <w:sz w:val="24"/>
          <w:szCs w:val="24"/>
          <w:highlight w:val="none"/>
          <w:u w:val="single"/>
          <w:lang w:val="en-US" w:eastAsia="zh-CN"/>
        </w:rPr>
        <w:t xml:space="preserve"> 2 </w:t>
      </w:r>
      <w:r>
        <w:rPr>
          <w:color w:val="auto"/>
          <w:sz w:val="24"/>
          <w:szCs w:val="24"/>
          <w:highlight w:val="none"/>
        </w:rPr>
        <w:t>天；</w:t>
      </w:r>
    </w:p>
    <w:p>
      <w:pPr>
        <w:pStyle w:val="45"/>
        <w:numPr>
          <w:ilvl w:val="0"/>
          <w:numId w:val="42"/>
        </w:numPr>
        <w:tabs>
          <w:tab w:val="left" w:pos="903"/>
          <w:tab w:val="left" w:pos="2750"/>
          <w:tab w:val="left" w:pos="4855"/>
        </w:tabs>
        <w:spacing w:after="100" w:line="240" w:lineRule="auto"/>
        <w:ind w:firstLine="420"/>
        <w:jc w:val="both"/>
        <w:rPr>
          <w:color w:val="auto"/>
          <w:sz w:val="24"/>
          <w:szCs w:val="24"/>
          <w:highlight w:val="none"/>
        </w:rPr>
      </w:pPr>
      <w:bookmarkStart w:id="1206" w:name="bookmark1723"/>
      <w:bookmarkEnd w:id="1206"/>
      <w:r>
        <w:rPr>
          <w:color w:val="auto"/>
          <w:sz w:val="24"/>
          <w:szCs w:val="24"/>
          <w:highlight w:val="none"/>
        </w:rPr>
        <w:t>日气温低于</w:t>
      </w:r>
      <w:r>
        <w:rPr>
          <w:rFonts w:hint="eastAsia"/>
          <w:color w:val="auto"/>
          <w:sz w:val="24"/>
          <w:szCs w:val="24"/>
          <w:highlight w:val="none"/>
          <w:u w:val="single"/>
          <w:lang w:val="en-US" w:eastAsia="zh-CN"/>
        </w:rPr>
        <w:t xml:space="preserve">-10 </w:t>
      </w:r>
      <w:r>
        <w:rPr>
          <w:rFonts w:hint="eastAsia"/>
          <w:color w:val="auto"/>
          <w:sz w:val="24"/>
          <w:szCs w:val="24"/>
          <w:highlight w:val="none"/>
          <w:lang w:val="en-US" w:bidi="en-US"/>
        </w:rPr>
        <w:t>℃</w:t>
      </w:r>
      <w:r>
        <w:rPr>
          <w:color w:val="auto"/>
          <w:sz w:val="24"/>
          <w:szCs w:val="24"/>
          <w:highlight w:val="none"/>
        </w:rPr>
        <w:t>的严寒大于</w:t>
      </w:r>
      <w:r>
        <w:rPr>
          <w:rFonts w:hint="eastAsia"/>
          <w:color w:val="auto"/>
          <w:sz w:val="24"/>
          <w:szCs w:val="24"/>
          <w:highlight w:val="none"/>
          <w:u w:val="single"/>
          <w:lang w:val="en-US" w:eastAsia="zh-CN"/>
        </w:rPr>
        <w:t xml:space="preserve"> 2</w:t>
      </w:r>
      <w:r>
        <w:rPr>
          <w:color w:val="auto"/>
          <w:sz w:val="24"/>
          <w:szCs w:val="24"/>
          <w:highlight w:val="none"/>
        </w:rPr>
        <w:t>天。</w:t>
      </w:r>
    </w:p>
    <w:p>
      <w:pPr>
        <w:pStyle w:val="45"/>
        <w:numPr>
          <w:ilvl w:val="0"/>
          <w:numId w:val="42"/>
        </w:numPr>
        <w:tabs>
          <w:tab w:val="left" w:pos="903"/>
        </w:tabs>
        <w:spacing w:after="100" w:line="240" w:lineRule="auto"/>
        <w:ind w:firstLine="420"/>
        <w:jc w:val="both"/>
        <w:rPr>
          <w:color w:val="auto"/>
          <w:sz w:val="24"/>
          <w:szCs w:val="24"/>
          <w:highlight w:val="none"/>
        </w:rPr>
      </w:pPr>
      <w:bookmarkStart w:id="1207" w:name="bookmark1724"/>
      <w:bookmarkEnd w:id="1207"/>
      <w:r>
        <w:rPr>
          <w:color w:val="auto"/>
          <w:sz w:val="24"/>
          <w:szCs w:val="24"/>
          <w:highlight w:val="none"/>
        </w:rPr>
        <w:t>造成工程损坏的冰雹和大雪灾害；</w:t>
      </w:r>
    </w:p>
    <w:p>
      <w:pPr>
        <w:pStyle w:val="45"/>
        <w:numPr>
          <w:ilvl w:val="0"/>
          <w:numId w:val="42"/>
        </w:numPr>
        <w:tabs>
          <w:tab w:val="left" w:pos="903"/>
        </w:tabs>
        <w:spacing w:after="100" w:line="240" w:lineRule="auto"/>
        <w:ind w:firstLine="420"/>
        <w:jc w:val="both"/>
        <w:rPr>
          <w:color w:val="auto"/>
          <w:sz w:val="24"/>
          <w:szCs w:val="24"/>
          <w:highlight w:val="none"/>
        </w:rPr>
      </w:pPr>
      <w:bookmarkStart w:id="1208" w:name="bookmark1725"/>
      <w:bookmarkEnd w:id="1208"/>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3</w:t>
      </w:r>
      <w:r>
        <w:rPr>
          <w:rFonts w:hint="eastAsia"/>
          <w:color w:val="auto"/>
          <w:sz w:val="24"/>
          <w:szCs w:val="24"/>
          <w:highlight w:val="none"/>
          <w:u w:val="single"/>
          <w:lang w:val="en-US"/>
        </w:rPr>
        <w:t xml:space="preserve"> </w:t>
      </w:r>
      <w:r>
        <w:rPr>
          <w:color w:val="auto"/>
          <w:sz w:val="24"/>
          <w:szCs w:val="24"/>
          <w:highlight w:val="none"/>
        </w:rPr>
        <w:t>级以上的地震；</w:t>
      </w:r>
    </w:p>
    <w:p>
      <w:pPr>
        <w:pStyle w:val="45"/>
        <w:numPr>
          <w:ilvl w:val="0"/>
          <w:numId w:val="42"/>
        </w:numPr>
        <w:tabs>
          <w:tab w:val="left" w:pos="903"/>
        </w:tabs>
        <w:spacing w:after="100" w:line="240" w:lineRule="auto"/>
        <w:ind w:firstLine="420"/>
        <w:jc w:val="both"/>
        <w:rPr>
          <w:color w:val="auto"/>
          <w:sz w:val="24"/>
          <w:szCs w:val="24"/>
          <w:highlight w:val="none"/>
        </w:rPr>
      </w:pPr>
      <w:bookmarkStart w:id="1209" w:name="bookmark1726"/>
      <w:bookmarkEnd w:id="1209"/>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50</w:t>
      </w:r>
      <w:r>
        <w:rPr>
          <w:rFonts w:hint="eastAsia"/>
          <w:color w:val="auto"/>
          <w:sz w:val="24"/>
          <w:szCs w:val="24"/>
          <w:highlight w:val="none"/>
          <w:u w:val="single"/>
          <w:lang w:val="en-US"/>
        </w:rPr>
        <w:t xml:space="preserve"> </w:t>
      </w:r>
      <w:r>
        <w:rPr>
          <w:color w:val="auto"/>
          <w:sz w:val="24"/>
          <w:szCs w:val="24"/>
          <w:highlight w:val="none"/>
        </w:rPr>
        <w:t>年一遇及以上的洪水；</w:t>
      </w:r>
    </w:p>
    <w:p>
      <w:pPr>
        <w:pStyle w:val="45"/>
        <w:numPr>
          <w:ilvl w:val="0"/>
          <w:numId w:val="42"/>
        </w:numPr>
        <w:tabs>
          <w:tab w:val="left" w:pos="903"/>
        </w:tabs>
        <w:spacing w:after="160" w:line="240" w:lineRule="auto"/>
        <w:ind w:firstLine="420"/>
        <w:jc w:val="both"/>
        <w:rPr>
          <w:color w:val="auto"/>
          <w:sz w:val="24"/>
          <w:szCs w:val="24"/>
          <w:highlight w:val="none"/>
        </w:rPr>
      </w:pPr>
      <w:bookmarkStart w:id="1210" w:name="bookmark1727"/>
      <w:bookmarkEnd w:id="1210"/>
      <w:r>
        <w:rPr>
          <w:color w:val="auto"/>
          <w:sz w:val="24"/>
          <w:szCs w:val="24"/>
          <w:highlight w:val="none"/>
        </w:rPr>
        <w:t>其他异常恶劣气候灾害。</w:t>
      </w:r>
    </w:p>
    <w:p>
      <w:pPr>
        <w:pStyle w:val="6"/>
        <w:ind w:left="0" w:leftChars="0" w:firstLine="0" w:firstLineChars="0"/>
        <w:jc w:val="both"/>
        <w:rPr>
          <w:color w:val="auto"/>
          <w:sz w:val="24"/>
          <w:szCs w:val="24"/>
          <w:highlight w:val="none"/>
          <w:lang w:eastAsia="zh-CN"/>
        </w:rPr>
      </w:pPr>
      <w:bookmarkStart w:id="1211" w:name="bookmark1730"/>
      <w:bookmarkStart w:id="1212" w:name="bookmark1728"/>
      <w:bookmarkStart w:id="1213" w:name="bookmark1729"/>
      <w:r>
        <w:rPr>
          <w:color w:val="auto"/>
          <w:sz w:val="24"/>
          <w:szCs w:val="24"/>
          <w:highlight w:val="none"/>
          <w:lang w:eastAsia="zh-CN"/>
        </w:rPr>
        <w:t>11.5承包人工期延误</w:t>
      </w:r>
      <w:bookmarkEnd w:id="1211"/>
      <w:bookmarkEnd w:id="1212"/>
      <w:bookmarkEnd w:id="1213"/>
    </w:p>
    <w:p>
      <w:pPr>
        <w:pStyle w:val="45"/>
        <w:spacing w:after="100" w:line="240" w:lineRule="auto"/>
        <w:ind w:firstLine="420"/>
        <w:jc w:val="both"/>
        <w:rPr>
          <w:color w:val="auto"/>
          <w:sz w:val="24"/>
          <w:szCs w:val="24"/>
          <w:highlight w:val="none"/>
        </w:rPr>
      </w:pPr>
      <w:r>
        <w:rPr>
          <w:rFonts w:ascii="Times New Roman" w:hAnsi="Times New Roman" w:eastAsia="Times New Roman" w:cs="Times New Roman"/>
          <w:color w:val="auto"/>
          <w:sz w:val="24"/>
          <w:szCs w:val="24"/>
          <w:highlight w:val="none"/>
        </w:rPr>
        <w:t>(1)</w:t>
      </w:r>
      <w:r>
        <w:rPr>
          <w:color w:val="auto"/>
          <w:sz w:val="24"/>
          <w:szCs w:val="24"/>
          <w:highlight w:val="none"/>
        </w:rPr>
        <w:t>逾期完工违约金表(参考格式)</w:t>
      </w:r>
    </w:p>
    <w:tbl>
      <w:tblPr>
        <w:tblStyle w:val="24"/>
        <w:tblW w:w="0" w:type="auto"/>
        <w:jc w:val="center"/>
        <w:tblLayout w:type="fixed"/>
        <w:tblCellMar>
          <w:top w:w="0" w:type="dxa"/>
          <w:left w:w="10" w:type="dxa"/>
          <w:bottom w:w="0" w:type="dxa"/>
          <w:right w:w="10" w:type="dxa"/>
        </w:tblCellMar>
      </w:tblPr>
      <w:tblGrid>
        <w:gridCol w:w="576"/>
        <w:gridCol w:w="4536"/>
        <w:gridCol w:w="1699"/>
        <w:gridCol w:w="1541"/>
      </w:tblGrid>
      <w:tr>
        <w:tblPrEx>
          <w:tblCellMar>
            <w:top w:w="0" w:type="dxa"/>
            <w:left w:w="10" w:type="dxa"/>
            <w:bottom w:w="0" w:type="dxa"/>
            <w:right w:w="10" w:type="dxa"/>
          </w:tblCellMar>
        </w:tblPrEx>
        <w:trPr>
          <w:trHeight w:val="461" w:hRule="exact"/>
          <w:jc w:val="center"/>
        </w:trPr>
        <w:tc>
          <w:tcPr>
            <w:tcW w:w="576" w:type="dxa"/>
            <w:tcBorders>
              <w:top w:val="single" w:color="auto" w:sz="4" w:space="0"/>
              <w:left w:val="single" w:color="auto" w:sz="4" w:space="0"/>
            </w:tcBorders>
            <w:shd w:val="clear" w:color="auto" w:fill="FFFFFF"/>
            <w:noWrap w:val="0"/>
            <w:vAlign w:val="center"/>
          </w:tcPr>
          <w:p>
            <w:pPr>
              <w:pStyle w:val="47"/>
              <w:spacing w:line="240" w:lineRule="auto"/>
              <w:ind w:firstLine="0"/>
              <w:jc w:val="both"/>
              <w:rPr>
                <w:color w:val="auto"/>
                <w:sz w:val="24"/>
                <w:szCs w:val="24"/>
                <w:highlight w:val="none"/>
              </w:rPr>
            </w:pPr>
            <w:r>
              <w:rPr>
                <w:color w:val="auto"/>
                <w:sz w:val="24"/>
                <w:szCs w:val="24"/>
                <w:highlight w:val="none"/>
              </w:rPr>
              <w:t>序号</w:t>
            </w:r>
          </w:p>
        </w:tc>
        <w:tc>
          <w:tcPr>
            <w:tcW w:w="4536"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highlight w:val="none"/>
              </w:rPr>
            </w:pPr>
            <w:r>
              <w:rPr>
                <w:color w:val="auto"/>
                <w:sz w:val="24"/>
                <w:szCs w:val="24"/>
                <w:highlight w:val="none"/>
              </w:rPr>
              <w:t>项目及其说明</w:t>
            </w:r>
          </w:p>
        </w:tc>
        <w:tc>
          <w:tcPr>
            <w:tcW w:w="1699" w:type="dxa"/>
            <w:tcBorders>
              <w:top w:val="single" w:color="auto" w:sz="4" w:space="0"/>
              <w:left w:val="single" w:color="auto" w:sz="4" w:space="0"/>
            </w:tcBorders>
            <w:shd w:val="clear" w:color="auto" w:fill="FFFFFF"/>
            <w:noWrap w:val="0"/>
            <w:vAlign w:val="center"/>
          </w:tcPr>
          <w:p>
            <w:pPr>
              <w:pStyle w:val="47"/>
              <w:spacing w:line="240" w:lineRule="auto"/>
              <w:ind w:firstLine="0"/>
              <w:jc w:val="center"/>
              <w:rPr>
                <w:color w:val="auto"/>
                <w:sz w:val="24"/>
                <w:szCs w:val="24"/>
                <w:highlight w:val="none"/>
              </w:rPr>
            </w:pPr>
            <w:r>
              <w:rPr>
                <w:color w:val="auto"/>
                <w:sz w:val="24"/>
                <w:szCs w:val="24"/>
                <w:highlight w:val="none"/>
              </w:rPr>
              <w:t>要求完工日期</w:t>
            </w:r>
          </w:p>
        </w:tc>
        <w:tc>
          <w:tcPr>
            <w:tcW w:w="1541" w:type="dxa"/>
            <w:tcBorders>
              <w:top w:val="single" w:color="auto" w:sz="4" w:space="0"/>
              <w:left w:val="single" w:color="auto" w:sz="4" w:space="0"/>
              <w:right w:val="single" w:color="auto" w:sz="4" w:space="0"/>
            </w:tcBorders>
            <w:shd w:val="clear" w:color="auto" w:fill="FFFFFF"/>
            <w:noWrap w:val="0"/>
            <w:vAlign w:val="center"/>
          </w:tcPr>
          <w:p>
            <w:pPr>
              <w:pStyle w:val="47"/>
              <w:spacing w:line="240" w:lineRule="auto"/>
              <w:ind w:firstLine="0"/>
              <w:jc w:val="center"/>
              <w:rPr>
                <w:color w:val="auto"/>
                <w:sz w:val="24"/>
                <w:szCs w:val="24"/>
                <w:highlight w:val="none"/>
              </w:rPr>
            </w:pPr>
            <w:r>
              <w:rPr>
                <w:color w:val="auto"/>
                <w:sz w:val="24"/>
                <w:szCs w:val="24"/>
                <w:highlight w:val="none"/>
              </w:rPr>
              <w:t>违约金(元/天)</w:t>
            </w:r>
          </w:p>
        </w:tc>
      </w:tr>
      <w:tr>
        <w:tblPrEx>
          <w:tblCellMar>
            <w:top w:w="0" w:type="dxa"/>
            <w:left w:w="10" w:type="dxa"/>
            <w:bottom w:w="0" w:type="dxa"/>
            <w:right w:w="10" w:type="dxa"/>
          </w:tblCellMar>
        </w:tblPrEx>
        <w:trPr>
          <w:trHeight w:val="451" w:hRule="exact"/>
          <w:jc w:val="center"/>
        </w:trPr>
        <w:tc>
          <w:tcPr>
            <w:tcW w:w="576" w:type="dxa"/>
            <w:tcBorders>
              <w:top w:val="single" w:color="auto" w:sz="4" w:space="0"/>
              <w:left w:val="single" w:color="auto" w:sz="4" w:space="0"/>
            </w:tcBorders>
            <w:shd w:val="clear" w:color="auto" w:fill="FFFFFF"/>
            <w:noWrap w:val="0"/>
            <w:vAlign w:val="top"/>
          </w:tcPr>
          <w:p>
            <w:pPr>
              <w:jc w:val="both"/>
              <w:rPr>
                <w:color w:val="auto"/>
                <w:sz w:val="24"/>
                <w:szCs w:val="24"/>
                <w:highlight w:val="none"/>
              </w:rPr>
            </w:pPr>
          </w:p>
        </w:tc>
        <w:tc>
          <w:tcPr>
            <w:tcW w:w="4536" w:type="dxa"/>
            <w:tcBorders>
              <w:top w:val="single" w:color="auto" w:sz="4" w:space="0"/>
              <w:left w:val="single" w:color="auto" w:sz="4" w:space="0"/>
            </w:tcBorders>
            <w:shd w:val="clear" w:color="auto" w:fill="FFFFFF"/>
            <w:noWrap w:val="0"/>
            <w:vAlign w:val="top"/>
          </w:tcPr>
          <w:p>
            <w:pPr>
              <w:jc w:val="both"/>
              <w:rPr>
                <w:color w:val="auto"/>
                <w:sz w:val="24"/>
                <w:szCs w:val="24"/>
                <w:highlight w:val="none"/>
              </w:rPr>
            </w:pPr>
          </w:p>
        </w:tc>
        <w:tc>
          <w:tcPr>
            <w:tcW w:w="1699" w:type="dxa"/>
            <w:tcBorders>
              <w:top w:val="single" w:color="auto" w:sz="4" w:space="0"/>
              <w:left w:val="single" w:color="auto" w:sz="4" w:space="0"/>
            </w:tcBorders>
            <w:shd w:val="clear" w:color="auto" w:fill="FFFFFF"/>
            <w:noWrap w:val="0"/>
            <w:vAlign w:val="top"/>
          </w:tcPr>
          <w:p>
            <w:pPr>
              <w:jc w:val="both"/>
              <w:rPr>
                <w:color w:val="auto"/>
                <w:sz w:val="24"/>
                <w:szCs w:val="24"/>
                <w:highlight w:val="none"/>
              </w:rPr>
            </w:pPr>
          </w:p>
        </w:tc>
        <w:tc>
          <w:tcPr>
            <w:tcW w:w="1541" w:type="dxa"/>
            <w:tcBorders>
              <w:top w:val="single" w:color="auto" w:sz="4" w:space="0"/>
              <w:left w:val="single" w:color="auto" w:sz="4" w:space="0"/>
              <w:right w:val="single" w:color="auto" w:sz="4" w:space="0"/>
            </w:tcBorders>
            <w:shd w:val="clear" w:color="auto" w:fill="FFFFFF"/>
            <w:noWrap w:val="0"/>
            <w:vAlign w:val="top"/>
          </w:tcPr>
          <w:p>
            <w:pPr>
              <w:jc w:val="both"/>
              <w:rPr>
                <w:color w:val="auto"/>
                <w:sz w:val="24"/>
                <w:szCs w:val="24"/>
                <w:highlight w:val="none"/>
              </w:rPr>
            </w:pPr>
          </w:p>
        </w:tc>
      </w:tr>
      <w:tr>
        <w:tblPrEx>
          <w:tblCellMar>
            <w:top w:w="0" w:type="dxa"/>
            <w:left w:w="10" w:type="dxa"/>
            <w:bottom w:w="0" w:type="dxa"/>
            <w:right w:w="10" w:type="dxa"/>
          </w:tblCellMar>
        </w:tblPrEx>
        <w:trPr>
          <w:trHeight w:val="456" w:hRule="exact"/>
          <w:jc w:val="center"/>
        </w:trPr>
        <w:tc>
          <w:tcPr>
            <w:tcW w:w="576" w:type="dxa"/>
            <w:tcBorders>
              <w:top w:val="single" w:color="auto" w:sz="4" w:space="0"/>
              <w:left w:val="single" w:color="auto" w:sz="4" w:space="0"/>
            </w:tcBorders>
            <w:shd w:val="clear" w:color="auto" w:fill="FFFFFF"/>
            <w:noWrap w:val="0"/>
            <w:vAlign w:val="top"/>
          </w:tcPr>
          <w:p>
            <w:pPr>
              <w:jc w:val="both"/>
              <w:rPr>
                <w:color w:val="auto"/>
                <w:sz w:val="24"/>
                <w:szCs w:val="24"/>
                <w:highlight w:val="none"/>
              </w:rPr>
            </w:pPr>
          </w:p>
        </w:tc>
        <w:tc>
          <w:tcPr>
            <w:tcW w:w="4536" w:type="dxa"/>
            <w:tcBorders>
              <w:top w:val="single" w:color="auto" w:sz="4" w:space="0"/>
              <w:left w:val="single" w:color="auto" w:sz="4" w:space="0"/>
            </w:tcBorders>
            <w:shd w:val="clear" w:color="auto" w:fill="FFFFFF"/>
            <w:noWrap w:val="0"/>
            <w:vAlign w:val="top"/>
          </w:tcPr>
          <w:p>
            <w:pPr>
              <w:jc w:val="both"/>
              <w:rPr>
                <w:color w:val="auto"/>
                <w:sz w:val="24"/>
                <w:szCs w:val="24"/>
                <w:highlight w:val="none"/>
              </w:rPr>
            </w:pPr>
          </w:p>
        </w:tc>
        <w:tc>
          <w:tcPr>
            <w:tcW w:w="1699" w:type="dxa"/>
            <w:tcBorders>
              <w:top w:val="single" w:color="auto" w:sz="4" w:space="0"/>
              <w:left w:val="single" w:color="auto" w:sz="4" w:space="0"/>
            </w:tcBorders>
            <w:shd w:val="clear" w:color="auto" w:fill="FFFFFF"/>
            <w:noWrap w:val="0"/>
            <w:vAlign w:val="top"/>
          </w:tcPr>
          <w:p>
            <w:pPr>
              <w:jc w:val="both"/>
              <w:rPr>
                <w:color w:val="auto"/>
                <w:sz w:val="24"/>
                <w:szCs w:val="24"/>
                <w:highlight w:val="none"/>
              </w:rPr>
            </w:pPr>
          </w:p>
        </w:tc>
        <w:tc>
          <w:tcPr>
            <w:tcW w:w="1541" w:type="dxa"/>
            <w:tcBorders>
              <w:top w:val="single" w:color="auto" w:sz="4" w:space="0"/>
              <w:left w:val="single" w:color="auto" w:sz="4" w:space="0"/>
              <w:right w:val="single" w:color="auto" w:sz="4" w:space="0"/>
            </w:tcBorders>
            <w:shd w:val="clear" w:color="auto" w:fill="FFFFFF"/>
            <w:noWrap w:val="0"/>
            <w:vAlign w:val="top"/>
          </w:tcPr>
          <w:p>
            <w:pPr>
              <w:jc w:val="both"/>
              <w:rPr>
                <w:color w:val="auto"/>
                <w:sz w:val="24"/>
                <w:szCs w:val="24"/>
                <w:highlight w:val="none"/>
              </w:rPr>
            </w:pPr>
          </w:p>
        </w:tc>
      </w:tr>
      <w:tr>
        <w:tblPrEx>
          <w:tblCellMar>
            <w:top w:w="0" w:type="dxa"/>
            <w:left w:w="10" w:type="dxa"/>
            <w:bottom w:w="0" w:type="dxa"/>
            <w:right w:w="10" w:type="dxa"/>
          </w:tblCellMar>
        </w:tblPrEx>
        <w:trPr>
          <w:trHeight w:val="466" w:hRule="exact"/>
          <w:jc w:val="center"/>
        </w:trPr>
        <w:tc>
          <w:tcPr>
            <w:tcW w:w="576" w:type="dxa"/>
            <w:tcBorders>
              <w:top w:val="single" w:color="auto" w:sz="4" w:space="0"/>
              <w:left w:val="single" w:color="auto" w:sz="4" w:space="0"/>
              <w:bottom w:val="single" w:color="auto" w:sz="4" w:space="0"/>
            </w:tcBorders>
            <w:shd w:val="clear" w:color="auto" w:fill="FFFFFF"/>
            <w:noWrap w:val="0"/>
            <w:vAlign w:val="top"/>
          </w:tcPr>
          <w:p>
            <w:pPr>
              <w:jc w:val="both"/>
              <w:rPr>
                <w:color w:val="auto"/>
                <w:sz w:val="24"/>
                <w:szCs w:val="24"/>
                <w:highlight w:val="none"/>
              </w:rPr>
            </w:pPr>
          </w:p>
        </w:tc>
        <w:tc>
          <w:tcPr>
            <w:tcW w:w="4536" w:type="dxa"/>
            <w:tcBorders>
              <w:top w:val="single" w:color="auto" w:sz="4" w:space="0"/>
              <w:left w:val="single" w:color="auto" w:sz="4" w:space="0"/>
              <w:bottom w:val="single" w:color="auto" w:sz="4" w:space="0"/>
            </w:tcBorders>
            <w:shd w:val="clear" w:color="auto" w:fill="FFFFFF"/>
            <w:noWrap w:val="0"/>
            <w:vAlign w:val="top"/>
          </w:tcPr>
          <w:p>
            <w:pPr>
              <w:jc w:val="both"/>
              <w:rPr>
                <w:color w:val="auto"/>
                <w:sz w:val="24"/>
                <w:szCs w:val="24"/>
                <w:highlight w:val="none"/>
              </w:rPr>
            </w:pPr>
          </w:p>
        </w:tc>
        <w:tc>
          <w:tcPr>
            <w:tcW w:w="1699" w:type="dxa"/>
            <w:tcBorders>
              <w:top w:val="single" w:color="auto" w:sz="4" w:space="0"/>
              <w:left w:val="single" w:color="auto" w:sz="4" w:space="0"/>
              <w:bottom w:val="single" w:color="auto" w:sz="4" w:space="0"/>
            </w:tcBorders>
            <w:shd w:val="clear" w:color="auto" w:fill="FFFFFF"/>
            <w:noWrap w:val="0"/>
            <w:vAlign w:val="top"/>
          </w:tcPr>
          <w:p>
            <w:pPr>
              <w:jc w:val="both"/>
              <w:rPr>
                <w:color w:val="auto"/>
                <w:sz w:val="24"/>
                <w:szCs w:val="24"/>
                <w:highlight w:val="none"/>
              </w:rPr>
            </w:pPr>
          </w:p>
        </w:tc>
        <w:tc>
          <w:tcPr>
            <w:tcW w:w="1541" w:type="dxa"/>
            <w:tcBorders>
              <w:top w:val="single" w:color="auto" w:sz="4" w:space="0"/>
              <w:left w:val="single" w:color="auto" w:sz="4" w:space="0"/>
              <w:bottom w:val="single" w:color="auto" w:sz="4" w:space="0"/>
              <w:right w:val="single" w:color="auto" w:sz="4" w:space="0"/>
            </w:tcBorders>
            <w:shd w:val="clear" w:color="auto" w:fill="FFFFFF"/>
            <w:noWrap w:val="0"/>
            <w:vAlign w:val="top"/>
          </w:tcPr>
          <w:p>
            <w:pPr>
              <w:jc w:val="both"/>
              <w:rPr>
                <w:color w:val="auto"/>
                <w:sz w:val="24"/>
                <w:szCs w:val="24"/>
                <w:highlight w:val="none"/>
              </w:rPr>
            </w:pPr>
          </w:p>
        </w:tc>
      </w:tr>
    </w:tbl>
    <w:p>
      <w:pPr>
        <w:spacing w:after="279" w:line="1" w:lineRule="exact"/>
        <w:jc w:val="both"/>
        <w:rPr>
          <w:color w:val="auto"/>
          <w:sz w:val="24"/>
          <w:szCs w:val="24"/>
          <w:highlight w:val="none"/>
        </w:rPr>
      </w:pPr>
    </w:p>
    <w:p>
      <w:pPr>
        <w:pStyle w:val="45"/>
        <w:tabs>
          <w:tab w:val="left" w:pos="7999"/>
        </w:tabs>
        <w:spacing w:line="360" w:lineRule="exact"/>
        <w:ind w:firstLine="480" w:firstLineChars="200"/>
        <w:jc w:val="both"/>
        <w:rPr>
          <w:color w:val="auto"/>
          <w:sz w:val="24"/>
          <w:szCs w:val="24"/>
          <w:highlight w:val="none"/>
        </w:rPr>
      </w:pPr>
      <w:r>
        <w:rPr>
          <w:color w:val="auto"/>
          <w:sz w:val="24"/>
          <w:szCs w:val="24"/>
          <w:highlight w:val="none"/>
        </w:rPr>
        <w:t>承包人如未能按上表各节点要求的完工日期前完工，逾期完工违约金按</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1000</w:t>
      </w:r>
      <w:r>
        <w:rPr>
          <w:rFonts w:hint="eastAsia"/>
          <w:color w:val="auto"/>
          <w:sz w:val="24"/>
          <w:szCs w:val="24"/>
          <w:highlight w:val="none"/>
          <w:u w:val="single"/>
          <w:lang w:val="en-US"/>
        </w:rPr>
        <w:t xml:space="preserve">  </w:t>
      </w:r>
      <w:r>
        <w:rPr>
          <w:color w:val="auto"/>
          <w:sz w:val="24"/>
          <w:szCs w:val="24"/>
          <w:highlight w:val="none"/>
        </w:rPr>
        <w:t xml:space="preserve">元/ </w:t>
      </w:r>
      <w:r>
        <w:rPr>
          <w:rFonts w:hint="eastAsia"/>
          <w:color w:val="auto"/>
          <w:sz w:val="24"/>
          <w:szCs w:val="24"/>
          <w:highlight w:val="none"/>
        </w:rPr>
        <w:t>天</w:t>
      </w:r>
      <w:r>
        <w:rPr>
          <w:i/>
          <w:iCs/>
          <w:color w:val="auto"/>
          <w:sz w:val="24"/>
          <w:szCs w:val="24"/>
          <w:highlight w:val="none"/>
        </w:rPr>
        <w:t>”</w:t>
      </w:r>
      <w:r>
        <w:rPr>
          <w:color w:val="auto"/>
          <w:sz w:val="24"/>
          <w:szCs w:val="24"/>
          <w:highlight w:val="none"/>
        </w:rPr>
        <w:t>计算。</w:t>
      </w:r>
    </w:p>
    <w:p>
      <w:pPr>
        <w:pStyle w:val="45"/>
        <w:numPr>
          <w:ilvl w:val="0"/>
          <w:numId w:val="43"/>
        </w:numPr>
        <w:tabs>
          <w:tab w:val="left" w:pos="922"/>
          <w:tab w:val="left" w:pos="6190"/>
        </w:tabs>
        <w:spacing w:after="160" w:line="359" w:lineRule="exact"/>
        <w:ind w:firstLine="440"/>
        <w:jc w:val="both"/>
        <w:rPr>
          <w:color w:val="auto"/>
          <w:sz w:val="24"/>
          <w:szCs w:val="24"/>
          <w:highlight w:val="none"/>
        </w:rPr>
      </w:pPr>
      <w:bookmarkStart w:id="1214" w:name="bookmark1731"/>
      <w:bookmarkEnd w:id="1214"/>
      <w:r>
        <w:rPr>
          <w:color w:val="auto"/>
          <w:sz w:val="24"/>
          <w:szCs w:val="24"/>
          <w:highlight w:val="none"/>
        </w:rPr>
        <w:t>全部逾期完工违约金的总限额不超过合同总价的</w:t>
      </w:r>
      <w:r>
        <w:rPr>
          <w:rFonts w:hint="eastAsia"/>
          <w:color w:val="auto"/>
          <w:sz w:val="24"/>
          <w:szCs w:val="24"/>
          <w:highlight w:val="none"/>
          <w:u w:val="single"/>
          <w:lang w:val="en-US" w:eastAsia="zh-CN"/>
        </w:rPr>
        <w:t xml:space="preserve">  5 </w:t>
      </w:r>
      <w:r>
        <w:rPr>
          <w:color w:val="auto"/>
          <w:sz w:val="24"/>
          <w:szCs w:val="24"/>
          <w:highlight w:val="none"/>
        </w:rPr>
        <w:t>%,发包人可从应向承包人支付的任何金额中扣除此项违约金或以其他方式收回此款，此违约金的支付并不能解除承包人应完成工程的责任或合同规定的其他责任。</w:t>
      </w:r>
    </w:p>
    <w:p>
      <w:pPr>
        <w:pStyle w:val="6"/>
        <w:ind w:left="0" w:leftChars="0" w:firstLine="0" w:firstLineChars="0"/>
        <w:jc w:val="both"/>
        <w:rPr>
          <w:color w:val="auto"/>
          <w:sz w:val="24"/>
          <w:szCs w:val="24"/>
          <w:highlight w:val="none"/>
          <w:lang w:eastAsia="zh-CN"/>
        </w:rPr>
      </w:pPr>
      <w:bookmarkStart w:id="1215" w:name="bookmark1734"/>
      <w:bookmarkStart w:id="1216" w:name="bookmark1733"/>
      <w:bookmarkStart w:id="1217" w:name="bookmark1732"/>
      <w:r>
        <w:rPr>
          <w:color w:val="auto"/>
          <w:sz w:val="24"/>
          <w:szCs w:val="24"/>
          <w:highlight w:val="none"/>
          <w:lang w:eastAsia="zh-CN"/>
        </w:rPr>
        <w:t>11.6工期提前</w:t>
      </w:r>
      <w:bookmarkEnd w:id="1215"/>
      <w:bookmarkEnd w:id="1216"/>
      <w:bookmarkEnd w:id="1217"/>
    </w:p>
    <w:p>
      <w:pPr>
        <w:pStyle w:val="45"/>
        <w:tabs>
          <w:tab w:val="left" w:pos="8218"/>
        </w:tabs>
        <w:spacing w:line="360" w:lineRule="exact"/>
        <w:ind w:firstLine="420"/>
        <w:jc w:val="both"/>
        <w:rPr>
          <w:color w:val="auto"/>
          <w:sz w:val="24"/>
          <w:szCs w:val="24"/>
          <w:highlight w:val="none"/>
        </w:rPr>
      </w:pPr>
      <w:r>
        <w:rPr>
          <w:color w:val="auto"/>
          <w:sz w:val="24"/>
          <w:szCs w:val="24"/>
          <w:highlight w:val="none"/>
        </w:rPr>
        <w:t>工期提前的资金约定：</w:t>
      </w:r>
      <w:r>
        <w:rPr>
          <w:rFonts w:hint="eastAsia"/>
          <w:color w:val="auto"/>
          <w:sz w:val="24"/>
          <w:szCs w:val="24"/>
          <w:highlight w:val="none"/>
          <w:u w:val="single"/>
        </w:rPr>
        <w:t xml:space="preserve">在保证工程质量的前提下，发包人鼓励承包人提前完工，但本合同工程无提前工期奖金 </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218" w:name="_Toc30709"/>
      <w:bookmarkStart w:id="1219" w:name="bookmark1737"/>
      <w:bookmarkStart w:id="1220" w:name="_Toc6849"/>
      <w:bookmarkStart w:id="1221" w:name="bookmark1736"/>
      <w:bookmarkStart w:id="1222" w:name="bookmark1735"/>
      <w:bookmarkStart w:id="1223" w:name="_Toc1462804162"/>
      <w:bookmarkStart w:id="1224" w:name="_Toc23224"/>
      <w:r>
        <w:rPr>
          <w:rFonts w:hint="eastAsia"/>
          <w:color w:val="auto"/>
          <w:sz w:val="24"/>
          <w:szCs w:val="24"/>
          <w:highlight w:val="none"/>
          <w:lang w:eastAsia="zh-CN"/>
        </w:rPr>
        <w:t>12. 暂停施工</w:t>
      </w:r>
      <w:bookmarkEnd w:id="1218"/>
      <w:bookmarkEnd w:id="1219"/>
      <w:bookmarkEnd w:id="1220"/>
      <w:bookmarkEnd w:id="1221"/>
      <w:bookmarkEnd w:id="1222"/>
      <w:bookmarkEnd w:id="1223"/>
      <w:bookmarkEnd w:id="1224"/>
    </w:p>
    <w:p>
      <w:pPr>
        <w:pStyle w:val="6"/>
        <w:ind w:left="0" w:leftChars="0" w:firstLine="0" w:firstLineChars="0"/>
        <w:jc w:val="both"/>
        <w:rPr>
          <w:color w:val="auto"/>
          <w:sz w:val="24"/>
          <w:szCs w:val="24"/>
          <w:highlight w:val="none"/>
          <w:lang w:eastAsia="zh-CN"/>
        </w:rPr>
      </w:pPr>
      <w:bookmarkStart w:id="1225" w:name="bookmark1739"/>
      <w:bookmarkStart w:id="1226" w:name="bookmark1740"/>
      <w:bookmarkStart w:id="1227" w:name="bookmark1738"/>
      <w:r>
        <w:rPr>
          <w:color w:val="auto"/>
          <w:sz w:val="24"/>
          <w:szCs w:val="24"/>
          <w:highlight w:val="none"/>
          <w:lang w:eastAsia="zh-CN"/>
        </w:rPr>
        <w:t>12.1承包人暂停施工的责任</w:t>
      </w:r>
      <w:bookmarkEnd w:id="1225"/>
      <w:bookmarkEnd w:id="1226"/>
      <w:bookmarkEnd w:id="1227"/>
    </w:p>
    <w:p>
      <w:pPr>
        <w:pStyle w:val="45"/>
        <w:tabs>
          <w:tab w:val="left" w:pos="8220"/>
        </w:tabs>
        <w:spacing w:line="413" w:lineRule="auto"/>
        <w:jc w:val="both"/>
        <w:rPr>
          <w:rFonts w:hint="eastAsia" w:ascii="Times New Roman" w:hAnsi="Times New Roman" w:cs="Times New Roman"/>
          <w:color w:val="auto"/>
          <w:sz w:val="24"/>
          <w:szCs w:val="24"/>
          <w:highlight w:val="none"/>
          <w:lang w:val="en-US" w:bidi="en-US"/>
        </w:rPr>
      </w:pPr>
      <w:bookmarkStart w:id="1228" w:name="bookmark1741"/>
      <w:bookmarkEnd w:id="1228"/>
      <w:r>
        <w:rPr>
          <w:rFonts w:hint="eastAsia"/>
          <w:color w:val="auto"/>
          <w:sz w:val="24"/>
          <w:szCs w:val="24"/>
          <w:highlight w:val="none"/>
          <w:lang w:val="en-US" w:eastAsia="zh-CN"/>
        </w:rPr>
        <w:t>承</w:t>
      </w:r>
      <w:r>
        <w:rPr>
          <w:color w:val="auto"/>
          <w:sz w:val="24"/>
          <w:szCs w:val="24"/>
          <w:highlight w:val="none"/>
        </w:rPr>
        <w:t>包人承担暂停施工责任的其它情形：</w:t>
      </w:r>
      <w:r>
        <w:rPr>
          <w:color w:val="auto"/>
          <w:sz w:val="24"/>
          <w:szCs w:val="24"/>
          <w:highlight w:val="none"/>
          <w:u w:val="single"/>
        </w:rPr>
        <w:t xml:space="preserve"> </w:t>
      </w:r>
      <w:r>
        <w:rPr>
          <w:rFonts w:hint="eastAsia"/>
          <w:color w:val="auto"/>
          <w:sz w:val="24"/>
          <w:szCs w:val="24"/>
          <w:highlight w:val="none"/>
          <w:u w:val="single"/>
          <w:lang w:val="en-US" w:eastAsia="zh-CN"/>
        </w:rPr>
        <w:t>承</w:t>
      </w:r>
      <w:r>
        <w:rPr>
          <w:rFonts w:hint="eastAsia" w:ascii="宋体" w:hAnsi="宋体" w:eastAsia="宋体" w:cs="宋体"/>
          <w:color w:val="auto"/>
          <w:sz w:val="24"/>
          <w:szCs w:val="24"/>
          <w:highlight w:val="none"/>
          <w:u w:val="single"/>
          <w:lang w:val="en-US" w:eastAsia="zh-CN"/>
        </w:rPr>
        <w:t>包人承担暂停施工责任的其它情形： 由于承包人资金、人员、材料、设备不能按时到位的由承包人承担停工责任，或由于承包人原因造成的质量事故及安全事故或</w:t>
      </w:r>
      <w:r>
        <w:rPr>
          <w:rFonts w:hint="eastAsia" w:ascii="宋体" w:hAnsi="宋体" w:eastAsia="宋体" w:cs="宋体"/>
          <w:b/>
          <w:bCs/>
          <w:color w:val="auto"/>
          <w:sz w:val="24"/>
          <w:szCs w:val="24"/>
          <w:highlight w:val="none"/>
          <w:u w:val="single"/>
          <w:lang w:val="en-US" w:eastAsia="zh-CN"/>
        </w:rPr>
        <w:t>由于承包人原因造成的其他其他不利影响</w:t>
      </w:r>
      <w:r>
        <w:rPr>
          <w:rFonts w:hint="eastAsia" w:ascii="宋体" w:hAnsi="宋体" w:eastAsia="宋体" w:cs="宋体"/>
          <w:color w:val="auto"/>
          <w:sz w:val="24"/>
          <w:szCs w:val="24"/>
          <w:highlight w:val="none"/>
          <w:u w:val="single"/>
          <w:lang w:val="en-US" w:eastAsia="zh-CN"/>
        </w:rPr>
        <w:t>引起的暂停施工，发包人不再补偿停工所造成的工程费用增加和工期延误。</w:t>
      </w:r>
    </w:p>
    <w:p>
      <w:pPr>
        <w:pStyle w:val="6"/>
        <w:ind w:left="0" w:leftChars="0" w:firstLine="0" w:firstLineChars="0"/>
        <w:jc w:val="both"/>
        <w:rPr>
          <w:color w:val="auto"/>
          <w:sz w:val="24"/>
          <w:szCs w:val="24"/>
          <w:highlight w:val="none"/>
          <w:lang w:eastAsia="zh-CN"/>
        </w:rPr>
      </w:pPr>
      <w:r>
        <w:rPr>
          <w:color w:val="auto"/>
          <w:sz w:val="24"/>
          <w:szCs w:val="24"/>
          <w:highlight w:val="none"/>
          <w:lang w:eastAsia="zh-CN"/>
        </w:rPr>
        <w:t>12.2发包人暂停施工的责任</w:t>
      </w:r>
    </w:p>
    <w:p>
      <w:pPr>
        <w:pStyle w:val="45"/>
        <w:numPr>
          <w:ilvl w:val="0"/>
          <w:numId w:val="43"/>
        </w:numPr>
        <w:tabs>
          <w:tab w:val="left" w:pos="923"/>
          <w:tab w:val="left" w:pos="8218"/>
        </w:tabs>
        <w:spacing w:after="140" w:line="434" w:lineRule="auto"/>
        <w:ind w:firstLine="440"/>
        <w:jc w:val="both"/>
        <w:rPr>
          <w:color w:val="auto"/>
          <w:sz w:val="24"/>
          <w:szCs w:val="24"/>
          <w:highlight w:val="none"/>
        </w:rPr>
      </w:pPr>
      <w:bookmarkStart w:id="1229" w:name="bookmark1742"/>
      <w:bookmarkEnd w:id="1229"/>
      <w:r>
        <w:rPr>
          <w:color w:val="auto"/>
          <w:sz w:val="24"/>
          <w:szCs w:val="24"/>
          <w:highlight w:val="none"/>
        </w:rPr>
        <w:t>发包人承担暂停施工责任的其它情形：</w:t>
      </w:r>
      <w:r>
        <w:rPr>
          <w:rFonts w:hint="eastAsia"/>
          <w:color w:val="auto"/>
          <w:sz w:val="24"/>
          <w:szCs w:val="24"/>
          <w:highlight w:val="none"/>
          <w:u w:val="single"/>
        </w:rPr>
        <w:t xml:space="preserve"> 如因发包人原因导致的停工，工期应顺延</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230" w:name="bookmark1745"/>
      <w:bookmarkStart w:id="1231" w:name="_Toc4631"/>
      <w:bookmarkStart w:id="1232" w:name="_Toc1569442510"/>
      <w:bookmarkStart w:id="1233" w:name="bookmark1743"/>
      <w:bookmarkStart w:id="1234" w:name="_Toc26672"/>
      <w:bookmarkStart w:id="1235" w:name="bookmark1744"/>
      <w:bookmarkStart w:id="1236" w:name="_Toc29266"/>
      <w:r>
        <w:rPr>
          <w:rFonts w:hint="eastAsia"/>
          <w:color w:val="auto"/>
          <w:sz w:val="24"/>
          <w:szCs w:val="24"/>
          <w:highlight w:val="none"/>
          <w:lang w:eastAsia="zh-CN"/>
        </w:rPr>
        <w:t>13. 工程质量</w:t>
      </w:r>
      <w:bookmarkEnd w:id="1230"/>
      <w:bookmarkEnd w:id="1231"/>
      <w:bookmarkEnd w:id="1232"/>
      <w:bookmarkEnd w:id="1233"/>
      <w:bookmarkEnd w:id="1234"/>
      <w:bookmarkEnd w:id="1235"/>
      <w:bookmarkEnd w:id="1236"/>
    </w:p>
    <w:p>
      <w:pPr>
        <w:pStyle w:val="6"/>
        <w:ind w:left="0" w:leftChars="0" w:firstLine="0" w:firstLineChars="0"/>
        <w:jc w:val="both"/>
        <w:rPr>
          <w:color w:val="auto"/>
          <w:sz w:val="24"/>
          <w:szCs w:val="24"/>
          <w:highlight w:val="none"/>
          <w:lang w:eastAsia="zh-CN"/>
        </w:rPr>
      </w:pPr>
      <w:bookmarkStart w:id="1237" w:name="bookmark1747"/>
      <w:bookmarkStart w:id="1238" w:name="bookmark1748"/>
      <w:bookmarkStart w:id="1239" w:name="bookmark1746"/>
      <w:r>
        <w:rPr>
          <w:color w:val="auto"/>
          <w:sz w:val="24"/>
          <w:szCs w:val="24"/>
          <w:highlight w:val="none"/>
          <w:lang w:eastAsia="zh-CN"/>
        </w:rPr>
        <w:t>13.7质量评定</w:t>
      </w:r>
      <w:bookmarkEnd w:id="1237"/>
      <w:bookmarkEnd w:id="1238"/>
      <w:bookmarkEnd w:id="1239"/>
    </w:p>
    <w:p>
      <w:pPr>
        <w:pStyle w:val="45"/>
        <w:tabs>
          <w:tab w:val="left" w:pos="8228"/>
        </w:tabs>
        <w:spacing w:line="372"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13.7.4</w:t>
      </w:r>
      <w:r>
        <w:rPr>
          <w:color w:val="auto"/>
          <w:sz w:val="24"/>
          <w:szCs w:val="24"/>
          <w:highlight w:val="none"/>
        </w:rPr>
        <w:t>重要隐蔽单元工程和关键部位单元工程质量评定的约定：</w:t>
      </w:r>
      <w:r>
        <w:rPr>
          <w:rFonts w:hint="eastAsia"/>
          <w:color w:val="auto"/>
          <w:sz w:val="24"/>
          <w:szCs w:val="24"/>
          <w:highlight w:val="none"/>
          <w:u w:val="single"/>
        </w:rPr>
        <w:t xml:space="preserve">  </w:t>
      </w:r>
      <w:r>
        <w:rPr>
          <w:rFonts w:hint="eastAsia"/>
          <w:color w:val="auto"/>
          <w:sz w:val="24"/>
          <w:szCs w:val="24"/>
          <w:highlight w:val="none"/>
          <w:u w:val="single"/>
          <w:lang w:eastAsia="zh-CN"/>
        </w:rPr>
        <w:t>根据</w:t>
      </w:r>
      <w:r>
        <w:rPr>
          <w:rFonts w:hint="eastAsia"/>
          <w:color w:val="auto"/>
          <w:sz w:val="24"/>
          <w:szCs w:val="24"/>
          <w:highlight w:val="none"/>
          <w:u w:val="single"/>
        </w:rPr>
        <w:t>《水利水电工程施工质量检验与评定规程》（SL176—2007）</w:t>
      </w:r>
      <w:r>
        <w:rPr>
          <w:rFonts w:hint="eastAsia"/>
          <w:color w:val="auto"/>
          <w:sz w:val="24"/>
          <w:szCs w:val="24"/>
          <w:highlight w:val="none"/>
          <w:u w:val="single"/>
          <w:lang w:eastAsia="zh-CN"/>
        </w:rPr>
        <w:t>等开展质量评定工作</w:t>
      </w:r>
      <w:r>
        <w:rPr>
          <w:rFonts w:hint="eastAsia"/>
          <w:color w:val="auto"/>
          <w:sz w:val="24"/>
          <w:szCs w:val="24"/>
          <w:highlight w:val="none"/>
          <w:u w:val="single"/>
        </w:rPr>
        <w:t xml:space="preserve">  </w:t>
      </w:r>
      <w:r>
        <w:rPr>
          <w:rFonts w:hint="eastAsia" w:ascii="Times New Roman" w:hAnsi="Times New Roman" w:cs="Times New Roman"/>
          <w:color w:val="auto"/>
          <w:sz w:val="24"/>
          <w:szCs w:val="24"/>
          <w:highlight w:val="none"/>
          <w:lang w:val="en-US" w:bidi="en-US"/>
        </w:rPr>
        <w:t>。</w:t>
      </w:r>
    </w:p>
    <w:p>
      <w:pPr>
        <w:pStyle w:val="45"/>
        <w:tabs>
          <w:tab w:val="left" w:pos="3751"/>
          <w:tab w:val="left" w:pos="4834"/>
          <w:tab w:val="left" w:pos="8225"/>
        </w:tabs>
        <w:spacing w:after="240" w:line="372"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 xml:space="preserve">13.7.7 </w:t>
      </w:r>
      <w:r>
        <w:rPr>
          <w:color w:val="auto"/>
          <w:sz w:val="24"/>
          <w:szCs w:val="24"/>
          <w:highlight w:val="none"/>
        </w:rPr>
        <w:t>工程合格标准为：</w:t>
      </w:r>
      <w:r>
        <w:rPr>
          <w:rFonts w:hint="eastAsia"/>
          <w:color w:val="auto"/>
          <w:sz w:val="24"/>
          <w:szCs w:val="24"/>
          <w:highlight w:val="none"/>
          <w:u w:val="single"/>
        </w:rPr>
        <w:t xml:space="preserve"> 执行《水利水电工程施工质量检验与评定规程》（SL176—2007）  </w:t>
      </w:r>
      <w:r>
        <w:rPr>
          <w:rFonts w:hint="eastAsia"/>
          <w:color w:val="auto"/>
          <w:sz w:val="24"/>
          <w:szCs w:val="24"/>
          <w:highlight w:val="none"/>
        </w:rPr>
        <w:t>；</w:t>
      </w:r>
      <w:r>
        <w:rPr>
          <w:color w:val="auto"/>
          <w:sz w:val="24"/>
          <w:szCs w:val="24"/>
          <w:highlight w:val="none"/>
        </w:rPr>
        <w:t>优良标准为：</w:t>
      </w:r>
      <w:r>
        <w:rPr>
          <w:rFonts w:hint="eastAsia"/>
          <w:color w:val="auto"/>
          <w:sz w:val="24"/>
          <w:szCs w:val="24"/>
          <w:highlight w:val="none"/>
          <w:u w:val="single"/>
        </w:rPr>
        <w:t xml:space="preserve"> 执行《水利水电工程施工质量检验与评定规程》（SL176—2007） </w:t>
      </w:r>
      <w:r>
        <w:rPr>
          <w:rFonts w:hint="eastAsia" w:ascii="Times New Roman" w:hAnsi="Times New Roman" w:cs="Times New Roman"/>
          <w:color w:val="auto"/>
          <w:sz w:val="24"/>
          <w:szCs w:val="24"/>
          <w:highlight w:val="none"/>
          <w:lang w:val="en-US" w:bidi="en-US"/>
        </w:rPr>
        <w:t>。</w:t>
      </w:r>
      <w:r>
        <w:rPr>
          <w:color w:val="auto"/>
          <w:sz w:val="24"/>
          <w:szCs w:val="24"/>
          <w:highlight w:val="none"/>
        </w:rPr>
        <w:t>达到优良的奖金为：</w:t>
      </w:r>
      <w:r>
        <w:rPr>
          <w:rFonts w:hint="eastAsia"/>
          <w:color w:val="auto"/>
          <w:sz w:val="24"/>
          <w:szCs w:val="24"/>
          <w:highlight w:val="none"/>
          <w:u w:val="single"/>
        </w:rPr>
        <w:t xml:space="preserve"> 无  </w:t>
      </w:r>
      <w:r>
        <w:rPr>
          <w:rFonts w:hint="eastAsia" w:ascii="Times New Roman" w:hAnsi="Times New Roman" w:cs="Times New Roman"/>
          <w:color w:val="auto"/>
          <w:sz w:val="24"/>
          <w:szCs w:val="24"/>
          <w:highlight w:val="none"/>
          <w:lang w:val="en-US" w:bidi="en-US"/>
        </w:rPr>
        <w:t>。</w:t>
      </w:r>
    </w:p>
    <w:p>
      <w:pPr>
        <w:pStyle w:val="6"/>
        <w:ind w:left="0" w:leftChars="0" w:firstLine="0" w:firstLineChars="0"/>
        <w:jc w:val="both"/>
        <w:rPr>
          <w:color w:val="auto"/>
          <w:sz w:val="24"/>
          <w:szCs w:val="24"/>
          <w:highlight w:val="none"/>
          <w:lang w:eastAsia="zh-CN"/>
        </w:rPr>
      </w:pPr>
      <w:bookmarkStart w:id="1240" w:name="bookmark1749"/>
      <w:bookmarkStart w:id="1241" w:name="bookmark1750"/>
      <w:bookmarkStart w:id="1242" w:name="bookmark1751"/>
      <w:r>
        <w:rPr>
          <w:color w:val="auto"/>
          <w:sz w:val="24"/>
          <w:szCs w:val="24"/>
          <w:highlight w:val="none"/>
          <w:lang w:eastAsia="zh-CN"/>
        </w:rPr>
        <w:t>13.8质量事故处理</w:t>
      </w:r>
      <w:bookmarkEnd w:id="1240"/>
      <w:bookmarkEnd w:id="1241"/>
      <w:bookmarkEnd w:id="1242"/>
    </w:p>
    <w:p>
      <w:pPr>
        <w:pStyle w:val="45"/>
        <w:tabs>
          <w:tab w:val="left" w:pos="4814"/>
        </w:tabs>
        <w:spacing w:after="180" w:line="365"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13.8.4</w:t>
      </w:r>
      <w:r>
        <w:rPr>
          <w:color w:val="auto"/>
          <w:sz w:val="24"/>
          <w:szCs w:val="24"/>
          <w:highlight w:val="none"/>
        </w:rPr>
        <w:t>工程竣工验收时，</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项目法人</w:t>
      </w:r>
      <w:r>
        <w:rPr>
          <w:rFonts w:hint="eastAsia"/>
          <w:color w:val="auto"/>
          <w:sz w:val="24"/>
          <w:szCs w:val="24"/>
          <w:highlight w:val="none"/>
          <w:u w:val="single"/>
          <w:lang w:val="en-US"/>
        </w:rPr>
        <w:t xml:space="preserve">    </w:t>
      </w:r>
      <w:r>
        <w:rPr>
          <w:color w:val="auto"/>
          <w:sz w:val="24"/>
          <w:szCs w:val="24"/>
          <w:highlight w:val="none"/>
        </w:rPr>
        <w:t>向竣工验收委员会汇报并提交历次质量缺陷处理的备案资料。</w:t>
      </w:r>
    </w:p>
    <w:p>
      <w:pPr>
        <w:pStyle w:val="5"/>
        <w:spacing w:line="360" w:lineRule="exact"/>
        <w:jc w:val="both"/>
        <w:rPr>
          <w:rFonts w:hint="eastAsia"/>
          <w:color w:val="auto"/>
          <w:sz w:val="24"/>
          <w:szCs w:val="24"/>
          <w:highlight w:val="none"/>
          <w:lang w:eastAsia="zh-CN"/>
        </w:rPr>
      </w:pPr>
      <w:bookmarkStart w:id="1243" w:name="bookmark1754"/>
      <w:bookmarkStart w:id="1244" w:name="bookmark1752"/>
      <w:bookmarkStart w:id="1245" w:name="_Toc1965527390"/>
      <w:bookmarkStart w:id="1246" w:name="_Toc20650"/>
      <w:bookmarkStart w:id="1247" w:name="bookmark1753"/>
      <w:bookmarkStart w:id="1248" w:name="_Toc28336"/>
      <w:r>
        <w:rPr>
          <w:rFonts w:hint="eastAsia"/>
          <w:color w:val="auto"/>
          <w:sz w:val="24"/>
          <w:szCs w:val="24"/>
          <w:highlight w:val="none"/>
          <w:lang w:eastAsia="zh-CN"/>
        </w:rPr>
        <w:t>14 . 试验和检验</w:t>
      </w:r>
      <w:bookmarkEnd w:id="1243"/>
      <w:bookmarkEnd w:id="1244"/>
      <w:bookmarkEnd w:id="1245"/>
      <w:bookmarkEnd w:id="1246"/>
      <w:bookmarkEnd w:id="1247"/>
      <w:bookmarkEnd w:id="1248"/>
    </w:p>
    <w:p>
      <w:pPr>
        <w:pStyle w:val="6"/>
        <w:ind w:left="0" w:leftChars="0" w:firstLine="0" w:firstLineChars="0"/>
        <w:jc w:val="both"/>
        <w:rPr>
          <w:color w:val="auto"/>
          <w:sz w:val="24"/>
          <w:szCs w:val="24"/>
          <w:highlight w:val="none"/>
          <w:lang w:eastAsia="zh-CN"/>
        </w:rPr>
      </w:pPr>
      <w:bookmarkStart w:id="1249" w:name="bookmark1757"/>
      <w:bookmarkStart w:id="1250" w:name="bookmark1756"/>
      <w:bookmarkStart w:id="1251" w:name="bookmark1755"/>
      <w:r>
        <w:rPr>
          <w:color w:val="auto"/>
          <w:sz w:val="24"/>
          <w:szCs w:val="24"/>
          <w:highlight w:val="none"/>
          <w:lang w:eastAsia="zh-CN"/>
        </w:rPr>
        <w:t>14.1材料、工程设备和工程的试验和检验</w:t>
      </w:r>
      <w:bookmarkEnd w:id="1249"/>
      <w:bookmarkEnd w:id="1250"/>
      <w:bookmarkEnd w:id="1251"/>
    </w:p>
    <w:p>
      <w:pPr>
        <w:pStyle w:val="45"/>
        <w:tabs>
          <w:tab w:val="left" w:pos="2071"/>
        </w:tabs>
        <w:spacing w:line="372"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14.1.5</w:t>
      </w:r>
      <w:r>
        <w:rPr>
          <w:color w:val="auto"/>
          <w:sz w:val="24"/>
          <w:szCs w:val="24"/>
          <w:highlight w:val="none"/>
        </w:rPr>
        <w:t>水工金属结构、启闭机及机电产品进场后的交货检查和验收中，承包人负责</w:t>
      </w:r>
      <w:r>
        <w:rPr>
          <w:color w:val="auto"/>
          <w:sz w:val="24"/>
          <w:szCs w:val="24"/>
          <w:highlight w:val="none"/>
          <w:u w:val="single"/>
        </w:rPr>
        <w:tab/>
      </w:r>
      <w:r>
        <w:rPr>
          <w:rFonts w:hint="eastAsia" w:ascii="Times New Roman" w:hAnsi="Times New Roman" w:cs="Times New Roman"/>
          <w:color w:val="auto"/>
          <w:sz w:val="24"/>
          <w:szCs w:val="24"/>
          <w:highlight w:val="none"/>
          <w:lang w:val="en-US" w:bidi="en-US"/>
        </w:rPr>
        <w:t>。</w:t>
      </w:r>
    </w:p>
    <w:p>
      <w:pPr>
        <w:pStyle w:val="45"/>
        <w:tabs>
          <w:tab w:val="left" w:pos="7525"/>
        </w:tabs>
        <w:spacing w:after="180" w:line="364"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14.1.6</w:t>
      </w:r>
      <w:r>
        <w:rPr>
          <w:color w:val="auto"/>
          <w:sz w:val="24"/>
          <w:szCs w:val="24"/>
          <w:highlight w:val="none"/>
        </w:rPr>
        <w:t>本工程实行见证取样的试块、试件及有关材料：</w:t>
      </w:r>
      <w:r>
        <w:rPr>
          <w:rFonts w:hint="eastAsia"/>
          <w:color w:val="auto"/>
          <w:sz w:val="24"/>
          <w:szCs w:val="24"/>
          <w:highlight w:val="none"/>
          <w:u w:val="single"/>
        </w:rPr>
        <w:t>按通用条款执行</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252" w:name="_Toc217"/>
      <w:bookmarkStart w:id="1253" w:name="_Toc752314433"/>
      <w:bookmarkStart w:id="1254" w:name="_Toc3236"/>
      <w:bookmarkStart w:id="1255" w:name="_Toc2879"/>
      <w:bookmarkStart w:id="1256" w:name="bookmark1760"/>
      <w:bookmarkStart w:id="1257" w:name="bookmark1758"/>
      <w:bookmarkStart w:id="1258" w:name="bookmark1759"/>
      <w:r>
        <w:rPr>
          <w:rFonts w:hint="eastAsia"/>
          <w:color w:val="auto"/>
          <w:sz w:val="24"/>
          <w:szCs w:val="24"/>
          <w:highlight w:val="none"/>
          <w:lang w:eastAsia="zh-CN"/>
        </w:rPr>
        <w:t>15. 变更</w:t>
      </w:r>
      <w:bookmarkEnd w:id="1252"/>
      <w:bookmarkEnd w:id="1253"/>
      <w:bookmarkEnd w:id="1254"/>
      <w:bookmarkEnd w:id="1255"/>
      <w:bookmarkEnd w:id="1256"/>
    </w:p>
    <w:p>
      <w:pPr>
        <w:pStyle w:val="6"/>
        <w:ind w:left="0" w:leftChars="0" w:firstLine="0" w:firstLineChars="0"/>
        <w:jc w:val="both"/>
        <w:rPr>
          <w:color w:val="auto"/>
          <w:sz w:val="24"/>
          <w:szCs w:val="24"/>
          <w:highlight w:val="none"/>
          <w:lang w:eastAsia="zh-CN"/>
        </w:rPr>
      </w:pPr>
      <w:bookmarkStart w:id="1259" w:name="bookmark1761"/>
      <w:r>
        <w:rPr>
          <w:color w:val="auto"/>
          <w:sz w:val="24"/>
          <w:szCs w:val="24"/>
          <w:highlight w:val="none"/>
          <w:lang w:eastAsia="zh-CN"/>
        </w:rPr>
        <w:t>15.1变更的范围和内容</w:t>
      </w:r>
      <w:bookmarkEnd w:id="1257"/>
      <w:bookmarkEnd w:id="1258"/>
      <w:bookmarkEnd w:id="1259"/>
    </w:p>
    <w:p>
      <w:pPr>
        <w:pStyle w:val="45"/>
        <w:tabs>
          <w:tab w:val="left" w:pos="2244"/>
          <w:tab w:val="left" w:pos="5791"/>
          <w:tab w:val="left" w:pos="7224"/>
        </w:tabs>
        <w:spacing w:line="362" w:lineRule="exact"/>
        <w:ind w:firstLine="480" w:firstLineChars="200"/>
        <w:jc w:val="both"/>
        <w:rPr>
          <w:rFonts w:hint="eastAsia" w:ascii="Times New Roman" w:hAnsi="Times New Roman" w:cs="Times New Roman"/>
          <w:color w:val="auto"/>
          <w:sz w:val="24"/>
          <w:szCs w:val="24"/>
          <w:highlight w:val="none"/>
          <w:lang w:val="en-US" w:bidi="en-US"/>
        </w:rPr>
      </w:pPr>
      <w:bookmarkStart w:id="1260" w:name="bookmark1762"/>
      <w:bookmarkEnd w:id="1260"/>
      <w:r>
        <w:rPr>
          <w:rFonts w:hint="eastAsia" w:ascii="Times New Roman" w:hAnsi="Times New Roman" w:cs="Times New Roman"/>
          <w:color w:val="auto"/>
          <w:sz w:val="24"/>
          <w:szCs w:val="24"/>
          <w:highlight w:val="none"/>
          <w:lang w:val="en-US" w:eastAsia="zh-CN" w:bidi="en-US"/>
        </w:rPr>
        <w:t>□</w:t>
      </w:r>
      <w:r>
        <w:rPr>
          <w:rFonts w:ascii="Times New Roman" w:hAnsi="Times New Roman" w:cs="Times New Roman"/>
          <w:color w:val="auto"/>
          <w:sz w:val="24"/>
          <w:szCs w:val="24"/>
          <w:highlight w:val="none"/>
        </w:rPr>
        <w:t>（</w:t>
      </w:r>
      <w:r>
        <w:rPr>
          <w:rFonts w:ascii="Times New Roman" w:hAnsi="Times New Roman" w:cs="Times New Roman"/>
          <w:color w:val="auto"/>
          <w:sz w:val="24"/>
          <w:szCs w:val="24"/>
          <w:highlight w:val="none"/>
          <w:lang w:val="en-US"/>
        </w:rPr>
        <w:t>6</w:t>
      </w:r>
      <w:r>
        <w:rPr>
          <w:rFonts w:ascii="Times New Roman" w:hAnsi="Times New Roman" w:cs="Times New Roman"/>
          <w:color w:val="auto"/>
          <w:sz w:val="24"/>
          <w:szCs w:val="24"/>
          <w:highlight w:val="none"/>
        </w:rPr>
        <w:t>）</w:t>
      </w:r>
      <w:r>
        <w:rPr>
          <w:color w:val="auto"/>
          <w:sz w:val="24"/>
          <w:szCs w:val="24"/>
          <w:highlight w:val="none"/>
        </w:rPr>
        <w:t>增加或减少合同中关键项目的工程量超过其项目工程总量的</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10</w:t>
      </w:r>
      <w:r>
        <w:rPr>
          <w:rFonts w:hint="eastAsia"/>
          <w:color w:val="auto"/>
          <w:sz w:val="24"/>
          <w:szCs w:val="24"/>
          <w:highlight w:val="none"/>
          <w:u w:val="single"/>
          <w:lang w:val="en-US"/>
        </w:rPr>
        <w:t xml:space="preserve">  </w:t>
      </w:r>
      <w:r>
        <w:rPr>
          <w:color w:val="auto"/>
          <w:sz w:val="24"/>
          <w:szCs w:val="24"/>
          <w:highlight w:val="none"/>
        </w:rPr>
        <w:t>%,关键项目：</w:t>
      </w:r>
      <w:r>
        <w:rPr>
          <w:rFonts w:hint="eastAsia"/>
          <w:color w:val="auto"/>
          <w:sz w:val="24"/>
          <w:szCs w:val="24"/>
          <w:highlight w:val="none"/>
          <w:u w:val="single"/>
        </w:rPr>
        <w:t>土石方工程、混凝土工程、输水管道安装</w:t>
      </w:r>
      <w:r>
        <w:rPr>
          <w:rFonts w:hint="eastAsia"/>
          <w:color w:val="auto"/>
          <w:sz w:val="24"/>
          <w:szCs w:val="24"/>
          <w:highlight w:val="none"/>
          <w:u w:val="single"/>
          <w:lang w:val="en-US"/>
        </w:rPr>
        <w:t xml:space="preserve"> </w:t>
      </w:r>
      <w:r>
        <w:rPr>
          <w:color w:val="auto"/>
          <w:sz w:val="24"/>
          <w:szCs w:val="24"/>
          <w:highlight w:val="none"/>
        </w:rPr>
        <w:t>,单价调整方式：</w:t>
      </w:r>
      <w:r>
        <w:rPr>
          <w:rFonts w:hint="eastAsia"/>
          <w:color w:val="auto"/>
          <w:sz w:val="24"/>
          <w:szCs w:val="24"/>
          <w:highlight w:val="none"/>
          <w:u w:val="single"/>
        </w:rPr>
        <w:t>按有关规定</w:t>
      </w:r>
      <w:r>
        <w:rPr>
          <w:rFonts w:hint="eastAsia" w:ascii="Times New Roman" w:hAnsi="Times New Roman" w:cs="Times New Roman"/>
          <w:color w:val="auto"/>
          <w:sz w:val="24"/>
          <w:szCs w:val="24"/>
          <w:highlight w:val="none"/>
          <w:lang w:val="en-US" w:bidi="en-US"/>
        </w:rPr>
        <w:t>。</w:t>
      </w:r>
    </w:p>
    <w:p>
      <w:pPr>
        <w:pStyle w:val="45"/>
        <w:tabs>
          <w:tab w:val="left" w:pos="2244"/>
          <w:tab w:val="left" w:pos="5791"/>
          <w:tab w:val="left" w:pos="7224"/>
        </w:tabs>
        <w:spacing w:line="362" w:lineRule="exact"/>
        <w:ind w:left="420" w:leftChars="200" w:firstLine="0"/>
        <w:jc w:val="both"/>
        <w:rPr>
          <w:rFonts w:hint="eastAsia" w:ascii="Times New Roman" w:hAnsi="Times New Roman" w:cs="Times New Roman"/>
          <w:color w:val="auto"/>
          <w:sz w:val="24"/>
          <w:szCs w:val="24"/>
          <w:highlight w:val="none"/>
          <w:lang w:val="en-US" w:bidi="en-US"/>
        </w:rPr>
      </w:pPr>
      <w:r>
        <w:rPr>
          <w:rFonts w:hint="eastAsia" w:ascii="Times New Roman" w:hAnsi="Times New Roman" w:cs="Times New Roman"/>
          <w:color w:val="auto"/>
          <w:sz w:val="24"/>
          <w:szCs w:val="24"/>
          <w:highlight w:val="none"/>
          <w:lang w:val="en-US" w:bidi="en-US"/>
        </w:rPr>
        <w:sym w:font="Wingdings 2" w:char="0052"/>
      </w:r>
      <w:r>
        <w:rPr>
          <w:rFonts w:hint="eastAsia" w:ascii="Times New Roman" w:hAnsi="Times New Roman" w:cs="Times New Roman"/>
          <w:color w:val="auto"/>
          <w:sz w:val="24"/>
          <w:szCs w:val="24"/>
          <w:highlight w:val="none"/>
          <w:lang w:val="en-US" w:bidi="en-US"/>
        </w:rPr>
        <w:t>（6）本合同工程不因增加或减少合同工程量而调整合同单价。</w:t>
      </w:r>
    </w:p>
    <w:p>
      <w:pPr>
        <w:pStyle w:val="6"/>
        <w:ind w:left="0" w:leftChars="0" w:firstLine="0" w:firstLineChars="0"/>
        <w:jc w:val="both"/>
        <w:rPr>
          <w:color w:val="auto"/>
          <w:sz w:val="24"/>
          <w:szCs w:val="24"/>
          <w:highlight w:val="none"/>
          <w:lang w:eastAsia="zh-CN"/>
        </w:rPr>
      </w:pPr>
      <w:bookmarkStart w:id="1261" w:name="bookmark1763"/>
      <w:bookmarkStart w:id="1262" w:name="bookmark1765"/>
      <w:bookmarkStart w:id="1263" w:name="bookmark1764"/>
      <w:r>
        <w:rPr>
          <w:color w:val="auto"/>
          <w:sz w:val="24"/>
          <w:szCs w:val="24"/>
          <w:highlight w:val="none"/>
          <w:lang w:eastAsia="zh-CN"/>
        </w:rPr>
        <w:t>15.4变更的估价原则</w:t>
      </w:r>
      <w:bookmarkEnd w:id="1261"/>
      <w:bookmarkEnd w:id="1262"/>
      <w:bookmarkEnd w:id="1263"/>
    </w:p>
    <w:p>
      <w:pPr>
        <w:pStyle w:val="45"/>
        <w:spacing w:line="356"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15.4.3</w:t>
      </w:r>
      <w:r>
        <w:rPr>
          <w:color w:val="auto"/>
          <w:sz w:val="24"/>
          <w:szCs w:val="24"/>
          <w:highlight w:val="none"/>
        </w:rPr>
        <w:t>已标价工程量清单中无适用或类似子目的单价，按照以下原则确定：</w:t>
      </w:r>
    </w:p>
    <w:p>
      <w:pPr>
        <w:pStyle w:val="45"/>
        <w:spacing w:line="356" w:lineRule="exact"/>
        <w:ind w:firstLine="440"/>
        <w:jc w:val="both"/>
        <w:rPr>
          <w:color w:val="auto"/>
          <w:sz w:val="24"/>
          <w:szCs w:val="24"/>
          <w:highlight w:val="none"/>
        </w:rPr>
      </w:pPr>
      <w:r>
        <w:rPr>
          <w:color w:val="auto"/>
          <w:sz w:val="24"/>
          <w:szCs w:val="24"/>
          <w:highlight w:val="none"/>
        </w:rPr>
        <w:t>①有定额可套的，套用编制控制价所选定额计算，并乘以中标价下浮系数(中标价下浮系数为中标价与控制价的比值)，其中材料价格有信息价的按当地同期信息价，无信息的由发包人、承包人、监理人市场询价确定。</w:t>
      </w:r>
    </w:p>
    <w:p>
      <w:pPr>
        <w:pStyle w:val="45"/>
        <w:spacing w:line="356" w:lineRule="exact"/>
        <w:ind w:firstLine="440"/>
        <w:jc w:val="both"/>
        <w:rPr>
          <w:color w:val="auto"/>
          <w:sz w:val="24"/>
          <w:szCs w:val="24"/>
          <w:highlight w:val="none"/>
        </w:rPr>
      </w:pPr>
      <w:r>
        <w:rPr>
          <w:color w:val="auto"/>
          <w:sz w:val="24"/>
          <w:szCs w:val="24"/>
          <w:highlight w:val="none"/>
        </w:rPr>
        <w:t>②无定额可套的，由发包人、承包人、监理人市场询价确定。</w:t>
      </w:r>
    </w:p>
    <w:p>
      <w:pPr>
        <w:pStyle w:val="6"/>
        <w:ind w:left="0" w:leftChars="0" w:firstLine="0" w:firstLineChars="0"/>
        <w:jc w:val="both"/>
        <w:rPr>
          <w:color w:val="auto"/>
          <w:sz w:val="24"/>
          <w:szCs w:val="24"/>
          <w:highlight w:val="none"/>
          <w:lang w:eastAsia="zh-CN"/>
        </w:rPr>
      </w:pPr>
      <w:bookmarkStart w:id="1264" w:name="bookmark1767"/>
      <w:bookmarkStart w:id="1265" w:name="bookmark1766"/>
      <w:bookmarkStart w:id="1266" w:name="bookmark1768"/>
      <w:r>
        <w:rPr>
          <w:color w:val="auto"/>
          <w:sz w:val="24"/>
          <w:szCs w:val="24"/>
          <w:highlight w:val="none"/>
          <w:lang w:eastAsia="zh-CN"/>
        </w:rPr>
        <w:t>15.5承包人的合理化建议</w:t>
      </w:r>
      <w:bookmarkEnd w:id="1264"/>
      <w:bookmarkEnd w:id="1265"/>
      <w:bookmarkEnd w:id="1266"/>
    </w:p>
    <w:p>
      <w:pPr>
        <w:pStyle w:val="45"/>
        <w:tabs>
          <w:tab w:val="left" w:pos="841"/>
          <w:tab w:val="left" w:pos="6665"/>
        </w:tabs>
        <w:spacing w:after="180" w:line="364" w:lineRule="exact"/>
        <w:ind w:left="420" w:firstLine="0"/>
        <w:jc w:val="both"/>
        <w:rPr>
          <w:color w:val="auto"/>
          <w:sz w:val="24"/>
          <w:szCs w:val="24"/>
          <w:highlight w:val="none"/>
        </w:rPr>
      </w:pPr>
      <w:bookmarkStart w:id="1267" w:name="bookmark1769"/>
      <w:bookmarkEnd w:id="1267"/>
      <w:r>
        <w:rPr>
          <w:rFonts w:hint="eastAsia" w:ascii="Times New Roman" w:hAnsi="Times New Roman" w:cs="Times New Roman"/>
          <w:color w:val="auto"/>
          <w:sz w:val="24"/>
          <w:szCs w:val="24"/>
          <w:highlight w:val="none"/>
          <w:lang w:val="en-US" w:bidi="en-US"/>
        </w:rPr>
        <w:t>15.</w:t>
      </w:r>
      <w:r>
        <w:rPr>
          <w:rFonts w:ascii="Times New Roman" w:hAnsi="Times New Roman" w:eastAsia="Times New Roman" w:cs="Times New Roman"/>
          <w:color w:val="auto"/>
          <w:sz w:val="24"/>
          <w:szCs w:val="24"/>
          <w:highlight w:val="none"/>
          <w:lang w:val="en-US" w:bidi="en-US"/>
        </w:rPr>
        <w:t xml:space="preserve">5. </w:t>
      </w:r>
      <w:r>
        <w:rPr>
          <w:rFonts w:ascii="Times New Roman" w:hAnsi="Times New Roman" w:eastAsia="Times New Roman" w:cs="Times New Roman"/>
          <w:color w:val="auto"/>
          <w:sz w:val="24"/>
          <w:szCs w:val="24"/>
          <w:highlight w:val="none"/>
        </w:rPr>
        <w:t>2</w:t>
      </w:r>
      <w:r>
        <w:rPr>
          <w:color w:val="auto"/>
          <w:sz w:val="24"/>
          <w:szCs w:val="24"/>
          <w:highlight w:val="none"/>
        </w:rPr>
        <w:t xml:space="preserve">承包人实现合理化建议的奖励金额为： </w:t>
      </w:r>
      <w:r>
        <w:rPr>
          <w:rFonts w:hint="eastAsia"/>
          <w:color w:val="auto"/>
          <w:sz w:val="24"/>
          <w:szCs w:val="24"/>
          <w:highlight w:val="none"/>
          <w:u w:val="single"/>
          <w:lang w:eastAsia="zh-CN"/>
        </w:rPr>
        <w:t>无</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268" w:name="_Toc827441541"/>
      <w:bookmarkStart w:id="1269" w:name="_Toc14673"/>
      <w:bookmarkStart w:id="1270" w:name="bookmark1771"/>
      <w:bookmarkStart w:id="1271" w:name="_Toc24486"/>
      <w:bookmarkStart w:id="1272" w:name="bookmark1772"/>
      <w:bookmarkStart w:id="1273" w:name="bookmark1770"/>
      <w:bookmarkStart w:id="1274" w:name="_Toc13554"/>
      <w:r>
        <w:rPr>
          <w:rFonts w:hint="eastAsia"/>
          <w:color w:val="auto"/>
          <w:sz w:val="24"/>
          <w:szCs w:val="24"/>
          <w:highlight w:val="none"/>
          <w:lang w:eastAsia="zh-CN"/>
        </w:rPr>
        <w:t>16 .价格调整</w:t>
      </w:r>
      <w:bookmarkEnd w:id="1268"/>
      <w:bookmarkEnd w:id="1269"/>
      <w:bookmarkEnd w:id="1270"/>
      <w:bookmarkEnd w:id="1271"/>
      <w:bookmarkEnd w:id="1272"/>
      <w:bookmarkEnd w:id="1273"/>
      <w:bookmarkEnd w:id="1274"/>
    </w:p>
    <w:p>
      <w:pPr>
        <w:pStyle w:val="6"/>
        <w:ind w:left="0" w:leftChars="0" w:firstLine="0" w:firstLineChars="0"/>
        <w:jc w:val="both"/>
        <w:rPr>
          <w:color w:val="auto"/>
          <w:sz w:val="24"/>
          <w:szCs w:val="24"/>
          <w:highlight w:val="none"/>
          <w:lang w:eastAsia="zh-CN"/>
        </w:rPr>
      </w:pPr>
      <w:bookmarkStart w:id="1275" w:name="bookmark1775"/>
      <w:bookmarkStart w:id="1276" w:name="bookmark1774"/>
      <w:bookmarkStart w:id="1277" w:name="bookmark1773"/>
      <w:r>
        <w:rPr>
          <w:color w:val="auto"/>
          <w:sz w:val="24"/>
          <w:szCs w:val="24"/>
          <w:highlight w:val="none"/>
          <w:lang w:eastAsia="zh-CN"/>
        </w:rPr>
        <w:t>16.1物价波动引起的价格调整</w:t>
      </w:r>
      <w:bookmarkEnd w:id="1275"/>
      <w:bookmarkEnd w:id="1276"/>
      <w:bookmarkEnd w:id="1277"/>
    </w:p>
    <w:p>
      <w:pPr>
        <w:pStyle w:val="45"/>
        <w:spacing w:line="364" w:lineRule="exact"/>
        <w:ind w:firstLine="420"/>
        <w:jc w:val="both"/>
        <w:rPr>
          <w:color w:val="auto"/>
          <w:sz w:val="24"/>
          <w:szCs w:val="24"/>
          <w:highlight w:val="none"/>
        </w:rPr>
      </w:pPr>
      <w:r>
        <w:rPr>
          <w:color w:val="auto"/>
          <w:sz w:val="24"/>
          <w:szCs w:val="24"/>
          <w:highlight w:val="none"/>
        </w:rPr>
        <w:t>口本项目不因为物价波动原因引起合同价格变动而调整。</w:t>
      </w:r>
    </w:p>
    <w:p>
      <w:pPr>
        <w:pStyle w:val="45"/>
        <w:spacing w:line="364" w:lineRule="exact"/>
        <w:ind w:firstLine="420"/>
        <w:jc w:val="both"/>
        <w:rPr>
          <w:color w:val="auto"/>
          <w:sz w:val="24"/>
          <w:szCs w:val="24"/>
          <w:highlight w:val="none"/>
        </w:rPr>
      </w:pPr>
      <w:r>
        <w:rPr>
          <w:color w:val="auto"/>
          <w:sz w:val="24"/>
          <w:szCs w:val="24"/>
          <w:highlight w:val="none"/>
        </w:rPr>
        <w:sym w:font="Wingdings 2" w:char="0052"/>
      </w:r>
      <w:r>
        <w:rPr>
          <w:color w:val="auto"/>
          <w:sz w:val="24"/>
          <w:szCs w:val="24"/>
          <w:highlight w:val="none"/>
        </w:rPr>
        <w:t>本项目由于物价波动原因引起合同价格变动时，对其价格按下列方式进行调整。</w:t>
      </w:r>
    </w:p>
    <w:p>
      <w:pPr>
        <w:pStyle w:val="45"/>
        <w:tabs>
          <w:tab w:val="left" w:pos="841"/>
          <w:tab w:val="left" w:pos="6036"/>
        </w:tabs>
        <w:spacing w:line="364" w:lineRule="exact"/>
        <w:ind w:left="420" w:firstLine="0"/>
        <w:jc w:val="both"/>
        <w:rPr>
          <w:color w:val="auto"/>
          <w:sz w:val="24"/>
          <w:szCs w:val="24"/>
          <w:highlight w:val="none"/>
        </w:rPr>
      </w:pPr>
      <w:bookmarkStart w:id="1278" w:name="bookmark1776"/>
      <w:bookmarkEnd w:id="1278"/>
      <w:r>
        <w:rPr>
          <w:rFonts w:hint="eastAsia" w:ascii="Times New Roman" w:hAnsi="Times New Roman" w:cs="Times New Roman"/>
          <w:color w:val="auto"/>
          <w:sz w:val="24"/>
          <w:szCs w:val="24"/>
          <w:highlight w:val="none"/>
          <w:lang w:val="en-US" w:bidi="en-US"/>
        </w:rPr>
        <w:t>16.</w:t>
      </w:r>
      <w:r>
        <w:rPr>
          <w:rFonts w:ascii="Times New Roman" w:hAnsi="Times New Roman" w:eastAsia="Times New Roman" w:cs="Times New Roman"/>
          <w:color w:val="auto"/>
          <w:sz w:val="24"/>
          <w:szCs w:val="24"/>
          <w:highlight w:val="none"/>
          <w:lang w:val="en-US" w:bidi="en-US"/>
        </w:rPr>
        <w:t xml:space="preserve">1. </w:t>
      </w:r>
      <w:r>
        <w:rPr>
          <w:rFonts w:ascii="Times New Roman" w:hAnsi="Times New Roman" w:eastAsia="Times New Roman" w:cs="Times New Roman"/>
          <w:color w:val="auto"/>
          <w:sz w:val="24"/>
          <w:szCs w:val="24"/>
          <w:highlight w:val="none"/>
        </w:rPr>
        <w:t>1</w:t>
      </w:r>
      <w:r>
        <w:rPr>
          <w:color w:val="auto"/>
          <w:sz w:val="24"/>
          <w:szCs w:val="24"/>
          <w:highlight w:val="none"/>
        </w:rPr>
        <w:t>物价波动引起的价格调整方式：</w:t>
      </w:r>
      <w:r>
        <w:rPr>
          <w:rFonts w:hint="eastAsia"/>
          <w:color w:val="auto"/>
          <w:sz w:val="24"/>
          <w:szCs w:val="24"/>
          <w:highlight w:val="none"/>
          <w:u w:val="single"/>
        </w:rPr>
        <w:t>主要材料价格变化幅度超过±5%时，超过±5%的部分调整材料价差，并计列相应的税金</w:t>
      </w:r>
      <w:r>
        <w:rPr>
          <w:rFonts w:hint="eastAsia" w:ascii="Times New Roman" w:hAnsi="Times New Roman" w:cs="Times New Roman"/>
          <w:color w:val="auto"/>
          <w:sz w:val="24"/>
          <w:szCs w:val="24"/>
          <w:highlight w:val="none"/>
          <w:lang w:val="en-US" w:bidi="en-US"/>
        </w:rPr>
        <w:t>。</w:t>
      </w:r>
    </w:p>
    <w:p>
      <w:pPr>
        <w:pStyle w:val="45"/>
        <w:tabs>
          <w:tab w:val="left" w:pos="5198"/>
        </w:tabs>
        <w:spacing w:line="364" w:lineRule="exact"/>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16. 1.2</w:t>
      </w:r>
      <w:r>
        <w:rPr>
          <w:color w:val="auto"/>
          <w:sz w:val="24"/>
          <w:szCs w:val="24"/>
          <w:highlight w:val="none"/>
        </w:rPr>
        <w:t>调整价格的主要材料：</w:t>
      </w:r>
      <w:r>
        <w:rPr>
          <w:rFonts w:hint="eastAsia"/>
          <w:color w:val="auto"/>
          <w:sz w:val="24"/>
          <w:szCs w:val="24"/>
          <w:highlight w:val="none"/>
          <w:u w:val="single"/>
        </w:rPr>
        <w:t>对超过±5%部分的价格调整，仅对市场上购买的水泥、钢筋、砂、石、镀锌管及PE管等管材进行补差，其它材料价格一律不予调整</w:t>
      </w:r>
      <w:r>
        <w:rPr>
          <w:rFonts w:hint="eastAsia" w:ascii="Times New Roman" w:hAnsi="Times New Roman" w:cs="Times New Roman"/>
          <w:color w:val="auto"/>
          <w:sz w:val="24"/>
          <w:szCs w:val="24"/>
          <w:highlight w:val="none"/>
          <w:lang w:val="en-US" w:bidi="en-US"/>
        </w:rPr>
        <w:t>。</w:t>
      </w:r>
    </w:p>
    <w:p>
      <w:pPr>
        <w:pStyle w:val="45"/>
        <w:tabs>
          <w:tab w:val="left" w:pos="5618"/>
        </w:tabs>
        <w:spacing w:line="364" w:lineRule="exact"/>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16.1.3</w:t>
      </w:r>
      <w:r>
        <w:rPr>
          <w:color w:val="auto"/>
          <w:sz w:val="24"/>
          <w:szCs w:val="24"/>
          <w:highlight w:val="none"/>
        </w:rPr>
        <w:t xml:space="preserve">主要材料补差的计算方法： </w:t>
      </w:r>
    </w:p>
    <w:p>
      <w:pPr>
        <w:pStyle w:val="45"/>
        <w:tabs>
          <w:tab w:val="left" w:pos="5618"/>
        </w:tabs>
        <w:spacing w:line="364" w:lineRule="exact"/>
        <w:ind w:firstLine="420"/>
        <w:jc w:val="both"/>
        <w:rPr>
          <w:rFonts w:hint="eastAsia"/>
          <w:color w:val="auto"/>
          <w:sz w:val="24"/>
          <w:szCs w:val="24"/>
          <w:highlight w:val="none"/>
        </w:rPr>
      </w:pPr>
      <w:r>
        <w:rPr>
          <w:rFonts w:hint="eastAsia"/>
          <w:color w:val="auto"/>
          <w:sz w:val="24"/>
          <w:szCs w:val="24"/>
          <w:highlight w:val="none"/>
        </w:rPr>
        <w:t>主要材料补差款按</w:t>
      </w:r>
      <w:r>
        <w:rPr>
          <w:rFonts w:hint="eastAsia"/>
          <w:color w:val="auto"/>
          <w:sz w:val="24"/>
          <w:szCs w:val="24"/>
          <w:highlight w:val="none"/>
          <w:lang w:eastAsia="zh-CN"/>
        </w:rPr>
        <w:t>月</w:t>
      </w:r>
      <w:r>
        <w:rPr>
          <w:rFonts w:hint="eastAsia"/>
          <w:color w:val="auto"/>
          <w:sz w:val="24"/>
          <w:szCs w:val="24"/>
          <w:highlight w:val="none"/>
        </w:rPr>
        <w:t>结算，在</w:t>
      </w:r>
      <w:r>
        <w:rPr>
          <w:rFonts w:hint="eastAsia"/>
          <w:color w:val="auto"/>
          <w:sz w:val="24"/>
          <w:szCs w:val="24"/>
          <w:highlight w:val="none"/>
          <w:lang w:eastAsia="zh-CN"/>
        </w:rPr>
        <w:t>本月</w:t>
      </w:r>
      <w:r>
        <w:rPr>
          <w:rFonts w:hint="eastAsia"/>
          <w:color w:val="auto"/>
          <w:sz w:val="24"/>
          <w:szCs w:val="24"/>
          <w:highlight w:val="none"/>
        </w:rPr>
        <w:t>结算上一</w:t>
      </w:r>
      <w:r>
        <w:rPr>
          <w:rFonts w:hint="eastAsia"/>
          <w:color w:val="auto"/>
          <w:sz w:val="24"/>
          <w:szCs w:val="24"/>
          <w:highlight w:val="none"/>
          <w:lang w:eastAsia="zh-CN"/>
        </w:rPr>
        <w:t>月</w:t>
      </w:r>
      <w:r>
        <w:rPr>
          <w:rFonts w:hint="eastAsia"/>
          <w:color w:val="auto"/>
          <w:sz w:val="24"/>
          <w:szCs w:val="24"/>
          <w:highlight w:val="none"/>
        </w:rPr>
        <w:t>的主要材料补差款。</w:t>
      </w:r>
    </w:p>
    <w:p>
      <w:pPr>
        <w:pStyle w:val="45"/>
        <w:tabs>
          <w:tab w:val="left" w:pos="5618"/>
        </w:tabs>
        <w:spacing w:line="364" w:lineRule="exact"/>
        <w:ind w:firstLine="420"/>
        <w:jc w:val="both"/>
        <w:rPr>
          <w:rFonts w:hint="eastAsia"/>
          <w:color w:val="auto"/>
          <w:sz w:val="24"/>
          <w:szCs w:val="24"/>
          <w:highlight w:val="none"/>
        </w:rPr>
      </w:pPr>
      <w:r>
        <w:rPr>
          <w:rFonts w:hint="eastAsia"/>
          <w:color w:val="auto"/>
          <w:sz w:val="24"/>
          <w:szCs w:val="24"/>
          <w:highlight w:val="none"/>
        </w:rPr>
        <w:t>主要材料补差按以下公式进行补差：</w:t>
      </w:r>
    </w:p>
    <w:p>
      <w:pPr>
        <w:pStyle w:val="45"/>
        <w:tabs>
          <w:tab w:val="left" w:pos="5618"/>
        </w:tabs>
        <w:spacing w:line="364" w:lineRule="exact"/>
        <w:ind w:firstLine="420"/>
        <w:jc w:val="both"/>
        <w:rPr>
          <w:rFonts w:hint="eastAsia"/>
          <w:color w:val="auto"/>
          <w:sz w:val="24"/>
          <w:szCs w:val="24"/>
          <w:highlight w:val="none"/>
        </w:rPr>
      </w:pPr>
      <w:r>
        <w:rPr>
          <w:rFonts w:hint="eastAsia"/>
          <w:color w:val="auto"/>
          <w:sz w:val="24"/>
          <w:szCs w:val="24"/>
          <w:highlight w:val="none"/>
        </w:rPr>
        <w:t>△A=Q*[A-A0*(1±5%)]*（1+P%）</w:t>
      </w:r>
    </w:p>
    <w:p>
      <w:pPr>
        <w:pStyle w:val="45"/>
        <w:tabs>
          <w:tab w:val="left" w:pos="5618"/>
        </w:tabs>
        <w:spacing w:line="364" w:lineRule="exact"/>
        <w:ind w:firstLine="420"/>
        <w:jc w:val="both"/>
        <w:rPr>
          <w:rFonts w:hint="eastAsia"/>
          <w:color w:val="auto"/>
          <w:sz w:val="24"/>
          <w:szCs w:val="24"/>
          <w:highlight w:val="none"/>
        </w:rPr>
      </w:pPr>
      <w:r>
        <w:rPr>
          <w:rFonts w:hint="eastAsia"/>
          <w:color w:val="auto"/>
          <w:sz w:val="24"/>
          <w:szCs w:val="24"/>
          <w:highlight w:val="none"/>
        </w:rPr>
        <w:t>其中：</w:t>
      </w:r>
    </w:p>
    <w:p>
      <w:pPr>
        <w:pStyle w:val="45"/>
        <w:tabs>
          <w:tab w:val="left" w:pos="5618"/>
        </w:tabs>
        <w:spacing w:line="364" w:lineRule="exact"/>
        <w:ind w:firstLine="420"/>
        <w:jc w:val="both"/>
        <w:rPr>
          <w:rFonts w:hint="eastAsia"/>
          <w:color w:val="auto"/>
          <w:sz w:val="24"/>
          <w:szCs w:val="24"/>
          <w:highlight w:val="none"/>
        </w:rPr>
      </w:pPr>
      <w:r>
        <w:rPr>
          <w:rFonts w:hint="eastAsia"/>
          <w:color w:val="auto"/>
          <w:sz w:val="24"/>
          <w:szCs w:val="24"/>
          <w:highlight w:val="none"/>
        </w:rPr>
        <w:t>△A——主要材料补差款；</w:t>
      </w:r>
    </w:p>
    <w:p>
      <w:pPr>
        <w:pStyle w:val="45"/>
        <w:tabs>
          <w:tab w:val="left" w:pos="5618"/>
        </w:tabs>
        <w:spacing w:line="364" w:lineRule="exact"/>
        <w:ind w:firstLine="420"/>
        <w:jc w:val="both"/>
        <w:rPr>
          <w:rFonts w:hint="eastAsia"/>
          <w:color w:val="auto"/>
          <w:sz w:val="24"/>
          <w:szCs w:val="24"/>
          <w:highlight w:val="none"/>
        </w:rPr>
      </w:pPr>
      <w:r>
        <w:rPr>
          <w:rFonts w:hint="eastAsia"/>
          <w:color w:val="auto"/>
          <w:sz w:val="24"/>
          <w:szCs w:val="24"/>
          <w:highlight w:val="none"/>
        </w:rPr>
        <w:t>Q——结算期完成工程量统计的各主要补差材料用量；</w:t>
      </w:r>
    </w:p>
    <w:p>
      <w:pPr>
        <w:pStyle w:val="45"/>
        <w:tabs>
          <w:tab w:val="left" w:pos="5618"/>
        </w:tabs>
        <w:spacing w:line="364" w:lineRule="exact"/>
        <w:ind w:firstLine="420"/>
        <w:jc w:val="both"/>
        <w:rPr>
          <w:rFonts w:hint="eastAsia"/>
          <w:color w:val="auto"/>
          <w:sz w:val="24"/>
          <w:szCs w:val="24"/>
          <w:highlight w:val="none"/>
        </w:rPr>
      </w:pPr>
      <w:r>
        <w:rPr>
          <w:rFonts w:hint="eastAsia"/>
          <w:color w:val="auto"/>
          <w:sz w:val="24"/>
          <w:szCs w:val="24"/>
          <w:highlight w:val="none"/>
        </w:rPr>
        <w:t>A——结算期各主要补差材料价格；</w:t>
      </w:r>
    </w:p>
    <w:p>
      <w:pPr>
        <w:pStyle w:val="45"/>
        <w:tabs>
          <w:tab w:val="left" w:pos="5618"/>
        </w:tabs>
        <w:spacing w:line="364" w:lineRule="exact"/>
        <w:ind w:firstLine="420"/>
        <w:jc w:val="both"/>
        <w:rPr>
          <w:rFonts w:hint="eastAsia"/>
          <w:color w:val="auto"/>
          <w:sz w:val="24"/>
          <w:szCs w:val="24"/>
          <w:highlight w:val="none"/>
        </w:rPr>
      </w:pPr>
      <w:r>
        <w:rPr>
          <w:rFonts w:hint="eastAsia"/>
          <w:color w:val="auto"/>
          <w:sz w:val="24"/>
          <w:szCs w:val="24"/>
          <w:highlight w:val="none"/>
        </w:rPr>
        <w:t>A0——基准期各主要补差材料价格；</w:t>
      </w:r>
    </w:p>
    <w:p>
      <w:pPr>
        <w:pStyle w:val="45"/>
        <w:tabs>
          <w:tab w:val="left" w:pos="5618"/>
        </w:tabs>
        <w:spacing w:line="364" w:lineRule="exact"/>
        <w:ind w:firstLine="420"/>
        <w:jc w:val="both"/>
        <w:rPr>
          <w:color w:val="auto"/>
          <w:sz w:val="24"/>
          <w:szCs w:val="24"/>
          <w:highlight w:val="none"/>
        </w:rPr>
      </w:pPr>
      <w:r>
        <w:rPr>
          <w:rFonts w:hint="eastAsia"/>
          <w:color w:val="auto"/>
          <w:sz w:val="24"/>
          <w:szCs w:val="24"/>
          <w:highlight w:val="none"/>
        </w:rPr>
        <w:t>P——招标控制价采用的税率</w:t>
      </w:r>
      <w:r>
        <w:rPr>
          <w:rFonts w:hint="eastAsia" w:ascii="Times New Roman" w:hAnsi="Times New Roman" w:cs="Times New Roman"/>
          <w:color w:val="auto"/>
          <w:sz w:val="24"/>
          <w:szCs w:val="24"/>
          <w:highlight w:val="none"/>
          <w:lang w:val="en-US" w:bidi="en-US"/>
        </w:rPr>
        <w:t>。</w:t>
      </w:r>
    </w:p>
    <w:p>
      <w:pPr>
        <w:pStyle w:val="45"/>
        <w:spacing w:line="364" w:lineRule="exact"/>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16.1.4</w:t>
      </w:r>
      <w:r>
        <w:rPr>
          <w:color w:val="auto"/>
          <w:sz w:val="24"/>
          <w:szCs w:val="24"/>
          <w:highlight w:val="none"/>
        </w:rPr>
        <w:t>采用造价信息调整价格差额：</w:t>
      </w:r>
    </w:p>
    <w:p>
      <w:pPr>
        <w:pStyle w:val="45"/>
        <w:tabs>
          <w:tab w:val="left" w:pos="4382"/>
        </w:tabs>
        <w:spacing w:line="345" w:lineRule="exact"/>
        <w:ind w:firstLine="420"/>
        <w:jc w:val="both"/>
        <w:rPr>
          <w:color w:val="auto"/>
          <w:sz w:val="24"/>
          <w:szCs w:val="24"/>
          <w:highlight w:val="none"/>
        </w:rPr>
      </w:pPr>
      <w:r>
        <w:rPr>
          <w:color w:val="auto"/>
          <w:sz w:val="24"/>
          <w:szCs w:val="24"/>
          <w:highlight w:val="none"/>
        </w:rPr>
        <w:t>工程造价信息的来源：</w:t>
      </w:r>
      <w:r>
        <w:rPr>
          <w:rFonts w:hint="eastAsia"/>
          <w:color w:val="auto"/>
          <w:sz w:val="24"/>
          <w:szCs w:val="24"/>
          <w:highlight w:val="none"/>
        </w:rPr>
        <w:t>基准期主要补差材料价格</w:t>
      </w:r>
      <w:r>
        <w:rPr>
          <w:rFonts w:hint="eastAsia"/>
          <w:color w:val="auto"/>
          <w:sz w:val="24"/>
          <w:szCs w:val="24"/>
          <w:highlight w:val="none"/>
          <w:lang w:eastAsia="zh-CN"/>
        </w:rPr>
        <w:t>：材料价格参考建设工程造价管理机构发布的工程造价信息《南宁建设工程造价信息》202</w:t>
      </w:r>
      <w:r>
        <w:rPr>
          <w:rFonts w:hint="eastAsia"/>
          <w:color w:val="auto"/>
          <w:sz w:val="24"/>
          <w:szCs w:val="24"/>
          <w:highlight w:val="none"/>
          <w:lang w:val="en-US" w:eastAsia="zh-CN"/>
        </w:rPr>
        <w:t>4</w:t>
      </w:r>
      <w:r>
        <w:rPr>
          <w:rFonts w:hint="eastAsia"/>
          <w:color w:val="auto"/>
          <w:sz w:val="24"/>
          <w:szCs w:val="24"/>
          <w:highlight w:val="none"/>
          <w:lang w:eastAsia="zh-CN"/>
        </w:rPr>
        <w:t>年</w:t>
      </w:r>
      <w:r>
        <w:rPr>
          <w:rFonts w:hint="eastAsia"/>
          <w:color w:val="auto"/>
          <w:sz w:val="24"/>
          <w:szCs w:val="24"/>
          <w:highlight w:val="none"/>
          <w:lang w:val="en-US" w:eastAsia="zh-CN"/>
        </w:rPr>
        <w:t>4月刊下</w:t>
      </w:r>
      <w:r>
        <w:rPr>
          <w:rFonts w:hint="eastAsia"/>
          <w:color w:val="auto"/>
          <w:sz w:val="24"/>
          <w:szCs w:val="24"/>
          <w:highlight w:val="none"/>
          <w:lang w:eastAsia="zh-CN"/>
        </w:rPr>
        <w:t>半月信息价，工程造价信息中没有的材料参考市场询价计取</w:t>
      </w:r>
      <w:r>
        <w:rPr>
          <w:rFonts w:hint="eastAsia"/>
          <w:color w:val="auto"/>
          <w:sz w:val="24"/>
          <w:szCs w:val="24"/>
          <w:highlight w:val="none"/>
        </w:rPr>
        <w:t>。</w:t>
      </w:r>
    </w:p>
    <w:p>
      <w:pPr>
        <w:pStyle w:val="45"/>
        <w:tabs>
          <w:tab w:val="left" w:pos="4591"/>
        </w:tabs>
        <w:spacing w:after="260" w:line="345" w:lineRule="exact"/>
        <w:ind w:firstLine="420"/>
        <w:jc w:val="both"/>
        <w:rPr>
          <w:color w:val="auto"/>
          <w:sz w:val="24"/>
          <w:szCs w:val="24"/>
          <w:highlight w:val="none"/>
        </w:rPr>
      </w:pPr>
      <w:r>
        <w:rPr>
          <w:color w:val="auto"/>
          <w:sz w:val="24"/>
          <w:szCs w:val="24"/>
          <w:highlight w:val="none"/>
        </w:rPr>
        <w:t>价格调整的项目和系数：</w:t>
      </w:r>
      <w:r>
        <w:rPr>
          <w:rFonts w:hint="eastAsia"/>
          <w:color w:val="auto"/>
          <w:sz w:val="24"/>
          <w:szCs w:val="24"/>
          <w:highlight w:val="none"/>
          <w:u w:val="single"/>
        </w:rPr>
        <w:t>（1）计算</w:t>
      </w:r>
      <w:r>
        <w:rPr>
          <w:rFonts w:hint="eastAsia"/>
          <w:color w:val="auto"/>
          <w:sz w:val="24"/>
          <w:szCs w:val="24"/>
          <w:highlight w:val="none"/>
          <w:u w:val="single"/>
          <w:lang w:eastAsia="zh-CN"/>
        </w:rPr>
        <w:t>当月</w:t>
      </w:r>
      <w:r>
        <w:rPr>
          <w:rFonts w:hint="eastAsia"/>
          <w:color w:val="auto"/>
          <w:sz w:val="24"/>
          <w:szCs w:val="24"/>
          <w:highlight w:val="none"/>
          <w:u w:val="single"/>
        </w:rPr>
        <w:t>《南宁建设工程造价信息》（工程所在地）主要补差材料信息价格高于基准期主要补差价格</w:t>
      </w:r>
      <w:r>
        <w:rPr>
          <w:rFonts w:hint="eastAsia"/>
          <w:color w:val="auto"/>
          <w:sz w:val="24"/>
          <w:szCs w:val="24"/>
          <w:highlight w:val="none"/>
          <w:u w:val="single"/>
          <w:lang w:eastAsia="zh-CN"/>
        </w:rPr>
        <w:t>（</w:t>
      </w:r>
      <w:r>
        <w:rPr>
          <w:rFonts w:hint="eastAsia"/>
          <w:color w:val="auto"/>
          <w:sz w:val="24"/>
          <w:szCs w:val="24"/>
          <w:highlight w:val="none"/>
          <w:u w:val="single"/>
          <w:lang w:val="en-US" w:eastAsia="zh-CN"/>
        </w:rPr>
        <w:t>合同工程量清单主要材料价格</w:t>
      </w:r>
      <w:r>
        <w:rPr>
          <w:rFonts w:hint="eastAsia"/>
          <w:color w:val="auto"/>
          <w:sz w:val="24"/>
          <w:szCs w:val="24"/>
          <w:highlight w:val="none"/>
          <w:u w:val="single"/>
          <w:lang w:eastAsia="zh-CN"/>
        </w:rPr>
        <w:t>）</w:t>
      </w:r>
      <w:r>
        <w:rPr>
          <w:rFonts w:hint="eastAsia"/>
          <w:color w:val="auto"/>
          <w:sz w:val="24"/>
          <w:szCs w:val="24"/>
          <w:highlight w:val="none"/>
          <w:u w:val="single"/>
        </w:rPr>
        <w:t>5%的，承包人提出书面报告，由发包人在7个工作日内确认后对超过部分以价格之差予以价差调整。承包人应当在以上情况发生后14天内，将调整原因，金额以书面形式通知监理工程师，监理工程师确认调整金额后作为追加合同价款，经审计，财政部门评审认可后与工程款同期支付。（2）计算</w:t>
      </w:r>
      <w:r>
        <w:rPr>
          <w:rFonts w:hint="eastAsia"/>
          <w:color w:val="auto"/>
          <w:sz w:val="24"/>
          <w:szCs w:val="24"/>
          <w:highlight w:val="none"/>
          <w:u w:val="single"/>
          <w:lang w:eastAsia="zh-CN"/>
        </w:rPr>
        <w:t>月</w:t>
      </w:r>
      <w:r>
        <w:rPr>
          <w:rFonts w:hint="eastAsia"/>
          <w:color w:val="auto"/>
          <w:sz w:val="24"/>
          <w:szCs w:val="24"/>
          <w:highlight w:val="none"/>
          <w:u w:val="single"/>
        </w:rPr>
        <w:t>的《南宁建设工程造价信息》（工程所在地）主要补差材料信息价格低于基准期主要补差材料价格5%的，发包人在当期合同款中对超出部门予以价差调整并扣除相关款项</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279" w:name="bookmark1779"/>
      <w:bookmarkEnd w:id="1279"/>
      <w:bookmarkStart w:id="1280" w:name="bookmark1777"/>
      <w:bookmarkStart w:id="1281" w:name="_Toc1028523360"/>
      <w:bookmarkStart w:id="1282" w:name="_Toc12454"/>
      <w:bookmarkStart w:id="1283" w:name="bookmark1780"/>
      <w:bookmarkStart w:id="1284" w:name="_Toc8344"/>
      <w:bookmarkStart w:id="1285" w:name="_Toc13939"/>
      <w:bookmarkStart w:id="1286" w:name="bookmark1778"/>
      <w:r>
        <w:rPr>
          <w:rFonts w:hint="eastAsia"/>
          <w:color w:val="auto"/>
          <w:sz w:val="24"/>
          <w:szCs w:val="24"/>
          <w:highlight w:val="none"/>
          <w:lang w:eastAsia="zh-CN"/>
        </w:rPr>
        <w:t>17. 计量与支付</w:t>
      </w:r>
      <w:bookmarkEnd w:id="1280"/>
      <w:bookmarkEnd w:id="1281"/>
      <w:bookmarkEnd w:id="1282"/>
      <w:bookmarkEnd w:id="1283"/>
      <w:bookmarkEnd w:id="1284"/>
      <w:bookmarkEnd w:id="1285"/>
      <w:bookmarkEnd w:id="1286"/>
    </w:p>
    <w:p>
      <w:pPr>
        <w:pStyle w:val="6"/>
        <w:ind w:left="0" w:leftChars="0" w:firstLine="0" w:firstLineChars="0"/>
        <w:jc w:val="both"/>
        <w:rPr>
          <w:color w:val="auto"/>
          <w:sz w:val="24"/>
          <w:szCs w:val="24"/>
          <w:highlight w:val="none"/>
          <w:lang w:eastAsia="zh-CN"/>
        </w:rPr>
      </w:pPr>
      <w:bookmarkStart w:id="1287" w:name="bookmark1782"/>
      <w:bookmarkStart w:id="1288" w:name="bookmark1781"/>
      <w:bookmarkStart w:id="1289" w:name="bookmark1783"/>
      <w:r>
        <w:rPr>
          <w:color w:val="auto"/>
          <w:sz w:val="24"/>
          <w:szCs w:val="24"/>
          <w:highlight w:val="none"/>
          <w:lang w:eastAsia="zh-CN"/>
        </w:rPr>
        <w:t>17.2预付款</w:t>
      </w:r>
      <w:bookmarkEnd w:id="1287"/>
      <w:bookmarkEnd w:id="1288"/>
      <w:bookmarkEnd w:id="1289"/>
    </w:p>
    <w:p>
      <w:pPr>
        <w:pStyle w:val="45"/>
        <w:keepNext w:val="0"/>
        <w:keepLines w:val="0"/>
        <w:pageBreakBefore w:val="0"/>
        <w:widowControl w:val="0"/>
        <w:kinsoku/>
        <w:wordWrap/>
        <w:overflowPunct/>
        <w:topLinePunct w:val="0"/>
        <w:autoSpaceDE/>
        <w:autoSpaceDN/>
        <w:bidi w:val="0"/>
        <w:adjustRightInd/>
        <w:snapToGrid/>
        <w:spacing w:line="480" w:lineRule="exact"/>
        <w:ind w:firstLine="420"/>
        <w:jc w:val="both"/>
        <w:textAlignment w:val="auto"/>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17.2.1 预付款</w:t>
      </w:r>
    </w:p>
    <w:p>
      <w:pPr>
        <w:pStyle w:val="45"/>
        <w:spacing w:line="350" w:lineRule="exact"/>
        <w:ind w:firstLine="420"/>
        <w:jc w:val="both"/>
        <w:rPr>
          <w:rFonts w:hint="default" w:ascii="Times New Roman" w:hAnsi="Times New Roman" w:eastAsia="宋体" w:cs="Times New Roman"/>
          <w:color w:val="auto"/>
          <w:sz w:val="24"/>
          <w:szCs w:val="24"/>
          <w:highlight w:val="none"/>
          <w:lang w:val="en-US" w:eastAsia="zh-CN"/>
        </w:rPr>
      </w:pPr>
      <w:r>
        <w:rPr>
          <w:rFonts w:hint="default" w:ascii="Times New Roman" w:hAnsi="Times New Roman" w:eastAsia="宋体" w:cs="Times New Roman"/>
          <w:color w:val="auto"/>
          <w:sz w:val="24"/>
          <w:szCs w:val="24"/>
          <w:highlight w:val="none"/>
          <w:lang w:val="en-US" w:eastAsia="zh-CN"/>
        </w:rPr>
        <w:t>本工程无预付款。</w:t>
      </w:r>
    </w:p>
    <w:p>
      <w:pPr>
        <w:pStyle w:val="6"/>
        <w:ind w:left="0" w:leftChars="0" w:firstLine="0" w:firstLineChars="0"/>
        <w:jc w:val="both"/>
        <w:rPr>
          <w:color w:val="auto"/>
          <w:sz w:val="24"/>
          <w:szCs w:val="24"/>
          <w:highlight w:val="none"/>
          <w:lang w:eastAsia="zh-CN"/>
        </w:rPr>
      </w:pPr>
      <w:bookmarkStart w:id="1290" w:name="bookmark1791"/>
      <w:bookmarkStart w:id="1291" w:name="bookmark1789"/>
      <w:bookmarkStart w:id="1292" w:name="bookmark1790"/>
      <w:r>
        <w:rPr>
          <w:color w:val="auto"/>
          <w:sz w:val="24"/>
          <w:szCs w:val="24"/>
          <w:highlight w:val="none"/>
          <w:lang w:eastAsia="zh-CN"/>
        </w:rPr>
        <w:t>17.3工程进度付款</w:t>
      </w:r>
      <w:bookmarkEnd w:id="1290"/>
      <w:bookmarkEnd w:id="1291"/>
      <w:bookmarkEnd w:id="1292"/>
    </w:p>
    <w:p>
      <w:pPr>
        <w:pStyle w:val="45"/>
        <w:spacing w:line="360" w:lineRule="exact"/>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17.3.2</w:t>
      </w:r>
      <w:r>
        <w:rPr>
          <w:color w:val="auto"/>
          <w:sz w:val="24"/>
          <w:szCs w:val="24"/>
          <w:highlight w:val="none"/>
        </w:rPr>
        <w:t>进度付款申请单</w:t>
      </w:r>
    </w:p>
    <w:p>
      <w:pPr>
        <w:pStyle w:val="45"/>
        <w:tabs>
          <w:tab w:val="left" w:pos="4613"/>
          <w:tab w:val="left" w:pos="7978"/>
        </w:tabs>
        <w:spacing w:line="360" w:lineRule="exact"/>
        <w:ind w:left="420" w:firstLine="20"/>
        <w:jc w:val="both"/>
        <w:rPr>
          <w:rFonts w:hint="eastAsia" w:ascii="Times New Roman" w:hAnsi="Times New Roman" w:cs="Times New Roman"/>
          <w:color w:val="auto"/>
          <w:sz w:val="24"/>
          <w:szCs w:val="24"/>
          <w:highlight w:val="none"/>
          <w:lang w:val="en-US" w:bidi="en-US"/>
        </w:rPr>
      </w:pPr>
      <w:r>
        <w:rPr>
          <w:color w:val="auto"/>
          <w:sz w:val="24"/>
          <w:szCs w:val="24"/>
          <w:highlight w:val="none"/>
        </w:rPr>
        <w:t>承包人提交进度付款申请单的份数：</w:t>
      </w:r>
      <w:r>
        <w:rPr>
          <w:rFonts w:hint="eastAsia"/>
          <w:color w:val="auto"/>
          <w:sz w:val="24"/>
          <w:szCs w:val="24"/>
          <w:highlight w:val="none"/>
          <w:u w:val="single"/>
          <w:lang w:val="en-US" w:eastAsia="zh-CN"/>
        </w:rPr>
        <w:t xml:space="preserve"> 4份 </w:t>
      </w:r>
      <w:r>
        <w:rPr>
          <w:rFonts w:hint="eastAsia" w:ascii="Times New Roman" w:hAnsi="Times New Roman" w:cs="Times New Roman"/>
          <w:color w:val="auto"/>
          <w:sz w:val="24"/>
          <w:szCs w:val="24"/>
          <w:highlight w:val="none"/>
          <w:lang w:val="en-US" w:bidi="en-US"/>
        </w:rPr>
        <w:t>。</w:t>
      </w:r>
    </w:p>
    <w:p>
      <w:pPr>
        <w:pStyle w:val="45"/>
        <w:tabs>
          <w:tab w:val="left" w:pos="4613"/>
          <w:tab w:val="left" w:pos="7978"/>
        </w:tabs>
        <w:spacing w:line="360" w:lineRule="exact"/>
        <w:ind w:left="420" w:firstLine="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17.3.3</w:t>
      </w:r>
      <w:r>
        <w:rPr>
          <w:color w:val="auto"/>
          <w:sz w:val="24"/>
          <w:szCs w:val="24"/>
          <w:highlight w:val="none"/>
        </w:rPr>
        <w:t>进度付款证书和支付时间</w:t>
      </w:r>
    </w:p>
    <w:p>
      <w:pPr>
        <w:pStyle w:val="45"/>
        <w:tabs>
          <w:tab w:val="left" w:pos="4428"/>
        </w:tabs>
        <w:spacing w:line="360" w:lineRule="exact"/>
        <w:ind w:firstLine="440"/>
        <w:jc w:val="both"/>
        <w:rPr>
          <w:color w:val="auto"/>
          <w:sz w:val="24"/>
          <w:szCs w:val="24"/>
          <w:highlight w:val="none"/>
        </w:rPr>
      </w:pPr>
      <w:r>
        <w:rPr>
          <w:color w:val="auto"/>
          <w:sz w:val="24"/>
          <w:szCs w:val="24"/>
          <w:highlight w:val="none"/>
        </w:rPr>
        <w:t>(2)本款“专用合同条款的约定支付逾期付款违约金”为按中国人民银行规定的同期贷款利率计算的逾期付款金额的利息。</w:t>
      </w:r>
    </w:p>
    <w:p>
      <w:pPr>
        <w:pStyle w:val="45"/>
        <w:spacing w:line="360" w:lineRule="exact"/>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17.3.5</w:t>
      </w:r>
      <w:r>
        <w:rPr>
          <w:color w:val="auto"/>
          <w:sz w:val="24"/>
          <w:szCs w:val="24"/>
          <w:highlight w:val="none"/>
        </w:rPr>
        <w:t>工程进度付款的支付比例</w:t>
      </w:r>
    </w:p>
    <w:p>
      <w:pPr>
        <w:pStyle w:val="45"/>
        <w:spacing w:line="360" w:lineRule="exact"/>
        <w:ind w:firstLine="420"/>
        <w:jc w:val="both"/>
        <w:rPr>
          <w:rFonts w:hint="eastAsia" w:ascii="Times New Roman" w:hAnsi="Times New Roman" w:eastAsia="宋体" w:cs="Times New Roman"/>
          <w:color w:val="auto"/>
          <w:sz w:val="24"/>
          <w:szCs w:val="24"/>
          <w:highlight w:val="none"/>
          <w:lang w:val="en-US" w:eastAsia="zh-CN" w:bidi="en-US"/>
        </w:rPr>
      </w:pPr>
      <w:r>
        <w:rPr>
          <w:rFonts w:hint="eastAsia" w:ascii="Times New Roman" w:hAnsi="Times New Roman" w:eastAsia="宋体" w:cs="Times New Roman"/>
          <w:color w:val="auto"/>
          <w:sz w:val="24"/>
          <w:szCs w:val="24"/>
          <w:highlight w:val="none"/>
          <w:lang w:val="en-US" w:eastAsia="zh-CN" w:bidi="en-US"/>
        </w:rPr>
        <w:t>（2）工程进度款按已完成实际工作量计算，合同内工程支付限额为实际已完成工作量的90%，合同外工程支付限额为实际完成工作量的90%。在工程交工验收合格，完成工程结算并通过财政投资评审单位审核施工单位缴纳质量保证金后，工程款支付至结算总价的100%（含已支付的）。承包人向发包人开具增值税发票后发包人才进行工程款的拨付。（注：工程款项支付时，需按隆安县财政、税务部门的规定在项目所在地缴纳相关税费。</w:t>
      </w:r>
    </w:p>
    <w:p>
      <w:pPr>
        <w:pStyle w:val="45"/>
        <w:spacing w:line="360" w:lineRule="exact"/>
        <w:ind w:firstLine="420"/>
        <w:jc w:val="both"/>
        <w:rPr>
          <w:rFonts w:hint="eastAsia" w:ascii="Times New Roman" w:hAnsi="Times New Roman" w:eastAsia="宋体" w:cs="Times New Roman"/>
          <w:color w:val="auto"/>
          <w:sz w:val="24"/>
          <w:szCs w:val="24"/>
          <w:highlight w:val="none"/>
          <w:lang w:val="en-US" w:eastAsia="zh-CN" w:bidi="en-US"/>
        </w:rPr>
      </w:pPr>
      <w:r>
        <w:rPr>
          <w:rFonts w:hint="eastAsia" w:ascii="Times New Roman" w:hAnsi="Times New Roman" w:eastAsia="Times New Roman" w:cs="Times New Roman"/>
          <w:color w:val="auto"/>
          <w:sz w:val="24"/>
          <w:szCs w:val="24"/>
          <w:highlight w:val="none"/>
          <w:lang w:val="en-US" w:bidi="en-US"/>
        </w:rPr>
        <w:t>工程款中农民工工资比例为</w:t>
      </w:r>
      <w:r>
        <w:rPr>
          <w:rFonts w:hint="eastAsia" w:ascii="Times New Roman" w:hAnsi="Times New Roman" w:cs="Times New Roman"/>
          <w:color w:val="auto"/>
          <w:sz w:val="24"/>
          <w:szCs w:val="24"/>
          <w:highlight w:val="none"/>
          <w:u w:val="single"/>
          <w:lang w:val="en-US" w:eastAsia="zh-CN" w:bidi="en-US"/>
        </w:rPr>
        <w:t xml:space="preserve"> 20 </w:t>
      </w:r>
      <w:r>
        <w:rPr>
          <w:rFonts w:hint="eastAsia" w:ascii="Times New Roman" w:hAnsi="Times New Roman" w:eastAsia="Times New Roman" w:cs="Times New Roman"/>
          <w:color w:val="auto"/>
          <w:sz w:val="24"/>
          <w:szCs w:val="24"/>
          <w:highlight w:val="none"/>
          <w:u w:val="none"/>
          <w:lang w:val="en-US" w:bidi="en-US"/>
        </w:rPr>
        <w:t>%</w:t>
      </w:r>
      <w:r>
        <w:rPr>
          <w:rFonts w:hint="eastAsia" w:ascii="Times New Roman" w:hAnsi="Times New Roman" w:cs="Times New Roman"/>
          <w:color w:val="auto"/>
          <w:sz w:val="24"/>
          <w:szCs w:val="24"/>
          <w:highlight w:val="none"/>
          <w:lang w:val="en-US" w:eastAsia="zh-CN" w:bidi="en-US"/>
        </w:rPr>
        <w:t>，</w:t>
      </w:r>
      <w:r>
        <w:rPr>
          <w:rFonts w:hint="eastAsia" w:ascii="Times New Roman" w:hAnsi="Times New Roman" w:eastAsia="Times New Roman" w:cs="Times New Roman"/>
          <w:color w:val="auto"/>
          <w:sz w:val="24"/>
          <w:szCs w:val="24"/>
          <w:highlight w:val="none"/>
          <w:lang w:val="en-US" w:bidi="en-US"/>
        </w:rPr>
        <w:t>甲方支付工程进度款时，按照上述比例将农民工资转至乙方农民工工资专用账户</w:t>
      </w:r>
      <w:r>
        <w:rPr>
          <w:rFonts w:hint="eastAsia" w:ascii="Times New Roman" w:hAnsi="Times New Roman" w:cs="Times New Roman"/>
          <w:color w:val="auto"/>
          <w:sz w:val="24"/>
          <w:szCs w:val="24"/>
          <w:highlight w:val="none"/>
          <w:lang w:val="en-US" w:eastAsia="zh-CN" w:bidi="en-US"/>
        </w:rPr>
        <w:t>，</w:t>
      </w:r>
      <w:r>
        <w:rPr>
          <w:rFonts w:hint="eastAsia" w:ascii="Times New Roman" w:hAnsi="Times New Roman" w:eastAsia="Times New Roman" w:cs="Times New Roman"/>
          <w:color w:val="auto"/>
          <w:sz w:val="24"/>
          <w:szCs w:val="24"/>
          <w:highlight w:val="none"/>
          <w:lang w:val="en-US" w:bidi="en-US"/>
        </w:rPr>
        <w:t>乙方按月足额支付农民工工资，不得将农民工工资专用款挪做其它用途。</w:t>
      </w:r>
    </w:p>
    <w:p>
      <w:pPr>
        <w:pStyle w:val="6"/>
        <w:ind w:left="0" w:leftChars="0" w:firstLine="0" w:firstLineChars="0"/>
        <w:jc w:val="both"/>
        <w:rPr>
          <w:color w:val="auto"/>
          <w:sz w:val="24"/>
          <w:szCs w:val="24"/>
          <w:highlight w:val="none"/>
          <w:lang w:eastAsia="zh-CN"/>
        </w:rPr>
      </w:pPr>
      <w:bookmarkStart w:id="1293" w:name="bookmark1794"/>
      <w:bookmarkStart w:id="1294" w:name="bookmark1793"/>
      <w:bookmarkStart w:id="1295" w:name="bookmark1792"/>
      <w:r>
        <w:rPr>
          <w:color w:val="auto"/>
          <w:sz w:val="24"/>
          <w:szCs w:val="24"/>
          <w:highlight w:val="none"/>
          <w:lang w:eastAsia="zh-CN"/>
        </w:rPr>
        <w:t>17.4质量保证金</w:t>
      </w:r>
      <w:bookmarkEnd w:id="1293"/>
      <w:bookmarkEnd w:id="1294"/>
      <w:bookmarkEnd w:id="1295"/>
    </w:p>
    <w:p>
      <w:pPr>
        <w:pStyle w:val="45"/>
        <w:spacing w:line="360" w:lineRule="exact"/>
        <w:ind w:firstLine="440"/>
        <w:jc w:val="both"/>
        <w:rPr>
          <w:rFonts w:hint="eastAsia"/>
          <w:color w:val="auto"/>
          <w:sz w:val="24"/>
          <w:szCs w:val="24"/>
          <w:highlight w:val="none"/>
        </w:rPr>
      </w:pPr>
      <w:r>
        <w:rPr>
          <w:color w:val="auto"/>
          <w:sz w:val="24"/>
          <w:szCs w:val="24"/>
          <w:highlight w:val="none"/>
        </w:rPr>
        <w:t>□</w:t>
      </w:r>
      <w:r>
        <w:rPr>
          <w:rFonts w:ascii="Times New Roman" w:hAnsi="Times New Roman" w:eastAsia="Times New Roman" w:cs="Times New Roman"/>
          <w:color w:val="auto"/>
          <w:sz w:val="24"/>
          <w:szCs w:val="24"/>
          <w:highlight w:val="none"/>
          <w:lang w:val="en-US" w:bidi="en-US"/>
        </w:rPr>
        <w:t>17.4.1.</w:t>
      </w:r>
      <w:r>
        <w:rPr>
          <w:rFonts w:hint="eastAsia" w:ascii="Times New Roman" w:hAnsi="Times New Roman" w:cs="Times New Roman"/>
          <w:color w:val="auto"/>
          <w:sz w:val="24"/>
          <w:szCs w:val="24"/>
          <w:highlight w:val="none"/>
          <w:lang w:val="en-US" w:bidi="en-US"/>
        </w:rPr>
        <w:t>1</w:t>
      </w:r>
      <w:r>
        <w:rPr>
          <w:color w:val="auto"/>
          <w:sz w:val="24"/>
          <w:szCs w:val="24"/>
          <w:highlight w:val="none"/>
        </w:rPr>
        <w:t>每个付款周期扣留的质量保证金为工程进度付款的</w:t>
      </w:r>
      <w:r>
        <w:rPr>
          <w:rFonts w:ascii="Times New Roman" w:hAnsi="Times New Roman" w:eastAsia="Times New Roman" w:cs="Times New Roman"/>
          <w:color w:val="auto"/>
          <w:sz w:val="24"/>
          <w:szCs w:val="24"/>
          <w:highlight w:val="none"/>
        </w:rPr>
        <w:t>3%</w:t>
      </w:r>
      <w:r>
        <w:rPr>
          <w:color w:val="auto"/>
          <w:sz w:val="24"/>
          <w:szCs w:val="24"/>
          <w:highlight w:val="none"/>
        </w:rPr>
        <w:t>，扣留的质量保证金总额为工程价款结算总额的</w:t>
      </w:r>
      <w:r>
        <w:rPr>
          <w:rFonts w:ascii="Times New Roman" w:hAnsi="Times New Roman" w:eastAsia="Times New Roman" w:cs="Times New Roman"/>
          <w:color w:val="auto"/>
          <w:sz w:val="24"/>
          <w:szCs w:val="24"/>
          <w:highlight w:val="none"/>
        </w:rPr>
        <w:t xml:space="preserve">3% </w:t>
      </w:r>
      <w:r>
        <w:rPr>
          <w:rFonts w:hint="eastAsia" w:ascii="Times New Roman" w:hAnsi="Times New Roman" w:cs="Times New Roman"/>
          <w:color w:val="auto"/>
          <w:sz w:val="24"/>
          <w:szCs w:val="24"/>
          <w:highlight w:val="none"/>
          <w:lang w:val="en-US" w:bidi="en-US"/>
        </w:rPr>
        <w:t>。</w:t>
      </w:r>
    </w:p>
    <w:p>
      <w:pPr>
        <w:pStyle w:val="45"/>
        <w:spacing w:line="360" w:lineRule="exact"/>
        <w:ind w:firstLine="440"/>
        <w:jc w:val="both"/>
        <w:rPr>
          <w:color w:val="auto"/>
          <w:sz w:val="24"/>
          <w:szCs w:val="24"/>
          <w:highlight w:val="none"/>
        </w:rPr>
      </w:pPr>
      <w:r>
        <w:rPr>
          <w:color w:val="auto"/>
          <w:sz w:val="24"/>
          <w:szCs w:val="24"/>
          <w:highlight w:val="none"/>
        </w:rPr>
        <w:t>□</w:t>
      </w:r>
      <w:r>
        <w:rPr>
          <w:rFonts w:ascii="Times New Roman" w:hAnsi="Times New Roman" w:eastAsia="Times New Roman" w:cs="Times New Roman"/>
          <w:color w:val="auto"/>
          <w:sz w:val="24"/>
          <w:szCs w:val="24"/>
          <w:highlight w:val="none"/>
          <w:lang w:val="en-US" w:bidi="en-US"/>
        </w:rPr>
        <w:t>17.4.1.</w:t>
      </w:r>
      <w:r>
        <w:rPr>
          <w:rFonts w:hint="eastAsia" w:ascii="Times New Roman" w:hAnsi="Times New Roman" w:cs="Times New Roman"/>
          <w:color w:val="auto"/>
          <w:sz w:val="24"/>
          <w:szCs w:val="24"/>
          <w:highlight w:val="none"/>
          <w:lang w:val="en-US" w:bidi="en-US"/>
        </w:rPr>
        <w:t>2</w:t>
      </w:r>
      <w:r>
        <w:rPr>
          <w:color w:val="auto"/>
          <w:sz w:val="24"/>
          <w:szCs w:val="24"/>
          <w:highlight w:val="none"/>
        </w:rPr>
        <w:t>工程完工验收后，一次性扣留的质量保证金总额为工程价款结算总额的</w:t>
      </w:r>
      <w:r>
        <w:rPr>
          <w:rFonts w:ascii="Times New Roman" w:hAnsi="Times New Roman" w:eastAsia="Times New Roman" w:cs="Times New Roman"/>
          <w:color w:val="auto"/>
          <w:sz w:val="24"/>
          <w:szCs w:val="24"/>
          <w:highlight w:val="none"/>
        </w:rPr>
        <w:t>3%</w:t>
      </w:r>
      <w:r>
        <w:rPr>
          <w:color w:val="auto"/>
          <w:sz w:val="24"/>
          <w:szCs w:val="24"/>
          <w:highlight w:val="none"/>
        </w:rPr>
        <w:t>。</w:t>
      </w:r>
    </w:p>
    <w:p>
      <w:pPr>
        <w:pStyle w:val="45"/>
        <w:spacing w:after="240" w:line="360" w:lineRule="exact"/>
        <w:ind w:firstLine="440"/>
        <w:jc w:val="both"/>
        <w:rPr>
          <w:rFonts w:hint="eastAsia" w:ascii="宋体" w:hAnsi="宋体" w:eastAsia="宋体" w:cs="宋体"/>
          <w:color w:val="auto"/>
          <w:sz w:val="24"/>
          <w:szCs w:val="24"/>
          <w:highlight w:val="none"/>
          <w:lang w:val="en-US" w:eastAsia="zh-CN"/>
        </w:rPr>
      </w:pPr>
      <w:r>
        <w:rPr>
          <w:rFonts w:ascii="Times New Roman" w:hAnsi="Times New Roman" w:eastAsia="Times New Roman" w:cs="Times New Roman"/>
          <w:color w:val="auto"/>
          <w:sz w:val="24"/>
          <w:szCs w:val="24"/>
          <w:highlight w:val="none"/>
          <w:lang w:val="en-US" w:bidi="en-US"/>
        </w:rPr>
        <w:sym w:font="Wingdings 2" w:char="00A3"/>
      </w:r>
      <w:r>
        <w:rPr>
          <w:rFonts w:ascii="Times New Roman" w:hAnsi="Times New Roman" w:eastAsia="Times New Roman" w:cs="Times New Roman"/>
          <w:color w:val="auto"/>
          <w:sz w:val="24"/>
          <w:szCs w:val="24"/>
          <w:highlight w:val="none"/>
          <w:lang w:val="en-US" w:bidi="en-US"/>
        </w:rPr>
        <w:t>17.4.1.3</w:t>
      </w:r>
      <w:r>
        <w:rPr>
          <w:color w:val="auto"/>
          <w:sz w:val="24"/>
          <w:szCs w:val="24"/>
          <w:highlight w:val="none"/>
        </w:rPr>
        <w:t>在工程项目完工前，已经缴纳履约保证金的，发包人不得同时扣留工程质量保证金。</w:t>
      </w:r>
      <w:r>
        <w:rPr>
          <w:rFonts w:hint="eastAsia" w:ascii="宋体" w:hAnsi="宋体" w:eastAsia="宋体" w:cs="宋体"/>
          <w:color w:val="auto"/>
          <w:sz w:val="24"/>
          <w:szCs w:val="24"/>
          <w:highlight w:val="none"/>
          <w:lang w:val="en-US" w:eastAsia="zh-CN"/>
        </w:rPr>
        <w:t>施工单位提交质量保证金（质量保证金按工程结算价的3%收取）的同时我方将</w:t>
      </w:r>
      <w:r>
        <w:rPr>
          <w:rFonts w:hint="eastAsia" w:ascii="宋体" w:hAnsi="宋体" w:eastAsia="宋体" w:cs="宋体"/>
          <w:b/>
          <w:bCs/>
          <w:color w:val="auto"/>
          <w:sz w:val="24"/>
          <w:szCs w:val="24"/>
          <w:highlight w:val="none"/>
          <w:lang w:val="en-US" w:eastAsia="zh-CN"/>
        </w:rPr>
        <w:t>无息</w:t>
      </w:r>
      <w:r>
        <w:rPr>
          <w:rFonts w:hint="eastAsia" w:ascii="宋体" w:hAnsi="宋体" w:eastAsia="宋体" w:cs="宋体"/>
          <w:color w:val="auto"/>
          <w:sz w:val="24"/>
          <w:szCs w:val="24"/>
          <w:highlight w:val="none"/>
          <w:lang w:val="en-US" w:eastAsia="zh-CN"/>
        </w:rPr>
        <w:t>退回履约保证金，直至质量缺陷期结束后</w:t>
      </w:r>
      <w:r>
        <w:rPr>
          <w:rFonts w:hint="eastAsia" w:ascii="宋体" w:hAnsi="宋体" w:eastAsia="宋体" w:cs="宋体"/>
          <w:b/>
          <w:bCs/>
          <w:color w:val="auto"/>
          <w:sz w:val="24"/>
          <w:szCs w:val="24"/>
          <w:highlight w:val="none"/>
          <w:lang w:val="en-US" w:eastAsia="zh-CN"/>
        </w:rPr>
        <w:t>无息</w:t>
      </w:r>
      <w:r>
        <w:rPr>
          <w:rFonts w:hint="eastAsia" w:ascii="宋体" w:hAnsi="宋体" w:eastAsia="宋体" w:cs="宋体"/>
          <w:color w:val="auto"/>
          <w:sz w:val="24"/>
          <w:szCs w:val="24"/>
          <w:highlight w:val="none"/>
          <w:lang w:val="en-US" w:eastAsia="zh-CN"/>
        </w:rPr>
        <w:t>退还质量保证金。</w:t>
      </w:r>
    </w:p>
    <w:p>
      <w:pPr>
        <w:pStyle w:val="45"/>
        <w:spacing w:after="240" w:line="360" w:lineRule="exact"/>
        <w:ind w:firstLine="440"/>
        <w:jc w:val="both"/>
        <w:rPr>
          <w:rFonts w:hint="eastAsia" w:ascii="宋体" w:hAnsi="宋体" w:eastAsia="宋体" w:cs="宋体"/>
          <w:color w:val="auto"/>
          <w:sz w:val="24"/>
          <w:szCs w:val="24"/>
          <w:highlight w:val="none"/>
          <w:lang w:val="en-US" w:eastAsia="zh-CN"/>
        </w:rPr>
      </w:pPr>
      <w:r>
        <w:rPr>
          <w:rFonts w:ascii="Times New Roman" w:hAnsi="Times New Roman" w:eastAsia="Times New Roman" w:cs="Times New Roman"/>
          <w:color w:val="auto"/>
          <w:sz w:val="24"/>
          <w:szCs w:val="24"/>
          <w:highlight w:val="none"/>
          <w:lang w:val="en-US" w:bidi="en-US"/>
        </w:rPr>
        <w:sym w:font="Wingdings 2" w:char="0052"/>
      </w:r>
      <w:r>
        <w:rPr>
          <w:rFonts w:ascii="Times New Roman" w:hAnsi="Times New Roman" w:eastAsia="Times New Roman" w:cs="Times New Roman"/>
          <w:color w:val="auto"/>
          <w:sz w:val="24"/>
          <w:szCs w:val="24"/>
          <w:highlight w:val="none"/>
          <w:lang w:val="en-US" w:bidi="en-US"/>
        </w:rPr>
        <w:t>17.4.1.</w:t>
      </w:r>
      <w:r>
        <w:rPr>
          <w:rFonts w:hint="eastAsia" w:ascii="Times New Roman" w:hAnsi="Times New Roman" w:eastAsia="宋体" w:cs="Times New Roman"/>
          <w:color w:val="auto"/>
          <w:sz w:val="24"/>
          <w:szCs w:val="24"/>
          <w:highlight w:val="none"/>
          <w:lang w:val="en-US" w:eastAsia="zh-CN" w:bidi="en-US"/>
        </w:rPr>
        <w:t>4承包人在发包人退还履约保证金后，按结算价款的3%缴纳质量保证金到发包人指定账户，承包人申请支付工程结算款时需提交缴纳质量保证金的凭证。</w:t>
      </w:r>
    </w:p>
    <w:p>
      <w:pPr>
        <w:pStyle w:val="6"/>
        <w:ind w:left="0" w:leftChars="0" w:firstLine="0" w:firstLineChars="0"/>
        <w:jc w:val="both"/>
        <w:rPr>
          <w:color w:val="auto"/>
          <w:sz w:val="24"/>
          <w:szCs w:val="24"/>
          <w:highlight w:val="none"/>
          <w:lang w:eastAsia="zh-CN"/>
        </w:rPr>
      </w:pPr>
      <w:bookmarkStart w:id="1296" w:name="bookmark1795"/>
      <w:bookmarkStart w:id="1297" w:name="bookmark1797"/>
      <w:bookmarkStart w:id="1298" w:name="bookmark1796"/>
      <w:r>
        <w:rPr>
          <w:color w:val="auto"/>
          <w:sz w:val="24"/>
          <w:szCs w:val="24"/>
          <w:highlight w:val="none"/>
          <w:lang w:eastAsia="zh-CN"/>
        </w:rPr>
        <w:t>17.5竣工（完工）结算</w:t>
      </w:r>
      <w:bookmarkEnd w:id="1296"/>
      <w:bookmarkEnd w:id="1297"/>
      <w:bookmarkEnd w:id="1298"/>
    </w:p>
    <w:p>
      <w:pPr>
        <w:pStyle w:val="45"/>
        <w:spacing w:line="360" w:lineRule="exact"/>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17.5.1</w:t>
      </w:r>
      <w:r>
        <w:rPr>
          <w:color w:val="auto"/>
          <w:sz w:val="24"/>
          <w:szCs w:val="24"/>
          <w:highlight w:val="none"/>
        </w:rPr>
        <w:t>竣工（完工）付款申请单</w:t>
      </w:r>
    </w:p>
    <w:p>
      <w:pPr>
        <w:pStyle w:val="45"/>
        <w:spacing w:line="360" w:lineRule="exact"/>
        <w:ind w:firstLine="420"/>
        <w:jc w:val="both"/>
        <w:rPr>
          <w:color w:val="auto"/>
          <w:sz w:val="24"/>
          <w:szCs w:val="24"/>
          <w:highlight w:val="none"/>
        </w:rPr>
      </w:pPr>
      <w:bookmarkStart w:id="1299" w:name="bookmark1798"/>
      <w:r>
        <w:rPr>
          <w:rFonts w:ascii="Times New Roman" w:hAnsi="Times New Roman" w:eastAsia="Times New Roman" w:cs="Times New Roman"/>
          <w:color w:val="auto"/>
          <w:sz w:val="24"/>
          <w:szCs w:val="24"/>
          <w:highlight w:val="none"/>
        </w:rPr>
        <w:t>（</w:t>
      </w:r>
      <w:bookmarkEnd w:id="1299"/>
      <w:r>
        <w:rPr>
          <w:rFonts w:ascii="Times New Roman" w:hAnsi="Times New Roman" w:eastAsia="Times New Roman" w:cs="Times New Roman"/>
          <w:color w:val="auto"/>
          <w:sz w:val="24"/>
          <w:szCs w:val="24"/>
          <w:highlight w:val="none"/>
        </w:rPr>
        <w:t>1）</w:t>
      </w:r>
      <w:r>
        <w:rPr>
          <w:color w:val="auto"/>
          <w:sz w:val="24"/>
          <w:szCs w:val="24"/>
          <w:highlight w:val="none"/>
        </w:rPr>
        <w:t>承包人应提交竣工付款申请单份数：</w:t>
      </w:r>
      <w:r>
        <w:rPr>
          <w:rFonts w:hint="eastAsia"/>
          <w:color w:val="auto"/>
          <w:sz w:val="24"/>
          <w:szCs w:val="24"/>
          <w:highlight w:val="none"/>
          <w:u w:val="single"/>
          <w:lang w:val="en-US" w:eastAsia="zh-CN"/>
        </w:rPr>
        <w:t>4份</w:t>
      </w:r>
      <w:r>
        <w:rPr>
          <w:color w:val="auto"/>
          <w:sz w:val="24"/>
          <w:szCs w:val="24"/>
          <w:highlight w:val="none"/>
        </w:rPr>
        <w:t>。</w:t>
      </w:r>
    </w:p>
    <w:p>
      <w:pPr>
        <w:pStyle w:val="45"/>
        <w:spacing w:line="360"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17.5.3</w:t>
      </w:r>
      <w:r>
        <w:rPr>
          <w:color w:val="auto"/>
          <w:sz w:val="24"/>
          <w:szCs w:val="24"/>
          <w:highlight w:val="none"/>
        </w:rPr>
        <w:t>除按通用合同条款所说的内容外，增加以下内容：最终结算以财政评审结果为准。</w:t>
      </w:r>
    </w:p>
    <w:p>
      <w:pPr>
        <w:pStyle w:val="6"/>
        <w:ind w:left="0" w:leftChars="0" w:firstLine="0" w:firstLineChars="0"/>
        <w:jc w:val="both"/>
        <w:rPr>
          <w:color w:val="auto"/>
          <w:sz w:val="24"/>
          <w:szCs w:val="24"/>
          <w:highlight w:val="none"/>
          <w:lang w:eastAsia="zh-CN"/>
        </w:rPr>
      </w:pPr>
      <w:bookmarkStart w:id="1300" w:name="bookmark1801"/>
      <w:bookmarkEnd w:id="1300"/>
      <w:bookmarkStart w:id="1301" w:name="bookmark1802"/>
      <w:bookmarkStart w:id="1302" w:name="bookmark1800"/>
      <w:bookmarkStart w:id="1303" w:name="bookmark1799"/>
      <w:r>
        <w:rPr>
          <w:color w:val="auto"/>
          <w:sz w:val="24"/>
          <w:szCs w:val="24"/>
          <w:highlight w:val="none"/>
          <w:lang w:eastAsia="zh-CN"/>
        </w:rPr>
        <w:t>17.6最终结清</w:t>
      </w:r>
      <w:bookmarkEnd w:id="1301"/>
      <w:bookmarkEnd w:id="1302"/>
      <w:bookmarkEnd w:id="1303"/>
    </w:p>
    <w:p>
      <w:pPr>
        <w:pStyle w:val="45"/>
        <w:spacing w:line="360" w:lineRule="exact"/>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17.6.1</w:t>
      </w:r>
      <w:r>
        <w:rPr>
          <w:color w:val="auto"/>
          <w:sz w:val="24"/>
          <w:szCs w:val="24"/>
          <w:highlight w:val="none"/>
        </w:rPr>
        <w:t>最终结清申请单</w:t>
      </w:r>
    </w:p>
    <w:p>
      <w:pPr>
        <w:pStyle w:val="45"/>
        <w:tabs>
          <w:tab w:val="left" w:pos="6077"/>
        </w:tabs>
        <w:spacing w:line="360" w:lineRule="exact"/>
        <w:ind w:firstLine="420"/>
        <w:jc w:val="both"/>
        <w:rPr>
          <w:color w:val="auto"/>
          <w:sz w:val="24"/>
          <w:szCs w:val="24"/>
          <w:highlight w:val="none"/>
        </w:rPr>
      </w:pPr>
      <w:r>
        <w:rPr>
          <w:rFonts w:ascii="Times New Roman" w:hAnsi="Times New Roman" w:eastAsia="Times New Roman" w:cs="Times New Roman"/>
          <w:color w:val="auto"/>
          <w:sz w:val="24"/>
          <w:szCs w:val="24"/>
          <w:highlight w:val="none"/>
        </w:rPr>
        <w:t>（1）</w:t>
      </w:r>
      <w:r>
        <w:rPr>
          <w:color w:val="auto"/>
          <w:sz w:val="24"/>
          <w:szCs w:val="24"/>
          <w:highlight w:val="none"/>
        </w:rPr>
        <w:t>承包人应提交最终结清申请单份数：</w:t>
      </w:r>
      <w:r>
        <w:rPr>
          <w:rFonts w:hint="eastAsia"/>
          <w:color w:val="auto"/>
          <w:sz w:val="24"/>
          <w:szCs w:val="24"/>
          <w:highlight w:val="none"/>
          <w:u w:val="single"/>
          <w:lang w:val="en-US" w:eastAsia="zh-CN"/>
        </w:rPr>
        <w:t>4份</w:t>
      </w:r>
      <w:r>
        <w:rPr>
          <w:rFonts w:hint="eastAsia" w:ascii="Times New Roman" w:hAnsi="Times New Roman" w:cs="Times New Roman"/>
          <w:color w:val="auto"/>
          <w:sz w:val="24"/>
          <w:szCs w:val="24"/>
          <w:highlight w:val="none"/>
          <w:lang w:val="en-US" w:bidi="en-US"/>
        </w:rPr>
        <w:t>。</w:t>
      </w:r>
    </w:p>
    <w:p>
      <w:pPr>
        <w:pStyle w:val="6"/>
        <w:ind w:left="0" w:leftChars="0" w:firstLine="0" w:firstLineChars="0"/>
        <w:jc w:val="both"/>
        <w:rPr>
          <w:color w:val="auto"/>
          <w:sz w:val="24"/>
          <w:szCs w:val="24"/>
          <w:highlight w:val="none"/>
          <w:lang w:eastAsia="zh-CN"/>
        </w:rPr>
      </w:pPr>
      <w:bookmarkStart w:id="1304" w:name="bookmark1804"/>
      <w:bookmarkStart w:id="1305" w:name="bookmark1803"/>
      <w:bookmarkStart w:id="1306" w:name="bookmark1805"/>
      <w:r>
        <w:rPr>
          <w:color w:val="auto"/>
          <w:sz w:val="24"/>
          <w:szCs w:val="24"/>
          <w:highlight w:val="none"/>
          <w:lang w:eastAsia="zh-CN"/>
        </w:rPr>
        <w:t>17.7竣工财务决算</w:t>
      </w:r>
      <w:bookmarkEnd w:id="1304"/>
      <w:bookmarkEnd w:id="1305"/>
      <w:bookmarkEnd w:id="1306"/>
    </w:p>
    <w:p>
      <w:pPr>
        <w:pStyle w:val="45"/>
        <w:tabs>
          <w:tab w:val="left" w:pos="6264"/>
        </w:tabs>
        <w:spacing w:after="180" w:line="360" w:lineRule="exact"/>
        <w:ind w:firstLine="420"/>
        <w:jc w:val="both"/>
        <w:rPr>
          <w:color w:val="auto"/>
          <w:sz w:val="24"/>
          <w:szCs w:val="24"/>
          <w:highlight w:val="none"/>
        </w:rPr>
      </w:pPr>
      <w:r>
        <w:rPr>
          <w:color w:val="auto"/>
          <w:sz w:val="24"/>
          <w:szCs w:val="24"/>
          <w:highlight w:val="none"/>
        </w:rPr>
        <w:t>承包人应为竣工财务决算编制提供的资料：</w:t>
      </w:r>
      <w:r>
        <w:rPr>
          <w:rFonts w:hint="eastAsia"/>
          <w:color w:val="auto"/>
          <w:sz w:val="24"/>
          <w:szCs w:val="24"/>
          <w:highlight w:val="none"/>
          <w:u w:val="single"/>
        </w:rPr>
        <w:t>承包人应为竣工财务决算编制提供的资料：按现行《水利基本建设项目竣工财务决算编制规程》（SL19-2014）及相关法律、法规和规章制度执行。决算费用由发包人另行支付</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307" w:name="bookmark1808"/>
      <w:bookmarkEnd w:id="1307"/>
      <w:bookmarkStart w:id="1308" w:name="bookmark1809"/>
      <w:bookmarkStart w:id="1309" w:name="bookmark1806"/>
      <w:bookmarkStart w:id="1310" w:name="_Toc797"/>
      <w:bookmarkStart w:id="1311" w:name="bookmark1807"/>
      <w:bookmarkStart w:id="1312" w:name="_Toc24588"/>
      <w:bookmarkStart w:id="1313" w:name="_Toc268901303"/>
      <w:bookmarkStart w:id="1314" w:name="_Toc30479"/>
      <w:r>
        <w:rPr>
          <w:rFonts w:hint="eastAsia"/>
          <w:color w:val="auto"/>
          <w:sz w:val="24"/>
          <w:szCs w:val="24"/>
          <w:highlight w:val="none"/>
          <w:lang w:eastAsia="zh-CN"/>
        </w:rPr>
        <w:t>18. 竣工验收（验收）</w:t>
      </w:r>
      <w:bookmarkEnd w:id="1308"/>
      <w:bookmarkEnd w:id="1309"/>
      <w:bookmarkEnd w:id="1310"/>
      <w:bookmarkEnd w:id="1311"/>
      <w:bookmarkEnd w:id="1312"/>
      <w:bookmarkEnd w:id="1313"/>
      <w:bookmarkEnd w:id="1314"/>
    </w:p>
    <w:p>
      <w:pPr>
        <w:pStyle w:val="6"/>
        <w:ind w:left="0" w:leftChars="0" w:firstLine="0" w:firstLineChars="0"/>
        <w:jc w:val="both"/>
        <w:rPr>
          <w:color w:val="auto"/>
          <w:sz w:val="24"/>
          <w:szCs w:val="24"/>
          <w:highlight w:val="none"/>
          <w:lang w:eastAsia="zh-CN"/>
        </w:rPr>
      </w:pPr>
      <w:bookmarkStart w:id="1315" w:name="bookmark1810"/>
      <w:bookmarkStart w:id="1316" w:name="bookmark1812"/>
      <w:bookmarkStart w:id="1317" w:name="bookmark1811"/>
      <w:r>
        <w:rPr>
          <w:color w:val="auto"/>
          <w:sz w:val="24"/>
          <w:szCs w:val="24"/>
          <w:highlight w:val="none"/>
          <w:lang w:eastAsia="zh-CN"/>
        </w:rPr>
        <w:t>18.1验收工作分类</w:t>
      </w:r>
      <w:bookmarkEnd w:id="1315"/>
      <w:bookmarkEnd w:id="1316"/>
      <w:bookmarkEnd w:id="1317"/>
    </w:p>
    <w:p>
      <w:pPr>
        <w:pStyle w:val="45"/>
        <w:ind w:firstLine="440"/>
        <w:jc w:val="both"/>
        <w:rPr>
          <w:color w:val="auto"/>
          <w:sz w:val="24"/>
          <w:szCs w:val="24"/>
          <w:highlight w:val="none"/>
        </w:rPr>
      </w:pPr>
      <w:r>
        <w:rPr>
          <w:color w:val="auto"/>
          <w:sz w:val="24"/>
          <w:szCs w:val="24"/>
          <w:highlight w:val="none"/>
        </w:rPr>
        <w:t>根据《水利工程建设项目验收管理规定》（水利部令第</w:t>
      </w:r>
      <w:r>
        <w:rPr>
          <w:rFonts w:hint="eastAsia" w:ascii="Times New Roman" w:hAnsi="Times New Roman" w:cs="Times New Roman"/>
          <w:color w:val="auto"/>
          <w:sz w:val="24"/>
          <w:szCs w:val="24"/>
          <w:highlight w:val="none"/>
          <w:lang w:val="en-US" w:eastAsia="zh-CN"/>
        </w:rPr>
        <w:t>49</w:t>
      </w:r>
      <w:r>
        <w:rPr>
          <w:color w:val="auto"/>
          <w:sz w:val="24"/>
          <w:szCs w:val="24"/>
          <w:highlight w:val="none"/>
        </w:rPr>
        <w:t>号）和《水利水电建设工程验收规程》</w:t>
      </w:r>
      <w:r>
        <w:rPr>
          <w:rFonts w:ascii="Times New Roman" w:hAnsi="Times New Roman" w:eastAsia="Times New Roman" w:cs="Times New Roman"/>
          <w:color w:val="auto"/>
          <w:sz w:val="24"/>
          <w:szCs w:val="24"/>
          <w:highlight w:val="none"/>
          <w:lang w:val="en-US" w:bidi="en-US"/>
        </w:rPr>
        <w:t>（SL223</w:t>
      </w:r>
      <w:r>
        <w:rPr>
          <w:rFonts w:hint="eastAsia"/>
          <w:color w:val="auto"/>
          <w:sz w:val="24"/>
          <w:szCs w:val="24"/>
          <w:highlight w:val="none"/>
          <w:lang w:val="en-US" w:bidi="en-US"/>
        </w:rPr>
        <w:t>）</w:t>
      </w:r>
      <w:r>
        <w:rPr>
          <w:rFonts w:ascii="Times New Roman" w:hAnsi="Times New Roman" w:eastAsia="Times New Roman" w:cs="Times New Roman"/>
          <w:color w:val="auto"/>
          <w:sz w:val="24"/>
          <w:szCs w:val="24"/>
          <w:highlight w:val="none"/>
          <w:lang w:val="en-US" w:bidi="en-US"/>
        </w:rPr>
        <w:t>2008）</w:t>
      </w:r>
      <w:r>
        <w:rPr>
          <w:color w:val="auto"/>
          <w:sz w:val="24"/>
          <w:szCs w:val="24"/>
          <w:highlight w:val="none"/>
        </w:rPr>
        <w:t>的相关规定执行。</w:t>
      </w:r>
    </w:p>
    <w:p>
      <w:pPr>
        <w:pStyle w:val="6"/>
        <w:ind w:left="0" w:leftChars="0" w:firstLine="0" w:firstLineChars="0"/>
        <w:jc w:val="both"/>
        <w:rPr>
          <w:color w:val="auto"/>
          <w:sz w:val="24"/>
          <w:szCs w:val="24"/>
          <w:highlight w:val="none"/>
          <w:lang w:eastAsia="zh-CN"/>
        </w:rPr>
      </w:pPr>
      <w:bookmarkStart w:id="1318" w:name="bookmark1815"/>
      <w:bookmarkStart w:id="1319" w:name="bookmark1813"/>
      <w:bookmarkStart w:id="1320" w:name="bookmark1814"/>
      <w:r>
        <w:rPr>
          <w:color w:val="auto"/>
          <w:sz w:val="24"/>
          <w:szCs w:val="24"/>
          <w:highlight w:val="none"/>
          <w:lang w:eastAsia="zh-CN"/>
        </w:rPr>
        <w:t>18.2分部工程验收</w:t>
      </w:r>
      <w:bookmarkEnd w:id="1318"/>
      <w:bookmarkEnd w:id="1319"/>
      <w:bookmarkEnd w:id="1320"/>
    </w:p>
    <w:p>
      <w:pPr>
        <w:pStyle w:val="45"/>
        <w:tabs>
          <w:tab w:val="left" w:pos="7018"/>
        </w:tabs>
        <w:ind w:firstLine="440"/>
        <w:jc w:val="both"/>
        <w:rPr>
          <w:rFonts w:hint="eastAsia" w:eastAsia="宋体"/>
          <w:color w:val="auto"/>
          <w:sz w:val="24"/>
          <w:szCs w:val="24"/>
          <w:highlight w:val="none"/>
          <w:lang w:eastAsia="zh-CN"/>
        </w:rPr>
      </w:pPr>
      <w:r>
        <w:rPr>
          <w:rFonts w:ascii="Times New Roman" w:hAnsi="Times New Roman" w:eastAsia="Times New Roman" w:cs="Times New Roman"/>
          <w:color w:val="auto"/>
          <w:sz w:val="24"/>
          <w:szCs w:val="24"/>
          <w:highlight w:val="none"/>
          <w:lang w:val="en-US" w:bidi="en-US"/>
        </w:rPr>
        <w:t>18.2.</w:t>
      </w:r>
      <w:r>
        <w:rPr>
          <w:rFonts w:ascii="Times New Roman" w:hAnsi="Times New Roman" w:eastAsia="Times New Roman" w:cs="Times New Roman"/>
          <w:color w:val="auto"/>
          <w:sz w:val="24"/>
          <w:szCs w:val="24"/>
          <w:highlight w:val="none"/>
        </w:rPr>
        <w:t>2</w:t>
      </w:r>
      <w:r>
        <w:rPr>
          <w:color w:val="auto"/>
          <w:sz w:val="24"/>
          <w:szCs w:val="24"/>
          <w:highlight w:val="none"/>
        </w:rPr>
        <w:t>本工程由发包人主持的分部工程验收为：</w:t>
      </w:r>
      <w:r>
        <w:rPr>
          <w:rFonts w:hint="eastAsia"/>
          <w:color w:val="auto"/>
          <w:sz w:val="24"/>
          <w:szCs w:val="24"/>
          <w:highlight w:val="none"/>
          <w:u w:val="single"/>
          <w:lang w:val="en-US"/>
        </w:rPr>
        <w:t xml:space="preserve"> 按相关规范规定  </w:t>
      </w:r>
      <w:r>
        <w:rPr>
          <w:rFonts w:hint="eastAsia"/>
          <w:color w:val="auto"/>
          <w:sz w:val="24"/>
          <w:szCs w:val="24"/>
          <w:highlight w:val="none"/>
          <w:u w:val="none"/>
          <w:lang w:val="en-US" w:eastAsia="zh-CN"/>
        </w:rPr>
        <w:t>。</w:t>
      </w:r>
    </w:p>
    <w:p>
      <w:pPr>
        <w:pStyle w:val="6"/>
        <w:ind w:left="0" w:leftChars="0" w:firstLine="0" w:firstLineChars="0"/>
        <w:jc w:val="both"/>
        <w:rPr>
          <w:color w:val="auto"/>
          <w:sz w:val="24"/>
          <w:szCs w:val="24"/>
          <w:highlight w:val="none"/>
          <w:lang w:eastAsia="zh-CN"/>
        </w:rPr>
      </w:pPr>
      <w:bookmarkStart w:id="1321" w:name="bookmark1816"/>
      <w:bookmarkStart w:id="1322" w:name="bookmark1818"/>
      <w:bookmarkStart w:id="1323" w:name="bookmark1817"/>
      <w:r>
        <w:rPr>
          <w:color w:val="auto"/>
          <w:sz w:val="24"/>
          <w:szCs w:val="24"/>
          <w:highlight w:val="none"/>
          <w:lang w:eastAsia="zh-CN"/>
        </w:rPr>
        <w:t>18.3单位工程验收</w:t>
      </w:r>
      <w:bookmarkEnd w:id="1321"/>
      <w:bookmarkEnd w:id="1322"/>
      <w:bookmarkEnd w:id="1323"/>
    </w:p>
    <w:p>
      <w:pPr>
        <w:pStyle w:val="45"/>
        <w:tabs>
          <w:tab w:val="left" w:pos="6036"/>
        </w:tabs>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18.3.4</w:t>
      </w:r>
      <w:r>
        <w:rPr>
          <w:color w:val="auto"/>
          <w:sz w:val="24"/>
          <w:szCs w:val="24"/>
          <w:highlight w:val="none"/>
        </w:rPr>
        <w:t>提前投入使用的单位工程包括：</w:t>
      </w:r>
      <w:r>
        <w:rPr>
          <w:rFonts w:hint="eastAsia"/>
          <w:color w:val="auto"/>
          <w:sz w:val="24"/>
          <w:szCs w:val="24"/>
          <w:highlight w:val="none"/>
          <w:u w:val="single"/>
          <w:lang w:val="en-US"/>
        </w:rPr>
        <w:t>按相关规范规定</w:t>
      </w:r>
      <w:r>
        <w:rPr>
          <w:rFonts w:hint="eastAsia" w:ascii="Times New Roman" w:hAnsi="Times New Roman" w:cs="Times New Roman"/>
          <w:color w:val="auto"/>
          <w:sz w:val="24"/>
          <w:szCs w:val="24"/>
          <w:highlight w:val="none"/>
          <w:lang w:val="en-US" w:bidi="en-US"/>
        </w:rPr>
        <w:t>。</w:t>
      </w:r>
    </w:p>
    <w:p>
      <w:pPr>
        <w:pStyle w:val="6"/>
        <w:ind w:left="0" w:leftChars="0" w:firstLine="0" w:firstLineChars="0"/>
        <w:jc w:val="both"/>
        <w:rPr>
          <w:color w:val="auto"/>
          <w:sz w:val="24"/>
          <w:szCs w:val="24"/>
          <w:highlight w:val="none"/>
          <w:lang w:eastAsia="zh-CN"/>
        </w:rPr>
      </w:pPr>
      <w:bookmarkStart w:id="1324" w:name="bookmark1819"/>
      <w:bookmarkStart w:id="1325" w:name="bookmark1820"/>
      <w:bookmarkStart w:id="1326" w:name="bookmark1821"/>
      <w:r>
        <w:rPr>
          <w:color w:val="auto"/>
          <w:sz w:val="24"/>
          <w:szCs w:val="24"/>
          <w:highlight w:val="none"/>
          <w:lang w:eastAsia="zh-CN"/>
        </w:rPr>
        <w:t>18.5阶段验收</w:t>
      </w:r>
      <w:bookmarkEnd w:id="1324"/>
      <w:bookmarkEnd w:id="1325"/>
      <w:bookmarkEnd w:id="1326"/>
    </w:p>
    <w:p>
      <w:pPr>
        <w:pStyle w:val="45"/>
        <w:tabs>
          <w:tab w:val="left" w:pos="6036"/>
        </w:tabs>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18.5.1</w:t>
      </w:r>
      <w:r>
        <w:rPr>
          <w:color w:val="auto"/>
          <w:sz w:val="24"/>
          <w:szCs w:val="24"/>
          <w:highlight w:val="none"/>
        </w:rPr>
        <w:t xml:space="preserve">本合同工程阶段验收类别包括： </w:t>
      </w:r>
      <w:r>
        <w:rPr>
          <w:rFonts w:hint="eastAsia"/>
          <w:color w:val="auto"/>
          <w:sz w:val="24"/>
          <w:szCs w:val="24"/>
          <w:highlight w:val="none"/>
          <w:u w:val="single"/>
          <w:lang w:val="en-US"/>
        </w:rPr>
        <w:t>按相关规范规定</w:t>
      </w:r>
      <w:r>
        <w:rPr>
          <w:rFonts w:hint="eastAsia" w:ascii="Times New Roman" w:hAnsi="Times New Roman" w:cs="Times New Roman"/>
          <w:color w:val="auto"/>
          <w:sz w:val="24"/>
          <w:szCs w:val="24"/>
          <w:highlight w:val="none"/>
          <w:lang w:val="en-US" w:bidi="en-US"/>
        </w:rPr>
        <w:t>。</w:t>
      </w:r>
    </w:p>
    <w:p>
      <w:pPr>
        <w:pStyle w:val="6"/>
        <w:ind w:left="0" w:leftChars="0" w:firstLine="0" w:firstLineChars="0"/>
        <w:jc w:val="both"/>
        <w:rPr>
          <w:color w:val="auto"/>
          <w:sz w:val="24"/>
          <w:szCs w:val="24"/>
          <w:highlight w:val="none"/>
          <w:lang w:eastAsia="zh-CN"/>
        </w:rPr>
      </w:pPr>
      <w:bookmarkStart w:id="1327" w:name="bookmark1822"/>
      <w:bookmarkStart w:id="1328" w:name="bookmark1824"/>
      <w:bookmarkStart w:id="1329" w:name="bookmark1823"/>
      <w:r>
        <w:rPr>
          <w:color w:val="auto"/>
          <w:sz w:val="24"/>
          <w:szCs w:val="24"/>
          <w:highlight w:val="none"/>
          <w:lang w:eastAsia="zh-CN"/>
        </w:rPr>
        <w:t>18.6专项验收</w:t>
      </w:r>
      <w:bookmarkEnd w:id="1327"/>
      <w:bookmarkEnd w:id="1328"/>
      <w:bookmarkEnd w:id="1329"/>
    </w:p>
    <w:p>
      <w:pPr>
        <w:pStyle w:val="45"/>
        <w:tabs>
          <w:tab w:val="left" w:pos="6036"/>
        </w:tabs>
        <w:ind w:firstLine="4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18.6.2</w:t>
      </w:r>
      <w:r>
        <w:rPr>
          <w:color w:val="auto"/>
          <w:sz w:val="24"/>
          <w:szCs w:val="24"/>
          <w:highlight w:val="none"/>
        </w:rPr>
        <w:t>本合同工程专项验收类别包括：</w:t>
      </w:r>
      <w:r>
        <w:rPr>
          <w:rFonts w:hint="eastAsia"/>
          <w:color w:val="auto"/>
          <w:sz w:val="24"/>
          <w:szCs w:val="24"/>
          <w:highlight w:val="none"/>
          <w:u w:val="single"/>
          <w:lang w:val="en-US"/>
        </w:rPr>
        <w:t>按相关规范规定</w:t>
      </w:r>
      <w:r>
        <w:rPr>
          <w:rFonts w:hint="eastAsia" w:ascii="Times New Roman" w:hAnsi="Times New Roman" w:cs="Times New Roman"/>
          <w:color w:val="auto"/>
          <w:sz w:val="24"/>
          <w:szCs w:val="24"/>
          <w:highlight w:val="none"/>
          <w:lang w:val="en-US" w:bidi="en-US"/>
        </w:rPr>
        <w:t>。</w:t>
      </w:r>
    </w:p>
    <w:p>
      <w:pPr>
        <w:pStyle w:val="6"/>
        <w:ind w:left="0" w:leftChars="0" w:firstLine="0" w:firstLineChars="0"/>
        <w:jc w:val="both"/>
        <w:rPr>
          <w:color w:val="auto"/>
          <w:sz w:val="24"/>
          <w:szCs w:val="24"/>
          <w:highlight w:val="none"/>
          <w:lang w:eastAsia="zh-CN"/>
        </w:rPr>
      </w:pPr>
      <w:bookmarkStart w:id="1330" w:name="bookmark1825"/>
      <w:bookmarkStart w:id="1331" w:name="bookmark1827"/>
      <w:bookmarkStart w:id="1332" w:name="bookmark1826"/>
      <w:r>
        <w:rPr>
          <w:color w:val="auto"/>
          <w:sz w:val="24"/>
          <w:szCs w:val="24"/>
          <w:highlight w:val="none"/>
          <w:lang w:eastAsia="zh-CN"/>
        </w:rPr>
        <w:t>18.8施工期运行</w:t>
      </w:r>
      <w:bookmarkEnd w:id="1330"/>
      <w:bookmarkEnd w:id="1331"/>
      <w:bookmarkEnd w:id="1332"/>
    </w:p>
    <w:p>
      <w:pPr>
        <w:pStyle w:val="45"/>
        <w:tabs>
          <w:tab w:val="left" w:pos="7296"/>
        </w:tabs>
        <w:ind w:firstLine="420"/>
        <w:jc w:val="both"/>
        <w:rPr>
          <w:rFonts w:ascii="Times New Roman" w:hAnsi="Times New Roman" w:cs="Times New Roman"/>
          <w:color w:val="auto"/>
          <w:sz w:val="24"/>
          <w:szCs w:val="24"/>
          <w:highlight w:val="none"/>
          <w:lang w:val="en-US" w:bidi="en-US"/>
        </w:rPr>
      </w:pPr>
      <w:r>
        <w:rPr>
          <w:rFonts w:ascii="Times New Roman" w:hAnsi="Times New Roman" w:eastAsia="Times New Roman" w:cs="Times New Roman"/>
          <w:color w:val="auto"/>
          <w:sz w:val="24"/>
          <w:szCs w:val="24"/>
          <w:highlight w:val="none"/>
          <w:lang w:val="en-US" w:bidi="en-US"/>
        </w:rPr>
        <w:t>18.8.1</w:t>
      </w:r>
      <w:r>
        <w:rPr>
          <w:color w:val="auto"/>
          <w:sz w:val="24"/>
          <w:szCs w:val="24"/>
          <w:highlight w:val="none"/>
        </w:rPr>
        <w:t>需要在施工期运行的单位工程或工程设备为：</w:t>
      </w:r>
      <w:r>
        <w:rPr>
          <w:rFonts w:hint="eastAsia"/>
          <w:color w:val="auto"/>
          <w:sz w:val="24"/>
          <w:szCs w:val="24"/>
          <w:highlight w:val="none"/>
          <w:u w:val="single"/>
          <w:lang w:val="en-US" w:eastAsia="zh-CN"/>
        </w:rPr>
        <w:t>水泵设备、供电设备、管道设备。</w:t>
      </w:r>
    </w:p>
    <w:p>
      <w:pPr>
        <w:pStyle w:val="6"/>
        <w:ind w:left="0" w:leftChars="0" w:firstLine="0" w:firstLineChars="0"/>
        <w:jc w:val="both"/>
        <w:rPr>
          <w:color w:val="auto"/>
          <w:sz w:val="24"/>
          <w:szCs w:val="24"/>
          <w:highlight w:val="none"/>
          <w:lang w:eastAsia="zh-CN"/>
        </w:rPr>
      </w:pPr>
      <w:bookmarkStart w:id="1333" w:name="bookmark1828"/>
      <w:bookmarkStart w:id="1334" w:name="bookmark1829"/>
      <w:bookmarkStart w:id="1335" w:name="bookmark1830"/>
      <w:r>
        <w:rPr>
          <w:color w:val="auto"/>
          <w:sz w:val="24"/>
          <w:szCs w:val="24"/>
          <w:highlight w:val="none"/>
          <w:lang w:eastAsia="zh-CN"/>
        </w:rPr>
        <w:t>18.9试运行</w:t>
      </w:r>
      <w:bookmarkEnd w:id="1333"/>
      <w:bookmarkEnd w:id="1334"/>
      <w:bookmarkEnd w:id="1335"/>
    </w:p>
    <w:p>
      <w:pPr>
        <w:pStyle w:val="45"/>
        <w:tabs>
          <w:tab w:val="left" w:pos="7296"/>
        </w:tabs>
        <w:ind w:firstLine="420"/>
        <w:jc w:val="both"/>
        <w:rPr>
          <w:rFonts w:hint="eastAsia" w:ascii="Times New Roman" w:hAnsi="Times New Roman" w:eastAsia="Times New Roman" w:cs="Times New Roman"/>
          <w:color w:val="auto"/>
          <w:sz w:val="24"/>
          <w:szCs w:val="24"/>
          <w:highlight w:val="none"/>
          <w:lang w:val="en-US" w:bidi="en-US"/>
        </w:rPr>
      </w:pPr>
      <w:r>
        <w:rPr>
          <w:rFonts w:ascii="Times New Roman" w:hAnsi="Times New Roman" w:eastAsia="Times New Roman" w:cs="Times New Roman"/>
          <w:color w:val="auto"/>
          <w:sz w:val="24"/>
          <w:szCs w:val="24"/>
          <w:highlight w:val="none"/>
          <w:lang w:val="en-US" w:bidi="en-US"/>
        </w:rPr>
        <w:t>18. 9.1试运行的组织：</w:t>
      </w:r>
      <w:r>
        <w:rPr>
          <w:rFonts w:hint="eastAsia" w:ascii="Times New Roman" w:hAnsi="Times New Roman" w:eastAsia="Times New Roman" w:cs="Times New Roman"/>
          <w:color w:val="auto"/>
          <w:sz w:val="24"/>
          <w:szCs w:val="24"/>
          <w:highlight w:val="none"/>
          <w:lang w:val="en-US" w:eastAsia="zh-CN" w:bidi="en-US"/>
        </w:rPr>
        <w:t>发包人</w:t>
      </w:r>
      <w:bookmarkStart w:id="1336" w:name="bookmark1833"/>
      <w:bookmarkEnd w:id="1336"/>
      <w:bookmarkStart w:id="1337" w:name="_Toc24047"/>
      <w:bookmarkStart w:id="1338" w:name="_Toc21054"/>
      <w:bookmarkStart w:id="1339" w:name="bookmark1831"/>
      <w:bookmarkStart w:id="1340" w:name="bookmark1834"/>
      <w:bookmarkStart w:id="1341" w:name="bookmark1832"/>
      <w:r>
        <w:rPr>
          <w:rFonts w:hint="eastAsia" w:ascii="Times New Roman" w:hAnsi="Times New Roman" w:eastAsia="Times New Roman" w:cs="Times New Roman"/>
          <w:color w:val="auto"/>
          <w:sz w:val="24"/>
          <w:szCs w:val="24"/>
          <w:highlight w:val="none"/>
          <w:lang w:val="en-US" w:bidi="en-US"/>
        </w:rPr>
        <w:t>。</w:t>
      </w:r>
    </w:p>
    <w:p>
      <w:pPr>
        <w:pStyle w:val="45"/>
        <w:tabs>
          <w:tab w:val="left" w:pos="7296"/>
        </w:tabs>
        <w:ind w:firstLine="420"/>
        <w:jc w:val="both"/>
        <w:rPr>
          <w:rFonts w:hint="eastAsia" w:ascii="Times New Roman" w:hAnsi="Times New Roman" w:eastAsia="Times New Roman" w:cs="Times New Roman"/>
          <w:color w:val="auto"/>
          <w:sz w:val="24"/>
          <w:szCs w:val="24"/>
          <w:highlight w:val="none"/>
          <w:lang w:val="en-US" w:eastAsia="zh-CN" w:bidi="en-US"/>
        </w:rPr>
      </w:pPr>
      <w:r>
        <w:rPr>
          <w:rFonts w:ascii="Times New Roman" w:hAnsi="Times New Roman" w:eastAsia="Times New Roman" w:cs="Times New Roman"/>
          <w:color w:val="auto"/>
          <w:sz w:val="24"/>
          <w:szCs w:val="24"/>
          <w:highlight w:val="none"/>
          <w:lang w:val="en-US" w:bidi="en-US"/>
        </w:rPr>
        <w:t>18. 9.</w:t>
      </w:r>
      <w:r>
        <w:rPr>
          <w:rFonts w:hint="eastAsia" w:ascii="Times New Roman" w:hAnsi="Times New Roman" w:eastAsia="Times New Roman" w:cs="Times New Roman"/>
          <w:color w:val="auto"/>
          <w:sz w:val="24"/>
          <w:szCs w:val="24"/>
          <w:highlight w:val="none"/>
          <w:lang w:val="en-US" w:eastAsia="zh-CN" w:bidi="en-US"/>
        </w:rPr>
        <w:t>2</w:t>
      </w:r>
      <w:r>
        <w:rPr>
          <w:rFonts w:hint="eastAsia" w:ascii="Times New Roman" w:hAnsi="Times New Roman" w:eastAsia="Times New Roman" w:cs="Times New Roman"/>
          <w:color w:val="auto"/>
          <w:sz w:val="24"/>
          <w:szCs w:val="24"/>
          <w:highlight w:val="none"/>
          <w:lang w:val="en-US" w:bidi="en-US"/>
        </w:rPr>
        <w:t>试运行的费用</w:t>
      </w:r>
      <w:r>
        <w:rPr>
          <w:rFonts w:hint="eastAsia" w:ascii="Times New Roman" w:hAnsi="Times New Roman" w:eastAsia="Times New Roman" w:cs="Times New Roman"/>
          <w:color w:val="auto"/>
          <w:sz w:val="24"/>
          <w:szCs w:val="24"/>
          <w:highlight w:val="none"/>
          <w:lang w:val="en-US" w:eastAsia="zh-CN" w:bidi="en-US"/>
        </w:rPr>
        <w:t>：</w:t>
      </w:r>
      <w:r>
        <w:rPr>
          <w:rFonts w:hint="eastAsia" w:ascii="Times New Roman" w:hAnsi="Times New Roman" w:eastAsia="Times New Roman" w:cs="Times New Roman"/>
          <w:color w:val="auto"/>
          <w:sz w:val="24"/>
          <w:szCs w:val="24"/>
          <w:highlight w:val="none"/>
          <w:lang w:val="en-US" w:bidi="en-US"/>
        </w:rPr>
        <w:t>由承包人承担</w:t>
      </w:r>
      <w:r>
        <w:rPr>
          <w:rFonts w:hint="eastAsia" w:ascii="Times New Roman" w:hAnsi="Times New Roman" w:eastAsia="Times New Roman" w:cs="Times New Roman"/>
          <w:color w:val="auto"/>
          <w:sz w:val="24"/>
          <w:szCs w:val="24"/>
          <w:highlight w:val="none"/>
          <w:lang w:val="en-US" w:eastAsia="zh-CN" w:bidi="en-US"/>
        </w:rPr>
        <w:t>。</w:t>
      </w:r>
    </w:p>
    <w:p>
      <w:pPr>
        <w:pStyle w:val="5"/>
        <w:spacing w:line="360" w:lineRule="exact"/>
        <w:jc w:val="both"/>
        <w:rPr>
          <w:rFonts w:hint="eastAsia"/>
          <w:color w:val="auto"/>
          <w:sz w:val="24"/>
          <w:szCs w:val="24"/>
          <w:highlight w:val="none"/>
          <w:lang w:eastAsia="zh-CN"/>
        </w:rPr>
      </w:pPr>
      <w:bookmarkStart w:id="1342" w:name="_Toc12396053"/>
      <w:bookmarkStart w:id="1343" w:name="_Toc19019"/>
      <w:r>
        <w:rPr>
          <w:rFonts w:hint="eastAsia"/>
          <w:color w:val="auto"/>
          <w:sz w:val="24"/>
          <w:szCs w:val="24"/>
          <w:highlight w:val="none"/>
          <w:lang w:eastAsia="zh-CN"/>
        </w:rPr>
        <w:t>19. 缺陷责任与保修责任</w:t>
      </w:r>
      <w:bookmarkEnd w:id="1337"/>
      <w:bookmarkEnd w:id="1338"/>
      <w:bookmarkEnd w:id="1339"/>
      <w:bookmarkEnd w:id="1340"/>
      <w:bookmarkEnd w:id="1341"/>
      <w:bookmarkEnd w:id="1342"/>
      <w:bookmarkEnd w:id="1343"/>
    </w:p>
    <w:p>
      <w:pPr>
        <w:pStyle w:val="6"/>
        <w:ind w:left="0" w:leftChars="0" w:firstLine="0" w:firstLineChars="0"/>
        <w:jc w:val="both"/>
        <w:rPr>
          <w:color w:val="auto"/>
          <w:sz w:val="24"/>
          <w:szCs w:val="24"/>
          <w:highlight w:val="none"/>
          <w:lang w:eastAsia="zh-CN"/>
        </w:rPr>
      </w:pPr>
      <w:bookmarkStart w:id="1344" w:name="bookmark1835"/>
      <w:bookmarkStart w:id="1345" w:name="bookmark1836"/>
      <w:bookmarkStart w:id="1346" w:name="bookmark1837"/>
      <w:r>
        <w:rPr>
          <w:color w:val="auto"/>
          <w:sz w:val="24"/>
          <w:szCs w:val="24"/>
          <w:highlight w:val="none"/>
          <w:lang w:eastAsia="zh-CN"/>
        </w:rPr>
        <w:t>19.1缺陷责任期（工程质量保修期）的起算时间</w:t>
      </w:r>
      <w:bookmarkEnd w:id="1344"/>
      <w:bookmarkEnd w:id="1345"/>
      <w:bookmarkEnd w:id="1346"/>
    </w:p>
    <w:p>
      <w:pPr>
        <w:pStyle w:val="45"/>
        <w:spacing w:after="260" w:line="348" w:lineRule="exact"/>
        <w:ind w:firstLine="440"/>
        <w:jc w:val="both"/>
        <w:rPr>
          <w:color w:val="auto"/>
          <w:sz w:val="24"/>
          <w:szCs w:val="24"/>
          <w:highlight w:val="none"/>
        </w:rPr>
      </w:pPr>
      <w:r>
        <w:rPr>
          <w:color w:val="auto"/>
          <w:sz w:val="24"/>
          <w:szCs w:val="24"/>
          <w:highlight w:val="none"/>
        </w:rPr>
        <w:t>本工程缺陷责任期（工程质量保修）计算如下：起算日按通用条款</w:t>
      </w:r>
      <w:r>
        <w:rPr>
          <w:rFonts w:ascii="Times New Roman" w:hAnsi="Times New Roman" w:eastAsia="Times New Roman" w:cs="Times New Roman"/>
          <w:color w:val="auto"/>
          <w:sz w:val="24"/>
          <w:szCs w:val="24"/>
          <w:highlight w:val="none"/>
          <w:lang w:val="en-US" w:bidi="en-US"/>
        </w:rPr>
        <w:t>19.1</w:t>
      </w:r>
      <w:r>
        <w:rPr>
          <w:color w:val="auto"/>
          <w:sz w:val="24"/>
          <w:szCs w:val="24"/>
          <w:highlight w:val="none"/>
        </w:rPr>
        <w:t>和</w:t>
      </w:r>
      <w:r>
        <w:rPr>
          <w:rFonts w:ascii="Times New Roman" w:hAnsi="Times New Roman" w:eastAsia="Times New Roman" w:cs="Times New Roman"/>
          <w:color w:val="auto"/>
          <w:sz w:val="24"/>
          <w:szCs w:val="24"/>
          <w:highlight w:val="none"/>
          <w:lang w:val="en-US" w:bidi="en-US"/>
        </w:rPr>
        <w:t>19.</w:t>
      </w:r>
      <w:r>
        <w:rPr>
          <w:rFonts w:ascii="Times New Roman" w:hAnsi="Times New Roman" w:eastAsia="Times New Roman" w:cs="Times New Roman"/>
          <w:color w:val="auto"/>
          <w:sz w:val="24"/>
          <w:szCs w:val="24"/>
          <w:highlight w:val="none"/>
        </w:rPr>
        <w:t>7</w:t>
      </w:r>
      <w:r>
        <w:rPr>
          <w:color w:val="auto"/>
          <w:sz w:val="24"/>
          <w:szCs w:val="24"/>
          <w:highlight w:val="none"/>
        </w:rPr>
        <w:t>的约定，终止日按专用条款</w:t>
      </w:r>
      <w:r>
        <w:rPr>
          <w:rFonts w:ascii="Times New Roman" w:hAnsi="Times New Roman" w:eastAsia="Times New Roman" w:cs="Times New Roman"/>
          <w:color w:val="auto"/>
          <w:sz w:val="24"/>
          <w:szCs w:val="24"/>
          <w:highlight w:val="none"/>
          <w:lang w:val="en-US" w:bidi="en-US"/>
        </w:rPr>
        <w:t>1.1.4.5</w:t>
      </w:r>
      <w:r>
        <w:rPr>
          <w:color w:val="auto"/>
          <w:sz w:val="24"/>
          <w:szCs w:val="24"/>
          <w:highlight w:val="none"/>
        </w:rPr>
        <w:t>约定。</w:t>
      </w:r>
    </w:p>
    <w:p>
      <w:pPr>
        <w:pStyle w:val="6"/>
        <w:ind w:left="0" w:leftChars="0" w:firstLine="0" w:firstLineChars="0"/>
        <w:jc w:val="both"/>
        <w:rPr>
          <w:color w:val="auto"/>
          <w:sz w:val="24"/>
          <w:szCs w:val="24"/>
          <w:highlight w:val="none"/>
          <w:lang w:eastAsia="zh-CN"/>
        </w:rPr>
      </w:pPr>
      <w:r>
        <w:rPr>
          <w:color w:val="auto"/>
          <w:sz w:val="24"/>
          <w:szCs w:val="24"/>
          <w:highlight w:val="none"/>
          <w:lang w:eastAsia="zh-CN"/>
        </w:rPr>
        <w:t>19.</w:t>
      </w:r>
      <w:r>
        <w:rPr>
          <w:rFonts w:hint="eastAsia"/>
          <w:color w:val="auto"/>
          <w:sz w:val="24"/>
          <w:szCs w:val="24"/>
          <w:highlight w:val="none"/>
          <w:lang w:eastAsia="zh-CN"/>
        </w:rPr>
        <w:t>7保修责任</w:t>
      </w:r>
    </w:p>
    <w:p>
      <w:pPr>
        <w:pStyle w:val="45"/>
        <w:spacing w:line="360" w:lineRule="exact"/>
        <w:ind w:firstLine="420"/>
        <w:jc w:val="both"/>
        <w:rPr>
          <w:rFonts w:hint="eastAsia"/>
          <w:color w:val="auto"/>
          <w:sz w:val="24"/>
          <w:szCs w:val="24"/>
          <w:highlight w:val="none"/>
          <w:lang w:val="en-US"/>
        </w:rPr>
      </w:pPr>
      <w:r>
        <w:rPr>
          <w:color w:val="auto"/>
          <w:sz w:val="24"/>
          <w:szCs w:val="24"/>
          <w:highlight w:val="none"/>
        </w:rPr>
        <w:t>本</w:t>
      </w:r>
      <w:r>
        <w:rPr>
          <w:rFonts w:hint="eastAsia"/>
          <w:color w:val="auto"/>
          <w:sz w:val="24"/>
          <w:szCs w:val="24"/>
          <w:highlight w:val="none"/>
        </w:rPr>
        <w:t>合同</w:t>
      </w:r>
      <w:r>
        <w:rPr>
          <w:color w:val="auto"/>
          <w:sz w:val="24"/>
          <w:szCs w:val="24"/>
          <w:highlight w:val="none"/>
        </w:rPr>
        <w:t>工程</w:t>
      </w:r>
      <w:r>
        <w:rPr>
          <w:rFonts w:hint="eastAsia"/>
          <w:color w:val="auto"/>
          <w:sz w:val="24"/>
          <w:szCs w:val="24"/>
          <w:highlight w:val="none"/>
        </w:rPr>
        <w:t>的保修期为：</w:t>
      </w:r>
      <w:r>
        <w:rPr>
          <w:rFonts w:hint="eastAsia"/>
          <w:color w:val="auto"/>
          <w:sz w:val="24"/>
          <w:szCs w:val="24"/>
          <w:highlight w:val="none"/>
          <w:u w:val="single"/>
          <w:lang w:val="en-US"/>
        </w:rPr>
        <w:t xml:space="preserve"> 起算日按通用条款19.1和19. 7的约定</w:t>
      </w:r>
      <w:r>
        <w:rPr>
          <w:rFonts w:hint="eastAsia"/>
          <w:color w:val="auto"/>
          <w:sz w:val="24"/>
          <w:szCs w:val="24"/>
          <w:highlight w:val="none"/>
          <w:u w:val="single"/>
          <w:lang w:val="en-US" w:eastAsia="zh-CN"/>
        </w:rPr>
        <w:t>，工程缺陷责任期：12个月</w:t>
      </w:r>
      <w:r>
        <w:rPr>
          <w:rFonts w:hint="eastAsia"/>
          <w:color w:val="auto"/>
          <w:sz w:val="24"/>
          <w:szCs w:val="24"/>
          <w:highlight w:val="none"/>
          <w:u w:val="single"/>
          <w:lang w:val="en-US"/>
        </w:rPr>
        <w:t xml:space="preserve"> </w:t>
      </w:r>
      <w:r>
        <w:rPr>
          <w:rFonts w:hint="eastAsia"/>
          <w:color w:val="auto"/>
          <w:sz w:val="24"/>
          <w:szCs w:val="24"/>
          <w:highlight w:val="none"/>
          <w:lang w:val="en-US"/>
        </w:rPr>
        <w:t>；</w:t>
      </w:r>
    </w:p>
    <w:p>
      <w:pPr>
        <w:pStyle w:val="45"/>
        <w:spacing w:line="360" w:lineRule="exact"/>
        <w:ind w:firstLine="420"/>
        <w:jc w:val="both"/>
        <w:rPr>
          <w:rFonts w:hint="eastAsia"/>
          <w:color w:val="auto"/>
          <w:sz w:val="24"/>
          <w:szCs w:val="24"/>
          <w:highlight w:val="none"/>
          <w:lang w:val="en-US"/>
        </w:rPr>
      </w:pPr>
      <w:r>
        <w:rPr>
          <w:rFonts w:hint="eastAsia"/>
          <w:color w:val="auto"/>
          <w:sz w:val="24"/>
          <w:szCs w:val="24"/>
          <w:highlight w:val="none"/>
          <w:lang w:val="en-US"/>
        </w:rPr>
        <w:t>保修范围：</w:t>
      </w:r>
      <w:r>
        <w:rPr>
          <w:rFonts w:hint="eastAsia"/>
          <w:color w:val="auto"/>
          <w:sz w:val="24"/>
          <w:szCs w:val="24"/>
          <w:highlight w:val="none"/>
          <w:u w:val="single"/>
          <w:lang w:val="en-US"/>
        </w:rPr>
        <w:t xml:space="preserve">  </w:t>
      </w:r>
      <w:r>
        <w:rPr>
          <w:rFonts w:hint="eastAsia"/>
          <w:color w:val="auto"/>
          <w:sz w:val="24"/>
          <w:szCs w:val="24"/>
          <w:highlight w:val="none"/>
          <w:u w:val="single"/>
          <w:lang w:val="en-US" w:eastAsia="zh-CN"/>
        </w:rPr>
        <w:t>所有施工内容</w:t>
      </w:r>
      <w:r>
        <w:rPr>
          <w:rFonts w:hint="eastAsia"/>
          <w:color w:val="auto"/>
          <w:sz w:val="24"/>
          <w:szCs w:val="24"/>
          <w:highlight w:val="none"/>
          <w:u w:val="single"/>
          <w:lang w:val="en-US"/>
        </w:rPr>
        <w:t xml:space="preserve"> </w:t>
      </w:r>
      <w:r>
        <w:rPr>
          <w:rFonts w:hint="eastAsia"/>
          <w:color w:val="auto"/>
          <w:sz w:val="24"/>
          <w:szCs w:val="24"/>
          <w:highlight w:val="none"/>
          <w:lang w:val="en-US"/>
        </w:rPr>
        <w:t>。</w:t>
      </w:r>
    </w:p>
    <w:p>
      <w:pPr>
        <w:pStyle w:val="45"/>
        <w:spacing w:line="360" w:lineRule="exact"/>
        <w:ind w:firstLine="420"/>
        <w:jc w:val="both"/>
        <w:rPr>
          <w:color w:val="auto"/>
          <w:sz w:val="24"/>
          <w:szCs w:val="24"/>
          <w:highlight w:val="none"/>
          <w:lang w:val="en-US"/>
        </w:rPr>
      </w:pPr>
      <w:r>
        <w:rPr>
          <w:rFonts w:hint="eastAsia"/>
          <w:color w:val="auto"/>
          <w:sz w:val="24"/>
          <w:szCs w:val="24"/>
          <w:highlight w:val="none"/>
          <w:lang w:val="en-US"/>
        </w:rPr>
        <w:t>保修责任：由承包人负责并承担相关的一切费用。</w:t>
      </w:r>
    </w:p>
    <w:p>
      <w:pPr>
        <w:pStyle w:val="5"/>
        <w:spacing w:line="360" w:lineRule="exact"/>
        <w:jc w:val="both"/>
        <w:rPr>
          <w:rFonts w:hint="eastAsia"/>
          <w:color w:val="auto"/>
          <w:sz w:val="24"/>
          <w:szCs w:val="24"/>
          <w:highlight w:val="none"/>
          <w:lang w:eastAsia="zh-CN"/>
        </w:rPr>
      </w:pPr>
      <w:bookmarkStart w:id="1347" w:name="bookmark1840"/>
      <w:bookmarkEnd w:id="1347"/>
      <w:bookmarkStart w:id="1348" w:name="_Toc14448"/>
      <w:bookmarkStart w:id="1349" w:name="_Toc5968"/>
      <w:bookmarkStart w:id="1350" w:name="_Toc1232196276"/>
      <w:bookmarkStart w:id="1351" w:name="bookmark1841"/>
      <w:bookmarkStart w:id="1352" w:name="_Toc3197"/>
      <w:bookmarkStart w:id="1353" w:name="bookmark1838"/>
      <w:bookmarkStart w:id="1354" w:name="bookmark1839"/>
      <w:r>
        <w:rPr>
          <w:rFonts w:hint="eastAsia"/>
          <w:color w:val="auto"/>
          <w:sz w:val="24"/>
          <w:szCs w:val="24"/>
          <w:highlight w:val="none"/>
          <w:lang w:eastAsia="zh-CN"/>
        </w:rPr>
        <w:t>20. 保险</w:t>
      </w:r>
      <w:bookmarkEnd w:id="1348"/>
      <w:bookmarkEnd w:id="1349"/>
      <w:bookmarkEnd w:id="1350"/>
      <w:bookmarkEnd w:id="1351"/>
      <w:bookmarkEnd w:id="1352"/>
    </w:p>
    <w:p>
      <w:pPr>
        <w:pStyle w:val="6"/>
        <w:ind w:left="0" w:leftChars="0" w:firstLine="0" w:firstLineChars="0"/>
        <w:jc w:val="both"/>
        <w:rPr>
          <w:color w:val="auto"/>
          <w:sz w:val="24"/>
          <w:szCs w:val="24"/>
          <w:highlight w:val="none"/>
          <w:lang w:eastAsia="zh-CN"/>
        </w:rPr>
      </w:pPr>
      <w:bookmarkStart w:id="1355" w:name="bookmark1842"/>
      <w:r>
        <w:rPr>
          <w:color w:val="auto"/>
          <w:sz w:val="24"/>
          <w:szCs w:val="24"/>
          <w:highlight w:val="none"/>
          <w:lang w:eastAsia="zh-CN"/>
        </w:rPr>
        <w:t>20.1工程保险</w:t>
      </w:r>
      <w:bookmarkEnd w:id="1353"/>
      <w:bookmarkEnd w:id="1354"/>
      <w:bookmarkEnd w:id="1355"/>
    </w:p>
    <w:p>
      <w:pPr>
        <w:pStyle w:val="45"/>
        <w:spacing w:after="260" w:line="348" w:lineRule="exact"/>
        <w:ind w:firstLine="440"/>
        <w:jc w:val="both"/>
        <w:rPr>
          <w:color w:val="auto"/>
          <w:sz w:val="24"/>
          <w:szCs w:val="24"/>
          <w:highlight w:val="none"/>
        </w:rPr>
      </w:pPr>
      <w:r>
        <w:rPr>
          <w:color w:val="auto"/>
          <w:sz w:val="24"/>
          <w:szCs w:val="24"/>
          <w:highlight w:val="none"/>
        </w:rPr>
        <w:t>建筑工程一切险和（或）安装工程一切险投保人：</w:t>
      </w:r>
      <w:r>
        <w:rPr>
          <w:rFonts w:hint="eastAsia"/>
          <w:color w:val="auto"/>
          <w:sz w:val="24"/>
          <w:szCs w:val="24"/>
          <w:highlight w:val="none"/>
          <w:u w:val="single"/>
        </w:rPr>
        <w:t xml:space="preserve"> </w:t>
      </w:r>
      <w:r>
        <w:rPr>
          <w:rFonts w:hint="eastAsia"/>
          <w:color w:val="auto"/>
          <w:sz w:val="24"/>
          <w:szCs w:val="24"/>
          <w:highlight w:val="none"/>
          <w:u w:val="single"/>
          <w:lang w:eastAsia="zh-CN"/>
        </w:rPr>
        <w:t>承包人</w:t>
      </w:r>
      <w:r>
        <w:rPr>
          <w:rFonts w:hint="eastAsia"/>
          <w:color w:val="auto"/>
          <w:sz w:val="24"/>
          <w:szCs w:val="24"/>
          <w:highlight w:val="none"/>
          <w:u w:val="single"/>
          <w:lang w:val="en-US"/>
        </w:rPr>
        <w:t xml:space="preserve"> </w:t>
      </w:r>
      <w:r>
        <w:rPr>
          <w:rFonts w:hint="eastAsia"/>
          <w:color w:val="auto"/>
          <w:sz w:val="24"/>
          <w:szCs w:val="24"/>
          <w:highlight w:val="none"/>
          <w:u w:val="single"/>
        </w:rPr>
        <w:t xml:space="preserve"> </w:t>
      </w:r>
      <w:r>
        <w:rPr>
          <w:color w:val="auto"/>
          <w:sz w:val="24"/>
          <w:szCs w:val="24"/>
          <w:highlight w:val="none"/>
        </w:rPr>
        <w:t>； 投保内容：</w:t>
      </w:r>
      <w:r>
        <w:rPr>
          <w:rFonts w:hint="eastAsia"/>
          <w:color w:val="auto"/>
          <w:sz w:val="24"/>
          <w:szCs w:val="24"/>
          <w:highlight w:val="none"/>
          <w:u w:val="single"/>
        </w:rPr>
        <w:t xml:space="preserve"> 建筑意外伤害保险和工伤保险 </w:t>
      </w:r>
      <w:r>
        <w:rPr>
          <w:rFonts w:hint="eastAsia"/>
          <w:color w:val="auto"/>
          <w:sz w:val="24"/>
          <w:szCs w:val="24"/>
          <w:highlight w:val="none"/>
        </w:rPr>
        <w:t>；</w:t>
      </w:r>
      <w:r>
        <w:rPr>
          <w:color w:val="auto"/>
          <w:sz w:val="24"/>
          <w:szCs w:val="24"/>
          <w:highlight w:val="none"/>
        </w:rPr>
        <w:t xml:space="preserve"> 保险金额、保险费率</w:t>
      </w:r>
      <w:r>
        <w:rPr>
          <w:rFonts w:hint="eastAsia"/>
          <w:color w:val="auto"/>
          <w:sz w:val="24"/>
          <w:szCs w:val="24"/>
          <w:highlight w:val="none"/>
          <w:lang w:eastAsia="zh-CN"/>
        </w:rPr>
        <w:t>：</w:t>
      </w:r>
      <w:r>
        <w:rPr>
          <w:rFonts w:hint="eastAsia"/>
          <w:color w:val="auto"/>
          <w:sz w:val="24"/>
          <w:szCs w:val="24"/>
          <w:highlight w:val="none"/>
          <w:u w:val="single"/>
        </w:rPr>
        <w:t>保险金额按建筑意外伤害保险及工伤保险相关规定投保</w:t>
      </w:r>
      <w:r>
        <w:rPr>
          <w:rFonts w:hint="eastAsia"/>
          <w:color w:val="auto"/>
          <w:sz w:val="24"/>
          <w:szCs w:val="24"/>
          <w:highlight w:val="none"/>
          <w:u w:val="single"/>
          <w:lang w:eastAsia="zh-CN"/>
        </w:rPr>
        <w:t>，</w:t>
      </w:r>
      <w:r>
        <w:rPr>
          <w:color w:val="auto"/>
          <w:sz w:val="24"/>
          <w:szCs w:val="24"/>
          <w:highlight w:val="none"/>
        </w:rPr>
        <w:t>保险期限:</w:t>
      </w:r>
      <w:r>
        <w:rPr>
          <w:rFonts w:hint="eastAsia"/>
          <w:color w:val="auto"/>
          <w:sz w:val="24"/>
          <w:szCs w:val="24"/>
          <w:highlight w:val="none"/>
        </w:rPr>
        <w:t xml:space="preserve"> </w:t>
      </w:r>
      <w:r>
        <w:rPr>
          <w:rFonts w:hint="eastAsia"/>
          <w:color w:val="auto"/>
          <w:sz w:val="24"/>
          <w:szCs w:val="24"/>
          <w:highlight w:val="none"/>
          <w:u w:val="single"/>
        </w:rPr>
        <w:t xml:space="preserve"> 保险期限自投保之日（工程开工之日）起至工程竣工（或投入使用）验收时止，时间上涵盖施工全过程的任一时段</w:t>
      </w:r>
      <w:r>
        <w:rPr>
          <w:rFonts w:hint="eastAsia"/>
          <w:color w:val="auto"/>
          <w:sz w:val="24"/>
          <w:szCs w:val="24"/>
          <w:highlight w:val="none"/>
          <w:lang w:val="en-US"/>
        </w:rPr>
        <w:t>。</w:t>
      </w:r>
    </w:p>
    <w:p>
      <w:pPr>
        <w:pStyle w:val="6"/>
        <w:ind w:left="0" w:leftChars="0" w:firstLine="0" w:firstLineChars="0"/>
        <w:jc w:val="both"/>
        <w:rPr>
          <w:color w:val="auto"/>
          <w:sz w:val="24"/>
          <w:szCs w:val="24"/>
          <w:highlight w:val="none"/>
          <w:lang w:eastAsia="zh-CN"/>
        </w:rPr>
      </w:pPr>
      <w:bookmarkStart w:id="1356" w:name="bookmark1844"/>
      <w:bookmarkStart w:id="1357" w:name="bookmark1843"/>
      <w:bookmarkStart w:id="1358" w:name="bookmark1845"/>
      <w:r>
        <w:rPr>
          <w:color w:val="auto"/>
          <w:sz w:val="24"/>
          <w:szCs w:val="24"/>
          <w:highlight w:val="none"/>
          <w:lang w:eastAsia="zh-CN"/>
        </w:rPr>
        <w:t>20.4第三者责任险</w:t>
      </w:r>
      <w:bookmarkEnd w:id="1356"/>
      <w:bookmarkEnd w:id="1357"/>
      <w:bookmarkEnd w:id="1358"/>
    </w:p>
    <w:p>
      <w:pPr>
        <w:pStyle w:val="45"/>
        <w:tabs>
          <w:tab w:val="left" w:pos="8225"/>
        </w:tabs>
        <w:spacing w:after="120" w:line="362" w:lineRule="exact"/>
        <w:ind w:left="420" w:firstLine="2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 xml:space="preserve">20.4.2 </w:t>
      </w:r>
      <w:r>
        <w:rPr>
          <w:color w:val="auto"/>
          <w:sz w:val="24"/>
          <w:szCs w:val="24"/>
          <w:highlight w:val="none"/>
        </w:rPr>
        <w:t>第三者责任险保险费率：</w:t>
      </w:r>
      <w:r>
        <w:rPr>
          <w:rFonts w:hint="eastAsia"/>
          <w:color w:val="auto"/>
          <w:sz w:val="24"/>
          <w:szCs w:val="24"/>
          <w:highlight w:val="none"/>
          <w:u w:val="single"/>
        </w:rPr>
        <w:t xml:space="preserve">  由承包人自行投保 </w:t>
      </w:r>
      <w:r>
        <w:rPr>
          <w:rFonts w:hint="eastAsia"/>
          <w:color w:val="auto"/>
          <w:sz w:val="24"/>
          <w:szCs w:val="24"/>
          <w:highlight w:val="none"/>
        </w:rPr>
        <w:t>；</w:t>
      </w:r>
      <w:r>
        <w:rPr>
          <w:color w:val="auto"/>
          <w:sz w:val="24"/>
          <w:szCs w:val="24"/>
          <w:highlight w:val="none"/>
        </w:rPr>
        <w:t xml:space="preserve"> 第三者责任险保险金额：</w:t>
      </w:r>
      <w:r>
        <w:rPr>
          <w:rFonts w:hint="eastAsia"/>
          <w:color w:val="auto"/>
          <w:sz w:val="24"/>
          <w:szCs w:val="24"/>
          <w:highlight w:val="none"/>
          <w:u w:val="single"/>
        </w:rPr>
        <w:t xml:space="preserve">  由承包人自行投保   </w:t>
      </w:r>
      <w:r>
        <w:rPr>
          <w:rFonts w:hint="eastAsia" w:ascii="Times New Roman" w:hAnsi="Times New Roman" w:cs="Times New Roman"/>
          <w:color w:val="auto"/>
          <w:sz w:val="24"/>
          <w:szCs w:val="24"/>
          <w:highlight w:val="none"/>
          <w:lang w:val="en-US" w:bidi="en-US"/>
        </w:rPr>
        <w:t>。</w:t>
      </w:r>
    </w:p>
    <w:p>
      <w:pPr>
        <w:pStyle w:val="6"/>
        <w:ind w:left="0" w:leftChars="0" w:firstLine="0" w:firstLineChars="0"/>
        <w:jc w:val="both"/>
        <w:rPr>
          <w:color w:val="auto"/>
          <w:sz w:val="24"/>
          <w:szCs w:val="24"/>
          <w:highlight w:val="none"/>
          <w:lang w:eastAsia="zh-CN"/>
        </w:rPr>
      </w:pPr>
      <w:bookmarkStart w:id="1359" w:name="bookmark1846"/>
      <w:bookmarkStart w:id="1360" w:name="bookmark1847"/>
      <w:bookmarkStart w:id="1361" w:name="bookmark1848"/>
      <w:r>
        <w:rPr>
          <w:color w:val="auto"/>
          <w:sz w:val="24"/>
          <w:szCs w:val="24"/>
          <w:highlight w:val="none"/>
          <w:lang w:eastAsia="zh-CN"/>
        </w:rPr>
        <w:t>20.5其他保险</w:t>
      </w:r>
      <w:bookmarkEnd w:id="1359"/>
      <w:bookmarkEnd w:id="1360"/>
      <w:bookmarkEnd w:id="1361"/>
    </w:p>
    <w:p>
      <w:pPr>
        <w:pStyle w:val="45"/>
        <w:tabs>
          <w:tab w:val="left" w:pos="8220"/>
        </w:tabs>
        <w:spacing w:after="120" w:line="346" w:lineRule="exact"/>
        <w:ind w:left="420" w:firstLine="20"/>
        <w:jc w:val="both"/>
        <w:rPr>
          <w:color w:val="auto"/>
          <w:sz w:val="24"/>
          <w:szCs w:val="24"/>
          <w:highlight w:val="none"/>
        </w:rPr>
      </w:pPr>
      <w:r>
        <w:rPr>
          <w:color w:val="auto"/>
          <w:sz w:val="24"/>
          <w:szCs w:val="24"/>
          <w:highlight w:val="none"/>
        </w:rPr>
        <w:t>需要投保的其他内容：</w:t>
      </w:r>
      <w:r>
        <w:rPr>
          <w:rFonts w:hint="eastAsia"/>
          <w:color w:val="auto"/>
          <w:sz w:val="24"/>
          <w:szCs w:val="24"/>
          <w:highlight w:val="none"/>
          <w:u w:val="single"/>
        </w:rPr>
        <w:t xml:space="preserve">  由承包人自行投保  </w:t>
      </w:r>
      <w:r>
        <w:rPr>
          <w:rFonts w:hint="eastAsia"/>
          <w:color w:val="auto"/>
          <w:sz w:val="24"/>
          <w:szCs w:val="24"/>
          <w:highlight w:val="none"/>
        </w:rPr>
        <w:t>；</w:t>
      </w:r>
      <w:r>
        <w:rPr>
          <w:color w:val="auto"/>
          <w:sz w:val="24"/>
          <w:szCs w:val="24"/>
          <w:highlight w:val="none"/>
        </w:rPr>
        <w:t>保险金额、保险费率和保险期限：</w:t>
      </w:r>
      <w:r>
        <w:rPr>
          <w:rFonts w:hint="eastAsia"/>
          <w:color w:val="auto"/>
          <w:sz w:val="24"/>
          <w:szCs w:val="24"/>
          <w:highlight w:val="none"/>
          <w:u w:val="single"/>
        </w:rPr>
        <w:t xml:space="preserve">由承包人自行投保  </w:t>
      </w:r>
      <w:r>
        <w:rPr>
          <w:rFonts w:hint="eastAsia"/>
          <w:color w:val="auto"/>
          <w:sz w:val="24"/>
          <w:szCs w:val="24"/>
          <w:highlight w:val="none"/>
        </w:rPr>
        <w:t>；</w:t>
      </w:r>
    </w:p>
    <w:p>
      <w:pPr>
        <w:pStyle w:val="6"/>
        <w:ind w:left="0" w:leftChars="0" w:firstLine="0" w:firstLineChars="0"/>
        <w:jc w:val="both"/>
        <w:rPr>
          <w:color w:val="auto"/>
          <w:sz w:val="24"/>
          <w:szCs w:val="24"/>
          <w:highlight w:val="none"/>
          <w:lang w:eastAsia="zh-CN"/>
        </w:rPr>
      </w:pPr>
      <w:bookmarkStart w:id="1362" w:name="bookmark1851"/>
      <w:bookmarkStart w:id="1363" w:name="bookmark1849"/>
      <w:bookmarkStart w:id="1364" w:name="bookmark1850"/>
      <w:r>
        <w:rPr>
          <w:color w:val="auto"/>
          <w:sz w:val="24"/>
          <w:szCs w:val="24"/>
          <w:highlight w:val="none"/>
          <w:lang w:eastAsia="zh-CN"/>
        </w:rPr>
        <w:t>20.6对各项保险的一般要求</w:t>
      </w:r>
      <w:bookmarkEnd w:id="1362"/>
      <w:bookmarkEnd w:id="1363"/>
      <w:bookmarkEnd w:id="1364"/>
    </w:p>
    <w:p>
      <w:pPr>
        <w:pStyle w:val="45"/>
        <w:spacing w:line="346" w:lineRule="exact"/>
        <w:ind w:firstLine="42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20.6.1保险凭证</w:t>
      </w:r>
    </w:p>
    <w:p>
      <w:pPr>
        <w:pStyle w:val="45"/>
        <w:tabs>
          <w:tab w:val="left" w:pos="8220"/>
        </w:tabs>
        <w:spacing w:line="346" w:lineRule="exact"/>
        <w:ind w:left="420" w:firstLine="20"/>
        <w:jc w:val="both"/>
        <w:rPr>
          <w:rFonts w:ascii="Times New Roman" w:hAnsi="Times New Roman" w:cs="Times New Roman"/>
          <w:color w:val="auto"/>
          <w:sz w:val="24"/>
          <w:szCs w:val="24"/>
          <w:highlight w:val="none"/>
        </w:rPr>
      </w:pPr>
      <w:r>
        <w:rPr>
          <w:rFonts w:ascii="Times New Roman" w:hAnsi="Times New Roman" w:cs="Times New Roman"/>
          <w:color w:val="auto"/>
          <w:sz w:val="24"/>
          <w:szCs w:val="24"/>
          <w:highlight w:val="none"/>
        </w:rPr>
        <w:t>承包人提交保险凭证的期限：</w:t>
      </w:r>
      <w:r>
        <w:rPr>
          <w:rFonts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rPr>
        <w:t>签订合同之日起15天内</w:t>
      </w:r>
      <w:r>
        <w:rPr>
          <w:rFonts w:ascii="Times New Roman" w:hAnsi="Times New Roman" w:cs="Times New Roman"/>
          <w:color w:val="auto"/>
          <w:sz w:val="24"/>
          <w:szCs w:val="24"/>
          <w:highlight w:val="none"/>
          <w:u w:val="single"/>
        </w:rPr>
        <w:t xml:space="preserve">  </w:t>
      </w:r>
      <w:r>
        <w:rPr>
          <w:rFonts w:ascii="Times New Roman" w:hAnsi="Times New Roman" w:cs="Times New Roman"/>
          <w:color w:val="auto"/>
          <w:sz w:val="24"/>
          <w:szCs w:val="24"/>
          <w:highlight w:val="none"/>
        </w:rPr>
        <w:t>； 保险条件：</w:t>
      </w:r>
      <w:r>
        <w:rPr>
          <w:rFonts w:ascii="Times New Roman" w:hAnsi="Times New Roman" w:cs="Times New Roman"/>
          <w:color w:val="auto"/>
          <w:sz w:val="24"/>
          <w:szCs w:val="24"/>
          <w:highlight w:val="none"/>
          <w:u w:val="single"/>
        </w:rPr>
        <w:t xml:space="preserve">  </w:t>
      </w:r>
      <w:r>
        <w:rPr>
          <w:rFonts w:hint="eastAsia" w:ascii="Times New Roman" w:hAnsi="Times New Roman" w:cs="Times New Roman"/>
          <w:color w:val="auto"/>
          <w:sz w:val="24"/>
          <w:szCs w:val="24"/>
          <w:highlight w:val="none"/>
          <w:u w:val="single"/>
        </w:rPr>
        <w:t xml:space="preserve">按相关规定执行 </w:t>
      </w:r>
      <w:r>
        <w:rPr>
          <w:rFonts w:ascii="Times New Roman" w:hAnsi="Times New Roman" w:cs="Times New Roman"/>
          <w:color w:val="auto"/>
          <w:sz w:val="24"/>
          <w:szCs w:val="24"/>
          <w:highlight w:val="none"/>
          <w:u w:val="single"/>
        </w:rPr>
        <w:t xml:space="preserve"> </w:t>
      </w:r>
      <w:r>
        <w:rPr>
          <w:rFonts w:ascii="Times New Roman" w:hAnsi="Times New Roman" w:cs="Times New Roman"/>
          <w:color w:val="auto"/>
          <w:sz w:val="24"/>
          <w:szCs w:val="24"/>
          <w:highlight w:val="none"/>
        </w:rPr>
        <w:t>。</w:t>
      </w:r>
    </w:p>
    <w:p>
      <w:pPr>
        <w:pStyle w:val="45"/>
        <w:spacing w:line="346" w:lineRule="exact"/>
        <w:ind w:firstLine="420"/>
        <w:jc w:val="both"/>
        <w:rPr>
          <w:rFonts w:ascii="Times New Roman" w:hAnsi="Times New Roman" w:cs="Times New Roman"/>
          <w:color w:val="auto"/>
          <w:sz w:val="24"/>
          <w:szCs w:val="24"/>
          <w:highlight w:val="none"/>
        </w:rPr>
      </w:pPr>
      <w:r>
        <w:rPr>
          <w:rFonts w:ascii="Times New Roman" w:hAnsi="Times New Roman" w:eastAsia="Times New Roman" w:cs="Times New Roman"/>
          <w:color w:val="auto"/>
          <w:sz w:val="24"/>
          <w:szCs w:val="24"/>
          <w:highlight w:val="none"/>
          <w:lang w:val="en-US" w:bidi="en-US"/>
        </w:rPr>
        <w:t>20. 6</w:t>
      </w:r>
      <w:r>
        <w:rPr>
          <w:rFonts w:hint="eastAsia" w:ascii="Times New Roman" w:hAnsi="Times New Roman" w:cs="Times New Roman"/>
          <w:color w:val="auto"/>
          <w:sz w:val="24"/>
          <w:szCs w:val="24"/>
          <w:highlight w:val="none"/>
          <w:lang w:val="en-US" w:bidi="en-US"/>
        </w:rPr>
        <w:t>.</w:t>
      </w:r>
      <w:r>
        <w:rPr>
          <w:rFonts w:ascii="Times New Roman" w:hAnsi="Times New Roman" w:eastAsia="Times New Roman" w:cs="Times New Roman"/>
          <w:color w:val="auto"/>
          <w:sz w:val="24"/>
          <w:szCs w:val="24"/>
          <w:highlight w:val="none"/>
        </w:rPr>
        <w:t>4</w:t>
      </w:r>
      <w:r>
        <w:rPr>
          <w:rFonts w:ascii="Times New Roman" w:hAnsi="Times New Roman" w:cs="Times New Roman"/>
          <w:color w:val="auto"/>
          <w:sz w:val="24"/>
          <w:szCs w:val="24"/>
          <w:highlight w:val="none"/>
        </w:rPr>
        <w:t>保险金不足的补偿</w:t>
      </w:r>
    </w:p>
    <w:p>
      <w:pPr>
        <w:pStyle w:val="45"/>
        <w:tabs>
          <w:tab w:val="left" w:pos="8215"/>
          <w:tab w:val="left" w:pos="8218"/>
        </w:tabs>
        <w:spacing w:after="260" w:line="350" w:lineRule="exact"/>
        <w:ind w:left="420" w:firstLine="20"/>
        <w:jc w:val="both"/>
        <w:rPr>
          <w:color w:val="auto"/>
          <w:sz w:val="24"/>
          <w:szCs w:val="24"/>
          <w:highlight w:val="none"/>
        </w:rPr>
      </w:pPr>
      <w:r>
        <w:rPr>
          <w:rFonts w:ascii="Times New Roman" w:hAnsi="Times New Roman" w:cs="Times New Roman"/>
          <w:color w:val="auto"/>
          <w:sz w:val="24"/>
          <w:szCs w:val="24"/>
          <w:highlight w:val="none"/>
        </w:rPr>
        <w:t>承包人负责补偿的范围</w:t>
      </w:r>
      <w:r>
        <w:rPr>
          <w:color w:val="auto"/>
          <w:sz w:val="24"/>
          <w:szCs w:val="24"/>
          <w:highlight w:val="none"/>
        </w:rPr>
        <w:t>与金额：</w:t>
      </w:r>
      <w:r>
        <w:rPr>
          <w:rFonts w:hint="eastAsia"/>
          <w:color w:val="auto"/>
          <w:sz w:val="24"/>
          <w:szCs w:val="24"/>
          <w:highlight w:val="none"/>
          <w:u w:val="single"/>
        </w:rPr>
        <w:t xml:space="preserve"> 保险金额不足的补偿由承包人负责</w:t>
      </w:r>
      <w:r>
        <w:rPr>
          <w:rFonts w:hint="eastAsia" w:ascii="宋体" w:hAnsi="宋体" w:cs="宋体"/>
          <w:bCs/>
          <w:color w:val="auto"/>
          <w:kern w:val="0"/>
          <w:sz w:val="24"/>
          <w:szCs w:val="24"/>
          <w:highlight w:val="none"/>
          <w:u w:val="single"/>
        </w:rPr>
        <w:t xml:space="preserve"> </w:t>
      </w:r>
      <w:r>
        <w:rPr>
          <w:rFonts w:hint="eastAsia"/>
          <w:color w:val="auto"/>
          <w:sz w:val="24"/>
          <w:szCs w:val="24"/>
          <w:highlight w:val="none"/>
          <w:u w:val="single"/>
        </w:rPr>
        <w:t xml:space="preserve">  </w:t>
      </w:r>
      <w:r>
        <w:rPr>
          <w:color w:val="auto"/>
          <w:sz w:val="24"/>
          <w:szCs w:val="24"/>
          <w:highlight w:val="none"/>
        </w:rPr>
        <w:t>； 发包人负责补偿的范围与金额：</w:t>
      </w:r>
      <w:r>
        <w:rPr>
          <w:rFonts w:hint="eastAsia"/>
          <w:color w:val="auto"/>
          <w:sz w:val="24"/>
          <w:szCs w:val="24"/>
          <w:highlight w:val="none"/>
          <w:u w:val="single"/>
        </w:rPr>
        <w:t xml:space="preserve"> 由于本工程一切保险均有投标人负责投保，其费用均列入报价，故发包人不承担保险金不足的补偿 </w:t>
      </w:r>
      <w:r>
        <w:rPr>
          <w:rFonts w:hint="eastAsia" w:ascii="Times New Roman" w:hAnsi="Times New Roman" w:cs="Times New Roman"/>
          <w:color w:val="auto"/>
          <w:sz w:val="24"/>
          <w:szCs w:val="24"/>
          <w:highlight w:val="none"/>
          <w:lang w:val="en-US" w:bidi="en-US"/>
        </w:rPr>
        <w:t>。</w:t>
      </w:r>
    </w:p>
    <w:p>
      <w:pPr>
        <w:pStyle w:val="5"/>
        <w:spacing w:line="360" w:lineRule="exact"/>
        <w:jc w:val="both"/>
        <w:rPr>
          <w:rFonts w:hint="eastAsia"/>
          <w:color w:val="auto"/>
          <w:sz w:val="24"/>
          <w:szCs w:val="24"/>
          <w:highlight w:val="none"/>
          <w:lang w:eastAsia="zh-CN"/>
        </w:rPr>
      </w:pPr>
      <w:bookmarkStart w:id="1365" w:name="bookmark1854"/>
      <w:bookmarkEnd w:id="1365"/>
      <w:bookmarkStart w:id="1366" w:name="_Toc13129"/>
      <w:bookmarkStart w:id="1367" w:name="_Toc13643"/>
      <w:bookmarkStart w:id="1368" w:name="_Toc31045"/>
      <w:bookmarkStart w:id="1369" w:name="_Toc524831815"/>
      <w:bookmarkStart w:id="1370" w:name="bookmark1855"/>
      <w:bookmarkStart w:id="1371" w:name="bookmark1852"/>
      <w:bookmarkStart w:id="1372" w:name="bookmark1853"/>
      <w:r>
        <w:rPr>
          <w:rFonts w:hint="eastAsia"/>
          <w:color w:val="auto"/>
          <w:sz w:val="24"/>
          <w:szCs w:val="24"/>
          <w:highlight w:val="none"/>
          <w:lang w:eastAsia="zh-CN"/>
        </w:rPr>
        <w:t>21. 不可抗力</w:t>
      </w:r>
      <w:bookmarkEnd w:id="1366"/>
      <w:bookmarkEnd w:id="1367"/>
      <w:bookmarkEnd w:id="1368"/>
      <w:bookmarkEnd w:id="1369"/>
      <w:bookmarkEnd w:id="1370"/>
    </w:p>
    <w:p>
      <w:pPr>
        <w:pStyle w:val="6"/>
        <w:ind w:left="0" w:leftChars="0" w:firstLine="0" w:firstLineChars="0"/>
        <w:jc w:val="both"/>
        <w:rPr>
          <w:color w:val="auto"/>
          <w:sz w:val="24"/>
          <w:szCs w:val="24"/>
          <w:highlight w:val="none"/>
          <w:lang w:eastAsia="zh-CN"/>
        </w:rPr>
      </w:pPr>
      <w:bookmarkStart w:id="1373" w:name="bookmark1856"/>
      <w:r>
        <w:rPr>
          <w:color w:val="auto"/>
          <w:sz w:val="24"/>
          <w:szCs w:val="24"/>
          <w:highlight w:val="none"/>
          <w:lang w:eastAsia="zh-CN"/>
        </w:rPr>
        <w:t>21.1不可抗力的确认</w:t>
      </w:r>
      <w:bookmarkEnd w:id="1371"/>
      <w:bookmarkEnd w:id="1372"/>
      <w:bookmarkEnd w:id="1373"/>
    </w:p>
    <w:p>
      <w:pPr>
        <w:pStyle w:val="45"/>
        <w:spacing w:after="260" w:line="346" w:lineRule="exact"/>
        <w:ind w:firstLine="440"/>
        <w:jc w:val="both"/>
        <w:rPr>
          <w:color w:val="auto"/>
          <w:sz w:val="24"/>
          <w:szCs w:val="24"/>
          <w:highlight w:val="none"/>
        </w:rPr>
      </w:pPr>
      <w:r>
        <w:rPr>
          <w:rFonts w:ascii="Times New Roman" w:hAnsi="Times New Roman" w:eastAsia="Times New Roman" w:cs="Times New Roman"/>
          <w:color w:val="auto"/>
          <w:sz w:val="24"/>
          <w:szCs w:val="24"/>
          <w:highlight w:val="none"/>
          <w:lang w:val="en-US" w:bidi="en-US"/>
        </w:rPr>
        <w:t>21.1.1</w:t>
      </w:r>
      <w:r>
        <w:rPr>
          <w:rFonts w:ascii="Times New Roman" w:hAnsi="Times New Roman" w:cs="Times New Roman"/>
          <w:color w:val="auto"/>
          <w:sz w:val="24"/>
          <w:szCs w:val="24"/>
          <w:highlight w:val="none"/>
        </w:rPr>
        <w:t>不</w:t>
      </w:r>
      <w:r>
        <w:rPr>
          <w:color w:val="auto"/>
          <w:sz w:val="24"/>
          <w:szCs w:val="24"/>
          <w:highlight w:val="none"/>
        </w:rPr>
        <w:t>可抗力是指承包人和发包人在订立合同时不可预见，在工程施工过程中不可避免发生并不能克服的自然灾害和社会性突发事件，如地震、海啸、瘟疫、水灾、骚乱、 暴动、战争和本合同专用合同条款第</w:t>
      </w:r>
      <w:r>
        <w:rPr>
          <w:rFonts w:ascii="Times New Roman" w:hAnsi="Times New Roman" w:eastAsia="Times New Roman" w:cs="Times New Roman"/>
          <w:color w:val="auto"/>
          <w:sz w:val="24"/>
          <w:szCs w:val="24"/>
          <w:highlight w:val="none"/>
          <w:lang w:val="en-US" w:bidi="en-US"/>
        </w:rPr>
        <w:t xml:space="preserve">11. </w:t>
      </w:r>
      <w:r>
        <w:rPr>
          <w:rFonts w:ascii="Times New Roman" w:hAnsi="Times New Roman" w:eastAsia="Times New Roman" w:cs="Times New Roman"/>
          <w:color w:val="auto"/>
          <w:sz w:val="24"/>
          <w:szCs w:val="24"/>
          <w:highlight w:val="none"/>
        </w:rPr>
        <w:t>4</w:t>
      </w:r>
      <w:r>
        <w:rPr>
          <w:color w:val="auto"/>
          <w:sz w:val="24"/>
          <w:szCs w:val="24"/>
          <w:highlight w:val="none"/>
        </w:rPr>
        <w:t>款的约定。</w:t>
      </w:r>
    </w:p>
    <w:p>
      <w:pPr>
        <w:pStyle w:val="5"/>
        <w:spacing w:line="360" w:lineRule="exact"/>
        <w:jc w:val="both"/>
        <w:rPr>
          <w:rFonts w:hint="eastAsia"/>
          <w:color w:val="auto"/>
          <w:sz w:val="24"/>
          <w:szCs w:val="24"/>
          <w:highlight w:val="none"/>
          <w:lang w:eastAsia="zh-CN"/>
        </w:rPr>
      </w:pPr>
      <w:bookmarkStart w:id="1374" w:name="_Toc2281"/>
      <w:bookmarkStart w:id="1375" w:name="_Toc17737"/>
      <w:bookmarkStart w:id="1376" w:name="_Toc1462298219"/>
      <w:bookmarkStart w:id="1377" w:name="bookmark1859"/>
      <w:bookmarkStart w:id="1378" w:name="bookmark1857"/>
      <w:bookmarkStart w:id="1379" w:name="bookmark1858"/>
      <w:bookmarkStart w:id="1380" w:name="_Toc20241"/>
      <w:r>
        <w:rPr>
          <w:rFonts w:hint="eastAsia"/>
          <w:color w:val="auto"/>
          <w:sz w:val="24"/>
          <w:szCs w:val="24"/>
          <w:highlight w:val="none"/>
          <w:lang w:eastAsia="zh-CN"/>
        </w:rPr>
        <w:t>24. 争议的解决</w:t>
      </w:r>
      <w:bookmarkEnd w:id="1374"/>
      <w:bookmarkEnd w:id="1375"/>
      <w:bookmarkEnd w:id="1376"/>
      <w:bookmarkEnd w:id="1377"/>
      <w:bookmarkEnd w:id="1378"/>
      <w:bookmarkEnd w:id="1379"/>
      <w:bookmarkEnd w:id="1380"/>
    </w:p>
    <w:p>
      <w:pPr>
        <w:pStyle w:val="6"/>
        <w:ind w:left="0" w:leftChars="0" w:firstLine="0" w:firstLineChars="0"/>
        <w:jc w:val="both"/>
        <w:rPr>
          <w:color w:val="auto"/>
          <w:sz w:val="24"/>
          <w:szCs w:val="24"/>
          <w:highlight w:val="none"/>
          <w:lang w:eastAsia="zh-CN"/>
        </w:rPr>
      </w:pPr>
      <w:bookmarkStart w:id="1381" w:name="bookmark1862"/>
      <w:bookmarkStart w:id="1382" w:name="bookmark1861"/>
      <w:bookmarkStart w:id="1383" w:name="bookmark1860"/>
      <w:r>
        <w:rPr>
          <w:color w:val="auto"/>
          <w:sz w:val="24"/>
          <w:szCs w:val="24"/>
          <w:highlight w:val="none"/>
          <w:lang w:eastAsia="zh-CN"/>
        </w:rPr>
        <w:t>24.1争议的解决方式</w:t>
      </w:r>
      <w:bookmarkEnd w:id="1381"/>
      <w:bookmarkEnd w:id="1382"/>
      <w:bookmarkEnd w:id="1383"/>
    </w:p>
    <w:p>
      <w:pPr>
        <w:pStyle w:val="45"/>
        <w:spacing w:after="260" w:line="346" w:lineRule="exact"/>
        <w:ind w:firstLine="440"/>
        <w:jc w:val="both"/>
        <w:rPr>
          <w:rFonts w:hint="eastAsia" w:ascii="宋体" w:hAnsi="宋体" w:eastAsia="宋体" w:cs="宋体"/>
          <w:color w:val="auto"/>
          <w:sz w:val="24"/>
          <w:szCs w:val="24"/>
          <w:highlight w:val="none"/>
          <w:u w:val="single"/>
          <w:lang w:val="en-US" w:eastAsia="zh-CN"/>
        </w:rPr>
      </w:pPr>
      <w:bookmarkStart w:id="1384" w:name="bookmark1865"/>
      <w:bookmarkStart w:id="1385" w:name="_Toc26089"/>
      <w:bookmarkStart w:id="1386" w:name="bookmark1864"/>
      <w:bookmarkStart w:id="1387" w:name="_Toc557"/>
      <w:bookmarkStart w:id="1388" w:name="bookmark1863"/>
      <w:bookmarkStart w:id="1389" w:name="_Toc30466"/>
      <w:bookmarkStart w:id="1390" w:name="_Toc1422214741"/>
      <w:r>
        <w:rPr>
          <w:rFonts w:hint="eastAsia" w:ascii="宋体" w:hAnsi="宋体" w:eastAsia="宋体" w:cs="宋体"/>
          <w:color w:val="auto"/>
          <w:sz w:val="24"/>
          <w:szCs w:val="24"/>
          <w:highlight w:val="none"/>
          <w:lang w:val="en-US" w:eastAsia="zh-CN"/>
        </w:rPr>
        <w:t>合同当事人友好协商解决不成、不愿提请争议评审或不接受争议评审组意见的，约定的合同争议解决方式：</w:t>
      </w:r>
      <w:r>
        <w:rPr>
          <w:rFonts w:hint="eastAsia" w:cs="宋体"/>
          <w:color w:val="auto"/>
          <w:sz w:val="24"/>
          <w:szCs w:val="24"/>
          <w:highlight w:val="none"/>
          <w:u w:val="single"/>
          <w:lang w:val="en-US" w:eastAsia="zh-CN"/>
        </w:rPr>
        <w:t>隆安县</w:t>
      </w:r>
      <w:r>
        <w:rPr>
          <w:rFonts w:hint="eastAsia" w:ascii="宋体" w:hAnsi="宋体" w:eastAsia="宋体" w:cs="宋体"/>
          <w:color w:val="auto"/>
          <w:sz w:val="24"/>
          <w:szCs w:val="24"/>
          <w:highlight w:val="none"/>
          <w:u w:val="single"/>
          <w:lang w:val="en-US" w:eastAsia="zh-CN"/>
        </w:rPr>
        <w:t>人民法院。</w:t>
      </w:r>
    </w:p>
    <w:p>
      <w:pPr>
        <w:pStyle w:val="5"/>
        <w:spacing w:line="360" w:lineRule="exact"/>
        <w:jc w:val="both"/>
        <w:rPr>
          <w:rFonts w:hint="eastAsia"/>
          <w:color w:val="auto"/>
          <w:sz w:val="24"/>
          <w:szCs w:val="24"/>
          <w:highlight w:val="none"/>
          <w:lang w:eastAsia="zh-CN"/>
        </w:rPr>
      </w:pPr>
      <w:r>
        <w:rPr>
          <w:rFonts w:hint="eastAsia"/>
          <w:color w:val="auto"/>
          <w:sz w:val="24"/>
          <w:szCs w:val="24"/>
          <w:highlight w:val="none"/>
          <w:lang w:eastAsia="zh-CN"/>
        </w:rPr>
        <w:t>25. 附加条款</w:t>
      </w:r>
      <w:bookmarkEnd w:id="1384"/>
      <w:bookmarkEnd w:id="1385"/>
      <w:bookmarkEnd w:id="1386"/>
      <w:bookmarkEnd w:id="1387"/>
      <w:bookmarkEnd w:id="1388"/>
      <w:bookmarkEnd w:id="1389"/>
      <w:bookmarkEnd w:id="1390"/>
    </w:p>
    <w:p>
      <w:pPr>
        <w:pStyle w:val="6"/>
        <w:ind w:left="0" w:leftChars="0" w:firstLine="0" w:firstLineChars="0"/>
        <w:jc w:val="both"/>
        <w:rPr>
          <w:color w:val="auto"/>
          <w:sz w:val="24"/>
          <w:szCs w:val="24"/>
          <w:highlight w:val="none"/>
          <w:lang w:eastAsia="zh-CN"/>
        </w:rPr>
      </w:pPr>
      <w:bookmarkStart w:id="1391" w:name="bookmark1866"/>
      <w:bookmarkStart w:id="1392" w:name="bookmark1867"/>
      <w:bookmarkStart w:id="1393" w:name="bookmark1868"/>
      <w:r>
        <w:rPr>
          <w:color w:val="auto"/>
          <w:sz w:val="24"/>
          <w:szCs w:val="24"/>
          <w:highlight w:val="none"/>
          <w:lang w:eastAsia="zh-CN"/>
        </w:rPr>
        <w:t>25.1对承包人的要求</w:t>
      </w:r>
      <w:bookmarkEnd w:id="1391"/>
      <w:bookmarkEnd w:id="1392"/>
      <w:bookmarkEnd w:id="1393"/>
    </w:p>
    <w:p>
      <w:pPr>
        <w:pStyle w:val="45"/>
        <w:numPr>
          <w:ilvl w:val="0"/>
          <w:numId w:val="44"/>
        </w:numPr>
        <w:tabs>
          <w:tab w:val="left" w:pos="707"/>
        </w:tabs>
        <w:spacing w:line="352" w:lineRule="exact"/>
        <w:ind w:firstLine="440"/>
        <w:jc w:val="both"/>
        <w:rPr>
          <w:rFonts w:hint="eastAsia" w:ascii="宋体" w:hAnsi="宋体" w:eastAsia="宋体" w:cs="宋体"/>
          <w:color w:val="auto"/>
          <w:sz w:val="24"/>
          <w:szCs w:val="24"/>
          <w:highlight w:val="none"/>
        </w:rPr>
      </w:pPr>
      <w:bookmarkStart w:id="1394" w:name="bookmark1869"/>
      <w:bookmarkEnd w:id="1394"/>
      <w:r>
        <w:rPr>
          <w:rFonts w:hint="eastAsia" w:ascii="宋体" w:hAnsi="宋体" w:eastAsia="宋体" w:cs="宋体"/>
          <w:color w:val="auto"/>
          <w:sz w:val="24"/>
          <w:szCs w:val="24"/>
          <w:highlight w:val="none"/>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 使用承包人设备、临时工程和材料，另行组织人员或委托其他承包人施工，但发包人的这一行为不免除承包人按合同规定应负的责任。</w:t>
      </w:r>
    </w:p>
    <w:p>
      <w:pPr>
        <w:pStyle w:val="45"/>
        <w:numPr>
          <w:ilvl w:val="0"/>
          <w:numId w:val="44"/>
        </w:numPr>
        <w:tabs>
          <w:tab w:val="left" w:pos="707"/>
        </w:tabs>
        <w:spacing w:line="352" w:lineRule="exact"/>
        <w:ind w:firstLine="440"/>
        <w:jc w:val="both"/>
        <w:rPr>
          <w:rFonts w:hint="eastAsia" w:ascii="宋体" w:hAnsi="宋体" w:eastAsia="宋体" w:cs="宋体"/>
          <w:color w:val="auto"/>
          <w:sz w:val="24"/>
          <w:szCs w:val="24"/>
          <w:highlight w:val="none"/>
        </w:rPr>
      </w:pPr>
      <w:bookmarkStart w:id="1395" w:name="bookmark1870"/>
      <w:bookmarkEnd w:id="1395"/>
      <w:r>
        <w:rPr>
          <w:rFonts w:hint="eastAsia" w:ascii="宋体" w:hAnsi="宋体" w:eastAsia="宋体" w:cs="宋体"/>
          <w:color w:val="auto"/>
          <w:sz w:val="24"/>
          <w:szCs w:val="24"/>
          <w:highlight w:val="none"/>
        </w:rPr>
        <w:t>遵守国务院《建设工程质量管理条例》，根据水利部、自治区和水利厅的有关质量管理规定，建立健全质量管理机构，结合工程实际制定完善的可操作性强的质量管理制度，施工质量等级达到合同约定等级。</w:t>
      </w:r>
    </w:p>
    <w:p>
      <w:pPr>
        <w:pStyle w:val="45"/>
        <w:numPr>
          <w:ilvl w:val="0"/>
          <w:numId w:val="44"/>
        </w:numPr>
        <w:tabs>
          <w:tab w:val="left" w:pos="707"/>
        </w:tabs>
        <w:spacing w:line="352" w:lineRule="exact"/>
        <w:ind w:firstLine="440"/>
        <w:jc w:val="both"/>
        <w:rPr>
          <w:rFonts w:hint="eastAsia" w:ascii="宋体" w:hAnsi="宋体" w:eastAsia="宋体" w:cs="宋体"/>
          <w:color w:val="auto"/>
          <w:sz w:val="24"/>
          <w:szCs w:val="24"/>
          <w:highlight w:val="none"/>
        </w:rPr>
      </w:pPr>
      <w:bookmarkStart w:id="1396" w:name="bookmark1871"/>
      <w:bookmarkEnd w:id="1396"/>
      <w:r>
        <w:rPr>
          <w:rFonts w:hint="eastAsia" w:ascii="宋体" w:hAnsi="宋体" w:eastAsia="宋体" w:cs="宋体"/>
          <w:color w:val="auto"/>
          <w:sz w:val="24"/>
          <w:szCs w:val="24"/>
          <w:highlight w:val="none"/>
        </w:rPr>
        <w:t>按国家《中华人民共和国安全生产法》、《建设工程安全生产管理条例》、自治区安全生产法规和水利水电工程施工安全操作规程的规定建立健全安全管理机构和安全管理制度，采取安全施工保障措施保障工程施工安全。</w:t>
      </w:r>
    </w:p>
    <w:p>
      <w:pPr>
        <w:pStyle w:val="45"/>
        <w:numPr>
          <w:ilvl w:val="0"/>
          <w:numId w:val="44"/>
        </w:numPr>
        <w:tabs>
          <w:tab w:val="left" w:pos="705"/>
        </w:tabs>
        <w:spacing w:line="352" w:lineRule="exact"/>
        <w:ind w:firstLine="440"/>
        <w:jc w:val="both"/>
        <w:rPr>
          <w:rFonts w:hint="eastAsia" w:ascii="宋体" w:hAnsi="宋体" w:eastAsia="宋体" w:cs="宋体"/>
          <w:color w:val="auto"/>
          <w:sz w:val="24"/>
          <w:szCs w:val="24"/>
          <w:highlight w:val="none"/>
        </w:rPr>
      </w:pPr>
      <w:bookmarkStart w:id="1397" w:name="bookmark1872"/>
      <w:bookmarkEnd w:id="1397"/>
      <w:r>
        <w:rPr>
          <w:rFonts w:hint="eastAsia" w:ascii="宋体" w:hAnsi="宋体" w:eastAsia="宋体" w:cs="宋体"/>
          <w:color w:val="auto"/>
          <w:sz w:val="24"/>
          <w:szCs w:val="24"/>
          <w:highlight w:val="none"/>
        </w:rPr>
        <w:t>按有关施工规程规范及本招标文件技术条款进行组织施工并实施施工过程和移交前工程保护措施。</w:t>
      </w:r>
    </w:p>
    <w:p>
      <w:pPr>
        <w:pStyle w:val="45"/>
        <w:numPr>
          <w:ilvl w:val="0"/>
          <w:numId w:val="44"/>
        </w:numPr>
        <w:tabs>
          <w:tab w:val="left" w:pos="710"/>
        </w:tabs>
        <w:spacing w:line="352" w:lineRule="exact"/>
        <w:ind w:firstLine="440"/>
        <w:jc w:val="both"/>
        <w:rPr>
          <w:rFonts w:hint="eastAsia" w:ascii="宋体" w:hAnsi="宋体" w:eastAsia="宋体" w:cs="宋体"/>
          <w:color w:val="auto"/>
          <w:sz w:val="24"/>
          <w:szCs w:val="24"/>
          <w:highlight w:val="none"/>
        </w:rPr>
      </w:pPr>
      <w:bookmarkStart w:id="1398" w:name="bookmark1873"/>
      <w:bookmarkEnd w:id="1398"/>
      <w:r>
        <w:rPr>
          <w:rFonts w:hint="eastAsia" w:ascii="宋体" w:hAnsi="宋体" w:eastAsia="宋体" w:cs="宋体"/>
          <w:color w:val="auto"/>
          <w:sz w:val="24"/>
          <w:szCs w:val="24"/>
          <w:highlight w:val="none"/>
        </w:rPr>
        <w:t>承包人违约有以下情况之一者，发包人有权采取合同规定的以下措施处理，并视情节轻重处予违约金。</w:t>
      </w:r>
    </w:p>
    <w:p>
      <w:pPr>
        <w:pStyle w:val="45"/>
        <w:numPr>
          <w:ilvl w:val="0"/>
          <w:numId w:val="45"/>
        </w:numPr>
        <w:tabs>
          <w:tab w:val="left" w:pos="883"/>
        </w:tabs>
        <w:spacing w:line="352" w:lineRule="exact"/>
        <w:ind w:firstLine="440"/>
        <w:jc w:val="both"/>
        <w:rPr>
          <w:rFonts w:hint="eastAsia" w:ascii="宋体" w:hAnsi="宋体" w:eastAsia="宋体" w:cs="宋体"/>
          <w:color w:val="auto"/>
          <w:sz w:val="24"/>
          <w:szCs w:val="24"/>
          <w:highlight w:val="none"/>
        </w:rPr>
      </w:pPr>
      <w:bookmarkStart w:id="1399" w:name="bookmark1874"/>
      <w:bookmarkEnd w:id="1399"/>
      <w:r>
        <w:rPr>
          <w:rFonts w:hint="eastAsia" w:ascii="宋体" w:hAnsi="宋体" w:eastAsia="宋体" w:cs="宋体"/>
          <w:color w:val="auto"/>
          <w:sz w:val="24"/>
          <w:szCs w:val="24"/>
          <w:highlight w:val="none"/>
        </w:rPr>
        <w:t xml:space="preserve">未经发包人批准，施工期内承包人调走主要施工技术人员(包括建造师、专业工程师)，经发现不及时调回的，违约金额为履约保证金金额的5% </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20% (视情节严重而定)</w:t>
      </w:r>
      <w:r>
        <w:rPr>
          <w:rFonts w:hint="eastAsia" w:ascii="宋体" w:hAnsi="宋体" w:eastAsia="宋体" w:cs="宋体"/>
          <w:color w:val="auto"/>
          <w:sz w:val="24"/>
          <w:szCs w:val="24"/>
          <w:highlight w:val="none"/>
          <w:lang w:val="en-US" w:bidi="en-US"/>
        </w:rPr>
        <w:t>。</w:t>
      </w:r>
    </w:p>
    <w:p>
      <w:pPr>
        <w:pStyle w:val="45"/>
        <w:numPr>
          <w:ilvl w:val="0"/>
          <w:numId w:val="45"/>
        </w:numPr>
        <w:tabs>
          <w:tab w:val="left" w:pos="880"/>
        </w:tabs>
        <w:spacing w:line="352" w:lineRule="exact"/>
        <w:ind w:firstLine="440"/>
        <w:jc w:val="both"/>
        <w:rPr>
          <w:rFonts w:hint="eastAsia" w:ascii="宋体" w:hAnsi="宋体" w:eastAsia="宋体" w:cs="宋体"/>
          <w:color w:val="auto"/>
          <w:sz w:val="24"/>
          <w:szCs w:val="24"/>
          <w:highlight w:val="none"/>
        </w:rPr>
      </w:pPr>
      <w:bookmarkStart w:id="1400" w:name="bookmark1875"/>
      <w:bookmarkEnd w:id="1400"/>
      <w:r>
        <w:rPr>
          <w:rFonts w:hint="eastAsia" w:ascii="宋体" w:hAnsi="宋体" w:eastAsia="宋体" w:cs="宋体"/>
          <w:color w:val="auto"/>
          <w:sz w:val="24"/>
          <w:szCs w:val="24"/>
          <w:highlight w:val="none"/>
        </w:rPr>
        <w:t>未经发包人批准，施工期内自行调走主要施工机械，经发现不及时调回的，违约金额为履约保证金金额的5%</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rPr>
        <w:t>20% (视情节严重而定)</w:t>
      </w:r>
      <w:r>
        <w:rPr>
          <w:rFonts w:hint="eastAsia" w:ascii="宋体" w:hAnsi="宋体" w:eastAsia="宋体" w:cs="宋体"/>
          <w:color w:val="auto"/>
          <w:sz w:val="24"/>
          <w:szCs w:val="24"/>
          <w:highlight w:val="none"/>
          <w:lang w:val="en-US" w:bidi="en-US"/>
        </w:rPr>
        <w:t>。</w:t>
      </w:r>
    </w:p>
    <w:p>
      <w:pPr>
        <w:pStyle w:val="45"/>
        <w:numPr>
          <w:ilvl w:val="0"/>
          <w:numId w:val="45"/>
        </w:numPr>
        <w:tabs>
          <w:tab w:val="left" w:pos="883"/>
        </w:tabs>
        <w:spacing w:line="352" w:lineRule="exact"/>
        <w:ind w:firstLine="440"/>
        <w:jc w:val="both"/>
        <w:rPr>
          <w:rFonts w:hint="eastAsia" w:ascii="宋体" w:hAnsi="宋体" w:eastAsia="宋体" w:cs="宋体"/>
          <w:color w:val="auto"/>
          <w:sz w:val="24"/>
          <w:szCs w:val="24"/>
          <w:highlight w:val="none"/>
        </w:rPr>
      </w:pPr>
      <w:bookmarkStart w:id="1401" w:name="bookmark1876"/>
      <w:bookmarkEnd w:id="1401"/>
      <w:r>
        <w:rPr>
          <w:rFonts w:hint="eastAsia" w:ascii="宋体" w:hAnsi="宋体" w:eastAsia="宋体" w:cs="宋体"/>
          <w:color w:val="auto"/>
          <w:sz w:val="24"/>
          <w:szCs w:val="24"/>
          <w:highlight w:val="none"/>
        </w:rPr>
        <w:t>所有以上违约金额均在承包人的履约保证金(包括银行利息)及计量支付款内扣除，承包人履约保证金被扣除后，由发包人从最后一次计量支付时扣相应金额补足履约保证金。</w:t>
      </w:r>
    </w:p>
    <w:p>
      <w:pPr>
        <w:pStyle w:val="45"/>
        <w:numPr>
          <w:ilvl w:val="0"/>
          <w:numId w:val="45"/>
        </w:numPr>
        <w:tabs>
          <w:tab w:val="left" w:pos="885"/>
        </w:tabs>
        <w:spacing w:line="352" w:lineRule="exact"/>
        <w:ind w:firstLine="440"/>
        <w:jc w:val="both"/>
        <w:rPr>
          <w:rFonts w:hint="eastAsia" w:ascii="宋体" w:hAnsi="宋体" w:eastAsia="宋体" w:cs="宋体"/>
          <w:color w:val="auto"/>
          <w:sz w:val="24"/>
          <w:szCs w:val="24"/>
          <w:highlight w:val="none"/>
        </w:rPr>
      </w:pPr>
      <w:bookmarkStart w:id="1402" w:name="bookmark1877"/>
      <w:bookmarkEnd w:id="1402"/>
      <w:r>
        <w:rPr>
          <w:rFonts w:hint="eastAsia" w:ascii="宋体" w:hAnsi="宋体" w:eastAsia="宋体" w:cs="宋体"/>
          <w:color w:val="auto"/>
          <w:sz w:val="24"/>
          <w:szCs w:val="24"/>
          <w:highlight w:val="none"/>
        </w:rPr>
        <w:t>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 械、材料和劳动力不能满足施工进度要求，有权指令承包人增加机械、材料和劳动力投入, 承包人不得拒绝。</w:t>
      </w:r>
    </w:p>
    <w:p>
      <w:pPr>
        <w:pStyle w:val="45"/>
        <w:numPr>
          <w:ilvl w:val="0"/>
          <w:numId w:val="45"/>
        </w:numPr>
        <w:tabs>
          <w:tab w:val="left" w:pos="880"/>
        </w:tabs>
        <w:spacing w:line="352" w:lineRule="exact"/>
        <w:ind w:firstLine="440"/>
        <w:jc w:val="both"/>
        <w:rPr>
          <w:rFonts w:hint="eastAsia" w:ascii="宋体" w:hAnsi="宋体" w:eastAsia="宋体" w:cs="宋体"/>
          <w:color w:val="auto"/>
          <w:sz w:val="24"/>
          <w:szCs w:val="24"/>
          <w:highlight w:val="none"/>
        </w:rPr>
      </w:pPr>
      <w:bookmarkStart w:id="1403" w:name="bookmark1878"/>
      <w:bookmarkEnd w:id="1403"/>
      <w:bookmarkStart w:id="1404" w:name="bookmark1879"/>
      <w:bookmarkEnd w:id="1404"/>
      <w:r>
        <w:rPr>
          <w:rFonts w:hint="eastAsia" w:ascii="宋体" w:hAnsi="宋体" w:eastAsia="宋体" w:cs="宋体"/>
          <w:color w:val="auto"/>
          <w:sz w:val="24"/>
          <w:szCs w:val="24"/>
          <w:highlight w:val="none"/>
        </w:rPr>
        <w:t>合同履行过程中，承包人未按规定要求落实安全生产措施费用专款专用，挪用、 扣减安全生产措施费用，且不服从发包人或监理人的安全生产管理，发包人有权对违反安 全生产相关规定的行为处以罚款直至终止合同。</w:t>
      </w:r>
    </w:p>
    <w:p>
      <w:pPr>
        <w:pStyle w:val="45"/>
        <w:numPr>
          <w:ilvl w:val="0"/>
          <w:numId w:val="44"/>
        </w:numPr>
        <w:tabs>
          <w:tab w:val="left" w:pos="739"/>
        </w:tabs>
        <w:spacing w:line="352" w:lineRule="exact"/>
        <w:ind w:firstLine="440"/>
        <w:jc w:val="both"/>
        <w:rPr>
          <w:rFonts w:hint="eastAsia" w:ascii="宋体" w:hAnsi="宋体" w:eastAsia="宋体" w:cs="宋体"/>
          <w:color w:val="auto"/>
          <w:sz w:val="24"/>
          <w:szCs w:val="24"/>
          <w:highlight w:val="none"/>
        </w:rPr>
      </w:pPr>
      <w:bookmarkStart w:id="1405" w:name="bookmark1880"/>
      <w:bookmarkEnd w:id="1405"/>
      <w:r>
        <w:rPr>
          <w:rFonts w:hint="eastAsia" w:ascii="宋体" w:hAnsi="宋体" w:eastAsia="宋体" w:cs="宋体"/>
          <w:color w:val="auto"/>
          <w:sz w:val="24"/>
          <w:szCs w:val="24"/>
          <w:highlight w:val="none"/>
        </w:rPr>
        <w:t>承包人生活设施及施工场地，应自费配备消防设备，防止火灾发生。</w:t>
      </w:r>
    </w:p>
    <w:p>
      <w:pPr>
        <w:pStyle w:val="45"/>
        <w:numPr>
          <w:ilvl w:val="0"/>
          <w:numId w:val="44"/>
        </w:numPr>
        <w:tabs>
          <w:tab w:val="left" w:pos="719"/>
        </w:tabs>
        <w:spacing w:line="352" w:lineRule="exact"/>
        <w:ind w:firstLine="420"/>
        <w:jc w:val="both"/>
        <w:rPr>
          <w:rFonts w:hint="eastAsia" w:ascii="宋体" w:hAnsi="宋体" w:eastAsia="宋体" w:cs="宋体"/>
          <w:color w:val="auto"/>
          <w:sz w:val="24"/>
          <w:szCs w:val="24"/>
          <w:highlight w:val="none"/>
        </w:rPr>
      </w:pPr>
      <w:bookmarkStart w:id="1406" w:name="bookmark1881"/>
      <w:bookmarkEnd w:id="1406"/>
      <w:r>
        <w:rPr>
          <w:rFonts w:hint="eastAsia" w:ascii="宋体" w:hAnsi="宋体" w:eastAsia="宋体" w:cs="宋体"/>
          <w:color w:val="auto"/>
          <w:sz w:val="24"/>
          <w:szCs w:val="24"/>
          <w:highlight w:val="none"/>
        </w:rPr>
        <w:t>承包人使用的劳动力均应进行保险，否则不准安排工作，禁止使用童工。</w:t>
      </w:r>
    </w:p>
    <w:p>
      <w:pPr>
        <w:pStyle w:val="45"/>
        <w:numPr>
          <w:ilvl w:val="0"/>
          <w:numId w:val="44"/>
        </w:numPr>
        <w:tabs>
          <w:tab w:val="left" w:pos="719"/>
        </w:tabs>
        <w:spacing w:line="352" w:lineRule="exact"/>
        <w:ind w:firstLine="42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pStyle w:val="45"/>
        <w:tabs>
          <w:tab w:val="left" w:pos="299"/>
        </w:tabs>
        <w:spacing w:line="352" w:lineRule="exact"/>
        <w:ind w:firstLineChars="200"/>
        <w:jc w:val="both"/>
        <w:rPr>
          <w:rFonts w:hint="eastAsia" w:ascii="宋体" w:hAnsi="宋体" w:eastAsia="宋体" w:cs="宋体"/>
          <w:color w:val="auto"/>
          <w:sz w:val="24"/>
          <w:szCs w:val="24"/>
          <w:highlight w:val="none"/>
          <w:lang w:val="zh-CN" w:eastAsia="zh-CN"/>
        </w:rPr>
      </w:pPr>
      <w:bookmarkStart w:id="1407" w:name="bookmark1883"/>
      <w:bookmarkEnd w:id="1407"/>
      <w:bookmarkStart w:id="1408" w:name="bookmark1885"/>
      <w:bookmarkStart w:id="1409" w:name="bookmark1886"/>
      <w:bookmarkStart w:id="1410" w:name="bookmark1887"/>
      <w:r>
        <w:rPr>
          <w:rFonts w:hint="eastAsia" w:ascii="宋体" w:hAnsi="宋体" w:eastAsia="宋体" w:cs="宋体"/>
          <w:color w:val="auto"/>
          <w:sz w:val="24"/>
          <w:szCs w:val="24"/>
          <w:highlight w:val="none"/>
          <w:lang w:val="zh-CN" w:eastAsia="zh-CN"/>
        </w:rPr>
        <w:t>25.2发包人所有付款（含预付款）均转入如下承包人单位基本账户（签订施工合同时标明），承包人单位基本账户发生改变时，承包人应书面通知 （法定代表人签字并加盖单位电子公章）发包人。</w:t>
      </w:r>
      <w:bookmarkEnd w:id="1408"/>
      <w:bookmarkEnd w:id="1409"/>
      <w:bookmarkEnd w:id="1410"/>
    </w:p>
    <w:p>
      <w:pPr>
        <w:pStyle w:val="45"/>
        <w:tabs>
          <w:tab w:val="left" w:pos="299"/>
        </w:tabs>
        <w:spacing w:line="352" w:lineRule="exact"/>
        <w:ind w:firstLineChars="200"/>
        <w:jc w:val="both"/>
        <w:rPr>
          <w:rFonts w:hint="eastAsia" w:ascii="宋体" w:hAnsi="宋体" w:eastAsia="宋体" w:cs="宋体"/>
          <w:color w:val="auto"/>
          <w:sz w:val="24"/>
          <w:szCs w:val="24"/>
        </w:rPr>
      </w:pPr>
      <w:bookmarkStart w:id="1411" w:name="bookmark1888"/>
      <w:bookmarkStart w:id="1412" w:name="bookmark1889"/>
      <w:bookmarkStart w:id="1413" w:name="bookmark1890"/>
      <w:r>
        <w:rPr>
          <w:rFonts w:hint="eastAsia" w:ascii="宋体" w:hAnsi="宋体" w:eastAsia="宋体" w:cs="宋体"/>
          <w:color w:val="auto"/>
          <w:sz w:val="24"/>
          <w:szCs w:val="24"/>
          <w:highlight w:val="none"/>
        </w:rPr>
        <w:t>25.3专用合同条款中未尽事宜，在签订施工合同时双方再商定。</w:t>
      </w:r>
      <w:bookmarkEnd w:id="1411"/>
      <w:bookmarkEnd w:id="1412"/>
      <w:bookmarkEnd w:id="1413"/>
      <w:bookmarkStart w:id="1414" w:name="bookmark1882"/>
      <w:bookmarkEnd w:id="1414"/>
    </w:p>
    <w:p>
      <w:pPr>
        <w:pStyle w:val="4"/>
        <w:bidi w:val="0"/>
        <w:jc w:val="center"/>
        <w:outlineLvl w:val="1"/>
        <w:rPr>
          <w:rFonts w:hint="eastAsia" w:ascii="Times New Roman" w:hAnsi="Times New Roman" w:eastAsia="宋体" w:cs="Times New Roman"/>
          <w:b/>
          <w:bCs/>
          <w:color w:val="auto"/>
          <w:kern w:val="2"/>
          <w:sz w:val="30"/>
          <w:szCs w:val="30"/>
          <w:lang w:val="en-US" w:eastAsia="zh-CN" w:bidi="ar-SA"/>
        </w:rPr>
      </w:pPr>
      <w:bookmarkStart w:id="1415" w:name="_Toc10268"/>
      <w:bookmarkStart w:id="1416" w:name="bookmark1892"/>
      <w:bookmarkStart w:id="1417" w:name="bookmark1891"/>
      <w:bookmarkStart w:id="1418" w:name="_Toc14930"/>
      <w:bookmarkStart w:id="1419" w:name="bookmark1893"/>
      <w:r>
        <w:rPr>
          <w:color w:val="auto"/>
          <w:sz w:val="24"/>
          <w:szCs w:val="24"/>
          <w:lang w:eastAsia="zh-CN"/>
        </w:rPr>
        <w:br w:type="page"/>
      </w:r>
      <w:bookmarkEnd w:id="1415"/>
      <w:bookmarkEnd w:id="1416"/>
      <w:bookmarkEnd w:id="1417"/>
      <w:bookmarkEnd w:id="1418"/>
      <w:bookmarkEnd w:id="1419"/>
      <w:r>
        <w:rPr>
          <w:rFonts w:hint="eastAsia" w:ascii="Times New Roman" w:hAnsi="Times New Roman" w:eastAsia="宋体" w:cs="Times New Roman"/>
          <w:b/>
          <w:bCs/>
          <w:color w:val="auto"/>
          <w:kern w:val="2"/>
          <w:sz w:val="30"/>
          <w:szCs w:val="30"/>
          <w:lang w:val="en-US" w:eastAsia="zh-CN" w:bidi="ar-SA"/>
        </w:rPr>
        <w:t>第</w:t>
      </w:r>
      <w:r>
        <w:rPr>
          <w:rFonts w:hint="eastAsia" w:eastAsia="宋体" w:cs="Times New Roman"/>
          <w:b/>
          <w:bCs/>
          <w:color w:val="auto"/>
          <w:kern w:val="2"/>
          <w:sz w:val="30"/>
          <w:szCs w:val="30"/>
          <w:lang w:val="en-US" w:eastAsia="zh-CN" w:bidi="ar-SA"/>
        </w:rPr>
        <w:t>四</w:t>
      </w:r>
      <w:r>
        <w:rPr>
          <w:rFonts w:hint="eastAsia" w:ascii="Times New Roman" w:hAnsi="Times New Roman" w:eastAsia="宋体" w:cs="Times New Roman"/>
          <w:b/>
          <w:bCs/>
          <w:color w:val="auto"/>
          <w:kern w:val="2"/>
          <w:sz w:val="30"/>
          <w:szCs w:val="30"/>
          <w:lang w:val="en-US" w:eastAsia="zh-CN" w:bidi="ar-SA"/>
        </w:rPr>
        <w:t>节  合同附件格式</w:t>
      </w:r>
    </w:p>
    <w:p>
      <w:pPr>
        <w:pStyle w:val="34"/>
        <w:keepNext/>
        <w:keepLines/>
        <w:spacing w:before="280" w:after="290" w:line="372" w:lineRule="auto"/>
        <w:outlineLvl w:val="4"/>
        <w:rPr>
          <w:b/>
          <w:sz w:val="28"/>
          <w:lang w:eastAsia="zh-CN"/>
        </w:rPr>
      </w:pPr>
      <w:bookmarkStart w:id="1420" w:name="_Toc19907"/>
      <w:bookmarkStart w:id="1421" w:name="_Toc23710"/>
      <w:r>
        <w:rPr>
          <w:rFonts w:hint="eastAsia" w:ascii="宋体" w:hAnsi="宋体" w:eastAsia="宋体" w:cs="宋体"/>
          <w:b/>
          <w:sz w:val="28"/>
          <w:lang w:eastAsia="zh-CN"/>
        </w:rPr>
        <w:t>附件一：合同协议书</w:t>
      </w:r>
      <w:bookmarkEnd w:id="1420"/>
      <w:bookmarkEnd w:id="1421"/>
    </w:p>
    <w:p>
      <w:pPr>
        <w:pStyle w:val="34"/>
        <w:jc w:val="center"/>
        <w:rPr>
          <w:rFonts w:ascii="宋体" w:hAnsi="宋体" w:eastAsia="宋体" w:cs="宋体"/>
          <w:b/>
          <w:lang w:eastAsia="zh-CN"/>
        </w:rPr>
      </w:pPr>
      <w:r>
        <w:rPr>
          <w:rFonts w:hint="eastAsia" w:ascii="宋体" w:hAnsi="宋体" w:eastAsia="宋体" w:cs="宋体"/>
          <w:b/>
          <w:lang w:eastAsia="zh-CN"/>
        </w:rPr>
        <w:t>合同协议书</w:t>
      </w:r>
    </w:p>
    <w:p>
      <w:pPr>
        <w:pStyle w:val="34"/>
        <w:jc w:val="center"/>
        <w:rPr>
          <w:rFonts w:ascii="宋体" w:hAnsi="宋体" w:eastAsia="宋体" w:cs="宋体"/>
          <w:b/>
          <w:lang w:eastAsia="zh-CN"/>
        </w:rPr>
      </w:pPr>
    </w:p>
    <w:p>
      <w:pPr>
        <w:pStyle w:val="34"/>
        <w:jc w:val="center"/>
        <w:rPr>
          <w:b/>
          <w:lang w:eastAsia="zh-CN"/>
        </w:rPr>
      </w:pPr>
    </w:p>
    <w:p>
      <w:pPr>
        <w:pStyle w:val="34"/>
        <w:rPr>
          <w:rFonts w:ascii="宋体" w:hAnsi="宋体" w:eastAsia="宋体"/>
          <w:sz w:val="20"/>
          <w:szCs w:val="20"/>
        </w:rPr>
      </w:pPr>
      <w:r>
        <w:rPr>
          <w:lang w:eastAsia="zh-CN"/>
        </w:rPr>
        <w:tab/>
      </w:r>
      <w:r>
        <w:rPr>
          <w:rFonts w:hint="eastAsia" w:ascii="宋体" w:hAnsi="宋体" w:eastAsia="宋体"/>
          <w:sz w:val="20"/>
          <w:szCs w:val="20"/>
          <w:u w:val="single"/>
          <w:lang w:eastAsia="zh-CN"/>
        </w:rPr>
        <w:t xml:space="preserve">     </w:t>
      </w:r>
      <w:r>
        <w:rPr>
          <w:rFonts w:hint="eastAsia" w:ascii="宋体" w:hAnsi="宋体" w:eastAsia="宋体" w:cs="宋体"/>
          <w:sz w:val="20"/>
          <w:szCs w:val="20"/>
          <w:u w:val="single"/>
          <w:lang w:eastAsia="zh-CN"/>
        </w:rPr>
        <w:t xml:space="preserve">     </w:t>
      </w:r>
      <w:r>
        <w:rPr>
          <w:rFonts w:hint="eastAsia" w:ascii="宋体" w:hAnsi="宋体" w:eastAsia="宋体" w:cs="宋体"/>
          <w:sz w:val="20"/>
          <w:szCs w:val="20"/>
          <w:lang w:eastAsia="zh-CN"/>
        </w:rPr>
        <w:t>（发包人名称，以下简称</w:t>
      </w:r>
      <w:r>
        <w:rPr>
          <w:rFonts w:ascii="宋体" w:hAnsi="宋体" w:eastAsia="宋体"/>
          <w:sz w:val="20"/>
          <w:szCs w:val="20"/>
          <w:lang w:eastAsia="zh-CN"/>
        </w:rPr>
        <w:t>“</w:t>
      </w:r>
      <w:r>
        <w:rPr>
          <w:rFonts w:hint="eastAsia" w:ascii="宋体" w:hAnsi="宋体" w:eastAsia="宋体" w:cs="宋体"/>
          <w:sz w:val="20"/>
          <w:szCs w:val="20"/>
          <w:lang w:eastAsia="zh-CN"/>
        </w:rPr>
        <w:t>发包人</w:t>
      </w:r>
      <w:r>
        <w:rPr>
          <w:rFonts w:ascii="宋体" w:hAnsi="宋体" w:eastAsia="宋体"/>
          <w:sz w:val="20"/>
          <w:szCs w:val="20"/>
          <w:lang w:eastAsia="zh-CN"/>
        </w:rPr>
        <w:t>”</w:t>
      </w:r>
      <w:r>
        <w:rPr>
          <w:rFonts w:hint="eastAsia" w:ascii="宋体" w:hAnsi="宋体" w:eastAsia="宋体" w:cs="宋体"/>
          <w:sz w:val="20"/>
          <w:szCs w:val="20"/>
          <w:lang w:eastAsia="zh-CN"/>
        </w:rPr>
        <w:t>）为实施</w:t>
      </w:r>
      <w:r>
        <w:rPr>
          <w:rFonts w:ascii="宋体" w:hAnsi="宋体" w:eastAsia="宋体"/>
          <w:sz w:val="20"/>
          <w:szCs w:val="20"/>
          <w:lang w:eastAsia="zh-CN"/>
        </w:rPr>
        <w:tab/>
      </w:r>
      <w:r>
        <w:rPr>
          <w:rFonts w:hint="eastAsia" w:ascii="宋体" w:hAnsi="宋体" w:eastAsia="宋体"/>
          <w:sz w:val="20"/>
          <w:szCs w:val="20"/>
          <w:u w:val="single"/>
          <w:lang w:eastAsia="zh-CN"/>
        </w:rPr>
        <w:t xml:space="preserve">           </w:t>
      </w:r>
      <w:r>
        <w:rPr>
          <w:rFonts w:hint="eastAsia" w:ascii="宋体" w:hAnsi="宋体" w:eastAsia="宋体" w:cs="宋体"/>
          <w:sz w:val="20"/>
          <w:szCs w:val="20"/>
          <w:lang w:eastAsia="zh-CN"/>
        </w:rPr>
        <w:t xml:space="preserve"> （项目名称），已接受</w:t>
      </w:r>
      <w:r>
        <w:rPr>
          <w:rFonts w:hint="eastAsia" w:ascii="宋体" w:hAnsi="宋体" w:eastAsia="宋体" w:cs="宋体"/>
          <w:sz w:val="20"/>
          <w:szCs w:val="20"/>
          <w:u w:val="single"/>
          <w:lang w:eastAsia="zh-CN"/>
        </w:rPr>
        <w:t xml:space="preserve">   </w:t>
      </w:r>
      <w:r>
        <w:rPr>
          <w:rFonts w:ascii="宋体" w:hAnsi="宋体" w:eastAsia="宋体"/>
          <w:sz w:val="20"/>
          <w:szCs w:val="20"/>
          <w:u w:val="single"/>
          <w:lang w:eastAsia="zh-CN"/>
        </w:rPr>
        <w:tab/>
      </w:r>
      <w:r>
        <w:rPr>
          <w:rFonts w:hint="eastAsia" w:ascii="宋体" w:hAnsi="宋体" w:eastAsia="宋体"/>
          <w:sz w:val="20"/>
          <w:szCs w:val="20"/>
          <w:u w:val="single"/>
          <w:lang w:eastAsia="zh-CN"/>
        </w:rPr>
        <w:t xml:space="preserve">            </w:t>
      </w:r>
      <w:r>
        <w:rPr>
          <w:rFonts w:hint="eastAsia" w:ascii="宋体" w:hAnsi="宋体" w:eastAsia="宋体" w:cs="宋体"/>
          <w:sz w:val="20"/>
          <w:szCs w:val="20"/>
          <w:lang w:eastAsia="zh-CN"/>
        </w:rPr>
        <w:t xml:space="preserve">  （承包人名称，以下简称</w:t>
      </w:r>
      <w:r>
        <w:rPr>
          <w:rFonts w:ascii="宋体" w:hAnsi="宋体" w:eastAsia="宋体"/>
          <w:sz w:val="20"/>
          <w:szCs w:val="20"/>
          <w:lang w:eastAsia="zh-CN"/>
        </w:rPr>
        <w:t>“</w:t>
      </w:r>
      <w:r>
        <w:rPr>
          <w:rFonts w:hint="eastAsia" w:ascii="宋体" w:hAnsi="宋体" w:eastAsia="宋体" w:cs="宋体"/>
          <w:sz w:val="20"/>
          <w:szCs w:val="20"/>
          <w:lang w:eastAsia="zh-CN"/>
        </w:rPr>
        <w:t>承包人</w:t>
      </w:r>
      <w:r>
        <w:rPr>
          <w:rFonts w:ascii="宋体" w:hAnsi="宋体" w:eastAsia="宋体"/>
          <w:sz w:val="20"/>
          <w:szCs w:val="20"/>
          <w:lang w:eastAsia="zh-CN"/>
        </w:rPr>
        <w:t>”</w:t>
      </w:r>
      <w:r>
        <w:rPr>
          <w:rFonts w:hint="eastAsia" w:ascii="宋体" w:hAnsi="宋体" w:eastAsia="宋体" w:cs="宋体"/>
          <w:sz w:val="20"/>
          <w:szCs w:val="20"/>
          <w:lang w:eastAsia="zh-CN"/>
        </w:rPr>
        <w:t>）对该项目</w:t>
      </w:r>
      <w:r>
        <w:rPr>
          <w:rFonts w:hint="eastAsia" w:ascii="宋体" w:hAnsi="宋体" w:eastAsia="宋体" w:cs="宋体"/>
          <w:sz w:val="20"/>
          <w:szCs w:val="20"/>
          <w:u w:val="single"/>
          <w:lang w:eastAsia="zh-CN"/>
        </w:rPr>
        <w:t xml:space="preserve">  </w:t>
      </w:r>
      <w:r>
        <w:rPr>
          <w:rFonts w:ascii="宋体" w:hAnsi="宋体" w:eastAsia="宋体"/>
          <w:sz w:val="20"/>
          <w:szCs w:val="20"/>
          <w:u w:val="single"/>
          <w:lang w:eastAsia="zh-CN"/>
        </w:rPr>
        <w:t xml:space="preserve"> </w:t>
      </w:r>
      <w:r>
        <w:rPr>
          <w:rFonts w:ascii="宋体" w:hAnsi="宋体" w:eastAsia="宋体"/>
          <w:sz w:val="20"/>
          <w:szCs w:val="20"/>
          <w:u w:val="single"/>
          <w:lang w:eastAsia="zh-CN"/>
        </w:rPr>
        <w:tab/>
      </w:r>
      <w:r>
        <w:rPr>
          <w:rFonts w:hint="eastAsia" w:ascii="宋体" w:hAnsi="宋体" w:eastAsia="宋体"/>
          <w:sz w:val="20"/>
          <w:szCs w:val="20"/>
          <w:u w:val="single"/>
          <w:lang w:eastAsia="zh-CN"/>
        </w:rPr>
        <w:t xml:space="preserve">       </w:t>
      </w:r>
      <w:r>
        <w:rPr>
          <w:rFonts w:hint="eastAsia" w:ascii="宋体" w:hAnsi="宋体" w:eastAsia="宋体" w:cs="宋体"/>
          <w:sz w:val="20"/>
          <w:szCs w:val="20"/>
          <w:lang w:eastAsia="zh-CN"/>
        </w:rPr>
        <w:t>（项目名称）</w:t>
      </w:r>
      <w:r>
        <w:rPr>
          <w:rFonts w:hint="eastAsia" w:ascii="宋体" w:hAnsi="宋体" w:eastAsia="宋体" w:cs="宋体"/>
          <w:sz w:val="20"/>
          <w:szCs w:val="20"/>
          <w:u w:val="single"/>
          <w:lang w:eastAsia="zh-CN"/>
        </w:rPr>
        <w:t xml:space="preserve">            </w:t>
      </w:r>
      <w:r>
        <w:rPr>
          <w:rFonts w:hint="eastAsia" w:ascii="宋体" w:hAnsi="宋体" w:eastAsia="宋体" w:cs="宋体"/>
          <w:sz w:val="20"/>
          <w:szCs w:val="20"/>
          <w:lang w:eastAsia="zh-CN"/>
        </w:rPr>
        <w:t xml:space="preserve">  （标段名称）的投标，并确定其为中标人。</w:t>
      </w:r>
      <w:r>
        <w:rPr>
          <w:rFonts w:hint="eastAsia" w:ascii="宋体" w:hAnsi="宋体" w:eastAsia="宋体" w:cs="宋体"/>
          <w:sz w:val="20"/>
          <w:szCs w:val="20"/>
        </w:rPr>
        <w:t>发包人和承</w:t>
      </w:r>
      <w:r>
        <w:rPr>
          <w:rFonts w:ascii="宋体" w:hAnsi="宋体" w:eastAsia="宋体"/>
          <w:sz w:val="20"/>
          <w:szCs w:val="20"/>
        </w:rPr>
        <w:t xml:space="preserve"> </w:t>
      </w:r>
      <w:r>
        <w:rPr>
          <w:rFonts w:hint="eastAsia" w:ascii="宋体" w:hAnsi="宋体" w:eastAsia="宋体" w:cs="宋体"/>
          <w:sz w:val="20"/>
          <w:szCs w:val="20"/>
        </w:rPr>
        <w:t>包人共同达成如下协议。</w:t>
      </w:r>
    </w:p>
    <w:p>
      <w:pPr>
        <w:pStyle w:val="34"/>
        <w:keepNext w:val="0"/>
        <w:keepLines w:val="0"/>
        <w:pageBreakBefore w:val="0"/>
        <w:widowControl w:val="0"/>
        <w:numPr>
          <w:ilvl w:val="0"/>
          <w:numId w:val="46"/>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ascii="宋体" w:hAnsi="宋体" w:eastAsia="宋体" w:cs="宋体"/>
          <w:sz w:val="20"/>
          <w:szCs w:val="20"/>
          <w:lang w:val="zh-CN" w:eastAsia="zh-CN" w:bidi="zh-CN"/>
        </w:rPr>
        <w:t>本协议书与下列文件一起构成合同文件：</w:t>
      </w:r>
    </w:p>
    <w:p>
      <w:pPr>
        <w:pStyle w:val="34"/>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w:t>
      </w:r>
      <w:r>
        <w:rPr>
          <w:sz w:val="20"/>
          <w:szCs w:val="20"/>
          <w:lang w:val="zh-CN" w:eastAsia="zh-CN" w:bidi="zh-CN"/>
        </w:rPr>
        <w:t>1</w:t>
      </w:r>
      <w:r>
        <w:rPr>
          <w:rFonts w:hint="eastAsia" w:ascii="宋体" w:hAnsi="宋体" w:eastAsia="宋体" w:cs="宋体"/>
          <w:sz w:val="20"/>
          <w:szCs w:val="20"/>
          <w:lang w:val="zh-CN" w:eastAsia="zh-CN" w:bidi="zh-CN"/>
        </w:rPr>
        <w:t>）</w:t>
      </w:r>
      <w:r>
        <w:rPr>
          <w:sz w:val="20"/>
          <w:szCs w:val="20"/>
          <w:lang w:val="zh-CN" w:eastAsia="zh-CN" w:bidi="zh-CN"/>
        </w:rPr>
        <w:tab/>
      </w:r>
      <w:r>
        <w:rPr>
          <w:rFonts w:ascii="宋体" w:hAnsi="宋体" w:eastAsia="宋体" w:cs="宋体"/>
          <w:sz w:val="20"/>
          <w:szCs w:val="20"/>
          <w:lang w:val="zh-CN" w:eastAsia="zh-CN" w:bidi="zh-CN"/>
        </w:rPr>
        <w:t>中标通知书；</w:t>
      </w:r>
    </w:p>
    <w:p>
      <w:pPr>
        <w:pStyle w:val="34"/>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w:t>
      </w:r>
      <w:r>
        <w:rPr>
          <w:sz w:val="20"/>
          <w:szCs w:val="20"/>
          <w:lang w:val="zh-CN" w:eastAsia="zh-CN" w:bidi="zh-CN"/>
        </w:rPr>
        <w:t>2</w:t>
      </w:r>
      <w:r>
        <w:rPr>
          <w:rFonts w:hint="eastAsia" w:ascii="宋体" w:hAnsi="宋体" w:eastAsia="宋体" w:cs="宋体"/>
          <w:sz w:val="20"/>
          <w:szCs w:val="20"/>
          <w:lang w:val="zh-CN" w:eastAsia="zh-CN" w:bidi="zh-CN"/>
        </w:rPr>
        <w:t>）</w:t>
      </w:r>
      <w:r>
        <w:rPr>
          <w:sz w:val="20"/>
          <w:szCs w:val="20"/>
          <w:lang w:val="zh-CN" w:eastAsia="zh-CN" w:bidi="zh-CN"/>
        </w:rPr>
        <w:tab/>
      </w:r>
      <w:r>
        <w:rPr>
          <w:rFonts w:ascii="宋体" w:hAnsi="宋体" w:eastAsia="宋体" w:cs="宋体"/>
          <w:sz w:val="20"/>
          <w:szCs w:val="20"/>
          <w:lang w:val="zh-CN" w:eastAsia="zh-CN" w:bidi="zh-CN"/>
        </w:rPr>
        <w:t>投标函及投标函附录；</w:t>
      </w:r>
    </w:p>
    <w:p>
      <w:pPr>
        <w:pStyle w:val="34"/>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w:t>
      </w:r>
      <w:r>
        <w:rPr>
          <w:sz w:val="20"/>
          <w:szCs w:val="20"/>
          <w:lang w:val="zh-CN" w:eastAsia="zh-CN" w:bidi="zh-CN"/>
        </w:rPr>
        <w:t>3</w:t>
      </w:r>
      <w:r>
        <w:rPr>
          <w:rFonts w:hint="eastAsia" w:ascii="宋体" w:hAnsi="宋体" w:eastAsia="宋体" w:cs="宋体"/>
          <w:sz w:val="20"/>
          <w:szCs w:val="20"/>
          <w:lang w:val="zh-CN" w:eastAsia="zh-CN" w:bidi="zh-CN"/>
        </w:rPr>
        <w:t>）</w:t>
      </w:r>
      <w:r>
        <w:rPr>
          <w:sz w:val="20"/>
          <w:szCs w:val="20"/>
          <w:lang w:val="zh-CN" w:eastAsia="zh-CN" w:bidi="zh-CN"/>
        </w:rPr>
        <w:tab/>
      </w:r>
      <w:r>
        <w:rPr>
          <w:rFonts w:ascii="宋体" w:hAnsi="宋体" w:eastAsia="宋体" w:cs="宋体"/>
          <w:sz w:val="20"/>
          <w:szCs w:val="20"/>
          <w:lang w:val="zh-CN" w:eastAsia="zh-CN" w:bidi="zh-CN"/>
        </w:rPr>
        <w:t>专用合同条款（含附加条款）；</w:t>
      </w:r>
    </w:p>
    <w:p>
      <w:pPr>
        <w:pStyle w:val="34"/>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w:t>
      </w:r>
      <w:r>
        <w:rPr>
          <w:sz w:val="20"/>
          <w:szCs w:val="20"/>
          <w:lang w:val="zh-CN" w:eastAsia="zh-CN" w:bidi="zh-CN"/>
        </w:rPr>
        <w:t>4</w:t>
      </w:r>
      <w:r>
        <w:rPr>
          <w:rFonts w:hint="eastAsia" w:ascii="宋体" w:hAnsi="宋体" w:eastAsia="宋体" w:cs="宋体"/>
          <w:sz w:val="20"/>
          <w:szCs w:val="20"/>
          <w:lang w:val="zh-CN" w:eastAsia="zh-CN" w:bidi="zh-CN"/>
        </w:rPr>
        <w:t>）</w:t>
      </w:r>
      <w:r>
        <w:rPr>
          <w:sz w:val="20"/>
          <w:szCs w:val="20"/>
          <w:lang w:val="zh-CN" w:eastAsia="zh-CN" w:bidi="zh-CN"/>
        </w:rPr>
        <w:tab/>
      </w:r>
      <w:r>
        <w:rPr>
          <w:rFonts w:ascii="宋体" w:hAnsi="宋体" w:eastAsia="宋体" w:cs="宋体"/>
          <w:sz w:val="20"/>
          <w:szCs w:val="20"/>
          <w:lang w:val="zh-CN" w:eastAsia="zh-CN" w:bidi="zh-CN"/>
        </w:rPr>
        <w:t>通用合同条款；</w:t>
      </w:r>
    </w:p>
    <w:p>
      <w:pPr>
        <w:pStyle w:val="34"/>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w:t>
      </w:r>
      <w:r>
        <w:rPr>
          <w:sz w:val="20"/>
          <w:szCs w:val="20"/>
          <w:lang w:val="zh-CN" w:eastAsia="zh-CN" w:bidi="zh-CN"/>
        </w:rPr>
        <w:t>5</w:t>
      </w:r>
      <w:r>
        <w:rPr>
          <w:rFonts w:hint="eastAsia" w:ascii="宋体" w:hAnsi="宋体" w:eastAsia="宋体" w:cs="宋体"/>
          <w:sz w:val="20"/>
          <w:szCs w:val="20"/>
          <w:lang w:val="zh-CN" w:eastAsia="zh-CN" w:bidi="zh-CN"/>
        </w:rPr>
        <w:t>）</w:t>
      </w:r>
      <w:r>
        <w:rPr>
          <w:sz w:val="20"/>
          <w:szCs w:val="20"/>
          <w:lang w:val="zh-CN" w:eastAsia="zh-CN" w:bidi="zh-CN"/>
        </w:rPr>
        <w:tab/>
      </w:r>
      <w:r>
        <w:rPr>
          <w:rFonts w:ascii="宋体" w:hAnsi="宋体" w:eastAsia="宋体" w:cs="宋体"/>
          <w:sz w:val="20"/>
          <w:szCs w:val="20"/>
          <w:lang w:val="zh-CN" w:eastAsia="zh-CN" w:bidi="zh-CN"/>
        </w:rPr>
        <w:t>技术标准和要求（合同技术条款）；</w:t>
      </w:r>
    </w:p>
    <w:p>
      <w:pPr>
        <w:pStyle w:val="34"/>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w:t>
      </w:r>
      <w:r>
        <w:rPr>
          <w:sz w:val="20"/>
          <w:szCs w:val="20"/>
          <w:lang w:val="zh-CN" w:eastAsia="zh-CN" w:bidi="zh-CN"/>
        </w:rPr>
        <w:t>6</w:t>
      </w:r>
      <w:r>
        <w:rPr>
          <w:rFonts w:hint="eastAsia" w:ascii="宋体" w:hAnsi="宋体" w:eastAsia="宋体" w:cs="宋体"/>
          <w:sz w:val="20"/>
          <w:szCs w:val="20"/>
          <w:lang w:val="zh-CN" w:eastAsia="zh-CN" w:bidi="zh-CN"/>
        </w:rPr>
        <w:t>）</w:t>
      </w:r>
      <w:r>
        <w:rPr>
          <w:sz w:val="20"/>
          <w:szCs w:val="20"/>
          <w:lang w:val="zh-CN" w:eastAsia="zh-CN" w:bidi="zh-CN"/>
        </w:rPr>
        <w:tab/>
      </w:r>
      <w:r>
        <w:rPr>
          <w:rFonts w:ascii="宋体" w:hAnsi="宋体" w:eastAsia="宋体" w:cs="宋体"/>
          <w:sz w:val="20"/>
          <w:szCs w:val="20"/>
          <w:lang w:val="zh-CN" w:eastAsia="zh-CN" w:bidi="zh-CN"/>
        </w:rPr>
        <w:t>图纸；</w:t>
      </w:r>
    </w:p>
    <w:p>
      <w:pPr>
        <w:pStyle w:val="34"/>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w:t>
      </w:r>
      <w:r>
        <w:rPr>
          <w:sz w:val="20"/>
          <w:szCs w:val="20"/>
          <w:lang w:val="zh-CN" w:eastAsia="zh-CN" w:bidi="zh-CN"/>
        </w:rPr>
        <w:t>7</w:t>
      </w:r>
      <w:r>
        <w:rPr>
          <w:rFonts w:hint="eastAsia" w:ascii="宋体" w:hAnsi="宋体" w:eastAsia="宋体" w:cs="宋体"/>
          <w:sz w:val="20"/>
          <w:szCs w:val="20"/>
          <w:lang w:val="zh-CN" w:eastAsia="zh-CN" w:bidi="zh-CN"/>
        </w:rPr>
        <w:t>）</w:t>
      </w:r>
      <w:r>
        <w:rPr>
          <w:sz w:val="20"/>
          <w:szCs w:val="20"/>
          <w:lang w:val="zh-CN" w:eastAsia="zh-CN" w:bidi="zh-CN"/>
        </w:rPr>
        <w:tab/>
      </w:r>
      <w:r>
        <w:rPr>
          <w:rFonts w:ascii="宋体" w:hAnsi="宋体" w:eastAsia="宋体" w:cs="宋体"/>
          <w:sz w:val="20"/>
          <w:szCs w:val="20"/>
          <w:lang w:val="zh-CN" w:eastAsia="zh-CN" w:bidi="zh-CN"/>
        </w:rPr>
        <w:t>已标价工程量清单；</w:t>
      </w:r>
    </w:p>
    <w:p>
      <w:pPr>
        <w:pStyle w:val="34"/>
        <w:keepNext w:val="0"/>
        <w:keepLines w:val="0"/>
        <w:pageBreakBefore w:val="0"/>
        <w:widowControl w:val="0"/>
        <w:tabs>
          <w:tab w:val="left" w:pos="903"/>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w:t>
      </w:r>
      <w:r>
        <w:rPr>
          <w:sz w:val="20"/>
          <w:szCs w:val="20"/>
          <w:lang w:val="zh-CN" w:eastAsia="zh-CN" w:bidi="zh-CN"/>
        </w:rPr>
        <w:t>8</w:t>
      </w:r>
      <w:r>
        <w:rPr>
          <w:rFonts w:hint="eastAsia" w:ascii="宋体" w:hAnsi="宋体" w:eastAsia="宋体" w:cs="宋体"/>
          <w:sz w:val="20"/>
          <w:szCs w:val="20"/>
          <w:lang w:val="zh-CN" w:eastAsia="zh-CN" w:bidi="zh-CN"/>
        </w:rPr>
        <w:t>）</w:t>
      </w:r>
      <w:r>
        <w:rPr>
          <w:sz w:val="20"/>
          <w:szCs w:val="20"/>
          <w:lang w:val="zh-CN" w:eastAsia="zh-CN" w:bidi="zh-CN"/>
        </w:rPr>
        <w:tab/>
      </w:r>
      <w:r>
        <w:rPr>
          <w:rFonts w:ascii="宋体" w:hAnsi="宋体" w:eastAsia="宋体" w:cs="宋体"/>
          <w:sz w:val="20"/>
          <w:szCs w:val="20"/>
          <w:lang w:val="zh-CN" w:eastAsia="zh-CN" w:bidi="zh-CN"/>
        </w:rPr>
        <w:t>其他合同文件。</w:t>
      </w:r>
    </w:p>
    <w:p>
      <w:pPr>
        <w:pStyle w:val="34"/>
        <w:keepNext w:val="0"/>
        <w:keepLines w:val="0"/>
        <w:pageBreakBefore w:val="0"/>
        <w:widowControl w:val="0"/>
        <w:numPr>
          <w:ilvl w:val="0"/>
          <w:numId w:val="46"/>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ascii="宋体" w:hAnsi="宋体" w:eastAsia="宋体" w:cs="宋体"/>
          <w:sz w:val="20"/>
          <w:szCs w:val="20"/>
          <w:lang w:val="zh-CN" w:eastAsia="zh-CN" w:bidi="zh-CN"/>
        </w:rPr>
        <w:t>上述文件互相补充和解释，如有不明确或不一致之处，以合同约定次序在先者为准。</w:t>
      </w:r>
    </w:p>
    <w:p>
      <w:pPr>
        <w:pStyle w:val="34"/>
        <w:keepNext w:val="0"/>
        <w:keepLines w:val="0"/>
        <w:pageBreakBefore w:val="0"/>
        <w:widowControl w:val="0"/>
        <w:numPr>
          <w:ilvl w:val="0"/>
          <w:numId w:val="46"/>
        </w:numPr>
        <w:tabs>
          <w:tab w:val="left" w:pos="764"/>
          <w:tab w:val="left" w:pos="4291"/>
          <w:tab w:val="left" w:pos="579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ascii="宋体" w:hAnsi="宋体" w:eastAsia="宋体" w:cs="宋体"/>
          <w:sz w:val="20"/>
          <w:szCs w:val="20"/>
          <w:lang w:val="zh-CN" w:eastAsia="zh-CN" w:bidi="zh-CN"/>
        </w:rPr>
        <w:t>签约合同价：人民币（大写）</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元（¥</w:t>
      </w:r>
      <w:r>
        <w:rPr>
          <w:rFonts w:ascii="宋体" w:hAnsi="宋体" w:eastAsia="宋体" w:cs="宋体"/>
          <w:sz w:val="20"/>
          <w:szCs w:val="20"/>
          <w:u w:val="single"/>
          <w:lang w:val="zh-CN" w:eastAsia="zh-CN" w:bidi="zh-CN"/>
        </w:rPr>
        <w:tab/>
      </w:r>
      <w:r>
        <w:rPr>
          <w:rFonts w:hint="eastAsia" w:ascii="宋体" w:hAnsi="宋体" w:eastAsia="宋体" w:cs="宋体"/>
          <w:sz w:val="20"/>
          <w:szCs w:val="20"/>
          <w:lang w:eastAsia="zh-CN"/>
        </w:rPr>
        <w:t>）</w:t>
      </w:r>
      <w:r>
        <w:rPr>
          <w:sz w:val="20"/>
          <w:szCs w:val="20"/>
          <w:vertAlign w:val="subscript"/>
          <w:lang w:eastAsia="zh-CN"/>
        </w:rPr>
        <w:t>o</w:t>
      </w:r>
    </w:p>
    <w:p>
      <w:pPr>
        <w:pStyle w:val="34"/>
        <w:keepNext w:val="0"/>
        <w:keepLines w:val="0"/>
        <w:pageBreakBefore w:val="0"/>
        <w:widowControl w:val="0"/>
        <w:numPr>
          <w:ilvl w:val="0"/>
          <w:numId w:val="46"/>
        </w:numPr>
        <w:tabs>
          <w:tab w:val="left" w:pos="764"/>
          <w:tab w:val="left" w:pos="423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ascii="宋体" w:hAnsi="宋体" w:eastAsia="宋体" w:cs="宋体"/>
          <w:sz w:val="20"/>
          <w:szCs w:val="20"/>
          <w:lang w:val="zh-CN" w:eastAsia="zh-CN" w:bidi="zh-CN"/>
        </w:rPr>
        <w:t>承包人项目经理：</w:t>
      </w:r>
      <w:r>
        <w:rPr>
          <w:rFonts w:ascii="宋体" w:hAnsi="宋体" w:eastAsia="宋体" w:cs="宋体"/>
          <w:sz w:val="20"/>
          <w:szCs w:val="20"/>
          <w:u w:val="single"/>
          <w:lang w:val="zh-CN" w:eastAsia="zh-CN" w:bidi="zh-CN"/>
        </w:rPr>
        <w:tab/>
      </w:r>
      <w:r>
        <w:rPr>
          <w:rFonts w:hint="eastAsia" w:eastAsia="宋体"/>
          <w:sz w:val="20"/>
          <w:szCs w:val="20"/>
          <w:lang w:eastAsia="zh-CN"/>
        </w:rPr>
        <w:t>。</w:t>
      </w:r>
    </w:p>
    <w:p>
      <w:pPr>
        <w:pStyle w:val="34"/>
        <w:keepNext w:val="0"/>
        <w:keepLines w:val="0"/>
        <w:pageBreakBefore w:val="0"/>
        <w:widowControl w:val="0"/>
        <w:numPr>
          <w:ilvl w:val="0"/>
          <w:numId w:val="46"/>
        </w:numPr>
        <w:tabs>
          <w:tab w:val="left" w:pos="764"/>
          <w:tab w:val="left" w:pos="3809"/>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ascii="宋体" w:hAnsi="宋体" w:eastAsia="宋体" w:cs="宋体"/>
          <w:sz w:val="20"/>
          <w:szCs w:val="20"/>
          <w:lang w:val="zh-CN" w:eastAsia="zh-CN" w:bidi="zh-CN"/>
        </w:rPr>
        <w:t>工程质量符合</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标准。</w:t>
      </w:r>
    </w:p>
    <w:p>
      <w:pPr>
        <w:pStyle w:val="34"/>
        <w:keepNext w:val="0"/>
        <w:keepLines w:val="0"/>
        <w:pageBreakBefore w:val="0"/>
        <w:widowControl w:val="0"/>
        <w:numPr>
          <w:ilvl w:val="0"/>
          <w:numId w:val="46"/>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ascii="宋体" w:hAnsi="宋体" w:eastAsia="宋体" w:cs="宋体"/>
          <w:sz w:val="20"/>
          <w:szCs w:val="20"/>
          <w:lang w:val="zh-CN" w:eastAsia="zh-CN" w:bidi="zh-CN"/>
        </w:rPr>
        <w:t>承包人承诺按合同约定承担工程的实施、完成及缺陷修复。</w:t>
      </w:r>
    </w:p>
    <w:p>
      <w:pPr>
        <w:pStyle w:val="34"/>
        <w:keepNext w:val="0"/>
        <w:keepLines w:val="0"/>
        <w:pageBreakBefore w:val="0"/>
        <w:widowControl w:val="0"/>
        <w:numPr>
          <w:ilvl w:val="0"/>
          <w:numId w:val="46"/>
        </w:numPr>
        <w:tabs>
          <w:tab w:val="left" w:pos="764"/>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ascii="宋体" w:hAnsi="宋体" w:eastAsia="宋体" w:cs="宋体"/>
          <w:sz w:val="20"/>
          <w:szCs w:val="20"/>
          <w:lang w:val="zh-CN" w:eastAsia="zh-CN" w:bidi="zh-CN"/>
        </w:rPr>
        <w:t>发包人承诺按合同约定的条件、时间和方式向承包人支付合同价款。</w:t>
      </w:r>
    </w:p>
    <w:p>
      <w:pPr>
        <w:pStyle w:val="34"/>
        <w:keepNext w:val="0"/>
        <w:keepLines w:val="0"/>
        <w:pageBreakBefore w:val="0"/>
        <w:widowControl w:val="0"/>
        <w:numPr>
          <w:ilvl w:val="0"/>
          <w:numId w:val="46"/>
        </w:numPr>
        <w:tabs>
          <w:tab w:val="left" w:pos="764"/>
          <w:tab w:val="left" w:pos="5717"/>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ascii="宋体" w:hAnsi="宋体" w:eastAsia="宋体" w:cs="宋体"/>
          <w:sz w:val="20"/>
          <w:szCs w:val="20"/>
          <w:lang w:val="zh-CN" w:eastAsia="zh-CN" w:bidi="zh-CN"/>
        </w:rPr>
        <w:t>承包人承诺执行监理人开工通知，计划工期为</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天。</w:t>
      </w:r>
    </w:p>
    <w:p>
      <w:pPr>
        <w:pStyle w:val="34"/>
        <w:keepNext w:val="0"/>
        <w:keepLines w:val="0"/>
        <w:pageBreakBefore w:val="0"/>
        <w:widowControl w:val="0"/>
        <w:numPr>
          <w:ilvl w:val="0"/>
          <w:numId w:val="46"/>
        </w:numPr>
        <w:tabs>
          <w:tab w:val="left" w:pos="764"/>
          <w:tab w:val="left" w:pos="2789"/>
        </w:tabs>
        <w:kinsoku/>
        <w:wordWrap/>
        <w:overflowPunct/>
        <w:topLinePunct w:val="0"/>
        <w:autoSpaceDE/>
        <w:autoSpaceDN/>
        <w:bidi w:val="0"/>
        <w:adjustRightInd/>
        <w:snapToGrid/>
        <w:spacing w:line="352" w:lineRule="exact"/>
        <w:ind w:firstLine="400" w:firstLineChars="200"/>
        <w:jc w:val="both"/>
        <w:textAlignment w:val="auto"/>
        <w:rPr>
          <w:rFonts w:ascii="宋体" w:hAnsi="宋体" w:eastAsia="宋体" w:cs="宋体"/>
          <w:sz w:val="20"/>
          <w:szCs w:val="20"/>
          <w:lang w:val="zh-CN" w:eastAsia="zh-CN" w:bidi="zh-CN"/>
        </w:rPr>
      </w:pPr>
      <w:r>
        <w:rPr>
          <w:rFonts w:ascii="宋体" w:hAnsi="宋体" w:eastAsia="宋体" w:cs="宋体"/>
          <w:sz w:val="20"/>
          <w:szCs w:val="20"/>
          <w:lang w:val="zh-CN" w:eastAsia="zh-CN" w:bidi="zh-CN"/>
        </w:rPr>
        <w:t>本协议书一式</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份，合同双方各执一份。</w:t>
      </w:r>
    </w:p>
    <w:p>
      <w:pPr>
        <w:pStyle w:val="34"/>
        <w:keepNext w:val="0"/>
        <w:keepLines w:val="0"/>
        <w:pageBreakBefore w:val="0"/>
        <w:widowControl w:val="0"/>
        <w:numPr>
          <w:ilvl w:val="0"/>
          <w:numId w:val="46"/>
        </w:numPr>
        <w:tabs>
          <w:tab w:val="left" w:pos="841"/>
        </w:tabs>
        <w:kinsoku/>
        <w:wordWrap/>
        <w:overflowPunct/>
        <w:topLinePunct w:val="0"/>
        <w:autoSpaceDE/>
        <w:autoSpaceDN/>
        <w:bidi w:val="0"/>
        <w:adjustRightInd/>
        <w:snapToGrid/>
        <w:spacing w:after="320" w:line="352" w:lineRule="exact"/>
        <w:ind w:firstLine="400" w:firstLineChars="200"/>
        <w:jc w:val="both"/>
        <w:textAlignment w:val="auto"/>
        <w:rPr>
          <w:rFonts w:ascii="宋体" w:hAnsi="宋体" w:eastAsia="宋体" w:cs="宋体"/>
          <w:sz w:val="20"/>
          <w:szCs w:val="20"/>
          <w:lang w:val="zh-CN" w:eastAsia="zh-CN" w:bidi="zh-CN"/>
        </w:rPr>
      </w:pPr>
      <w:r>
        <w:rPr>
          <w:rFonts w:ascii="宋体" w:hAnsi="宋体" w:eastAsia="宋体" w:cs="宋体"/>
          <w:sz w:val="20"/>
          <w:szCs w:val="20"/>
          <w:lang w:val="zh-CN" w:eastAsia="zh-CN" w:bidi="zh-CN"/>
        </w:rPr>
        <w:t>合同未尽事宜，双方另行签订补充协议。补充协议是合同的组成部分。</w:t>
      </w:r>
    </w:p>
    <w:p>
      <w:pPr>
        <w:pStyle w:val="34"/>
        <w:tabs>
          <w:tab w:val="left" w:pos="2532"/>
          <w:tab w:val="left" w:pos="3132"/>
          <w:tab w:val="left" w:pos="6926"/>
        </w:tabs>
        <w:spacing w:line="355" w:lineRule="exact"/>
        <w:jc w:val="both"/>
        <w:rPr>
          <w:rFonts w:ascii="宋体" w:hAnsi="宋体" w:eastAsia="宋体" w:cs="宋体"/>
          <w:sz w:val="20"/>
          <w:szCs w:val="20"/>
          <w:lang w:val="zh-CN" w:eastAsia="zh-CN" w:bidi="zh-CN"/>
        </w:rPr>
      </w:pPr>
      <w:r>
        <w:rPr>
          <w:rFonts w:ascii="宋体" w:hAnsi="宋体" w:eastAsia="宋体" w:cs="宋体"/>
          <w:sz w:val="20"/>
          <w:szCs w:val="20"/>
          <w:lang w:val="zh-CN" w:eastAsia="zh-CN" w:bidi="zh-CN"/>
        </w:rPr>
        <w:t>发包人：</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 xml:space="preserve"> （盖单位公章） </w:t>
      </w:r>
      <w:r>
        <w:rPr>
          <w:rFonts w:hint="eastAsia" w:ascii="宋体" w:hAnsi="宋体" w:eastAsia="宋体" w:cs="宋体"/>
          <w:sz w:val="20"/>
          <w:szCs w:val="20"/>
          <w:lang w:val="zh-CN" w:eastAsia="zh-CN" w:bidi="zh-CN"/>
        </w:rPr>
        <w:t xml:space="preserve">  </w:t>
      </w:r>
      <w:r>
        <w:rPr>
          <w:rFonts w:ascii="宋体" w:hAnsi="宋体" w:eastAsia="宋体" w:cs="宋体"/>
          <w:sz w:val="20"/>
          <w:szCs w:val="20"/>
          <w:lang w:val="zh-CN" w:eastAsia="zh-CN" w:bidi="zh-CN"/>
        </w:rPr>
        <w:t xml:space="preserve">承包人： </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 xml:space="preserve"> （盖单位公章） 法定代表人</w:t>
      </w:r>
      <w:r>
        <w:rPr>
          <w:rFonts w:hint="eastAsia" w:ascii="宋体" w:hAnsi="宋体" w:eastAsia="宋体" w:cs="宋体"/>
          <w:sz w:val="20"/>
          <w:szCs w:val="20"/>
          <w:lang w:val="zh-CN" w:eastAsia="zh-CN" w:bidi="zh-CN"/>
        </w:rPr>
        <w:t>(</w:t>
      </w:r>
      <w:r>
        <w:rPr>
          <w:rFonts w:ascii="宋体" w:hAnsi="宋体" w:eastAsia="宋体" w:cs="宋体"/>
          <w:sz w:val="20"/>
          <w:szCs w:val="20"/>
          <w:lang w:val="zh-CN" w:eastAsia="zh-CN" w:bidi="zh-CN"/>
        </w:rPr>
        <w:t>或项目负责人</w:t>
      </w:r>
      <w:r>
        <w:rPr>
          <w:rFonts w:hint="eastAsia" w:ascii="宋体" w:hAnsi="宋体" w:eastAsia="宋体" w:cs="宋体"/>
          <w:sz w:val="20"/>
          <w:szCs w:val="20"/>
          <w:lang w:val="zh-CN" w:eastAsia="zh-CN" w:bidi="zh-CN"/>
        </w:rPr>
        <w:t>)</w:t>
      </w:r>
      <w:r>
        <w:rPr>
          <w:rFonts w:ascii="宋体" w:hAnsi="宋体" w:eastAsia="宋体" w:cs="宋体"/>
          <w:sz w:val="20"/>
          <w:szCs w:val="20"/>
          <w:lang w:val="zh-CN" w:eastAsia="zh-CN" w:bidi="zh-CN"/>
        </w:rPr>
        <w:t>：</w:t>
      </w:r>
      <w:r>
        <w:rPr>
          <w:rFonts w:ascii="宋体" w:hAnsi="宋体" w:eastAsia="宋体" w:cs="宋体"/>
          <w:sz w:val="20"/>
          <w:szCs w:val="20"/>
          <w:u w:val="single"/>
          <w:lang w:val="zh-CN" w:eastAsia="zh-CN" w:bidi="zh-CN"/>
        </w:rPr>
        <w:tab/>
      </w:r>
      <w:r>
        <w:rPr>
          <w:rFonts w:hint="eastAsia" w:ascii="宋体" w:hAnsi="宋体" w:eastAsia="宋体" w:cs="宋体"/>
          <w:sz w:val="20"/>
          <w:szCs w:val="20"/>
          <w:u w:val="single"/>
          <w:lang w:val="zh-CN" w:eastAsia="zh-CN" w:bidi="zh-CN"/>
        </w:rPr>
        <w:t xml:space="preserve">  </w:t>
      </w:r>
      <w:r>
        <w:rPr>
          <w:rFonts w:ascii="宋体" w:hAnsi="宋体" w:eastAsia="宋体" w:cs="宋体"/>
          <w:sz w:val="20"/>
          <w:szCs w:val="20"/>
          <w:lang w:val="zh-CN" w:eastAsia="zh-CN" w:bidi="zh-CN"/>
        </w:rPr>
        <w:t xml:space="preserve"> （签字） 法定代表人</w:t>
      </w:r>
      <w:r>
        <w:rPr>
          <w:rFonts w:hint="eastAsia" w:ascii="宋体" w:hAnsi="宋体" w:eastAsia="宋体" w:cs="宋体"/>
          <w:sz w:val="20"/>
          <w:szCs w:val="20"/>
          <w:lang w:val="zh-CN" w:eastAsia="zh-CN" w:bidi="zh-CN"/>
        </w:rPr>
        <w:t>(</w:t>
      </w:r>
      <w:r>
        <w:rPr>
          <w:rFonts w:ascii="宋体" w:hAnsi="宋体" w:eastAsia="宋体" w:cs="宋体"/>
          <w:sz w:val="20"/>
          <w:szCs w:val="20"/>
          <w:lang w:val="zh-CN" w:eastAsia="zh-CN" w:bidi="zh-CN"/>
        </w:rPr>
        <w:t>或其委托代理人</w:t>
      </w:r>
      <w:r>
        <w:rPr>
          <w:rFonts w:hint="eastAsia" w:ascii="宋体" w:hAnsi="宋体" w:eastAsia="宋体" w:cs="宋体"/>
          <w:sz w:val="20"/>
          <w:szCs w:val="20"/>
          <w:lang w:val="zh-CN" w:eastAsia="zh-CN" w:bidi="zh-CN"/>
        </w:rPr>
        <w:t>)</w:t>
      </w:r>
      <w:r>
        <w:rPr>
          <w:rFonts w:ascii="宋体" w:hAnsi="宋体" w:eastAsia="宋体" w:cs="宋体"/>
          <w:sz w:val="20"/>
          <w:szCs w:val="20"/>
          <w:lang w:val="zh-CN" w:eastAsia="zh-CN" w:bidi="zh-CN"/>
        </w:rPr>
        <w:t>：</w:t>
      </w:r>
      <w:r>
        <w:rPr>
          <w:rFonts w:ascii="宋体" w:hAnsi="宋体" w:eastAsia="宋体" w:cs="宋体"/>
          <w:sz w:val="20"/>
          <w:szCs w:val="20"/>
          <w:u w:val="single"/>
          <w:lang w:val="zh-CN" w:eastAsia="zh-CN" w:bidi="zh-CN"/>
        </w:rPr>
        <w:tab/>
      </w:r>
      <w:r>
        <w:rPr>
          <w:rFonts w:hint="eastAsia" w:ascii="宋体" w:hAnsi="宋体" w:eastAsia="宋体" w:cs="宋体"/>
          <w:sz w:val="20"/>
          <w:szCs w:val="20"/>
          <w:u w:val="single"/>
          <w:lang w:val="zh-CN" w:eastAsia="zh-CN" w:bidi="zh-CN"/>
        </w:rPr>
        <w:t xml:space="preserve">     </w:t>
      </w:r>
      <w:r>
        <w:rPr>
          <w:rFonts w:ascii="宋体" w:hAnsi="宋体" w:eastAsia="宋体" w:cs="宋体"/>
          <w:sz w:val="20"/>
          <w:szCs w:val="20"/>
          <w:lang w:val="zh-CN" w:eastAsia="zh-CN" w:bidi="zh-CN"/>
        </w:rPr>
        <w:t>（签字）</w:t>
      </w:r>
    </w:p>
    <w:p>
      <w:pPr>
        <w:pStyle w:val="34"/>
        <w:tabs>
          <w:tab w:val="left" w:pos="2532"/>
          <w:tab w:val="left" w:pos="3132"/>
          <w:tab w:val="left" w:pos="6926"/>
        </w:tabs>
        <w:spacing w:line="355" w:lineRule="exact"/>
        <w:jc w:val="both"/>
        <w:rPr>
          <w:rFonts w:hint="eastAsia" w:ascii="宋体" w:hAnsi="宋体" w:eastAsia="宋体" w:cs="宋体"/>
          <w:sz w:val="20"/>
          <w:szCs w:val="20"/>
          <w:lang w:val="zh-CN" w:eastAsia="zh-CN" w:bidi="zh-CN"/>
        </w:rPr>
      </w:pP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年</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月</w:t>
      </w:r>
      <w:r>
        <w:rPr>
          <w:rFonts w:hint="eastAsia" w:ascii="宋体" w:hAnsi="宋体" w:eastAsia="宋体" w:cs="宋体"/>
          <w:sz w:val="20"/>
          <w:szCs w:val="20"/>
          <w:u w:val="single"/>
          <w:lang w:eastAsia="zh-CN" w:bidi="zh-CN"/>
        </w:rPr>
        <w:t xml:space="preserve">      </w:t>
      </w:r>
      <w:r>
        <w:rPr>
          <w:rFonts w:ascii="宋体" w:hAnsi="宋体" w:eastAsia="宋体" w:cs="宋体"/>
          <w:sz w:val="20"/>
          <w:szCs w:val="20"/>
          <w:lang w:val="zh-CN" w:eastAsia="zh-CN" w:bidi="zh-CN"/>
        </w:rPr>
        <w:t>日</w:t>
      </w:r>
      <w:r>
        <w:rPr>
          <w:rFonts w:hint="eastAsia" w:ascii="宋体" w:hAnsi="宋体" w:eastAsia="宋体" w:cs="宋体"/>
          <w:sz w:val="20"/>
          <w:szCs w:val="20"/>
          <w:lang w:eastAsia="zh-CN" w:bidi="zh-CN"/>
        </w:rPr>
        <w:t xml:space="preserve">   </w:t>
      </w:r>
      <w:r>
        <w:rPr>
          <w:rFonts w:hint="eastAsia" w:ascii="宋体" w:hAnsi="宋体" w:eastAsia="宋体" w:cs="宋体"/>
          <w:sz w:val="20"/>
          <w:szCs w:val="20"/>
          <w:u w:val="single"/>
          <w:lang w:eastAsia="zh-CN" w:bidi="zh-CN"/>
        </w:rPr>
        <w:t xml:space="preserve">               </w:t>
      </w:r>
      <w:r>
        <w:rPr>
          <w:rFonts w:ascii="宋体" w:hAnsi="宋体" w:eastAsia="宋体" w:cs="宋体"/>
          <w:sz w:val="20"/>
          <w:szCs w:val="20"/>
          <w:lang w:val="zh-CN" w:eastAsia="zh-CN" w:bidi="zh-CN"/>
        </w:rPr>
        <w:t>年</w:t>
      </w:r>
      <w:r>
        <w:rPr>
          <w:rFonts w:hint="eastAsia" w:ascii="宋体" w:hAnsi="宋体" w:eastAsia="宋体" w:cs="宋体"/>
          <w:sz w:val="20"/>
          <w:szCs w:val="20"/>
          <w:u w:val="single"/>
          <w:lang w:val="zh-CN" w:eastAsia="zh-CN" w:bidi="zh-CN"/>
        </w:rPr>
        <w:t xml:space="preserve">     </w:t>
      </w:r>
      <w:r>
        <w:rPr>
          <w:rFonts w:hint="eastAsia" w:ascii="宋体" w:hAnsi="宋体" w:eastAsia="宋体" w:cs="宋体"/>
          <w:sz w:val="20"/>
          <w:szCs w:val="20"/>
          <w:lang w:val="zh-CN" w:eastAsia="zh-CN" w:bidi="zh-CN"/>
        </w:rPr>
        <w:t>月</w:t>
      </w:r>
      <w:r>
        <w:rPr>
          <w:rFonts w:hint="eastAsia" w:ascii="宋体" w:hAnsi="宋体" w:eastAsia="宋体" w:cs="宋体"/>
          <w:sz w:val="20"/>
          <w:szCs w:val="20"/>
          <w:u w:val="single"/>
          <w:lang w:val="zh-CN" w:eastAsia="zh-CN" w:bidi="zh-CN"/>
        </w:rPr>
        <w:t xml:space="preserve">          </w:t>
      </w:r>
      <w:r>
        <w:rPr>
          <w:rFonts w:hint="eastAsia" w:ascii="宋体" w:hAnsi="宋体" w:eastAsia="宋体" w:cs="宋体"/>
          <w:sz w:val="20"/>
          <w:szCs w:val="20"/>
          <w:lang w:val="zh-CN" w:eastAsia="zh-CN" w:bidi="zh-CN"/>
        </w:rPr>
        <w:t>日</w:t>
      </w:r>
    </w:p>
    <w:p>
      <w:pPr>
        <w:pStyle w:val="34"/>
        <w:tabs>
          <w:tab w:val="left" w:pos="2532"/>
          <w:tab w:val="left" w:pos="3132"/>
          <w:tab w:val="left" w:pos="6926"/>
        </w:tabs>
        <w:spacing w:line="355" w:lineRule="exact"/>
        <w:jc w:val="both"/>
        <w:rPr>
          <w:rFonts w:hint="eastAsia" w:ascii="宋体" w:hAnsi="宋体" w:eastAsia="宋体" w:cs="宋体"/>
          <w:sz w:val="20"/>
          <w:szCs w:val="20"/>
          <w:lang w:val="zh-CN" w:eastAsia="zh-CN" w:bidi="zh-CN"/>
        </w:rPr>
      </w:pPr>
    </w:p>
    <w:p>
      <w:pPr>
        <w:pStyle w:val="34"/>
        <w:keepNext/>
        <w:keepLines/>
        <w:spacing w:before="280" w:after="290" w:line="372" w:lineRule="auto"/>
        <w:outlineLvl w:val="4"/>
        <w:rPr>
          <w:b/>
          <w:sz w:val="28"/>
          <w:lang w:eastAsia="zh-CN"/>
        </w:rPr>
      </w:pPr>
      <w:bookmarkStart w:id="1422" w:name="_Toc15523"/>
      <w:bookmarkStart w:id="1423" w:name="_Toc20923"/>
      <w:r>
        <w:rPr>
          <w:rFonts w:hint="eastAsia" w:ascii="宋体" w:hAnsi="宋体" w:eastAsia="宋体" w:cs="宋体"/>
          <w:b/>
          <w:sz w:val="28"/>
          <w:lang w:eastAsia="zh-CN"/>
        </w:rPr>
        <w:br w:type="page"/>
      </w:r>
      <w:r>
        <w:rPr>
          <w:rFonts w:hint="eastAsia" w:ascii="宋体" w:hAnsi="宋体" w:eastAsia="宋体" w:cs="宋体"/>
          <w:b/>
          <w:sz w:val="28"/>
          <w:lang w:eastAsia="zh-CN"/>
        </w:rPr>
        <w:t>附件二：履约保函</w:t>
      </w:r>
      <w:bookmarkEnd w:id="1422"/>
      <w:bookmarkEnd w:id="1423"/>
    </w:p>
    <w:p>
      <w:pPr>
        <w:pStyle w:val="34"/>
        <w:jc w:val="center"/>
        <w:rPr>
          <w:rFonts w:ascii="宋体" w:hAnsi="宋体" w:eastAsia="宋体" w:cs="宋体"/>
          <w:b/>
          <w:sz w:val="32"/>
          <w:szCs w:val="32"/>
          <w:lang w:eastAsia="zh-CN"/>
        </w:rPr>
      </w:pPr>
      <w:r>
        <w:rPr>
          <w:rFonts w:hint="eastAsia" w:ascii="宋体" w:hAnsi="宋体" w:eastAsia="宋体" w:cs="宋体"/>
          <w:b/>
          <w:sz w:val="32"/>
          <w:szCs w:val="32"/>
          <w:lang w:eastAsia="zh-CN"/>
        </w:rPr>
        <w:t>履约保函</w:t>
      </w:r>
    </w:p>
    <w:p>
      <w:pPr>
        <w:pStyle w:val="34"/>
        <w:jc w:val="center"/>
        <w:rPr>
          <w:rFonts w:ascii="宋体" w:hAnsi="宋体" w:eastAsia="宋体" w:cs="宋体"/>
          <w:b/>
          <w:lang w:eastAsia="zh-CN"/>
        </w:rPr>
      </w:pPr>
    </w:p>
    <w:p>
      <w:pPr>
        <w:pStyle w:val="34"/>
        <w:jc w:val="center"/>
        <w:rPr>
          <w:b/>
          <w:lang w:eastAsia="zh-CN"/>
        </w:rPr>
      </w:pPr>
    </w:p>
    <w:p>
      <w:pPr>
        <w:pStyle w:val="34"/>
        <w:tabs>
          <w:tab w:val="left" w:pos="1870"/>
        </w:tabs>
        <w:spacing w:after="340" w:line="354" w:lineRule="exact"/>
        <w:jc w:val="both"/>
        <w:rPr>
          <w:rFonts w:hint="eastAsia" w:ascii="宋体" w:hAnsi="宋体" w:eastAsia="宋体" w:cs="宋体"/>
          <w:sz w:val="20"/>
          <w:szCs w:val="20"/>
          <w:lang w:val="zh-CN" w:eastAsia="zh-CN" w:bidi="zh-CN"/>
        </w:rPr>
      </w:pPr>
      <w:r>
        <w:rPr>
          <w:rFonts w:hint="eastAsia" w:ascii="宋体" w:hAnsi="宋体" w:eastAsia="宋体" w:cs="宋体"/>
          <w:sz w:val="20"/>
          <w:szCs w:val="20"/>
          <w:u w:val="single"/>
          <w:lang w:val="zh-CN" w:eastAsia="zh-CN" w:bidi="zh-CN"/>
        </w:rPr>
        <w:tab/>
      </w:r>
      <w:r>
        <w:rPr>
          <w:rFonts w:hint="eastAsia" w:ascii="宋体" w:hAnsi="宋体" w:eastAsia="宋体" w:cs="宋体"/>
          <w:sz w:val="20"/>
          <w:szCs w:val="20"/>
          <w:lang w:val="zh-CN" w:eastAsia="zh-CN" w:bidi="zh-CN"/>
        </w:rPr>
        <w:t>（发包人名称）：</w:t>
      </w:r>
    </w:p>
    <w:p>
      <w:pPr>
        <w:pStyle w:val="34"/>
        <w:tabs>
          <w:tab w:val="left" w:pos="847"/>
          <w:tab w:val="left" w:pos="1870"/>
          <w:tab w:val="left" w:pos="3485"/>
          <w:tab w:val="left" w:pos="3554"/>
          <w:tab w:val="left" w:pos="6878"/>
          <w:tab w:val="left" w:pos="8059"/>
        </w:tabs>
        <w:spacing w:line="354" w:lineRule="exact"/>
        <w:ind w:firstLine="420"/>
        <w:jc w:val="both"/>
        <w:rPr>
          <w:rFonts w:hint="eastAsia" w:ascii="宋体" w:hAnsi="宋体" w:eastAsia="宋体" w:cs="宋体"/>
          <w:sz w:val="20"/>
          <w:szCs w:val="20"/>
          <w:lang w:val="zh-CN" w:eastAsia="zh-CN" w:bidi="zh-CN"/>
        </w:rPr>
      </w:pPr>
      <w:r>
        <w:rPr>
          <w:rFonts w:hint="eastAsia" w:ascii="宋体" w:hAnsi="宋体" w:eastAsia="宋体" w:cs="宋体"/>
          <w:sz w:val="20"/>
          <w:szCs w:val="20"/>
          <w:lang w:val="zh-CN" w:eastAsia="zh-CN" w:bidi="zh-CN"/>
        </w:rPr>
        <w:t xml:space="preserve">鉴于（发包人名称，以下简称“发包人”）接受 </w:t>
      </w:r>
      <w:r>
        <w:rPr>
          <w:rFonts w:hint="eastAsia" w:ascii="宋体" w:hAnsi="宋体" w:eastAsia="宋体" w:cs="宋体"/>
          <w:sz w:val="20"/>
          <w:szCs w:val="20"/>
          <w:u w:val="single"/>
          <w:lang w:val="zh-CN" w:eastAsia="zh-CN" w:bidi="zh-CN"/>
        </w:rPr>
        <w:tab/>
      </w:r>
      <w:r>
        <w:rPr>
          <w:rFonts w:hint="eastAsia" w:ascii="宋体" w:hAnsi="宋体" w:eastAsia="宋体" w:cs="宋体"/>
          <w:sz w:val="20"/>
          <w:szCs w:val="20"/>
          <w:lang w:val="zh-CN" w:eastAsia="zh-CN" w:bidi="zh-CN"/>
        </w:rPr>
        <w:t>（承包人名称，以下称“承包人”）于</w:t>
      </w:r>
      <w:r>
        <w:rPr>
          <w:rFonts w:hint="eastAsia" w:ascii="宋体" w:hAnsi="宋体" w:eastAsia="宋体" w:cs="宋体"/>
          <w:sz w:val="20"/>
          <w:szCs w:val="20"/>
          <w:u w:val="single"/>
          <w:lang w:val="zh-CN" w:eastAsia="zh-CN" w:bidi="zh-CN"/>
        </w:rPr>
        <w:t xml:space="preserve">          </w:t>
      </w:r>
      <w:r>
        <w:rPr>
          <w:rFonts w:hint="eastAsia" w:ascii="宋体" w:hAnsi="宋体" w:eastAsia="宋体" w:cs="宋体"/>
          <w:sz w:val="20"/>
          <w:szCs w:val="20"/>
          <w:lang w:val="zh-CN" w:eastAsia="zh-CN" w:bidi="zh-CN"/>
        </w:rPr>
        <w:t>年</w:t>
      </w:r>
      <w:r>
        <w:rPr>
          <w:rFonts w:hint="eastAsia" w:ascii="宋体" w:hAnsi="宋体" w:eastAsia="宋体" w:cs="宋体"/>
          <w:sz w:val="20"/>
          <w:szCs w:val="20"/>
          <w:u w:val="single"/>
          <w:lang w:val="zh-CN" w:eastAsia="zh-CN" w:bidi="zh-CN"/>
        </w:rPr>
        <w:t xml:space="preserve">       </w:t>
      </w:r>
      <w:r>
        <w:rPr>
          <w:rFonts w:hint="eastAsia" w:ascii="宋体" w:hAnsi="宋体" w:eastAsia="宋体" w:cs="宋体"/>
          <w:sz w:val="20"/>
          <w:szCs w:val="20"/>
          <w:lang w:val="zh-CN" w:eastAsia="zh-CN" w:bidi="zh-CN"/>
        </w:rPr>
        <w:t xml:space="preserve">月 </w:t>
      </w:r>
      <w:r>
        <w:rPr>
          <w:rFonts w:hint="eastAsia" w:ascii="宋体" w:hAnsi="宋体" w:eastAsia="宋体" w:cs="宋体"/>
          <w:sz w:val="20"/>
          <w:szCs w:val="20"/>
          <w:u w:val="single"/>
          <w:lang w:val="zh-CN" w:eastAsia="zh-CN" w:bidi="zh-CN"/>
        </w:rPr>
        <w:tab/>
      </w:r>
      <w:r>
        <w:rPr>
          <w:rFonts w:hint="eastAsia" w:ascii="宋体" w:hAnsi="宋体" w:eastAsia="宋体" w:cs="宋体"/>
          <w:sz w:val="20"/>
          <w:szCs w:val="20"/>
          <w:lang w:val="zh-CN" w:eastAsia="zh-CN" w:bidi="zh-CN"/>
        </w:rPr>
        <w:t>日递交的（项目名称）</w:t>
      </w:r>
      <w:r>
        <w:rPr>
          <w:rFonts w:hint="eastAsia" w:ascii="宋体" w:hAnsi="宋体" w:eastAsia="宋体" w:cs="宋体"/>
          <w:sz w:val="20"/>
          <w:szCs w:val="20"/>
          <w:u w:val="single"/>
          <w:lang w:val="zh-CN" w:eastAsia="zh-CN" w:bidi="zh-CN"/>
        </w:rPr>
        <w:t xml:space="preserve">             </w:t>
      </w:r>
      <w:r>
        <w:rPr>
          <w:rFonts w:hint="eastAsia" w:ascii="宋体" w:hAnsi="宋体" w:eastAsia="宋体" w:cs="宋体"/>
          <w:sz w:val="20"/>
          <w:szCs w:val="20"/>
          <w:lang w:val="zh-CN" w:eastAsia="zh-CN" w:bidi="zh-CN"/>
        </w:rPr>
        <w:t>（标段名称）的投标文件。我方愿意无条件地、不可撤销地就承包人履行与你方订立的合同，向你方提供担保。</w:t>
      </w:r>
    </w:p>
    <w:p>
      <w:pPr>
        <w:pStyle w:val="34"/>
        <w:tabs>
          <w:tab w:val="left" w:pos="733"/>
          <w:tab w:val="left" w:pos="4879"/>
          <w:tab w:val="left" w:pos="7402"/>
        </w:tabs>
        <w:spacing w:line="354" w:lineRule="exact"/>
        <w:ind w:firstLine="400" w:firstLineChars="200"/>
        <w:jc w:val="both"/>
        <w:rPr>
          <w:rFonts w:hint="eastAsia" w:ascii="宋体" w:hAnsi="宋体" w:eastAsia="宋体" w:cs="宋体"/>
          <w:sz w:val="20"/>
          <w:szCs w:val="20"/>
          <w:lang w:val="zh-CN" w:eastAsia="zh-CN" w:bidi="zh-CN"/>
        </w:rPr>
      </w:pPr>
      <w:r>
        <w:rPr>
          <w:rFonts w:hint="eastAsia" w:ascii="宋体" w:hAnsi="宋体" w:eastAsia="宋体" w:cs="宋体"/>
          <w:sz w:val="20"/>
          <w:szCs w:val="20"/>
          <w:lang w:eastAsia="zh-CN" w:bidi="zh-CN"/>
        </w:rPr>
        <w:t>1.</w:t>
      </w:r>
      <w:r>
        <w:rPr>
          <w:rFonts w:hint="eastAsia" w:ascii="宋体" w:hAnsi="宋体" w:eastAsia="宋体" w:cs="宋体"/>
          <w:sz w:val="20"/>
          <w:szCs w:val="20"/>
          <w:lang w:val="zh-CN" w:eastAsia="zh-CN" w:bidi="zh-CN"/>
        </w:rPr>
        <w:t>担保金额人民币（大写）</w:t>
      </w:r>
      <w:r>
        <w:rPr>
          <w:rFonts w:hint="eastAsia" w:ascii="宋体" w:hAnsi="宋体" w:eastAsia="宋体" w:cs="宋体"/>
          <w:sz w:val="20"/>
          <w:szCs w:val="20"/>
          <w:u w:val="single"/>
          <w:lang w:val="zh-CN" w:eastAsia="zh-CN" w:bidi="zh-CN"/>
        </w:rPr>
        <w:tab/>
      </w:r>
      <w:r>
        <w:rPr>
          <w:rFonts w:hint="eastAsia" w:ascii="宋体" w:hAnsi="宋体" w:eastAsia="宋体" w:cs="宋体"/>
          <w:sz w:val="20"/>
          <w:szCs w:val="20"/>
          <w:lang w:val="zh-CN" w:eastAsia="zh-CN" w:bidi="zh-CN"/>
        </w:rPr>
        <w:t>元（¥</w:t>
      </w:r>
      <w:r>
        <w:rPr>
          <w:rFonts w:hint="eastAsia" w:ascii="宋体" w:hAnsi="宋体" w:eastAsia="宋体" w:cs="宋体"/>
          <w:sz w:val="20"/>
          <w:szCs w:val="20"/>
          <w:u w:val="single"/>
          <w:lang w:val="zh-CN" w:eastAsia="zh-CN" w:bidi="zh-CN"/>
        </w:rPr>
        <w:tab/>
      </w:r>
      <w:r>
        <w:rPr>
          <w:rFonts w:hint="eastAsia" w:ascii="宋体" w:hAnsi="宋体" w:eastAsia="宋体" w:cs="宋体"/>
          <w:sz w:val="20"/>
          <w:szCs w:val="20"/>
          <w:lang w:eastAsia="zh-CN"/>
        </w:rPr>
        <w:t>元）</w:t>
      </w:r>
      <w:r>
        <w:rPr>
          <w:rFonts w:hint="eastAsia" w:ascii="宋体" w:hAnsi="宋体" w:eastAsia="宋体" w:cs="宋体"/>
          <w:sz w:val="20"/>
          <w:szCs w:val="20"/>
          <w:vertAlign w:val="subscript"/>
          <w:lang w:eastAsia="zh-CN"/>
        </w:rPr>
        <w:t>o</w:t>
      </w:r>
    </w:p>
    <w:p>
      <w:pPr>
        <w:pStyle w:val="34"/>
        <w:tabs>
          <w:tab w:val="left" w:pos="697"/>
        </w:tabs>
        <w:spacing w:line="354" w:lineRule="exact"/>
        <w:ind w:firstLine="400" w:firstLineChars="200"/>
        <w:jc w:val="both"/>
        <w:rPr>
          <w:rFonts w:hint="eastAsia" w:ascii="宋体" w:hAnsi="宋体" w:eastAsia="宋体" w:cs="宋体"/>
          <w:sz w:val="20"/>
          <w:szCs w:val="20"/>
          <w:lang w:val="zh-CN" w:eastAsia="zh-CN" w:bidi="zh-CN"/>
        </w:rPr>
      </w:pPr>
      <w:r>
        <w:rPr>
          <w:rFonts w:hint="eastAsia" w:ascii="宋体" w:hAnsi="宋体" w:eastAsia="宋体" w:cs="宋体"/>
          <w:sz w:val="20"/>
          <w:szCs w:val="20"/>
          <w:lang w:eastAsia="zh-CN" w:bidi="zh-CN"/>
        </w:rPr>
        <w:t>2.</w:t>
      </w:r>
      <w:r>
        <w:rPr>
          <w:rFonts w:hint="eastAsia" w:ascii="宋体" w:hAnsi="宋体" w:eastAsia="宋体" w:cs="宋体"/>
          <w:sz w:val="20"/>
          <w:szCs w:val="20"/>
          <w:lang w:val="zh-CN" w:eastAsia="zh-CN" w:bidi="zh-CN"/>
        </w:rPr>
        <w:t>担保有效期自发包人与承包人签订的合同生效之日起至发包人签发工程完工证书之日止。</w:t>
      </w:r>
    </w:p>
    <w:p>
      <w:pPr>
        <w:pStyle w:val="34"/>
        <w:tabs>
          <w:tab w:val="left" w:pos="736"/>
        </w:tabs>
        <w:spacing w:line="354" w:lineRule="exact"/>
        <w:ind w:firstLine="400" w:firstLineChars="200"/>
        <w:jc w:val="both"/>
        <w:rPr>
          <w:rFonts w:hint="eastAsia" w:ascii="宋体" w:hAnsi="宋体" w:eastAsia="宋体" w:cs="宋体"/>
          <w:sz w:val="20"/>
          <w:szCs w:val="20"/>
          <w:lang w:val="zh-CN" w:eastAsia="zh-CN" w:bidi="zh-CN"/>
        </w:rPr>
      </w:pPr>
      <w:r>
        <w:rPr>
          <w:rFonts w:hint="eastAsia" w:ascii="宋体" w:hAnsi="宋体" w:eastAsia="宋体" w:cs="宋体"/>
          <w:sz w:val="20"/>
          <w:szCs w:val="20"/>
          <w:lang w:eastAsia="zh-CN" w:bidi="zh-CN"/>
        </w:rPr>
        <w:t>3.</w:t>
      </w:r>
      <w:r>
        <w:rPr>
          <w:rFonts w:hint="eastAsia" w:ascii="宋体" w:hAnsi="宋体" w:eastAsia="宋体" w:cs="宋体"/>
          <w:sz w:val="20"/>
          <w:szCs w:val="20"/>
          <w:lang w:val="zh-CN" w:eastAsia="zh-CN" w:bidi="zh-CN"/>
        </w:rPr>
        <w:t>在本担保有效期内，因承包人违反合同约定的义务给你方造成经济损失时，我方在收到你方以书面形式提出的在担保金额内的赔偿要求后，无条件地在7天内予以支付。</w:t>
      </w:r>
    </w:p>
    <w:p>
      <w:pPr>
        <w:pStyle w:val="34"/>
        <w:tabs>
          <w:tab w:val="left" w:pos="740"/>
        </w:tabs>
        <w:spacing w:after="340" w:line="354" w:lineRule="exact"/>
        <w:ind w:firstLine="400" w:firstLineChars="200"/>
        <w:jc w:val="both"/>
        <w:rPr>
          <w:rFonts w:hint="eastAsia" w:ascii="宋体" w:hAnsi="宋体" w:eastAsia="宋体" w:cs="宋体"/>
          <w:sz w:val="20"/>
          <w:szCs w:val="20"/>
          <w:lang w:val="zh-CN" w:eastAsia="zh-CN" w:bidi="zh-CN"/>
        </w:rPr>
      </w:pPr>
      <w:r>
        <w:rPr>
          <w:rFonts w:hint="eastAsia" w:ascii="宋体" w:hAnsi="宋体" w:eastAsia="宋体" w:cs="宋体"/>
          <w:sz w:val="20"/>
          <w:szCs w:val="20"/>
          <w:lang w:eastAsia="zh-CN" w:bidi="zh-CN"/>
        </w:rPr>
        <w:t>4.</w:t>
      </w:r>
      <w:r>
        <w:rPr>
          <w:rFonts w:hint="eastAsia" w:ascii="宋体" w:hAnsi="宋体" w:eastAsia="宋体" w:cs="宋体"/>
          <w:sz w:val="20"/>
          <w:szCs w:val="20"/>
          <w:lang w:val="zh-CN" w:eastAsia="zh-CN" w:bidi="zh-CN"/>
        </w:rPr>
        <w:t>发包人和承包人按《通用合同条款》第15条变更合同时，我方承担本担保规定的义务不变。</w:t>
      </w:r>
    </w:p>
    <w:p>
      <w:pPr>
        <w:pStyle w:val="34"/>
        <w:jc w:val="right"/>
        <w:rPr>
          <w:rFonts w:eastAsia="宋体"/>
          <w:sz w:val="20"/>
          <w:lang w:eastAsia="zh-CN"/>
        </w:rPr>
      </w:pPr>
      <w:r>
        <w:rPr>
          <w:rFonts w:hint="eastAsia" w:ascii="宋体" w:hAnsi="宋体" w:eastAsia="宋体" w:cs="宋体"/>
          <w:sz w:val="20"/>
          <w:szCs w:val="20"/>
          <w:lang w:eastAsia="zh-CN"/>
        </w:rPr>
        <w:t xml:space="preserve">   </w:t>
      </w:r>
      <w:r>
        <w:rPr>
          <w:rFonts w:hint="eastAsia" w:eastAsia="宋体"/>
          <w:sz w:val="20"/>
          <w:lang w:eastAsia="zh-CN"/>
        </w:rPr>
        <w:t>担  保 人：</w:t>
      </w:r>
      <w:r>
        <w:rPr>
          <w:rFonts w:hint="eastAsia" w:eastAsia="宋体"/>
          <w:sz w:val="20"/>
          <w:u w:val="single"/>
          <w:lang w:eastAsia="zh-CN"/>
        </w:rPr>
        <w:t xml:space="preserve">                                              </w:t>
      </w:r>
      <w:r>
        <w:rPr>
          <w:rFonts w:hint="eastAsia" w:eastAsia="宋体"/>
          <w:sz w:val="20"/>
          <w:lang w:eastAsia="zh-CN"/>
        </w:rPr>
        <w:t>（盖单位公章）</w:t>
      </w:r>
      <w:r>
        <w:rPr>
          <w:sz w:val="20"/>
          <w:lang w:eastAsia="zh-CN"/>
        </w:rPr>
        <w:t xml:space="preserve"> </w:t>
      </w:r>
    </w:p>
    <w:p>
      <w:pPr>
        <w:pStyle w:val="34"/>
        <w:jc w:val="right"/>
        <w:rPr>
          <w:rFonts w:eastAsia="宋体"/>
          <w:sz w:val="20"/>
          <w:lang w:eastAsia="zh-CN"/>
        </w:rPr>
      </w:pPr>
      <w:r>
        <w:rPr>
          <w:rFonts w:hint="eastAsia" w:eastAsia="宋体"/>
          <w:sz w:val="20"/>
          <w:lang w:eastAsia="zh-CN"/>
        </w:rPr>
        <w:t xml:space="preserve">           定代表人(或委托代理人)：</w:t>
      </w:r>
      <w:r>
        <w:rPr>
          <w:rFonts w:hint="eastAsia" w:eastAsia="宋体"/>
          <w:sz w:val="20"/>
          <w:u w:val="single"/>
          <w:lang w:eastAsia="zh-CN"/>
        </w:rPr>
        <w:t xml:space="preserve">    </w:t>
      </w:r>
      <w:r>
        <w:rPr>
          <w:rFonts w:hint="eastAsia"/>
          <w:sz w:val="20"/>
          <w:u w:val="single"/>
          <w:lang w:eastAsia="zh-CN"/>
        </w:rPr>
        <w:t xml:space="preserve"> </w:t>
      </w:r>
      <w:r>
        <w:rPr>
          <w:rFonts w:hint="eastAsia" w:eastAsia="宋体"/>
          <w:sz w:val="20"/>
          <w:u w:val="single"/>
          <w:lang w:eastAsia="zh-CN"/>
        </w:rPr>
        <w:t xml:space="preserve">                         </w:t>
      </w:r>
      <w:r>
        <w:rPr>
          <w:rFonts w:hint="eastAsia" w:eastAsia="宋体"/>
          <w:sz w:val="20"/>
          <w:lang w:eastAsia="zh-CN"/>
        </w:rPr>
        <w:t>（签字）</w:t>
      </w:r>
    </w:p>
    <w:p>
      <w:pPr>
        <w:pStyle w:val="34"/>
        <w:jc w:val="right"/>
        <w:rPr>
          <w:rFonts w:eastAsia="宋体"/>
          <w:sz w:val="20"/>
          <w:lang w:eastAsia="zh-CN"/>
        </w:rPr>
      </w:pPr>
      <w:r>
        <w:rPr>
          <w:rFonts w:hint="eastAsia" w:eastAsia="宋体"/>
          <w:sz w:val="20"/>
          <w:lang w:eastAsia="zh-CN"/>
        </w:rPr>
        <w:t>地       址：</w:t>
      </w:r>
      <w:r>
        <w:rPr>
          <w:rFonts w:hint="eastAsia" w:eastAsia="宋体"/>
          <w:sz w:val="20"/>
          <w:u w:val="single"/>
          <w:lang w:eastAsia="zh-CN"/>
        </w:rPr>
        <w:t xml:space="preserve">                </w:t>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rFonts w:hint="eastAsia" w:eastAsia="宋体"/>
          <w:sz w:val="20"/>
          <w:u w:val="single"/>
          <w:lang w:eastAsia="zh-CN"/>
        </w:rPr>
        <w:t xml:space="preserve">   </w:t>
      </w:r>
      <w:r>
        <w:rPr>
          <w:rFonts w:hint="eastAsia" w:eastAsia="宋体"/>
          <w:sz w:val="20"/>
          <w:lang w:eastAsia="zh-CN"/>
        </w:rPr>
        <w:t xml:space="preserve"> </w:t>
      </w:r>
    </w:p>
    <w:p>
      <w:pPr>
        <w:pStyle w:val="34"/>
        <w:jc w:val="right"/>
        <w:rPr>
          <w:rFonts w:eastAsia="宋体"/>
          <w:sz w:val="20"/>
          <w:lang w:eastAsia="zh-CN"/>
        </w:rPr>
      </w:pPr>
      <w:r>
        <w:rPr>
          <w:rFonts w:hint="eastAsia" w:eastAsia="宋体"/>
          <w:sz w:val="20"/>
          <w:lang w:eastAsia="zh-CN"/>
        </w:rPr>
        <w:t xml:space="preserve">        邮政编码：</w:t>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rFonts w:hint="eastAsia" w:eastAsia="宋体"/>
          <w:sz w:val="20"/>
          <w:u w:val="single"/>
          <w:lang w:eastAsia="zh-CN"/>
        </w:rPr>
        <w:t xml:space="preserve"> </w:t>
      </w:r>
      <w:r>
        <w:rPr>
          <w:rFonts w:hint="eastAsia" w:eastAsia="宋体"/>
          <w:sz w:val="20"/>
          <w:lang w:eastAsia="zh-CN"/>
        </w:rPr>
        <w:t xml:space="preserve"> </w:t>
      </w:r>
    </w:p>
    <w:p>
      <w:pPr>
        <w:pStyle w:val="34"/>
        <w:jc w:val="right"/>
        <w:rPr>
          <w:rFonts w:eastAsia="宋体"/>
          <w:sz w:val="20"/>
          <w:u w:val="single"/>
          <w:lang w:eastAsia="zh-CN"/>
        </w:rPr>
      </w:pPr>
      <w:r>
        <w:rPr>
          <w:rFonts w:hint="eastAsia" w:eastAsia="宋体"/>
          <w:sz w:val="20"/>
          <w:lang w:eastAsia="zh-CN"/>
        </w:rPr>
        <w:t xml:space="preserve">        电        话：</w:t>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p>
    <w:p>
      <w:pPr>
        <w:pStyle w:val="34"/>
        <w:jc w:val="right"/>
        <w:rPr>
          <w:rFonts w:eastAsia="宋体"/>
          <w:sz w:val="20"/>
          <w:lang w:eastAsia="zh-CN"/>
        </w:rPr>
      </w:pPr>
      <w:r>
        <w:rPr>
          <w:rFonts w:hint="eastAsia" w:eastAsia="宋体"/>
          <w:sz w:val="20"/>
          <w:lang w:eastAsia="zh-CN"/>
        </w:rPr>
        <w:t xml:space="preserve">        传        真：</w:t>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p>
    <w:p>
      <w:pPr>
        <w:pStyle w:val="34"/>
        <w:jc w:val="right"/>
        <w:rPr>
          <w:rFonts w:hint="eastAsia" w:ascii="宋体" w:hAnsi="宋体" w:eastAsia="宋体" w:cs="宋体"/>
          <w:sz w:val="20"/>
          <w:szCs w:val="20"/>
          <w:lang w:eastAsia="zh-CN"/>
        </w:rPr>
      </w:pPr>
      <w:r>
        <w:rPr>
          <w:sz w:val="20"/>
          <w:u w:val="single"/>
          <w:lang w:eastAsia="zh-CN"/>
        </w:rPr>
        <w:tab/>
      </w:r>
      <w:r>
        <w:rPr>
          <w:rFonts w:hint="eastAsia" w:eastAsia="宋体"/>
          <w:sz w:val="20"/>
          <w:u w:val="single"/>
          <w:lang w:eastAsia="zh-CN"/>
        </w:rPr>
        <w:t xml:space="preserve">       </w:t>
      </w:r>
      <w:r>
        <w:rPr>
          <w:rFonts w:hint="eastAsia" w:eastAsia="宋体"/>
          <w:sz w:val="20"/>
          <w:lang w:eastAsia="zh-CN"/>
        </w:rPr>
        <w:t>年</w:t>
      </w:r>
      <w:r>
        <w:rPr>
          <w:sz w:val="20"/>
          <w:u w:val="single"/>
          <w:lang w:eastAsia="zh-CN"/>
        </w:rPr>
        <w:tab/>
      </w:r>
      <w:r>
        <w:rPr>
          <w:rFonts w:hint="eastAsia" w:eastAsia="宋体"/>
          <w:sz w:val="20"/>
          <w:u w:val="single"/>
          <w:lang w:eastAsia="zh-CN"/>
        </w:rPr>
        <w:t xml:space="preserve">       </w:t>
      </w:r>
      <w:r>
        <w:rPr>
          <w:rFonts w:hint="eastAsia" w:eastAsia="宋体"/>
          <w:sz w:val="20"/>
          <w:lang w:eastAsia="zh-CN"/>
        </w:rPr>
        <w:t>月</w:t>
      </w:r>
      <w:r>
        <w:rPr>
          <w:rFonts w:hint="eastAsia" w:eastAsia="宋体"/>
          <w:sz w:val="20"/>
          <w:u w:val="single"/>
          <w:lang w:eastAsia="zh-CN"/>
        </w:rPr>
        <w:t xml:space="preserve">              </w:t>
      </w:r>
      <w:r>
        <w:rPr>
          <w:rFonts w:hint="eastAsia" w:eastAsia="宋体"/>
          <w:sz w:val="20"/>
          <w:lang w:eastAsia="zh-CN"/>
        </w:rPr>
        <w:t xml:space="preserve">日 </w:t>
      </w:r>
      <w:r>
        <w:rPr>
          <w:rFonts w:hint="eastAsia" w:ascii="宋体" w:hAnsi="宋体" w:eastAsia="宋体" w:cs="宋体"/>
          <w:sz w:val="20"/>
          <w:szCs w:val="20"/>
          <w:lang w:eastAsia="zh-CN"/>
        </w:rPr>
        <w:t xml:space="preserve">    </w:t>
      </w:r>
    </w:p>
    <w:p>
      <w:pPr>
        <w:pStyle w:val="34"/>
        <w:rPr>
          <w:rFonts w:hint="eastAsia" w:ascii="宋体" w:hAnsi="宋体" w:eastAsia="宋体" w:cs="宋体"/>
          <w:sz w:val="20"/>
          <w:szCs w:val="20"/>
          <w:lang w:val="zh-CN" w:eastAsia="zh-CN" w:bidi="zh-CN"/>
        </w:rPr>
      </w:pPr>
      <w:r>
        <w:rPr>
          <w:rFonts w:hint="eastAsia" w:ascii="宋体" w:hAnsi="宋体" w:eastAsia="宋体" w:cs="宋体"/>
          <w:sz w:val="20"/>
          <w:szCs w:val="20"/>
          <w:lang w:val="zh-CN" w:eastAsia="zh-CN" w:bidi="zh-CN"/>
        </w:rPr>
        <w:t>注：</w:t>
      </w:r>
    </w:p>
    <w:p>
      <w:pPr>
        <w:pStyle w:val="34"/>
        <w:tabs>
          <w:tab w:val="left" w:pos="733"/>
        </w:tabs>
        <w:spacing w:line="354" w:lineRule="exact"/>
        <w:jc w:val="both"/>
        <w:rPr>
          <w:rFonts w:hint="eastAsia" w:ascii="宋体" w:hAnsi="宋体" w:eastAsia="宋体" w:cs="宋体"/>
          <w:sz w:val="20"/>
          <w:szCs w:val="20"/>
          <w:lang w:val="zh-CN" w:eastAsia="zh-CN" w:bidi="zh-CN"/>
        </w:rPr>
      </w:pPr>
      <w:r>
        <w:rPr>
          <w:rFonts w:hint="eastAsia" w:ascii="宋体" w:hAnsi="宋体" w:eastAsia="宋体" w:cs="宋体"/>
          <w:sz w:val="20"/>
          <w:szCs w:val="20"/>
          <w:lang w:eastAsia="zh-CN" w:bidi="zh-CN"/>
        </w:rPr>
        <w:t>1.</w:t>
      </w:r>
      <w:r>
        <w:rPr>
          <w:rFonts w:hint="eastAsia" w:ascii="宋体" w:hAnsi="宋体" w:eastAsia="宋体" w:cs="宋体"/>
          <w:sz w:val="20"/>
          <w:szCs w:val="20"/>
          <w:lang w:val="zh-CN" w:eastAsia="zh-CN" w:bidi="zh-CN"/>
        </w:rPr>
        <w:t>担保人必须是投标人单位基本账户的开户银行。</w:t>
      </w:r>
    </w:p>
    <w:p>
      <w:pPr>
        <w:pStyle w:val="34"/>
        <w:tabs>
          <w:tab w:val="left" w:pos="750"/>
        </w:tabs>
        <w:spacing w:after="340" w:line="354" w:lineRule="exact"/>
        <w:jc w:val="both"/>
        <w:rPr>
          <w:rFonts w:hint="eastAsia" w:ascii="宋体" w:hAnsi="宋体" w:eastAsia="宋体" w:cs="宋体"/>
          <w:sz w:val="20"/>
          <w:szCs w:val="20"/>
          <w:lang w:val="zh-CN" w:eastAsia="zh-CN" w:bidi="zh-CN"/>
        </w:rPr>
      </w:pPr>
      <w:r>
        <w:rPr>
          <w:rFonts w:hint="eastAsia" w:ascii="宋体" w:hAnsi="宋体" w:eastAsia="宋体" w:cs="宋体"/>
          <w:sz w:val="20"/>
          <w:szCs w:val="20"/>
          <w:lang w:eastAsia="zh-CN" w:bidi="zh-CN"/>
        </w:rPr>
        <w:t>2.</w:t>
      </w:r>
      <w:r>
        <w:rPr>
          <w:rFonts w:hint="eastAsia" w:ascii="宋体" w:hAnsi="宋体" w:eastAsia="宋体" w:cs="宋体"/>
          <w:sz w:val="20"/>
          <w:szCs w:val="20"/>
          <w:lang w:val="zh-CN" w:eastAsia="zh-CN" w:bidi="zh-CN"/>
        </w:rPr>
        <w:t>委托代理人应附授权委托书。</w:t>
      </w:r>
    </w:p>
    <w:p>
      <w:pPr>
        <w:pStyle w:val="34"/>
        <w:tabs>
          <w:tab w:val="left" w:pos="750"/>
        </w:tabs>
        <w:spacing w:after="340" w:line="354" w:lineRule="exact"/>
        <w:jc w:val="both"/>
        <w:rPr>
          <w:rFonts w:hint="eastAsia" w:ascii="宋体" w:hAnsi="宋体" w:eastAsia="宋体" w:cs="宋体"/>
          <w:sz w:val="20"/>
          <w:szCs w:val="20"/>
          <w:lang w:val="zh-CN" w:eastAsia="zh-CN" w:bidi="zh-CN"/>
        </w:rPr>
      </w:pPr>
    </w:p>
    <w:p>
      <w:pPr>
        <w:pStyle w:val="34"/>
        <w:tabs>
          <w:tab w:val="left" w:pos="750"/>
        </w:tabs>
        <w:spacing w:after="340" w:line="354" w:lineRule="exact"/>
        <w:jc w:val="both"/>
        <w:rPr>
          <w:rFonts w:hint="eastAsia" w:ascii="宋体" w:hAnsi="宋体" w:eastAsia="宋体" w:cs="宋体"/>
          <w:sz w:val="20"/>
          <w:szCs w:val="20"/>
          <w:lang w:val="zh-CN" w:eastAsia="zh-CN" w:bidi="zh-CN"/>
        </w:rPr>
      </w:pPr>
    </w:p>
    <w:p>
      <w:pPr>
        <w:pStyle w:val="34"/>
        <w:tabs>
          <w:tab w:val="left" w:pos="750"/>
        </w:tabs>
        <w:spacing w:after="340" w:line="354" w:lineRule="exact"/>
        <w:jc w:val="both"/>
        <w:rPr>
          <w:rFonts w:hint="eastAsia" w:ascii="宋体" w:hAnsi="宋体" w:eastAsia="宋体" w:cs="宋体"/>
          <w:sz w:val="20"/>
          <w:szCs w:val="20"/>
          <w:lang w:val="zh-CN" w:eastAsia="zh-CN" w:bidi="zh-CN"/>
        </w:rPr>
      </w:pPr>
    </w:p>
    <w:p>
      <w:pPr>
        <w:pStyle w:val="34"/>
        <w:tabs>
          <w:tab w:val="left" w:pos="750"/>
        </w:tabs>
        <w:spacing w:after="340" w:line="354" w:lineRule="exact"/>
        <w:jc w:val="both"/>
        <w:rPr>
          <w:rFonts w:hint="eastAsia" w:ascii="宋体" w:hAnsi="宋体" w:eastAsia="宋体" w:cs="宋体"/>
          <w:sz w:val="20"/>
          <w:szCs w:val="20"/>
          <w:lang w:val="zh-CN" w:eastAsia="zh-CN" w:bidi="zh-CN"/>
        </w:rPr>
      </w:pPr>
    </w:p>
    <w:p>
      <w:pPr>
        <w:pStyle w:val="34"/>
        <w:tabs>
          <w:tab w:val="left" w:pos="750"/>
        </w:tabs>
        <w:spacing w:after="340" w:line="354" w:lineRule="exact"/>
        <w:jc w:val="both"/>
        <w:rPr>
          <w:rFonts w:hint="eastAsia" w:ascii="宋体" w:hAnsi="宋体" w:eastAsia="宋体" w:cs="宋体"/>
          <w:sz w:val="20"/>
          <w:szCs w:val="20"/>
          <w:lang w:val="zh-CN" w:eastAsia="zh-CN" w:bidi="zh-CN"/>
        </w:rPr>
      </w:pPr>
    </w:p>
    <w:p>
      <w:pPr>
        <w:pStyle w:val="34"/>
        <w:keepNext/>
        <w:keepLines/>
        <w:spacing w:before="280" w:after="290" w:line="372" w:lineRule="auto"/>
        <w:outlineLvl w:val="4"/>
        <w:rPr>
          <w:b/>
          <w:sz w:val="28"/>
          <w:lang w:eastAsia="zh-CN"/>
        </w:rPr>
      </w:pPr>
      <w:bookmarkStart w:id="1424" w:name="_Toc28234"/>
      <w:bookmarkStart w:id="1425" w:name="_Toc12217"/>
      <w:r>
        <w:rPr>
          <w:rFonts w:hint="eastAsia" w:ascii="宋体" w:hAnsi="宋体" w:eastAsia="宋体" w:cs="宋体"/>
          <w:b/>
          <w:sz w:val="28"/>
          <w:lang w:eastAsia="zh-CN"/>
        </w:rPr>
        <w:br w:type="page"/>
      </w:r>
      <w:r>
        <w:rPr>
          <w:rFonts w:hint="eastAsia" w:ascii="宋体" w:hAnsi="宋体" w:eastAsia="宋体" w:cs="宋体"/>
          <w:b/>
          <w:sz w:val="28"/>
          <w:lang w:eastAsia="zh-CN"/>
        </w:rPr>
        <w:t>附件三：预付款担保函</w:t>
      </w:r>
      <w:bookmarkEnd w:id="1424"/>
      <w:bookmarkEnd w:id="1425"/>
    </w:p>
    <w:p>
      <w:pPr>
        <w:pStyle w:val="34"/>
        <w:spacing w:before="120" w:beforeLines="50"/>
        <w:jc w:val="center"/>
        <w:rPr>
          <w:rFonts w:ascii="宋体" w:hAnsi="宋体" w:eastAsia="宋体" w:cs="宋体"/>
          <w:b/>
          <w:sz w:val="32"/>
          <w:szCs w:val="32"/>
          <w:lang w:eastAsia="zh-CN"/>
        </w:rPr>
      </w:pPr>
      <w:r>
        <w:rPr>
          <w:rFonts w:hint="eastAsia" w:ascii="宋体" w:hAnsi="宋体" w:eastAsia="宋体" w:cs="宋体"/>
          <w:b/>
          <w:sz w:val="32"/>
          <w:szCs w:val="32"/>
          <w:lang w:eastAsia="zh-CN"/>
        </w:rPr>
        <w:t>预付款担保函</w:t>
      </w:r>
    </w:p>
    <w:p>
      <w:pPr>
        <w:pStyle w:val="34"/>
        <w:jc w:val="center"/>
        <w:rPr>
          <w:b/>
          <w:lang w:eastAsia="zh-CN"/>
        </w:rPr>
      </w:pPr>
    </w:p>
    <w:p>
      <w:pPr>
        <w:pStyle w:val="34"/>
        <w:tabs>
          <w:tab w:val="left" w:pos="1870"/>
        </w:tabs>
        <w:spacing w:after="340"/>
        <w:jc w:val="both"/>
        <w:rPr>
          <w:rFonts w:ascii="宋体" w:hAnsi="宋体" w:eastAsia="宋体" w:cs="宋体"/>
          <w:sz w:val="20"/>
          <w:szCs w:val="20"/>
          <w:lang w:val="zh-CN" w:eastAsia="zh-CN" w:bidi="zh-CN"/>
        </w:rPr>
      </w:pP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（发包人名称）:</w:t>
      </w:r>
    </w:p>
    <w:p>
      <w:pPr>
        <w:pStyle w:val="34"/>
        <w:tabs>
          <w:tab w:val="left" w:pos="1870"/>
          <w:tab w:val="left" w:pos="2707"/>
          <w:tab w:val="left" w:pos="5004"/>
          <w:tab w:val="left" w:pos="5033"/>
          <w:tab w:val="left" w:pos="6163"/>
          <w:tab w:val="left" w:pos="7322"/>
          <w:tab w:val="left" w:pos="8333"/>
        </w:tabs>
        <w:spacing w:after="120" w:line="355" w:lineRule="exact"/>
        <w:ind w:firstLine="420"/>
        <w:jc w:val="both"/>
        <w:rPr>
          <w:rFonts w:ascii="宋体" w:hAnsi="宋体" w:eastAsia="宋体" w:cs="宋体"/>
          <w:sz w:val="20"/>
          <w:szCs w:val="20"/>
          <w:lang w:val="zh-CN" w:eastAsia="zh-CN" w:bidi="zh-CN"/>
        </w:rPr>
      </w:pPr>
      <w:r>
        <w:rPr>
          <w:rFonts w:ascii="宋体" w:hAnsi="宋体" w:eastAsia="宋体" w:cs="宋体"/>
          <w:sz w:val="20"/>
          <w:szCs w:val="20"/>
          <w:lang w:val="zh-CN" w:eastAsia="zh-CN" w:bidi="zh-CN"/>
        </w:rPr>
        <w:t>根据</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（承包人名称，以下称“承包人”）与</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 xml:space="preserve"> （发包人名称，以下简称“发包人”）于</w:t>
      </w:r>
      <w:r>
        <w:rPr>
          <w:rFonts w:ascii="宋体" w:hAnsi="宋体" w:eastAsia="宋体" w:cs="宋体"/>
          <w:sz w:val="20"/>
          <w:szCs w:val="20"/>
          <w:u w:val="single"/>
          <w:lang w:val="zh-CN" w:eastAsia="zh-CN" w:bidi="zh-CN"/>
        </w:rPr>
        <w:tab/>
      </w:r>
      <w:r>
        <w:rPr>
          <w:rFonts w:hint="eastAsia" w:ascii="宋体" w:hAnsi="宋体" w:eastAsia="宋体" w:cs="宋体"/>
          <w:sz w:val="20"/>
          <w:szCs w:val="20"/>
          <w:u w:val="single"/>
          <w:lang w:val="zh-CN" w:eastAsia="zh-CN" w:bidi="zh-CN"/>
        </w:rPr>
        <w:t xml:space="preserve">  </w:t>
      </w:r>
      <w:r>
        <w:rPr>
          <w:rFonts w:ascii="宋体" w:hAnsi="宋体" w:eastAsia="宋体" w:cs="宋体"/>
          <w:sz w:val="20"/>
          <w:szCs w:val="20"/>
          <w:lang w:val="zh-CN" w:eastAsia="zh-CN" w:bidi="zh-CN"/>
        </w:rPr>
        <w:t>年</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月</w:t>
      </w:r>
      <w:r>
        <w:rPr>
          <w:rFonts w:hint="eastAsia" w:ascii="宋体" w:hAnsi="宋体" w:eastAsia="宋体" w:cs="宋体"/>
          <w:sz w:val="20"/>
          <w:szCs w:val="20"/>
          <w:u w:val="single"/>
          <w:lang w:val="zh-CN" w:eastAsia="zh-CN" w:bidi="zh-CN"/>
        </w:rPr>
        <w:t xml:space="preserve">        </w:t>
      </w:r>
      <w:r>
        <w:rPr>
          <w:rFonts w:ascii="宋体" w:hAnsi="宋体" w:eastAsia="宋体" w:cs="宋体"/>
          <w:sz w:val="20"/>
          <w:szCs w:val="20"/>
          <w:lang w:val="zh-CN" w:eastAsia="zh-CN" w:bidi="zh-CN"/>
        </w:rPr>
        <w:t xml:space="preserve">日签订的 </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（项目名称）</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（标段名称）合同协议书，承包人 按约定的金额向发包人提交一份预付款担保，即有权得到发包人支付相等金额的预付款。 我方愿意就你方提供给承包人的预付款提供担保。</w:t>
      </w:r>
    </w:p>
    <w:p>
      <w:pPr>
        <w:pStyle w:val="34"/>
        <w:numPr>
          <w:ilvl w:val="0"/>
          <w:numId w:val="47"/>
        </w:numPr>
        <w:tabs>
          <w:tab w:val="left" w:pos="719"/>
          <w:tab w:val="left" w:pos="4879"/>
          <w:tab w:val="left" w:pos="7402"/>
        </w:tabs>
        <w:spacing w:line="372" w:lineRule="auto"/>
        <w:jc w:val="both"/>
        <w:rPr>
          <w:rFonts w:ascii="宋体" w:hAnsi="宋体" w:eastAsia="宋体" w:cs="宋体"/>
          <w:sz w:val="20"/>
          <w:szCs w:val="20"/>
          <w:lang w:val="zh-CN" w:eastAsia="zh-CN" w:bidi="zh-CN"/>
        </w:rPr>
      </w:pPr>
      <w:r>
        <w:rPr>
          <w:rFonts w:ascii="宋体" w:hAnsi="宋体" w:eastAsia="宋体" w:cs="宋体"/>
          <w:sz w:val="20"/>
          <w:szCs w:val="20"/>
          <w:lang w:val="zh-CN" w:eastAsia="zh-CN" w:bidi="zh-CN"/>
        </w:rPr>
        <w:t>担保金额人民币（大写）</w:t>
      </w:r>
      <w:r>
        <w:rPr>
          <w:rFonts w:ascii="宋体" w:hAnsi="宋体" w:eastAsia="宋体" w:cs="宋体"/>
          <w:sz w:val="20"/>
          <w:szCs w:val="20"/>
          <w:u w:val="single"/>
          <w:lang w:val="zh-CN" w:eastAsia="zh-CN" w:bidi="zh-CN"/>
        </w:rPr>
        <w:tab/>
      </w:r>
      <w:r>
        <w:rPr>
          <w:rFonts w:ascii="宋体" w:hAnsi="宋体" w:eastAsia="宋体" w:cs="宋体"/>
          <w:sz w:val="20"/>
          <w:szCs w:val="20"/>
          <w:lang w:val="zh-CN" w:eastAsia="zh-CN" w:bidi="zh-CN"/>
        </w:rPr>
        <w:t>元（¥</w:t>
      </w:r>
      <w:r>
        <w:rPr>
          <w:rFonts w:ascii="宋体" w:hAnsi="宋体" w:eastAsia="宋体" w:cs="宋体"/>
          <w:sz w:val="20"/>
          <w:szCs w:val="20"/>
          <w:u w:val="single"/>
          <w:lang w:val="zh-CN" w:eastAsia="zh-CN" w:bidi="zh-CN"/>
        </w:rPr>
        <w:tab/>
      </w:r>
      <w:r>
        <w:rPr>
          <w:rFonts w:hint="eastAsia" w:ascii="宋体" w:hAnsi="宋体" w:eastAsia="宋体" w:cs="宋体"/>
          <w:sz w:val="20"/>
          <w:szCs w:val="20"/>
          <w:lang w:eastAsia="zh-CN"/>
        </w:rPr>
        <w:t>）</w:t>
      </w:r>
      <w:r>
        <w:rPr>
          <w:sz w:val="20"/>
          <w:szCs w:val="20"/>
          <w:vertAlign w:val="subscript"/>
          <w:lang w:eastAsia="zh-CN"/>
        </w:rPr>
        <w:t>o</w:t>
      </w:r>
    </w:p>
    <w:p>
      <w:pPr>
        <w:pStyle w:val="34"/>
        <w:numPr>
          <w:ilvl w:val="0"/>
          <w:numId w:val="47"/>
        </w:numPr>
        <w:tabs>
          <w:tab w:val="left" w:pos="726"/>
        </w:tabs>
        <w:spacing w:line="355" w:lineRule="exact"/>
        <w:jc w:val="both"/>
        <w:rPr>
          <w:rFonts w:ascii="宋体" w:hAnsi="宋体" w:eastAsia="宋体" w:cs="宋体"/>
          <w:sz w:val="20"/>
          <w:szCs w:val="20"/>
          <w:lang w:val="zh-CN" w:eastAsia="zh-CN" w:bidi="zh-CN"/>
        </w:rPr>
      </w:pPr>
      <w:r>
        <w:rPr>
          <w:rFonts w:ascii="宋体" w:hAnsi="宋体" w:eastAsia="宋体" w:cs="宋体"/>
          <w:sz w:val="20"/>
          <w:szCs w:val="20"/>
          <w:lang w:val="zh-CN" w:eastAsia="zh-CN" w:bidi="zh-CN"/>
        </w:rPr>
        <w:t>担保有效期自预付款支付给承包人起生效，至发包人签发的进度付款证书说明已完全扣清止。</w:t>
      </w:r>
    </w:p>
    <w:p>
      <w:pPr>
        <w:pStyle w:val="34"/>
        <w:numPr>
          <w:ilvl w:val="0"/>
          <w:numId w:val="47"/>
        </w:numPr>
        <w:tabs>
          <w:tab w:val="left" w:pos="731"/>
        </w:tabs>
        <w:spacing w:line="355" w:lineRule="exact"/>
        <w:jc w:val="both"/>
        <w:rPr>
          <w:rFonts w:ascii="宋体" w:hAnsi="宋体" w:eastAsia="宋体" w:cs="宋体"/>
          <w:sz w:val="20"/>
          <w:szCs w:val="20"/>
          <w:lang w:val="zh-CN" w:eastAsia="zh-CN" w:bidi="zh-CN"/>
        </w:rPr>
      </w:pPr>
      <w:r>
        <w:rPr>
          <w:rFonts w:ascii="宋体" w:hAnsi="宋体" w:eastAsia="宋体" w:cs="宋体"/>
          <w:sz w:val="20"/>
          <w:szCs w:val="20"/>
          <w:lang w:val="zh-CN" w:eastAsia="zh-CN" w:bidi="zh-CN"/>
        </w:rPr>
        <w:t>在本担保有效期内，因承包人违反合同约定的义务而要求收回预付款时，我方在收到你方的书面通知后，无条件地在</w:t>
      </w:r>
      <w:r>
        <w:rPr>
          <w:sz w:val="20"/>
          <w:szCs w:val="20"/>
          <w:lang w:val="zh-CN" w:eastAsia="zh-CN" w:bidi="zh-CN"/>
        </w:rPr>
        <w:t>7</w:t>
      </w:r>
      <w:r>
        <w:rPr>
          <w:rFonts w:ascii="宋体" w:hAnsi="宋体" w:eastAsia="宋体" w:cs="宋体"/>
          <w:sz w:val="20"/>
          <w:szCs w:val="20"/>
          <w:lang w:val="zh-CN" w:eastAsia="zh-CN" w:bidi="zh-CN"/>
        </w:rPr>
        <w:t>天内予以支付。但本担保的担保金额，在任何时候不应超过预付款金额减去发包人按合同约定在向承包人签发的进度付款证书中已扣回的金额。发包人和承包人按《通用合同条款》第</w:t>
      </w:r>
      <w:r>
        <w:rPr>
          <w:sz w:val="20"/>
          <w:szCs w:val="20"/>
          <w:lang w:val="zh-CN" w:eastAsia="zh-CN" w:bidi="zh-CN"/>
        </w:rPr>
        <w:t>15</w:t>
      </w:r>
      <w:r>
        <w:rPr>
          <w:rFonts w:ascii="宋体" w:hAnsi="宋体" w:eastAsia="宋体" w:cs="宋体"/>
          <w:sz w:val="20"/>
          <w:szCs w:val="20"/>
          <w:lang w:val="zh-CN" w:eastAsia="zh-CN" w:bidi="zh-CN"/>
        </w:rPr>
        <w:t>条变更合同时，我方承担本担保规定的 义务不变。</w:t>
      </w:r>
    </w:p>
    <w:p>
      <w:pPr>
        <w:pStyle w:val="34"/>
        <w:tabs>
          <w:tab w:val="left" w:pos="731"/>
        </w:tabs>
        <w:spacing w:line="355" w:lineRule="exact"/>
        <w:ind w:left="420"/>
        <w:jc w:val="both"/>
        <w:rPr>
          <w:rFonts w:ascii="宋体" w:hAnsi="宋体" w:eastAsia="宋体" w:cs="宋体"/>
          <w:sz w:val="20"/>
          <w:szCs w:val="20"/>
          <w:lang w:val="zh-CN" w:eastAsia="zh-CN" w:bidi="zh-CN"/>
        </w:rPr>
      </w:pPr>
    </w:p>
    <w:p>
      <w:pPr>
        <w:pStyle w:val="34"/>
        <w:jc w:val="right"/>
        <w:rPr>
          <w:rFonts w:eastAsia="宋体"/>
          <w:sz w:val="20"/>
          <w:lang w:eastAsia="zh-CN"/>
        </w:rPr>
      </w:pPr>
      <w:r>
        <w:rPr>
          <w:rFonts w:hint="eastAsia" w:eastAsia="宋体"/>
          <w:sz w:val="20"/>
          <w:lang w:eastAsia="zh-CN"/>
        </w:rPr>
        <w:t>担  保 人：</w:t>
      </w:r>
      <w:r>
        <w:rPr>
          <w:rFonts w:hint="eastAsia" w:eastAsia="宋体"/>
          <w:sz w:val="20"/>
          <w:u w:val="single"/>
          <w:lang w:eastAsia="zh-CN"/>
        </w:rPr>
        <w:t xml:space="preserve">                                              </w:t>
      </w:r>
      <w:r>
        <w:rPr>
          <w:rFonts w:hint="eastAsia" w:eastAsia="宋体"/>
          <w:sz w:val="20"/>
          <w:lang w:eastAsia="zh-CN"/>
        </w:rPr>
        <w:t>（盖单位公章）</w:t>
      </w:r>
      <w:r>
        <w:rPr>
          <w:sz w:val="20"/>
          <w:lang w:eastAsia="zh-CN"/>
        </w:rPr>
        <w:t xml:space="preserve"> </w:t>
      </w:r>
    </w:p>
    <w:p>
      <w:pPr>
        <w:pStyle w:val="34"/>
        <w:jc w:val="right"/>
        <w:rPr>
          <w:rFonts w:eastAsia="宋体"/>
          <w:sz w:val="20"/>
          <w:lang w:eastAsia="zh-CN"/>
        </w:rPr>
      </w:pPr>
      <w:r>
        <w:rPr>
          <w:rFonts w:hint="eastAsia" w:eastAsia="宋体"/>
          <w:sz w:val="20"/>
          <w:lang w:eastAsia="zh-CN"/>
        </w:rPr>
        <w:t xml:space="preserve">           定代表人(或委托代理人)：</w:t>
      </w:r>
      <w:r>
        <w:rPr>
          <w:rFonts w:hint="eastAsia" w:eastAsia="宋体"/>
          <w:sz w:val="20"/>
          <w:u w:val="single"/>
          <w:lang w:eastAsia="zh-CN"/>
        </w:rPr>
        <w:t xml:space="preserve">    </w:t>
      </w:r>
      <w:r>
        <w:rPr>
          <w:rFonts w:hint="eastAsia"/>
          <w:sz w:val="20"/>
          <w:u w:val="single"/>
          <w:lang w:eastAsia="zh-CN"/>
        </w:rPr>
        <w:t xml:space="preserve"> </w:t>
      </w:r>
      <w:r>
        <w:rPr>
          <w:rFonts w:hint="eastAsia" w:eastAsia="宋体"/>
          <w:sz w:val="20"/>
          <w:u w:val="single"/>
          <w:lang w:eastAsia="zh-CN"/>
        </w:rPr>
        <w:t xml:space="preserve">                         </w:t>
      </w:r>
      <w:r>
        <w:rPr>
          <w:rFonts w:hint="eastAsia" w:eastAsia="宋体"/>
          <w:sz w:val="20"/>
          <w:lang w:eastAsia="zh-CN"/>
        </w:rPr>
        <w:t>（签字）</w:t>
      </w:r>
    </w:p>
    <w:p>
      <w:pPr>
        <w:pStyle w:val="34"/>
        <w:jc w:val="right"/>
        <w:rPr>
          <w:rFonts w:eastAsia="宋体"/>
          <w:sz w:val="20"/>
          <w:lang w:eastAsia="zh-CN"/>
        </w:rPr>
      </w:pPr>
      <w:r>
        <w:rPr>
          <w:rFonts w:hint="eastAsia" w:eastAsia="宋体"/>
          <w:sz w:val="20"/>
          <w:lang w:eastAsia="zh-CN"/>
        </w:rPr>
        <w:t>地       址：</w:t>
      </w:r>
      <w:r>
        <w:rPr>
          <w:rFonts w:hint="eastAsia" w:eastAsia="宋体"/>
          <w:sz w:val="20"/>
          <w:u w:val="single"/>
          <w:lang w:eastAsia="zh-CN"/>
        </w:rPr>
        <w:t xml:space="preserve">                </w:t>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rFonts w:hint="eastAsia" w:eastAsia="宋体"/>
          <w:sz w:val="20"/>
          <w:u w:val="single"/>
          <w:lang w:eastAsia="zh-CN"/>
        </w:rPr>
        <w:t xml:space="preserve">   </w:t>
      </w:r>
      <w:r>
        <w:rPr>
          <w:rFonts w:hint="eastAsia" w:eastAsia="宋体"/>
          <w:sz w:val="20"/>
          <w:lang w:eastAsia="zh-CN"/>
        </w:rPr>
        <w:t xml:space="preserve"> </w:t>
      </w:r>
    </w:p>
    <w:p>
      <w:pPr>
        <w:pStyle w:val="34"/>
        <w:jc w:val="right"/>
        <w:rPr>
          <w:rFonts w:eastAsia="宋体"/>
          <w:sz w:val="20"/>
          <w:lang w:eastAsia="zh-CN"/>
        </w:rPr>
      </w:pPr>
      <w:r>
        <w:rPr>
          <w:rFonts w:hint="eastAsia" w:eastAsia="宋体"/>
          <w:sz w:val="20"/>
          <w:lang w:eastAsia="zh-CN"/>
        </w:rPr>
        <w:t xml:space="preserve">        邮政编码：</w:t>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rFonts w:hint="eastAsia" w:eastAsia="宋体"/>
          <w:sz w:val="20"/>
          <w:u w:val="single"/>
          <w:lang w:eastAsia="zh-CN"/>
        </w:rPr>
        <w:t xml:space="preserve"> </w:t>
      </w:r>
      <w:r>
        <w:rPr>
          <w:rFonts w:hint="eastAsia" w:eastAsia="宋体"/>
          <w:sz w:val="20"/>
          <w:lang w:eastAsia="zh-CN"/>
        </w:rPr>
        <w:t xml:space="preserve"> </w:t>
      </w:r>
    </w:p>
    <w:p>
      <w:pPr>
        <w:pStyle w:val="34"/>
        <w:jc w:val="right"/>
        <w:rPr>
          <w:rFonts w:eastAsia="宋体"/>
          <w:sz w:val="20"/>
          <w:u w:val="single"/>
          <w:lang w:eastAsia="zh-CN"/>
        </w:rPr>
      </w:pPr>
      <w:r>
        <w:rPr>
          <w:rFonts w:hint="eastAsia" w:eastAsia="宋体"/>
          <w:sz w:val="20"/>
          <w:lang w:eastAsia="zh-CN"/>
        </w:rPr>
        <w:t xml:space="preserve">        电        话：</w:t>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p>
    <w:p>
      <w:pPr>
        <w:pStyle w:val="34"/>
        <w:jc w:val="right"/>
        <w:rPr>
          <w:rFonts w:eastAsia="宋体"/>
          <w:sz w:val="20"/>
          <w:lang w:eastAsia="zh-CN"/>
        </w:rPr>
      </w:pPr>
      <w:r>
        <w:rPr>
          <w:rFonts w:hint="eastAsia" w:eastAsia="宋体"/>
          <w:sz w:val="20"/>
          <w:lang w:eastAsia="zh-CN"/>
        </w:rPr>
        <w:t xml:space="preserve">        传        真：</w:t>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r>
        <w:rPr>
          <w:sz w:val="20"/>
          <w:u w:val="single"/>
          <w:lang w:eastAsia="zh-CN"/>
        </w:rPr>
        <w:tab/>
      </w:r>
    </w:p>
    <w:p>
      <w:pPr>
        <w:pStyle w:val="34"/>
        <w:jc w:val="right"/>
        <w:rPr>
          <w:rFonts w:eastAsia="宋体"/>
          <w:lang w:eastAsia="zh-CN"/>
        </w:rPr>
      </w:pPr>
      <w:r>
        <w:rPr>
          <w:sz w:val="20"/>
          <w:u w:val="single"/>
          <w:lang w:eastAsia="zh-CN"/>
        </w:rPr>
        <w:tab/>
      </w:r>
      <w:r>
        <w:rPr>
          <w:rFonts w:hint="eastAsia" w:eastAsia="宋体"/>
          <w:sz w:val="20"/>
          <w:u w:val="single"/>
          <w:lang w:eastAsia="zh-CN"/>
        </w:rPr>
        <w:t xml:space="preserve">       </w:t>
      </w:r>
      <w:r>
        <w:rPr>
          <w:rFonts w:hint="eastAsia" w:eastAsia="宋体"/>
          <w:sz w:val="20"/>
          <w:lang w:eastAsia="zh-CN"/>
        </w:rPr>
        <w:t>年</w:t>
      </w:r>
      <w:r>
        <w:rPr>
          <w:sz w:val="20"/>
          <w:u w:val="single"/>
          <w:lang w:eastAsia="zh-CN"/>
        </w:rPr>
        <w:tab/>
      </w:r>
      <w:r>
        <w:rPr>
          <w:rFonts w:hint="eastAsia" w:eastAsia="宋体"/>
          <w:sz w:val="20"/>
          <w:u w:val="single"/>
          <w:lang w:eastAsia="zh-CN"/>
        </w:rPr>
        <w:t xml:space="preserve">       </w:t>
      </w:r>
      <w:r>
        <w:rPr>
          <w:rFonts w:hint="eastAsia" w:eastAsia="宋体"/>
          <w:sz w:val="20"/>
          <w:lang w:eastAsia="zh-CN"/>
        </w:rPr>
        <w:t>月</w:t>
      </w:r>
      <w:r>
        <w:rPr>
          <w:rFonts w:hint="eastAsia" w:eastAsia="宋体"/>
          <w:sz w:val="20"/>
          <w:u w:val="single"/>
          <w:lang w:eastAsia="zh-CN"/>
        </w:rPr>
        <w:t xml:space="preserve">              </w:t>
      </w:r>
      <w:r>
        <w:rPr>
          <w:rFonts w:hint="eastAsia" w:eastAsia="宋体"/>
          <w:sz w:val="20"/>
          <w:lang w:eastAsia="zh-CN"/>
        </w:rPr>
        <w:t xml:space="preserve">日 </w:t>
      </w:r>
      <w:r>
        <w:rPr>
          <w:rFonts w:hint="eastAsia" w:eastAsia="宋体"/>
          <w:lang w:eastAsia="zh-CN"/>
        </w:rPr>
        <w:t xml:space="preserve">    </w:t>
      </w:r>
    </w:p>
    <w:p>
      <w:pPr>
        <w:pStyle w:val="34"/>
        <w:tabs>
          <w:tab w:val="left" w:pos="726"/>
        </w:tabs>
        <w:spacing w:after="340" w:line="355" w:lineRule="exact"/>
        <w:jc w:val="both"/>
        <w:rPr>
          <w:rFonts w:ascii="宋体" w:hAnsi="宋体" w:eastAsia="宋体" w:cs="宋体"/>
          <w:sz w:val="20"/>
          <w:szCs w:val="20"/>
          <w:lang w:val="zh-CN" w:eastAsia="zh-CN" w:bidi="zh-CN"/>
        </w:rPr>
      </w:pPr>
      <w:r>
        <w:rPr>
          <w:rFonts w:ascii="宋体" w:hAnsi="宋体" w:eastAsia="宋体" w:cs="宋体"/>
          <w:sz w:val="20"/>
          <w:szCs w:val="20"/>
          <w:lang w:val="zh-CN" w:eastAsia="zh-CN" w:bidi="zh-CN"/>
        </w:rPr>
        <w:t>注：</w:t>
      </w:r>
    </w:p>
    <w:p>
      <w:pPr>
        <w:pStyle w:val="34"/>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1．</w:t>
      </w:r>
      <w:r>
        <w:rPr>
          <w:rFonts w:ascii="宋体" w:hAnsi="宋体" w:eastAsia="宋体" w:cs="宋体"/>
          <w:sz w:val="20"/>
          <w:szCs w:val="20"/>
          <w:lang w:val="zh-CN" w:eastAsia="zh-CN" w:bidi="zh-CN"/>
        </w:rPr>
        <w:t>担保人必须是投标人单位基本账户的开户银行。</w:t>
      </w:r>
    </w:p>
    <w:p>
      <w:pPr>
        <w:pStyle w:val="18"/>
        <w:rPr>
          <w:rFonts w:ascii="宋体" w:hAnsi="宋体" w:eastAsia="宋体" w:cs="宋体"/>
          <w:sz w:val="20"/>
          <w:szCs w:val="20"/>
          <w:lang w:val="zh-CN" w:eastAsia="zh-CN" w:bidi="zh-CN"/>
        </w:rPr>
      </w:pPr>
      <w:r>
        <w:rPr>
          <w:rFonts w:hint="eastAsia" w:ascii="宋体" w:hAnsi="宋体" w:eastAsia="宋体" w:cs="宋体"/>
          <w:sz w:val="20"/>
          <w:szCs w:val="20"/>
          <w:lang w:val="zh-CN" w:eastAsia="zh-CN" w:bidi="zh-CN"/>
        </w:rPr>
        <w:t>2．</w:t>
      </w:r>
      <w:r>
        <w:rPr>
          <w:rFonts w:ascii="宋体" w:hAnsi="宋体" w:eastAsia="宋体" w:cs="宋体"/>
          <w:sz w:val="20"/>
          <w:szCs w:val="20"/>
          <w:lang w:val="zh-CN" w:eastAsia="zh-CN" w:bidi="zh-CN"/>
        </w:rPr>
        <w:t>委托代理人应附授权委托书</w:t>
      </w: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18"/>
        <w:rPr>
          <w:rFonts w:ascii="宋体" w:hAnsi="宋体" w:eastAsia="宋体" w:cs="宋体"/>
          <w:sz w:val="20"/>
          <w:szCs w:val="20"/>
          <w:lang w:val="zh-CN" w:eastAsia="zh-CN" w:bidi="zh-CN"/>
        </w:rPr>
      </w:pPr>
    </w:p>
    <w:p>
      <w:pPr>
        <w:pStyle w:val="3"/>
        <w:jc w:val="center"/>
        <w:rPr>
          <w:rFonts w:hint="default" w:eastAsia="宋体"/>
          <w:color w:val="auto"/>
          <w:highlight w:val="none"/>
          <w:lang w:val="en-US" w:eastAsia="zh-CN"/>
        </w:rPr>
      </w:pPr>
      <w:bookmarkStart w:id="1426" w:name="_Toc13697"/>
      <w:bookmarkStart w:id="1427" w:name="_Toc23153"/>
      <w:r>
        <w:rPr>
          <w:rFonts w:hint="eastAsia" w:ascii="宋体" w:hAnsi="宋体" w:eastAsia="宋体" w:cs="宋体"/>
          <w:color w:val="auto"/>
          <w:highlight w:val="none"/>
        </w:rPr>
        <w:t xml:space="preserve">第七章 </w:t>
      </w:r>
      <w:r>
        <w:rPr>
          <w:rFonts w:hint="eastAsia" w:ascii="宋体" w:hAnsi="宋体" w:eastAsia="宋体" w:cs="宋体"/>
          <w:color w:val="auto"/>
          <w:highlight w:val="none"/>
          <w:lang w:val="en-US" w:eastAsia="zh-CN"/>
        </w:rPr>
        <w:t>工程量清单（另册）</w:t>
      </w:r>
      <w:bookmarkEnd w:id="1426"/>
      <w:bookmarkEnd w:id="1427"/>
    </w:p>
    <w:p>
      <w:pPr>
        <w:tabs>
          <w:tab w:val="left" w:pos="3261"/>
        </w:tabs>
        <w:spacing w:line="360" w:lineRule="auto"/>
        <w:contextualSpacing/>
        <w:jc w:val="center"/>
        <w:rPr>
          <w:rFonts w:hint="eastAsia" w:ascii="宋体" w:hAnsi="宋体" w:eastAsia="宋体" w:cs="宋体"/>
          <w:b/>
          <w:color w:val="auto"/>
          <w:sz w:val="44"/>
          <w:szCs w:val="44"/>
          <w:highlight w:val="none"/>
        </w:rPr>
        <w:sectPr>
          <w:headerReference r:id="rId15" w:type="default"/>
          <w:footerReference r:id="rId16" w:type="default"/>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pStyle w:val="3"/>
        <w:jc w:val="center"/>
        <w:rPr>
          <w:rFonts w:hint="eastAsia"/>
          <w:color w:val="auto"/>
          <w:highlight w:val="none"/>
        </w:rPr>
      </w:pPr>
      <w:bookmarkStart w:id="1428" w:name="_Toc6522"/>
      <w:bookmarkStart w:id="1429" w:name="_Toc948"/>
      <w:r>
        <w:rPr>
          <w:rFonts w:hint="eastAsia" w:ascii="宋体" w:hAnsi="宋体" w:eastAsia="宋体" w:cs="宋体"/>
          <w:color w:val="auto"/>
          <w:highlight w:val="none"/>
        </w:rPr>
        <w:t>第</w:t>
      </w:r>
      <w:r>
        <w:rPr>
          <w:rFonts w:hint="eastAsia" w:ascii="宋体" w:hAnsi="宋体" w:eastAsia="宋体" w:cs="宋体"/>
          <w:color w:val="auto"/>
          <w:highlight w:val="none"/>
          <w:lang w:val="en-US" w:eastAsia="zh-CN"/>
        </w:rPr>
        <w:t>八</w:t>
      </w:r>
      <w:r>
        <w:rPr>
          <w:rFonts w:hint="eastAsia" w:ascii="宋体" w:hAnsi="宋体" w:eastAsia="宋体" w:cs="宋体"/>
          <w:color w:val="auto"/>
          <w:highlight w:val="none"/>
        </w:rPr>
        <w:t xml:space="preserve">章 </w:t>
      </w:r>
      <w:r>
        <w:rPr>
          <w:rFonts w:hint="eastAsia" w:ascii="宋体" w:hAnsi="宋体" w:eastAsia="宋体" w:cs="宋体"/>
          <w:color w:val="auto"/>
          <w:highlight w:val="none"/>
          <w:lang w:val="en-US" w:eastAsia="zh-CN"/>
        </w:rPr>
        <w:t>图纸（另册）</w:t>
      </w:r>
      <w:bookmarkEnd w:id="1428"/>
      <w:bookmarkEnd w:id="1429"/>
    </w:p>
    <w:p>
      <w:pPr>
        <w:pStyle w:val="22"/>
        <w:rPr>
          <w:rFonts w:hint="eastAsia"/>
          <w:color w:val="auto"/>
          <w:highlight w:val="none"/>
        </w:rPr>
      </w:pPr>
    </w:p>
    <w:p>
      <w:pPr>
        <w:rPr>
          <w:rFonts w:hint="eastAsia"/>
          <w:color w:val="auto"/>
          <w:highlight w:val="none"/>
        </w:rPr>
      </w:pPr>
    </w:p>
    <w:p>
      <w:pPr>
        <w:pStyle w:val="22"/>
        <w:rPr>
          <w:rFonts w:hint="eastAsia"/>
          <w:color w:val="auto"/>
          <w:highlight w:val="none"/>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p>
    <w:p>
      <w:pPr>
        <w:pStyle w:val="3"/>
        <w:spacing w:line="360" w:lineRule="auto"/>
        <w:jc w:val="center"/>
        <w:rPr>
          <w:rFonts w:hint="eastAsia" w:ascii="宋体" w:hAnsi="宋体" w:eastAsia="宋体" w:cs="宋体"/>
          <w:b/>
          <w:bCs/>
          <w:color w:val="auto"/>
          <w:highlight w:val="none"/>
          <w:lang w:val="en-US"/>
        </w:rPr>
        <w:sectPr>
          <w:pgSz w:w="11910" w:h="16840"/>
          <w:pgMar w:top="1440" w:right="1080" w:bottom="1440" w:left="1080" w:header="720" w:footer="720" w:gutter="0"/>
          <w:pgBorders w:offsetFrom="page">
            <w:top w:val="none" w:sz="0" w:space="0"/>
            <w:left w:val="none" w:sz="0" w:space="0"/>
            <w:bottom w:val="none" w:sz="0" w:space="0"/>
            <w:right w:val="none" w:sz="0" w:space="0"/>
          </w:pgBorders>
          <w:pgNumType w:fmt="decimal"/>
          <w:cols w:space="720" w:num="1"/>
        </w:sectPr>
      </w:pPr>
      <w:bookmarkStart w:id="1430" w:name="_Toc5640"/>
      <w:bookmarkStart w:id="1431" w:name="_Toc24083"/>
      <w:bookmarkStart w:id="1432" w:name="_Toc11110"/>
      <w:r>
        <w:rPr>
          <w:rFonts w:hint="eastAsia" w:ascii="宋体" w:hAnsi="宋体" w:eastAsia="宋体" w:cs="宋体"/>
          <w:b/>
          <w:bCs/>
          <w:color w:val="auto"/>
          <w:highlight w:val="none"/>
        </w:rPr>
        <w:t>第</w:t>
      </w:r>
      <w:r>
        <w:rPr>
          <w:rFonts w:hint="eastAsia" w:ascii="宋体" w:hAnsi="宋体" w:eastAsia="宋体" w:cs="宋体"/>
          <w:b/>
          <w:bCs/>
          <w:color w:val="auto"/>
          <w:highlight w:val="none"/>
          <w:lang w:val="en-US" w:eastAsia="zh-CN"/>
        </w:rPr>
        <w:t>九</w:t>
      </w:r>
      <w:r>
        <w:rPr>
          <w:rFonts w:hint="eastAsia" w:ascii="宋体" w:hAnsi="宋体" w:eastAsia="宋体" w:cs="宋体"/>
          <w:b/>
          <w:bCs/>
          <w:color w:val="auto"/>
          <w:highlight w:val="none"/>
        </w:rPr>
        <w:t>章 质疑、投诉材料格式</w:t>
      </w:r>
      <w:bookmarkEnd w:id="1430"/>
      <w:bookmarkEnd w:id="1431"/>
      <w:bookmarkEnd w:id="1432"/>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t>质疑函（格式）</w:t>
      </w:r>
    </w:p>
    <w:p>
      <w:pPr>
        <w:pStyle w:val="16"/>
        <w:spacing w:line="360" w:lineRule="auto"/>
        <w:ind w:firstLine="482" w:firstLineChars="200"/>
        <w:contextualSpacing/>
        <w:rPr>
          <w:rFonts w:hint="eastAsia" w:ascii="宋体" w:hAnsi="宋体" w:eastAsia="宋体" w:cs="宋体"/>
          <w:b/>
          <w:bCs/>
          <w:color w:val="auto"/>
          <w:sz w:val="24"/>
          <w:szCs w:val="24"/>
          <w:highlight w:val="none"/>
        </w:rPr>
      </w:pPr>
    </w:p>
    <w:p>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一、质疑供应商基本信息：</w:t>
      </w:r>
    </w:p>
    <w:p>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质疑供应商：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p>
    <w:p>
      <w:pPr>
        <w:pStyle w:val="16"/>
        <w:spacing w:line="360" w:lineRule="auto"/>
        <w:ind w:firstLine="480" w:firstLineChars="200"/>
        <w:contextualSpacing/>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6"/>
        <w:spacing w:line="360" w:lineRule="auto"/>
        <w:ind w:firstLine="480" w:firstLineChars="200"/>
        <w:contextualSpacing/>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6"/>
        <w:spacing w:line="360" w:lineRule="auto"/>
        <w:ind w:firstLine="482" w:firstLineChars="200"/>
        <w:contextualSpacing/>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二、质疑项目基本情况：</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质疑</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w:t>
      </w:r>
    </w:p>
    <w:p>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   采购文件获取日期：</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□采购过程   </w:t>
      </w:r>
    </w:p>
    <w:p>
      <w:pPr>
        <w:pStyle w:val="16"/>
        <w:spacing w:line="360" w:lineRule="auto"/>
        <w:ind w:left="25" w:leftChars="12" w:firstLine="352" w:firstLineChars="147"/>
        <w:contextualSpacing/>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□成交结果   </w:t>
      </w:r>
    </w:p>
    <w:p>
      <w:pPr>
        <w:pStyle w:val="16"/>
        <w:spacing w:line="360" w:lineRule="auto"/>
        <w:ind w:left="25" w:leftChars="12" w:firstLine="472" w:firstLineChars="196"/>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三、质疑事项具体内容</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质疑事项1：</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事实依据：</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single"/>
        </w:rPr>
        <w:t xml:space="preserve">                                                        </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质疑事项2</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四、与质疑事项相关的质疑请求：</w:t>
      </w: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6"/>
        <w:spacing w:line="360" w:lineRule="auto"/>
        <w:ind w:left="25" w:leftChars="12" w:firstLine="352" w:firstLineChars="147"/>
        <w:contextualSpacing/>
        <w:rPr>
          <w:rFonts w:hint="eastAsia" w:ascii="宋体" w:hAnsi="宋体" w:eastAsia="宋体" w:cs="宋体"/>
          <w:color w:val="auto"/>
          <w:sz w:val="24"/>
          <w:szCs w:val="24"/>
          <w:highlight w:val="none"/>
        </w:rPr>
      </w:pPr>
    </w:p>
    <w:p>
      <w:pPr>
        <w:pStyle w:val="16"/>
        <w:spacing w:line="360" w:lineRule="auto"/>
        <w:ind w:left="25" w:leftChars="12" w:firstLine="472" w:firstLineChars="197"/>
        <w:contextualSpacing/>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6"/>
        <w:spacing w:line="360" w:lineRule="auto"/>
        <w:contextualSpacing/>
        <w:rPr>
          <w:rFonts w:hint="eastAsia" w:ascii="宋体" w:hAnsi="宋体" w:eastAsia="宋体" w:cs="宋体"/>
          <w:b/>
          <w:color w:val="auto"/>
          <w:sz w:val="24"/>
          <w:szCs w:val="24"/>
          <w:highlight w:val="none"/>
          <w:lang w:eastAsia="zh-CN"/>
        </w:rPr>
      </w:pPr>
    </w:p>
    <w:p>
      <w:pPr>
        <w:pStyle w:val="16"/>
        <w:spacing w:line="360" w:lineRule="auto"/>
        <w:contextualSpacing/>
        <w:rPr>
          <w:rFonts w:hint="eastAsia" w:ascii="宋体" w:hAnsi="宋体" w:eastAsia="宋体" w:cs="宋体"/>
          <w:b/>
          <w:color w:val="auto"/>
          <w:sz w:val="24"/>
          <w:szCs w:val="24"/>
          <w:highlight w:val="none"/>
          <w:lang w:eastAsia="zh-CN"/>
        </w:rPr>
      </w:pPr>
    </w:p>
    <w:p>
      <w:pPr>
        <w:pStyle w:val="16"/>
        <w:spacing w:line="360" w:lineRule="auto"/>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6"/>
        <w:spacing w:line="360" w:lineRule="auto"/>
        <w:ind w:left="25" w:leftChars="12" w:firstLine="354" w:firstLineChars="147"/>
        <w:contextualSpacing/>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1.供应商提出质疑时，应提交质疑函和必要的证明材料</w:t>
      </w:r>
      <w:r>
        <w:rPr>
          <w:rFonts w:hint="eastAsia" w:ascii="宋体" w:hAnsi="宋体" w:eastAsia="宋体" w:cs="宋体"/>
          <w:b/>
          <w:bCs/>
          <w:color w:val="auto"/>
          <w:sz w:val="24"/>
          <w:szCs w:val="24"/>
          <w:highlight w:val="none"/>
        </w:rPr>
        <w:t>。</w:t>
      </w:r>
    </w:p>
    <w:p>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3.质疑函的质疑事项应具体、明确，并有必要的事实依据和法律依据。</w:t>
      </w:r>
    </w:p>
    <w:p>
      <w:pPr>
        <w:pStyle w:val="16"/>
        <w:spacing w:line="360" w:lineRule="auto"/>
        <w:ind w:left="25" w:leftChars="12" w:firstLine="354" w:firstLineChars="147"/>
        <w:contextualSpacing/>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4.质疑函的质疑请求应与质疑事项相关。</w:t>
      </w:r>
    </w:p>
    <w:p>
      <w:pPr>
        <w:pStyle w:val="16"/>
        <w:spacing w:line="360" w:lineRule="auto"/>
        <w:ind w:left="25" w:leftChars="12" w:firstLine="354" w:firstLineChars="147"/>
        <w:contextualSpacing/>
        <w:rPr>
          <w:rFonts w:hint="eastAsia" w:ascii="宋体" w:hAnsi="宋体" w:eastAsia="宋体" w:cs="宋体"/>
          <w:b/>
          <w:color w:val="auto"/>
          <w:highlight w:val="none"/>
        </w:rPr>
      </w:pPr>
      <w:r>
        <w:rPr>
          <w:rFonts w:hint="eastAsia" w:ascii="宋体" w:hAnsi="宋体" w:eastAsia="宋体" w:cs="宋体"/>
          <w:b/>
          <w:color w:val="auto"/>
          <w:sz w:val="24"/>
          <w:szCs w:val="24"/>
          <w:highlight w:val="none"/>
        </w:rPr>
        <w:t>5.质疑供应商为法人或者其他组织的，质疑函应由法定代表人、主要负责人，或者其授权代表签字或者盖章，并加盖公章。</w:t>
      </w:r>
    </w:p>
    <w:p>
      <w:pPr>
        <w:pStyle w:val="16"/>
        <w:snapToGrid w:val="0"/>
        <w:spacing w:line="360" w:lineRule="auto"/>
        <w:rPr>
          <w:rFonts w:hint="eastAsia" w:ascii="宋体" w:hAnsi="宋体" w:eastAsia="宋体" w:cs="宋体"/>
          <w:b/>
          <w:color w:val="auto"/>
          <w:sz w:val="24"/>
          <w:szCs w:val="24"/>
          <w:highlight w:val="none"/>
        </w:rPr>
      </w:pPr>
    </w:p>
    <w:p>
      <w:pPr>
        <w:spacing w:line="360" w:lineRule="auto"/>
        <w:jc w:val="center"/>
        <w:rPr>
          <w:rFonts w:hint="eastAsia" w:ascii="宋体" w:hAnsi="宋体" w:eastAsia="宋体" w:cs="宋体"/>
          <w:b/>
          <w:bCs/>
          <w:color w:val="auto"/>
          <w:sz w:val="32"/>
          <w:szCs w:val="32"/>
          <w:highlight w:val="none"/>
        </w:rPr>
      </w:pPr>
      <w:r>
        <w:rPr>
          <w:rFonts w:hint="eastAsia" w:ascii="宋体" w:hAnsi="宋体" w:eastAsia="宋体" w:cs="宋体"/>
          <w:color w:val="auto"/>
          <w:sz w:val="44"/>
          <w:highlight w:val="none"/>
        </w:rPr>
        <w:br w:type="page"/>
      </w:r>
      <w:r>
        <w:rPr>
          <w:rFonts w:hint="eastAsia" w:ascii="宋体" w:hAnsi="宋体" w:eastAsia="宋体" w:cs="宋体"/>
          <w:b/>
          <w:bCs/>
          <w:color w:val="auto"/>
          <w:sz w:val="32"/>
          <w:szCs w:val="32"/>
          <w:highlight w:val="none"/>
        </w:rPr>
        <w:t>投诉书（格式）</w:t>
      </w:r>
    </w:p>
    <w:p>
      <w:pPr>
        <w:pStyle w:val="16"/>
        <w:snapToGrid w:val="0"/>
        <w:spacing w:line="360" w:lineRule="auto"/>
        <w:ind w:firstLine="482" w:firstLineChars="200"/>
        <w:rPr>
          <w:rFonts w:hint="eastAsia" w:ascii="宋体" w:hAnsi="宋体" w:eastAsia="宋体" w:cs="宋体"/>
          <w:b/>
          <w:bCs/>
          <w:color w:val="auto"/>
          <w:sz w:val="24"/>
          <w:szCs w:val="24"/>
          <w:highlight w:val="none"/>
        </w:rPr>
      </w:pPr>
    </w:p>
    <w:p>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一、投诉相关主体基本情况：</w:t>
      </w:r>
    </w:p>
    <w:p>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供应商：</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法定代表人/主要负责人：</w:t>
      </w:r>
      <w:r>
        <w:rPr>
          <w:rFonts w:hint="eastAsia" w:ascii="宋体" w:hAnsi="宋体" w:eastAsia="宋体" w:cs="宋体"/>
          <w:bCs/>
          <w:color w:val="auto"/>
          <w:sz w:val="24"/>
          <w:szCs w:val="24"/>
          <w:highlight w:val="none"/>
          <w:u w:val="singl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授权代表：</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被投诉人1：</w:t>
      </w:r>
    </w:p>
    <w:p>
      <w:pPr>
        <w:pStyle w:val="16"/>
        <w:snapToGrid w:val="0"/>
        <w:spacing w:line="360" w:lineRule="auto"/>
        <w:ind w:firstLine="480" w:firstLineChars="200"/>
        <w:rPr>
          <w:rFonts w:hint="eastAsia" w:ascii="宋体" w:hAnsi="宋体" w:eastAsia="宋体" w:cs="宋体"/>
          <w:bCs/>
          <w:color w:val="auto"/>
          <w:sz w:val="24"/>
          <w:szCs w:val="24"/>
          <w:highlight w:val="none"/>
          <w:u w:val="single"/>
          <w:lang w:eastAsia="zh-CN"/>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被投诉人2：</w:t>
      </w:r>
    </w:p>
    <w:p>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相关供应商：</w:t>
      </w:r>
      <w:r>
        <w:rPr>
          <w:rFonts w:hint="eastAsia" w:ascii="宋体" w:hAnsi="宋体" w:eastAsia="宋体" w:cs="宋体"/>
          <w:bCs/>
          <w:color w:val="auto"/>
          <w:sz w:val="24"/>
          <w:szCs w:val="24"/>
          <w:highlight w:val="none"/>
          <w:u w:val="singl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地址：</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邮编：</w:t>
      </w:r>
      <w:r>
        <w:rPr>
          <w:rFonts w:hint="eastAsia" w:ascii="宋体" w:hAnsi="宋体" w:eastAsia="宋体" w:cs="宋体"/>
          <w:bCs/>
          <w:color w:val="auto"/>
          <w:sz w:val="24"/>
          <w:szCs w:val="24"/>
          <w:highlight w:val="none"/>
          <w:u w:val="single"/>
        </w:rPr>
        <w:t xml:space="preserve">                         </w:t>
      </w:r>
    </w:p>
    <w:p>
      <w:pPr>
        <w:pStyle w:val="16"/>
        <w:snapToGrid w:val="0"/>
        <w:spacing w:line="360" w:lineRule="auto"/>
        <w:ind w:firstLine="480" w:firstLineChars="200"/>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联系人：</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联系电话：</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rPr>
        <w:t xml:space="preserve">                </w:t>
      </w:r>
    </w:p>
    <w:p>
      <w:pPr>
        <w:pStyle w:val="16"/>
        <w:snapToGrid w:val="0"/>
        <w:spacing w:line="360" w:lineRule="auto"/>
        <w:ind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二、投诉项目基本情况：</w:t>
      </w:r>
    </w:p>
    <w:p>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项目的名称：</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采购</w:t>
      </w:r>
      <w:r>
        <w:rPr>
          <w:rFonts w:hint="eastAsia" w:ascii="宋体" w:hAnsi="宋体" w:eastAsia="宋体" w:cs="宋体"/>
          <w:color w:val="auto"/>
          <w:sz w:val="24"/>
          <w:szCs w:val="24"/>
          <w:highlight w:val="none"/>
        </w:rPr>
        <w:t>项目的编号：</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采购人名称：</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代理机构名称：</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招标文件公告：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采购结果公告：</w:t>
      </w:r>
      <w:r>
        <w:rPr>
          <w:rFonts w:hint="eastAsia" w:ascii="宋体" w:hAnsi="宋体" w:eastAsia="宋体" w:cs="宋体"/>
          <w:bCs/>
          <w:color w:val="auto"/>
          <w:sz w:val="24"/>
          <w:szCs w:val="24"/>
          <w:highlight w:val="none"/>
          <w:u w:val="single"/>
        </w:rPr>
        <w:t>是/否</w:t>
      </w:r>
      <w:r>
        <w:rPr>
          <w:rFonts w:hint="eastAsia" w:ascii="宋体" w:hAnsi="宋体" w:eastAsia="宋体" w:cs="宋体"/>
          <w:bCs/>
          <w:color w:val="auto"/>
          <w:sz w:val="24"/>
          <w:szCs w:val="24"/>
          <w:highlight w:val="none"/>
        </w:rPr>
        <w:t>公告期限：</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三、质疑基本情况</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投诉人于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日，向</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提出质疑，质疑事项为：</w:t>
      </w:r>
    </w:p>
    <w:p>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6"/>
        <w:spacing w:line="360" w:lineRule="auto"/>
        <w:ind w:firstLine="241"/>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6"/>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采购人/代理机构</w:t>
      </w:r>
      <w:r>
        <w:rPr>
          <w:rFonts w:hint="eastAsia" w:ascii="宋体" w:hAnsi="宋体" w:eastAsia="宋体" w:cs="宋体"/>
          <w:bCs/>
          <w:color w:val="auto"/>
          <w:sz w:val="24"/>
          <w:szCs w:val="24"/>
          <w:highlight w:val="none"/>
        </w:rPr>
        <w:t>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r>
        <w:rPr>
          <w:rFonts w:hint="eastAsia" w:ascii="宋体" w:hAnsi="宋体" w:eastAsia="宋体" w:cs="宋体"/>
          <w:bCs/>
          <w:color w:val="auto"/>
          <w:sz w:val="24"/>
          <w:szCs w:val="24"/>
          <w:highlight w:val="none"/>
        </w:rPr>
        <w:t xml:space="preserve">就质疑事项作出了答复/没有在法定期限内作出答复。                                                                                             </w:t>
      </w:r>
    </w:p>
    <w:p>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四、投诉事项具体内容</w:t>
      </w:r>
    </w:p>
    <w:p>
      <w:pPr>
        <w:pStyle w:val="16"/>
        <w:spacing w:line="360" w:lineRule="auto"/>
        <w:ind w:left="25" w:leftChars="12" w:firstLine="472" w:firstLineChars="197"/>
        <w:rPr>
          <w:rFonts w:hint="eastAsia" w:ascii="宋体" w:hAnsi="宋体" w:eastAsia="宋体" w:cs="宋体"/>
          <w:bCs/>
          <w:color w:val="auto"/>
          <w:sz w:val="24"/>
          <w:szCs w:val="24"/>
          <w:highlight w:val="none"/>
          <w:u w:val="single"/>
        </w:rPr>
      </w:pPr>
      <w:r>
        <w:rPr>
          <w:rFonts w:hint="eastAsia" w:ascii="宋体" w:hAnsi="宋体" w:eastAsia="宋体" w:cs="宋体"/>
          <w:color w:val="auto"/>
          <w:sz w:val="24"/>
          <w:szCs w:val="24"/>
          <w:highlight w:val="none"/>
        </w:rPr>
        <w:t>投诉事项1：</w:t>
      </w:r>
      <w:r>
        <w:rPr>
          <w:rFonts w:hint="eastAsia" w:ascii="宋体" w:hAnsi="宋体" w:eastAsia="宋体" w:cs="宋体"/>
          <w:bCs/>
          <w:color w:val="auto"/>
          <w:sz w:val="24"/>
          <w:szCs w:val="24"/>
          <w:highlight w:val="none"/>
          <w:u w:val="single"/>
        </w:rPr>
        <w:t xml:space="preserve">                                                                           </w:t>
      </w:r>
    </w:p>
    <w:p>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事实依据：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u w:val="single"/>
        </w:rPr>
        <w:t xml:space="preserve">                                                                                        </w:t>
      </w:r>
    </w:p>
    <w:p>
      <w:pPr>
        <w:pStyle w:val="16"/>
        <w:spacing w:line="360" w:lineRule="auto"/>
        <w:ind w:firstLine="480" w:firstLineChars="200"/>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法律依据：</w:t>
      </w:r>
      <w:r>
        <w:rPr>
          <w:rFonts w:hint="eastAsia" w:ascii="宋体" w:hAnsi="宋体" w:eastAsia="宋体" w:cs="宋体"/>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352" w:firstLineChars="147"/>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 xml:space="preserve"> </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color w:val="auto"/>
          <w:sz w:val="24"/>
          <w:szCs w:val="24"/>
          <w:highlight w:val="none"/>
        </w:rPr>
        <w:t xml:space="preserve">投诉事项2  </w:t>
      </w:r>
      <w:r>
        <w:rPr>
          <w:rFonts w:hint="eastAsia" w:ascii="宋体" w:hAnsi="宋体" w:eastAsia="宋体" w:cs="宋体"/>
          <w:bCs/>
          <w:color w:val="auto"/>
          <w:sz w:val="24"/>
          <w:szCs w:val="24"/>
          <w:highlight w:val="none"/>
        </w:rPr>
        <w:t xml:space="preserve">   </w:t>
      </w:r>
    </w:p>
    <w:p>
      <w:pPr>
        <w:pStyle w:val="16"/>
        <w:spacing w:line="360" w:lineRule="auto"/>
        <w:ind w:left="25" w:leftChars="12" w:firstLine="472" w:firstLineChars="197"/>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w:t>
      </w:r>
    </w:p>
    <w:p>
      <w:pPr>
        <w:pStyle w:val="16"/>
        <w:spacing w:line="360" w:lineRule="auto"/>
        <w:ind w:left="25" w:leftChars="12" w:firstLine="472" w:firstLineChars="196"/>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五、与投诉事项相关的投诉请求：</w:t>
      </w:r>
    </w:p>
    <w:p>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请求：</w:t>
      </w:r>
      <w:r>
        <w:rPr>
          <w:rFonts w:hint="eastAsia" w:ascii="宋体" w:hAnsi="宋体" w:eastAsia="宋体" w:cs="宋体"/>
          <w:bCs/>
          <w:color w:val="auto"/>
          <w:sz w:val="24"/>
          <w:szCs w:val="24"/>
          <w:highlight w:val="none"/>
          <w:u w:val="single"/>
        </w:rPr>
        <w:t xml:space="preserve">                                                                                 </w:t>
      </w:r>
    </w:p>
    <w:p>
      <w:pPr>
        <w:pStyle w:val="16"/>
        <w:spacing w:line="360" w:lineRule="auto"/>
        <w:ind w:left="25" w:leftChars="12" w:firstLine="352" w:firstLineChars="147"/>
        <w:rPr>
          <w:rFonts w:hint="eastAsia" w:ascii="宋体" w:hAnsi="宋体" w:eastAsia="宋体" w:cs="宋体"/>
          <w:color w:val="auto"/>
          <w:sz w:val="24"/>
          <w:szCs w:val="24"/>
          <w:highlight w:val="none"/>
        </w:rPr>
      </w:pPr>
    </w:p>
    <w:p>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签字（签章）：                                       公章：</w:t>
      </w:r>
    </w:p>
    <w:p>
      <w:pPr>
        <w:pStyle w:val="16"/>
        <w:spacing w:line="360" w:lineRule="auto"/>
        <w:ind w:left="25" w:leftChars="12" w:firstLine="352" w:firstLineChars="147"/>
        <w:rPr>
          <w:rFonts w:hint="eastAsia" w:ascii="宋体" w:hAnsi="宋体" w:eastAsia="宋体" w:cs="宋体"/>
          <w:color w:val="auto"/>
          <w:sz w:val="24"/>
          <w:szCs w:val="24"/>
          <w:highlight w:val="none"/>
        </w:rPr>
      </w:pPr>
    </w:p>
    <w:p>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pStyle w:val="16"/>
        <w:spacing w:line="360" w:lineRule="auto"/>
        <w:ind w:left="25" w:leftChars="12" w:firstLine="472" w:firstLineChars="197"/>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rPr>
        <w:t xml:space="preserve">                                                                                 </w:t>
      </w:r>
    </w:p>
    <w:p>
      <w:pPr>
        <w:pStyle w:val="16"/>
        <w:snapToGrid w:val="0"/>
        <w:spacing w:line="360" w:lineRule="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说明：</w:t>
      </w:r>
    </w:p>
    <w:p>
      <w:pPr>
        <w:pStyle w:val="16"/>
        <w:spacing w:line="360" w:lineRule="auto"/>
        <w:ind w:left="25" w:leftChars="12" w:firstLine="354" w:firstLineChars="147"/>
        <w:rPr>
          <w:rFonts w:hint="eastAsia" w:ascii="宋体" w:hAnsi="宋体" w:eastAsia="宋体" w:cs="宋体"/>
          <w:b/>
          <w:bCs/>
          <w:color w:val="auto"/>
          <w:sz w:val="24"/>
          <w:szCs w:val="24"/>
          <w:highlight w:val="none"/>
        </w:rPr>
      </w:pPr>
      <w:r>
        <w:rPr>
          <w:rFonts w:hint="eastAsia" w:ascii="宋体" w:hAnsi="宋体" w:eastAsia="宋体" w:cs="宋体"/>
          <w:b/>
          <w:color w:val="auto"/>
          <w:sz w:val="24"/>
          <w:szCs w:val="24"/>
          <w:highlight w:val="none"/>
        </w:rPr>
        <w:t>1.投诉人提起投诉时，应当提交投诉书和必要的证明材料，并按照被投诉人和与投诉事项有关的供应商数量提供投诉书副本</w:t>
      </w:r>
      <w:r>
        <w:rPr>
          <w:rFonts w:hint="eastAsia" w:ascii="宋体" w:hAnsi="宋体" w:eastAsia="宋体" w:cs="宋体"/>
          <w:b/>
          <w:bCs/>
          <w:color w:val="auto"/>
          <w:sz w:val="24"/>
          <w:szCs w:val="24"/>
          <w:highlight w:val="none"/>
        </w:rPr>
        <w:t>。</w:t>
      </w:r>
    </w:p>
    <w:p>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投诉人若委托代理人进行投诉的，投诉书应按要求列明“授权代表”的有关内容，并在附件中提交由投诉人签署的授权委托书。授权委托书应当载明代理人的姓名或者名称、代理事项、具体权限、期限和相关事项。</w:t>
      </w:r>
    </w:p>
    <w:p>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3.投诉书应简要列明质疑事项，质疑函、质疑答复等作为附件材料提供。</w:t>
      </w:r>
    </w:p>
    <w:p>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4.投诉书的投诉事项应具体、明确，并有必要的事实依据和法律依据。</w:t>
      </w:r>
    </w:p>
    <w:p>
      <w:pPr>
        <w:pStyle w:val="16"/>
        <w:spacing w:line="360" w:lineRule="auto"/>
        <w:ind w:left="25" w:leftChars="12" w:firstLine="354" w:firstLineChars="147"/>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5.投诉书的投诉请求应与投诉事项相关。</w:t>
      </w:r>
    </w:p>
    <w:p>
      <w:pPr>
        <w:pStyle w:val="16"/>
        <w:spacing w:line="360" w:lineRule="auto"/>
        <w:ind w:left="25" w:leftChars="12" w:firstLine="354" w:firstLineChars="147"/>
        <w:rPr>
          <w:color w:val="auto"/>
          <w:highlight w:val="none"/>
        </w:rPr>
      </w:pPr>
      <w:r>
        <w:rPr>
          <w:rFonts w:hint="eastAsia" w:ascii="宋体" w:hAnsi="宋体" w:eastAsia="宋体" w:cs="宋体"/>
          <w:b/>
          <w:color w:val="auto"/>
          <w:sz w:val="24"/>
          <w:szCs w:val="24"/>
          <w:highlight w:val="none"/>
        </w:rPr>
        <w:t>6.投诉人为法人或者其他组织的，投诉书应由法定代表人、主要负责人，或者其授权代表签字或者盖章，并加盖公章。</w:t>
      </w:r>
    </w:p>
    <w:p>
      <w:pPr>
        <w:rPr>
          <w:rFonts w:hint="eastAsia"/>
          <w:color w:val="auto"/>
          <w:highlight w:val="none"/>
        </w:rPr>
      </w:pPr>
    </w:p>
    <w:p>
      <w:pPr>
        <w:rPr>
          <w:rFonts w:hint="eastAsia"/>
          <w:color w:val="auto"/>
          <w:highlight w:val="none"/>
        </w:rPr>
      </w:pPr>
    </w:p>
    <w:p>
      <w:pPr>
        <w:rPr>
          <w:color w:val="auto"/>
          <w:highlight w:val="none"/>
        </w:rPr>
      </w:pPr>
    </w:p>
    <w:sectPr>
      <w:footerReference r:id="rId19" w:type="first"/>
      <w:headerReference r:id="rId17" w:type="default"/>
      <w:footerReference r:id="rId18" w:type="default"/>
      <w:pgSz w:w="11910" w:h="16840"/>
      <w:pgMar w:top="1340" w:right="1500" w:bottom="280" w:left="168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0"/>
    <w:family w:val="roman"/>
    <w:pitch w:val="default"/>
    <w:sig w:usb0="E00006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方正小标宋简体">
    <w:panose1 w:val="03000509000000000000"/>
    <w:charset w:val="86"/>
    <w:family w:val="script"/>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微软雅黑">
    <w:panose1 w:val="020B0503020204020204"/>
    <w:charset w:val="86"/>
    <w:family w:val="auto"/>
    <w:pitch w:val="default"/>
    <w:sig w:usb0="80000287" w:usb1="2ACF3C50" w:usb2="00000016" w:usb3="00000000" w:csb0="0004001F" w:csb1="00000000"/>
  </w:font>
  <w:font w:name="MS Mincho">
    <w:altName w:val="Yu Gothic UI"/>
    <w:panose1 w:val="02020609040205080304"/>
    <w:charset w:val="80"/>
    <w:family w:val="modern"/>
    <w:pitch w:val="default"/>
    <w:sig w:usb0="00000000" w:usb1="00000000" w:usb2="00000012" w:usb3="00000000" w:csb0="4002009F" w:csb1="DFD70000"/>
  </w:font>
  <w:font w:name="楷体_GB2312">
    <w:altName w:val="楷体"/>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Palatino Linotype">
    <w:panose1 w:val="02040502050505030304"/>
    <w:charset w:val="00"/>
    <w:family w:val="roman"/>
    <w:pitch w:val="default"/>
    <w:sig w:usb0="E0000287" w:usb1="40000013" w:usb2="00000000" w:usb3="00000000" w:csb0="2000019F" w:csb1="00000000"/>
  </w:font>
  <w:font w:name="Wingdings 2">
    <w:altName w:val="Wingdings"/>
    <w:panose1 w:val="05020102010507070707"/>
    <w:charset w:val="02"/>
    <w:family w:val="roman"/>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jc w:val="both"/>
    </w:pPr>
  </w:p>
  <w:p>
    <w:pPr>
      <w:pStyle w:val="1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pPr>
                          <w:r>
                            <w:fldChar w:fldCharType="begin"/>
                          </w:r>
                          <w:r>
                            <w:instrText xml:space="preserve"> PAGE  \* MERGEFORMAT </w:instrText>
                          </w:r>
                          <w:r>
                            <w:fldChar w:fldCharType="separate"/>
                          </w:r>
                          <w:r>
                            <w:t>105</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05VZckBAACb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SLm/CaEsctTvzy/dvlx6/Lz68E&#10;fdigPkCNeQ8BM9Nw5wdMnv2Azqx7UNHmLyoiGMf2nq/tlUMiIj9ar9brCkMCY/MF8dnj8xAhvZXe&#10;kmw0NOL8Slv56T2kMXVOydWcv9fGlBka95cDMbOHZe4jx2ylYT9Mgva+PaOeHkffUIebTol557Cz&#10;eUtmI87GfjaOIepDh9SWhReE22NCEoVbrjDCToVxZkXdtF95Kf68l6zHf2r7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LTlVlyQEAAJsDAAAOAAAAAAAAAAEAIAAAAB4BAABkcnMvZTJvRG9j&#10;LnhtbFBLBQYAAAAABgAGAFkBAABZBQAAAAA=&#10;">
              <v:fill on="f" focussize="0,0"/>
              <v:stroke on="f"/>
              <v:imagedata o:title=""/>
              <o:lock v:ext="edit" aspectratio="f"/>
              <v:textbox inset="0mm,0mm,0mm,0mm" style="mso-fit-shape-to-text:t;">
                <w:txbxContent>
                  <w:p>
                    <w:pPr>
                      <w:pStyle w:val="18"/>
                    </w:pPr>
                    <w:r>
                      <w:fldChar w:fldCharType="begin"/>
                    </w:r>
                    <w:r>
                      <w:instrText xml:space="preserve"> PAGE  \* MERGEFORMAT </w:instrText>
                    </w:r>
                    <w:r>
                      <w:fldChar w:fldCharType="separate"/>
                    </w:r>
                    <w:r>
                      <w:t>105</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 PAGE  \* MERGEFORMAT </w:instrText>
                          </w:r>
                          <w:r>
                            <w:fldChar w:fldCharType="separate"/>
                          </w:r>
                          <w:r>
                            <w:t>90</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t>90</w:t>
                    </w:r>
                    <w:r>
                      <w:fldChar w:fldCharType="end"/>
                    </w:r>
                  </w:p>
                </w:txbxContent>
              </v:textbox>
            </v:shape>
          </w:pict>
        </mc:Fallback>
      </mc:AlternateContent>
    </w:r>
  </w:p>
  <w:p>
    <w:pPr>
      <w:pStyle w:val="18"/>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NPPqHM0BAACnAwAADgAAAAAAAAABACAAAAAeAQAAZHJzL2Uy&#10;b0RvYy54bWxQSwUGAAAAAAYABgBZAQAAXQUAAAAA&#10;">
              <v:fill on="f" focussize="0,0"/>
              <v:stroke on="f"/>
              <v:imagedata o:title=""/>
              <o:lock v:ext="edit" aspectratio="f"/>
              <v:textbox inset="0mm,0mm,0mm,0mm" style="mso-fit-shape-to-text:t;">
                <w:txbxConten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tabs>
        <w:tab w:val="center" w:pos="4439"/>
        <w:tab w:val="clear" w:pos="4153"/>
      </w:tabs>
      <w:jc w:val="both"/>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CX2GkzAEAAKcDAAAOAAAAAAAAAAEAIAAAAB4BAABkcnMvZTJv&#10;RG9jLnhtbFBLBQYAAAAABgAGAFkBAABcBQ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8"/>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8"/>
                          </w:pPr>
                          <w:r>
                            <w:fldChar w:fldCharType="begin"/>
                          </w:r>
                          <w:r>
                            <w:instrText xml:space="preserve"> PAGE  \* MERGEFORMAT </w:instrText>
                          </w:r>
                          <w:r>
                            <w:fldChar w:fldCharType="separate"/>
                          </w:r>
                          <w:r>
                            <w:t>91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jHpww4AgAAb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mMenDDgCAABvBAAADgAAAAAAAAABACAAAAAfAQAAZHJzL2Uyb0RvYy54&#10;bWxQSwUGAAAAAAYABgBZAQAAyQUAAAAA&#10;">
              <v:fill on="f" focussize="0,0"/>
              <v:stroke on="f" weight="0.5pt"/>
              <v:imagedata o:title=""/>
              <o:lock v:ext="edit" aspectratio="f"/>
              <v:textbox inset="0mm,0mm,0mm,0mm" style="mso-fit-shape-to-text:t;">
                <w:txbxContent>
                  <w:p>
                    <w:pPr>
                      <w:pStyle w:val="18"/>
                    </w:pPr>
                    <w:r>
                      <w:fldChar w:fldCharType="begin"/>
                    </w:r>
                    <w:r>
                      <w:instrText xml:space="preserve"> PAGE  \* MERGEFORMAT </w:instrText>
                    </w:r>
                    <w:r>
                      <w:fldChar w:fldCharType="separate"/>
                    </w:r>
                    <w:r>
                      <w:t>91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pPr>
      <w:pStyle w:val="1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jc w:val="center"/>
                          </w:pPr>
                          <w:r>
                            <w:fldChar w:fldCharType="begin"/>
                          </w:r>
                          <w:r>
                            <w:instrText xml:space="preserve"> PAGE  \* MERGEFORMAT </w:instrText>
                          </w:r>
                          <w:r>
                            <w:fldChar w:fldCharType="separate"/>
                          </w:r>
                          <w:r>
                            <w:t>122</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18"/>
                      <w:jc w:val="center"/>
                    </w:pPr>
                    <w:r>
                      <w:fldChar w:fldCharType="begin"/>
                    </w:r>
                    <w:r>
                      <w:instrText xml:space="preserve"> PAGE  \* MERGEFORMAT </w:instrText>
                    </w:r>
                    <w:r>
                      <w:fldChar w:fldCharType="separate"/>
                    </w:r>
                    <w:r>
                      <w:t>122</w:t>
                    </w:r>
                    <w:r>
                      <w:fldChar w:fldCharType="end"/>
                    </w:r>
                  </w:p>
                </w:txbxContent>
              </v:textbox>
            </v:shape>
          </w:pict>
        </mc:Fallback>
      </mc:AlternateContent>
    </w:r>
  </w:p>
  <w:p>
    <w:pPr>
      <w:pStyle w:val="18"/>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18"/>
                      <w:rPr>
                        <w:rFonts w:hint="eastAsia"/>
                      </w:rPr>
                    </w:pPr>
                    <w:r>
                      <w:rPr>
                        <w:rFonts w:hint="eastAsia"/>
                      </w:rPr>
                      <w:fldChar w:fldCharType="begin"/>
                    </w:r>
                    <w:r>
                      <w:rPr>
                        <w:rFonts w:hint="eastAsia"/>
                      </w:rPr>
                      <w:instrText xml:space="preserve"> PAGE  \* MERGEFORMAT </w:instrText>
                    </w:r>
                    <w:r>
                      <w:rPr>
                        <w:rFonts w:hint="eastAsia"/>
                      </w:rPr>
                      <w:fldChar w:fldCharType="separate"/>
                    </w:r>
                    <w:r>
                      <w:t>63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color w:val="auto"/>
      </w:rPr>
    </w:pPr>
    <w:r>
      <w:rPr>
        <w:rFonts w:hint="eastAsia"/>
        <w:color w:val="auto"/>
      </w:rPr>
      <w:t>南宁市政府采购竞争性磋商采购文件（项目编号：NNZC2024-C2-230184-GXJH）</w:t>
    </w:r>
  </w:p>
  <w:p>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color w:val="auto"/>
      </w:rPr>
    </w:pPr>
    <w:r>
      <w:rPr>
        <w:rFonts w:hint="eastAsia"/>
        <w:color w:val="auto"/>
      </w:rPr>
      <w:t>南宁市政府采购竞争性磋商采购文件（项目编号：NNZC2024-C2-230184-GXJH）</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rPr>
        <w:color w:val="auto"/>
      </w:rPr>
    </w:pPr>
    <w:r>
      <w:rPr>
        <w:rFonts w:hint="eastAsia"/>
        <w:color w:val="auto"/>
      </w:rPr>
      <w:t>南宁市政府采购竞争性磋商采购文件（项目编号：</w:t>
    </w:r>
    <w:r>
      <w:rPr>
        <w:rFonts w:hint="eastAsia"/>
        <w:color w:val="auto"/>
        <w:lang w:eastAsia="zh-CN"/>
      </w:rPr>
      <w:t xml:space="preserve">    </w:t>
    </w:r>
    <w:r>
      <w:rPr>
        <w:rFonts w:hint="eastAsia"/>
        <w:color w:val="auto"/>
      </w:rPr>
      <w:t>）</w:t>
    </w:r>
  </w:p>
  <w:p>
    <w:pPr>
      <w:pStyle w:val="19"/>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w:rPr>
        <w:rFonts w:hint="eastAsia"/>
        <w:color w:val="auto"/>
      </w:rPr>
      <w:t>南宁市政府采购竞争性磋商采购文件（项目编号：</w:t>
    </w:r>
    <w:r>
      <w:rPr>
        <w:rFonts w:hint="eastAsia"/>
        <w:color w:val="auto"/>
        <w:lang w:eastAsia="zh-CN"/>
      </w:rPr>
      <w:t xml:space="preserve">    </w:t>
    </w:r>
    <w:r>
      <w:rPr>
        <w:rFonts w:hint="eastAsia"/>
        <w:color w:val="aut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EC3C5"/>
    <w:multiLevelType w:val="singleLevel"/>
    <w:tmpl w:val="825EC3C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
    <w:nsid w:val="883B3669"/>
    <w:multiLevelType w:val="singleLevel"/>
    <w:tmpl w:val="883B366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
    <w:nsid w:val="98CD717A"/>
    <w:multiLevelType w:val="singleLevel"/>
    <w:tmpl w:val="98CD717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
    <w:nsid w:val="9C11E984"/>
    <w:multiLevelType w:val="singleLevel"/>
    <w:tmpl w:val="9C11E98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
    <w:nsid w:val="9C7198AA"/>
    <w:multiLevelType w:val="singleLevel"/>
    <w:tmpl w:val="9C7198A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5">
    <w:nsid w:val="9D7EB8E6"/>
    <w:multiLevelType w:val="singleLevel"/>
    <w:tmpl w:val="9D7EB8E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6">
    <w:nsid w:val="9DFC6F65"/>
    <w:multiLevelType w:val="singleLevel"/>
    <w:tmpl w:val="9DFC6F6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7">
    <w:nsid w:val="9F81B9F9"/>
    <w:multiLevelType w:val="singleLevel"/>
    <w:tmpl w:val="9F81B9F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8">
    <w:nsid w:val="B4E02BC3"/>
    <w:multiLevelType w:val="singleLevel"/>
    <w:tmpl w:val="B4E02B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9">
    <w:nsid w:val="BCECA0B4"/>
    <w:multiLevelType w:val="singleLevel"/>
    <w:tmpl w:val="BCECA0B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0">
    <w:nsid w:val="BF50FE6B"/>
    <w:multiLevelType w:val="singleLevel"/>
    <w:tmpl w:val="BF50FE6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1">
    <w:nsid w:val="C9412743"/>
    <w:multiLevelType w:val="singleLevel"/>
    <w:tmpl w:val="C941274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2">
    <w:nsid w:val="CD699D1D"/>
    <w:multiLevelType w:val="singleLevel"/>
    <w:tmpl w:val="CD699D1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3">
    <w:nsid w:val="D7936317"/>
    <w:multiLevelType w:val="singleLevel"/>
    <w:tmpl w:val="D793631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4">
    <w:nsid w:val="E0294EC7"/>
    <w:multiLevelType w:val="singleLevel"/>
    <w:tmpl w:val="E0294EC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5">
    <w:nsid w:val="E43A772E"/>
    <w:multiLevelType w:val="singleLevel"/>
    <w:tmpl w:val="E43A772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6">
    <w:nsid w:val="E52D9448"/>
    <w:multiLevelType w:val="singleLevel"/>
    <w:tmpl w:val="E52D944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7">
    <w:nsid w:val="F3A33954"/>
    <w:multiLevelType w:val="singleLevel"/>
    <w:tmpl w:val="F3A3395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8">
    <w:nsid w:val="F46CCC20"/>
    <w:multiLevelType w:val="singleLevel"/>
    <w:tmpl w:val="F46CCC20"/>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19">
    <w:nsid w:val="F4A942FE"/>
    <w:multiLevelType w:val="singleLevel"/>
    <w:tmpl w:val="F4A942F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0">
    <w:nsid w:val="00000003"/>
    <w:multiLevelType w:val="multilevel"/>
    <w:tmpl w:val="00000003"/>
    <w:lvl w:ilvl="0" w:tentative="0">
      <w:start w:val="1"/>
      <w:numFmt w:val="decimal"/>
      <w:lvlText w:val="（%1）"/>
      <w:lvlJc w:val="left"/>
      <w:pPr>
        <w:tabs>
          <w:tab w:val="left" w:pos="1140"/>
        </w:tabs>
        <w:ind w:left="1140" w:hanging="7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1">
    <w:nsid w:val="0000000B"/>
    <w:multiLevelType w:val="multilevel"/>
    <w:tmpl w:val="0000000B"/>
    <w:lvl w:ilvl="0" w:tentative="0">
      <w:start w:val="1"/>
      <w:numFmt w:val="decimal"/>
      <w:lvlText w:val="（%1）"/>
      <w:lvlJc w:val="left"/>
      <w:pPr>
        <w:tabs>
          <w:tab w:val="left" w:pos="1140"/>
        </w:tabs>
        <w:ind w:left="1140" w:hanging="720"/>
      </w:pPr>
      <w:rPr>
        <w:rFonts w:ascii="宋体" w:hAnsi="宋体" w:eastAsia="宋体" w:cs="Times New Roman"/>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2">
    <w:nsid w:val="01836A6D"/>
    <w:multiLevelType w:val="singleLevel"/>
    <w:tmpl w:val="01836A6D"/>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3">
    <w:nsid w:val="03C240C0"/>
    <w:multiLevelType w:val="singleLevel"/>
    <w:tmpl w:val="03C240C0"/>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4">
    <w:nsid w:val="07F5BCC3"/>
    <w:multiLevelType w:val="singleLevel"/>
    <w:tmpl w:val="07F5BCC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25">
    <w:nsid w:val="10F0DB0B"/>
    <w:multiLevelType w:val="singleLevel"/>
    <w:tmpl w:val="10F0DB0B"/>
    <w:lvl w:ilvl="0" w:tentative="0">
      <w:start w:val="2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lvl>
  </w:abstractNum>
  <w:abstractNum w:abstractNumId="26">
    <w:nsid w:val="163D9E49"/>
    <w:multiLevelType w:val="singleLevel"/>
    <w:tmpl w:val="163D9E49"/>
    <w:lvl w:ilvl="0" w:tentative="0">
      <w:start w:val="4"/>
      <w:numFmt w:val="decimal"/>
      <w:suff w:val="space"/>
      <w:lvlText w:val="%1."/>
      <w:lvlJc w:val="left"/>
    </w:lvl>
  </w:abstractNum>
  <w:abstractNum w:abstractNumId="27">
    <w:nsid w:val="1AD50295"/>
    <w:multiLevelType w:val="singleLevel"/>
    <w:tmpl w:val="1AD5029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8">
    <w:nsid w:val="21B3B1B1"/>
    <w:multiLevelType w:val="singleLevel"/>
    <w:tmpl w:val="21B3B1B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29">
    <w:nsid w:val="227C9188"/>
    <w:multiLevelType w:val="singleLevel"/>
    <w:tmpl w:val="227C9188"/>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0">
    <w:nsid w:val="22A42B04"/>
    <w:multiLevelType w:val="singleLevel"/>
    <w:tmpl w:val="22A42B04"/>
    <w:lvl w:ilvl="0" w:tentative="0">
      <w:start w:val="1"/>
      <w:numFmt w:val="decimal"/>
      <w:pStyle w:val="10"/>
      <w:lvlText w:val="%1."/>
      <w:lvlJc w:val="left"/>
      <w:pPr>
        <w:tabs>
          <w:tab w:val="left" w:pos="360"/>
        </w:tabs>
        <w:ind w:left="360" w:hanging="360"/>
      </w:pPr>
    </w:lvl>
  </w:abstractNum>
  <w:abstractNum w:abstractNumId="31">
    <w:nsid w:val="251342A6"/>
    <w:multiLevelType w:val="singleLevel"/>
    <w:tmpl w:val="251342A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2">
    <w:nsid w:val="2B3F3F89"/>
    <w:multiLevelType w:val="singleLevel"/>
    <w:tmpl w:val="2B3F3F89"/>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3">
    <w:nsid w:val="38EAC418"/>
    <w:multiLevelType w:val="singleLevel"/>
    <w:tmpl w:val="38EAC418"/>
    <w:lvl w:ilvl="0" w:tentative="0">
      <w:start w:val="2"/>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4">
    <w:nsid w:val="3FE315B6"/>
    <w:multiLevelType w:val="singleLevel"/>
    <w:tmpl w:val="3FE315B6"/>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5">
    <w:nsid w:val="40F245EA"/>
    <w:multiLevelType w:val="singleLevel"/>
    <w:tmpl w:val="40F245EA"/>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6">
    <w:nsid w:val="4258023A"/>
    <w:multiLevelType w:val="singleLevel"/>
    <w:tmpl w:val="4258023A"/>
    <w:lvl w:ilvl="0" w:tentative="0">
      <w:start w:val="1"/>
      <w:numFmt w:val="decimalEnclosedCircle"/>
      <w:lvlText w:val="%1"/>
      <w:lvlJc w:val="left"/>
      <w:rPr>
        <w:rFonts w:ascii="宋体" w:hAnsi="宋体" w:eastAsia="宋体" w:cs="宋体"/>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7">
    <w:nsid w:val="4A51D704"/>
    <w:multiLevelType w:val="singleLevel"/>
    <w:tmpl w:val="4A51D704"/>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8">
    <w:nsid w:val="4CD1E351"/>
    <w:multiLevelType w:val="singleLevel"/>
    <w:tmpl w:val="4CD1E35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39">
    <w:nsid w:val="4D63189B"/>
    <w:multiLevelType w:val="singleLevel"/>
    <w:tmpl w:val="4D63189B"/>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0">
    <w:nsid w:val="4FB438A5"/>
    <w:multiLevelType w:val="singleLevel"/>
    <w:tmpl w:val="4FB438A5"/>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1">
    <w:nsid w:val="51C4BC33"/>
    <w:multiLevelType w:val="singleLevel"/>
    <w:tmpl w:val="51C4BC33"/>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2">
    <w:nsid w:val="54701CA1"/>
    <w:multiLevelType w:val="singleLevel"/>
    <w:tmpl w:val="54701CA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3">
    <w:nsid w:val="5FCE4367"/>
    <w:multiLevelType w:val="singleLevel"/>
    <w:tmpl w:val="5FCE436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4">
    <w:nsid w:val="68B298F7"/>
    <w:multiLevelType w:val="singleLevel"/>
    <w:tmpl w:val="68B298F7"/>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zh-CN" w:eastAsia="zh-CN" w:bidi="zh-CN"/>
      </w:rPr>
    </w:lvl>
  </w:abstractNum>
  <w:abstractNum w:abstractNumId="45">
    <w:nsid w:val="7763323E"/>
    <w:multiLevelType w:val="singleLevel"/>
    <w:tmpl w:val="7763323E"/>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46">
    <w:nsid w:val="77633241"/>
    <w:multiLevelType w:val="singleLevel"/>
    <w:tmpl w:val="77633241"/>
    <w:lvl w:ilvl="0" w:tentative="0">
      <w:start w:val="1"/>
      <w:numFmt w:val="decimal"/>
      <w:lvlText w:val="%1."/>
      <w:lvlJc w:val="left"/>
      <w:rPr>
        <w:rFonts w:ascii="Times New Roman" w:hAnsi="Times New Roman" w:eastAsia="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num w:numId="1">
    <w:abstractNumId w:val="30"/>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44"/>
  </w:num>
  <w:num w:numId="6">
    <w:abstractNumId w:val="9"/>
  </w:num>
  <w:num w:numId="7">
    <w:abstractNumId w:val="38"/>
  </w:num>
  <w:num w:numId="8">
    <w:abstractNumId w:val="3"/>
  </w:num>
  <w:num w:numId="9">
    <w:abstractNumId w:val="14"/>
  </w:num>
  <w:num w:numId="10">
    <w:abstractNumId w:val="27"/>
  </w:num>
  <w:num w:numId="11">
    <w:abstractNumId w:val="37"/>
  </w:num>
  <w:num w:numId="12">
    <w:abstractNumId w:val="0"/>
  </w:num>
  <w:num w:numId="13">
    <w:abstractNumId w:val="1"/>
  </w:num>
  <w:num w:numId="14">
    <w:abstractNumId w:val="22"/>
  </w:num>
  <w:num w:numId="15">
    <w:abstractNumId w:val="7"/>
  </w:num>
  <w:num w:numId="16">
    <w:abstractNumId w:val="10"/>
  </w:num>
  <w:num w:numId="17">
    <w:abstractNumId w:val="19"/>
  </w:num>
  <w:num w:numId="18">
    <w:abstractNumId w:val="43"/>
  </w:num>
  <w:num w:numId="19">
    <w:abstractNumId w:val="17"/>
  </w:num>
  <w:num w:numId="20">
    <w:abstractNumId w:val="42"/>
  </w:num>
  <w:num w:numId="21">
    <w:abstractNumId w:val="28"/>
  </w:num>
  <w:num w:numId="22">
    <w:abstractNumId w:val="2"/>
  </w:num>
  <w:num w:numId="23">
    <w:abstractNumId w:val="23"/>
  </w:num>
  <w:num w:numId="24">
    <w:abstractNumId w:val="6"/>
  </w:num>
  <w:num w:numId="25">
    <w:abstractNumId w:val="32"/>
  </w:num>
  <w:num w:numId="26">
    <w:abstractNumId w:val="41"/>
  </w:num>
  <w:num w:numId="27">
    <w:abstractNumId w:val="12"/>
  </w:num>
  <w:num w:numId="28">
    <w:abstractNumId w:val="4"/>
  </w:num>
  <w:num w:numId="29">
    <w:abstractNumId w:val="31"/>
  </w:num>
  <w:num w:numId="30">
    <w:abstractNumId w:val="35"/>
  </w:num>
  <w:num w:numId="31">
    <w:abstractNumId w:val="39"/>
  </w:num>
  <w:num w:numId="32">
    <w:abstractNumId w:val="40"/>
  </w:num>
  <w:num w:numId="33">
    <w:abstractNumId w:val="29"/>
  </w:num>
  <w:num w:numId="34">
    <w:abstractNumId w:val="16"/>
  </w:num>
  <w:num w:numId="35">
    <w:abstractNumId w:val="5"/>
  </w:num>
  <w:num w:numId="36">
    <w:abstractNumId w:val="25"/>
  </w:num>
  <w:num w:numId="37">
    <w:abstractNumId w:val="34"/>
  </w:num>
  <w:num w:numId="38">
    <w:abstractNumId w:val="15"/>
  </w:num>
  <w:num w:numId="39">
    <w:abstractNumId w:val="13"/>
  </w:num>
  <w:num w:numId="40">
    <w:abstractNumId w:val="36"/>
  </w:num>
  <w:num w:numId="41">
    <w:abstractNumId w:val="18"/>
  </w:num>
  <w:num w:numId="42">
    <w:abstractNumId w:val="11"/>
  </w:num>
  <w:num w:numId="43">
    <w:abstractNumId w:val="33"/>
  </w:num>
  <w:num w:numId="44">
    <w:abstractNumId w:val="24"/>
  </w:num>
  <w:num w:numId="45">
    <w:abstractNumId w:val="8"/>
  </w:num>
  <w:num w:numId="46">
    <w:abstractNumId w:val="45"/>
  </w:num>
  <w:num w:numId="47">
    <w:abstractNumId w:val="4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Unknown">
    <w15:presenceInfo w15:providerId="None" w15:userId="Unknow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1MDk4MDkyZDUxMmE1ZGEzZGUzNDg1YjQwY2U4NWIifQ=="/>
  </w:docVars>
  <w:rsids>
    <w:rsidRoot w:val="4A792BC1"/>
    <w:rsid w:val="002C4449"/>
    <w:rsid w:val="003A6B66"/>
    <w:rsid w:val="00A67D58"/>
    <w:rsid w:val="021E308C"/>
    <w:rsid w:val="028E4F47"/>
    <w:rsid w:val="02B80216"/>
    <w:rsid w:val="031501B1"/>
    <w:rsid w:val="0442423B"/>
    <w:rsid w:val="048F4296"/>
    <w:rsid w:val="05832D5D"/>
    <w:rsid w:val="06EE06AA"/>
    <w:rsid w:val="07D959FB"/>
    <w:rsid w:val="08210B42"/>
    <w:rsid w:val="0A0C3321"/>
    <w:rsid w:val="0A9F4195"/>
    <w:rsid w:val="0B0F6FFD"/>
    <w:rsid w:val="0B195A81"/>
    <w:rsid w:val="0C253D2D"/>
    <w:rsid w:val="0C41127C"/>
    <w:rsid w:val="0CA32483"/>
    <w:rsid w:val="0D18022F"/>
    <w:rsid w:val="0D333F71"/>
    <w:rsid w:val="0D361A70"/>
    <w:rsid w:val="0DB55804"/>
    <w:rsid w:val="0E372937"/>
    <w:rsid w:val="0E721BC1"/>
    <w:rsid w:val="0E7B0A75"/>
    <w:rsid w:val="0F0E18EA"/>
    <w:rsid w:val="0F1609AB"/>
    <w:rsid w:val="0F8737DE"/>
    <w:rsid w:val="0F8F00B0"/>
    <w:rsid w:val="0FD83CA6"/>
    <w:rsid w:val="0FFC5BE6"/>
    <w:rsid w:val="10BA7FBF"/>
    <w:rsid w:val="10CF50A9"/>
    <w:rsid w:val="112847B9"/>
    <w:rsid w:val="11AE74B8"/>
    <w:rsid w:val="12A6439B"/>
    <w:rsid w:val="134A2AF6"/>
    <w:rsid w:val="14554682"/>
    <w:rsid w:val="14F21B98"/>
    <w:rsid w:val="156264EB"/>
    <w:rsid w:val="15BD79D8"/>
    <w:rsid w:val="164E59A4"/>
    <w:rsid w:val="16565924"/>
    <w:rsid w:val="16B965DF"/>
    <w:rsid w:val="16CF5E02"/>
    <w:rsid w:val="172F064F"/>
    <w:rsid w:val="17BD20FF"/>
    <w:rsid w:val="18324737"/>
    <w:rsid w:val="188B3EA1"/>
    <w:rsid w:val="18C20C20"/>
    <w:rsid w:val="19B412DF"/>
    <w:rsid w:val="1B54323F"/>
    <w:rsid w:val="1BD45C69"/>
    <w:rsid w:val="1C181D4E"/>
    <w:rsid w:val="1C6012AB"/>
    <w:rsid w:val="1C79702B"/>
    <w:rsid w:val="1CAC5149"/>
    <w:rsid w:val="1CC7132A"/>
    <w:rsid w:val="1CEC4141"/>
    <w:rsid w:val="1D0B5264"/>
    <w:rsid w:val="1D867E58"/>
    <w:rsid w:val="1D8B2357"/>
    <w:rsid w:val="1DB3762A"/>
    <w:rsid w:val="1EAE454F"/>
    <w:rsid w:val="1EBC5680"/>
    <w:rsid w:val="1EC254C5"/>
    <w:rsid w:val="1F3E0788"/>
    <w:rsid w:val="1F901EA7"/>
    <w:rsid w:val="1FF42436"/>
    <w:rsid w:val="204333BD"/>
    <w:rsid w:val="21C422DC"/>
    <w:rsid w:val="227B299A"/>
    <w:rsid w:val="22BD4DFB"/>
    <w:rsid w:val="22C32593"/>
    <w:rsid w:val="238735C1"/>
    <w:rsid w:val="23AE6962"/>
    <w:rsid w:val="2431093C"/>
    <w:rsid w:val="252D5589"/>
    <w:rsid w:val="25CC2EDF"/>
    <w:rsid w:val="26A7481C"/>
    <w:rsid w:val="277F78C1"/>
    <w:rsid w:val="27806CC5"/>
    <w:rsid w:val="27F4588C"/>
    <w:rsid w:val="281F3608"/>
    <w:rsid w:val="295071B5"/>
    <w:rsid w:val="29B94243"/>
    <w:rsid w:val="2A151926"/>
    <w:rsid w:val="2AC87988"/>
    <w:rsid w:val="2BA56CDA"/>
    <w:rsid w:val="2BD445E9"/>
    <w:rsid w:val="2BD61589"/>
    <w:rsid w:val="2C194947"/>
    <w:rsid w:val="2C664127"/>
    <w:rsid w:val="2CCD3F5D"/>
    <w:rsid w:val="2CD81465"/>
    <w:rsid w:val="2CF061F0"/>
    <w:rsid w:val="2D0B5263"/>
    <w:rsid w:val="2D3827E8"/>
    <w:rsid w:val="2D7746A6"/>
    <w:rsid w:val="2D992479"/>
    <w:rsid w:val="2E556795"/>
    <w:rsid w:val="2F12776B"/>
    <w:rsid w:val="2F3A598B"/>
    <w:rsid w:val="2FC75471"/>
    <w:rsid w:val="30A12166"/>
    <w:rsid w:val="31366760"/>
    <w:rsid w:val="31F91ADC"/>
    <w:rsid w:val="324A13F3"/>
    <w:rsid w:val="3301513E"/>
    <w:rsid w:val="3345560D"/>
    <w:rsid w:val="334D0EF2"/>
    <w:rsid w:val="337A7F82"/>
    <w:rsid w:val="345C7BDD"/>
    <w:rsid w:val="34E844EF"/>
    <w:rsid w:val="35460A1E"/>
    <w:rsid w:val="35507CB7"/>
    <w:rsid w:val="35FA7C22"/>
    <w:rsid w:val="36956DC4"/>
    <w:rsid w:val="36DF1C32"/>
    <w:rsid w:val="376E466E"/>
    <w:rsid w:val="37E13657"/>
    <w:rsid w:val="37E1553E"/>
    <w:rsid w:val="37ED732A"/>
    <w:rsid w:val="383529B9"/>
    <w:rsid w:val="389C17C7"/>
    <w:rsid w:val="38EC5F48"/>
    <w:rsid w:val="38F82B3F"/>
    <w:rsid w:val="393D49F6"/>
    <w:rsid w:val="39453F46"/>
    <w:rsid w:val="39870694"/>
    <w:rsid w:val="3AB3119F"/>
    <w:rsid w:val="3AF630AE"/>
    <w:rsid w:val="3B1F25AF"/>
    <w:rsid w:val="3B223EA3"/>
    <w:rsid w:val="3B343BD6"/>
    <w:rsid w:val="3B4069B8"/>
    <w:rsid w:val="3BD03139"/>
    <w:rsid w:val="3C371BD0"/>
    <w:rsid w:val="3C8B2027"/>
    <w:rsid w:val="3CEC29BB"/>
    <w:rsid w:val="3D6176CB"/>
    <w:rsid w:val="3E125828"/>
    <w:rsid w:val="3EFF6AAC"/>
    <w:rsid w:val="3F075E88"/>
    <w:rsid w:val="3F470381"/>
    <w:rsid w:val="3F7A3FE3"/>
    <w:rsid w:val="425A03C6"/>
    <w:rsid w:val="42731D88"/>
    <w:rsid w:val="43127AF9"/>
    <w:rsid w:val="432A1A6E"/>
    <w:rsid w:val="43516F22"/>
    <w:rsid w:val="438A4CDB"/>
    <w:rsid w:val="443006B8"/>
    <w:rsid w:val="44B1564F"/>
    <w:rsid w:val="45AC0F39"/>
    <w:rsid w:val="46F74410"/>
    <w:rsid w:val="47413903"/>
    <w:rsid w:val="489F2326"/>
    <w:rsid w:val="49656BC0"/>
    <w:rsid w:val="498126DD"/>
    <w:rsid w:val="498C371F"/>
    <w:rsid w:val="4A050C18"/>
    <w:rsid w:val="4A792BC1"/>
    <w:rsid w:val="4B614574"/>
    <w:rsid w:val="4CE511D4"/>
    <w:rsid w:val="4D0819F5"/>
    <w:rsid w:val="4D2560BA"/>
    <w:rsid w:val="4DCD5EF0"/>
    <w:rsid w:val="4DD23507"/>
    <w:rsid w:val="4E0631B0"/>
    <w:rsid w:val="4EB83982"/>
    <w:rsid w:val="4F7479F9"/>
    <w:rsid w:val="50203397"/>
    <w:rsid w:val="50B769E4"/>
    <w:rsid w:val="50D94BAC"/>
    <w:rsid w:val="52490566"/>
    <w:rsid w:val="54120E10"/>
    <w:rsid w:val="544D37A5"/>
    <w:rsid w:val="55147E09"/>
    <w:rsid w:val="572A46D5"/>
    <w:rsid w:val="58005F43"/>
    <w:rsid w:val="58E7530E"/>
    <w:rsid w:val="59101387"/>
    <w:rsid w:val="5928560F"/>
    <w:rsid w:val="59F20A8D"/>
    <w:rsid w:val="5A3708D8"/>
    <w:rsid w:val="5A3F1F24"/>
    <w:rsid w:val="5BC76675"/>
    <w:rsid w:val="5BCE0086"/>
    <w:rsid w:val="5BD7618C"/>
    <w:rsid w:val="5C06444B"/>
    <w:rsid w:val="5CCE758F"/>
    <w:rsid w:val="5CE72757"/>
    <w:rsid w:val="5CE868B8"/>
    <w:rsid w:val="5CF76AE6"/>
    <w:rsid w:val="5D611C90"/>
    <w:rsid w:val="5D861F38"/>
    <w:rsid w:val="5E902386"/>
    <w:rsid w:val="5EC57BCC"/>
    <w:rsid w:val="61555AB1"/>
    <w:rsid w:val="61B21B87"/>
    <w:rsid w:val="62BB05B6"/>
    <w:rsid w:val="63042A79"/>
    <w:rsid w:val="63696264"/>
    <w:rsid w:val="639A641D"/>
    <w:rsid w:val="63F33440"/>
    <w:rsid w:val="64061D04"/>
    <w:rsid w:val="647B3F47"/>
    <w:rsid w:val="65006AFE"/>
    <w:rsid w:val="652856E2"/>
    <w:rsid w:val="65B90E14"/>
    <w:rsid w:val="660F30F2"/>
    <w:rsid w:val="66664CDC"/>
    <w:rsid w:val="666F593F"/>
    <w:rsid w:val="66A41C41"/>
    <w:rsid w:val="66B81126"/>
    <w:rsid w:val="671B5AC7"/>
    <w:rsid w:val="67375865"/>
    <w:rsid w:val="673C6210"/>
    <w:rsid w:val="6870620A"/>
    <w:rsid w:val="68964017"/>
    <w:rsid w:val="68E85E7D"/>
    <w:rsid w:val="69C51D1A"/>
    <w:rsid w:val="6A276531"/>
    <w:rsid w:val="6A534F36"/>
    <w:rsid w:val="6AFE4151"/>
    <w:rsid w:val="6B1E16E2"/>
    <w:rsid w:val="6BA208B3"/>
    <w:rsid w:val="6BEE37AA"/>
    <w:rsid w:val="6BFD1F48"/>
    <w:rsid w:val="6C98785A"/>
    <w:rsid w:val="6D723464"/>
    <w:rsid w:val="6D756A1A"/>
    <w:rsid w:val="6DDB7D5E"/>
    <w:rsid w:val="6E591796"/>
    <w:rsid w:val="6F212F57"/>
    <w:rsid w:val="711A294B"/>
    <w:rsid w:val="721149AF"/>
    <w:rsid w:val="721970A7"/>
    <w:rsid w:val="722717C4"/>
    <w:rsid w:val="728564EA"/>
    <w:rsid w:val="73131D48"/>
    <w:rsid w:val="732D07CF"/>
    <w:rsid w:val="748B46F4"/>
    <w:rsid w:val="7507768A"/>
    <w:rsid w:val="75FA4D6A"/>
    <w:rsid w:val="76216828"/>
    <w:rsid w:val="762416C6"/>
    <w:rsid w:val="76714F6B"/>
    <w:rsid w:val="7693567A"/>
    <w:rsid w:val="769461F6"/>
    <w:rsid w:val="77DA4BE2"/>
    <w:rsid w:val="7836666D"/>
    <w:rsid w:val="78600EB5"/>
    <w:rsid w:val="78F9378E"/>
    <w:rsid w:val="79143B6F"/>
    <w:rsid w:val="798C478A"/>
    <w:rsid w:val="7AD93877"/>
    <w:rsid w:val="7AEF4E49"/>
    <w:rsid w:val="7B7E3E42"/>
    <w:rsid w:val="7D2D1C58"/>
    <w:rsid w:val="7D3B041C"/>
    <w:rsid w:val="7D807FDA"/>
    <w:rsid w:val="7E6E42D6"/>
    <w:rsid w:val="7E8E7AFF"/>
    <w:rsid w:val="7F8B1FD5"/>
    <w:rsid w:val="7F923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nhideWhenUsed="0" w:uiPriority="9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qFormat="1"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autoRedefine/>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4"/>
    <w:next w:val="6"/>
    <w:autoRedefine/>
    <w:unhideWhenUsed/>
    <w:qFormat/>
    <w:uiPriority w:val="9"/>
    <w:pPr>
      <w:keepNext/>
      <w:keepLines/>
      <w:spacing w:before="260" w:after="260" w:line="416" w:lineRule="auto"/>
      <w:outlineLvl w:val="2"/>
    </w:pPr>
    <w:rPr>
      <w:sz w:val="32"/>
      <w:szCs w:val="32"/>
    </w:rPr>
  </w:style>
  <w:style w:type="paragraph" w:styleId="6">
    <w:name w:val="heading 4"/>
    <w:basedOn w:val="5"/>
    <w:next w:val="7"/>
    <w:autoRedefine/>
    <w:qFormat/>
    <w:uiPriority w:val="99"/>
    <w:pPr>
      <w:tabs>
        <w:tab w:val="left" w:pos="2155"/>
      </w:tabs>
      <w:adjustRightInd w:val="0"/>
      <w:spacing w:before="120" w:line="360" w:lineRule="auto"/>
      <w:ind w:left="2155" w:hanging="1078"/>
      <w:textAlignment w:val="baseline"/>
      <w:outlineLvl w:val="3"/>
    </w:pPr>
    <w:rPr>
      <w:rFonts w:ascii="Arial" w:eastAsia="黑体"/>
      <w:kern w:val="0"/>
      <w:sz w:val="28"/>
      <w:szCs w:val="20"/>
    </w:rPr>
  </w:style>
  <w:style w:type="paragraph" w:styleId="7">
    <w:name w:val="heading 5"/>
    <w:basedOn w:val="6"/>
    <w:next w:val="8"/>
    <w:autoRedefine/>
    <w:qFormat/>
    <w:uiPriority w:val="0"/>
    <w:pPr>
      <w:keepNext/>
      <w:keepLines/>
      <w:spacing w:before="280" w:after="290" w:line="372" w:lineRule="auto"/>
      <w:outlineLvl w:val="4"/>
    </w:pPr>
    <w:rPr>
      <w:b w:val="0"/>
      <w:sz w:val="28"/>
    </w:rPr>
  </w:style>
  <w:style w:type="character" w:default="1" w:styleId="26">
    <w:name w:val="Default Paragraph Font"/>
    <w:autoRedefine/>
    <w:semiHidden/>
    <w:qFormat/>
    <w:uiPriority w:val="0"/>
  </w:style>
  <w:style w:type="table" w:default="1" w:styleId="24">
    <w:name w:val="Normal Table"/>
    <w:autoRedefine/>
    <w:semiHidden/>
    <w:qFormat/>
    <w:uiPriority w:val="0"/>
    <w:tblPr>
      <w:tblCellMar>
        <w:top w:w="0" w:type="dxa"/>
        <w:left w:w="108" w:type="dxa"/>
        <w:bottom w:w="0" w:type="dxa"/>
        <w:right w:w="108" w:type="dxa"/>
      </w:tblCellMar>
    </w:tblPr>
  </w:style>
  <w:style w:type="paragraph" w:styleId="2">
    <w:name w:val="table of figures"/>
    <w:basedOn w:val="1"/>
    <w:next w:val="1"/>
    <w:autoRedefine/>
    <w:qFormat/>
    <w:uiPriority w:val="0"/>
    <w:pPr>
      <w:ind w:leftChars="200" w:hanging="200" w:hangingChars="200"/>
    </w:pPr>
    <w:rPr>
      <w:rFonts w:ascii="Times New Roman" w:hAnsi="Times New Roman" w:eastAsia="宋体" w:cs="Times New Roman"/>
    </w:rPr>
  </w:style>
  <w:style w:type="paragraph" w:styleId="8">
    <w:name w:val="Normal Indent"/>
    <w:basedOn w:val="1"/>
    <w:autoRedefine/>
    <w:unhideWhenUsed/>
    <w:qFormat/>
    <w:uiPriority w:val="99"/>
    <w:pPr>
      <w:ind w:firstLine="420"/>
    </w:pPr>
    <w:rPr>
      <w:szCs w:val="20"/>
    </w:rPr>
  </w:style>
  <w:style w:type="paragraph" w:styleId="9">
    <w:name w:val="index 8"/>
    <w:basedOn w:val="1"/>
    <w:next w:val="1"/>
    <w:autoRedefine/>
    <w:qFormat/>
    <w:uiPriority w:val="0"/>
    <w:pPr>
      <w:tabs>
        <w:tab w:val="left" w:pos="540"/>
        <w:tab w:val="left" w:pos="900"/>
      </w:tabs>
      <w:jc w:val="center"/>
    </w:pPr>
    <w:rPr>
      <w:rFonts w:hAnsi="宋体" w:cs="宋体"/>
      <w:color w:val="000000"/>
      <w:sz w:val="32"/>
      <w:szCs w:val="32"/>
    </w:rPr>
  </w:style>
  <w:style w:type="paragraph" w:styleId="10">
    <w:name w:val="List Number"/>
    <w:basedOn w:val="1"/>
    <w:autoRedefine/>
    <w:qFormat/>
    <w:uiPriority w:val="0"/>
    <w:pPr>
      <w:numPr>
        <w:ilvl w:val="0"/>
        <w:numId w:val="1"/>
      </w:numPr>
    </w:pPr>
  </w:style>
  <w:style w:type="paragraph" w:styleId="11">
    <w:name w:val="annotation text"/>
    <w:basedOn w:val="1"/>
    <w:autoRedefine/>
    <w:unhideWhenUsed/>
    <w:qFormat/>
    <w:uiPriority w:val="99"/>
    <w:pPr>
      <w:jc w:val="left"/>
    </w:pPr>
  </w:style>
  <w:style w:type="paragraph" w:styleId="12">
    <w:name w:val="Body Text 3"/>
    <w:basedOn w:val="1"/>
    <w:autoRedefine/>
    <w:qFormat/>
    <w:uiPriority w:val="99"/>
    <w:pPr>
      <w:spacing w:after="120"/>
    </w:pPr>
    <w:rPr>
      <w:sz w:val="16"/>
      <w:szCs w:val="16"/>
    </w:rPr>
  </w:style>
  <w:style w:type="paragraph" w:styleId="13">
    <w:name w:val="Body Text"/>
    <w:basedOn w:val="1"/>
    <w:autoRedefine/>
    <w:unhideWhenUsed/>
    <w:qFormat/>
    <w:uiPriority w:val="99"/>
    <w:pPr>
      <w:spacing w:after="120"/>
    </w:pPr>
  </w:style>
  <w:style w:type="paragraph" w:styleId="14">
    <w:name w:val="Body Text Indent"/>
    <w:basedOn w:val="1"/>
    <w:autoRedefine/>
    <w:unhideWhenUsed/>
    <w:qFormat/>
    <w:uiPriority w:val="99"/>
    <w:pPr>
      <w:ind w:firstLine="830" w:firstLineChars="352"/>
    </w:pPr>
    <w:rPr>
      <w:rFonts w:ascii="仿宋_GB2312" w:eastAsia="仿宋_GB2312"/>
      <w:kern w:val="0"/>
      <w:sz w:val="32"/>
      <w:szCs w:val="20"/>
    </w:rPr>
  </w:style>
  <w:style w:type="paragraph" w:styleId="15">
    <w:name w:val="List 2"/>
    <w:basedOn w:val="1"/>
    <w:autoRedefine/>
    <w:unhideWhenUsed/>
    <w:qFormat/>
    <w:uiPriority w:val="99"/>
    <w:pPr>
      <w:ind w:left="100" w:leftChars="200" w:hanging="200" w:hangingChars="200"/>
      <w:contextualSpacing/>
    </w:pPr>
  </w:style>
  <w:style w:type="paragraph" w:styleId="16">
    <w:name w:val="Plain Text"/>
    <w:basedOn w:val="1"/>
    <w:next w:val="1"/>
    <w:autoRedefine/>
    <w:unhideWhenUsed/>
    <w:qFormat/>
    <w:uiPriority w:val="99"/>
    <w:rPr>
      <w:rFonts w:ascii="宋体" w:hAnsi="Courier New"/>
      <w:kern w:val="0"/>
      <w:sz w:val="20"/>
      <w:szCs w:val="21"/>
    </w:rPr>
  </w:style>
  <w:style w:type="paragraph" w:styleId="17">
    <w:name w:val="Date"/>
    <w:basedOn w:val="1"/>
    <w:next w:val="1"/>
    <w:autoRedefine/>
    <w:unhideWhenUsed/>
    <w:qFormat/>
    <w:uiPriority w:val="99"/>
    <w:pPr>
      <w:ind w:left="100" w:leftChars="2500"/>
    </w:pPr>
  </w:style>
  <w:style w:type="paragraph" w:styleId="18">
    <w:name w:val="footer"/>
    <w:basedOn w:val="1"/>
    <w:autoRedefine/>
    <w:unhideWhenUsed/>
    <w:qFormat/>
    <w:uiPriority w:val="0"/>
    <w:pPr>
      <w:tabs>
        <w:tab w:val="center" w:pos="4153"/>
        <w:tab w:val="right" w:pos="8306"/>
      </w:tabs>
      <w:snapToGrid w:val="0"/>
      <w:jc w:val="left"/>
    </w:pPr>
    <w:rPr>
      <w:kern w:val="0"/>
      <w:sz w:val="18"/>
      <w:szCs w:val="18"/>
    </w:rPr>
  </w:style>
  <w:style w:type="paragraph" w:styleId="19">
    <w:name w:val="header"/>
    <w:basedOn w:val="1"/>
    <w:autoRedefine/>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20">
    <w:name w:val="toc 1"/>
    <w:basedOn w:val="1"/>
    <w:next w:val="1"/>
    <w:autoRedefine/>
    <w:unhideWhenUsed/>
    <w:qFormat/>
    <w:uiPriority w:val="39"/>
  </w:style>
  <w:style w:type="paragraph" w:styleId="21">
    <w:name w:val="List"/>
    <w:basedOn w:val="1"/>
    <w:autoRedefine/>
    <w:unhideWhenUsed/>
    <w:qFormat/>
    <w:uiPriority w:val="99"/>
    <w:pPr>
      <w:ind w:left="200" w:hanging="200" w:hangingChars="200"/>
      <w:contextualSpacing/>
    </w:pPr>
  </w:style>
  <w:style w:type="paragraph" w:styleId="22">
    <w:name w:val="toc 2"/>
    <w:basedOn w:val="1"/>
    <w:next w:val="1"/>
    <w:autoRedefine/>
    <w:unhideWhenUsed/>
    <w:qFormat/>
    <w:uiPriority w:val="39"/>
    <w:pPr>
      <w:tabs>
        <w:tab w:val="right" w:leader="dot" w:pos="8296"/>
      </w:tabs>
      <w:ind w:left="420" w:leftChars="200"/>
    </w:pPr>
  </w:style>
  <w:style w:type="paragraph" w:styleId="23">
    <w:name w:val="Body Text First Indent 2"/>
    <w:basedOn w:val="14"/>
    <w:next w:val="1"/>
    <w:autoRedefine/>
    <w:qFormat/>
    <w:uiPriority w:val="0"/>
    <w:pPr>
      <w:spacing w:before="240" w:after="120" w:line="360" w:lineRule="auto"/>
      <w:ind w:left="420" w:leftChars="200" w:firstLine="420" w:firstLineChars="200"/>
    </w:pPr>
    <w:rPr>
      <w:rFonts w:ascii="宋体" w:hAnsi="Calibri" w:eastAsia="宋体" w:cs="宋体"/>
      <w:kern w:val="2"/>
      <w:sz w:val="21"/>
      <w:szCs w:val="24"/>
    </w:rPr>
  </w:style>
  <w:style w:type="table" w:styleId="25">
    <w:name w:val="Table Grid"/>
    <w:basedOn w:val="24"/>
    <w:autoRedefine/>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7">
    <w:name w:val="Hyperlink"/>
    <w:autoRedefine/>
    <w:unhideWhenUsed/>
    <w:qFormat/>
    <w:uiPriority w:val="99"/>
    <w:rPr>
      <w:color w:val="0000FF"/>
      <w:u w:val="single"/>
    </w:rPr>
  </w:style>
  <w:style w:type="paragraph" w:customStyle="1" w:styleId="28">
    <w:name w:val="正文2"/>
    <w:basedOn w:val="1"/>
    <w:autoRedefine/>
    <w:qFormat/>
    <w:uiPriority w:val="0"/>
    <w:pPr>
      <w:adjustRightInd w:val="0"/>
      <w:spacing w:before="156" w:line="360" w:lineRule="auto"/>
      <w:ind w:firstLine="510" w:firstLineChars="200"/>
    </w:pPr>
    <w:rPr>
      <w:kern w:val="0"/>
      <w:sz w:val="24"/>
      <w:szCs w:val="20"/>
    </w:rPr>
  </w:style>
  <w:style w:type="paragraph" w:customStyle="1" w:styleId="29">
    <w:name w:val="样式5"/>
    <w:basedOn w:val="1"/>
    <w:autoRedefine/>
    <w:qFormat/>
    <w:uiPriority w:val="99"/>
    <w:pPr>
      <w:adjustRightInd w:val="0"/>
      <w:spacing w:line="440" w:lineRule="exact"/>
      <w:ind w:left="2" w:firstLine="480" w:firstLineChars="200"/>
    </w:pPr>
    <w:rPr>
      <w:rFonts w:ascii="仿宋_GB2312" w:hAnsi="仿宋" w:eastAsia="仿宋_GB2312"/>
      <w:sz w:val="24"/>
    </w:rPr>
  </w:style>
  <w:style w:type="paragraph" w:customStyle="1" w:styleId="30">
    <w:name w:val="正文_6"/>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31">
    <w:name w:val="正文_7"/>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2">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3">
    <w:name w:val="10"/>
    <w:autoRedefine/>
    <w:qFormat/>
    <w:uiPriority w:val="0"/>
    <w:rPr>
      <w:rFonts w:hint="default" w:ascii="Times New Roman" w:hAnsi="Times New Roman" w:cs="Times New Roman"/>
    </w:rPr>
  </w:style>
  <w:style w:type="paragraph" w:customStyle="1" w:styleId="34">
    <w:name w:val="正文_2"/>
    <w:basedOn w:val="35"/>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3"/>
    <w:basedOn w:val="1"/>
    <w:autoRedefine/>
    <w:qFormat/>
    <w:uiPriority w:val="0"/>
    <w:rPr>
      <w:szCs w:val="22"/>
    </w:rPr>
  </w:style>
  <w:style w:type="paragraph" w:customStyle="1" w:styleId="36">
    <w:name w:val="表格文字115"/>
    <w:basedOn w:val="1"/>
    <w:autoRedefine/>
    <w:qFormat/>
    <w:uiPriority w:val="0"/>
    <w:pPr>
      <w:spacing w:before="25" w:after="25"/>
      <w:jc w:val="left"/>
    </w:pPr>
    <w:rPr>
      <w:bCs/>
      <w:spacing w:val="10"/>
      <w:kern w:val="0"/>
      <w:sz w:val="24"/>
    </w:rPr>
  </w:style>
  <w:style w:type="paragraph" w:customStyle="1" w:styleId="37">
    <w:name w:val="Normal Indent1"/>
    <w:basedOn w:val="1"/>
    <w:autoRedefine/>
    <w:qFormat/>
    <w:uiPriority w:val="0"/>
    <w:pPr>
      <w:spacing w:line="660" w:lineRule="exact"/>
      <w:ind w:firstLine="720"/>
    </w:pPr>
    <w:rPr>
      <w:rFonts w:eastAsia="Cambria Math"/>
      <w:sz w:val="36"/>
      <w:szCs w:val="36"/>
    </w:rPr>
  </w:style>
  <w:style w:type="paragraph" w:customStyle="1" w:styleId="38">
    <w:name w:val="font5"/>
    <w:basedOn w:val="1"/>
    <w:autoRedefine/>
    <w:qFormat/>
    <w:uiPriority w:val="0"/>
    <w:pPr>
      <w:widowControl/>
      <w:spacing w:before="100" w:beforeAutospacing="1" w:after="100" w:afterAutospacing="1"/>
      <w:jc w:val="left"/>
    </w:pPr>
    <w:rPr>
      <w:kern w:val="0"/>
      <w:sz w:val="24"/>
      <w:szCs w:val="20"/>
    </w:rPr>
  </w:style>
  <w:style w:type="paragraph" w:customStyle="1" w:styleId="39">
    <w:name w:val="正文文本 (2)4"/>
    <w:basedOn w:val="1"/>
    <w:autoRedefine/>
    <w:qFormat/>
    <w:uiPriority w:val="0"/>
    <w:pPr>
      <w:shd w:val="clear" w:color="auto" w:fill="FFFFFF"/>
      <w:spacing w:before="300" w:line="439" w:lineRule="exact"/>
      <w:jc w:val="distribute"/>
    </w:pPr>
    <w:rPr>
      <w:rFonts w:ascii="MingLiU" w:hAnsi="MingLiU" w:eastAsia="MingLiU"/>
      <w:spacing w:val="20"/>
    </w:rPr>
  </w:style>
  <w:style w:type="character" w:customStyle="1" w:styleId="40">
    <w:name w:val="正文文本 (2) + 间距 0 pt Exact1"/>
    <w:autoRedefine/>
    <w:qFormat/>
    <w:uiPriority w:val="0"/>
    <w:rPr>
      <w:rFonts w:ascii="MingLiU" w:hAnsi="MingLiU" w:eastAsia="MingLiU" w:cs="MingLiU"/>
      <w:color w:val="000000"/>
      <w:spacing w:val="0"/>
      <w:w w:val="100"/>
      <w:position w:val="0"/>
      <w:sz w:val="22"/>
      <w:szCs w:val="22"/>
      <w:u w:val="none"/>
      <w:shd w:val="clear" w:color="auto" w:fill="FFFFFF"/>
      <w:lang w:val="zh-CN" w:eastAsia="zh-CN"/>
    </w:rPr>
  </w:style>
  <w:style w:type="character" w:customStyle="1" w:styleId="41">
    <w:name w:val="正文文本 (2) + 5.5 pt1"/>
    <w:autoRedefine/>
    <w:qFormat/>
    <w:uiPriority w:val="0"/>
    <w:rPr>
      <w:rFonts w:ascii="MingLiU" w:hAnsi="MingLiU" w:eastAsia="MingLiU" w:cs="MingLiU"/>
      <w:i/>
      <w:iCs/>
      <w:color w:val="000000"/>
      <w:spacing w:val="-20"/>
      <w:w w:val="100"/>
      <w:position w:val="0"/>
      <w:sz w:val="11"/>
      <w:szCs w:val="11"/>
      <w:u w:val="none"/>
      <w:shd w:val="clear" w:color="auto" w:fill="FFFFFF"/>
      <w:lang w:val="zh-CN" w:eastAsia="zh-CN"/>
    </w:rPr>
  </w:style>
  <w:style w:type="paragraph" w:customStyle="1" w:styleId="42">
    <w:name w:val="正文_4"/>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4">
    <w:name w:val="Default"/>
    <w:autoRedefine/>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paragraph" w:customStyle="1" w:styleId="45">
    <w:name w:val="Body text|1"/>
    <w:basedOn w:val="1"/>
    <w:autoRedefine/>
    <w:qFormat/>
    <w:uiPriority w:val="0"/>
    <w:pPr>
      <w:spacing w:line="360" w:lineRule="auto"/>
      <w:ind w:firstLine="400"/>
    </w:pPr>
    <w:rPr>
      <w:rFonts w:ascii="宋体" w:hAnsi="宋体" w:eastAsia="宋体" w:cs="宋体"/>
      <w:sz w:val="20"/>
      <w:szCs w:val="20"/>
      <w:lang w:val="zh-CN" w:eastAsia="zh-CN" w:bidi="zh-CN"/>
    </w:rPr>
  </w:style>
  <w:style w:type="paragraph" w:customStyle="1" w:styleId="46">
    <w:name w:val="Body text|2"/>
    <w:basedOn w:val="1"/>
    <w:autoRedefine/>
    <w:qFormat/>
    <w:uiPriority w:val="0"/>
    <w:pPr>
      <w:spacing w:after="30"/>
      <w:ind w:firstLine="420"/>
    </w:pPr>
    <w:rPr>
      <w:rFonts w:ascii="Times New Roman" w:hAnsi="Times New Roman"/>
      <w:kern w:val="0"/>
      <w:sz w:val="20"/>
      <w:szCs w:val="20"/>
    </w:rPr>
  </w:style>
  <w:style w:type="paragraph" w:customStyle="1" w:styleId="47">
    <w:name w:val="Other|1"/>
    <w:basedOn w:val="1"/>
    <w:autoRedefine/>
    <w:qFormat/>
    <w:uiPriority w:val="0"/>
    <w:pPr>
      <w:spacing w:line="263" w:lineRule="exact"/>
    </w:pPr>
    <w:rPr>
      <w:rFonts w:ascii="宋体" w:hAnsi="宋体" w:eastAsia="宋体" w:cs="宋体"/>
      <w:color w:val="auto"/>
      <w:kern w:val="2"/>
      <w:sz w:val="18"/>
      <w:szCs w:val="18"/>
      <w:lang w:val="zh-TW" w:eastAsia="zh-TW" w:bidi="zh-TW"/>
    </w:rPr>
  </w:style>
  <w:style w:type="paragraph" w:customStyle="1" w:styleId="48">
    <w:name w:val="正文_2_0"/>
    <w:next w:val="49"/>
    <w:autoRedefine/>
    <w:qFormat/>
    <w:uiPriority w:val="0"/>
    <w:pPr>
      <w:widowControl w:val="0"/>
    </w:pPr>
    <w:rPr>
      <w:rFonts w:ascii="Times New Roman" w:hAnsi="Times New Roman" w:eastAsia="Times New Roman" w:cs="Times New Roman"/>
      <w:color w:val="000000"/>
      <w:sz w:val="24"/>
      <w:szCs w:val="24"/>
      <w:lang w:val="en-US" w:eastAsia="en-US" w:bidi="en-US"/>
    </w:rPr>
  </w:style>
  <w:style w:type="paragraph" w:customStyle="1" w:styleId="49">
    <w:name w:val="页脚_2"/>
    <w:basedOn w:val="48"/>
    <w:autoRedefine/>
    <w:unhideWhenUsed/>
    <w:qFormat/>
    <w:uiPriority w:val="99"/>
    <w:pPr>
      <w:tabs>
        <w:tab w:val="center" w:pos="4153"/>
        <w:tab w:val="right" w:pos="8306"/>
      </w:tabs>
      <w:snapToGrid w:val="0"/>
      <w:jc w:val="left"/>
    </w:pPr>
    <w:rPr>
      <w:sz w:val="18"/>
      <w:szCs w:val="18"/>
    </w:rPr>
  </w:style>
  <w:style w:type="character" w:customStyle="1" w:styleId="50">
    <w:name w:val="bookmark-item uuid-1595987359344 code-00004 addword single-line-text-input-box-cls"/>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7" Type="http://schemas.microsoft.com/office/2011/relationships/people" Target="people.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wmf"/><Relationship Id="rId22" Type="http://schemas.openxmlformats.org/officeDocument/2006/relationships/oleObject" Target="embeddings/oleObject1.bin"/><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header" Target="header5.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152</Pages>
  <Words>88771</Words>
  <Characters>95317</Characters>
  <Lines>0</Lines>
  <Paragraphs>0</Paragraphs>
  <TotalTime>0</TotalTime>
  <ScaleCrop>false</ScaleCrop>
  <LinksUpToDate>false</LinksUpToDate>
  <CharactersWithSpaces>102251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2023-08-08T10:52:00Z</dcterms:created>
  <dc:creator>HMM</dc:creator>
  <cp:lastModifiedBy>XX</cp:lastModifiedBy>
  <cp:lastPrinted>2024-06-20T01:20:00Z</cp:lastPrinted>
  <dcterms:modified xsi:type="dcterms:W3CDTF">2024-06-21T07:36:31Z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680F253A605F47549AD934292168F848_11</vt:lpwstr>
  </property>
</Properties>
</file>