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FC84D">
      <w:pPr>
        <w:pStyle w:val="15"/>
        <w:ind w:left="0" w:leftChars="0"/>
        <w:rPr>
          <w:rFonts w:hint="eastAsia" w:eastAsia="宋体"/>
          <w:color w:val="auto"/>
          <w:lang w:eastAsia="zh-CN"/>
        </w:rPr>
      </w:pPr>
      <w:r>
        <w:rPr>
          <w:rFonts w:hint="eastAsia" w:eastAsia="宋体"/>
          <w:color w:val="auto"/>
          <w:lang w:eastAsia="zh-CN"/>
        </w:rPr>
        <w:drawing>
          <wp:inline distT="0" distB="0" distL="114300" distR="114300">
            <wp:extent cx="6182360" cy="8766175"/>
            <wp:effectExtent l="0" t="0" r="8890" b="15875"/>
            <wp:docPr id="1" name="图片 1" descr="资料扫描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料扫描_14"/>
                    <pic:cNvPicPr>
                      <a:picLocks noChangeAspect="1"/>
                    </pic:cNvPicPr>
                  </pic:nvPicPr>
                  <pic:blipFill>
                    <a:blip r:embed="rId17"/>
                    <a:stretch>
                      <a:fillRect/>
                    </a:stretch>
                  </pic:blipFill>
                  <pic:spPr>
                    <a:xfrm>
                      <a:off x="0" y="0"/>
                      <a:ext cx="6182360" cy="8766175"/>
                    </a:xfrm>
                    <a:prstGeom prst="rect">
                      <a:avLst/>
                    </a:prstGeom>
                  </pic:spPr>
                </pic:pic>
              </a:graphicData>
            </a:graphic>
          </wp:inline>
        </w:drawing>
      </w:r>
    </w:p>
    <w:p w14:paraId="18BDBE64">
      <w:pPr>
        <w:spacing w:before="156" w:beforeLines="50" w:line="360" w:lineRule="auto"/>
        <w:jc w:val="both"/>
        <w:rPr>
          <w:rFonts w:hint="eastAsia" w:ascii="宋体" w:hAnsi="宋体" w:cs="宋体"/>
          <w:b/>
          <w:bCs/>
          <w:color w:val="auto"/>
          <w:sz w:val="52"/>
          <w:szCs w:val="52"/>
        </w:rPr>
      </w:pPr>
    </w:p>
    <w:p w14:paraId="54A6B797">
      <w:pPr>
        <w:spacing w:before="312" w:beforeLines="100" w:after="156" w:afterLines="50" w:line="600" w:lineRule="exact"/>
        <w:jc w:val="center"/>
        <w:outlineLvl w:val="0"/>
        <w:rPr>
          <w:rFonts w:hint="eastAsia" w:ascii="宋体" w:hAnsi="宋体" w:eastAsia="宋体" w:cs="Times New Roman"/>
          <w:b/>
          <w:color w:val="auto"/>
          <w:sz w:val="72"/>
          <w:szCs w:val="72"/>
          <w:lang w:eastAsia="zh-CN"/>
        </w:rPr>
      </w:pPr>
      <w:bookmarkStart w:id="0" w:name="_Toc13297"/>
      <w:bookmarkStart w:id="1" w:name="_Toc29756"/>
      <w:r>
        <w:rPr>
          <w:rFonts w:hint="eastAsia" w:ascii="宋体" w:hAnsi="宋体" w:eastAsia="宋体" w:cs="Times New Roman"/>
          <w:b/>
          <w:color w:val="auto"/>
          <w:sz w:val="72"/>
          <w:szCs w:val="72"/>
          <w:lang w:eastAsia="zh-CN"/>
        </w:rPr>
        <w:t>广西政投项目咨询有限公司</w:t>
      </w:r>
      <w:bookmarkEnd w:id="0"/>
      <w:bookmarkEnd w:id="1"/>
    </w:p>
    <w:p w14:paraId="6C14FB8B">
      <w:pPr>
        <w:snapToGrid w:val="0"/>
        <w:spacing w:before="156" w:beforeLines="50" w:line="360" w:lineRule="auto"/>
        <w:jc w:val="center"/>
        <w:rPr>
          <w:rFonts w:hint="eastAsia" w:ascii="宋体" w:hAnsi="宋体" w:cs="宋体"/>
          <w:b/>
          <w:bCs/>
          <w:color w:val="auto"/>
          <w:sz w:val="72"/>
          <w:szCs w:val="72"/>
        </w:rPr>
      </w:pPr>
    </w:p>
    <w:p w14:paraId="0E77E4AD">
      <w:pPr>
        <w:snapToGrid w:val="0"/>
        <w:spacing w:before="156" w:beforeLines="50" w:line="360" w:lineRule="auto"/>
        <w:jc w:val="center"/>
        <w:outlineLvl w:val="0"/>
        <w:rPr>
          <w:rFonts w:hint="eastAsia" w:ascii="宋体" w:hAnsi="宋体" w:cs="宋体"/>
          <w:b/>
          <w:bCs/>
          <w:color w:val="auto"/>
          <w:sz w:val="44"/>
          <w:szCs w:val="44"/>
        </w:rPr>
      </w:pPr>
      <w:bookmarkStart w:id="2" w:name="_Toc27726"/>
      <w:bookmarkStart w:id="3" w:name="_Toc21157"/>
      <w:r>
        <w:rPr>
          <w:rFonts w:hint="eastAsia" w:ascii="宋体" w:hAnsi="宋体" w:cs="宋体"/>
          <w:b/>
          <w:bCs/>
          <w:color w:val="auto"/>
          <w:sz w:val="72"/>
          <w:szCs w:val="72"/>
        </w:rPr>
        <w:t>竞争性</w:t>
      </w:r>
      <w:r>
        <w:rPr>
          <w:rFonts w:hint="eastAsia" w:ascii="宋体" w:hAnsi="宋体" w:cs="宋体"/>
          <w:b/>
          <w:bCs/>
          <w:color w:val="auto"/>
          <w:sz w:val="72"/>
          <w:szCs w:val="72"/>
          <w:lang w:val="en-US" w:eastAsia="zh-CN"/>
        </w:rPr>
        <w:t>磋商</w:t>
      </w:r>
      <w:r>
        <w:rPr>
          <w:rFonts w:hint="eastAsia" w:ascii="宋体" w:hAnsi="宋体" w:cs="宋体"/>
          <w:b/>
          <w:bCs/>
          <w:color w:val="auto"/>
          <w:sz w:val="72"/>
          <w:szCs w:val="72"/>
        </w:rPr>
        <w:t>文件</w:t>
      </w:r>
      <w:bookmarkEnd w:id="2"/>
      <w:bookmarkEnd w:id="3"/>
    </w:p>
    <w:p w14:paraId="4A516804">
      <w:pPr>
        <w:pStyle w:val="8"/>
        <w:jc w:val="center"/>
        <w:rPr>
          <w:rFonts w:hint="eastAsia" w:ascii="宋体" w:hAnsi="宋体" w:cs="宋体"/>
          <w:b/>
          <w:bCs/>
          <w:color w:val="auto"/>
          <w:sz w:val="28"/>
          <w:szCs w:val="28"/>
        </w:rPr>
      </w:pPr>
      <w:r>
        <w:rPr>
          <w:rFonts w:hint="eastAsia" w:ascii="宋体" w:hAnsi="宋体" w:cs="宋体"/>
          <w:b/>
          <w:bCs/>
          <w:color w:val="auto"/>
          <w:sz w:val="28"/>
          <w:szCs w:val="28"/>
        </w:rPr>
        <w:t>（全流程电子化评标）</w:t>
      </w:r>
    </w:p>
    <w:p w14:paraId="5F0DE1F9">
      <w:pPr>
        <w:spacing w:line="360" w:lineRule="auto"/>
        <w:rPr>
          <w:rFonts w:hint="eastAsia" w:ascii="宋体" w:hAnsi="宋体" w:cs="宋体"/>
          <w:b/>
          <w:bCs/>
          <w:color w:val="auto"/>
          <w:sz w:val="32"/>
          <w:szCs w:val="32"/>
        </w:rPr>
      </w:pPr>
    </w:p>
    <w:p w14:paraId="4028133E">
      <w:pPr>
        <w:spacing w:line="360" w:lineRule="auto"/>
        <w:jc w:val="center"/>
        <w:rPr>
          <w:rFonts w:hint="eastAsia" w:ascii="宋体" w:hAnsi="宋体" w:cs="宋体"/>
          <w:b/>
          <w:bCs/>
          <w:color w:val="auto"/>
          <w:sz w:val="32"/>
          <w:szCs w:val="32"/>
        </w:rPr>
      </w:pPr>
    </w:p>
    <w:p w14:paraId="7A4104D2">
      <w:pPr>
        <w:spacing w:line="360" w:lineRule="auto"/>
        <w:jc w:val="center"/>
        <w:rPr>
          <w:rFonts w:hint="eastAsia" w:ascii="宋体" w:hAnsi="宋体" w:cs="宋体"/>
          <w:b/>
          <w:bCs/>
          <w:color w:val="auto"/>
          <w:sz w:val="32"/>
          <w:szCs w:val="32"/>
        </w:rPr>
      </w:pPr>
    </w:p>
    <w:p w14:paraId="67EDDFD6">
      <w:pPr>
        <w:keepNext w:val="0"/>
        <w:keepLines w:val="0"/>
        <w:pageBreakBefore w:val="0"/>
        <w:widowControl w:val="0"/>
        <w:kinsoku/>
        <w:wordWrap/>
        <w:overflowPunct/>
        <w:topLinePunct w:val="0"/>
        <w:autoSpaceDE/>
        <w:autoSpaceDN/>
        <w:bidi w:val="0"/>
        <w:adjustRightInd/>
        <w:snapToGrid/>
        <w:spacing w:line="360" w:lineRule="auto"/>
        <w:ind w:left="2244" w:leftChars="304" w:hanging="1606" w:hangingChars="500"/>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项目名称：防城港市第一人民医院安保服务及停车场管理服务采购项目</w:t>
      </w:r>
    </w:p>
    <w:p w14:paraId="5FE92AE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项目编号：FCZC2025-C3-990018-ZTZX</w:t>
      </w:r>
    </w:p>
    <w:p w14:paraId="22EF2FA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b/>
          <w:bCs/>
          <w:color w:val="auto"/>
          <w:sz w:val="32"/>
          <w:szCs w:val="32"/>
        </w:rPr>
      </w:pPr>
      <w:r>
        <w:rPr>
          <w:rFonts w:hint="eastAsia" w:ascii="宋体" w:hAnsi="宋体" w:cs="宋体"/>
          <w:b/>
          <w:bCs/>
          <w:color w:val="auto"/>
          <w:sz w:val="32"/>
          <w:szCs w:val="32"/>
        </w:rPr>
        <w:t>采 购 人：防城港市第一人民医院</w:t>
      </w:r>
    </w:p>
    <w:p w14:paraId="7CC3A28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b/>
          <w:bCs/>
          <w:color w:val="auto"/>
          <w:sz w:val="32"/>
          <w:szCs w:val="32"/>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广西政投项目咨询有限公司</w:t>
      </w:r>
    </w:p>
    <w:p w14:paraId="7926990B">
      <w:pPr>
        <w:spacing w:line="360" w:lineRule="auto"/>
        <w:jc w:val="center"/>
        <w:rPr>
          <w:rFonts w:hint="eastAsia" w:ascii="宋体" w:hAnsi="宋体" w:cs="宋体"/>
          <w:b/>
          <w:color w:val="auto"/>
          <w:sz w:val="32"/>
          <w:szCs w:val="32"/>
        </w:rPr>
      </w:pPr>
    </w:p>
    <w:p w14:paraId="5C0635D6">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5</w:t>
      </w:r>
      <w:r>
        <w:rPr>
          <w:rFonts w:hint="eastAsia" w:ascii="宋体" w:hAnsi="宋体" w:cs="宋体"/>
          <w:b/>
          <w:color w:val="auto"/>
          <w:sz w:val="32"/>
          <w:szCs w:val="32"/>
        </w:rPr>
        <w:t>年</w:t>
      </w:r>
      <w:r>
        <w:rPr>
          <w:rFonts w:hint="eastAsia" w:ascii="宋体" w:hAnsi="宋体" w:cs="宋体"/>
          <w:b/>
          <w:color w:val="auto"/>
          <w:sz w:val="32"/>
          <w:szCs w:val="32"/>
          <w:lang w:val="en-US" w:eastAsia="zh-CN"/>
        </w:rPr>
        <w:t>4</w:t>
      </w:r>
      <w:r>
        <w:rPr>
          <w:rFonts w:hint="eastAsia" w:ascii="宋体" w:hAnsi="宋体" w:cs="宋体"/>
          <w:b/>
          <w:color w:val="auto"/>
          <w:sz w:val="32"/>
          <w:szCs w:val="32"/>
        </w:rPr>
        <w:t>月</w:t>
      </w:r>
    </w:p>
    <w:p w14:paraId="46BB1653">
      <w:pPr>
        <w:spacing w:line="360" w:lineRule="auto"/>
        <w:jc w:val="center"/>
        <w:rPr>
          <w:rFonts w:hint="eastAsia" w:ascii="宋体" w:hAnsi="宋体" w:cs="宋体"/>
          <w:b/>
          <w:color w:val="auto"/>
          <w:sz w:val="44"/>
          <w:szCs w:val="44"/>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7988C5B8">
      <w:pPr>
        <w:spacing w:line="360" w:lineRule="auto"/>
        <w:jc w:val="center"/>
        <w:rPr>
          <w:rFonts w:hint="eastAsia" w:ascii="宋体" w:hAnsi="宋体"/>
          <w:b/>
          <w:color w:val="auto"/>
          <w:sz w:val="44"/>
          <w:szCs w:val="44"/>
        </w:rPr>
      </w:pPr>
      <w:r>
        <w:rPr>
          <w:rFonts w:hint="eastAsia" w:ascii="宋体" w:hAnsi="宋体"/>
          <w:b/>
          <w:color w:val="auto"/>
          <w:sz w:val="44"/>
          <w:szCs w:val="44"/>
        </w:rPr>
        <w:t>目  录</w:t>
      </w:r>
    </w:p>
    <w:sdt>
      <w:sdtPr>
        <w:rPr>
          <w:rFonts w:ascii="宋体" w:hAnsi="宋体" w:eastAsia="宋体" w:cs="Times New Roman"/>
          <w:color w:val="auto"/>
          <w:kern w:val="2"/>
          <w:sz w:val="21"/>
          <w:szCs w:val="24"/>
          <w:lang w:val="en-US" w:eastAsia="zh-CN" w:bidi="ar-SA"/>
        </w:rPr>
        <w:id w:val="147465098"/>
        <w15:color w:val="DBDBDB"/>
        <w:docPartObj>
          <w:docPartGallery w:val="Table of Contents"/>
          <w:docPartUnique/>
        </w:docPartObj>
      </w:sdtPr>
      <w:sdtEndPr>
        <w:rPr>
          <w:rFonts w:hint="eastAsia" w:ascii="宋体" w:hAnsi="宋体" w:eastAsia="宋体" w:cs="Times New Roman"/>
          <w:color w:val="auto"/>
          <w:kern w:val="2"/>
          <w:sz w:val="28"/>
          <w:szCs w:val="28"/>
          <w:lang w:val="en-US" w:eastAsia="zh-CN" w:bidi="ar-SA"/>
        </w:rPr>
      </w:sdtEndPr>
      <w:sdtContent>
        <w:p w14:paraId="2AE55A09">
          <w:pPr>
            <w:spacing w:before="0" w:beforeLines="0" w:after="0" w:afterLines="0" w:line="240" w:lineRule="auto"/>
            <w:ind w:left="0" w:leftChars="0" w:right="0" w:rightChars="0" w:firstLine="0" w:firstLineChars="0"/>
            <w:jc w:val="center"/>
            <w:rPr>
              <w:color w:val="auto"/>
              <w:sz w:val="28"/>
              <w:szCs w:val="28"/>
            </w:rPr>
          </w:pPr>
          <w:r>
            <w:rPr>
              <w:rFonts w:hint="eastAsia" w:ascii="宋体" w:hAnsi="宋体"/>
              <w:b/>
              <w:color w:val="auto"/>
              <w:sz w:val="28"/>
              <w:szCs w:val="28"/>
            </w:rPr>
            <w:fldChar w:fldCharType="begin"/>
          </w:r>
          <w:r>
            <w:rPr>
              <w:rFonts w:hint="eastAsia" w:ascii="宋体" w:hAnsi="宋体"/>
              <w:b/>
              <w:color w:val="auto"/>
              <w:sz w:val="28"/>
              <w:szCs w:val="28"/>
            </w:rPr>
            <w:instrText xml:space="preserve">TOC \o "1-3" \h \u </w:instrText>
          </w:r>
          <w:r>
            <w:rPr>
              <w:rFonts w:hint="eastAsia" w:ascii="宋体" w:hAnsi="宋体"/>
              <w:b/>
              <w:color w:val="auto"/>
              <w:sz w:val="28"/>
              <w:szCs w:val="28"/>
            </w:rPr>
            <w:fldChar w:fldCharType="separate"/>
          </w:r>
        </w:p>
        <w:p w14:paraId="31FC6F72">
          <w:pPr>
            <w:pStyle w:val="18"/>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_Toc1343 </w:instrText>
          </w:r>
          <w:r>
            <w:rPr>
              <w:rFonts w:hint="eastAsia" w:ascii="宋体" w:hAnsi="宋体"/>
              <w:color w:val="auto"/>
              <w:sz w:val="28"/>
              <w:szCs w:val="28"/>
            </w:rPr>
            <w:fldChar w:fldCharType="separate"/>
          </w:r>
          <w:r>
            <w:rPr>
              <w:rFonts w:hint="eastAsia"/>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_Toc1343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color w:val="auto"/>
              <w:sz w:val="28"/>
              <w:szCs w:val="28"/>
            </w:rPr>
            <w:fldChar w:fldCharType="end"/>
          </w:r>
        </w:p>
        <w:p w14:paraId="34369D5C">
          <w:pPr>
            <w:pStyle w:val="18"/>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_Toc274 </w:instrText>
          </w:r>
          <w:r>
            <w:rPr>
              <w:rFonts w:hint="eastAsia" w:ascii="宋体" w:hAnsi="宋体"/>
              <w:color w:val="auto"/>
              <w:sz w:val="28"/>
              <w:szCs w:val="28"/>
            </w:rPr>
            <w:fldChar w:fldCharType="separate"/>
          </w:r>
          <w:r>
            <w:rPr>
              <w:rFonts w:hint="eastAsia"/>
              <w:color w:val="auto"/>
              <w:sz w:val="28"/>
              <w:szCs w:val="28"/>
            </w:rPr>
            <w:t>第二章 供应商须知</w:t>
          </w:r>
          <w:r>
            <w:rPr>
              <w:color w:val="auto"/>
              <w:sz w:val="28"/>
              <w:szCs w:val="28"/>
            </w:rPr>
            <w:tab/>
          </w:r>
          <w:r>
            <w:rPr>
              <w:color w:val="auto"/>
              <w:sz w:val="28"/>
              <w:szCs w:val="28"/>
            </w:rPr>
            <w:fldChar w:fldCharType="begin"/>
          </w:r>
          <w:r>
            <w:rPr>
              <w:color w:val="auto"/>
              <w:sz w:val="28"/>
              <w:szCs w:val="28"/>
            </w:rPr>
            <w:instrText xml:space="preserve"> PAGEREF _Toc274 \h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color w:val="auto"/>
              <w:sz w:val="28"/>
              <w:szCs w:val="28"/>
            </w:rPr>
            <w:fldChar w:fldCharType="end"/>
          </w:r>
        </w:p>
        <w:p w14:paraId="5E85622A">
          <w:pPr>
            <w:pStyle w:val="18"/>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_Toc29215 </w:instrText>
          </w:r>
          <w:r>
            <w:rPr>
              <w:rFonts w:hint="eastAsia" w:ascii="宋体" w:hAnsi="宋体"/>
              <w:color w:val="auto"/>
              <w:sz w:val="28"/>
              <w:szCs w:val="28"/>
            </w:rPr>
            <w:fldChar w:fldCharType="separate"/>
          </w:r>
          <w:r>
            <w:rPr>
              <w:rFonts w:hint="eastAsia"/>
              <w:color w:val="auto"/>
              <w:sz w:val="28"/>
              <w:szCs w:val="28"/>
            </w:rPr>
            <w:t>第三章 采购需求</w:t>
          </w:r>
          <w:r>
            <w:rPr>
              <w:color w:val="auto"/>
              <w:sz w:val="28"/>
              <w:szCs w:val="28"/>
            </w:rPr>
            <w:tab/>
          </w:r>
          <w:r>
            <w:rPr>
              <w:color w:val="auto"/>
              <w:sz w:val="28"/>
              <w:szCs w:val="28"/>
            </w:rPr>
            <w:fldChar w:fldCharType="begin"/>
          </w:r>
          <w:r>
            <w:rPr>
              <w:color w:val="auto"/>
              <w:sz w:val="28"/>
              <w:szCs w:val="28"/>
            </w:rPr>
            <w:instrText xml:space="preserve"> PAGEREF _Toc29215 \h </w:instrText>
          </w:r>
          <w:r>
            <w:rPr>
              <w:color w:val="auto"/>
              <w:sz w:val="28"/>
              <w:szCs w:val="28"/>
            </w:rPr>
            <w:fldChar w:fldCharType="separate"/>
          </w:r>
          <w:r>
            <w:rPr>
              <w:color w:val="auto"/>
              <w:sz w:val="28"/>
              <w:szCs w:val="28"/>
            </w:rPr>
            <w:t>21</w:t>
          </w:r>
          <w:r>
            <w:rPr>
              <w:color w:val="auto"/>
              <w:sz w:val="28"/>
              <w:szCs w:val="28"/>
            </w:rPr>
            <w:fldChar w:fldCharType="end"/>
          </w:r>
          <w:r>
            <w:rPr>
              <w:rFonts w:hint="eastAsia" w:ascii="宋体" w:hAnsi="宋体"/>
              <w:color w:val="auto"/>
              <w:sz w:val="28"/>
              <w:szCs w:val="28"/>
            </w:rPr>
            <w:fldChar w:fldCharType="end"/>
          </w:r>
        </w:p>
        <w:p w14:paraId="0AE6FB53">
          <w:pPr>
            <w:pStyle w:val="18"/>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_Toc19871 </w:instrText>
          </w:r>
          <w:r>
            <w:rPr>
              <w:rFonts w:hint="eastAsia" w:ascii="宋体" w:hAnsi="宋体"/>
              <w:color w:val="auto"/>
              <w:sz w:val="28"/>
              <w:szCs w:val="28"/>
            </w:rPr>
            <w:fldChar w:fldCharType="separate"/>
          </w:r>
          <w:r>
            <w:rPr>
              <w:rFonts w:hint="eastAsia"/>
              <w:color w:val="auto"/>
              <w:sz w:val="28"/>
              <w:szCs w:val="28"/>
            </w:rPr>
            <w:t>第四章  评审程序、评审方法和评审标准</w:t>
          </w:r>
          <w:r>
            <w:rPr>
              <w:color w:val="auto"/>
              <w:sz w:val="28"/>
              <w:szCs w:val="28"/>
            </w:rPr>
            <w:tab/>
          </w:r>
          <w:r>
            <w:rPr>
              <w:color w:val="auto"/>
              <w:sz w:val="28"/>
              <w:szCs w:val="28"/>
            </w:rPr>
            <w:fldChar w:fldCharType="begin"/>
          </w:r>
          <w:r>
            <w:rPr>
              <w:color w:val="auto"/>
              <w:sz w:val="28"/>
              <w:szCs w:val="28"/>
            </w:rPr>
            <w:instrText xml:space="preserve"> PAGEREF _Toc19871 \h </w:instrText>
          </w:r>
          <w:r>
            <w:rPr>
              <w:color w:val="auto"/>
              <w:sz w:val="28"/>
              <w:szCs w:val="28"/>
            </w:rPr>
            <w:fldChar w:fldCharType="separate"/>
          </w:r>
          <w:r>
            <w:rPr>
              <w:color w:val="auto"/>
              <w:sz w:val="28"/>
              <w:szCs w:val="28"/>
            </w:rPr>
            <w:t>36</w:t>
          </w:r>
          <w:r>
            <w:rPr>
              <w:color w:val="auto"/>
              <w:sz w:val="28"/>
              <w:szCs w:val="28"/>
            </w:rPr>
            <w:fldChar w:fldCharType="end"/>
          </w:r>
          <w:r>
            <w:rPr>
              <w:rFonts w:hint="eastAsia" w:ascii="宋体" w:hAnsi="宋体"/>
              <w:color w:val="auto"/>
              <w:sz w:val="28"/>
              <w:szCs w:val="28"/>
            </w:rPr>
            <w:fldChar w:fldCharType="end"/>
          </w:r>
        </w:p>
        <w:p w14:paraId="29650565">
          <w:pPr>
            <w:pStyle w:val="18"/>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_Toc2744 </w:instrText>
          </w:r>
          <w:r>
            <w:rPr>
              <w:rFonts w:hint="eastAsia" w:ascii="宋体" w:hAnsi="宋体"/>
              <w:color w:val="auto"/>
              <w:sz w:val="28"/>
              <w:szCs w:val="28"/>
            </w:rPr>
            <w:fldChar w:fldCharType="separate"/>
          </w:r>
          <w:r>
            <w:rPr>
              <w:rFonts w:hint="eastAsia"/>
              <w:color w:val="auto"/>
              <w:sz w:val="28"/>
              <w:szCs w:val="28"/>
            </w:rPr>
            <w:t>第五章 响应文件格式</w:t>
          </w:r>
          <w:r>
            <w:rPr>
              <w:color w:val="auto"/>
              <w:sz w:val="28"/>
              <w:szCs w:val="28"/>
            </w:rPr>
            <w:tab/>
          </w:r>
          <w:r>
            <w:rPr>
              <w:color w:val="auto"/>
              <w:sz w:val="28"/>
              <w:szCs w:val="28"/>
            </w:rPr>
            <w:fldChar w:fldCharType="begin"/>
          </w:r>
          <w:r>
            <w:rPr>
              <w:color w:val="auto"/>
              <w:sz w:val="28"/>
              <w:szCs w:val="28"/>
            </w:rPr>
            <w:instrText xml:space="preserve"> PAGEREF _Toc2744 \h </w:instrText>
          </w:r>
          <w:r>
            <w:rPr>
              <w:color w:val="auto"/>
              <w:sz w:val="28"/>
              <w:szCs w:val="28"/>
            </w:rPr>
            <w:fldChar w:fldCharType="separate"/>
          </w:r>
          <w:r>
            <w:rPr>
              <w:color w:val="auto"/>
              <w:sz w:val="28"/>
              <w:szCs w:val="28"/>
            </w:rPr>
            <w:t>44</w:t>
          </w:r>
          <w:r>
            <w:rPr>
              <w:color w:val="auto"/>
              <w:sz w:val="28"/>
              <w:szCs w:val="28"/>
            </w:rPr>
            <w:fldChar w:fldCharType="end"/>
          </w:r>
          <w:r>
            <w:rPr>
              <w:rFonts w:hint="eastAsia" w:ascii="宋体" w:hAnsi="宋体"/>
              <w:color w:val="auto"/>
              <w:sz w:val="28"/>
              <w:szCs w:val="28"/>
            </w:rPr>
            <w:fldChar w:fldCharType="end"/>
          </w:r>
        </w:p>
        <w:p w14:paraId="27854CA2">
          <w:pPr>
            <w:pStyle w:val="18"/>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_Toc27541 </w:instrText>
          </w:r>
          <w:r>
            <w:rPr>
              <w:rFonts w:hint="eastAsia" w:ascii="宋体" w:hAnsi="宋体"/>
              <w:color w:val="auto"/>
              <w:sz w:val="28"/>
              <w:szCs w:val="28"/>
            </w:rPr>
            <w:fldChar w:fldCharType="separate"/>
          </w:r>
          <w:r>
            <w:rPr>
              <w:rFonts w:hint="eastAsia"/>
              <w:color w:val="auto"/>
              <w:sz w:val="28"/>
              <w:szCs w:val="28"/>
            </w:rPr>
            <w:t>第六章 合同文本</w:t>
          </w:r>
          <w:r>
            <w:rPr>
              <w:color w:val="auto"/>
              <w:sz w:val="28"/>
              <w:szCs w:val="28"/>
            </w:rPr>
            <w:tab/>
          </w:r>
          <w:r>
            <w:rPr>
              <w:color w:val="auto"/>
              <w:sz w:val="28"/>
              <w:szCs w:val="28"/>
            </w:rPr>
            <w:fldChar w:fldCharType="begin"/>
          </w:r>
          <w:r>
            <w:rPr>
              <w:color w:val="auto"/>
              <w:sz w:val="28"/>
              <w:szCs w:val="28"/>
            </w:rPr>
            <w:instrText xml:space="preserve"> PAGEREF _Toc27541 \h </w:instrText>
          </w:r>
          <w:r>
            <w:rPr>
              <w:color w:val="auto"/>
              <w:sz w:val="28"/>
              <w:szCs w:val="28"/>
            </w:rPr>
            <w:fldChar w:fldCharType="separate"/>
          </w:r>
          <w:r>
            <w:rPr>
              <w:color w:val="auto"/>
              <w:sz w:val="28"/>
              <w:szCs w:val="28"/>
            </w:rPr>
            <w:t>70</w:t>
          </w:r>
          <w:r>
            <w:rPr>
              <w:color w:val="auto"/>
              <w:sz w:val="28"/>
              <w:szCs w:val="28"/>
            </w:rPr>
            <w:fldChar w:fldCharType="end"/>
          </w:r>
          <w:r>
            <w:rPr>
              <w:rFonts w:hint="eastAsia" w:ascii="宋体" w:hAnsi="宋体"/>
              <w:color w:val="auto"/>
              <w:sz w:val="28"/>
              <w:szCs w:val="28"/>
            </w:rPr>
            <w:fldChar w:fldCharType="end"/>
          </w:r>
        </w:p>
        <w:p w14:paraId="50EF688E">
          <w:pPr>
            <w:spacing w:line="400" w:lineRule="exact"/>
            <w:jc w:val="center"/>
            <w:rPr>
              <w:rFonts w:hint="eastAsia" w:ascii="宋体" w:hAnsi="宋体" w:eastAsia="宋体" w:cs="Times New Roman"/>
              <w:color w:val="auto"/>
              <w:kern w:val="2"/>
              <w:sz w:val="28"/>
              <w:szCs w:val="28"/>
              <w:lang w:val="en-US" w:eastAsia="zh-CN" w:bidi="ar-SA"/>
            </w:rPr>
          </w:pPr>
          <w:r>
            <w:rPr>
              <w:rFonts w:hint="eastAsia" w:ascii="宋体" w:hAnsi="宋体"/>
              <w:color w:val="auto"/>
              <w:sz w:val="28"/>
              <w:szCs w:val="28"/>
            </w:rPr>
            <w:fldChar w:fldCharType="end"/>
          </w:r>
        </w:p>
      </w:sdtContent>
    </w:sdt>
    <w:p w14:paraId="4A6F2E3D">
      <w:pPr>
        <w:spacing w:line="400" w:lineRule="exact"/>
        <w:jc w:val="center"/>
        <w:rPr>
          <w:rFonts w:hint="eastAsia" w:ascii="宋体" w:hAnsi="宋体" w:eastAsia="宋体" w:cs="Times New Roman"/>
          <w:color w:val="auto"/>
          <w:kern w:val="2"/>
          <w:sz w:val="28"/>
          <w:szCs w:val="28"/>
          <w:lang w:val="en-US" w:eastAsia="zh-CN" w:bidi="ar-SA"/>
        </w:rPr>
      </w:pPr>
    </w:p>
    <w:p w14:paraId="4D4A2A1C">
      <w:pPr>
        <w:pStyle w:val="19"/>
        <w:tabs>
          <w:tab w:val="right" w:leader="dot" w:pos="8931"/>
          <w:tab w:val="clear" w:pos="8296"/>
        </w:tabs>
        <w:snapToGrid w:val="0"/>
        <w:spacing w:line="500" w:lineRule="atLeast"/>
        <w:ind w:left="0" w:leftChars="0"/>
        <w:rPr>
          <w:rFonts w:hint="eastAsia" w:ascii="宋体" w:hAnsi="宋体"/>
          <w:b/>
          <w:color w:val="auto"/>
          <w:sz w:val="28"/>
          <w:szCs w:val="28"/>
        </w:rPr>
      </w:pPr>
    </w:p>
    <w:p w14:paraId="7BE2D42E">
      <w:pPr>
        <w:spacing w:line="400" w:lineRule="exact"/>
        <w:jc w:val="left"/>
        <w:rPr>
          <w:rFonts w:hint="eastAsia" w:ascii="宋体" w:hAnsi="宋体"/>
          <w:b/>
          <w:color w:val="auto"/>
          <w:sz w:val="32"/>
          <w:szCs w:val="32"/>
        </w:rPr>
      </w:pPr>
    </w:p>
    <w:p w14:paraId="0B2C38EB">
      <w:pPr>
        <w:spacing w:line="400" w:lineRule="exact"/>
        <w:jc w:val="center"/>
        <w:rPr>
          <w:rFonts w:hint="eastAsia" w:ascii="宋体" w:hAnsi="宋体"/>
          <w:b/>
          <w:color w:val="auto"/>
          <w:sz w:val="32"/>
          <w:szCs w:val="32"/>
        </w:rPr>
      </w:pPr>
    </w:p>
    <w:p w14:paraId="3DE6D5D4">
      <w:pPr>
        <w:spacing w:line="400" w:lineRule="exact"/>
        <w:jc w:val="center"/>
        <w:rPr>
          <w:rFonts w:hint="eastAsia" w:ascii="宋体" w:hAnsi="宋体"/>
          <w:b/>
          <w:color w:val="auto"/>
          <w:sz w:val="32"/>
          <w:szCs w:val="32"/>
        </w:rPr>
      </w:pPr>
    </w:p>
    <w:p w14:paraId="1FFCF80C">
      <w:pPr>
        <w:spacing w:line="400" w:lineRule="exact"/>
        <w:jc w:val="center"/>
        <w:rPr>
          <w:rFonts w:hint="eastAsia" w:ascii="宋体" w:hAnsi="宋体"/>
          <w:b/>
          <w:color w:val="auto"/>
          <w:sz w:val="32"/>
          <w:szCs w:val="32"/>
        </w:rPr>
      </w:pPr>
    </w:p>
    <w:p w14:paraId="2AEF6296">
      <w:pPr>
        <w:spacing w:line="400" w:lineRule="exact"/>
        <w:jc w:val="center"/>
        <w:rPr>
          <w:rFonts w:hint="eastAsia" w:ascii="宋体" w:hAnsi="宋体"/>
          <w:b/>
          <w:color w:val="auto"/>
          <w:sz w:val="32"/>
          <w:szCs w:val="32"/>
        </w:rPr>
      </w:pPr>
    </w:p>
    <w:p w14:paraId="67BD2DD1">
      <w:pPr>
        <w:spacing w:line="400" w:lineRule="exact"/>
        <w:rPr>
          <w:rFonts w:hint="eastAsia" w:ascii="宋体" w:hAnsi="宋体"/>
          <w:b/>
          <w:color w:val="auto"/>
          <w:sz w:val="32"/>
          <w:szCs w:val="32"/>
        </w:rPr>
        <w:sectPr>
          <w:headerReference r:id="rId8" w:type="first"/>
          <w:footerReference r:id="rId10" w:type="first"/>
          <w:headerReference r:id="rId7" w:type="default"/>
          <w:footerReference r:id="rId9" w:type="default"/>
          <w:pgSz w:w="11906" w:h="16838"/>
          <w:pgMar w:top="1440" w:right="1440" w:bottom="1440" w:left="1587" w:header="851" w:footer="992" w:gutter="0"/>
          <w:pgNumType w:start="0"/>
          <w:cols w:space="720" w:num="1"/>
          <w:titlePg/>
          <w:docGrid w:type="lines" w:linePitch="312" w:charSpace="0"/>
        </w:sectPr>
      </w:pPr>
    </w:p>
    <w:p w14:paraId="6D7C61CC">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color w:val="auto"/>
        </w:rPr>
      </w:pPr>
      <w:bookmarkStart w:id="4" w:name="_Toc1343"/>
      <w:r>
        <w:rPr>
          <w:rFonts w:hint="eastAsia"/>
          <w:color w:val="auto"/>
        </w:rPr>
        <w:t>第一章 竞争性磋商公告</w:t>
      </w:r>
      <w:bookmarkEnd w:id="4"/>
    </w:p>
    <w:p w14:paraId="4DDE48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rPr>
      </w:pPr>
      <w:r>
        <w:rPr>
          <w:rFonts w:hint="eastAsia" w:ascii="宋体" w:hAnsi="宋体" w:cs="宋体"/>
          <w:b/>
          <w:bCs/>
          <w:color w:val="auto"/>
          <w:sz w:val="32"/>
          <w:szCs w:val="32"/>
          <w:lang w:eastAsia="zh-CN"/>
        </w:rPr>
        <w:t>广西政投项目咨询有限公司</w:t>
      </w:r>
      <w:r>
        <w:rPr>
          <w:rFonts w:hint="eastAsia" w:ascii="宋体" w:hAnsi="宋体" w:cs="宋体"/>
          <w:b/>
          <w:bCs/>
          <w:color w:val="auto"/>
          <w:sz w:val="32"/>
          <w:szCs w:val="32"/>
          <w:lang w:val="en-US" w:eastAsia="zh-CN"/>
        </w:rPr>
        <w:t>关于防城港市第一人民医院安保服务及停车场管理服务采购项目的</w:t>
      </w:r>
      <w:r>
        <w:rPr>
          <w:rFonts w:hint="eastAsia" w:ascii="宋体" w:hAnsi="宋体"/>
          <w:b/>
          <w:bCs/>
          <w:color w:val="auto"/>
          <w:sz w:val="32"/>
          <w:szCs w:val="32"/>
        </w:rPr>
        <w:t>竞争性磋商公告</w:t>
      </w:r>
    </w:p>
    <w:p w14:paraId="12582171">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项目概况</w:t>
      </w:r>
    </w:p>
    <w:p w14:paraId="411DBC6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u w:val="single"/>
        </w:rPr>
        <w:t>防城港市第一人民医院安保服务及停车场管理服务采购项目</w:t>
      </w:r>
      <w:r>
        <w:rPr>
          <w:rFonts w:hint="eastAsia" w:ascii="宋体" w:hAnsi="宋体"/>
          <w:color w:val="auto"/>
          <w:szCs w:val="21"/>
        </w:rPr>
        <w:t>的潜在供应商应在广西政府采购云平台（https://www.gcy.zfcg.gxzf.gov.cn/）获取（下载）竞争性磋商文件，并</w:t>
      </w:r>
      <w:r>
        <w:rPr>
          <w:rFonts w:hint="eastAsia" w:ascii="宋体" w:hAnsi="宋体"/>
          <w:color w:val="auto"/>
          <w:szCs w:val="21"/>
          <w:highlight w:val="none"/>
        </w:rPr>
        <w:t>于</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4</w:t>
      </w:r>
      <w:r>
        <w:rPr>
          <w:rFonts w:hint="eastAsia" w:ascii="宋体" w:hAnsi="宋体"/>
          <w:bCs/>
          <w:color w:val="auto"/>
          <w:szCs w:val="21"/>
          <w:highlight w:val="none"/>
        </w:rPr>
        <w:t>月</w:t>
      </w:r>
      <w:r>
        <w:rPr>
          <w:rFonts w:hint="eastAsia" w:ascii="宋体" w:hAnsi="宋体"/>
          <w:bCs/>
          <w:color w:val="auto"/>
          <w:szCs w:val="21"/>
          <w:highlight w:val="none"/>
          <w:lang w:val="en-US" w:eastAsia="zh-CN"/>
        </w:rPr>
        <w:t>22</w:t>
      </w:r>
      <w:r>
        <w:rPr>
          <w:rFonts w:hint="eastAsia" w:ascii="宋体" w:hAnsi="宋体"/>
          <w:bCs/>
          <w:color w:val="auto"/>
          <w:szCs w:val="21"/>
          <w:highlight w:val="none"/>
        </w:rPr>
        <w:t>日</w:t>
      </w:r>
      <w:r>
        <w:rPr>
          <w:rFonts w:hint="eastAsia" w:ascii="宋体" w:hAnsi="宋体"/>
          <w:bCs/>
          <w:color w:val="auto"/>
          <w:szCs w:val="21"/>
          <w:highlight w:val="none"/>
          <w:lang w:val="en-US" w:eastAsia="zh-CN"/>
        </w:rPr>
        <w:t>9</w:t>
      </w:r>
      <w:r>
        <w:rPr>
          <w:rFonts w:hint="eastAsia" w:ascii="宋体" w:hAnsi="宋体"/>
          <w:bCs/>
          <w:color w:val="auto"/>
          <w:szCs w:val="21"/>
          <w:highlight w:val="none"/>
        </w:rPr>
        <w:t>时30分</w:t>
      </w:r>
      <w:r>
        <w:rPr>
          <w:rFonts w:hint="eastAsia" w:ascii="宋体" w:hAnsi="宋体"/>
          <w:bCs/>
          <w:color w:val="auto"/>
          <w:szCs w:val="21"/>
          <w:highlight w:val="none"/>
          <w:u w:val="non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4061D7C0">
      <w:pPr>
        <w:pageBreakBefore w:val="0"/>
        <w:kinsoku/>
        <w:overflowPunct/>
        <w:topLinePunct w:val="0"/>
        <w:autoSpaceDE/>
        <w:autoSpaceDN/>
        <w:bidi w:val="0"/>
        <w:adjustRightInd/>
        <w:spacing w:line="240" w:lineRule="auto"/>
        <w:textAlignment w:val="auto"/>
        <w:rPr>
          <w:rFonts w:hint="eastAsia" w:ascii="黑体" w:hAnsi="黑体" w:eastAsia="黑体"/>
          <w:b/>
          <w:color w:val="auto"/>
          <w:sz w:val="24"/>
        </w:rPr>
      </w:pPr>
    </w:p>
    <w:p w14:paraId="3CE48FD9">
      <w:pPr>
        <w:pageBreakBefore w:val="0"/>
        <w:kinsoku/>
        <w:overflowPunct/>
        <w:topLinePunct w:val="0"/>
        <w:autoSpaceDE/>
        <w:autoSpaceDN/>
        <w:bidi w:val="0"/>
        <w:adjustRightInd/>
        <w:spacing w:line="360" w:lineRule="auto"/>
        <w:textAlignment w:val="auto"/>
        <w:rPr>
          <w:rFonts w:ascii="黑体" w:hAnsi="黑体" w:eastAsia="黑体"/>
          <w:b/>
          <w:color w:val="auto"/>
          <w:sz w:val="24"/>
        </w:rPr>
      </w:pPr>
      <w:r>
        <w:rPr>
          <w:rFonts w:hint="eastAsia" w:ascii="黑体" w:hAnsi="黑体" w:eastAsia="黑体"/>
          <w:b/>
          <w:color w:val="auto"/>
          <w:sz w:val="24"/>
        </w:rPr>
        <w:t>一、项目基本情况</w:t>
      </w:r>
    </w:p>
    <w:p w14:paraId="76D7A0C9">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项目编号：FCZC2025-C3-990018-ZTZX</w:t>
      </w:r>
    </w:p>
    <w:p w14:paraId="2B41041D">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项目名称：防城港市第一人民医院安保服务及停车场管理服务采购项目</w:t>
      </w:r>
    </w:p>
    <w:p w14:paraId="2C9EAC68">
      <w:pPr>
        <w:pageBreakBefore w:val="0"/>
        <w:kinsoku/>
        <w:overflowPunct/>
        <w:topLinePunct w:val="0"/>
        <w:autoSpaceDE/>
        <w:autoSpaceDN/>
        <w:bidi w:val="0"/>
        <w:adjustRightInd/>
        <w:spacing w:line="360" w:lineRule="auto"/>
        <w:ind w:firstLine="420" w:firstLineChars="200"/>
        <w:textAlignment w:val="auto"/>
        <w:rPr>
          <w:rFonts w:ascii="宋体" w:hAnsi="宋体"/>
          <w:color w:val="auto"/>
          <w:szCs w:val="21"/>
        </w:rPr>
      </w:pPr>
      <w:r>
        <w:rPr>
          <w:rFonts w:hint="eastAsia" w:ascii="宋体" w:hAnsi="宋体"/>
          <w:color w:val="auto"/>
          <w:szCs w:val="21"/>
        </w:rPr>
        <w:t>采购方式：竞争性磋商</w:t>
      </w:r>
    </w:p>
    <w:p w14:paraId="1640CA61">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预算金额：</w:t>
      </w:r>
      <w:r>
        <w:rPr>
          <w:rFonts w:hint="eastAsia" w:ascii="宋体" w:hAnsi="宋体"/>
          <w:color w:val="auto"/>
          <w:szCs w:val="21"/>
          <w:lang w:val="en-US" w:eastAsia="zh-CN"/>
        </w:rPr>
        <w:t>人民币</w:t>
      </w:r>
      <w:r>
        <w:rPr>
          <w:rFonts w:hint="eastAsia" w:ascii="宋体" w:hAnsi="宋体"/>
          <w:iCs/>
          <w:color w:val="auto"/>
          <w:szCs w:val="21"/>
          <w:lang w:val="en-US" w:eastAsia="zh-CN"/>
        </w:rPr>
        <w:t>壹佰肆拾贰万伍仟元整</w:t>
      </w:r>
      <w:r>
        <w:rPr>
          <w:rFonts w:hint="eastAsia" w:ascii="宋体" w:hAnsi="宋体"/>
          <w:iCs/>
          <w:color w:val="auto"/>
          <w:szCs w:val="21"/>
        </w:rPr>
        <w:t>（¥</w:t>
      </w:r>
      <w:r>
        <w:rPr>
          <w:rFonts w:hint="eastAsia" w:ascii="宋体" w:hAnsi="宋体"/>
          <w:iCs/>
          <w:color w:val="auto"/>
          <w:szCs w:val="21"/>
          <w:lang w:val="en-US" w:eastAsia="zh-CN"/>
        </w:rPr>
        <w:t>1425000.00</w:t>
      </w:r>
      <w:r>
        <w:rPr>
          <w:rFonts w:hint="eastAsia" w:ascii="宋体" w:hAnsi="宋体"/>
          <w:iCs/>
          <w:color w:val="auto"/>
          <w:szCs w:val="21"/>
        </w:rPr>
        <w:t>）</w:t>
      </w:r>
    </w:p>
    <w:p w14:paraId="56544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采购需求：</w:t>
      </w:r>
    </w:p>
    <w:p w14:paraId="6257B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标项一</w:t>
      </w:r>
    </w:p>
    <w:p w14:paraId="605DD9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标项名称：防城港市第一人民医院安保服务及停车场管理服务采购项目</w:t>
      </w:r>
    </w:p>
    <w:p w14:paraId="48D94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数量：1</w:t>
      </w:r>
    </w:p>
    <w:p w14:paraId="698D45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预算金额（元）：</w:t>
      </w:r>
      <w:r>
        <w:rPr>
          <w:rFonts w:hint="eastAsia" w:ascii="宋体" w:hAnsi="宋体"/>
          <w:color w:val="auto"/>
          <w:sz w:val="21"/>
          <w:szCs w:val="21"/>
          <w:lang w:val="en-US" w:eastAsia="zh-CN"/>
        </w:rPr>
        <w:t>1425000</w:t>
      </w:r>
    </w:p>
    <w:p w14:paraId="5E325F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简要规格描述或项目基本概况介绍、用途：</w:t>
      </w:r>
      <w:r>
        <w:rPr>
          <w:rFonts w:hint="eastAsia" w:ascii="宋体" w:hAnsi="宋体"/>
          <w:color w:val="auto"/>
          <w:sz w:val="21"/>
          <w:szCs w:val="21"/>
          <w:lang w:val="en-US" w:eastAsia="zh-CN"/>
        </w:rPr>
        <w:t>对防城港市第一人民医院安保服务及停车场管理服务进行采购</w:t>
      </w:r>
      <w:r>
        <w:rPr>
          <w:rFonts w:hint="eastAsia" w:ascii="宋体" w:hAnsi="宋体"/>
          <w:color w:val="auto"/>
          <w:sz w:val="21"/>
          <w:szCs w:val="21"/>
        </w:rPr>
        <w:t>，具体内容详见竞争性磋商文件。</w:t>
      </w:r>
    </w:p>
    <w:p w14:paraId="5097F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最高限价（如有）：</w:t>
      </w:r>
      <w:r>
        <w:rPr>
          <w:rFonts w:hint="eastAsia" w:ascii="宋体" w:hAnsi="宋体"/>
          <w:color w:val="auto"/>
          <w:sz w:val="21"/>
          <w:szCs w:val="21"/>
          <w:lang w:val="en-US" w:eastAsia="zh-CN"/>
        </w:rPr>
        <w:t>1425000</w:t>
      </w:r>
    </w:p>
    <w:p w14:paraId="690EB5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合同履约期限：自合同签订之日起</w:t>
      </w:r>
      <w:r>
        <w:rPr>
          <w:rFonts w:hint="eastAsia" w:ascii="宋体" w:hAnsi="宋体"/>
          <w:color w:val="auto"/>
          <w:sz w:val="21"/>
          <w:szCs w:val="21"/>
          <w:lang w:val="en-US" w:eastAsia="zh-CN"/>
        </w:rPr>
        <w:t>1</w:t>
      </w:r>
      <w:r>
        <w:rPr>
          <w:rFonts w:hint="eastAsia" w:ascii="宋体" w:hAnsi="宋体"/>
          <w:color w:val="auto"/>
          <w:sz w:val="21"/>
          <w:szCs w:val="21"/>
        </w:rPr>
        <w:t>年。</w:t>
      </w:r>
    </w:p>
    <w:p w14:paraId="53BE2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本标项（否）接受联合体投标。</w:t>
      </w:r>
    </w:p>
    <w:p w14:paraId="0F816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备注：/。</w:t>
      </w:r>
    </w:p>
    <w:p w14:paraId="2369ADB0">
      <w:pPr>
        <w:pageBreakBefore w:val="0"/>
        <w:kinsoku/>
        <w:overflowPunct/>
        <w:topLinePunct w:val="0"/>
        <w:autoSpaceDE/>
        <w:autoSpaceDN/>
        <w:bidi w:val="0"/>
        <w:adjustRightInd/>
        <w:spacing w:line="360" w:lineRule="auto"/>
        <w:textAlignment w:val="auto"/>
        <w:rPr>
          <w:rFonts w:ascii="黑体" w:hAnsi="黑体" w:eastAsia="黑体"/>
          <w:b/>
          <w:color w:val="auto"/>
          <w:sz w:val="24"/>
        </w:rPr>
      </w:pPr>
      <w:r>
        <w:rPr>
          <w:rFonts w:hint="eastAsia" w:ascii="黑体" w:hAnsi="黑体" w:eastAsia="黑体"/>
          <w:b/>
          <w:color w:val="auto"/>
          <w:sz w:val="24"/>
        </w:rPr>
        <w:t>二、申请人的资格条件：</w:t>
      </w:r>
    </w:p>
    <w:p w14:paraId="41BE6FA1">
      <w:pPr>
        <w:pageBreakBefore w:val="0"/>
        <w:kinsoku/>
        <w:overflowPunct/>
        <w:topLinePunct w:val="0"/>
        <w:autoSpaceDE/>
        <w:autoSpaceDN/>
        <w:bidi w:val="0"/>
        <w:adjustRightInd/>
        <w:spacing w:line="360" w:lineRule="auto"/>
        <w:ind w:firstLine="420" w:firstLineChars="200"/>
        <w:textAlignment w:val="auto"/>
        <w:rPr>
          <w:rFonts w:ascii="宋体" w:hAnsi="宋体"/>
          <w:color w:val="auto"/>
          <w:szCs w:val="21"/>
        </w:rPr>
      </w:pPr>
      <w:r>
        <w:rPr>
          <w:rFonts w:hint="eastAsia" w:ascii="宋体" w:hAnsi="宋体"/>
          <w:color w:val="auto"/>
          <w:szCs w:val="21"/>
        </w:rPr>
        <w:t>1.满足《中华人民共和国政府采购法》第二十二条规定；</w:t>
      </w:r>
    </w:p>
    <w:p w14:paraId="6D1E6E68">
      <w:pPr>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lang w:eastAsia="zh-CN"/>
        </w:rPr>
      </w:pPr>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s="宋体"/>
          <w:color w:val="auto"/>
          <w:szCs w:val="21"/>
        </w:rPr>
        <w:t>专门面向中小企业采购的项目（供应商应为中小微企业、监狱企业、残疾人福利性单位)</w:t>
      </w:r>
      <w:r>
        <w:rPr>
          <w:rFonts w:hint="eastAsia" w:ascii="宋体" w:hAnsi="宋体" w:cs="宋体"/>
          <w:color w:val="auto"/>
          <w:szCs w:val="21"/>
          <w:lang w:eastAsia="zh-CN"/>
        </w:rPr>
        <w:t>；</w:t>
      </w:r>
    </w:p>
    <w:p w14:paraId="3808F926">
      <w:pPr>
        <w:pageBreakBefore w:val="0"/>
        <w:kinsoku/>
        <w:overflowPunct/>
        <w:topLinePunct w:val="0"/>
        <w:autoSpaceDE/>
        <w:autoSpaceDN/>
        <w:bidi w:val="0"/>
        <w:adjustRightInd/>
        <w:spacing w:line="360" w:lineRule="auto"/>
        <w:ind w:firstLine="420" w:firstLineChars="200"/>
        <w:textAlignment w:val="auto"/>
        <w:rPr>
          <w:rFonts w:ascii="宋体" w:hAnsi="宋体"/>
          <w:color w:val="auto"/>
          <w:szCs w:val="21"/>
          <w:u w:val="single"/>
        </w:rPr>
      </w:pPr>
      <w:r>
        <w:rPr>
          <w:rFonts w:hint="eastAsia" w:ascii="宋体" w:hAnsi="宋体"/>
          <w:color w:val="auto"/>
          <w:szCs w:val="21"/>
        </w:rPr>
        <w:t>3.本项目的特定资格要求：</w:t>
      </w:r>
      <w:r>
        <w:rPr>
          <w:rFonts w:hint="eastAsia" w:ascii="宋体" w:hAnsi="宋体"/>
          <w:color w:val="auto"/>
          <w:szCs w:val="21"/>
          <w:lang w:val="en-US" w:eastAsia="zh-CN"/>
        </w:rPr>
        <w:t>供应商须具备公安部门颁发的有效的保安服务许可证</w:t>
      </w:r>
      <w:r>
        <w:rPr>
          <w:rFonts w:hint="eastAsia" w:ascii="宋体" w:hAnsi="宋体"/>
          <w:color w:val="auto"/>
          <w:szCs w:val="21"/>
        </w:rPr>
        <w:t>。</w:t>
      </w:r>
    </w:p>
    <w:p w14:paraId="08F30D4D">
      <w:pPr>
        <w:pageBreakBefore w:val="0"/>
        <w:kinsoku/>
        <w:overflowPunct/>
        <w:topLinePunct w:val="0"/>
        <w:autoSpaceDE/>
        <w:autoSpaceDN/>
        <w:bidi w:val="0"/>
        <w:adjustRightInd/>
        <w:spacing w:line="360" w:lineRule="auto"/>
        <w:textAlignment w:val="auto"/>
        <w:rPr>
          <w:rFonts w:ascii="黑体" w:hAnsi="黑体" w:eastAsia="黑体"/>
          <w:b/>
          <w:color w:val="auto"/>
          <w:sz w:val="24"/>
        </w:rPr>
      </w:pPr>
      <w:r>
        <w:rPr>
          <w:rFonts w:hint="eastAsia" w:ascii="黑体" w:hAnsi="黑体" w:eastAsia="黑体"/>
          <w:b/>
          <w:color w:val="auto"/>
          <w:sz w:val="24"/>
        </w:rPr>
        <w:t>三、获取竞争性磋商文件</w:t>
      </w:r>
    </w:p>
    <w:p w14:paraId="268EFD7A">
      <w:pPr>
        <w:pageBreakBefore w:val="0"/>
        <w:kinsoku/>
        <w:overflowPunct/>
        <w:topLinePunct w:val="0"/>
        <w:autoSpaceDE/>
        <w:autoSpaceDN/>
        <w:bidi w:val="0"/>
        <w:adjustRightIn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rPr>
        <w:t>时间</w:t>
      </w:r>
      <w:r>
        <w:rPr>
          <w:rFonts w:hint="eastAsia" w:ascii="宋体" w:hAnsi="宋体" w:cs="宋体"/>
          <w:bCs/>
          <w:color w:val="auto"/>
          <w:kern w:val="0"/>
          <w:szCs w:val="21"/>
          <w:highlight w:val="none"/>
        </w:rPr>
        <w:t>：</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4</w:t>
      </w:r>
      <w:r>
        <w:rPr>
          <w:rFonts w:hint="eastAsia" w:ascii="宋体" w:hAnsi="宋体"/>
          <w:bCs/>
          <w:color w:val="auto"/>
          <w:szCs w:val="21"/>
          <w:highlight w:val="none"/>
        </w:rPr>
        <w:t>月</w:t>
      </w:r>
      <w:r>
        <w:rPr>
          <w:rFonts w:hint="eastAsia" w:ascii="宋体" w:hAnsi="宋体"/>
          <w:bCs/>
          <w:color w:val="auto"/>
          <w:szCs w:val="21"/>
          <w:highlight w:val="none"/>
          <w:lang w:val="en-US" w:eastAsia="zh-CN"/>
        </w:rPr>
        <w:t xml:space="preserve"> 11</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 xml:space="preserve">4 </w:t>
      </w:r>
      <w:r>
        <w:rPr>
          <w:rFonts w:hint="eastAsia" w:ascii="宋体" w:hAnsi="宋体"/>
          <w:bCs/>
          <w:color w:val="auto"/>
          <w:szCs w:val="21"/>
          <w:highlight w:val="none"/>
        </w:rPr>
        <w:t>月</w:t>
      </w:r>
      <w:r>
        <w:rPr>
          <w:rFonts w:hint="eastAsia" w:ascii="宋体" w:hAnsi="宋体"/>
          <w:bCs/>
          <w:color w:val="auto"/>
          <w:szCs w:val="21"/>
          <w:highlight w:val="none"/>
          <w:lang w:val="en-US" w:eastAsia="zh-CN"/>
        </w:rPr>
        <w:t>18</w:t>
      </w:r>
      <w:r>
        <w:rPr>
          <w:rFonts w:hint="eastAsia" w:ascii="宋体" w:hAnsi="宋体"/>
          <w:bCs/>
          <w:color w:val="auto"/>
          <w:szCs w:val="21"/>
          <w:highlight w:val="none"/>
        </w:rPr>
        <w:t>日</w:t>
      </w:r>
      <w:r>
        <w:rPr>
          <w:rFonts w:hint="eastAsia" w:ascii="宋体" w:hAnsi="宋体" w:cs="宋体"/>
          <w:bCs/>
          <w:color w:val="auto"/>
          <w:kern w:val="0"/>
          <w:szCs w:val="21"/>
          <w:highlight w:val="none"/>
        </w:rPr>
        <w:t>，每天</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:00至12:00，</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:0</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BAB22CF">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4DD6F89">
      <w:pPr>
        <w:pageBreakBefore w:val="0"/>
        <w:kinsoku/>
        <w:overflowPunct/>
        <w:topLinePunct w:val="0"/>
        <w:autoSpaceDE/>
        <w:autoSpaceDN/>
        <w:bidi w:val="0"/>
        <w:adjustRightInd/>
        <w:spacing w:line="360" w:lineRule="auto"/>
        <w:ind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776077E3">
      <w:pPr>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元</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0</w:t>
      </w:r>
    </w:p>
    <w:p w14:paraId="29E21EA0">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7859860B">
      <w:pPr>
        <w:pageBreakBefore w:val="0"/>
        <w:kinsoku/>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4</w:t>
      </w:r>
      <w:r>
        <w:rPr>
          <w:rFonts w:hint="eastAsia" w:ascii="宋体" w:hAnsi="宋体"/>
          <w:bCs/>
          <w:color w:val="auto"/>
          <w:szCs w:val="21"/>
          <w:highlight w:val="none"/>
        </w:rPr>
        <w:t>月</w:t>
      </w:r>
      <w:r>
        <w:rPr>
          <w:rFonts w:hint="eastAsia" w:ascii="宋体" w:hAnsi="宋体"/>
          <w:bCs/>
          <w:color w:val="auto"/>
          <w:szCs w:val="21"/>
          <w:highlight w:val="none"/>
          <w:lang w:val="en-US" w:eastAsia="zh-CN"/>
        </w:rPr>
        <w:t xml:space="preserve"> 22</w:t>
      </w:r>
      <w:r>
        <w:rPr>
          <w:rFonts w:hint="eastAsia" w:ascii="宋体" w:hAnsi="宋体"/>
          <w:bCs/>
          <w:color w:val="auto"/>
          <w:szCs w:val="21"/>
          <w:highlight w:val="none"/>
        </w:rPr>
        <w:t>日</w:t>
      </w:r>
      <w:r>
        <w:rPr>
          <w:rFonts w:hint="eastAsia" w:ascii="宋体" w:hAnsi="宋体"/>
          <w:bCs/>
          <w:color w:val="auto"/>
          <w:szCs w:val="21"/>
          <w:highlight w:val="none"/>
          <w:lang w:val="en-US" w:eastAsia="zh-CN"/>
        </w:rPr>
        <w:t>9</w:t>
      </w:r>
      <w:r>
        <w:rPr>
          <w:rFonts w:hint="eastAsia" w:ascii="宋体" w:hAnsi="宋体"/>
          <w:bCs/>
          <w:color w:val="auto"/>
          <w:szCs w:val="21"/>
          <w:highlight w:val="none"/>
        </w:rPr>
        <w:t>时30分（北京时间）</w:t>
      </w:r>
    </w:p>
    <w:p w14:paraId="7952B03E">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地点：</w:t>
      </w:r>
      <w:r>
        <w:rPr>
          <w:rFonts w:hint="eastAsia" w:ascii="宋体" w:hAnsi="宋体" w:cs="宋体"/>
          <w:bCs/>
          <w:color w:val="auto"/>
          <w:kern w:val="0"/>
          <w:szCs w:val="21"/>
          <w:highlight w:val="none"/>
        </w:rPr>
        <w:t>广西政府采购云平台（https://www.gcy.zfcg.gxzf.gov.cn/）</w:t>
      </w:r>
    </w:p>
    <w:p w14:paraId="719E23FA">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五、开启</w:t>
      </w:r>
    </w:p>
    <w:p w14:paraId="7EA07433">
      <w:pPr>
        <w:pageBreakBefore w:val="0"/>
        <w:kinsoku/>
        <w:overflowPunct/>
        <w:topLinePunct w:val="0"/>
        <w:autoSpaceDE/>
        <w:autoSpaceDN/>
        <w:bidi w:val="0"/>
        <w:adjustRightInd/>
        <w:spacing w:line="360" w:lineRule="auto"/>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4</w:t>
      </w:r>
      <w:r>
        <w:rPr>
          <w:rFonts w:hint="eastAsia" w:ascii="宋体" w:hAnsi="宋体"/>
          <w:bCs/>
          <w:color w:val="auto"/>
          <w:szCs w:val="21"/>
          <w:highlight w:val="none"/>
        </w:rPr>
        <w:t>月</w:t>
      </w:r>
      <w:r>
        <w:rPr>
          <w:rFonts w:hint="eastAsia" w:ascii="宋体" w:hAnsi="宋体"/>
          <w:bCs/>
          <w:color w:val="auto"/>
          <w:szCs w:val="21"/>
          <w:highlight w:val="none"/>
          <w:lang w:val="en-US" w:eastAsia="zh-CN"/>
        </w:rPr>
        <w:t xml:space="preserve">22 </w:t>
      </w:r>
      <w:r>
        <w:rPr>
          <w:rFonts w:hint="eastAsia" w:ascii="宋体" w:hAnsi="宋体"/>
          <w:bCs/>
          <w:color w:val="auto"/>
          <w:szCs w:val="21"/>
          <w:highlight w:val="none"/>
        </w:rPr>
        <w:t>日</w:t>
      </w:r>
      <w:r>
        <w:rPr>
          <w:rFonts w:hint="eastAsia" w:ascii="宋体" w:hAnsi="宋体"/>
          <w:bCs/>
          <w:color w:val="auto"/>
          <w:szCs w:val="21"/>
          <w:highlight w:val="none"/>
          <w:lang w:val="en-US" w:eastAsia="zh-CN"/>
        </w:rPr>
        <w:t>9</w:t>
      </w:r>
      <w:r>
        <w:rPr>
          <w:rFonts w:hint="eastAsia" w:ascii="宋体" w:hAnsi="宋体"/>
          <w:bCs/>
          <w:color w:val="auto"/>
          <w:szCs w:val="21"/>
          <w:highlight w:val="none"/>
        </w:rPr>
        <w:t>时30分（北京时间）</w:t>
      </w:r>
    </w:p>
    <w:p w14:paraId="15908742">
      <w:pPr>
        <w:pageBreakBefore w:val="0"/>
        <w:kinsoku/>
        <w:overflowPunct/>
        <w:topLinePunct w:val="0"/>
        <w:autoSpaceDE/>
        <w:autoSpaceDN/>
        <w:bidi w:val="0"/>
        <w:adjustRightInd/>
        <w:spacing w:line="360" w:lineRule="auto"/>
        <w:ind w:firstLine="420" w:firstLineChars="200"/>
        <w:textAlignment w:val="auto"/>
        <w:rPr>
          <w:rFonts w:hint="default" w:ascii="宋体" w:hAnsi="宋体" w:eastAsia="宋体"/>
          <w:bCs/>
          <w:color w:val="auto"/>
          <w:szCs w:val="21"/>
          <w:u w:val="single"/>
          <w:lang w:val="en-US" w:eastAsia="zh-CN"/>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地点：广西政府采购</w:t>
      </w:r>
      <w:r>
        <w:rPr>
          <w:rFonts w:hint="eastAsia" w:ascii="宋体" w:hAnsi="宋体" w:eastAsia="宋体" w:cs="Times New Roman"/>
          <w:bCs/>
          <w:color w:val="auto"/>
          <w:szCs w:val="21"/>
        </w:rPr>
        <w:t>云平台政府采购开评标室</w:t>
      </w:r>
      <w:r>
        <w:rPr>
          <w:rFonts w:hint="eastAsia" w:ascii="宋体" w:hAnsi="宋体" w:cs="Times New Roman"/>
          <w:bCs/>
          <w:color w:val="auto"/>
          <w:szCs w:val="21"/>
          <w:lang w:val="en-US" w:eastAsia="zh-CN"/>
        </w:rPr>
        <w:t>1</w:t>
      </w:r>
    </w:p>
    <w:p w14:paraId="65A842D2">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rPr>
      </w:pPr>
      <w:r>
        <w:rPr>
          <w:rFonts w:hint="eastAsia" w:ascii="黑体" w:hAnsi="黑体" w:eastAsia="黑体"/>
          <w:b/>
          <w:color w:val="auto"/>
          <w:sz w:val="24"/>
        </w:rPr>
        <w:t>六、公告期限</w:t>
      </w:r>
    </w:p>
    <w:p w14:paraId="21D8178E">
      <w:pPr>
        <w:pageBreakBefore w:val="0"/>
        <w:kinsoku/>
        <w:overflowPunct/>
        <w:topLinePunct w:val="0"/>
        <w:autoSpaceDE/>
        <w:autoSpaceDN/>
        <w:bidi w:val="0"/>
        <w:adjustRightInd/>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自本公告发布之日</w:t>
      </w:r>
      <w:r>
        <w:rPr>
          <w:rFonts w:hint="eastAsia" w:ascii="宋体" w:hAnsi="宋体" w:cs="宋体"/>
          <w:color w:val="auto"/>
          <w:kern w:val="0"/>
          <w:szCs w:val="21"/>
          <w:u w:val="none"/>
        </w:rPr>
        <w:t>起</w:t>
      </w:r>
      <w:r>
        <w:rPr>
          <w:rFonts w:hint="eastAsia" w:ascii="宋体" w:hAnsi="宋体" w:cs="宋体"/>
          <w:color w:val="auto"/>
          <w:kern w:val="0"/>
          <w:szCs w:val="21"/>
          <w:u w:val="none"/>
          <w:lang w:val="en-US" w:eastAsia="zh-CN"/>
        </w:rPr>
        <w:t>5</w:t>
      </w:r>
      <w:r>
        <w:rPr>
          <w:rFonts w:hint="eastAsia" w:ascii="宋体" w:hAnsi="宋体" w:cs="宋体"/>
          <w:color w:val="auto"/>
          <w:kern w:val="0"/>
          <w:szCs w:val="21"/>
          <w:u w:val="none"/>
        </w:rPr>
        <w:t>个工作日。</w:t>
      </w:r>
    </w:p>
    <w:p w14:paraId="60207017">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rPr>
      </w:pPr>
      <w:r>
        <w:rPr>
          <w:rFonts w:hint="eastAsia" w:ascii="黑体" w:hAnsi="黑体" w:eastAsia="黑体"/>
          <w:b/>
          <w:color w:val="auto"/>
          <w:sz w:val="24"/>
        </w:rPr>
        <w:t>七、其他补充事宜</w:t>
      </w:r>
    </w:p>
    <w:p w14:paraId="642238CC">
      <w:pPr>
        <w:pageBreakBefore w:val="0"/>
        <w:kinsoku/>
        <w:overflowPunct/>
        <w:topLinePunct w:val="0"/>
        <w:autoSpaceDE/>
        <w:autoSpaceDN/>
        <w:bidi w:val="0"/>
        <w:adjustRightIn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网上查询地址：中国政府采购网、广西壮族自治区政府采购网、全国公共资源交易平台（广西·防城港）。</w:t>
      </w:r>
    </w:p>
    <w:p w14:paraId="47D88E5B">
      <w:pPr>
        <w:spacing w:line="360" w:lineRule="auto"/>
        <w:ind w:left="210" w:leftChars="100" w:firstLine="210" w:firstLineChars="1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2.采购意向公开链接</w:t>
      </w:r>
      <w:r>
        <w:rPr>
          <w:rFonts w:hint="eastAsia" w:ascii="宋体" w:hAnsi="宋体" w:eastAsia="宋体" w:cs="宋体"/>
          <w:color w:val="auto"/>
          <w:kern w:val="0"/>
          <w:szCs w:val="21"/>
          <w:highlight w:val="none"/>
          <w:lang w:eastAsia="zh-CN"/>
        </w:rPr>
        <w:t>：http://www.ccgp-guangxi.gov.cn/site/detail?parentId=66601&amp;articleId=ngRnA4KEuQnzG3LtHjulDw==</w:t>
      </w:r>
    </w:p>
    <w:p w14:paraId="1AB285A2">
      <w:pPr>
        <w:spacing w:line="360" w:lineRule="auto"/>
        <w:ind w:left="210" w:leftChars="100" w:firstLine="210" w:firstLineChars="1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3.磋商保证金：本项目不收取磋商保证金。</w:t>
      </w:r>
    </w:p>
    <w:p w14:paraId="1D69C1A1">
      <w:pPr>
        <w:pageBreakBefore w:val="0"/>
        <w:kinsoku/>
        <w:overflowPunct/>
        <w:topLinePunct w:val="0"/>
        <w:autoSpaceDE/>
        <w:autoSpaceDN/>
        <w:bidi w:val="0"/>
        <w:adjustRightInd/>
        <w:spacing w:line="360" w:lineRule="auto"/>
        <w:ind w:firstLine="424" w:firstLineChars="202"/>
        <w:textAlignment w:val="auto"/>
        <w:rPr>
          <w:rFonts w:hint="eastAsia" w:ascii="宋体" w:hAnsi="宋体" w:cs="宋体"/>
          <w:color w:val="auto"/>
          <w:kern w:val="0"/>
          <w:szCs w:val="21"/>
        </w:rPr>
      </w:pPr>
      <w:r>
        <w:rPr>
          <w:rFonts w:hint="eastAsia" w:ascii="宋体" w:hAnsi="宋体"/>
          <w:color w:val="auto"/>
          <w:szCs w:val="21"/>
          <w:lang w:val="en-US" w:eastAsia="zh-CN"/>
        </w:rPr>
        <w:t>4</w:t>
      </w:r>
      <w:r>
        <w:rPr>
          <w:rFonts w:ascii="宋体" w:hAnsi="宋体"/>
          <w:color w:val="auto"/>
          <w:szCs w:val="21"/>
        </w:rPr>
        <w:t>.</w:t>
      </w:r>
      <w:r>
        <w:rPr>
          <w:rFonts w:hint="eastAsia" w:ascii="宋体" w:hAnsi="宋体" w:cs="宋体"/>
          <w:color w:val="auto"/>
          <w:kern w:val="0"/>
          <w:szCs w:val="21"/>
        </w:rPr>
        <w:t>本项目需要落实的政府采购政策</w:t>
      </w:r>
    </w:p>
    <w:p w14:paraId="24CCED2F">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rPr>
      </w:pPr>
      <w:r>
        <w:rPr>
          <w:rFonts w:hint="eastAsia" w:ascii="宋体" w:hAnsi="宋体" w:cs="宋体"/>
          <w:iCs/>
          <w:color w:val="auto"/>
          <w:kern w:val="0"/>
          <w:szCs w:val="21"/>
        </w:rPr>
        <w:t>（1）政府采购促进中小企业发展。</w:t>
      </w:r>
    </w:p>
    <w:p w14:paraId="51AB2B5D">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rPr>
      </w:pPr>
      <w:r>
        <w:rPr>
          <w:rFonts w:hint="eastAsia" w:ascii="宋体" w:hAnsi="宋体" w:cs="宋体"/>
          <w:iCs/>
          <w:color w:val="auto"/>
          <w:kern w:val="0"/>
          <w:szCs w:val="21"/>
        </w:rPr>
        <w:t>（2）政府采购支持采用本国产品的政策。</w:t>
      </w:r>
    </w:p>
    <w:p w14:paraId="259128F6">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rPr>
      </w:pPr>
      <w:r>
        <w:rPr>
          <w:rFonts w:hint="eastAsia" w:ascii="宋体" w:hAnsi="宋体" w:cs="宋体"/>
          <w:iCs/>
          <w:color w:val="auto"/>
          <w:kern w:val="0"/>
          <w:szCs w:val="21"/>
        </w:rPr>
        <w:t>（3）强制采购节能产品；优先采购节能产品、环境标志产品。</w:t>
      </w:r>
    </w:p>
    <w:p w14:paraId="7C8D3094">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rPr>
      </w:pPr>
      <w:r>
        <w:rPr>
          <w:rFonts w:hint="eastAsia" w:ascii="宋体" w:hAnsi="宋体" w:cs="宋体"/>
          <w:iCs/>
          <w:color w:val="auto"/>
          <w:kern w:val="0"/>
          <w:szCs w:val="21"/>
        </w:rPr>
        <w:t>（4）政府采购促进残疾人就业政策。</w:t>
      </w:r>
    </w:p>
    <w:p w14:paraId="1FF54951">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cs="宋体"/>
          <w:iCs/>
          <w:color w:val="auto"/>
          <w:kern w:val="0"/>
          <w:szCs w:val="21"/>
        </w:rPr>
      </w:pPr>
      <w:r>
        <w:rPr>
          <w:rFonts w:hint="eastAsia" w:ascii="宋体" w:hAnsi="宋体" w:cs="宋体"/>
          <w:iCs/>
          <w:color w:val="auto"/>
          <w:kern w:val="0"/>
          <w:szCs w:val="21"/>
        </w:rPr>
        <w:t>（5）政府采购支持监狱企业发展。</w:t>
      </w:r>
    </w:p>
    <w:p w14:paraId="1D75A307">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olor w:val="auto"/>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.供应商</w:t>
      </w:r>
      <w:r>
        <w:rPr>
          <w:rFonts w:hint="eastAsia" w:ascii="宋体" w:hAnsi="宋体"/>
          <w:color w:val="auto"/>
          <w:szCs w:val="21"/>
        </w:rPr>
        <w:t>竞标注意事项</w:t>
      </w:r>
    </w:p>
    <w:p w14:paraId="77757C79">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b/>
          <w:color w:val="auto"/>
          <w:szCs w:val="21"/>
        </w:rPr>
      </w:pPr>
      <w:r>
        <w:rPr>
          <w:rFonts w:hint="eastAsia" w:ascii="宋体" w:hAnsi="宋体"/>
          <w:color w:val="auto"/>
          <w:szCs w:val="21"/>
        </w:rPr>
        <w:t>（1）本项目为全流程电子化采购项目，通过广西政府采购云平台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rPr>
        <w:t>后缀名为“jm</w:t>
      </w:r>
      <w:r>
        <w:rPr>
          <w:color w:val="auto"/>
        </w:rPr>
        <w:t>bs</w:t>
      </w:r>
      <w:r>
        <w:rPr>
          <w:rFonts w:hint="eastAsia"/>
          <w:color w:val="auto"/>
        </w:rPr>
        <w:t>”的文件</w:t>
      </w:r>
      <w:r>
        <w:rPr>
          <w:rFonts w:hint="eastAsia" w:ascii="宋体" w:hAnsi="宋体"/>
          <w:color w:val="auto"/>
          <w:szCs w:val="21"/>
        </w:rPr>
        <w:t>），</w:t>
      </w:r>
      <w:r>
        <w:rPr>
          <w:rFonts w:hint="eastAsia" w:ascii="宋体" w:hAnsi="宋体"/>
          <w:b/>
          <w:color w:val="auto"/>
          <w:szCs w:val="21"/>
        </w:rPr>
        <w:t>供应商在广西政府采购云平台提交电子响应文件时，请填写参加远程采购活动经办人联系方式。</w:t>
      </w:r>
    </w:p>
    <w:p w14:paraId="033D6218">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rPr>
        <w:t>广西政府采购云平台，</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如在操作过程中遇到问题或者需要技术支持，请致电广西政府采购云客服热线：95763</w:t>
      </w:r>
      <w:r>
        <w:rPr>
          <w:rFonts w:hint="eastAsia" w:ascii="宋体" w:hAnsi="宋体"/>
          <w:color w:val="auto"/>
          <w:szCs w:val="21"/>
        </w:rPr>
        <w:t>）。</w:t>
      </w:r>
    </w:p>
    <w:p w14:paraId="4FFB5BBB">
      <w:pPr>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5556137A">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u w:val="single"/>
        </w:rPr>
      </w:pPr>
      <w:r>
        <w:rPr>
          <w:rFonts w:hint="eastAsia" w:ascii="宋体" w:hAnsi="宋体" w:cs="宋体"/>
          <w:color w:val="auto"/>
          <w:kern w:val="0"/>
          <w:szCs w:val="21"/>
        </w:rPr>
        <w:t>（4）供应商需要在具备有摄像头及语音功能且互联网网络状况良好的电脑登录广西政府采购云平台远程开标大厅参与本次磋商，否则后果自负。</w:t>
      </w:r>
    </w:p>
    <w:p w14:paraId="0148809E">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bCs/>
          <w:color w:val="auto"/>
          <w:szCs w:val="21"/>
        </w:rPr>
      </w:pPr>
      <w:r>
        <w:rPr>
          <w:rFonts w:hint="eastAsia" w:ascii="宋体" w:hAnsi="宋体"/>
          <w:bCs/>
          <w:color w:val="auto"/>
          <w:szCs w:val="21"/>
        </w:rPr>
        <w:t xml:space="preserve"> </w:t>
      </w:r>
      <w:r>
        <w:rPr>
          <w:rFonts w:hint="eastAsia" w:ascii="宋体" w:hAnsi="宋体"/>
          <w:bCs/>
          <w:color w:val="auto"/>
          <w:szCs w:val="21"/>
          <w:lang w:val="en-US" w:eastAsia="zh-CN"/>
        </w:rPr>
        <w:t>6</w:t>
      </w:r>
      <w:r>
        <w:rPr>
          <w:rFonts w:ascii="宋体" w:hAnsi="宋体"/>
          <w:bCs/>
          <w:color w:val="auto"/>
          <w:szCs w:val="21"/>
        </w:rPr>
        <w:t>.</w:t>
      </w:r>
      <w:r>
        <w:rPr>
          <w:rFonts w:hint="eastAsia" w:ascii="宋体" w:hAnsi="宋体"/>
          <w:bCs/>
          <w:color w:val="auto"/>
          <w:szCs w:val="21"/>
        </w:rPr>
        <w:t>监督部门：防城港市财政局</w:t>
      </w:r>
      <w:r>
        <w:rPr>
          <w:rFonts w:hint="eastAsia" w:ascii="宋体" w:hAnsi="宋体"/>
          <w:bCs/>
          <w:color w:val="auto"/>
          <w:szCs w:val="21"/>
          <w:lang w:eastAsia="zh-CN"/>
        </w:rPr>
        <w:t>，</w:t>
      </w:r>
      <w:r>
        <w:rPr>
          <w:rFonts w:hint="eastAsia" w:ascii="宋体" w:hAnsi="宋体"/>
          <w:bCs/>
          <w:color w:val="auto"/>
          <w:szCs w:val="21"/>
        </w:rPr>
        <w:t>电话：0770-61023</w:t>
      </w:r>
      <w:r>
        <w:rPr>
          <w:rFonts w:hint="eastAsia" w:ascii="宋体" w:hAnsi="宋体"/>
          <w:bCs/>
          <w:color w:val="auto"/>
          <w:szCs w:val="21"/>
          <w:lang w:val="en-US" w:eastAsia="zh-CN"/>
        </w:rPr>
        <w:t>23</w:t>
      </w:r>
      <w:r>
        <w:rPr>
          <w:rFonts w:hint="eastAsia" w:ascii="宋体" w:hAnsi="宋体"/>
          <w:bCs/>
          <w:color w:val="auto"/>
          <w:szCs w:val="21"/>
        </w:rPr>
        <w:t xml:space="preserve">  </w:t>
      </w:r>
    </w:p>
    <w:p w14:paraId="41FDB0A5">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p>
    <w:p w14:paraId="44DAD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cs="宋体"/>
          <w:color w:val="auto"/>
          <w:sz w:val="21"/>
          <w:szCs w:val="21"/>
        </w:rPr>
      </w:pPr>
      <w:bookmarkStart w:id="5" w:name="_Toc20608"/>
      <w:bookmarkStart w:id="6" w:name="_Toc86"/>
      <w:r>
        <w:rPr>
          <w:rFonts w:hint="eastAsia" w:ascii="宋体" w:hAnsi="宋体" w:cs="宋体"/>
          <w:color w:val="auto"/>
          <w:sz w:val="21"/>
          <w:szCs w:val="21"/>
        </w:rPr>
        <w:t>1.采购人信息</w:t>
      </w:r>
      <w:bookmarkEnd w:id="5"/>
      <w:bookmarkEnd w:id="6"/>
    </w:p>
    <w:p w14:paraId="6AB196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名称：</w:t>
      </w:r>
      <w:r>
        <w:rPr>
          <w:rFonts w:hint="eastAsia" w:ascii="宋体" w:hAnsi="宋体" w:cs="宋体"/>
          <w:color w:val="auto"/>
          <w:sz w:val="21"/>
          <w:szCs w:val="21"/>
          <w:lang w:val="zh-CN"/>
        </w:rPr>
        <w:t>防城港市第一人民医院</w:t>
      </w:r>
    </w:p>
    <w:p w14:paraId="14D37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rPr>
        <w:t>地址：</w:t>
      </w:r>
      <w:r>
        <w:rPr>
          <w:rFonts w:hint="eastAsia" w:ascii="宋体" w:hAnsi="宋体" w:cs="宋体"/>
          <w:color w:val="auto"/>
          <w:sz w:val="21"/>
          <w:szCs w:val="21"/>
          <w:lang w:eastAsia="zh-CN"/>
        </w:rPr>
        <w:t>防城港市防城区文昌大道52号</w:t>
      </w:r>
    </w:p>
    <w:p w14:paraId="6250A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rPr>
        <w:t>联系方式：</w:t>
      </w:r>
      <w:r>
        <w:rPr>
          <w:rFonts w:hint="eastAsia" w:ascii="宋体" w:hAnsi="宋体" w:cs="宋体"/>
          <w:color w:val="auto"/>
          <w:sz w:val="21"/>
          <w:szCs w:val="21"/>
          <w:lang w:val="en-US" w:eastAsia="zh-CN"/>
        </w:rPr>
        <w:t>吴宇洋</w:t>
      </w:r>
      <w:r>
        <w:rPr>
          <w:rFonts w:hint="eastAsia" w:ascii="宋体" w:hAnsi="宋体" w:cs="宋体"/>
          <w:color w:val="auto"/>
          <w:sz w:val="21"/>
          <w:szCs w:val="21"/>
          <w:lang w:eastAsia="zh-CN"/>
        </w:rPr>
        <w:t xml:space="preserve">  0770-3099098</w:t>
      </w:r>
    </w:p>
    <w:p w14:paraId="54AAA6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rPr>
      </w:pPr>
      <w:bookmarkStart w:id="7" w:name="_Toc12308"/>
      <w:bookmarkStart w:id="8" w:name="_Toc22512"/>
      <w:r>
        <w:rPr>
          <w:rFonts w:hint="eastAsia" w:ascii="宋体" w:hAnsi="宋体" w:eastAsia="宋体" w:cs="宋体"/>
          <w:color w:val="auto"/>
          <w:sz w:val="21"/>
          <w:szCs w:val="21"/>
        </w:rPr>
        <w:t>2.采购代理机构信息</w:t>
      </w:r>
      <w:bookmarkEnd w:id="7"/>
      <w:bookmarkEnd w:id="8"/>
    </w:p>
    <w:p w14:paraId="4C151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val="en-US" w:eastAsia="zh-CN"/>
        </w:rPr>
        <w:t>广西政投项目咨询有限公司</w:t>
      </w:r>
    </w:p>
    <w:p w14:paraId="1BD27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　　址：防城港市港口区马正开路72号国贸中心广场写字楼一16层1608号办公室</w:t>
      </w:r>
    </w:p>
    <w:p w14:paraId="17B98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val="en-US" w:eastAsia="zh-CN"/>
        </w:rPr>
        <w:t>0771-5891216</w:t>
      </w:r>
    </w:p>
    <w:p w14:paraId="0CEBF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rPr>
      </w:pPr>
      <w:bookmarkStart w:id="9" w:name="_Toc17335"/>
      <w:bookmarkStart w:id="10" w:name="_Toc35393808"/>
      <w:bookmarkStart w:id="11" w:name="_Toc35393639"/>
      <w:bookmarkStart w:id="12" w:name="_Toc28359021"/>
      <w:bookmarkStart w:id="13" w:name="_Toc1870"/>
      <w:bookmarkStart w:id="14" w:name="_Toc28359098"/>
      <w:r>
        <w:rPr>
          <w:rFonts w:hint="eastAsia" w:ascii="宋体" w:hAnsi="宋体" w:eastAsia="宋体" w:cs="宋体"/>
          <w:color w:val="auto"/>
          <w:sz w:val="21"/>
          <w:szCs w:val="21"/>
        </w:rPr>
        <w:t>3.项目联系方式</w:t>
      </w:r>
      <w:bookmarkEnd w:id="9"/>
      <w:bookmarkEnd w:id="10"/>
      <w:bookmarkEnd w:id="11"/>
      <w:bookmarkEnd w:id="12"/>
      <w:bookmarkEnd w:id="13"/>
      <w:bookmarkEnd w:id="14"/>
    </w:p>
    <w:p w14:paraId="00DDC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val="en-US" w:eastAsia="zh-CN"/>
        </w:rPr>
        <w:t>玉积</w:t>
      </w:r>
    </w:p>
    <w:p w14:paraId="2EF9B5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u w:val="single"/>
        </w:rPr>
      </w:pPr>
      <w:r>
        <w:rPr>
          <w:rFonts w:hint="eastAsia" w:ascii="宋体" w:hAnsi="宋体" w:eastAsia="宋体" w:cs="宋体"/>
          <w:color w:val="auto"/>
          <w:sz w:val="21"/>
          <w:szCs w:val="21"/>
        </w:rPr>
        <w:t>电　　话：</w:t>
      </w:r>
      <w:r>
        <w:rPr>
          <w:rFonts w:hint="eastAsia" w:ascii="宋体" w:hAnsi="宋体" w:eastAsia="宋体" w:cs="宋体"/>
          <w:color w:val="auto"/>
          <w:sz w:val="21"/>
          <w:szCs w:val="21"/>
          <w:lang w:val="en-US" w:eastAsia="zh-CN"/>
        </w:rPr>
        <w:t>0771-5891216</w:t>
      </w:r>
    </w:p>
    <w:p w14:paraId="144457CB">
      <w:pPr>
        <w:pageBreakBefore w:val="0"/>
        <w:kinsoku/>
        <w:overflowPunct/>
        <w:topLinePunct w:val="0"/>
        <w:autoSpaceDE/>
        <w:autoSpaceDN/>
        <w:bidi w:val="0"/>
        <w:adjustRightInd/>
        <w:spacing w:line="360" w:lineRule="auto"/>
        <w:textAlignment w:val="auto"/>
        <w:rPr>
          <w:rFonts w:hint="eastAsia" w:ascii="宋体" w:hAnsi="宋体" w:cs="宋体"/>
          <w:color w:val="auto"/>
          <w:szCs w:val="21"/>
        </w:rPr>
      </w:pPr>
    </w:p>
    <w:p w14:paraId="21213AB6">
      <w:pPr>
        <w:pageBreakBefore w:val="0"/>
        <w:kinsoku/>
        <w:overflowPunct/>
        <w:topLinePunct w:val="0"/>
        <w:autoSpaceDE/>
        <w:autoSpaceDN/>
        <w:bidi w:val="0"/>
        <w:adjustRightInd/>
        <w:spacing w:line="360" w:lineRule="auto"/>
        <w:textAlignment w:val="auto"/>
        <w:rPr>
          <w:rFonts w:hint="eastAsia" w:ascii="宋体" w:hAnsi="宋体"/>
          <w:color w:val="auto"/>
          <w:sz w:val="32"/>
          <w:szCs w:val="32"/>
        </w:rPr>
      </w:pPr>
    </w:p>
    <w:p w14:paraId="5197705F">
      <w:pPr>
        <w:keepNext w:val="0"/>
        <w:keepLines w:val="0"/>
        <w:pageBreakBefore w:val="0"/>
        <w:widowControl/>
        <w:shd w:val="clear" w:color="auto" w:fill="FFFFFF"/>
        <w:kinsoku/>
        <w:overflowPunct/>
        <w:topLinePunct w:val="0"/>
        <w:autoSpaceDE/>
        <w:autoSpaceDN/>
        <w:bidi w:val="0"/>
        <w:adjustRightInd/>
        <w:snapToGrid/>
        <w:spacing w:line="480" w:lineRule="auto"/>
        <w:ind w:firstLine="420"/>
        <w:jc w:val="center"/>
        <w:textAlignment w:val="auto"/>
        <w:rPr>
          <w:rFonts w:hint="eastAsia" w:ascii="微软雅黑" w:hAnsi="微软雅黑" w:cs="宋体"/>
          <w:color w:val="auto"/>
          <w:kern w:val="0"/>
          <w:sz w:val="16"/>
          <w:szCs w:val="16"/>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采购人：防城港市第一人民医院</w:t>
      </w:r>
    </w:p>
    <w:p w14:paraId="30FF6298">
      <w:pPr>
        <w:keepNext w:val="0"/>
        <w:keepLines w:val="0"/>
        <w:pageBreakBefore w:val="0"/>
        <w:widowControl/>
        <w:shd w:val="clear" w:color="auto" w:fill="FFFFFF"/>
        <w:kinsoku/>
        <w:overflowPunct/>
        <w:topLinePunct w:val="0"/>
        <w:autoSpaceDE/>
        <w:autoSpaceDN/>
        <w:bidi w:val="0"/>
        <w:adjustRightInd/>
        <w:snapToGrid/>
        <w:spacing w:line="480" w:lineRule="auto"/>
        <w:ind w:firstLine="420"/>
        <w:jc w:val="right"/>
        <w:textAlignment w:val="auto"/>
        <w:rPr>
          <w:rFonts w:hint="eastAsia" w:ascii="微软雅黑" w:hAnsi="微软雅黑" w:cs="宋体"/>
          <w:color w:val="auto"/>
          <w:kern w:val="0"/>
          <w:sz w:val="16"/>
          <w:szCs w:val="16"/>
        </w:rPr>
      </w:pPr>
      <w:r>
        <w:rPr>
          <w:rFonts w:hint="eastAsia" w:ascii="宋体" w:hAnsi="宋体" w:cs="宋体"/>
          <w:color w:val="auto"/>
          <w:kern w:val="0"/>
          <w:szCs w:val="21"/>
        </w:rPr>
        <w:t>采购代理机构：</w:t>
      </w:r>
      <w:r>
        <w:rPr>
          <w:rFonts w:hint="eastAsia" w:ascii="宋体" w:hAnsi="宋体" w:eastAsia="宋体" w:cs="宋体"/>
          <w:color w:val="auto"/>
          <w:sz w:val="21"/>
          <w:szCs w:val="21"/>
          <w:lang w:val="en-US" w:eastAsia="zh-CN"/>
        </w:rPr>
        <w:t>广西政投项目咨询有限公司</w:t>
      </w:r>
    </w:p>
    <w:p w14:paraId="5CB1720A">
      <w:pPr>
        <w:keepNext w:val="0"/>
        <w:keepLines w:val="0"/>
        <w:pageBreakBefore w:val="0"/>
        <w:widowControl/>
        <w:shd w:val="clear" w:color="auto" w:fill="FFFFFF"/>
        <w:kinsoku/>
        <w:wordWrap w:val="0"/>
        <w:overflowPunct/>
        <w:topLinePunct w:val="0"/>
        <w:autoSpaceDE/>
        <w:autoSpaceDN/>
        <w:bidi w:val="0"/>
        <w:adjustRightInd/>
        <w:snapToGrid/>
        <w:spacing w:line="480" w:lineRule="auto"/>
        <w:ind w:firstLine="420"/>
        <w:jc w:val="center"/>
        <w:textAlignment w:val="auto"/>
        <w:rPr>
          <w:rFonts w:hint="eastAsia" w:ascii="微软雅黑" w:hAnsi="微软雅黑" w:eastAsia="微软雅黑" w:cs="宋体"/>
          <w:color w:val="auto"/>
          <w:kern w:val="0"/>
          <w:sz w:val="16"/>
          <w:szCs w:val="16"/>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4</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p>
    <w:p w14:paraId="2F6F91FF">
      <w:pPr>
        <w:pageBreakBefore w:val="0"/>
        <w:kinsoku/>
        <w:overflowPunct/>
        <w:topLinePunct w:val="0"/>
        <w:autoSpaceDE/>
        <w:autoSpaceDN/>
        <w:bidi w:val="0"/>
        <w:adjustRightInd/>
        <w:spacing w:line="360" w:lineRule="auto"/>
        <w:textAlignment w:val="auto"/>
        <w:rPr>
          <w:color w:val="auto"/>
        </w:rPr>
      </w:pPr>
    </w:p>
    <w:p w14:paraId="097CE937">
      <w:pPr>
        <w:pStyle w:val="2"/>
        <w:keepNext/>
        <w:keepLines/>
        <w:pageBreakBefore w:val="0"/>
        <w:widowControl w:val="0"/>
        <w:kinsoku/>
        <w:wordWrap/>
        <w:overflowPunct/>
        <w:topLinePunct w:val="0"/>
        <w:autoSpaceDE/>
        <w:autoSpaceDN/>
        <w:bidi w:val="0"/>
        <w:adjustRightInd/>
        <w:snapToGrid/>
        <w:spacing w:after="200" w:line="240" w:lineRule="auto"/>
        <w:jc w:val="center"/>
        <w:textAlignment w:val="auto"/>
        <w:rPr>
          <w:rFonts w:hint="eastAsia"/>
          <w:color w:val="auto"/>
        </w:rPr>
      </w:pPr>
      <w:r>
        <w:rPr>
          <w:rFonts w:hint="eastAsia"/>
          <w:color w:val="auto"/>
        </w:rPr>
        <w:br w:type="page"/>
      </w:r>
      <w:bookmarkStart w:id="15" w:name="_Toc274"/>
      <w:r>
        <w:rPr>
          <w:rFonts w:hint="eastAsia"/>
          <w:color w:val="auto"/>
        </w:rPr>
        <w:t>第二章 供应商须知</w:t>
      </w:r>
      <w:bookmarkEnd w:id="15"/>
    </w:p>
    <w:p w14:paraId="04E6E8D0">
      <w:pPr>
        <w:spacing w:line="400" w:lineRule="exact"/>
        <w:jc w:val="center"/>
        <w:rPr>
          <w:rFonts w:hint="eastAsia" w:ascii="宋体" w:hAnsi="宋体"/>
          <w:b/>
          <w:color w:val="auto"/>
          <w:sz w:val="32"/>
          <w:szCs w:val="32"/>
        </w:rPr>
      </w:pPr>
      <w:r>
        <w:rPr>
          <w:rFonts w:hint="eastAsia" w:ascii="宋体" w:hAnsi="宋体"/>
          <w:b/>
          <w:color w:val="auto"/>
          <w:sz w:val="32"/>
          <w:szCs w:val="32"/>
        </w:rPr>
        <w:t>供应商须知前附表</w:t>
      </w:r>
    </w:p>
    <w:p w14:paraId="49D3653C">
      <w:pPr>
        <w:spacing w:line="400" w:lineRule="exact"/>
        <w:jc w:val="center"/>
        <w:rPr>
          <w:rFonts w:hint="eastAsia" w:ascii="宋体" w:hAnsi="宋体"/>
          <w:b/>
          <w:color w:val="auto"/>
          <w:sz w:val="32"/>
          <w:szCs w:val="32"/>
        </w:rPr>
      </w:pPr>
    </w:p>
    <w:tbl>
      <w:tblPr>
        <w:tblStyle w:val="21"/>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40"/>
      </w:tblGrid>
      <w:tr w14:paraId="09A1F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noWrap w:val="0"/>
            <w:vAlign w:val="top"/>
          </w:tcPr>
          <w:p w14:paraId="70F24EFC">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8640" w:type="dxa"/>
            <w:noWrap w:val="0"/>
            <w:vAlign w:val="top"/>
          </w:tcPr>
          <w:p w14:paraId="7B6D43D5">
            <w:pPr>
              <w:spacing w:line="360" w:lineRule="auto"/>
              <w:jc w:val="center"/>
              <w:rPr>
                <w:rFonts w:hint="eastAsia" w:ascii="宋体" w:hAnsi="宋体" w:cs="宋体"/>
                <w:b/>
                <w:color w:val="auto"/>
                <w:szCs w:val="21"/>
              </w:rPr>
            </w:pPr>
            <w:r>
              <w:rPr>
                <w:rFonts w:hint="eastAsia" w:ascii="宋体" w:hAnsi="宋体" w:cs="宋体"/>
                <w:b/>
                <w:color w:val="auto"/>
                <w:szCs w:val="21"/>
              </w:rPr>
              <w:t>内    容</w:t>
            </w:r>
          </w:p>
        </w:tc>
      </w:tr>
      <w:tr w14:paraId="5445D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A76FCA3">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8640" w:type="dxa"/>
            <w:noWrap w:val="0"/>
            <w:vAlign w:val="center"/>
          </w:tcPr>
          <w:p w14:paraId="5E695912">
            <w:pPr>
              <w:spacing w:line="360" w:lineRule="auto"/>
              <w:rPr>
                <w:rFonts w:hint="eastAsia"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p>
          <w:p w14:paraId="60002929">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7EA1F99A">
            <w:pPr>
              <w:spacing w:line="360" w:lineRule="auto"/>
              <w:rPr>
                <w:rFonts w:hint="eastAsia"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FED96F">
            <w:pPr>
              <w:spacing w:line="360" w:lineRule="auto"/>
              <w:rPr>
                <w:rFonts w:hint="eastAsia"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C126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5F8A2AD">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8640" w:type="dxa"/>
            <w:noWrap w:val="0"/>
            <w:vAlign w:val="center"/>
          </w:tcPr>
          <w:p w14:paraId="663163A0">
            <w:pPr>
              <w:spacing w:line="360" w:lineRule="auto"/>
              <w:rPr>
                <w:rFonts w:hint="eastAsia" w:ascii="宋体" w:hAnsi="宋体" w:cs="宋体"/>
                <w:color w:val="auto"/>
                <w:szCs w:val="21"/>
              </w:rPr>
            </w:pPr>
            <w:r>
              <w:rPr>
                <w:rFonts w:hint="eastAsia" w:ascii="宋体" w:hAnsi="宋体" w:cs="宋体"/>
                <w:color w:val="auto"/>
                <w:szCs w:val="21"/>
              </w:rPr>
              <w:t>是否接受联合体竞标： 详见竞争性磋商公告</w:t>
            </w:r>
          </w:p>
        </w:tc>
      </w:tr>
      <w:tr w14:paraId="4F02D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A909506">
            <w:pPr>
              <w:spacing w:line="360" w:lineRule="auto"/>
              <w:jc w:val="center"/>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8640" w:type="dxa"/>
            <w:noWrap w:val="0"/>
            <w:vAlign w:val="center"/>
          </w:tcPr>
          <w:p w14:paraId="3EDADE2F">
            <w:pPr>
              <w:spacing w:line="360" w:lineRule="auto"/>
              <w:rPr>
                <w:rFonts w:hint="eastAsia" w:ascii="宋体" w:hAnsi="宋体"/>
                <w:color w:val="auto"/>
                <w:szCs w:val="21"/>
              </w:rPr>
            </w:pPr>
            <w:r>
              <w:rPr>
                <w:rFonts w:hint="eastAsia" w:ascii="宋体" w:hAnsi="宋体"/>
                <w:color w:val="auto"/>
                <w:szCs w:val="21"/>
              </w:rPr>
              <w:t>本项目不接受联合体。</w:t>
            </w:r>
          </w:p>
        </w:tc>
      </w:tr>
      <w:tr w14:paraId="36D7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CA92BCA">
            <w:pPr>
              <w:spacing w:line="360" w:lineRule="auto"/>
              <w:jc w:val="center"/>
              <w:rPr>
                <w:rFonts w:hint="eastAsia" w:ascii="宋体" w:hAnsi="宋体" w:cs="宋体"/>
                <w:color w:val="auto"/>
                <w:szCs w:val="21"/>
              </w:rPr>
            </w:pPr>
            <w:r>
              <w:rPr>
                <w:rFonts w:hint="eastAsia" w:ascii="宋体" w:hAnsi="宋体" w:cs="宋体"/>
                <w:color w:val="auto"/>
                <w:szCs w:val="21"/>
              </w:rPr>
              <w:t>6.2</w:t>
            </w:r>
          </w:p>
        </w:tc>
        <w:tc>
          <w:tcPr>
            <w:tcW w:w="8640" w:type="dxa"/>
            <w:noWrap w:val="0"/>
            <w:vAlign w:val="center"/>
          </w:tcPr>
          <w:p w14:paraId="11D47236">
            <w:pPr>
              <w:pStyle w:val="8"/>
              <w:spacing w:line="360" w:lineRule="auto"/>
              <w:rPr>
                <w:rFonts w:hint="eastAsia" w:ascii="宋体" w:hAnsi="宋体"/>
                <w:color w:val="auto"/>
                <w:szCs w:val="21"/>
              </w:rPr>
            </w:pPr>
            <w:r>
              <w:rPr>
                <w:rFonts w:hint="eastAsia" w:ascii="宋体" w:hAnsi="宋体"/>
                <w:color w:val="auto"/>
                <w:szCs w:val="21"/>
              </w:rPr>
              <w:t>不允许分包</w:t>
            </w:r>
          </w:p>
        </w:tc>
      </w:tr>
      <w:tr w14:paraId="6DFAB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92" w:type="dxa"/>
            <w:noWrap w:val="0"/>
            <w:vAlign w:val="center"/>
          </w:tcPr>
          <w:p w14:paraId="1E7CC308">
            <w:pPr>
              <w:spacing w:line="360" w:lineRule="auto"/>
              <w:jc w:val="center"/>
              <w:rPr>
                <w:rFonts w:hint="eastAsia"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8640" w:type="dxa"/>
            <w:noWrap w:val="0"/>
            <w:vAlign w:val="center"/>
          </w:tcPr>
          <w:p w14:paraId="40280B80">
            <w:pPr>
              <w:snapToGrid w:val="0"/>
              <w:spacing w:line="360" w:lineRule="auto"/>
              <w:jc w:val="left"/>
              <w:rPr>
                <w:rFonts w:hint="eastAsia" w:ascii="宋体" w:hAnsi="宋体" w:cs="宋体"/>
                <w:b/>
                <w:color w:val="auto"/>
                <w:szCs w:val="21"/>
              </w:rPr>
            </w:pPr>
            <w:r>
              <w:rPr>
                <w:rFonts w:hint="eastAsia" w:ascii="宋体" w:hAnsi="宋体" w:cs="宋体"/>
                <w:b/>
                <w:color w:val="auto"/>
                <w:szCs w:val="21"/>
              </w:rPr>
              <w:t>资格证明文件</w:t>
            </w:r>
          </w:p>
          <w:p w14:paraId="6F54D1DB">
            <w:pPr>
              <w:pStyle w:val="8"/>
              <w:spacing w:line="360" w:lineRule="auto"/>
              <w:rPr>
                <w:rFonts w:hint="eastAsia" w:ascii="宋体" w:hAnsi="宋体"/>
                <w:color w:val="auto"/>
                <w:szCs w:val="21"/>
              </w:rPr>
            </w:pPr>
            <w:r>
              <w:rPr>
                <w:rFonts w:hint="eastAsia" w:ascii="宋体" w:hAnsi="宋体" w:cs="宋体"/>
                <w:color w:val="auto"/>
                <w:szCs w:val="21"/>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81B42C7">
            <w:pPr>
              <w:snapToGrid w:val="0"/>
              <w:spacing w:line="360" w:lineRule="auto"/>
              <w:jc w:val="left"/>
              <w:rPr>
                <w:rFonts w:hint="eastAsia" w:ascii="宋体" w:hAnsi="宋体" w:cs="宋体"/>
                <w:color w:val="auto"/>
                <w:szCs w:val="21"/>
              </w:rPr>
            </w:pPr>
            <w:r>
              <w:rPr>
                <w:rFonts w:hint="eastAsia" w:ascii="宋体" w:hAnsi="宋体" w:cs="宋体"/>
                <w:color w:val="auto"/>
                <w:szCs w:val="21"/>
              </w:rPr>
              <w:t>2. 供应商根据防财监〔2023〕58 号文要求提供的《防城港市政府采购供应商信用承诺函》（格式附后）；（</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0DD1FB1">
            <w:pPr>
              <w:snapToGrid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3.供应商具备公安部门颁发的有效的保安服务许可证复印件；</w:t>
            </w:r>
            <w:r>
              <w:rPr>
                <w:rFonts w:hint="eastAsia" w:ascii="宋体" w:hAnsi="宋体" w:cs="宋体"/>
                <w:b/>
                <w:bCs/>
                <w:color w:val="auto"/>
                <w:szCs w:val="21"/>
                <w:lang w:val="en-US" w:eastAsia="zh-CN"/>
              </w:rPr>
              <w:t>（必须提供，否则响应文件按无效处理）</w:t>
            </w:r>
          </w:p>
          <w:p w14:paraId="58704B8E">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470142">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0AD38B4">
            <w:pPr>
              <w:snapToGrid w:val="0"/>
              <w:spacing w:line="360" w:lineRule="auto"/>
              <w:jc w:val="left"/>
              <w:rPr>
                <w:rFonts w:hint="eastAsia" w:ascii="宋体" w:hAnsi="宋体"/>
                <w:color w:val="auto"/>
                <w:szCs w:val="21"/>
                <w:lang w:val="en-US" w:eastAsia="zh-CN"/>
              </w:rPr>
            </w:pPr>
            <w:r>
              <w:rPr>
                <w:rFonts w:hint="eastAsia" w:ascii="宋体" w:hAnsi="宋体"/>
                <w:color w:val="auto"/>
                <w:szCs w:val="21"/>
                <w:lang w:val="en-US" w:eastAsia="zh-CN"/>
              </w:rPr>
              <w:t>6.中小企业声明函或残疾人福利性单位声明函或属于监狱企业的证明文件（格式后附）；</w:t>
            </w:r>
            <w:r>
              <w:rPr>
                <w:rFonts w:hint="eastAsia" w:ascii="宋体" w:hAnsi="宋体"/>
                <w:b/>
                <w:bCs/>
                <w:color w:val="auto"/>
                <w:szCs w:val="21"/>
                <w:lang w:val="en-US" w:eastAsia="zh-CN"/>
              </w:rPr>
              <w:t>（必须提供，否则响应文件按无效响应处理）</w:t>
            </w:r>
          </w:p>
          <w:p w14:paraId="1403E995">
            <w:pPr>
              <w:snapToGrid w:val="0"/>
              <w:spacing w:line="360" w:lineRule="auto"/>
              <w:jc w:val="left"/>
              <w:rPr>
                <w:rFonts w:hint="eastAsia" w:ascii="宋体" w:hAnsi="宋体" w:cs="宋体"/>
                <w:color w:val="auto"/>
                <w:szCs w:val="21"/>
              </w:rPr>
            </w:pPr>
            <w:r>
              <w:rPr>
                <w:rFonts w:hint="eastAsia" w:ascii="宋体" w:hAnsi="宋体"/>
                <w:color w:val="auto"/>
                <w:szCs w:val="21"/>
                <w:lang w:val="en-US" w:eastAsia="zh-CN"/>
              </w:rPr>
              <w:t>7.除磋商文件规定必须提供以外，供应商认为需要提供的其他证明材料。（如有，请提供）</w:t>
            </w:r>
            <w:r>
              <w:rPr>
                <w:rFonts w:hint="eastAsia" w:ascii="宋体" w:hAnsi="宋体" w:cs="宋体"/>
                <w:color w:val="auto"/>
                <w:szCs w:val="21"/>
              </w:rPr>
              <w:t>；</w:t>
            </w:r>
          </w:p>
          <w:p w14:paraId="64987B91">
            <w:pPr>
              <w:snapToGrid w:val="0"/>
              <w:spacing w:line="360" w:lineRule="auto"/>
              <w:jc w:val="left"/>
              <w:rPr>
                <w:rFonts w:hint="eastAsia" w:ascii="宋体" w:hAnsi="宋体" w:cs="宋体"/>
                <w:b/>
                <w:color w:val="auto"/>
                <w:szCs w:val="21"/>
              </w:rPr>
            </w:pPr>
            <w:r>
              <w:rPr>
                <w:rFonts w:hint="eastAsia" w:ascii="宋体" w:hAnsi="宋体" w:cs="宋体"/>
                <w:b/>
                <w:color w:val="auto"/>
                <w:szCs w:val="21"/>
              </w:rPr>
              <w:t>注：1.以上标明“必须提供”的材料属于复印件的，必须加盖供应商</w:t>
            </w:r>
            <w:r>
              <w:rPr>
                <w:rFonts w:hint="eastAsia"/>
                <w:b/>
                <w:color w:val="auto"/>
              </w:rPr>
              <w:t>电子签章</w:t>
            </w:r>
            <w:r>
              <w:rPr>
                <w:rFonts w:hint="eastAsia" w:ascii="宋体" w:hAnsi="宋体" w:cs="宋体"/>
                <w:b/>
                <w:color w:val="auto"/>
                <w:szCs w:val="21"/>
              </w:rPr>
              <w:t>，否则响应文件按无效处理。</w:t>
            </w:r>
          </w:p>
        </w:tc>
      </w:tr>
      <w:tr w14:paraId="2364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5AA21EE">
            <w:pPr>
              <w:spacing w:line="360" w:lineRule="auto"/>
              <w:jc w:val="center"/>
              <w:rPr>
                <w:rFonts w:ascii="宋体" w:hAnsi="宋体" w:cs="宋体"/>
                <w:color w:val="auto"/>
                <w:szCs w:val="21"/>
              </w:rPr>
            </w:pPr>
            <w:r>
              <w:rPr>
                <w:rFonts w:hint="eastAsia" w:ascii="宋体" w:hAnsi="宋体" w:cs="宋体"/>
                <w:color w:val="auto"/>
                <w:szCs w:val="21"/>
              </w:rPr>
              <w:t>12.1.2</w:t>
            </w:r>
          </w:p>
        </w:tc>
        <w:tc>
          <w:tcPr>
            <w:tcW w:w="8640" w:type="dxa"/>
            <w:noWrap w:val="0"/>
            <w:vAlign w:val="center"/>
          </w:tcPr>
          <w:p w14:paraId="5251250A">
            <w:pPr>
              <w:spacing w:line="360" w:lineRule="auto"/>
              <w:rPr>
                <w:rFonts w:ascii="宋体" w:hAnsi="宋体" w:cs="宋体"/>
                <w:b/>
                <w:bCs/>
                <w:color w:val="auto"/>
                <w:szCs w:val="21"/>
              </w:rPr>
            </w:pPr>
            <w:r>
              <w:rPr>
                <w:rFonts w:hint="eastAsia" w:ascii="宋体" w:hAnsi="宋体" w:cs="宋体"/>
                <w:b/>
                <w:bCs/>
                <w:color w:val="auto"/>
                <w:szCs w:val="21"/>
              </w:rPr>
              <w:t>报价文件</w:t>
            </w:r>
          </w:p>
          <w:p w14:paraId="6BE3F3F3">
            <w:pPr>
              <w:spacing w:line="360" w:lineRule="auto"/>
              <w:rPr>
                <w:rFonts w:hint="eastAsia" w:ascii="宋体" w:hAnsi="宋体" w:cs="宋体"/>
                <w:color w:val="auto"/>
                <w:szCs w:val="21"/>
              </w:rPr>
            </w:pPr>
            <w:r>
              <w:rPr>
                <w:rFonts w:hint="eastAsia" w:ascii="宋体" w:hAnsi="宋体" w:cs="宋体"/>
                <w:color w:val="auto"/>
                <w:szCs w:val="21"/>
              </w:rPr>
              <w:t>1.竞标报价表（格式后附）；（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11D30A6E">
            <w:pPr>
              <w:snapToGrid w:val="0"/>
              <w:spacing w:line="360" w:lineRule="auto"/>
              <w:jc w:val="left"/>
              <w:rPr>
                <w:rFonts w:hint="eastAsia" w:ascii="宋体" w:hAnsi="宋体" w:cs="宋体"/>
                <w:color w:val="auto"/>
                <w:szCs w:val="21"/>
              </w:rPr>
            </w:pPr>
            <w:r>
              <w:rPr>
                <w:rFonts w:hint="eastAsia" w:ascii="宋体" w:hAnsi="宋体" w:cs="宋体"/>
                <w:color w:val="auto"/>
                <w:szCs w:val="21"/>
              </w:rPr>
              <w:t>2.供应商认为需要提供的其他有关资料。</w:t>
            </w:r>
          </w:p>
          <w:p w14:paraId="432AE740">
            <w:pPr>
              <w:pStyle w:val="10"/>
              <w:rPr>
                <w:color w:val="auto"/>
              </w:rPr>
            </w:pPr>
            <w:r>
              <w:rPr>
                <w:rFonts w:hint="eastAsia" w:ascii="宋体" w:hAnsi="宋体" w:cs="宋体"/>
                <w:b/>
                <w:color w:val="auto"/>
                <w:szCs w:val="21"/>
              </w:rPr>
              <w:t>注：以上标明“必须提供”的材料属于复印件的，必须加盖供应商</w:t>
            </w:r>
            <w:r>
              <w:rPr>
                <w:rFonts w:hint="eastAsia" w:ascii="宋体" w:hAnsi="宋体"/>
                <w:b/>
                <w:bCs/>
                <w:color w:val="auto"/>
                <w:szCs w:val="21"/>
              </w:rPr>
              <w:t>电子签章</w:t>
            </w:r>
            <w:r>
              <w:rPr>
                <w:rFonts w:hint="eastAsia" w:ascii="宋体" w:hAnsi="宋体" w:cs="宋体"/>
                <w:b/>
                <w:color w:val="auto"/>
                <w:szCs w:val="21"/>
              </w:rPr>
              <w:t>，否则响应文件按无效响应处理。</w:t>
            </w:r>
          </w:p>
        </w:tc>
      </w:tr>
      <w:tr w14:paraId="2726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70AE9FD">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8640" w:type="dxa"/>
            <w:noWrap w:val="0"/>
            <w:vAlign w:val="center"/>
          </w:tcPr>
          <w:p w14:paraId="1EAC9007">
            <w:pPr>
              <w:spacing w:line="360" w:lineRule="auto"/>
              <w:rPr>
                <w:rFonts w:hint="eastAsia" w:ascii="宋体" w:hAnsi="宋体" w:cs="宋体"/>
                <w:b/>
                <w:bCs/>
                <w:color w:val="auto"/>
                <w:szCs w:val="21"/>
              </w:rPr>
            </w:pPr>
            <w:r>
              <w:rPr>
                <w:rFonts w:hint="eastAsia" w:ascii="宋体" w:hAnsi="宋体" w:cs="宋体"/>
                <w:b/>
                <w:bCs/>
                <w:color w:val="auto"/>
                <w:szCs w:val="21"/>
              </w:rPr>
              <w:t>商务技术文件</w:t>
            </w:r>
          </w:p>
          <w:p w14:paraId="78E84456">
            <w:pPr>
              <w:spacing w:line="360" w:lineRule="auto"/>
              <w:rPr>
                <w:rFonts w:hint="eastAsia"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D0E695D">
            <w:pPr>
              <w:snapToGrid w:val="0"/>
              <w:spacing w:line="360" w:lineRule="auto"/>
              <w:jc w:val="left"/>
              <w:rPr>
                <w:rFonts w:hint="eastAsia" w:ascii="宋体" w:hAnsi="宋体" w:cs="宋体"/>
                <w:color w:val="auto"/>
                <w:szCs w:val="21"/>
              </w:rPr>
            </w:pPr>
            <w:r>
              <w:rPr>
                <w:rFonts w:hint="eastAsia" w:ascii="宋体" w:hAnsi="宋体" w:cs="宋体"/>
                <w:color w:val="auto"/>
                <w:szCs w:val="21"/>
              </w:rPr>
              <w:t>2.法定代表人/负责人身份证明书及法定代表人/负责人有效身份证正反面复印件（格式后附）；（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719F512">
            <w:pPr>
              <w:spacing w:line="360" w:lineRule="auto"/>
              <w:rPr>
                <w:rFonts w:hint="eastAsia" w:ascii="宋体" w:hAnsi="宋体" w:cs="宋体"/>
                <w:b/>
                <w:color w:val="auto"/>
                <w:szCs w:val="21"/>
              </w:rPr>
            </w:pPr>
            <w:r>
              <w:rPr>
                <w:rFonts w:hint="eastAsia" w:ascii="宋体" w:hAnsi="宋体" w:cs="宋体"/>
                <w:color w:val="auto"/>
                <w:szCs w:val="21"/>
              </w:rPr>
              <w:t>3.授权委托书及委托代理人有效身份证正反面复印件（格式后附）；（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65B20DBF">
            <w:pPr>
              <w:spacing w:line="360" w:lineRule="auto"/>
              <w:rPr>
                <w:rFonts w:hint="eastAsia" w:ascii="宋体" w:hAnsi="宋体" w:cs="宋体"/>
                <w:color w:val="auto"/>
                <w:szCs w:val="21"/>
              </w:rPr>
            </w:pPr>
            <w:r>
              <w:rPr>
                <w:rFonts w:hint="eastAsia" w:ascii="宋体" w:hAnsi="宋体" w:cs="宋体"/>
                <w:color w:val="auto"/>
                <w:szCs w:val="21"/>
              </w:rPr>
              <w:t>4.商务要求偏离表（格式后附）；（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76B191B">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.服务方案（格式自拟）；（</w:t>
            </w:r>
            <w:r>
              <w:rPr>
                <w:rFonts w:hint="eastAsia" w:ascii="宋体" w:hAnsi="宋体" w:cs="宋体"/>
                <w:b/>
                <w:bCs/>
                <w:color w:val="auto"/>
                <w:szCs w:val="21"/>
                <w:lang w:val="en-US" w:eastAsia="zh-CN"/>
              </w:rPr>
              <w:t>供应商根据评审方法自拟格式，</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3E061DB">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.技术要求偏离表（格式后附）；（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0D4C630">
            <w:pPr>
              <w:spacing w:line="360" w:lineRule="auto"/>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.项目实施人员一览表（格式自拟）； （如有，请提供）</w:t>
            </w:r>
          </w:p>
          <w:p w14:paraId="249B4C53">
            <w:pPr>
              <w:spacing w:line="360" w:lineRule="auto"/>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.对应采购需求的技术或服务要求、商务要求提供的其他文件资料（格式自拟）；（如有，请提供）</w:t>
            </w:r>
          </w:p>
          <w:p w14:paraId="0FBCA60A">
            <w:pPr>
              <w:spacing w:line="360" w:lineRule="auto"/>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.供应商认为需要提供的其他有关资料。（如有，请提供）</w:t>
            </w:r>
          </w:p>
          <w:p w14:paraId="20DB52F3">
            <w:pPr>
              <w:snapToGrid w:val="0"/>
              <w:spacing w:line="360" w:lineRule="auto"/>
              <w:jc w:val="left"/>
              <w:rPr>
                <w:rFonts w:hint="eastAsia" w:ascii="宋体" w:hAnsi="宋体" w:cs="宋体"/>
                <w:b/>
                <w:color w:val="auto"/>
                <w:szCs w:val="21"/>
              </w:rPr>
            </w:pPr>
            <w:r>
              <w:rPr>
                <w:rFonts w:hint="eastAsia" w:ascii="宋体" w:hAnsi="宋体" w:cs="宋体"/>
                <w:b/>
                <w:color w:val="auto"/>
                <w:szCs w:val="21"/>
              </w:rPr>
              <w:t>注：以上标明“必须提供”的材料属于复印件的，必须加盖供应商</w:t>
            </w:r>
            <w:r>
              <w:rPr>
                <w:rFonts w:hint="eastAsia" w:ascii="宋体" w:hAnsi="宋体"/>
                <w:b/>
                <w:bCs/>
                <w:color w:val="auto"/>
                <w:szCs w:val="21"/>
              </w:rPr>
              <w:t>电子签章</w:t>
            </w:r>
            <w:r>
              <w:rPr>
                <w:rFonts w:hint="eastAsia" w:ascii="宋体" w:hAnsi="宋体" w:cs="宋体"/>
                <w:b/>
                <w:color w:val="auto"/>
                <w:szCs w:val="21"/>
              </w:rPr>
              <w:t>，否则响应文件按无效响应处理。</w:t>
            </w:r>
          </w:p>
        </w:tc>
      </w:tr>
      <w:tr w14:paraId="16F3E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E2A557">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8640" w:type="dxa"/>
            <w:noWrap w:val="0"/>
            <w:vAlign w:val="center"/>
          </w:tcPr>
          <w:p w14:paraId="4C13D562">
            <w:pPr>
              <w:spacing w:line="360" w:lineRule="auto"/>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竞标报价是履行合同的最终价格，即满足全部采购需求所应提供的服务的价格；</w:t>
            </w:r>
          </w:p>
          <w:p w14:paraId="67634878">
            <w:pPr>
              <w:spacing w:line="360" w:lineRule="auto"/>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供应商应对所</w:t>
            </w:r>
            <w:r>
              <w:rPr>
                <w:rFonts w:hint="eastAsia" w:ascii="宋体" w:hAnsi="宋体" w:eastAsia="宋体" w:cs="Times New Roman"/>
                <w:color w:val="auto"/>
                <w:szCs w:val="21"/>
                <w:lang w:val="en-US" w:eastAsia="zh-CN"/>
              </w:rPr>
              <w:t>磋商</w:t>
            </w:r>
            <w:r>
              <w:rPr>
                <w:rFonts w:hint="eastAsia" w:ascii="宋体" w:hAnsi="宋体" w:eastAsia="宋体" w:cs="Times New Roman"/>
                <w:color w:val="auto"/>
                <w:szCs w:val="21"/>
              </w:rPr>
              <w:t>项目的全部内容进行报价，只竞标其中部分内容者，其响应文件将被拒绝。</w:t>
            </w:r>
          </w:p>
          <w:p w14:paraId="611F094A">
            <w:pPr>
              <w:spacing w:line="360" w:lineRule="auto"/>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竞标报价应包括项目所有服务人员的年度工资预算（员工工作时间应该遵守市每月最高工作时间的相关规定；工资不得低于甚至应该高于防城港市最低工资标准；所有工作人员必须交纳包括养老、工伤、失业、生育、医疗等在内的社会保险；法定节假日加班按照国家规定计算并支付的超时工资和加班工资等；夏季高温费等</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w:t>
            </w:r>
          </w:p>
          <w:p w14:paraId="47211A17">
            <w:pPr>
              <w:spacing w:line="360" w:lineRule="auto"/>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竞标报价应包含完成本项目采购发生的所有含税费用、支付给员工的工资和国家强制缴纳的各种社会保障资金，以及为完成本项目采购所有项目可能发生的费用，供应商必须提供各单项人员工资组成明细、配置工具、设备明细表，提供各项物耗明细表。报价还应考虑采购文件合同专用条款和其他要求条款中注明的相关内容可能产生的费用。</w:t>
            </w:r>
          </w:p>
          <w:p w14:paraId="137509E7">
            <w:pPr>
              <w:spacing w:line="360" w:lineRule="auto"/>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供应商应充分考虑所有可能影响到报价的价格及政策等风险因素，一旦成交，总价将包定，一律不予调整。</w:t>
            </w:r>
          </w:p>
          <w:p w14:paraId="6D7A5B16">
            <w:pPr>
              <w:spacing w:line="360" w:lineRule="auto"/>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供应商报价除包含采购文件中列明的项目外还应包括保障该项目服务正常运行应当具有的物资和服务，对项目服务正常运行应当具有的物资和服务理解不一致的以采购人理解为准。供应商的任何错漏、优惠、竞争性报价不得作为减轻责任、减少服务、增加收费、降低质量的理由。</w:t>
            </w:r>
          </w:p>
          <w:p w14:paraId="4A660D1E">
            <w:pPr>
              <w:spacing w:line="360" w:lineRule="auto"/>
              <w:contextualSpacing/>
              <w:jc w:val="left"/>
              <w:rPr>
                <w:rFonts w:hint="eastAsia" w:ascii="宋体" w:hAnsi="宋体" w:eastAsia="宋体" w:cs="宋体"/>
                <w:color w:val="auto"/>
                <w:szCs w:val="21"/>
                <w:lang w:eastAsia="zh-CN"/>
              </w:rPr>
            </w:pP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医院停车场管理由</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rPr>
              <w:t>供应商按照《防城港市第一人民医院停车场管理服务方案》进行自收自支，医院不负责收费岗位人员劳动报酬</w:t>
            </w:r>
            <w:r>
              <w:rPr>
                <w:rFonts w:hint="eastAsia" w:ascii="宋体" w:hAnsi="宋体" w:cs="Times New Roman"/>
                <w:color w:val="auto"/>
                <w:szCs w:val="21"/>
                <w:lang w:eastAsia="zh-CN"/>
              </w:rPr>
              <w:t>，</w:t>
            </w:r>
            <w:r>
              <w:rPr>
                <w:rFonts w:hint="eastAsia" w:ascii="宋体" w:hAnsi="宋体" w:cs="宋体"/>
                <w:color w:val="auto"/>
                <w:szCs w:val="21"/>
                <w:lang w:val="en-US" w:eastAsia="zh-CN"/>
              </w:rPr>
              <w:t>成交供应商须向采购人支付停车场管理费，管理费收取比例为停车场收入的5%。管理费在每个月进行财务结算后的5个工作日内支付至采购人指定账户。</w:t>
            </w:r>
            <w:r>
              <w:rPr>
                <w:rFonts w:hint="eastAsia" w:ascii="宋体" w:hAnsi="宋体" w:cs="宋体"/>
                <w:color w:val="auto"/>
                <w:szCs w:val="21"/>
                <w:highlight w:val="none"/>
                <w:lang w:eastAsia="zh-CN"/>
              </w:rPr>
              <w:t>供应商</w:t>
            </w:r>
            <w:r>
              <w:rPr>
                <w:rFonts w:hint="eastAsia" w:ascii="宋体" w:hAnsi="宋体" w:cs="宋体"/>
                <w:color w:val="auto"/>
                <w:szCs w:val="21"/>
              </w:rPr>
              <w:t>在承包期内应保护、维护院区停车收费系统和岗亭等设备设施，负责停车场的场地修缮、监控维护、路网隔离器材的更换。</w:t>
            </w:r>
          </w:p>
        </w:tc>
      </w:tr>
      <w:tr w14:paraId="5D88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2" w:type="dxa"/>
            <w:noWrap w:val="0"/>
            <w:vAlign w:val="center"/>
          </w:tcPr>
          <w:p w14:paraId="682823BB">
            <w:pPr>
              <w:spacing w:line="360" w:lineRule="auto"/>
              <w:jc w:val="center"/>
              <w:rPr>
                <w:rFonts w:hint="eastAsia"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8640" w:type="dxa"/>
            <w:noWrap w:val="0"/>
            <w:vAlign w:val="center"/>
          </w:tcPr>
          <w:p w14:paraId="2AA68A58">
            <w:pPr>
              <w:pStyle w:val="7"/>
              <w:widowControl w:val="0"/>
              <w:numPr>
                <w:ilvl w:val="0"/>
                <w:numId w:val="0"/>
              </w:numPr>
              <w:tabs>
                <w:tab w:val="left" w:pos="720"/>
                <w:tab w:val="left" w:pos="840"/>
                <w:tab w:val="clear" w:pos="360"/>
              </w:tabs>
              <w:snapToGrid w:val="0"/>
              <w:spacing w:afterLines="0" w:line="360" w:lineRule="auto"/>
              <w:ind w:leftChars="-135" w:firstLine="210" w:firstLineChars="100"/>
              <w:rPr>
                <w:rFonts w:hint="eastAsia"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hint="eastAsia" w:ascii="宋体" w:hAnsi="宋体" w:cs="宋体"/>
                <w:color w:val="auto"/>
                <w:kern w:val="2"/>
                <w:sz w:val="21"/>
                <w:szCs w:val="21"/>
                <w:u w:val="single"/>
              </w:rPr>
              <w:t>90</w:t>
            </w:r>
            <w:r>
              <w:rPr>
                <w:rFonts w:hint="eastAsia" w:ascii="宋体" w:hAnsi="宋体" w:cs="宋体"/>
                <w:color w:val="auto"/>
                <w:kern w:val="2"/>
                <w:sz w:val="21"/>
                <w:szCs w:val="21"/>
              </w:rPr>
              <w:t>日。</w:t>
            </w:r>
          </w:p>
        </w:tc>
      </w:tr>
      <w:tr w14:paraId="754F8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ECE26B0">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8640" w:type="dxa"/>
            <w:noWrap w:val="0"/>
            <w:vAlign w:val="center"/>
          </w:tcPr>
          <w:p w14:paraId="4281AE3E">
            <w:pPr>
              <w:autoSpaceDE w:val="0"/>
              <w:autoSpaceDN w:val="0"/>
              <w:snapToGrid w:val="0"/>
              <w:spacing w:line="360" w:lineRule="auto"/>
              <w:textAlignment w:val="bottom"/>
              <w:rPr>
                <w:rFonts w:hint="eastAsia" w:ascii="宋体" w:hAnsi="宋体"/>
                <w:color w:val="auto"/>
                <w:szCs w:val="21"/>
              </w:rPr>
            </w:pPr>
            <w:r>
              <w:rPr>
                <w:rFonts w:hint="eastAsia" w:ascii="Times New Roman" w:hAnsi="Times New Roman" w:eastAsia="宋体" w:cs="Times New Roman"/>
                <w:color w:val="auto"/>
              </w:rPr>
              <w:t>本项目不收取磋商保证金。</w:t>
            </w:r>
          </w:p>
        </w:tc>
      </w:tr>
      <w:tr w14:paraId="3F33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77B87B9">
            <w:pPr>
              <w:spacing w:line="360" w:lineRule="auto"/>
              <w:jc w:val="center"/>
              <w:rPr>
                <w:rFonts w:hint="eastAsia" w:ascii="宋体" w:hAnsi="宋体" w:cs="宋体"/>
                <w:color w:val="auto"/>
                <w:szCs w:val="21"/>
              </w:rPr>
            </w:pPr>
            <w:r>
              <w:rPr>
                <w:rFonts w:ascii="宋体" w:hAnsi="宋体" w:cs="宋体"/>
                <w:color w:val="auto"/>
                <w:szCs w:val="21"/>
              </w:rPr>
              <w:t>19</w:t>
            </w:r>
          </w:p>
        </w:tc>
        <w:tc>
          <w:tcPr>
            <w:tcW w:w="8640" w:type="dxa"/>
            <w:noWrap w:val="0"/>
            <w:vAlign w:val="center"/>
          </w:tcPr>
          <w:p w14:paraId="400F810E">
            <w:pPr>
              <w:autoSpaceDE w:val="0"/>
              <w:autoSpaceDN w:val="0"/>
              <w:adjustRightInd w:val="0"/>
              <w:spacing w:line="360" w:lineRule="auto"/>
              <w:textAlignment w:val="bottom"/>
              <w:rPr>
                <w:rFonts w:hint="eastAsia" w:ascii="宋体" w:hAnsi="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14:paraId="0CAB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600CEA7">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8640" w:type="dxa"/>
            <w:noWrap w:val="0"/>
            <w:vAlign w:val="center"/>
          </w:tcPr>
          <w:p w14:paraId="13C7DB5C">
            <w:pPr>
              <w:spacing w:line="360" w:lineRule="auto"/>
              <w:contextualSpacing/>
              <w:jc w:val="left"/>
              <w:rPr>
                <w:rFonts w:hint="eastAsia" w:ascii="宋体" w:hAnsi="宋体" w:cs="宋体"/>
                <w:color w:val="auto"/>
                <w:szCs w:val="21"/>
                <w:u w:val="single"/>
              </w:rPr>
            </w:pPr>
            <w:r>
              <w:rPr>
                <w:rFonts w:hint="eastAsia" w:ascii="宋体" w:hAnsi="宋体" w:cs="宋体"/>
                <w:color w:val="auto"/>
                <w:szCs w:val="21"/>
              </w:rPr>
              <w:t>响应文件提交截止时间：详见竞争性磋商公告。</w:t>
            </w:r>
          </w:p>
          <w:p w14:paraId="079E29BE">
            <w:pPr>
              <w:spacing w:line="360" w:lineRule="auto"/>
              <w:contextualSpacing/>
              <w:jc w:val="left"/>
              <w:rPr>
                <w:rFonts w:hint="eastAsia" w:ascii="宋体" w:hAnsi="宋体" w:cs="宋体"/>
                <w:color w:val="auto"/>
                <w:szCs w:val="21"/>
              </w:rPr>
            </w:pPr>
            <w:r>
              <w:rPr>
                <w:rFonts w:hint="eastAsia" w:ascii="宋体" w:hAnsi="宋体" w:cs="宋体"/>
                <w:color w:val="auto"/>
                <w:szCs w:val="21"/>
              </w:rPr>
              <w:t>响应文件提交地点：详见竞争性磋商公告。</w:t>
            </w:r>
          </w:p>
        </w:tc>
      </w:tr>
      <w:tr w14:paraId="326F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CF78A8C">
            <w:pPr>
              <w:spacing w:line="360" w:lineRule="auto"/>
              <w:jc w:val="center"/>
              <w:rPr>
                <w:rFonts w:hint="eastAsia" w:ascii="宋体" w:hAnsi="宋体" w:cs="宋体"/>
                <w:color w:val="auto"/>
                <w:szCs w:val="21"/>
              </w:rPr>
            </w:pPr>
            <w:r>
              <w:rPr>
                <w:rFonts w:hint="eastAsia" w:ascii="宋体" w:hAnsi="宋体" w:cs="宋体"/>
                <w:color w:val="auto"/>
                <w:szCs w:val="21"/>
              </w:rPr>
              <w:t>24.1</w:t>
            </w:r>
          </w:p>
        </w:tc>
        <w:tc>
          <w:tcPr>
            <w:tcW w:w="8640" w:type="dxa"/>
            <w:noWrap w:val="0"/>
            <w:vAlign w:val="center"/>
          </w:tcPr>
          <w:p w14:paraId="05707CF6">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3</w:t>
            </w:r>
            <w:r>
              <w:rPr>
                <w:rFonts w:hint="eastAsia" w:ascii="宋体" w:hAnsi="宋体" w:cs="宋体"/>
                <w:color w:val="auto"/>
                <w:szCs w:val="21"/>
              </w:rPr>
              <w:t>人。</w:t>
            </w:r>
          </w:p>
        </w:tc>
      </w:tr>
      <w:tr w14:paraId="6AB80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0B5EDA">
            <w:pPr>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8640" w:type="dxa"/>
            <w:noWrap w:val="0"/>
            <w:vAlign w:val="center"/>
          </w:tcPr>
          <w:p w14:paraId="51E92F1A">
            <w:pPr>
              <w:snapToGrid w:val="0"/>
              <w:spacing w:line="360" w:lineRule="auto"/>
              <w:jc w:val="left"/>
              <w:rPr>
                <w:rFonts w:hint="eastAsia" w:ascii="宋体" w:hAnsi="宋体" w:cs="宋体"/>
                <w:color w:val="auto"/>
                <w:szCs w:val="21"/>
              </w:rPr>
            </w:pPr>
            <w:r>
              <w:rPr>
                <w:rFonts w:hint="eastAsia" w:ascii="宋体" w:hAnsi="宋体" w:cs="宋体"/>
                <w:color w:val="auto"/>
                <w:szCs w:val="21"/>
              </w:rPr>
              <w:t>首次响应文件开启时间详见竞争性磋商公告</w:t>
            </w:r>
          </w:p>
          <w:p w14:paraId="1E74F6C3">
            <w:pPr>
              <w:snapToGrid w:val="0"/>
              <w:spacing w:line="360" w:lineRule="auto"/>
              <w:jc w:val="left"/>
              <w:rPr>
                <w:rFonts w:hint="eastAsia" w:ascii="宋体" w:hAnsi="宋体" w:cs="宋体"/>
                <w:color w:val="auto"/>
                <w:szCs w:val="21"/>
              </w:rPr>
            </w:pPr>
            <w:r>
              <w:rPr>
                <w:rFonts w:hint="eastAsia" w:ascii="宋体" w:hAnsi="宋体" w:cs="宋体"/>
                <w:color w:val="auto"/>
                <w:szCs w:val="21"/>
              </w:rPr>
              <w:t>首次响应文件解密时间：</w:t>
            </w:r>
            <w:r>
              <w:rPr>
                <w:rFonts w:hint="eastAsia" w:ascii="宋体" w:hAnsi="宋体" w:eastAsia="宋体" w:cs="宋体"/>
                <w:color w:val="auto"/>
                <w:u w:val="single"/>
              </w:rPr>
              <w:t>30</w:t>
            </w:r>
            <w:r>
              <w:rPr>
                <w:rFonts w:hint="eastAsia" w:ascii="宋体" w:hAnsi="宋体" w:eastAsia="宋体" w:cs="宋体"/>
                <w:color w:val="auto"/>
              </w:rPr>
              <w:t>分钟</w:t>
            </w:r>
          </w:p>
        </w:tc>
      </w:tr>
      <w:tr w14:paraId="6074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55E2C0C4">
            <w:pPr>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8640" w:type="dxa"/>
            <w:noWrap w:val="0"/>
            <w:vAlign w:val="center"/>
          </w:tcPr>
          <w:p w14:paraId="6DB2DB98">
            <w:pPr>
              <w:snapToGrid w:val="0"/>
              <w:spacing w:line="360" w:lineRule="auto"/>
              <w:rPr>
                <w:rFonts w:hint="eastAsia" w:ascii="宋体" w:hAnsi="宋体" w:cs="宋体"/>
                <w:color w:val="auto"/>
                <w:szCs w:val="21"/>
              </w:rPr>
            </w:pPr>
            <w:r>
              <w:rPr>
                <w:rFonts w:hint="eastAsia" w:ascii="宋体" w:hAnsi="宋体" w:cs="宋体"/>
                <w:color w:val="auto"/>
                <w:szCs w:val="21"/>
              </w:rPr>
              <w:t>商务要求评审中允许负偏离的条款数为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4D551630">
            <w:pPr>
              <w:snapToGrid w:val="0"/>
              <w:spacing w:line="360" w:lineRule="auto"/>
              <w:rPr>
                <w:rFonts w:hint="eastAsia" w:ascii="宋体" w:hAnsi="宋体" w:cs="宋体"/>
                <w:color w:val="auto"/>
                <w:szCs w:val="21"/>
              </w:rPr>
            </w:pPr>
            <w:r>
              <w:rPr>
                <w:rFonts w:hint="eastAsia" w:ascii="宋体" w:hAnsi="宋体" w:cs="宋体"/>
                <w:color w:val="auto"/>
                <w:szCs w:val="21"/>
              </w:rPr>
              <w:t>技术或服务要求评审中允许负偏离的条款数为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6436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08C88D69">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w:t>
            </w:r>
          </w:p>
        </w:tc>
        <w:tc>
          <w:tcPr>
            <w:tcW w:w="8640" w:type="dxa"/>
            <w:noWrap w:val="0"/>
            <w:vAlign w:val="center"/>
          </w:tcPr>
          <w:p w14:paraId="24AF372A">
            <w:pPr>
              <w:pageBreakBefore w:val="0"/>
              <w:widowControl w:val="0"/>
              <w:kinsoku/>
              <w:wordWrap/>
              <w:overflowPunct/>
              <w:topLinePunct w:val="0"/>
              <w:bidi w:val="0"/>
              <w:adjustRightInd/>
              <w:snapToGrid w:val="0"/>
              <w:spacing w:line="360" w:lineRule="auto"/>
              <w:rPr>
                <w:rFonts w:hint="eastAsia" w:ascii="宋体" w:hAnsi="宋体"/>
                <w:color w:val="auto"/>
                <w:szCs w:val="21"/>
              </w:rPr>
            </w:pPr>
            <w:r>
              <w:rPr>
                <w:rFonts w:hint="eastAsia" w:ascii="宋体" w:hAnsi="宋体"/>
                <w:color w:val="auto"/>
                <w:szCs w:val="21"/>
              </w:rPr>
              <w:t>本项目收取履约保证金，具体规定如下：</w:t>
            </w:r>
          </w:p>
          <w:p w14:paraId="423D7F02">
            <w:pPr>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成交金额的5%【根据《防城港市人民政府办公室关于印发防城港市保障中小企业款项支付工作方案的通知》（防政办发[2021]1号）文件精神，如成交供应商为小微企业的，免收履约保证金。根据《防城港市财政局关于进一步发挥政府采购政策功能促进企业发展的通知》（防财采〔2022〕12号）文件精神，如成交供应商为中型企业的，履约保证金金额为成交金额的2%】。</w:t>
            </w:r>
          </w:p>
          <w:p w14:paraId="4D8E4D96">
            <w:pPr>
              <w:snapToGrid w:val="0"/>
              <w:spacing w:line="360" w:lineRule="auto"/>
              <w:rPr>
                <w:rFonts w:hint="eastAsia" w:ascii="宋体" w:hAnsi="宋体" w:cs="宋体"/>
                <w:color w:val="auto"/>
                <w:szCs w:val="21"/>
              </w:rPr>
            </w:pPr>
            <w:r>
              <w:rPr>
                <w:rFonts w:hint="eastAsia" w:ascii="宋体" w:hAnsi="宋体" w:eastAsia="宋体" w:cs="宋体"/>
                <w:color w:val="auto"/>
                <w:sz w:val="21"/>
                <w:szCs w:val="21"/>
                <w:highlight w:val="none"/>
                <w:lang w:eastAsia="zh-CN"/>
              </w:rPr>
              <w:t>2.履约保证金递交方式：乙方在合同签订前以银行转账、支票、汇票、本票或者银行、保险机构出具的保函等非现金方式递交。</w:t>
            </w:r>
          </w:p>
        </w:tc>
      </w:tr>
      <w:tr w14:paraId="01DC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8BE21AD">
            <w:pPr>
              <w:spacing w:line="360" w:lineRule="auto"/>
              <w:jc w:val="center"/>
              <w:rPr>
                <w:rFonts w:hint="eastAsia" w:ascii="宋体" w:hAnsi="宋体" w:cs="宋体"/>
                <w:color w:val="auto"/>
                <w:szCs w:val="21"/>
              </w:rPr>
            </w:pPr>
            <w:r>
              <w:rPr>
                <w:rFonts w:ascii="宋体" w:hAnsi="宋体" w:cs="宋体"/>
                <w:color w:val="auto"/>
                <w:szCs w:val="21"/>
              </w:rPr>
              <w:t>29.1</w:t>
            </w:r>
          </w:p>
        </w:tc>
        <w:tc>
          <w:tcPr>
            <w:tcW w:w="8640" w:type="dxa"/>
            <w:noWrap w:val="0"/>
            <w:vAlign w:val="center"/>
          </w:tcPr>
          <w:p w14:paraId="3F9EF106">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 xml:space="preserve">签订合同携带的证明材料： </w:t>
            </w:r>
          </w:p>
          <w:p w14:paraId="3DBE300E">
            <w:pPr>
              <w:snapToGrid w:val="0"/>
              <w:spacing w:line="360" w:lineRule="auto"/>
              <w:rPr>
                <w:rFonts w:hint="eastAsia" w:ascii="宋体" w:hAnsi="宋体" w:cs="宋体"/>
                <w:color w:val="auto"/>
                <w:szCs w:val="21"/>
              </w:rPr>
            </w:pPr>
            <w:r>
              <w:rPr>
                <w:rFonts w:hint="eastAsia" w:ascii="宋体" w:hAnsi="宋体" w:cs="宋体"/>
                <w:color w:val="auto"/>
                <w:szCs w:val="21"/>
              </w:rPr>
              <w:t>使用的有效CA证书加盖单位电子公章</w:t>
            </w:r>
          </w:p>
        </w:tc>
      </w:tr>
      <w:tr w14:paraId="7B36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24B9CE7">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8640" w:type="dxa"/>
            <w:noWrap w:val="0"/>
            <w:vAlign w:val="center"/>
          </w:tcPr>
          <w:p w14:paraId="5ECB848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213E5B46">
            <w:pPr>
              <w:pStyle w:val="14"/>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lang w:eastAsia="zh-CN"/>
              </w:rPr>
              <w:t>广西政投项目咨询有限公司</w:t>
            </w:r>
            <w:r>
              <w:rPr>
                <w:rFonts w:hint="eastAsia" w:hAnsi="宋体" w:cs="宋体"/>
                <w:color w:val="auto"/>
                <w:kern w:val="2"/>
                <w:sz w:val="21"/>
                <w:highlight w:val="none"/>
              </w:rPr>
              <w:t>，联系电话：</w:t>
            </w:r>
            <w:r>
              <w:rPr>
                <w:rFonts w:hint="eastAsia" w:hAnsi="宋体" w:cs="宋体"/>
                <w:color w:val="auto"/>
                <w:kern w:val="2"/>
                <w:sz w:val="21"/>
                <w:highlight w:val="none"/>
                <w:lang w:val="en-US" w:eastAsia="zh-CN"/>
              </w:rPr>
              <w:t>0771-5891216</w:t>
            </w:r>
            <w:r>
              <w:rPr>
                <w:rFonts w:hint="eastAsia" w:hAnsi="宋体" w:cs="宋体"/>
                <w:color w:val="auto"/>
                <w:kern w:val="2"/>
                <w:sz w:val="21"/>
                <w:highlight w:val="none"/>
              </w:rPr>
              <w:t>，通讯地址：防城港市港口区马正开路72号国贸中心广场写字楼一16层1608号办公室。</w:t>
            </w:r>
          </w:p>
          <w:p w14:paraId="2D57EE4D">
            <w:pPr>
              <w:pStyle w:val="14"/>
              <w:snapToGrid w:val="0"/>
              <w:spacing w:line="360" w:lineRule="auto"/>
              <w:rPr>
                <w:rFonts w:hint="eastAsia" w:hAnsi="宋体"/>
                <w:color w:val="auto"/>
              </w:rPr>
            </w:pPr>
            <w:r>
              <w:rPr>
                <w:rFonts w:hint="eastAsia" w:hAnsi="宋体" w:cs="宋体"/>
                <w:color w:val="auto"/>
                <w:sz w:val="21"/>
                <w:highlight w:val="none"/>
              </w:rPr>
              <w:t>业务时间：工作日每天</w:t>
            </w:r>
            <w:r>
              <w:rPr>
                <w:rFonts w:hint="eastAsia" w:hAnsi="宋体" w:cs="宋体"/>
                <w:color w:val="auto"/>
                <w:sz w:val="21"/>
                <w:highlight w:val="none"/>
                <w:lang w:val="en-US" w:eastAsia="zh-CN"/>
              </w:rPr>
              <w:t>9</w:t>
            </w:r>
            <w:r>
              <w:rPr>
                <w:rFonts w:hint="eastAsia" w:hAnsi="宋体" w:cs="宋体"/>
                <w:color w:val="auto"/>
                <w:sz w:val="21"/>
                <w:highlight w:val="none"/>
              </w:rPr>
              <w:t>时00分到12时00分，</w:t>
            </w:r>
            <w:r>
              <w:rPr>
                <w:rFonts w:hint="eastAsia" w:hAnsi="宋体" w:cs="宋体"/>
                <w:color w:val="auto"/>
                <w:sz w:val="21"/>
                <w:highlight w:val="none"/>
                <w:lang w:val="en-US" w:eastAsia="zh-CN"/>
              </w:rPr>
              <w:t>15</w:t>
            </w:r>
            <w:r>
              <w:rPr>
                <w:rFonts w:hint="eastAsia" w:hAnsi="宋体" w:cs="宋体"/>
                <w:color w:val="auto"/>
                <w:sz w:val="21"/>
                <w:highlight w:val="none"/>
              </w:rPr>
              <w:t>时00分到</w:t>
            </w:r>
            <w:r>
              <w:rPr>
                <w:rFonts w:hint="eastAsia" w:hAnsi="宋体" w:cs="宋体"/>
                <w:color w:val="auto"/>
                <w:sz w:val="21"/>
                <w:highlight w:val="none"/>
                <w:lang w:val="en-US" w:eastAsia="zh-CN"/>
              </w:rPr>
              <w:t>18</w:t>
            </w:r>
            <w:r>
              <w:rPr>
                <w:rFonts w:hint="eastAsia" w:hAnsi="宋体" w:cs="宋体"/>
                <w:color w:val="auto"/>
                <w:sz w:val="21"/>
                <w:highlight w:val="none"/>
              </w:rPr>
              <w:t>时 00分。</w:t>
            </w:r>
          </w:p>
        </w:tc>
      </w:tr>
      <w:tr w14:paraId="103BA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DC0BB8E">
            <w:pPr>
              <w:spacing w:line="360" w:lineRule="auto"/>
              <w:jc w:val="center"/>
              <w:rPr>
                <w:rFonts w:hint="eastAsia" w:ascii="宋体" w:hAnsi="宋体" w:cs="宋体"/>
                <w:color w:val="auto"/>
                <w:szCs w:val="21"/>
              </w:rPr>
            </w:pPr>
            <w:r>
              <w:rPr>
                <w:rFonts w:ascii="宋体" w:hAnsi="宋体" w:cs="宋体"/>
                <w:color w:val="auto"/>
                <w:szCs w:val="21"/>
              </w:rPr>
              <w:t>32.1</w:t>
            </w:r>
          </w:p>
        </w:tc>
        <w:tc>
          <w:tcPr>
            <w:tcW w:w="8640" w:type="dxa"/>
            <w:noWrap w:val="0"/>
            <w:vAlign w:val="center"/>
          </w:tcPr>
          <w:p w14:paraId="4555DFB4">
            <w:pPr>
              <w:pStyle w:val="14"/>
              <w:keepNext w:val="0"/>
              <w:keepLines w:val="0"/>
              <w:pageBreakBefore w:val="0"/>
              <w:widowControl w:val="0"/>
              <w:kinsoku/>
              <w:wordWrap/>
              <w:overflowPunct/>
              <w:topLinePunct w:val="0"/>
              <w:bidi w:val="0"/>
              <w:adjustRightInd/>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领取成交通知书前，一次性向采购代理机构支付。</w:t>
            </w:r>
          </w:p>
          <w:p w14:paraId="0BCBAB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w:t>
            </w:r>
            <w:r>
              <w:rPr>
                <w:rFonts w:hint="eastAsia" w:hAnsi="宋体" w:cs="宋体"/>
                <w:color w:val="auto"/>
                <w:sz w:val="21"/>
                <w:highlight w:val="none"/>
                <w:lang w:val="en-US" w:eastAsia="zh-CN"/>
              </w:rPr>
              <w:t>购代理费收取标准：</w:t>
            </w:r>
            <w:r>
              <w:rPr>
                <w:rFonts w:hint="eastAsia" w:ascii="宋体" w:hAnsi="宋体" w:eastAsia="宋体" w:cs="宋体"/>
                <w:color w:val="auto"/>
                <w:sz w:val="21"/>
                <w:highlight w:val="none"/>
                <w:u w:val="single"/>
                <w:lang w:val="en-US" w:eastAsia="zh-CN"/>
              </w:rPr>
              <w:t>参照桂价费[2011]55号的收费标准</w:t>
            </w:r>
            <w:r>
              <w:rPr>
                <w:rFonts w:hint="eastAsia" w:ascii="宋体" w:hAnsi="宋体" w:cs="宋体"/>
                <w:color w:val="auto"/>
                <w:sz w:val="21"/>
                <w:highlight w:val="none"/>
                <w:u w:val="single"/>
                <w:lang w:val="en-US" w:eastAsia="zh-CN"/>
              </w:rPr>
              <w:t>“服务招标”</w:t>
            </w:r>
            <w:r>
              <w:rPr>
                <w:rFonts w:hint="eastAsia" w:ascii="宋体" w:hAnsi="宋体" w:eastAsia="宋体" w:cs="宋体"/>
                <w:color w:val="auto"/>
                <w:sz w:val="21"/>
                <w:highlight w:val="none"/>
                <w:u w:val="single"/>
                <w:lang w:val="en-US" w:eastAsia="zh-CN"/>
              </w:rPr>
              <w:t>计算，代理服务费低于5000元时允许按5000元收费；代理服务费高于5000元（含）按乙方最终下浮30 %报价收取服务费。</w:t>
            </w:r>
          </w:p>
          <w:tbl>
            <w:tblPr>
              <w:tblStyle w:val="21"/>
              <w:tblW w:w="6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450"/>
              <w:gridCol w:w="1318"/>
              <w:gridCol w:w="1185"/>
            </w:tblGrid>
            <w:tr w14:paraId="1B2D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505" w:type="dxa"/>
                  <w:tcBorders>
                    <w:tl2br w:val="single" w:color="auto" w:sz="4" w:space="0"/>
                  </w:tcBorders>
                </w:tcPr>
                <w:p w14:paraId="0FA481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               费率</w:t>
                  </w:r>
                </w:p>
                <w:p w14:paraId="05755E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成交金额</w:t>
                  </w:r>
                </w:p>
              </w:tc>
              <w:tc>
                <w:tcPr>
                  <w:tcW w:w="1450" w:type="dxa"/>
                  <w:vAlign w:val="center"/>
                </w:tcPr>
                <w:p w14:paraId="63157A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货物招标</w:t>
                  </w:r>
                </w:p>
              </w:tc>
              <w:tc>
                <w:tcPr>
                  <w:tcW w:w="1318" w:type="dxa"/>
                  <w:vAlign w:val="center"/>
                </w:tcPr>
                <w:p w14:paraId="077A91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服务招标</w:t>
                  </w:r>
                </w:p>
              </w:tc>
              <w:tc>
                <w:tcPr>
                  <w:tcW w:w="1185" w:type="dxa"/>
                  <w:vAlign w:val="center"/>
                </w:tcPr>
                <w:p w14:paraId="323BC3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工程招标</w:t>
                  </w:r>
                </w:p>
              </w:tc>
            </w:tr>
            <w:tr w14:paraId="15CA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505" w:type="dxa"/>
                </w:tcPr>
                <w:p w14:paraId="065D62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100万元以下</w:t>
                  </w:r>
                </w:p>
              </w:tc>
              <w:tc>
                <w:tcPr>
                  <w:tcW w:w="1450" w:type="dxa"/>
                </w:tcPr>
                <w:p w14:paraId="255D7F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1.5%</w:t>
                  </w:r>
                </w:p>
              </w:tc>
              <w:tc>
                <w:tcPr>
                  <w:tcW w:w="1318" w:type="dxa"/>
                </w:tcPr>
                <w:p w14:paraId="26D208A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1.5%</w:t>
                  </w:r>
                </w:p>
              </w:tc>
              <w:tc>
                <w:tcPr>
                  <w:tcW w:w="1185" w:type="dxa"/>
                </w:tcPr>
                <w:p w14:paraId="6B89D6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w:t>
                  </w:r>
                </w:p>
              </w:tc>
            </w:tr>
            <w:tr w14:paraId="1A22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505" w:type="dxa"/>
                </w:tcPr>
                <w:p w14:paraId="0E29AA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100～500万元</w:t>
                  </w:r>
                </w:p>
              </w:tc>
              <w:tc>
                <w:tcPr>
                  <w:tcW w:w="1450" w:type="dxa"/>
                </w:tcPr>
                <w:p w14:paraId="52C723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1.1%</w:t>
                  </w:r>
                </w:p>
              </w:tc>
              <w:tc>
                <w:tcPr>
                  <w:tcW w:w="1318" w:type="dxa"/>
                </w:tcPr>
                <w:p w14:paraId="513060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0.8%</w:t>
                  </w:r>
                </w:p>
              </w:tc>
              <w:tc>
                <w:tcPr>
                  <w:tcW w:w="1185" w:type="dxa"/>
                </w:tcPr>
                <w:p w14:paraId="55996F4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0.7%</w:t>
                  </w:r>
                </w:p>
              </w:tc>
            </w:tr>
            <w:tr w14:paraId="4FAB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505" w:type="dxa"/>
                </w:tcPr>
                <w:p w14:paraId="574AB9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500～1000万元</w:t>
                  </w:r>
                </w:p>
              </w:tc>
              <w:tc>
                <w:tcPr>
                  <w:tcW w:w="1450" w:type="dxa"/>
                </w:tcPr>
                <w:p w14:paraId="473FF8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0.8%</w:t>
                  </w:r>
                </w:p>
              </w:tc>
              <w:tc>
                <w:tcPr>
                  <w:tcW w:w="1318" w:type="dxa"/>
                </w:tcPr>
                <w:p w14:paraId="49DF348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0.45%</w:t>
                  </w:r>
                </w:p>
              </w:tc>
              <w:tc>
                <w:tcPr>
                  <w:tcW w:w="1185" w:type="dxa"/>
                </w:tcPr>
                <w:p w14:paraId="26C585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0.55%</w:t>
                  </w:r>
                </w:p>
              </w:tc>
            </w:tr>
            <w:tr w14:paraId="7DAA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05" w:type="dxa"/>
                </w:tcPr>
                <w:p w14:paraId="4BE3AC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1000～5000万元</w:t>
                  </w:r>
                </w:p>
              </w:tc>
              <w:tc>
                <w:tcPr>
                  <w:tcW w:w="1450" w:type="dxa"/>
                </w:tcPr>
                <w:p w14:paraId="790C21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0.5%</w:t>
                  </w:r>
                </w:p>
              </w:tc>
              <w:tc>
                <w:tcPr>
                  <w:tcW w:w="1318" w:type="dxa"/>
                </w:tcPr>
                <w:p w14:paraId="50FB6E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0.25%</w:t>
                  </w:r>
                </w:p>
              </w:tc>
              <w:tc>
                <w:tcPr>
                  <w:tcW w:w="1185" w:type="dxa"/>
                </w:tcPr>
                <w:p w14:paraId="3B7E68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0.35%</w:t>
                  </w:r>
                </w:p>
              </w:tc>
            </w:tr>
          </w:tbl>
          <w:p w14:paraId="5BA9C4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kern w:val="0"/>
                <w:sz w:val="21"/>
                <w:szCs w:val="21"/>
                <w:highlight w:val="none"/>
                <w:lang w:val="en-US" w:eastAsia="zh-CN" w:bidi="ar-SA"/>
              </w:rPr>
              <w:t>.账户名称：广西政投项目咨询有限公司</w:t>
            </w:r>
          </w:p>
          <w:p w14:paraId="1DB171D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开户银行：2102109009300404148</w:t>
            </w:r>
          </w:p>
          <w:p w14:paraId="41598179">
            <w:pPr>
              <w:pStyle w:val="14"/>
              <w:snapToGrid w:val="0"/>
              <w:spacing w:line="360" w:lineRule="auto"/>
              <w:ind w:firstLine="210" w:firstLineChars="100"/>
              <w:rPr>
                <w:rFonts w:hAnsi="宋体" w:cs="宋体"/>
                <w:color w:val="auto"/>
                <w:sz w:val="21"/>
              </w:rPr>
            </w:pPr>
            <w:r>
              <w:rPr>
                <w:rFonts w:hint="eastAsia" w:ascii="宋体" w:hAnsi="宋体" w:eastAsia="宋体" w:cs="宋体"/>
                <w:color w:val="auto"/>
                <w:kern w:val="0"/>
                <w:sz w:val="21"/>
                <w:szCs w:val="21"/>
                <w:highlight w:val="none"/>
                <w:lang w:val="en-US" w:eastAsia="zh-CN" w:bidi="ar-SA"/>
              </w:rPr>
              <w:t>银行账号：中国工商银行股份有限公司南宁市民族支行</w:t>
            </w:r>
          </w:p>
        </w:tc>
      </w:tr>
      <w:tr w14:paraId="4D94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A0F5D2">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r>
              <w:rPr>
                <w:rFonts w:ascii="宋体" w:hAnsi="宋体" w:cs="宋体"/>
                <w:color w:val="auto"/>
                <w:sz w:val="21"/>
                <w:szCs w:val="21"/>
              </w:rPr>
              <w:t>3.1</w:t>
            </w:r>
          </w:p>
        </w:tc>
        <w:tc>
          <w:tcPr>
            <w:tcW w:w="8640" w:type="dxa"/>
            <w:noWrap w:val="0"/>
            <w:vAlign w:val="center"/>
          </w:tcPr>
          <w:p w14:paraId="681248E9">
            <w:pPr>
              <w:pStyle w:val="14"/>
              <w:snapToGrid w:val="0"/>
              <w:spacing w:line="360" w:lineRule="auto"/>
              <w:rPr>
                <w:rFonts w:hint="eastAsia" w:hAnsi="宋体" w:cs="宋体"/>
                <w:color w:val="auto"/>
                <w:kern w:val="2"/>
                <w:sz w:val="21"/>
                <w:szCs w:val="21"/>
              </w:rPr>
            </w:pPr>
            <w:r>
              <w:rPr>
                <w:rFonts w:hint="eastAsia" w:hAnsi="宋体"/>
                <w:color w:val="auto"/>
                <w:sz w:val="21"/>
                <w:szCs w:val="21"/>
              </w:rPr>
              <w:t>解释：</w:t>
            </w:r>
            <w:r>
              <w:rPr>
                <w:rFonts w:hAnsi="宋体"/>
                <w:color w:val="auto"/>
                <w:sz w:val="21"/>
                <w:szCs w:val="21"/>
              </w:rPr>
              <w:t>构成本</w:t>
            </w:r>
            <w:r>
              <w:rPr>
                <w:rFonts w:hint="eastAsia" w:hAnsi="宋体"/>
                <w:color w:val="auto"/>
                <w:sz w:val="21"/>
                <w:szCs w:val="21"/>
              </w:rPr>
              <w:t>磋商文件</w:t>
            </w:r>
            <w:r>
              <w:rPr>
                <w:rFonts w:hAnsi="宋体"/>
                <w:color w:val="auto"/>
                <w:sz w:val="21"/>
                <w:szCs w:val="21"/>
              </w:rPr>
              <w:t>的各个组成文件应互为解释，互为说明；除</w:t>
            </w:r>
            <w:r>
              <w:rPr>
                <w:rFonts w:hint="eastAsia" w:hAnsi="宋体"/>
                <w:color w:val="auto"/>
                <w:sz w:val="21"/>
                <w:szCs w:val="21"/>
              </w:rPr>
              <w:t>磋商文件</w:t>
            </w:r>
            <w:r>
              <w:rPr>
                <w:rFonts w:hAnsi="宋体"/>
                <w:color w:val="auto"/>
                <w:sz w:val="21"/>
                <w:szCs w:val="21"/>
              </w:rPr>
              <w:t>中有特别规定外，仅适用于</w:t>
            </w:r>
            <w:r>
              <w:rPr>
                <w:rFonts w:hint="eastAsia" w:hAnsi="宋体"/>
                <w:color w:val="auto"/>
                <w:sz w:val="21"/>
                <w:szCs w:val="21"/>
              </w:rPr>
              <w:t>竞标</w:t>
            </w:r>
            <w:r>
              <w:rPr>
                <w:rFonts w:hAnsi="宋体"/>
                <w:color w:val="auto"/>
                <w:sz w:val="21"/>
                <w:szCs w:val="21"/>
              </w:rPr>
              <w:t>阶段的规定，按</w:t>
            </w:r>
            <w:r>
              <w:rPr>
                <w:rFonts w:hint="eastAsia" w:hAnsi="宋体"/>
                <w:color w:val="auto"/>
                <w:sz w:val="21"/>
                <w:szCs w:val="21"/>
              </w:rPr>
              <w:t>更正公告（澄清公告）</w:t>
            </w:r>
            <w:r>
              <w:rPr>
                <w:rFonts w:hAnsi="宋体"/>
                <w:color w:val="auto"/>
                <w:sz w:val="21"/>
                <w:szCs w:val="21"/>
              </w:rPr>
              <w:t>、</w:t>
            </w:r>
            <w:r>
              <w:rPr>
                <w:rFonts w:hint="eastAsia" w:hAnsi="宋体"/>
                <w:color w:val="auto"/>
                <w:sz w:val="21"/>
                <w:szCs w:val="21"/>
              </w:rPr>
              <w:t>竞争性磋商</w:t>
            </w:r>
            <w:r>
              <w:rPr>
                <w:rFonts w:hAnsi="宋体"/>
                <w:color w:val="auto"/>
                <w:sz w:val="21"/>
                <w:szCs w:val="21"/>
              </w:rPr>
              <w:t>公告、</w:t>
            </w:r>
            <w:r>
              <w:rPr>
                <w:rFonts w:hint="eastAsia" w:hAnsi="宋体"/>
                <w:color w:val="auto"/>
                <w:sz w:val="21"/>
                <w:szCs w:val="21"/>
              </w:rPr>
              <w:t>供应商</w:t>
            </w:r>
            <w:r>
              <w:rPr>
                <w:rFonts w:hAnsi="宋体"/>
                <w:color w:val="auto"/>
                <w:sz w:val="21"/>
                <w:szCs w:val="21"/>
              </w:rPr>
              <w:t>须知</w:t>
            </w:r>
            <w:r>
              <w:rPr>
                <w:rFonts w:hint="eastAsia" w:hAnsi="宋体"/>
                <w:color w:val="auto"/>
                <w:sz w:val="21"/>
                <w:szCs w:val="21"/>
              </w:rPr>
              <w:t>、采购需求</w:t>
            </w:r>
            <w:r>
              <w:rPr>
                <w:rFonts w:hAnsi="宋体"/>
                <w:color w:val="auto"/>
                <w:sz w:val="21"/>
                <w:szCs w:val="21"/>
              </w:rPr>
              <w:t>、</w:t>
            </w:r>
            <w:r>
              <w:rPr>
                <w:rFonts w:hint="eastAsia"/>
                <w:color w:val="auto"/>
                <w:sz w:val="21"/>
                <w:szCs w:val="21"/>
              </w:rPr>
              <w:t>评审程序、评审方法和评审标准</w:t>
            </w:r>
            <w:r>
              <w:rPr>
                <w:rFonts w:hAnsi="宋体"/>
                <w:color w:val="auto"/>
                <w:sz w:val="21"/>
                <w:szCs w:val="21"/>
              </w:rPr>
              <w:t>、</w:t>
            </w:r>
            <w:r>
              <w:rPr>
                <w:rFonts w:hint="eastAsia" w:hAnsi="宋体"/>
                <w:color w:val="auto"/>
                <w:sz w:val="21"/>
                <w:szCs w:val="21"/>
              </w:rPr>
              <w:t>响应</w:t>
            </w:r>
            <w:r>
              <w:rPr>
                <w:rFonts w:hAnsi="宋体"/>
                <w:color w:val="auto"/>
                <w:sz w:val="21"/>
                <w:szCs w:val="21"/>
              </w:rPr>
              <w:t>文件格式</w:t>
            </w:r>
            <w:r>
              <w:rPr>
                <w:rFonts w:hint="eastAsia" w:hAnsi="宋体"/>
                <w:color w:val="auto"/>
                <w:sz w:val="21"/>
                <w:szCs w:val="21"/>
              </w:rPr>
              <w:t>、合同文本</w:t>
            </w:r>
            <w:r>
              <w:rPr>
                <w:rFonts w:hAnsi="宋体"/>
                <w:color w:val="auto"/>
                <w:sz w:val="21"/>
                <w:szCs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szCs w:val="21"/>
              </w:rPr>
              <w:t>更正公告（澄清公告）</w:t>
            </w:r>
            <w:r>
              <w:rPr>
                <w:rFonts w:hAnsi="宋体"/>
                <w:color w:val="auto"/>
                <w:sz w:val="21"/>
                <w:szCs w:val="21"/>
              </w:rPr>
              <w:t>与同步更新的</w:t>
            </w:r>
            <w:r>
              <w:rPr>
                <w:rFonts w:hint="eastAsia" w:hAnsi="宋体"/>
                <w:color w:val="auto"/>
                <w:sz w:val="21"/>
                <w:szCs w:val="21"/>
              </w:rPr>
              <w:t>磋商文件</w:t>
            </w:r>
            <w:r>
              <w:rPr>
                <w:rFonts w:hAnsi="宋体"/>
                <w:color w:val="auto"/>
                <w:sz w:val="21"/>
                <w:szCs w:val="21"/>
              </w:rPr>
              <w:t>不一致时以</w:t>
            </w:r>
            <w:r>
              <w:rPr>
                <w:rFonts w:hint="eastAsia" w:hAnsi="宋体"/>
                <w:color w:val="auto"/>
                <w:sz w:val="21"/>
                <w:szCs w:val="21"/>
              </w:rPr>
              <w:t>更正公告（澄清公告）</w:t>
            </w:r>
            <w:r>
              <w:rPr>
                <w:rFonts w:hAnsi="宋体"/>
                <w:color w:val="auto"/>
                <w:sz w:val="21"/>
                <w:szCs w:val="21"/>
              </w:rPr>
              <w:t>为准。按本款前述规定仍不能形成结论的，由</w:t>
            </w:r>
            <w:r>
              <w:rPr>
                <w:rFonts w:hint="eastAsia" w:hAnsi="宋体"/>
                <w:color w:val="auto"/>
                <w:sz w:val="21"/>
                <w:szCs w:val="21"/>
              </w:rPr>
              <w:t>采购</w:t>
            </w:r>
            <w:r>
              <w:rPr>
                <w:rFonts w:hAnsi="宋体"/>
                <w:color w:val="auto"/>
                <w:sz w:val="21"/>
                <w:szCs w:val="21"/>
              </w:rPr>
              <w:t>人</w:t>
            </w:r>
            <w:r>
              <w:rPr>
                <w:rFonts w:hint="eastAsia" w:hAnsi="宋体"/>
                <w:color w:val="auto"/>
                <w:sz w:val="21"/>
                <w:szCs w:val="21"/>
              </w:rPr>
              <w:t>或者采购代理机构</w:t>
            </w:r>
            <w:r>
              <w:rPr>
                <w:rFonts w:hAnsi="宋体"/>
                <w:color w:val="auto"/>
                <w:sz w:val="21"/>
                <w:szCs w:val="21"/>
              </w:rPr>
              <w:t>负责解释。</w:t>
            </w:r>
          </w:p>
        </w:tc>
      </w:tr>
      <w:tr w14:paraId="182E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50FBACF">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r>
              <w:rPr>
                <w:rFonts w:ascii="宋体" w:hAnsi="宋体" w:cs="宋体"/>
                <w:color w:val="auto"/>
                <w:sz w:val="21"/>
                <w:szCs w:val="21"/>
              </w:rPr>
              <w:t>3.2</w:t>
            </w:r>
          </w:p>
        </w:tc>
        <w:tc>
          <w:tcPr>
            <w:tcW w:w="8640" w:type="dxa"/>
            <w:noWrap w:val="0"/>
            <w:vAlign w:val="center"/>
          </w:tcPr>
          <w:p w14:paraId="396F608A">
            <w:pPr>
              <w:pStyle w:val="14"/>
              <w:keepNext w:val="0"/>
              <w:keepLines w:val="0"/>
              <w:pageBreakBefore w:val="0"/>
              <w:widowControl w:val="0"/>
              <w:kinsoku/>
              <w:wordWrap/>
              <w:overflowPunct/>
              <w:topLinePunct w:val="0"/>
              <w:autoSpaceDE/>
              <w:autoSpaceDN/>
              <w:bidi w:val="0"/>
              <w:adjustRightInd/>
              <w:snapToGrid w:val="0"/>
              <w:spacing w:line="336" w:lineRule="auto"/>
              <w:textAlignment w:val="auto"/>
              <w:rPr>
                <w:rFonts w:hAnsi="宋体" w:cs="宋体"/>
                <w:color w:val="auto"/>
                <w:sz w:val="21"/>
                <w:szCs w:val="21"/>
              </w:rPr>
            </w:pPr>
            <w:r>
              <w:rPr>
                <w:rFonts w:hint="eastAsia" w:hAnsi="宋体" w:cs="宋体"/>
                <w:color w:val="auto"/>
                <w:sz w:val="21"/>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1E905C1">
            <w:pPr>
              <w:pStyle w:val="14"/>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hAnsi="宋体" w:cs="宋体"/>
                <w:color w:val="auto"/>
                <w:sz w:val="21"/>
                <w:szCs w:val="21"/>
              </w:rPr>
            </w:pPr>
            <w:r>
              <w:rPr>
                <w:rFonts w:hint="eastAsia" w:hAnsi="宋体" w:cs="宋体"/>
                <w:bCs/>
                <w:color w:val="auto"/>
                <w:sz w:val="21"/>
                <w:szCs w:val="21"/>
              </w:rPr>
              <w:t>2.本磋商文件所称的“</w:t>
            </w:r>
            <w:r>
              <w:rPr>
                <w:rFonts w:hint="eastAsia" w:hAnsi="宋体"/>
                <w:color w:val="auto"/>
                <w:sz w:val="21"/>
                <w:szCs w:val="21"/>
              </w:rPr>
              <w:t>电子签章</w:t>
            </w:r>
            <w:r>
              <w:rPr>
                <w:rFonts w:hint="eastAsia" w:hAnsi="宋体" w:cs="宋体"/>
                <w:bCs/>
                <w:color w:val="auto"/>
                <w:sz w:val="21"/>
                <w:szCs w:val="21"/>
              </w:rPr>
              <w:t>”、“电子签名”</w:t>
            </w:r>
            <w:r>
              <w:rPr>
                <w:rFonts w:hint="eastAsia" w:hAnsi="宋体"/>
                <w:color w:val="auto"/>
                <w:sz w:val="21"/>
                <w:szCs w:val="21"/>
              </w:rPr>
              <w:t>，是指经广西政府采购云平台认可的CA认证的电子签名数据为表现形式的印章，可用于签署电子响应文件，电子印章与实物印章具有同等法律效力，不因其采用电子化表现形式而否定其法律效力。</w:t>
            </w:r>
          </w:p>
          <w:p w14:paraId="532D5169">
            <w:pPr>
              <w:pStyle w:val="14"/>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hAnsi="宋体" w:cs="宋体"/>
                <w:bCs/>
                <w:color w:val="auto"/>
                <w:sz w:val="21"/>
                <w:szCs w:val="21"/>
              </w:rPr>
            </w:pPr>
            <w:r>
              <w:rPr>
                <w:rFonts w:hAnsi="宋体" w:cs="宋体"/>
                <w:color w:val="auto"/>
                <w:sz w:val="21"/>
                <w:szCs w:val="21"/>
              </w:rPr>
              <w:t>3</w:t>
            </w:r>
            <w:r>
              <w:rPr>
                <w:rFonts w:hint="eastAsia" w:hAnsi="宋体" w:cs="宋体"/>
                <w:color w:val="auto"/>
                <w:sz w:val="21"/>
                <w:szCs w:val="21"/>
              </w:rPr>
              <w:t>.供应商为其他组织或者自然人时，本磋商文件规定的法定代表人指负责人或者自然人。本磋商文件所称负责人是指参加竞标的其他组织</w:t>
            </w:r>
            <w:r>
              <w:rPr>
                <w:rFonts w:hint="eastAsia" w:hAnsi="宋体" w:cs="宋体"/>
                <w:bCs/>
                <w:color w:val="auto"/>
                <w:sz w:val="21"/>
                <w:szCs w:val="21"/>
              </w:rPr>
              <w:t>营业执照或者执业许可证等证照上的</w:t>
            </w:r>
            <w:r>
              <w:rPr>
                <w:rFonts w:hint="eastAsia" w:hAnsi="宋体" w:cs="宋体"/>
                <w:color w:val="auto"/>
                <w:sz w:val="21"/>
                <w:szCs w:val="21"/>
              </w:rPr>
              <w:t>负责人，本磋商文件所称自然人指参与竞标的自然人本人，</w:t>
            </w:r>
            <w:r>
              <w:rPr>
                <w:rFonts w:hint="eastAsia" w:hAnsi="宋体" w:cs="宋体"/>
                <w:bCs/>
                <w:color w:val="auto"/>
                <w:sz w:val="21"/>
                <w:szCs w:val="21"/>
              </w:rPr>
              <w:t>且应具备独立承担民事责任能力，自然人应当为年满18岁以上成年人（十六周岁以上的未成年人，以自己的劳动收入为主要生活来源的，视为完全民事行为能力人）。</w:t>
            </w:r>
          </w:p>
          <w:p w14:paraId="741C2D51">
            <w:pPr>
              <w:pStyle w:val="14"/>
              <w:keepNext w:val="0"/>
              <w:keepLines w:val="0"/>
              <w:pageBreakBefore w:val="0"/>
              <w:widowControl w:val="0"/>
              <w:kinsoku/>
              <w:wordWrap/>
              <w:overflowPunct/>
              <w:topLinePunct w:val="0"/>
              <w:autoSpaceDE/>
              <w:autoSpaceDN/>
              <w:bidi w:val="0"/>
              <w:adjustRightInd/>
              <w:snapToGrid w:val="0"/>
              <w:spacing w:line="336" w:lineRule="auto"/>
              <w:textAlignment w:val="auto"/>
              <w:rPr>
                <w:rFonts w:hAnsi="宋体" w:cs="宋体"/>
                <w:color w:val="auto"/>
                <w:sz w:val="21"/>
                <w:szCs w:val="21"/>
              </w:rPr>
            </w:pPr>
            <w:r>
              <w:rPr>
                <w:rFonts w:hAnsi="宋体" w:cs="宋体"/>
                <w:color w:val="auto"/>
                <w:sz w:val="21"/>
                <w:szCs w:val="21"/>
              </w:rPr>
              <w:t>4.</w:t>
            </w:r>
            <w:r>
              <w:rPr>
                <w:rFonts w:hint="eastAsia" w:hAnsi="宋体" w:cs="宋体"/>
                <w:color w:val="auto"/>
                <w:sz w:val="21"/>
                <w:szCs w:val="21"/>
              </w:rPr>
              <w:t>本磋商文件中描述供应商的“签字”是指供应商的法定代表人或者委托代理人亲自在文件规定签署处亲笔写上个人的名字的行为，私章、签字章、印鉴、影印等其他形式均不能代替亲笔签字。</w:t>
            </w:r>
          </w:p>
          <w:p w14:paraId="1B573A53">
            <w:pPr>
              <w:pStyle w:val="14"/>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hAnsi="宋体" w:cs="宋体"/>
                <w:color w:val="auto"/>
                <w:sz w:val="21"/>
                <w:szCs w:val="21"/>
              </w:rPr>
            </w:pPr>
            <w:r>
              <w:rPr>
                <w:rFonts w:hint="eastAsia" w:hAnsi="宋体" w:cs="宋体"/>
                <w:color w:val="auto"/>
                <w:sz w:val="21"/>
                <w:szCs w:val="21"/>
              </w:rPr>
              <w:t>5</w:t>
            </w:r>
            <w:r>
              <w:rPr>
                <w:rFonts w:hAnsi="宋体" w:cs="宋体"/>
                <w:color w:val="auto"/>
                <w:sz w:val="21"/>
                <w:szCs w:val="21"/>
              </w:rPr>
              <w:t>.</w:t>
            </w:r>
            <w:r>
              <w:rPr>
                <w:rFonts w:hint="eastAsia" w:hAnsi="宋体" w:cs="宋体"/>
                <w:color w:val="auto"/>
                <w:sz w:val="21"/>
                <w:szCs w:val="21"/>
              </w:rPr>
              <w:t>本磋商文件所称的“以上”“以下”“以内”“届满”，包括本数；所称的“不满”“超过”“以外”，不包括本数。</w:t>
            </w:r>
          </w:p>
        </w:tc>
      </w:tr>
    </w:tbl>
    <w:p w14:paraId="7914533D">
      <w:pPr>
        <w:spacing w:line="400" w:lineRule="exact"/>
        <w:jc w:val="center"/>
        <w:rPr>
          <w:rFonts w:hint="eastAsia" w:ascii="宋体" w:hAnsi="宋体"/>
          <w:b/>
          <w:color w:val="auto"/>
          <w:sz w:val="32"/>
          <w:szCs w:val="32"/>
        </w:rPr>
      </w:pPr>
      <w:r>
        <w:rPr>
          <w:rFonts w:ascii="宋体" w:hAnsi="宋体"/>
          <w:b/>
          <w:color w:val="auto"/>
          <w:sz w:val="21"/>
          <w:szCs w:val="21"/>
        </w:rPr>
        <w:br w:type="page"/>
      </w:r>
      <w:r>
        <w:rPr>
          <w:rFonts w:hint="eastAsia" w:ascii="宋体" w:hAnsi="宋体"/>
          <w:b/>
          <w:color w:val="auto"/>
          <w:sz w:val="32"/>
          <w:szCs w:val="32"/>
        </w:rPr>
        <w:t>供应商须知正文</w:t>
      </w:r>
    </w:p>
    <w:p w14:paraId="5FA723DA">
      <w:pPr>
        <w:spacing w:line="400" w:lineRule="exact"/>
        <w:jc w:val="center"/>
        <w:rPr>
          <w:rFonts w:hint="eastAsia" w:ascii="宋体" w:hAnsi="宋体"/>
          <w:b/>
          <w:color w:val="auto"/>
          <w:sz w:val="32"/>
          <w:szCs w:val="32"/>
        </w:rPr>
      </w:pPr>
    </w:p>
    <w:p w14:paraId="69D37251">
      <w:pPr>
        <w:spacing w:line="400" w:lineRule="exact"/>
        <w:jc w:val="center"/>
        <w:rPr>
          <w:rFonts w:hint="eastAsia" w:ascii="宋体" w:hAnsi="宋体"/>
          <w:b/>
          <w:color w:val="auto"/>
          <w:sz w:val="32"/>
          <w:szCs w:val="32"/>
        </w:rPr>
      </w:pPr>
      <w:r>
        <w:rPr>
          <w:rFonts w:hint="eastAsia" w:ascii="宋体" w:hAnsi="宋体"/>
          <w:b/>
          <w:color w:val="auto"/>
          <w:sz w:val="32"/>
          <w:szCs w:val="32"/>
        </w:rPr>
        <w:t>一、总则</w:t>
      </w:r>
    </w:p>
    <w:p w14:paraId="4CBE6BBF">
      <w:pPr>
        <w:spacing w:line="400" w:lineRule="exact"/>
        <w:rPr>
          <w:rFonts w:hint="eastAsia" w:ascii="宋体" w:hAnsi="宋体"/>
          <w:color w:val="auto"/>
          <w:szCs w:val="21"/>
        </w:rPr>
      </w:pPr>
    </w:p>
    <w:p w14:paraId="182E897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1.适用范围</w:t>
      </w:r>
    </w:p>
    <w:p w14:paraId="415FD2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42260D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11F0725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2.定义</w:t>
      </w:r>
    </w:p>
    <w:p w14:paraId="1BE0BB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2A15A04F">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5A29DE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2.3“供应商”是指向采购人提供货物、工程或者服务的法人/分公司负责人、其他组织或者自然人。</w:t>
      </w:r>
    </w:p>
    <w:p w14:paraId="73643F51">
      <w:pPr>
        <w:spacing w:line="360" w:lineRule="auto"/>
        <w:ind w:firstLine="420" w:firstLineChars="200"/>
        <w:rPr>
          <w:rFonts w:hint="eastAsia" w:ascii="宋体" w:hAnsi="宋体" w:cs="宋体"/>
          <w:color w:val="auto"/>
          <w:szCs w:val="21"/>
        </w:rPr>
      </w:pPr>
      <w:r>
        <w:rPr>
          <w:rFonts w:hint="eastAsia" w:ascii="宋体" w:hAnsi="宋体"/>
          <w:color w:val="auto"/>
          <w:szCs w:val="21"/>
        </w:rPr>
        <w:t>2.4“服务”是指除货物和工程以外的其他政府采购对象。</w:t>
      </w:r>
    </w:p>
    <w:p w14:paraId="3EE9BD6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“竞标”是指供应商按照本项目竞争性磋商公告规定的方式获取磋商文件、提交响应文件并希望获得标的的行为。</w:t>
      </w:r>
    </w:p>
    <w:p w14:paraId="4BC67E7C">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5FF0C052">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511C817B">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14:paraId="70979D97">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28CA4BBC">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5A771A03">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1A9F645F">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11DC276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15F95B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09E1AB1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4.竞标费用</w:t>
      </w:r>
    </w:p>
    <w:p w14:paraId="51EEAD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527E5AF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5.联合体竞标</w:t>
      </w:r>
    </w:p>
    <w:p w14:paraId="112991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00DA51E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 xml:space="preserve">6.转包与分包             </w:t>
      </w:r>
    </w:p>
    <w:p w14:paraId="63E26EF2">
      <w:pPr>
        <w:pStyle w:val="5"/>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6.1本项目不允许转包。</w:t>
      </w:r>
    </w:p>
    <w:p w14:paraId="524FED4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7.特别说明</w:t>
      </w:r>
    </w:p>
    <w:p w14:paraId="45D5B9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1</w:t>
      </w:r>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p w14:paraId="1A9978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12071D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AF546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715FFA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（1）参加采购活动前3年内与供应商存在劳动关系；</w:t>
      </w:r>
    </w:p>
    <w:p w14:paraId="2BF83E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（2）参加采购活动前3年内担任供应商的董事、监事；</w:t>
      </w:r>
    </w:p>
    <w:p w14:paraId="0827FF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（3）参加采购活动前3年内是供应商的控股股东或者实际控制人；</w:t>
      </w:r>
    </w:p>
    <w:p w14:paraId="597A7E2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31249E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（5）与供应商有其他可能影响政府采购活动公平、公正进行的关系。</w:t>
      </w:r>
    </w:p>
    <w:p w14:paraId="152CF3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E1BD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1D5D0C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5A065D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（2）不同供应商委托同一单位或者个人办理竞标事宜；</w:t>
      </w:r>
    </w:p>
    <w:p w14:paraId="7BEFC4C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（3）不同的供应商的响应文件载明的项目管理员为同一个人；</w:t>
      </w:r>
    </w:p>
    <w:p w14:paraId="63F029D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（4）不同供应商的响应文件异常一致或者报价呈规律性差异；</w:t>
      </w:r>
    </w:p>
    <w:p w14:paraId="736EF9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（5）不同供应商的响应文件相互混装；</w:t>
      </w:r>
      <w:r>
        <w:rPr>
          <w:rFonts w:ascii="宋体" w:hAnsi="宋体" w:cs="宋体"/>
          <w:color w:val="auto"/>
          <w:szCs w:val="21"/>
        </w:rPr>
        <w:tab/>
      </w:r>
    </w:p>
    <w:p w14:paraId="051105C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69A88B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0C0213B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52B517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0F858BD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73B0C09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437FFC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4C8FF5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7CEF6D5E">
      <w:pPr>
        <w:spacing w:line="360" w:lineRule="auto"/>
        <w:ind w:left="1" w:firstLine="417" w:firstLineChars="199"/>
        <w:jc w:val="center"/>
        <w:rPr>
          <w:rFonts w:hint="eastAsia" w:ascii="宋体" w:hAnsi="宋体"/>
          <w:color w:val="auto"/>
        </w:rPr>
      </w:pPr>
    </w:p>
    <w:p w14:paraId="72853AAF">
      <w:pPr>
        <w:spacing w:line="360" w:lineRule="auto"/>
        <w:jc w:val="center"/>
        <w:rPr>
          <w:rFonts w:hint="eastAsia" w:ascii="宋体" w:hAnsi="宋体"/>
          <w:color w:val="auto"/>
          <w:szCs w:val="21"/>
        </w:rPr>
      </w:pPr>
      <w:r>
        <w:rPr>
          <w:rFonts w:hint="eastAsia" w:ascii="宋体" w:hAnsi="宋体"/>
          <w:b/>
          <w:bCs/>
          <w:color w:val="auto"/>
          <w:sz w:val="32"/>
          <w:szCs w:val="32"/>
        </w:rPr>
        <w:t>二、磋商文件</w:t>
      </w:r>
    </w:p>
    <w:p w14:paraId="73DA49F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8.磋商文件的构成</w:t>
      </w:r>
    </w:p>
    <w:p w14:paraId="267E708C">
      <w:pPr>
        <w:spacing w:line="360" w:lineRule="auto"/>
        <w:ind w:firstLine="420" w:firstLineChars="200"/>
        <w:jc w:val="left"/>
        <w:rPr>
          <w:rFonts w:hint="eastAsia" w:ascii="宋体" w:hAnsi="宋体"/>
          <w:color w:val="auto"/>
          <w:szCs w:val="21"/>
        </w:rPr>
      </w:pPr>
      <w:r>
        <w:rPr>
          <w:rFonts w:hint="eastAsia" w:ascii="宋体" w:hAnsi="宋体"/>
          <w:color w:val="auto"/>
          <w:szCs w:val="21"/>
        </w:rPr>
        <w:t>（1）竞争性磋商公告；</w:t>
      </w:r>
    </w:p>
    <w:p w14:paraId="331DF092">
      <w:pPr>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（2）供应商须知； </w:t>
      </w:r>
    </w:p>
    <w:p w14:paraId="0F10B97F">
      <w:pPr>
        <w:spacing w:line="360" w:lineRule="auto"/>
        <w:ind w:firstLine="420" w:firstLineChars="200"/>
        <w:jc w:val="left"/>
        <w:rPr>
          <w:rFonts w:hint="eastAsia" w:ascii="宋体" w:hAnsi="宋体"/>
          <w:color w:val="auto"/>
          <w:szCs w:val="21"/>
        </w:rPr>
      </w:pPr>
      <w:r>
        <w:rPr>
          <w:rFonts w:hint="eastAsia" w:ascii="宋体" w:hAnsi="宋体"/>
          <w:color w:val="auto"/>
          <w:szCs w:val="21"/>
        </w:rPr>
        <w:t>（3）采购需求；</w:t>
      </w:r>
    </w:p>
    <w:p w14:paraId="2A51859A">
      <w:pPr>
        <w:spacing w:line="360" w:lineRule="auto"/>
        <w:ind w:firstLine="420" w:firstLineChars="200"/>
        <w:jc w:val="left"/>
        <w:rPr>
          <w:rFonts w:hint="eastAsia" w:ascii="宋体" w:hAnsi="宋体"/>
          <w:color w:val="auto"/>
          <w:szCs w:val="21"/>
        </w:rPr>
      </w:pPr>
      <w:r>
        <w:rPr>
          <w:rFonts w:hint="eastAsia" w:ascii="宋体" w:hAnsi="宋体"/>
          <w:color w:val="auto"/>
          <w:szCs w:val="21"/>
        </w:rPr>
        <w:t>（4）评审程序、评审方法和评审标准；</w:t>
      </w:r>
    </w:p>
    <w:p w14:paraId="6C539F0A">
      <w:pPr>
        <w:spacing w:line="360" w:lineRule="auto"/>
        <w:ind w:firstLine="420" w:firstLineChars="200"/>
        <w:jc w:val="left"/>
        <w:rPr>
          <w:rFonts w:hint="eastAsia" w:ascii="宋体" w:hAnsi="宋体"/>
          <w:color w:val="auto"/>
          <w:szCs w:val="21"/>
        </w:rPr>
      </w:pPr>
      <w:r>
        <w:rPr>
          <w:rFonts w:hint="eastAsia" w:ascii="宋体" w:hAnsi="宋体"/>
          <w:color w:val="auto"/>
          <w:szCs w:val="21"/>
        </w:rPr>
        <w:t>（5）响应文件格式；</w:t>
      </w:r>
    </w:p>
    <w:p w14:paraId="42819EAA">
      <w:pPr>
        <w:spacing w:line="360" w:lineRule="auto"/>
        <w:ind w:firstLine="420" w:firstLineChars="200"/>
        <w:jc w:val="left"/>
        <w:rPr>
          <w:rFonts w:hint="eastAsia" w:ascii="宋体" w:hAnsi="宋体"/>
          <w:color w:val="auto"/>
          <w:szCs w:val="21"/>
        </w:rPr>
      </w:pPr>
      <w:r>
        <w:rPr>
          <w:rFonts w:hint="eastAsia" w:ascii="宋体" w:hAnsi="宋体"/>
          <w:color w:val="auto"/>
          <w:szCs w:val="21"/>
        </w:rPr>
        <w:t>（6）合同文本。</w:t>
      </w:r>
    </w:p>
    <w:p w14:paraId="2E83CF7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9.供应商的询问</w:t>
      </w:r>
    </w:p>
    <w:p w14:paraId="01F690AD">
      <w:pPr>
        <w:spacing w:line="360" w:lineRule="auto"/>
        <w:ind w:firstLine="420" w:firstLineChars="200"/>
        <w:rPr>
          <w:rFonts w:hint="eastAsia"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供应商应认真阅读磋商文件的采购需求，如供应商对磋商文件有疑问的，如要求采购人作出澄清或者修改的，供应商应在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6D6A9B0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10.磋商文件的澄清和修改</w:t>
      </w:r>
    </w:p>
    <w:p w14:paraId="2E5B8D7F">
      <w:pPr>
        <w:spacing w:line="360" w:lineRule="auto"/>
        <w:ind w:firstLine="420" w:firstLineChars="200"/>
        <w:rPr>
          <w:rFonts w:hint="eastAsia" w:ascii="宋体" w:hAnsi="宋体"/>
          <w:color w:val="auto"/>
          <w:szCs w:val="21"/>
        </w:rPr>
      </w:pP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19BD807C">
      <w:pPr>
        <w:spacing w:line="360" w:lineRule="auto"/>
        <w:rPr>
          <w:rFonts w:hint="eastAsia" w:ascii="宋体" w:hAnsi="宋体"/>
          <w:color w:val="auto"/>
          <w:szCs w:val="21"/>
        </w:rPr>
      </w:pPr>
    </w:p>
    <w:p w14:paraId="477DA3DA">
      <w:pPr>
        <w:spacing w:line="360" w:lineRule="auto"/>
        <w:rPr>
          <w:rFonts w:hint="eastAsia" w:ascii="宋体" w:hAnsi="宋体"/>
          <w:color w:val="auto"/>
          <w:szCs w:val="21"/>
        </w:rPr>
      </w:pPr>
    </w:p>
    <w:p w14:paraId="4CFE7411">
      <w:pPr>
        <w:spacing w:line="360" w:lineRule="auto"/>
        <w:jc w:val="center"/>
        <w:rPr>
          <w:rFonts w:hint="eastAsia" w:ascii="宋体" w:hAnsi="宋体"/>
          <w:b/>
          <w:bCs/>
          <w:color w:val="auto"/>
          <w:szCs w:val="21"/>
        </w:rPr>
      </w:pPr>
      <w:r>
        <w:rPr>
          <w:rFonts w:hint="eastAsia" w:ascii="宋体" w:hAnsi="宋体"/>
          <w:b/>
          <w:bCs/>
          <w:color w:val="auto"/>
          <w:sz w:val="32"/>
          <w:szCs w:val="32"/>
        </w:rPr>
        <w:t>三、响应文件的编制</w:t>
      </w:r>
    </w:p>
    <w:p w14:paraId="494EC163">
      <w:pPr>
        <w:spacing w:line="360" w:lineRule="auto"/>
        <w:rPr>
          <w:rFonts w:hint="eastAsia" w:ascii="宋体" w:hAnsi="宋体"/>
          <w:color w:val="auto"/>
          <w:szCs w:val="21"/>
        </w:rPr>
      </w:pPr>
    </w:p>
    <w:p w14:paraId="488DA31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11.响应文件的编制原则</w:t>
      </w:r>
    </w:p>
    <w:p w14:paraId="403C8E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w:t>
      </w:r>
      <w:r>
        <w:rPr>
          <w:rFonts w:hint="eastAsia" w:ascii="宋体" w:hAnsi="宋体"/>
          <w:color w:val="auto"/>
          <w:szCs w:val="21"/>
        </w:rPr>
        <w:t>提出的要求和条件作出明确响应</w:t>
      </w:r>
      <w:r>
        <w:rPr>
          <w:rFonts w:hint="eastAsia" w:ascii="宋体" w:hAnsi="宋体" w:cs="宋体"/>
          <w:color w:val="auto"/>
          <w:szCs w:val="21"/>
        </w:rPr>
        <w:t>。</w:t>
      </w:r>
    </w:p>
    <w:p w14:paraId="5CFFF52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560E4C4E">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14:paraId="3269EC2C">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12.1.1资格证明文件：详见“供应商须知前附表”</w:t>
      </w:r>
    </w:p>
    <w:p w14:paraId="34B3CB5B">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12.1.2报价文件：详见“供应商须知前附表”</w:t>
      </w:r>
    </w:p>
    <w:p w14:paraId="22C7154C">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12.1.3商务技术文件：详见“供应商须知前附表”</w:t>
      </w:r>
    </w:p>
    <w:p w14:paraId="240AAE2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13.计量单位</w:t>
      </w:r>
    </w:p>
    <w:p w14:paraId="2D9127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1134965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14.竞标的风险</w:t>
      </w:r>
    </w:p>
    <w:p w14:paraId="043F72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6A961FC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15.竞标报价</w:t>
      </w:r>
    </w:p>
    <w:p w14:paraId="0833F01D">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15.1竞标报价应按磋商文件中“竞标报价表”格式填写。</w:t>
      </w:r>
    </w:p>
    <w:p w14:paraId="40C064B3">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15.2竞标报价的内容见“供应商须知前附表”。</w:t>
      </w:r>
    </w:p>
    <w:p w14:paraId="18B9072C">
      <w:pPr>
        <w:spacing w:line="360" w:lineRule="auto"/>
        <w:ind w:left="426" w:leftChars="203"/>
        <w:rPr>
          <w:rFonts w:hint="eastAsia" w:ascii="宋体" w:hAnsi="宋体" w:cs="宋体"/>
          <w:color w:val="auto"/>
          <w:szCs w:val="21"/>
        </w:rPr>
      </w:pPr>
      <w:r>
        <w:rPr>
          <w:rFonts w:hint="eastAsia" w:ascii="宋体" w:hAnsi="宋体" w:cs="宋体"/>
          <w:color w:val="auto"/>
          <w:szCs w:val="21"/>
        </w:rPr>
        <w:t>15.3竞标报价要求</w:t>
      </w:r>
    </w:p>
    <w:p w14:paraId="312874DF">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7CF2F71A">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（1）供应商必须就“采购需求”中所竞标的每个分标的全部内容分别作完整唯一总价报价，不得存在漏项报价；</w:t>
      </w:r>
    </w:p>
    <w:p w14:paraId="035CCA26">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2B8859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14:paraId="70F090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r>
        <w:rPr>
          <w:rFonts w:hint="eastAsia" w:ascii="宋体" w:hAnsi="宋体" w:cs="宋体"/>
          <w:color w:val="auto"/>
          <w:szCs w:val="21"/>
        </w:rPr>
        <w:t>竞标报价（包含首次报价、最后报价）超过分项采购预算金额或者最高限价的，其响应文件将按无效处理。</w:t>
      </w:r>
    </w:p>
    <w:p w14:paraId="62D7D900">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16.竞标有效期</w:t>
      </w:r>
    </w:p>
    <w:p w14:paraId="03472F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2A3F54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r>
        <w:rPr>
          <w:rFonts w:hint="eastAsia" w:ascii="宋体" w:hAnsi="宋体"/>
          <w:color w:val="auto"/>
          <w:szCs w:val="21"/>
        </w:rPr>
        <w:t>承诺的竞标有效期低于采购文件规定期限的，供应商的响应文件作无效处理。</w:t>
      </w:r>
    </w:p>
    <w:p w14:paraId="43FC703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6D701E7E">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17.磋商保证金：本项目不收取磋商保证金。</w:t>
      </w:r>
    </w:p>
    <w:p w14:paraId="1270D8C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18.响应文件编制的要求</w:t>
      </w:r>
    </w:p>
    <w:p w14:paraId="7DA815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565F10A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18.2为确保网上操作合法、有效和安全，供应商应当在提交响应文件截止时间前完成在广西政府采购云平台的身份认证，确保在电子竞标过程中能够对相关数据电文进行加密和使用电子签章。</w:t>
      </w:r>
    </w:p>
    <w:p w14:paraId="5F1C58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14:paraId="32C03E6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w:t>
      </w:r>
      <w:r>
        <w:rPr>
          <w:rFonts w:hint="eastAsia" w:ascii="宋体" w:hAnsi="宋体"/>
          <w:b/>
          <w:color w:val="auto"/>
          <w:szCs w:val="21"/>
        </w:rPr>
        <w:t>并与广西政府采购云平台中获取磋商文件的竞标人名称一致，</w:t>
      </w:r>
      <w:r>
        <w:rPr>
          <w:rFonts w:hint="eastAsia" w:ascii="宋体" w:hAnsi="宋体" w:cs="宋体"/>
          <w:color w:val="auto"/>
          <w:szCs w:val="21"/>
        </w:rPr>
        <w:t>供应商为自然人的，标注的供应商名称应与身份证姓名及签名一致，否则其响应文件按无效响应处理。</w:t>
      </w:r>
    </w:p>
    <w:p w14:paraId="0DB110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16271F1">
      <w:pPr>
        <w:spacing w:line="360" w:lineRule="auto"/>
        <w:ind w:firstLine="482" w:firstLineChars="200"/>
        <w:rPr>
          <w:rFonts w:hint="eastAsia"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14:paraId="5CD9C8DA">
      <w:pPr>
        <w:spacing w:line="360" w:lineRule="auto"/>
        <w:ind w:firstLine="420" w:firstLineChars="200"/>
        <w:rPr>
          <w:rFonts w:hint="eastAsia" w:ascii="宋体" w:hAnsi="宋体" w:cs="宋体"/>
          <w:color w:val="auto"/>
          <w:szCs w:val="21"/>
        </w:rPr>
      </w:pPr>
      <w:r>
        <w:rPr>
          <w:rFonts w:hint="eastAsia"/>
          <w:color w:val="auto"/>
        </w:rPr>
        <w:t>电子备份响应文件是指通过在线编制生成且后缀名为“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14:paraId="1B49A84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20.响应文件的提交</w:t>
      </w:r>
    </w:p>
    <w:p w14:paraId="33DA10AA">
      <w:pPr>
        <w:spacing w:line="360" w:lineRule="auto"/>
        <w:ind w:firstLine="420" w:firstLineChars="200"/>
        <w:rPr>
          <w:rFonts w:hint="eastAsia"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olor w:val="auto"/>
          <w:szCs w:val="21"/>
        </w:rPr>
        <w:t>广西政府采购云平台</w:t>
      </w:r>
      <w:r>
        <w:rPr>
          <w:rFonts w:hint="eastAsia" w:hAnsi="宋体"/>
          <w:bCs/>
          <w:color w:val="auto"/>
          <w:szCs w:val="21"/>
        </w:rPr>
        <w:t xml:space="preserve">。 </w:t>
      </w:r>
      <w:r>
        <w:rPr>
          <w:rFonts w:hint="eastAsia" w:hAnsi="宋体"/>
          <w:b/>
          <w:color w:val="auto"/>
        </w:rPr>
        <w:t xml:space="preserve"> </w:t>
      </w:r>
    </w:p>
    <w:p w14:paraId="35C6DE1E">
      <w:pPr>
        <w:spacing w:line="360" w:lineRule="auto"/>
        <w:ind w:firstLine="422" w:firstLineChars="200"/>
        <w:rPr>
          <w:rFonts w:hint="eastAsia" w:ascii="宋体" w:hAnsi="宋体" w:cs="宋体"/>
          <w:color w:val="auto"/>
          <w:szCs w:val="21"/>
        </w:rPr>
      </w:pPr>
      <w:r>
        <w:rPr>
          <w:rFonts w:hint="eastAsia" w:ascii="宋体" w:hAnsi="宋体"/>
          <w:b/>
          <w:color w:val="auto"/>
          <w:szCs w:val="21"/>
        </w:rPr>
        <w:t>20.</w:t>
      </w:r>
      <w:r>
        <w:rPr>
          <w:rFonts w:ascii="宋体" w:hAnsi="宋体"/>
          <w:b/>
          <w:color w:val="auto"/>
          <w:szCs w:val="21"/>
        </w:rPr>
        <w:t>2</w:t>
      </w:r>
      <w:r>
        <w:rPr>
          <w:rFonts w:hint="eastAsia" w:ascii="宋体" w:hAnsi="宋体"/>
          <w:b/>
          <w:color w:val="auto"/>
          <w:szCs w:val="21"/>
        </w:rPr>
        <w:t>未在规定时间内提交或者未按照磋商文件要求加密的电子响应文件</w:t>
      </w:r>
      <w:r>
        <w:rPr>
          <w:rFonts w:hint="eastAsia" w:ascii="宋体" w:hAnsi="宋体"/>
          <w:b/>
          <w:color w:val="auto"/>
          <w:szCs w:val="21"/>
          <w:lang w:eastAsia="zh-CN"/>
        </w:rPr>
        <w:t>，</w:t>
      </w:r>
      <w:r>
        <w:rPr>
          <w:rFonts w:hint="eastAsia" w:ascii="宋体" w:hAnsi="宋体"/>
          <w:b/>
          <w:color w:val="auto"/>
          <w:szCs w:val="21"/>
        </w:rPr>
        <w:t>广西政府采购云平台将拒收。</w:t>
      </w:r>
    </w:p>
    <w:p w14:paraId="5647E20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2E04AC9B">
      <w:pPr>
        <w:snapToGrid w:val="0"/>
        <w:spacing w:line="360" w:lineRule="auto"/>
        <w:ind w:firstLine="420"/>
        <w:jc w:val="left"/>
        <w:rPr>
          <w:rFonts w:hint="eastAsia" w:ascii="宋体" w:hAnsi="宋体"/>
          <w:color w:val="auto"/>
          <w:szCs w:val="21"/>
        </w:rPr>
      </w:pPr>
      <w:r>
        <w:rPr>
          <w:rFonts w:ascii="宋体" w:hAnsi="宋体" w:cs="宋体"/>
          <w:color w:val="auto"/>
          <w:szCs w:val="21"/>
        </w:rPr>
        <w:t>2</w:t>
      </w:r>
      <w:r>
        <w:rPr>
          <w:rFonts w:hint="eastAsia" w:ascii="宋体" w:hAnsi="宋体" w:cs="宋体"/>
          <w:color w:val="auto"/>
          <w:szCs w:val="21"/>
        </w:rPr>
        <w:t>1.1</w:t>
      </w:r>
      <w:r>
        <w:rPr>
          <w:rFonts w:hint="eastAsia" w:ascii="宋体" w:hAnsi="宋体"/>
          <w:bCs/>
          <w:color w:val="auto"/>
          <w:szCs w:val="21"/>
        </w:rPr>
        <w:t>供应商应当在</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前完成电子响应文件的提交（上传），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可以补充、修改或者撤回响应文件。补充或者修改响应文件的，应当先行撤回原响应文件，补充、修改后重新提交（上传），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未完成提交（上传）的，视为撤回响应文件。</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以后提交（上传）的响应文件，广西政府采购云平台将予以拒收。</w:t>
      </w:r>
      <w:r>
        <w:rPr>
          <w:rFonts w:hint="eastAsia" w:ascii="宋体" w:hAnsi="宋体" w:cs="宋体"/>
          <w:color w:val="auto"/>
          <w:szCs w:val="21"/>
        </w:rPr>
        <w:t>（补充、修改或者撤回方式可</w:t>
      </w:r>
      <w:r>
        <w:rPr>
          <w:rFonts w:hint="eastAsia" w:ascii="宋体" w:hAnsi="宋体"/>
          <w:color w:val="auto"/>
          <w:szCs w:val="21"/>
        </w:rPr>
        <w:t>登录</w:t>
      </w:r>
      <w:r>
        <w:rPr>
          <w:rFonts w:hint="eastAsia" w:ascii="宋体" w:hAnsi="宋体" w:cs="宋体"/>
          <w:color w:val="auto"/>
          <w:kern w:val="0"/>
          <w:szCs w:val="21"/>
        </w:rPr>
        <w:t>广西政府采购云平台，</w:t>
      </w:r>
      <w:r>
        <w:rPr>
          <w:rFonts w:hint="eastAsia" w:ascii="宋体" w:hAnsi="宋体"/>
          <w:color w:val="auto"/>
          <w:szCs w:val="21"/>
        </w:rPr>
        <w:t>进入“服务中心”中查看</w:t>
      </w:r>
      <w:r>
        <w:rPr>
          <w:rFonts w:hint="eastAsia" w:ascii="宋体" w:hAnsi="宋体" w:cs="宋体"/>
          <w:color w:val="auto"/>
          <w:szCs w:val="21"/>
        </w:rPr>
        <w:t xml:space="preserve"> “电子竞标文件制作与投送教程”）</w:t>
      </w:r>
    </w:p>
    <w:p w14:paraId="5EA6734A">
      <w:pPr>
        <w:pStyle w:val="25"/>
        <w:spacing w:before="0"/>
        <w:ind w:firstLine="420"/>
        <w:rPr>
          <w:rFonts w:hint="eastAsia"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14:paraId="44BB302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22.响应文件的退回</w:t>
      </w:r>
    </w:p>
    <w:p w14:paraId="49DE78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采购人和采购代理机构对已提交的响应文件概不退回。</w:t>
      </w:r>
    </w:p>
    <w:p w14:paraId="4AD359CE">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14:paraId="158B0F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供应商在响应文件提交截止时间后向采购人、采购代理机构书面申请撤回响应文件的，将不予退还其响应文件。</w:t>
      </w:r>
    </w:p>
    <w:p w14:paraId="4BC94793">
      <w:pPr>
        <w:spacing w:line="360" w:lineRule="auto"/>
        <w:ind w:left="420" w:firstLine="420"/>
        <w:jc w:val="center"/>
        <w:rPr>
          <w:rFonts w:hint="eastAsia" w:ascii="宋体" w:hAnsi="宋体"/>
          <w:color w:val="auto"/>
          <w:szCs w:val="21"/>
        </w:rPr>
      </w:pPr>
    </w:p>
    <w:p w14:paraId="14CCB2D9">
      <w:pPr>
        <w:spacing w:line="360" w:lineRule="auto"/>
        <w:ind w:left="420" w:firstLine="420"/>
        <w:jc w:val="center"/>
        <w:rPr>
          <w:rFonts w:hint="eastAsia" w:ascii="宋体" w:hAnsi="宋体"/>
          <w:b/>
          <w:bCs/>
          <w:color w:val="auto"/>
          <w:sz w:val="32"/>
          <w:szCs w:val="32"/>
        </w:rPr>
      </w:pPr>
      <w:r>
        <w:rPr>
          <w:rFonts w:hint="eastAsia" w:ascii="宋体" w:hAnsi="宋体"/>
          <w:b/>
          <w:bCs/>
          <w:color w:val="auto"/>
          <w:sz w:val="32"/>
          <w:szCs w:val="32"/>
        </w:rPr>
        <w:t>四、评审及磋商</w:t>
      </w:r>
    </w:p>
    <w:p w14:paraId="20F31721">
      <w:pPr>
        <w:spacing w:line="360" w:lineRule="auto"/>
        <w:ind w:left="420" w:firstLine="420"/>
        <w:rPr>
          <w:rFonts w:hint="eastAsia" w:ascii="宋体" w:hAnsi="宋体"/>
          <w:color w:val="auto"/>
          <w:szCs w:val="21"/>
        </w:rPr>
      </w:pPr>
    </w:p>
    <w:p w14:paraId="6EAA894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24.磋商小组成立</w:t>
      </w:r>
    </w:p>
    <w:p w14:paraId="5F60371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A36BB9D">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82E8D8">
      <w:pPr>
        <w:spacing w:line="360" w:lineRule="auto"/>
        <w:ind w:firstLine="420" w:firstLineChars="200"/>
        <w:rPr>
          <w:rFonts w:hint="eastAsia" w:hAnsi="宋体"/>
          <w:bCs/>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基于广西政府采购云平台</w:t>
      </w:r>
      <w:r>
        <w:rPr>
          <w:rFonts w:hint="eastAsia" w:hAnsi="宋体"/>
          <w:bCs/>
          <w:color w:val="auto"/>
        </w:rPr>
        <w:t>抽（选）取</w:t>
      </w:r>
      <w:r>
        <w:rPr>
          <w:rFonts w:hint="eastAsia" w:hAnsi="宋体"/>
          <w:bCs/>
          <w:color w:val="auto"/>
          <w:szCs w:val="21"/>
        </w:rPr>
        <w:t>评审专家。</w:t>
      </w:r>
    </w:p>
    <w:p w14:paraId="6A7E61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24.4参加过采购项目前期咨询论证的专家，不得参加该采购项目的评审活动。</w:t>
      </w:r>
    </w:p>
    <w:p w14:paraId="0E6FEBCE">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14:paraId="4C34F996">
      <w:pPr>
        <w:spacing w:line="360" w:lineRule="auto"/>
        <w:ind w:firstLine="420" w:firstLineChars="200"/>
        <w:rPr>
          <w:rFonts w:hint="eastAsia"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rPr>
        <w:t>采购代理机构依托广西政府采购云平台向各供应商发出电子加密响应文件【开始解密】通知，由供应商按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的响应文件作无效处理</w:t>
      </w:r>
      <w:r>
        <w:rPr>
          <w:b/>
          <w:color w:val="auto"/>
        </w:rPr>
        <w:t>。</w:t>
      </w:r>
    </w:p>
    <w:p w14:paraId="12F29F3E">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597F3DD2">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5CE5629B">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544EBE63">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14:paraId="2357C840">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D9BD08D">
      <w:pPr>
        <w:spacing w:line="360" w:lineRule="auto"/>
        <w:ind w:firstLine="420" w:firstLineChars="200"/>
        <w:rPr>
          <w:rFonts w:hint="eastAsia"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14:paraId="1B502547">
      <w:pPr>
        <w:spacing w:line="360" w:lineRule="auto"/>
        <w:ind w:firstLine="420" w:firstLineChars="200"/>
        <w:rPr>
          <w:rFonts w:hint="eastAsia" w:hAnsi="宋体"/>
          <w:color w:val="auto"/>
        </w:rPr>
      </w:pPr>
      <w:r>
        <w:rPr>
          <w:rFonts w:hint="eastAsia" w:hAnsi="宋体"/>
          <w:color w:val="auto"/>
        </w:rPr>
        <w:t xml:space="preserve">（1）电子交易平台发生故障而无法登录访问的； </w:t>
      </w:r>
    </w:p>
    <w:p w14:paraId="5F079FCD">
      <w:pPr>
        <w:spacing w:line="360" w:lineRule="auto"/>
        <w:ind w:firstLine="420" w:firstLineChars="200"/>
        <w:rPr>
          <w:rFonts w:hint="eastAsia" w:hAnsi="宋体"/>
          <w:color w:val="auto"/>
        </w:rPr>
      </w:pPr>
      <w:r>
        <w:rPr>
          <w:rFonts w:hint="eastAsia" w:hAnsi="宋体"/>
          <w:color w:val="auto"/>
        </w:rPr>
        <w:t>（2）电子交易平台应用或数据库出现错误，不能进行正常操作的；</w:t>
      </w:r>
    </w:p>
    <w:p w14:paraId="68661B89">
      <w:pPr>
        <w:spacing w:line="360" w:lineRule="auto"/>
        <w:ind w:firstLine="420" w:firstLineChars="200"/>
        <w:rPr>
          <w:rFonts w:hint="eastAsia" w:hAnsi="宋体"/>
          <w:color w:val="auto"/>
        </w:rPr>
      </w:pPr>
      <w:r>
        <w:rPr>
          <w:rFonts w:hint="eastAsia" w:hAnsi="宋体"/>
          <w:color w:val="auto"/>
        </w:rPr>
        <w:t>（3）电子交易平台发现严重安全漏洞，有潜在泄密危险的；</w:t>
      </w:r>
    </w:p>
    <w:p w14:paraId="49E1481E">
      <w:pPr>
        <w:spacing w:line="360" w:lineRule="auto"/>
        <w:ind w:firstLine="420" w:firstLineChars="200"/>
        <w:rPr>
          <w:rFonts w:hint="eastAsia" w:hAnsi="宋体"/>
          <w:color w:val="auto"/>
        </w:rPr>
      </w:pPr>
      <w:r>
        <w:rPr>
          <w:rFonts w:hint="eastAsia" w:hAnsi="宋体"/>
          <w:color w:val="auto"/>
        </w:rPr>
        <w:t xml:space="preserve">（4）病毒发作导致不能进行正常操作的； </w:t>
      </w:r>
    </w:p>
    <w:p w14:paraId="4E7457AE">
      <w:pPr>
        <w:spacing w:line="360" w:lineRule="auto"/>
        <w:ind w:firstLine="420" w:firstLineChars="200"/>
        <w:rPr>
          <w:rFonts w:hint="eastAsia" w:hAnsi="宋体"/>
          <w:color w:val="auto"/>
        </w:rPr>
      </w:pPr>
      <w:r>
        <w:rPr>
          <w:rFonts w:hint="eastAsia" w:hAnsi="宋体"/>
          <w:color w:val="auto"/>
        </w:rPr>
        <w:t>（5）其他无法保证电子交易的公平、公正和安全的情况。</w:t>
      </w:r>
    </w:p>
    <w:p w14:paraId="01582FCD">
      <w:pPr>
        <w:spacing w:line="360" w:lineRule="auto"/>
        <w:ind w:firstLine="420" w:firstLineChars="200"/>
        <w:rPr>
          <w:rFonts w:hint="eastAsia"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5345FEF">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2EFECB82">
      <w:pPr>
        <w:spacing w:line="360" w:lineRule="auto"/>
        <w:ind w:firstLine="420" w:firstLineChars="200"/>
        <w:rPr>
          <w:rFonts w:hint="eastAsia"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D3F9DA">
      <w:pPr>
        <w:spacing w:line="360" w:lineRule="auto"/>
        <w:ind w:firstLine="420" w:firstLineChars="200"/>
        <w:rPr>
          <w:rFonts w:hint="eastAsia"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p>
    <w:p w14:paraId="0E830B51">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14:paraId="15A187A2">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14:paraId="45AA51C9">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（2）出现影响采购公正的违法、违规行为的；</w:t>
      </w:r>
    </w:p>
    <w:p w14:paraId="5B69BBF5">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14:paraId="1D7C12B3">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14:paraId="746B2BCC">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10AD3451">
      <w:pPr>
        <w:spacing w:line="360" w:lineRule="auto"/>
        <w:ind w:firstLine="420" w:firstLineChars="200"/>
        <w:rPr>
          <w:rFonts w:hint="eastAsia" w:ascii="宋体" w:hAnsi="宋体" w:eastAsia="宋体" w:cs="Courier New"/>
          <w:color w:val="auto"/>
          <w:szCs w:val="21"/>
          <w:lang w:eastAsia="zh-CN"/>
        </w:rPr>
      </w:pPr>
      <w:r>
        <w:rPr>
          <w:rFonts w:hint="eastAsia" w:ascii="宋体" w:hAnsi="宋体" w:eastAsia="宋体" w:cs="Courier New"/>
          <w:color w:val="auto"/>
          <w:szCs w:val="21"/>
          <w:lang w:val="en-US" w:eastAsia="zh-CN"/>
        </w:rPr>
        <w:t xml:space="preserve">28.1 </w:t>
      </w:r>
      <w:r>
        <w:rPr>
          <w:rFonts w:hint="eastAsia" w:ascii="宋体" w:hAnsi="宋体" w:eastAsia="宋体" w:cs="Courier New"/>
          <w:color w:val="auto"/>
          <w:szCs w:val="21"/>
          <w:lang w:eastAsia="zh-CN"/>
        </w:rPr>
        <w:t>履约保证金金额：成交金额的5%【根据《防城港市人民政府办公室关于印发防城港市保障中小企业款项支付工作方案的通知》（防政办发[2021]1号）文件精神，如成交供应商为小微企业的，免收履约保证金。根据《防城港市财政局关于进一步发挥政府采购政策功能促进企业发展的通知》（防财采〔2022〕12号）文件精神，如成交供应商为中型企业的，履约保证金金额为成交金额的2%】。</w:t>
      </w:r>
    </w:p>
    <w:p w14:paraId="4182693A">
      <w:pPr>
        <w:spacing w:line="360" w:lineRule="auto"/>
        <w:ind w:firstLine="420" w:firstLineChars="200"/>
        <w:rPr>
          <w:rFonts w:hint="eastAsia" w:ascii="宋体" w:hAnsi="宋体" w:eastAsia="宋体" w:cs="Courier New"/>
          <w:color w:val="auto"/>
          <w:szCs w:val="21"/>
          <w:lang w:eastAsia="zh-CN"/>
        </w:rPr>
      </w:pPr>
      <w:r>
        <w:rPr>
          <w:rFonts w:hint="eastAsia" w:ascii="宋体" w:hAnsi="宋体" w:eastAsia="宋体" w:cs="Courier New"/>
          <w:color w:val="auto"/>
          <w:szCs w:val="21"/>
          <w:lang w:val="en-US" w:eastAsia="zh-CN"/>
        </w:rPr>
        <w:t xml:space="preserve">28.2 </w:t>
      </w:r>
      <w:r>
        <w:rPr>
          <w:rFonts w:hint="eastAsia" w:ascii="宋体" w:hAnsi="宋体" w:eastAsia="宋体" w:cs="Courier New"/>
          <w:color w:val="auto"/>
          <w:szCs w:val="21"/>
          <w:lang w:eastAsia="zh-CN"/>
        </w:rPr>
        <w:t>履约保证金递交方式：乙方在合同签订前以银行转账、支票、汇票、本票或者银行、保险机构出具的保函等非现金方式递交。</w:t>
      </w:r>
    </w:p>
    <w:p w14:paraId="6BBC4F3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24CC9DE9">
      <w:pPr>
        <w:spacing w:line="360" w:lineRule="auto"/>
        <w:ind w:firstLine="424" w:firstLineChars="202"/>
        <w:rPr>
          <w:rFonts w:hint="eastAsia" w:ascii="宋体" w:hAnsi="宋体" w:cs="宋体"/>
          <w:color w:val="auto"/>
          <w:szCs w:val="21"/>
          <w:lang w:val="zh-CN"/>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w:t>
      </w:r>
    </w:p>
    <w:p w14:paraId="39C024C9">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29.2签订合同时间：按成交通知书规定的时间与采购人签订合同。</w:t>
      </w:r>
    </w:p>
    <w:p w14:paraId="2539E1B1">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6FD279A">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540AB9D">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14:paraId="2292D6BB">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14:paraId="30D4D5BA">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A624072">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4F9AFF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C07494C">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04611FC0">
      <w:pPr>
        <w:pStyle w:val="6"/>
        <w:spacing w:line="360" w:lineRule="auto"/>
        <w:rPr>
          <w:rFonts w:hint="eastAsia"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3B8DE5CE">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32B87C28">
      <w:pPr>
        <w:spacing w:line="360" w:lineRule="auto"/>
        <w:ind w:firstLine="420" w:firstLineChars="200"/>
        <w:rPr>
          <w:rFonts w:hint="eastAsia"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29E9ECA8">
      <w:pPr>
        <w:spacing w:line="360" w:lineRule="auto"/>
        <w:ind w:firstLine="420" w:firstLineChars="200"/>
        <w:rPr>
          <w:rFonts w:hint="eastAsia" w:ascii="宋体" w:hAnsi="宋体" w:cs="宋体"/>
          <w:color w:val="auto"/>
        </w:rPr>
      </w:pPr>
      <w:r>
        <w:rPr>
          <w:rFonts w:hint="eastAsia" w:ascii="宋体" w:hAnsi="宋体" w:cs="宋体"/>
          <w:color w:val="auto"/>
        </w:rPr>
        <w:t>（2）对采购过程提出质疑的，为各采购程序环节结束之日；</w:t>
      </w:r>
    </w:p>
    <w:p w14:paraId="2542667A">
      <w:pPr>
        <w:spacing w:line="360" w:lineRule="auto"/>
        <w:ind w:firstLine="420" w:firstLineChars="200"/>
        <w:rPr>
          <w:rFonts w:hint="eastAsia" w:ascii="宋体" w:hAnsi="宋体" w:cs="宋体"/>
          <w:color w:val="auto"/>
        </w:rPr>
      </w:pPr>
      <w:r>
        <w:rPr>
          <w:rFonts w:hint="eastAsia" w:ascii="宋体" w:hAnsi="宋体" w:cs="宋体"/>
          <w:color w:val="auto"/>
        </w:rPr>
        <w:t>（3）对成交结果提出质疑的，为成交结果公告期限届满之日。</w:t>
      </w:r>
    </w:p>
    <w:p w14:paraId="696EA8A5">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3B36A75">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03028C05">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035A23EC">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0A9652C1">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4F260744">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39BF7056">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1A5A1175">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6038E95A">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6779EC07">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007E7C9A">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4D9273F5">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6741BA5D">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29CCAEAB">
      <w:pPr>
        <w:spacing w:line="360" w:lineRule="auto"/>
        <w:ind w:firstLine="420" w:firstLineChars="200"/>
        <w:rPr>
          <w:rFonts w:hint="eastAsia"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87F2183">
      <w:pPr>
        <w:tabs>
          <w:tab w:val="left" w:pos="2835"/>
        </w:tabs>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lang w:val="en-US" w:eastAsia="zh-CN"/>
        </w:rPr>
        <w:t>.</w:t>
      </w:r>
      <w:r>
        <w:rPr>
          <w:rFonts w:ascii="黑体" w:hAnsi="黑体" w:eastAsia="黑体" w:cs="宋体"/>
          <w:b/>
          <w:bCs/>
          <w:color w:val="auto"/>
          <w:sz w:val="24"/>
        </w:rPr>
        <w:t>需要补充的其他内容</w:t>
      </w:r>
    </w:p>
    <w:p w14:paraId="1EE1E122">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14:paraId="29E613C0">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B51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05AAFEEB">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2467539F">
            <w:pPr>
              <w:spacing w:line="360" w:lineRule="auto"/>
              <w:rPr>
                <w:rFonts w:hint="eastAsia" w:ascii="宋体" w:hAnsi="宋体" w:cs="宋体"/>
                <w:color w:val="auto"/>
                <w:szCs w:val="21"/>
              </w:rPr>
            </w:pPr>
            <w:r>
              <w:rPr>
                <w:rFonts w:hint="eastAsia" w:ascii="宋体" w:hAnsi="宋体" w:cs="宋体"/>
                <w:color w:val="auto"/>
                <w:szCs w:val="21"/>
              </w:rPr>
              <w:t>金额</w:t>
            </w:r>
          </w:p>
        </w:tc>
        <w:tc>
          <w:tcPr>
            <w:tcW w:w="1659" w:type="dxa"/>
            <w:noWrap w:val="0"/>
            <w:vAlign w:val="center"/>
          </w:tcPr>
          <w:p w14:paraId="688B5D7E">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noWrap w:val="0"/>
            <w:vAlign w:val="center"/>
          </w:tcPr>
          <w:p w14:paraId="173F338D">
            <w:pPr>
              <w:spacing w:line="360" w:lineRule="auto"/>
              <w:jc w:val="center"/>
              <w:rPr>
                <w:rFonts w:hint="eastAsia" w:ascii="宋体" w:hAnsi="宋体" w:cs="宋体"/>
                <w:color w:val="auto"/>
                <w:szCs w:val="21"/>
              </w:rPr>
            </w:pPr>
            <w:r>
              <w:rPr>
                <w:rFonts w:hint="eastAsia" w:ascii="宋体" w:hAnsi="宋体" w:cs="宋体"/>
                <w:color w:val="auto"/>
                <w:szCs w:val="21"/>
              </w:rPr>
              <w:t>服务类</w:t>
            </w:r>
          </w:p>
        </w:tc>
        <w:tc>
          <w:tcPr>
            <w:tcW w:w="1546" w:type="dxa"/>
            <w:noWrap w:val="0"/>
            <w:vAlign w:val="center"/>
          </w:tcPr>
          <w:p w14:paraId="61CE65DA">
            <w:pPr>
              <w:spacing w:line="360" w:lineRule="auto"/>
              <w:jc w:val="center"/>
              <w:rPr>
                <w:rFonts w:hint="eastAsia" w:ascii="宋体" w:hAnsi="宋体" w:cs="宋体"/>
                <w:color w:val="auto"/>
                <w:szCs w:val="21"/>
              </w:rPr>
            </w:pPr>
            <w:r>
              <w:rPr>
                <w:rFonts w:hint="eastAsia" w:ascii="宋体" w:hAnsi="宋体" w:cs="宋体"/>
                <w:color w:val="auto"/>
                <w:szCs w:val="21"/>
              </w:rPr>
              <w:t>工程类</w:t>
            </w:r>
          </w:p>
        </w:tc>
      </w:tr>
      <w:tr w14:paraId="20A4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636F02F">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noWrap w:val="0"/>
            <w:vAlign w:val="top"/>
          </w:tcPr>
          <w:p w14:paraId="75600D4B">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noWrap w:val="0"/>
            <w:vAlign w:val="top"/>
          </w:tcPr>
          <w:p w14:paraId="1944A04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noWrap w:val="0"/>
            <w:vAlign w:val="top"/>
          </w:tcPr>
          <w:p w14:paraId="6BBDFF3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3459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0230F8">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noWrap w:val="0"/>
            <w:vAlign w:val="top"/>
          </w:tcPr>
          <w:p w14:paraId="22FD312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noWrap w:val="0"/>
            <w:vAlign w:val="top"/>
          </w:tcPr>
          <w:p w14:paraId="0D2AFD0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noWrap w:val="0"/>
            <w:vAlign w:val="top"/>
          </w:tcPr>
          <w:p w14:paraId="3023E0B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07CA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EA5E79">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noWrap w:val="0"/>
            <w:vAlign w:val="top"/>
          </w:tcPr>
          <w:p w14:paraId="6C917B6C">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noWrap w:val="0"/>
            <w:vAlign w:val="top"/>
          </w:tcPr>
          <w:p w14:paraId="1110CDB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noWrap w:val="0"/>
            <w:vAlign w:val="top"/>
          </w:tcPr>
          <w:p w14:paraId="24D7E0E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7690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3F5C88F">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noWrap w:val="0"/>
            <w:vAlign w:val="top"/>
          </w:tcPr>
          <w:p w14:paraId="1AD4120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noWrap w:val="0"/>
            <w:vAlign w:val="top"/>
          </w:tcPr>
          <w:p w14:paraId="006D9F0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noWrap w:val="0"/>
            <w:vAlign w:val="top"/>
          </w:tcPr>
          <w:p w14:paraId="1EBB323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5B6D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47C77C">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noWrap w:val="0"/>
            <w:vAlign w:val="top"/>
          </w:tcPr>
          <w:p w14:paraId="0918331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noWrap w:val="0"/>
            <w:vAlign w:val="top"/>
          </w:tcPr>
          <w:p w14:paraId="4DB116E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noWrap w:val="0"/>
            <w:vAlign w:val="top"/>
          </w:tcPr>
          <w:p w14:paraId="3594A77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318F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03EBCBA">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noWrap w:val="0"/>
            <w:vAlign w:val="top"/>
          </w:tcPr>
          <w:p w14:paraId="1D511546">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noWrap w:val="0"/>
            <w:vAlign w:val="top"/>
          </w:tcPr>
          <w:p w14:paraId="42A4E13D">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546" w:type="dxa"/>
            <w:noWrap w:val="0"/>
            <w:vAlign w:val="top"/>
          </w:tcPr>
          <w:p w14:paraId="08A55A0C">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359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6194541">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noWrap w:val="0"/>
            <w:vAlign w:val="top"/>
          </w:tcPr>
          <w:p w14:paraId="1BDE27D0">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noWrap w:val="0"/>
            <w:vAlign w:val="top"/>
          </w:tcPr>
          <w:p w14:paraId="7AC6E967">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546" w:type="dxa"/>
            <w:noWrap w:val="0"/>
            <w:vAlign w:val="top"/>
          </w:tcPr>
          <w:p w14:paraId="78470E7A">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3911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26E0DAB">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noWrap w:val="0"/>
            <w:vAlign w:val="top"/>
          </w:tcPr>
          <w:p w14:paraId="4B2322F8">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noWrap w:val="0"/>
            <w:vAlign w:val="top"/>
          </w:tcPr>
          <w:p w14:paraId="6FE66EF3">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noWrap w:val="0"/>
            <w:vAlign w:val="top"/>
          </w:tcPr>
          <w:p w14:paraId="4863C9E5">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08DF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6781965">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noWrap w:val="0"/>
            <w:vAlign w:val="top"/>
          </w:tcPr>
          <w:p w14:paraId="0AE8AB60">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532" w:type="dxa"/>
            <w:noWrap w:val="0"/>
            <w:vAlign w:val="top"/>
          </w:tcPr>
          <w:p w14:paraId="4B8021A2">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noWrap w:val="0"/>
            <w:vAlign w:val="top"/>
          </w:tcPr>
          <w:p w14:paraId="589561E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7D43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F0D0E1">
            <w:pPr>
              <w:spacing w:line="360" w:lineRule="auto"/>
              <w:rPr>
                <w:rFonts w:hint="eastAsia" w:ascii="宋体" w:hAnsi="宋体" w:cs="宋体"/>
                <w:color w:val="auto"/>
                <w:szCs w:val="21"/>
              </w:rPr>
            </w:pPr>
            <w:r>
              <w:rPr>
                <w:rFonts w:hint="eastAsia" w:ascii="宋体" w:hAnsi="宋体" w:cs="宋体"/>
                <w:color w:val="auto"/>
                <w:szCs w:val="21"/>
              </w:rPr>
              <w:t>100亿以上</w:t>
            </w:r>
          </w:p>
        </w:tc>
        <w:tc>
          <w:tcPr>
            <w:tcW w:w="1659" w:type="dxa"/>
            <w:noWrap w:val="0"/>
            <w:vAlign w:val="top"/>
          </w:tcPr>
          <w:p w14:paraId="1EA3DE39">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532" w:type="dxa"/>
            <w:noWrap w:val="0"/>
            <w:vAlign w:val="top"/>
          </w:tcPr>
          <w:p w14:paraId="69289EB0">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noWrap w:val="0"/>
            <w:vAlign w:val="top"/>
          </w:tcPr>
          <w:p w14:paraId="1552838A">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38ECBD8B">
      <w:pPr>
        <w:spacing w:line="360" w:lineRule="auto"/>
        <w:ind w:firstLine="420" w:firstLineChars="200"/>
        <w:rPr>
          <w:rFonts w:ascii="宋体" w:hAnsi="宋体" w:cs="宋体"/>
          <w:color w:val="auto"/>
        </w:rPr>
      </w:pPr>
      <w:r>
        <w:rPr>
          <w:rFonts w:ascii="宋体" w:hAnsi="宋体" w:cs="宋体"/>
          <w:color w:val="auto"/>
        </w:rPr>
        <w:t>注：</w:t>
      </w:r>
    </w:p>
    <w:p w14:paraId="4007E34E">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1E96E74D">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2C500103">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服务采购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w:t>
      </w:r>
      <w:r>
        <w:rPr>
          <w:rFonts w:hint="eastAsia" w:ascii="宋体" w:hAnsi="宋体" w:cs="宋体"/>
          <w:color w:val="auto"/>
        </w:rPr>
        <w:t>或者暂定价</w:t>
      </w:r>
      <w:r>
        <w:rPr>
          <w:rFonts w:ascii="宋体" w:hAnsi="宋体" w:cs="宋体"/>
          <w:color w:val="auto"/>
        </w:rPr>
        <w:t>为150万元，计算</w:t>
      </w:r>
      <w:r>
        <w:rPr>
          <w:rFonts w:hint="eastAsia" w:ascii="宋体" w:hAnsi="宋体" w:cs="宋体"/>
          <w:color w:val="auto"/>
        </w:rPr>
        <w:t>采购</w:t>
      </w:r>
      <w:r>
        <w:rPr>
          <w:rFonts w:ascii="宋体" w:hAnsi="宋体" w:cs="宋体"/>
          <w:color w:val="auto"/>
        </w:rPr>
        <w:t>代理收费额如下：</w:t>
      </w:r>
    </w:p>
    <w:p w14:paraId="44392C48">
      <w:pPr>
        <w:spacing w:line="360" w:lineRule="auto"/>
        <w:ind w:firstLine="420" w:firstLineChars="200"/>
        <w:rPr>
          <w:rFonts w:ascii="宋体" w:hAnsi="宋体" w:cs="宋体"/>
          <w:color w:val="auto"/>
        </w:rPr>
      </w:pPr>
      <w:r>
        <w:rPr>
          <w:rFonts w:ascii="宋体" w:hAnsi="宋体" w:cs="宋体"/>
          <w:color w:val="auto"/>
        </w:rPr>
        <w:t>100 万元 ×l.5 %＝ 1.5 万元</w:t>
      </w:r>
    </w:p>
    <w:p w14:paraId="1EB0AB19">
      <w:pPr>
        <w:spacing w:line="360" w:lineRule="auto"/>
        <w:ind w:firstLine="420" w:firstLineChars="200"/>
        <w:rPr>
          <w:rFonts w:ascii="宋体" w:hAnsi="宋体" w:cs="宋体"/>
          <w:color w:val="auto"/>
        </w:rPr>
      </w:pPr>
      <w:r>
        <w:rPr>
          <w:rFonts w:ascii="宋体" w:hAnsi="宋体" w:cs="宋体"/>
          <w:color w:val="auto"/>
        </w:rPr>
        <w:t>（ 150 － 100 ）万元 ×0.8%＝ 0.4万元</w:t>
      </w:r>
    </w:p>
    <w:p w14:paraId="1C9ED0AB">
      <w:pPr>
        <w:spacing w:line="360" w:lineRule="auto"/>
        <w:ind w:firstLine="420" w:firstLineChars="200"/>
        <w:rPr>
          <w:rFonts w:ascii="宋体" w:hAnsi="宋体" w:cs="宋体"/>
          <w:color w:val="auto"/>
        </w:rPr>
      </w:pPr>
      <w:r>
        <w:rPr>
          <w:rFonts w:ascii="宋体" w:hAnsi="宋体" w:cs="宋体"/>
          <w:color w:val="auto"/>
        </w:rPr>
        <w:t>合计收费＝ 1.5 ＋ 0.4＝ 1.9 万元</w:t>
      </w:r>
    </w:p>
    <w:p w14:paraId="1C5658C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14:paraId="6D65C2D4">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14:paraId="427AF63D">
      <w:pPr>
        <w:pStyle w:val="14"/>
        <w:spacing w:line="360" w:lineRule="auto"/>
        <w:ind w:firstLine="420" w:firstLineChars="200"/>
        <w:textAlignment w:val="center"/>
        <w:rPr>
          <w:rFonts w:hAnsi="宋体" w:cs="宋体"/>
          <w:color w:val="auto"/>
          <w:kern w:val="2"/>
          <w:sz w:val="21"/>
        </w:rPr>
      </w:pPr>
      <w:r>
        <w:rPr>
          <w:rFonts w:hAnsi="宋体" w:cs="宋体"/>
          <w:color w:val="auto"/>
          <w:kern w:val="2"/>
          <w:sz w:val="21"/>
        </w:rPr>
        <w:t>33.2</w:t>
      </w:r>
      <w:r>
        <w:rPr>
          <w:rFonts w:hint="eastAsia" w:hAnsi="宋体" w:cs="宋体"/>
          <w:color w:val="auto"/>
          <w:kern w:val="2"/>
          <w:sz w:val="21"/>
        </w:rPr>
        <w:t xml:space="preserve"> 其他事项详见“供应商须知前附表”。</w:t>
      </w:r>
    </w:p>
    <w:p w14:paraId="51C9AC6A">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3.3</w:t>
      </w:r>
      <w:r>
        <w:rPr>
          <w:rFonts w:hint="eastAsia" w:hAnsi="宋体" w:cs="宋体"/>
          <w:color w:val="auto"/>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60C8463">
      <w:pPr>
        <w:pStyle w:val="14"/>
        <w:spacing w:line="360" w:lineRule="auto"/>
        <w:ind w:firstLine="420" w:firstLineChars="200"/>
        <w:contextualSpacing/>
        <w:rPr>
          <w:rFonts w:hint="eastAsia"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2A3169B7">
      <w:pPr>
        <w:pStyle w:val="14"/>
        <w:spacing w:line="360" w:lineRule="auto"/>
        <w:ind w:firstLine="420" w:firstLineChars="200"/>
        <w:contextualSpacing/>
        <w:rPr>
          <w:rFonts w:hint="eastAsia"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71386FF3">
      <w:pPr>
        <w:pStyle w:val="14"/>
        <w:spacing w:line="360" w:lineRule="auto"/>
        <w:ind w:firstLine="420" w:firstLineChars="200"/>
        <w:contextualSpacing/>
        <w:rPr>
          <w:rFonts w:hint="eastAsia"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7FFADF8B">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11BF521">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依据本磋商文件规定享受扶持政策获得政府采购合同的，小微企业不得将合同分包给大中型企业，中型企业不得将合同分包给大型企业。</w:t>
      </w:r>
    </w:p>
    <w:p w14:paraId="24DAE9CD">
      <w:pPr>
        <w:rPr>
          <w:rFonts w:hint="eastAsia"/>
          <w:color w:val="auto"/>
        </w:rPr>
      </w:pPr>
      <w:r>
        <w:rPr>
          <w:rFonts w:hint="eastAsia"/>
          <w:color w:val="auto"/>
        </w:rPr>
        <w:br w:type="page"/>
      </w:r>
    </w:p>
    <w:p w14:paraId="64BC4E26">
      <w:pPr>
        <w:pStyle w:val="14"/>
        <w:snapToGrid w:val="0"/>
        <w:spacing w:line="360" w:lineRule="auto"/>
        <w:ind w:left="840" w:hanging="420"/>
        <w:rPr>
          <w:rFonts w:hint="eastAsia" w:hAnsi="宋体"/>
          <w:color w:val="auto"/>
        </w:rPr>
      </w:pPr>
      <w:r>
        <w:rPr>
          <w:rFonts w:hint="eastAsia" w:ascii="黑体" w:hAnsi="黑体" w:eastAsia="黑体" w:cs="黑体"/>
          <w:bCs/>
          <w:color w:val="auto"/>
          <w:sz w:val="32"/>
          <w:szCs w:val="32"/>
        </w:rPr>
        <w:t>附件1：</w:t>
      </w:r>
    </w:p>
    <w:p w14:paraId="4778B8AD">
      <w:pPr>
        <w:widowControl/>
        <w:shd w:val="clear" w:color="auto" w:fill="FFFFFF"/>
        <w:spacing w:line="480" w:lineRule="atLeast"/>
        <w:jc w:val="center"/>
        <w:rPr>
          <w:rFonts w:hint="eastAsia"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广西壮族自治区政府采购项目合同验收书（格式参考）</w:t>
      </w:r>
    </w:p>
    <w:p w14:paraId="4AE18037">
      <w:pPr>
        <w:widowControl/>
        <w:shd w:val="clear" w:color="auto" w:fill="FFFFFF"/>
        <w:snapToGrid w:val="0"/>
        <w:spacing w:line="320" w:lineRule="atLeast"/>
        <w:ind w:firstLine="480"/>
        <w:jc w:val="left"/>
        <w:rPr>
          <w:rFonts w:ascii="宋体" w:hAnsi="宋体" w:cs="宋体"/>
          <w:color w:val="auto"/>
          <w:kern w:val="0"/>
          <w:szCs w:val="21"/>
        </w:rPr>
      </w:pPr>
    </w:p>
    <w:p w14:paraId="37CF600F">
      <w:pPr>
        <w:widowControl/>
        <w:shd w:val="clear" w:color="auto" w:fill="FFFFFF"/>
        <w:snapToGrid w:val="0"/>
        <w:spacing w:line="32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1"/>
        <w:tblW w:w="5000" w:type="pct"/>
        <w:jc w:val="center"/>
        <w:tblLayout w:type="autofit"/>
        <w:tblCellMar>
          <w:top w:w="0" w:type="dxa"/>
          <w:left w:w="0" w:type="dxa"/>
          <w:bottom w:w="0" w:type="dxa"/>
          <w:right w:w="0" w:type="dxa"/>
        </w:tblCellMar>
      </w:tblPr>
      <w:tblGrid>
        <w:gridCol w:w="930"/>
        <w:gridCol w:w="954"/>
        <w:gridCol w:w="1878"/>
        <w:gridCol w:w="922"/>
        <w:gridCol w:w="119"/>
        <w:gridCol w:w="2317"/>
        <w:gridCol w:w="203"/>
        <w:gridCol w:w="795"/>
        <w:gridCol w:w="1652"/>
      </w:tblGrid>
      <w:tr w14:paraId="04CFD2E2">
        <w:tblPrEx>
          <w:tblCellMar>
            <w:top w:w="0" w:type="dxa"/>
            <w:left w:w="0" w:type="dxa"/>
            <w:bottom w:w="0" w:type="dxa"/>
            <w:right w:w="0" w:type="dxa"/>
          </w:tblCellMar>
        </w:tblPrEx>
        <w:trPr>
          <w:trHeight w:val="497" w:hRule="atLeast"/>
          <w:jc w:val="center"/>
        </w:trPr>
        <w:tc>
          <w:tcPr>
            <w:tcW w:w="1925" w:type="pct"/>
            <w:gridSpan w:val="3"/>
            <w:tcBorders>
              <w:top w:val="single" w:color="auto" w:sz="8" w:space="0"/>
              <w:left w:val="single" w:color="auto" w:sz="8" w:space="0"/>
              <w:bottom w:val="single" w:color="auto" w:sz="8" w:space="0"/>
              <w:right w:val="single" w:color="auto" w:sz="8" w:space="0"/>
            </w:tcBorders>
            <w:noWrap w:val="0"/>
            <w:vAlign w:val="center"/>
          </w:tcPr>
          <w:p w14:paraId="0DDBF1DF">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ascii="宋体" w:hAnsi="宋体" w:cs="宋体"/>
                <w:color w:val="auto"/>
                <w:kern w:val="0"/>
                <w:szCs w:val="21"/>
              </w:rPr>
              <w:t>验收方式：</w:t>
            </w:r>
          </w:p>
        </w:tc>
        <w:tc>
          <w:tcPr>
            <w:tcW w:w="3075" w:type="pct"/>
            <w:gridSpan w:val="6"/>
            <w:tcBorders>
              <w:top w:val="single" w:color="auto" w:sz="8" w:space="0"/>
              <w:left w:val="nil"/>
              <w:bottom w:val="single" w:color="auto" w:sz="8" w:space="0"/>
              <w:right w:val="single" w:color="auto" w:sz="8" w:space="0"/>
            </w:tcBorders>
            <w:noWrap w:val="0"/>
            <w:vAlign w:val="center"/>
          </w:tcPr>
          <w:p w14:paraId="5FD9DA64">
            <w:pPr>
              <w:widowControl/>
              <w:snapToGrid w:val="0"/>
              <w:spacing w:before="100" w:beforeAutospacing="1" w:after="100" w:afterAutospacing="1" w:line="320" w:lineRule="atLeast"/>
              <w:jc w:val="center"/>
              <w:rPr>
                <w:rFonts w:ascii="宋体" w:hAnsi="宋体" w:cs="宋体"/>
                <w:color w:val="auto"/>
                <w:kern w:val="0"/>
                <w:szCs w:val="21"/>
              </w:rPr>
            </w:pPr>
            <w:r>
              <w:rPr>
                <w:rFonts w:ascii="宋体" w:hAnsi="宋体" w:cs="宋体"/>
                <w:color w:val="auto"/>
                <w:kern w:val="0"/>
                <w:szCs w:val="21"/>
              </w:rPr>
              <w:t>□自行验收 □委托验收</w:t>
            </w:r>
          </w:p>
        </w:tc>
      </w:tr>
      <w:tr w14:paraId="064F5FF3">
        <w:tblPrEx>
          <w:tblCellMar>
            <w:top w:w="0" w:type="dxa"/>
            <w:left w:w="0" w:type="dxa"/>
            <w:bottom w:w="0" w:type="dxa"/>
            <w:right w:w="0" w:type="dxa"/>
          </w:tblCellMar>
        </w:tblPrEx>
        <w:trPr>
          <w:trHeight w:val="622" w:hRule="atLeast"/>
          <w:jc w:val="center"/>
        </w:trPr>
        <w:tc>
          <w:tcPr>
            <w:tcW w:w="476" w:type="pct"/>
            <w:tcBorders>
              <w:top w:val="nil"/>
              <w:left w:val="single" w:color="auto" w:sz="8" w:space="0"/>
              <w:bottom w:val="single" w:color="auto" w:sz="8" w:space="0"/>
              <w:right w:val="single" w:color="auto" w:sz="8" w:space="0"/>
            </w:tcBorders>
            <w:noWrap w:val="0"/>
            <w:vAlign w:val="center"/>
          </w:tcPr>
          <w:p w14:paraId="43FDE0FA">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序号</w:t>
            </w:r>
          </w:p>
        </w:tc>
        <w:tc>
          <w:tcPr>
            <w:tcW w:w="1449" w:type="pct"/>
            <w:gridSpan w:val="2"/>
            <w:tcBorders>
              <w:top w:val="nil"/>
              <w:left w:val="nil"/>
              <w:bottom w:val="single" w:color="auto" w:sz="8" w:space="0"/>
              <w:right w:val="single" w:color="auto" w:sz="8" w:space="0"/>
            </w:tcBorders>
            <w:noWrap w:val="0"/>
            <w:vAlign w:val="center"/>
          </w:tcPr>
          <w:p w14:paraId="15721D83">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名称</w:t>
            </w:r>
          </w:p>
        </w:tc>
        <w:tc>
          <w:tcPr>
            <w:tcW w:w="1718" w:type="pct"/>
            <w:gridSpan w:val="3"/>
            <w:tcBorders>
              <w:top w:val="nil"/>
              <w:left w:val="nil"/>
              <w:bottom w:val="single" w:color="auto" w:sz="8" w:space="0"/>
              <w:right w:val="single" w:color="auto" w:sz="8" w:space="0"/>
            </w:tcBorders>
            <w:noWrap w:val="0"/>
            <w:vAlign w:val="center"/>
          </w:tcPr>
          <w:p w14:paraId="386B10F4">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货物型号规格、标准及配置等（或者服务内容、标准）</w:t>
            </w:r>
          </w:p>
        </w:tc>
        <w:tc>
          <w:tcPr>
            <w:tcW w:w="511" w:type="pct"/>
            <w:gridSpan w:val="2"/>
            <w:tcBorders>
              <w:top w:val="nil"/>
              <w:left w:val="nil"/>
              <w:bottom w:val="single" w:color="auto" w:sz="8" w:space="0"/>
              <w:right w:val="single" w:color="auto" w:sz="8" w:space="0"/>
            </w:tcBorders>
            <w:noWrap w:val="0"/>
            <w:vAlign w:val="center"/>
          </w:tcPr>
          <w:p w14:paraId="41E5A00A">
            <w:pPr>
              <w:widowControl/>
              <w:snapToGrid w:val="0"/>
              <w:spacing w:before="100" w:beforeAutospacing="1" w:after="100" w:afterAutospacing="1" w:line="320" w:lineRule="atLeast"/>
              <w:jc w:val="center"/>
              <w:rPr>
                <w:rFonts w:ascii="宋体" w:hAnsi="宋体" w:cs="宋体"/>
                <w:color w:val="auto"/>
                <w:kern w:val="0"/>
                <w:szCs w:val="21"/>
              </w:rPr>
            </w:pPr>
            <w:r>
              <w:rPr>
                <w:rFonts w:ascii="宋体" w:hAnsi="宋体" w:cs="宋体"/>
                <w:color w:val="auto"/>
                <w:kern w:val="0"/>
                <w:szCs w:val="21"/>
              </w:rPr>
              <w:t>数量</w:t>
            </w:r>
          </w:p>
        </w:tc>
        <w:tc>
          <w:tcPr>
            <w:tcW w:w="845" w:type="pct"/>
            <w:tcBorders>
              <w:top w:val="nil"/>
              <w:left w:val="nil"/>
              <w:bottom w:val="single" w:color="auto" w:sz="8" w:space="0"/>
              <w:right w:val="single" w:color="auto" w:sz="8" w:space="0"/>
            </w:tcBorders>
            <w:noWrap w:val="0"/>
            <w:vAlign w:val="center"/>
          </w:tcPr>
          <w:p w14:paraId="732E899C">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金额</w:t>
            </w:r>
          </w:p>
        </w:tc>
      </w:tr>
      <w:tr w14:paraId="7184A4AE">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noWrap w:val="0"/>
            <w:vAlign w:val="center"/>
          </w:tcPr>
          <w:p w14:paraId="0B3D3002">
            <w:pPr>
              <w:widowControl/>
              <w:spacing w:before="100" w:beforeAutospacing="1" w:after="100" w:afterAutospacing="1" w:line="240" w:lineRule="atLeast"/>
              <w:jc w:val="center"/>
              <w:rPr>
                <w:rFonts w:ascii="宋体" w:hAnsi="宋体" w:cs="宋体"/>
                <w:color w:val="auto"/>
                <w:kern w:val="0"/>
                <w:szCs w:val="21"/>
              </w:rPr>
            </w:pPr>
          </w:p>
        </w:tc>
        <w:tc>
          <w:tcPr>
            <w:tcW w:w="1449" w:type="pct"/>
            <w:gridSpan w:val="2"/>
            <w:tcBorders>
              <w:top w:val="nil"/>
              <w:left w:val="nil"/>
              <w:bottom w:val="single" w:color="auto" w:sz="8" w:space="0"/>
              <w:right w:val="single" w:color="auto" w:sz="8" w:space="0"/>
            </w:tcBorders>
            <w:noWrap w:val="0"/>
            <w:vAlign w:val="center"/>
          </w:tcPr>
          <w:p w14:paraId="2AF098E9">
            <w:pPr>
              <w:widowControl/>
              <w:spacing w:before="100" w:beforeAutospacing="1" w:after="100" w:afterAutospacing="1" w:line="240" w:lineRule="atLeast"/>
              <w:jc w:val="center"/>
              <w:rPr>
                <w:rFonts w:ascii="宋体" w:hAnsi="宋体" w:cs="宋体"/>
                <w:color w:val="auto"/>
                <w:kern w:val="0"/>
                <w:szCs w:val="21"/>
              </w:rPr>
            </w:pPr>
          </w:p>
        </w:tc>
        <w:tc>
          <w:tcPr>
            <w:tcW w:w="1718" w:type="pct"/>
            <w:gridSpan w:val="3"/>
            <w:tcBorders>
              <w:top w:val="nil"/>
              <w:left w:val="nil"/>
              <w:bottom w:val="single" w:color="auto" w:sz="8" w:space="0"/>
              <w:right w:val="single" w:color="auto" w:sz="8" w:space="0"/>
            </w:tcBorders>
            <w:noWrap w:val="0"/>
            <w:vAlign w:val="center"/>
          </w:tcPr>
          <w:p w14:paraId="436FBE5D">
            <w:pPr>
              <w:widowControl/>
              <w:spacing w:before="100" w:beforeAutospacing="1" w:after="100" w:afterAutospacing="1" w:line="240" w:lineRule="atLeast"/>
              <w:jc w:val="center"/>
              <w:rPr>
                <w:rFonts w:ascii="宋体" w:hAnsi="宋体" w:cs="宋体"/>
                <w:color w:val="auto"/>
                <w:kern w:val="0"/>
                <w:szCs w:val="21"/>
              </w:rPr>
            </w:pPr>
          </w:p>
        </w:tc>
        <w:tc>
          <w:tcPr>
            <w:tcW w:w="511" w:type="pct"/>
            <w:gridSpan w:val="2"/>
            <w:tcBorders>
              <w:top w:val="nil"/>
              <w:left w:val="nil"/>
              <w:bottom w:val="single" w:color="auto" w:sz="8" w:space="0"/>
              <w:right w:val="single" w:color="auto" w:sz="8" w:space="0"/>
            </w:tcBorders>
            <w:noWrap w:val="0"/>
            <w:vAlign w:val="center"/>
          </w:tcPr>
          <w:p w14:paraId="31CC1930">
            <w:pPr>
              <w:widowControl/>
              <w:spacing w:before="100" w:beforeAutospacing="1" w:after="100" w:afterAutospacing="1" w:line="240" w:lineRule="atLeast"/>
              <w:jc w:val="center"/>
              <w:rPr>
                <w:rFonts w:ascii="宋体" w:hAnsi="宋体" w:cs="宋体"/>
                <w:color w:val="auto"/>
                <w:kern w:val="0"/>
                <w:szCs w:val="21"/>
              </w:rPr>
            </w:pPr>
          </w:p>
        </w:tc>
        <w:tc>
          <w:tcPr>
            <w:tcW w:w="845" w:type="pct"/>
            <w:tcBorders>
              <w:top w:val="nil"/>
              <w:left w:val="nil"/>
              <w:bottom w:val="single" w:color="auto" w:sz="8" w:space="0"/>
              <w:right w:val="single" w:color="auto" w:sz="8" w:space="0"/>
            </w:tcBorders>
            <w:noWrap w:val="0"/>
            <w:vAlign w:val="center"/>
          </w:tcPr>
          <w:p w14:paraId="197B1444">
            <w:pPr>
              <w:widowControl/>
              <w:spacing w:before="100" w:beforeAutospacing="1" w:after="100" w:afterAutospacing="1" w:line="240" w:lineRule="atLeast"/>
              <w:jc w:val="center"/>
              <w:rPr>
                <w:rFonts w:ascii="宋体" w:hAnsi="宋体" w:cs="宋体"/>
                <w:color w:val="auto"/>
                <w:kern w:val="0"/>
                <w:szCs w:val="21"/>
              </w:rPr>
            </w:pPr>
          </w:p>
        </w:tc>
      </w:tr>
      <w:tr w14:paraId="07A19751">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noWrap w:val="0"/>
            <w:vAlign w:val="center"/>
          </w:tcPr>
          <w:p w14:paraId="573FF6EE">
            <w:pPr>
              <w:widowControl/>
              <w:spacing w:before="100" w:beforeAutospacing="1" w:after="100" w:afterAutospacing="1" w:line="240" w:lineRule="atLeast"/>
              <w:jc w:val="center"/>
              <w:rPr>
                <w:rFonts w:ascii="宋体" w:hAnsi="宋体" w:cs="宋体"/>
                <w:color w:val="auto"/>
                <w:kern w:val="0"/>
                <w:szCs w:val="21"/>
              </w:rPr>
            </w:pPr>
          </w:p>
        </w:tc>
        <w:tc>
          <w:tcPr>
            <w:tcW w:w="1449" w:type="pct"/>
            <w:gridSpan w:val="2"/>
            <w:tcBorders>
              <w:top w:val="nil"/>
              <w:left w:val="nil"/>
              <w:bottom w:val="single" w:color="auto" w:sz="8" w:space="0"/>
              <w:right w:val="single" w:color="auto" w:sz="8" w:space="0"/>
            </w:tcBorders>
            <w:noWrap w:val="0"/>
            <w:vAlign w:val="center"/>
          </w:tcPr>
          <w:p w14:paraId="77533766">
            <w:pPr>
              <w:widowControl/>
              <w:spacing w:before="100" w:beforeAutospacing="1" w:after="100" w:afterAutospacing="1" w:line="240" w:lineRule="atLeast"/>
              <w:jc w:val="center"/>
              <w:rPr>
                <w:rFonts w:ascii="宋体" w:hAnsi="宋体" w:cs="宋体"/>
                <w:color w:val="auto"/>
                <w:kern w:val="0"/>
                <w:szCs w:val="21"/>
              </w:rPr>
            </w:pPr>
          </w:p>
        </w:tc>
        <w:tc>
          <w:tcPr>
            <w:tcW w:w="1718" w:type="pct"/>
            <w:gridSpan w:val="3"/>
            <w:tcBorders>
              <w:top w:val="nil"/>
              <w:left w:val="nil"/>
              <w:bottom w:val="single" w:color="auto" w:sz="8" w:space="0"/>
              <w:right w:val="single" w:color="auto" w:sz="8" w:space="0"/>
            </w:tcBorders>
            <w:noWrap w:val="0"/>
            <w:vAlign w:val="center"/>
          </w:tcPr>
          <w:p w14:paraId="2F473B81">
            <w:pPr>
              <w:widowControl/>
              <w:spacing w:before="100" w:beforeAutospacing="1" w:after="100" w:afterAutospacing="1" w:line="240" w:lineRule="atLeast"/>
              <w:jc w:val="center"/>
              <w:rPr>
                <w:rFonts w:ascii="宋体" w:hAnsi="宋体" w:cs="宋体"/>
                <w:color w:val="auto"/>
                <w:kern w:val="0"/>
                <w:szCs w:val="21"/>
              </w:rPr>
            </w:pPr>
          </w:p>
        </w:tc>
        <w:tc>
          <w:tcPr>
            <w:tcW w:w="511" w:type="pct"/>
            <w:gridSpan w:val="2"/>
            <w:tcBorders>
              <w:top w:val="nil"/>
              <w:left w:val="nil"/>
              <w:bottom w:val="single" w:color="auto" w:sz="8" w:space="0"/>
              <w:right w:val="single" w:color="auto" w:sz="8" w:space="0"/>
            </w:tcBorders>
            <w:noWrap w:val="0"/>
            <w:vAlign w:val="center"/>
          </w:tcPr>
          <w:p w14:paraId="40CECFFD">
            <w:pPr>
              <w:widowControl/>
              <w:spacing w:before="100" w:beforeAutospacing="1" w:after="100" w:afterAutospacing="1" w:line="240" w:lineRule="atLeast"/>
              <w:jc w:val="center"/>
              <w:rPr>
                <w:rFonts w:ascii="宋体" w:hAnsi="宋体" w:cs="宋体"/>
                <w:color w:val="auto"/>
                <w:kern w:val="0"/>
                <w:szCs w:val="21"/>
              </w:rPr>
            </w:pPr>
          </w:p>
        </w:tc>
        <w:tc>
          <w:tcPr>
            <w:tcW w:w="845" w:type="pct"/>
            <w:tcBorders>
              <w:top w:val="nil"/>
              <w:left w:val="nil"/>
              <w:bottom w:val="single" w:color="auto" w:sz="8" w:space="0"/>
              <w:right w:val="single" w:color="auto" w:sz="8" w:space="0"/>
            </w:tcBorders>
            <w:noWrap w:val="0"/>
            <w:vAlign w:val="center"/>
          </w:tcPr>
          <w:p w14:paraId="2F70DEC3">
            <w:pPr>
              <w:widowControl/>
              <w:spacing w:before="100" w:beforeAutospacing="1" w:after="100" w:afterAutospacing="1" w:line="240" w:lineRule="atLeast"/>
              <w:jc w:val="center"/>
              <w:rPr>
                <w:rFonts w:ascii="宋体" w:hAnsi="宋体" w:cs="宋体"/>
                <w:color w:val="auto"/>
                <w:kern w:val="0"/>
                <w:szCs w:val="21"/>
              </w:rPr>
            </w:pPr>
          </w:p>
        </w:tc>
      </w:tr>
      <w:tr w14:paraId="4708ED3D">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noWrap w:val="0"/>
            <w:vAlign w:val="center"/>
          </w:tcPr>
          <w:p w14:paraId="71185E63">
            <w:pPr>
              <w:widowControl/>
              <w:spacing w:before="100" w:beforeAutospacing="1" w:after="100" w:afterAutospacing="1" w:line="240" w:lineRule="atLeast"/>
              <w:jc w:val="center"/>
              <w:rPr>
                <w:rFonts w:ascii="宋体" w:hAnsi="宋体" w:cs="宋体"/>
                <w:color w:val="auto"/>
                <w:kern w:val="0"/>
                <w:szCs w:val="21"/>
              </w:rPr>
            </w:pPr>
          </w:p>
        </w:tc>
        <w:tc>
          <w:tcPr>
            <w:tcW w:w="1449" w:type="pct"/>
            <w:gridSpan w:val="2"/>
            <w:tcBorders>
              <w:top w:val="nil"/>
              <w:left w:val="nil"/>
              <w:bottom w:val="single" w:color="auto" w:sz="8" w:space="0"/>
              <w:right w:val="single" w:color="auto" w:sz="8" w:space="0"/>
            </w:tcBorders>
            <w:noWrap w:val="0"/>
            <w:vAlign w:val="center"/>
          </w:tcPr>
          <w:p w14:paraId="1442A1D5">
            <w:pPr>
              <w:widowControl/>
              <w:spacing w:before="100" w:beforeAutospacing="1" w:after="100" w:afterAutospacing="1" w:line="240" w:lineRule="atLeast"/>
              <w:jc w:val="center"/>
              <w:rPr>
                <w:rFonts w:ascii="宋体" w:hAnsi="宋体" w:cs="宋体"/>
                <w:color w:val="auto"/>
                <w:kern w:val="0"/>
                <w:szCs w:val="21"/>
              </w:rPr>
            </w:pPr>
          </w:p>
        </w:tc>
        <w:tc>
          <w:tcPr>
            <w:tcW w:w="1718" w:type="pct"/>
            <w:gridSpan w:val="3"/>
            <w:tcBorders>
              <w:top w:val="nil"/>
              <w:left w:val="nil"/>
              <w:bottom w:val="single" w:color="auto" w:sz="8" w:space="0"/>
              <w:right w:val="single" w:color="auto" w:sz="8" w:space="0"/>
            </w:tcBorders>
            <w:noWrap w:val="0"/>
            <w:vAlign w:val="center"/>
          </w:tcPr>
          <w:p w14:paraId="1A34FD77">
            <w:pPr>
              <w:widowControl/>
              <w:spacing w:before="100" w:beforeAutospacing="1" w:after="100" w:afterAutospacing="1" w:line="240" w:lineRule="atLeast"/>
              <w:jc w:val="center"/>
              <w:rPr>
                <w:rFonts w:ascii="宋体" w:hAnsi="宋体" w:cs="宋体"/>
                <w:color w:val="auto"/>
                <w:kern w:val="0"/>
                <w:szCs w:val="21"/>
              </w:rPr>
            </w:pPr>
          </w:p>
        </w:tc>
        <w:tc>
          <w:tcPr>
            <w:tcW w:w="511" w:type="pct"/>
            <w:gridSpan w:val="2"/>
            <w:tcBorders>
              <w:top w:val="nil"/>
              <w:left w:val="nil"/>
              <w:bottom w:val="single" w:color="auto" w:sz="8" w:space="0"/>
              <w:right w:val="single" w:color="auto" w:sz="8" w:space="0"/>
            </w:tcBorders>
            <w:noWrap w:val="0"/>
            <w:vAlign w:val="center"/>
          </w:tcPr>
          <w:p w14:paraId="4758ED6B">
            <w:pPr>
              <w:widowControl/>
              <w:spacing w:before="100" w:beforeAutospacing="1" w:after="100" w:afterAutospacing="1" w:line="240" w:lineRule="atLeast"/>
              <w:jc w:val="center"/>
              <w:rPr>
                <w:rFonts w:ascii="宋体" w:hAnsi="宋体" w:cs="宋体"/>
                <w:color w:val="auto"/>
                <w:kern w:val="0"/>
                <w:szCs w:val="21"/>
              </w:rPr>
            </w:pPr>
          </w:p>
        </w:tc>
        <w:tc>
          <w:tcPr>
            <w:tcW w:w="845" w:type="pct"/>
            <w:tcBorders>
              <w:top w:val="nil"/>
              <w:left w:val="nil"/>
              <w:bottom w:val="single" w:color="auto" w:sz="8" w:space="0"/>
              <w:right w:val="single" w:color="auto" w:sz="8" w:space="0"/>
            </w:tcBorders>
            <w:noWrap w:val="0"/>
            <w:vAlign w:val="center"/>
          </w:tcPr>
          <w:p w14:paraId="17653837">
            <w:pPr>
              <w:widowControl/>
              <w:spacing w:before="100" w:beforeAutospacing="1" w:after="100" w:afterAutospacing="1" w:line="240" w:lineRule="atLeast"/>
              <w:jc w:val="center"/>
              <w:rPr>
                <w:rFonts w:ascii="宋体" w:hAnsi="宋体" w:cs="宋体"/>
                <w:color w:val="auto"/>
                <w:kern w:val="0"/>
                <w:szCs w:val="21"/>
              </w:rPr>
            </w:pPr>
          </w:p>
        </w:tc>
      </w:tr>
      <w:tr w14:paraId="7EADDFDB">
        <w:tblPrEx>
          <w:tblCellMar>
            <w:top w:w="0" w:type="dxa"/>
            <w:left w:w="0" w:type="dxa"/>
            <w:bottom w:w="0" w:type="dxa"/>
            <w:right w:w="0" w:type="dxa"/>
          </w:tblCellMar>
        </w:tblPrEx>
        <w:trPr>
          <w:trHeight w:val="487" w:hRule="atLeast"/>
          <w:jc w:val="center"/>
        </w:trPr>
        <w:tc>
          <w:tcPr>
            <w:tcW w:w="3644" w:type="pct"/>
            <w:gridSpan w:val="6"/>
            <w:tcBorders>
              <w:top w:val="nil"/>
              <w:left w:val="single" w:color="auto" w:sz="8" w:space="0"/>
              <w:bottom w:val="single" w:color="auto" w:sz="8" w:space="0"/>
              <w:right w:val="single" w:color="auto" w:sz="8" w:space="0"/>
            </w:tcBorders>
            <w:noWrap w:val="0"/>
            <w:vAlign w:val="center"/>
          </w:tcPr>
          <w:p w14:paraId="1092D156">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ascii="宋体" w:hAnsi="宋体" w:cs="宋体"/>
                <w:color w:val="auto"/>
                <w:kern w:val="0"/>
                <w:szCs w:val="21"/>
              </w:rPr>
              <w:t>合 计</w:t>
            </w:r>
          </w:p>
        </w:tc>
        <w:tc>
          <w:tcPr>
            <w:tcW w:w="511" w:type="pct"/>
            <w:gridSpan w:val="2"/>
            <w:tcBorders>
              <w:top w:val="nil"/>
              <w:left w:val="nil"/>
              <w:bottom w:val="single" w:color="auto" w:sz="8" w:space="0"/>
              <w:right w:val="single" w:color="auto" w:sz="8" w:space="0"/>
            </w:tcBorders>
            <w:noWrap w:val="0"/>
            <w:vAlign w:val="center"/>
          </w:tcPr>
          <w:p w14:paraId="5F530D33">
            <w:pPr>
              <w:widowControl/>
              <w:spacing w:before="100" w:beforeAutospacing="1" w:after="100" w:afterAutospacing="1" w:line="240" w:lineRule="atLeast"/>
              <w:jc w:val="center"/>
              <w:rPr>
                <w:rFonts w:ascii="宋体" w:hAnsi="宋体" w:cs="宋体"/>
                <w:color w:val="auto"/>
                <w:kern w:val="0"/>
                <w:szCs w:val="21"/>
              </w:rPr>
            </w:pPr>
          </w:p>
        </w:tc>
        <w:tc>
          <w:tcPr>
            <w:tcW w:w="845" w:type="pct"/>
            <w:tcBorders>
              <w:top w:val="nil"/>
              <w:left w:val="nil"/>
              <w:bottom w:val="single" w:color="auto" w:sz="8" w:space="0"/>
              <w:right w:val="single" w:color="auto" w:sz="8" w:space="0"/>
            </w:tcBorders>
            <w:noWrap w:val="0"/>
            <w:vAlign w:val="center"/>
          </w:tcPr>
          <w:p w14:paraId="412CEE6A">
            <w:pPr>
              <w:widowControl/>
              <w:spacing w:before="100" w:beforeAutospacing="1" w:after="100" w:afterAutospacing="1" w:line="240" w:lineRule="atLeast"/>
              <w:jc w:val="center"/>
              <w:rPr>
                <w:rFonts w:ascii="宋体" w:hAnsi="宋体" w:cs="宋体"/>
                <w:color w:val="auto"/>
                <w:kern w:val="0"/>
                <w:szCs w:val="21"/>
              </w:rPr>
            </w:pPr>
          </w:p>
        </w:tc>
      </w:tr>
      <w:tr w14:paraId="62ABE910">
        <w:tblPrEx>
          <w:tblCellMar>
            <w:top w:w="0" w:type="dxa"/>
            <w:left w:w="0" w:type="dxa"/>
            <w:bottom w:w="0" w:type="dxa"/>
            <w:right w:w="0" w:type="dxa"/>
          </w:tblCellMar>
        </w:tblPrEx>
        <w:trPr>
          <w:trHeight w:val="641" w:hRule="atLeast"/>
          <w:jc w:val="center"/>
        </w:trPr>
        <w:tc>
          <w:tcPr>
            <w:tcW w:w="5000" w:type="pct"/>
            <w:gridSpan w:val="9"/>
            <w:tcBorders>
              <w:top w:val="nil"/>
              <w:left w:val="single" w:color="auto" w:sz="8" w:space="0"/>
              <w:bottom w:val="single" w:color="auto" w:sz="8" w:space="0"/>
              <w:right w:val="single" w:color="auto" w:sz="8" w:space="0"/>
            </w:tcBorders>
            <w:noWrap w:val="0"/>
            <w:vAlign w:val="center"/>
          </w:tcPr>
          <w:p w14:paraId="38E2B1CD">
            <w:pPr>
              <w:widowControl/>
              <w:snapToGrid w:val="0"/>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 xml:space="preserve">合计大写金额： </w:t>
            </w:r>
            <w:r>
              <w:rPr>
                <w:rFonts w:hint="eastAsia" w:ascii="宋体" w:hAnsi="宋体" w:cs="宋体"/>
                <w:color w:val="auto"/>
                <w:kern w:val="0"/>
                <w:szCs w:val="21"/>
              </w:rPr>
              <w:t xml:space="preserve"> </w:t>
            </w:r>
            <w:r>
              <w:rPr>
                <w:rFonts w:ascii="宋体" w:hAnsi="宋体" w:cs="宋体"/>
                <w:color w:val="auto"/>
                <w:kern w:val="0"/>
                <w:szCs w:val="21"/>
              </w:rPr>
              <w:t xml:space="preserve">仟 </w:t>
            </w:r>
            <w:r>
              <w:rPr>
                <w:rFonts w:hint="eastAsia" w:ascii="宋体" w:hAnsi="宋体" w:cs="宋体"/>
                <w:color w:val="auto"/>
                <w:kern w:val="0"/>
                <w:szCs w:val="21"/>
              </w:rPr>
              <w:t xml:space="preserve"> </w:t>
            </w:r>
            <w:r>
              <w:rPr>
                <w:rFonts w:ascii="宋体" w:hAnsi="宋体" w:cs="宋体"/>
                <w:color w:val="auto"/>
                <w:kern w:val="0"/>
                <w:szCs w:val="21"/>
              </w:rPr>
              <w:t xml:space="preserve">佰 </w:t>
            </w:r>
            <w:r>
              <w:rPr>
                <w:rFonts w:hint="eastAsia" w:ascii="宋体" w:hAnsi="宋体" w:cs="宋体"/>
                <w:color w:val="auto"/>
                <w:kern w:val="0"/>
                <w:szCs w:val="21"/>
              </w:rPr>
              <w:t xml:space="preserve"> </w:t>
            </w:r>
            <w:r>
              <w:rPr>
                <w:rFonts w:ascii="宋体" w:hAnsi="宋体" w:cs="宋体"/>
                <w:color w:val="auto"/>
                <w:kern w:val="0"/>
                <w:szCs w:val="21"/>
              </w:rPr>
              <w:t xml:space="preserve">拾 </w:t>
            </w:r>
            <w:r>
              <w:rPr>
                <w:rFonts w:hint="eastAsia" w:ascii="宋体" w:hAnsi="宋体" w:cs="宋体"/>
                <w:color w:val="auto"/>
                <w:kern w:val="0"/>
                <w:szCs w:val="21"/>
              </w:rPr>
              <w:t xml:space="preserve"> </w:t>
            </w:r>
            <w:r>
              <w:rPr>
                <w:rFonts w:ascii="宋体" w:hAnsi="宋体" w:cs="宋体"/>
                <w:color w:val="auto"/>
                <w:kern w:val="0"/>
                <w:szCs w:val="21"/>
              </w:rPr>
              <w:t xml:space="preserve">万 </w:t>
            </w:r>
            <w:r>
              <w:rPr>
                <w:rFonts w:hint="eastAsia" w:ascii="宋体" w:hAnsi="宋体" w:cs="宋体"/>
                <w:color w:val="auto"/>
                <w:kern w:val="0"/>
                <w:szCs w:val="21"/>
              </w:rPr>
              <w:t xml:space="preserve"> </w:t>
            </w:r>
            <w:r>
              <w:rPr>
                <w:rFonts w:ascii="宋体" w:hAnsi="宋体" w:cs="宋体"/>
                <w:color w:val="auto"/>
                <w:kern w:val="0"/>
                <w:szCs w:val="21"/>
              </w:rPr>
              <w:t xml:space="preserve">仟 </w:t>
            </w:r>
            <w:r>
              <w:rPr>
                <w:rFonts w:hint="eastAsia" w:ascii="宋体" w:hAnsi="宋体" w:cs="宋体"/>
                <w:color w:val="auto"/>
                <w:kern w:val="0"/>
                <w:szCs w:val="21"/>
              </w:rPr>
              <w:t xml:space="preserve"> </w:t>
            </w:r>
            <w:r>
              <w:rPr>
                <w:rFonts w:ascii="宋体" w:hAnsi="宋体" w:cs="宋体"/>
                <w:color w:val="auto"/>
                <w:kern w:val="0"/>
                <w:szCs w:val="21"/>
              </w:rPr>
              <w:t xml:space="preserve">佰 </w:t>
            </w:r>
            <w:r>
              <w:rPr>
                <w:rFonts w:hint="eastAsia" w:ascii="宋体" w:hAnsi="宋体" w:cs="宋体"/>
                <w:color w:val="auto"/>
                <w:kern w:val="0"/>
                <w:szCs w:val="21"/>
              </w:rPr>
              <w:t xml:space="preserve"> </w:t>
            </w:r>
            <w:r>
              <w:rPr>
                <w:rFonts w:ascii="宋体" w:hAnsi="宋体" w:cs="宋体"/>
                <w:color w:val="auto"/>
                <w:kern w:val="0"/>
                <w:szCs w:val="21"/>
              </w:rPr>
              <w:t xml:space="preserve">拾 </w:t>
            </w:r>
            <w:r>
              <w:rPr>
                <w:rFonts w:hint="eastAsia" w:ascii="宋体" w:hAnsi="宋体" w:cs="宋体"/>
                <w:color w:val="auto"/>
                <w:kern w:val="0"/>
                <w:szCs w:val="21"/>
              </w:rPr>
              <w:t xml:space="preserve"> </w:t>
            </w:r>
            <w:r>
              <w:rPr>
                <w:rFonts w:ascii="宋体" w:hAnsi="宋体" w:cs="宋体"/>
                <w:color w:val="auto"/>
                <w:kern w:val="0"/>
                <w:szCs w:val="21"/>
              </w:rPr>
              <w:t>元</w:t>
            </w:r>
          </w:p>
        </w:tc>
      </w:tr>
      <w:tr w14:paraId="6BADA00B">
        <w:tblPrEx>
          <w:tblCellMar>
            <w:top w:w="0" w:type="dxa"/>
            <w:left w:w="0" w:type="dxa"/>
            <w:bottom w:w="0" w:type="dxa"/>
            <w:right w:w="0" w:type="dxa"/>
          </w:tblCellMar>
        </w:tblPrEx>
        <w:trPr>
          <w:trHeight w:val="641" w:hRule="atLeast"/>
          <w:jc w:val="center"/>
        </w:trPr>
        <w:tc>
          <w:tcPr>
            <w:tcW w:w="964" w:type="pct"/>
            <w:gridSpan w:val="2"/>
            <w:tcBorders>
              <w:top w:val="nil"/>
              <w:left w:val="single" w:color="auto" w:sz="8" w:space="0"/>
              <w:bottom w:val="single" w:color="auto" w:sz="8" w:space="0"/>
              <w:right w:val="single" w:color="auto" w:sz="8" w:space="0"/>
            </w:tcBorders>
            <w:noWrap w:val="0"/>
            <w:vAlign w:val="center"/>
          </w:tcPr>
          <w:p w14:paraId="0A353F29">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实际供货日期</w:t>
            </w:r>
          </w:p>
        </w:tc>
        <w:tc>
          <w:tcPr>
            <w:tcW w:w="1433" w:type="pct"/>
            <w:gridSpan w:val="2"/>
            <w:tcBorders>
              <w:top w:val="nil"/>
              <w:left w:val="nil"/>
              <w:bottom w:val="single" w:color="auto" w:sz="8" w:space="0"/>
              <w:right w:val="single" w:color="auto" w:sz="8" w:space="0"/>
            </w:tcBorders>
            <w:noWrap w:val="0"/>
            <w:vAlign w:val="center"/>
          </w:tcPr>
          <w:p w14:paraId="57DFE019">
            <w:pPr>
              <w:widowControl/>
              <w:spacing w:before="100" w:beforeAutospacing="1" w:after="100" w:afterAutospacing="1" w:line="240" w:lineRule="atLeast"/>
              <w:jc w:val="center"/>
              <w:rPr>
                <w:rFonts w:ascii="宋体" w:hAnsi="宋体" w:cs="宋体"/>
                <w:color w:val="auto"/>
                <w:kern w:val="0"/>
                <w:szCs w:val="21"/>
              </w:rPr>
            </w:pPr>
          </w:p>
        </w:tc>
        <w:tc>
          <w:tcPr>
            <w:tcW w:w="1351" w:type="pct"/>
            <w:gridSpan w:val="3"/>
            <w:tcBorders>
              <w:top w:val="nil"/>
              <w:left w:val="nil"/>
              <w:bottom w:val="single" w:color="auto" w:sz="8" w:space="0"/>
              <w:right w:val="single" w:color="auto" w:sz="8" w:space="0"/>
            </w:tcBorders>
            <w:noWrap w:val="0"/>
            <w:vAlign w:val="center"/>
          </w:tcPr>
          <w:p w14:paraId="4F04D8A4">
            <w:pPr>
              <w:widowControl/>
              <w:snapToGrid w:val="0"/>
              <w:spacing w:before="100" w:beforeAutospacing="1" w:after="100" w:afterAutospacing="1" w:line="320" w:lineRule="atLeast"/>
              <w:ind w:firstLine="46"/>
              <w:jc w:val="center"/>
              <w:rPr>
                <w:rFonts w:ascii="宋体" w:hAnsi="宋体" w:cs="宋体"/>
                <w:color w:val="auto"/>
                <w:kern w:val="0"/>
                <w:szCs w:val="21"/>
              </w:rPr>
            </w:pPr>
            <w:r>
              <w:rPr>
                <w:rFonts w:ascii="宋体" w:hAnsi="宋体" w:cs="宋体"/>
                <w:color w:val="auto"/>
                <w:kern w:val="0"/>
                <w:szCs w:val="21"/>
              </w:rPr>
              <w:t>合同交货验收日期</w:t>
            </w:r>
          </w:p>
        </w:tc>
        <w:tc>
          <w:tcPr>
            <w:tcW w:w="1251" w:type="pct"/>
            <w:gridSpan w:val="2"/>
            <w:tcBorders>
              <w:top w:val="nil"/>
              <w:left w:val="nil"/>
              <w:bottom w:val="single" w:color="auto" w:sz="8" w:space="0"/>
              <w:right w:val="single" w:color="auto" w:sz="8" w:space="0"/>
            </w:tcBorders>
            <w:noWrap w:val="0"/>
            <w:vAlign w:val="center"/>
          </w:tcPr>
          <w:p w14:paraId="6D529665">
            <w:pPr>
              <w:widowControl/>
              <w:spacing w:before="100" w:beforeAutospacing="1" w:after="100" w:afterAutospacing="1" w:line="240" w:lineRule="atLeast"/>
              <w:jc w:val="center"/>
              <w:rPr>
                <w:rFonts w:ascii="宋体" w:hAnsi="宋体" w:cs="宋体"/>
                <w:color w:val="auto"/>
                <w:kern w:val="0"/>
                <w:szCs w:val="21"/>
              </w:rPr>
            </w:pPr>
          </w:p>
        </w:tc>
      </w:tr>
      <w:tr w14:paraId="09BFDBB0">
        <w:tblPrEx>
          <w:tblCellMar>
            <w:top w:w="0" w:type="dxa"/>
            <w:left w:w="0" w:type="dxa"/>
            <w:bottom w:w="0" w:type="dxa"/>
            <w:right w:w="0" w:type="dxa"/>
          </w:tblCellMar>
        </w:tblPrEx>
        <w:trPr>
          <w:trHeight w:val="394" w:hRule="atLeast"/>
          <w:jc w:val="center"/>
        </w:trPr>
        <w:tc>
          <w:tcPr>
            <w:tcW w:w="964" w:type="pct"/>
            <w:gridSpan w:val="2"/>
            <w:tcBorders>
              <w:top w:val="nil"/>
              <w:left w:val="single" w:color="auto" w:sz="8" w:space="0"/>
              <w:bottom w:val="single" w:color="auto" w:sz="8" w:space="0"/>
              <w:right w:val="single" w:color="auto" w:sz="8" w:space="0"/>
            </w:tcBorders>
            <w:noWrap w:val="0"/>
            <w:vAlign w:val="center"/>
          </w:tcPr>
          <w:p w14:paraId="4A2FAD8C">
            <w:pPr>
              <w:widowControl/>
              <w:spacing w:before="100" w:beforeAutospacing="1" w:after="100" w:afterAutospacing="1" w:line="240" w:lineRule="atLeast"/>
              <w:jc w:val="center"/>
              <w:rPr>
                <w:rFonts w:ascii="宋体" w:hAnsi="宋体" w:cs="宋体"/>
                <w:color w:val="auto"/>
                <w:kern w:val="0"/>
                <w:szCs w:val="21"/>
              </w:rPr>
            </w:pPr>
          </w:p>
        </w:tc>
        <w:tc>
          <w:tcPr>
            <w:tcW w:w="1433" w:type="pct"/>
            <w:gridSpan w:val="2"/>
            <w:tcBorders>
              <w:top w:val="nil"/>
              <w:left w:val="nil"/>
              <w:bottom w:val="single" w:color="auto" w:sz="8" w:space="0"/>
              <w:right w:val="single" w:color="auto" w:sz="8" w:space="0"/>
            </w:tcBorders>
            <w:noWrap w:val="0"/>
            <w:vAlign w:val="center"/>
          </w:tcPr>
          <w:p w14:paraId="41D62B5C">
            <w:pPr>
              <w:widowControl/>
              <w:spacing w:before="100" w:beforeAutospacing="1" w:after="100" w:afterAutospacing="1" w:line="240" w:lineRule="atLeast"/>
              <w:jc w:val="center"/>
              <w:rPr>
                <w:rFonts w:ascii="宋体" w:hAnsi="宋体" w:cs="宋体"/>
                <w:color w:val="auto"/>
                <w:kern w:val="0"/>
                <w:szCs w:val="21"/>
              </w:rPr>
            </w:pPr>
          </w:p>
        </w:tc>
        <w:tc>
          <w:tcPr>
            <w:tcW w:w="1351" w:type="pct"/>
            <w:gridSpan w:val="3"/>
            <w:tcBorders>
              <w:top w:val="nil"/>
              <w:left w:val="nil"/>
              <w:bottom w:val="single" w:color="auto" w:sz="8" w:space="0"/>
              <w:right w:val="single" w:color="auto" w:sz="8" w:space="0"/>
            </w:tcBorders>
            <w:noWrap w:val="0"/>
            <w:vAlign w:val="center"/>
          </w:tcPr>
          <w:p w14:paraId="7672749D">
            <w:pPr>
              <w:widowControl/>
              <w:spacing w:before="100" w:beforeAutospacing="1" w:after="100" w:afterAutospacing="1" w:line="240" w:lineRule="atLeast"/>
              <w:jc w:val="center"/>
              <w:rPr>
                <w:rFonts w:ascii="宋体" w:hAnsi="宋体" w:cs="宋体"/>
                <w:color w:val="auto"/>
                <w:kern w:val="0"/>
                <w:szCs w:val="21"/>
              </w:rPr>
            </w:pPr>
          </w:p>
        </w:tc>
        <w:tc>
          <w:tcPr>
            <w:tcW w:w="1251" w:type="pct"/>
            <w:gridSpan w:val="2"/>
            <w:tcBorders>
              <w:top w:val="nil"/>
              <w:left w:val="nil"/>
              <w:bottom w:val="single" w:color="auto" w:sz="8" w:space="0"/>
              <w:right w:val="single" w:color="auto" w:sz="8" w:space="0"/>
            </w:tcBorders>
            <w:noWrap w:val="0"/>
            <w:vAlign w:val="center"/>
          </w:tcPr>
          <w:p w14:paraId="5AF6B593">
            <w:pPr>
              <w:widowControl/>
              <w:spacing w:before="100" w:beforeAutospacing="1" w:after="100" w:afterAutospacing="1" w:line="240" w:lineRule="atLeast"/>
              <w:jc w:val="center"/>
              <w:rPr>
                <w:rFonts w:ascii="宋体" w:hAnsi="宋体" w:cs="宋体"/>
                <w:color w:val="auto"/>
                <w:kern w:val="0"/>
                <w:szCs w:val="21"/>
              </w:rPr>
            </w:pPr>
          </w:p>
        </w:tc>
      </w:tr>
      <w:tr w14:paraId="08A18624">
        <w:tblPrEx>
          <w:tblCellMar>
            <w:top w:w="0" w:type="dxa"/>
            <w:left w:w="0" w:type="dxa"/>
            <w:bottom w:w="0" w:type="dxa"/>
            <w:right w:w="0" w:type="dxa"/>
          </w:tblCellMar>
        </w:tblPrEx>
        <w:trPr>
          <w:trHeight w:val="693" w:hRule="atLeast"/>
          <w:jc w:val="center"/>
        </w:trPr>
        <w:tc>
          <w:tcPr>
            <w:tcW w:w="964"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75FF97">
            <w:pPr>
              <w:widowControl/>
              <w:snapToGrid w:val="0"/>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验收具体内容</w:t>
            </w:r>
          </w:p>
        </w:tc>
        <w:tc>
          <w:tcPr>
            <w:tcW w:w="4036" w:type="pct"/>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44939E">
            <w:pPr>
              <w:widowControl/>
              <w:snapToGrid w:val="0"/>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应按采购合同、采购文件、响应文件及验收方案等进行验收；并核对成交供应商在安装调试等方面是否违反合同约定或者服务规范要求、提供的质量保证证明材料是否齐全、应有的配件及附件是否达到合同约定等。可附件)</w:t>
            </w:r>
          </w:p>
        </w:tc>
      </w:tr>
      <w:tr w14:paraId="59B38019">
        <w:tblPrEx>
          <w:tblCellMar>
            <w:top w:w="0" w:type="dxa"/>
            <w:left w:w="0" w:type="dxa"/>
            <w:bottom w:w="0" w:type="dxa"/>
            <w:right w:w="0" w:type="dxa"/>
          </w:tblCellMar>
        </w:tblPrEx>
        <w:trPr>
          <w:trHeight w:val="870" w:hRule="atLeast"/>
          <w:jc w:val="center"/>
        </w:trPr>
        <w:tc>
          <w:tcPr>
            <w:tcW w:w="964" w:type="pct"/>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4F7D85D">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验收小组意见</w:t>
            </w:r>
          </w:p>
        </w:tc>
        <w:tc>
          <w:tcPr>
            <w:tcW w:w="4036" w:type="pct"/>
            <w:gridSpan w:val="7"/>
            <w:tcBorders>
              <w:top w:val="nil"/>
              <w:left w:val="nil"/>
              <w:bottom w:val="single" w:color="auto" w:sz="8" w:space="0"/>
              <w:right w:val="single" w:color="auto" w:sz="8" w:space="0"/>
            </w:tcBorders>
            <w:noWrap w:val="0"/>
            <w:vAlign w:val="center"/>
          </w:tcPr>
          <w:p w14:paraId="40B1669C">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验收结论性意见：</w:t>
            </w:r>
          </w:p>
        </w:tc>
      </w:tr>
      <w:tr w14:paraId="29BC9E17">
        <w:tblPrEx>
          <w:tblCellMar>
            <w:top w:w="0" w:type="dxa"/>
            <w:left w:w="0" w:type="dxa"/>
            <w:bottom w:w="0" w:type="dxa"/>
            <w:right w:w="0" w:type="dxa"/>
          </w:tblCellMar>
        </w:tblPrEx>
        <w:trPr>
          <w:trHeight w:val="607" w:hRule="atLeast"/>
          <w:jc w:val="center"/>
        </w:trPr>
        <w:tc>
          <w:tcPr>
            <w:tcW w:w="964" w:type="pct"/>
            <w:gridSpan w:val="2"/>
            <w:vMerge w:val="continue"/>
            <w:tcBorders>
              <w:top w:val="nil"/>
              <w:left w:val="single" w:color="auto" w:sz="8" w:space="0"/>
              <w:bottom w:val="single" w:color="auto" w:sz="8" w:space="0"/>
              <w:right w:val="single" w:color="auto" w:sz="8" w:space="0"/>
            </w:tcBorders>
            <w:noWrap w:val="0"/>
            <w:vAlign w:val="center"/>
          </w:tcPr>
          <w:p w14:paraId="22177F0A">
            <w:pPr>
              <w:widowControl/>
              <w:jc w:val="left"/>
              <w:rPr>
                <w:rFonts w:ascii="宋体" w:hAnsi="宋体" w:cs="宋体"/>
                <w:color w:val="auto"/>
                <w:kern w:val="0"/>
                <w:szCs w:val="21"/>
              </w:rPr>
            </w:pPr>
          </w:p>
        </w:tc>
        <w:tc>
          <w:tcPr>
            <w:tcW w:w="4036" w:type="pct"/>
            <w:gridSpan w:val="7"/>
            <w:tcBorders>
              <w:top w:val="nil"/>
              <w:left w:val="nil"/>
              <w:bottom w:val="single" w:color="auto" w:sz="8" w:space="0"/>
              <w:right w:val="single" w:color="auto" w:sz="8" w:space="0"/>
            </w:tcBorders>
            <w:noWrap w:val="0"/>
            <w:vAlign w:val="center"/>
          </w:tcPr>
          <w:p w14:paraId="166EE941">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有异议的意见和说明理由：</w:t>
            </w:r>
          </w:p>
          <w:p w14:paraId="3E4AB4B2">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签字：</w:t>
            </w:r>
          </w:p>
        </w:tc>
      </w:tr>
      <w:tr w14:paraId="64F4A238">
        <w:tblPrEx>
          <w:tblCellMar>
            <w:top w:w="0" w:type="dxa"/>
            <w:left w:w="0" w:type="dxa"/>
            <w:bottom w:w="0" w:type="dxa"/>
            <w:right w:w="0" w:type="dxa"/>
          </w:tblCellMar>
        </w:tblPrEx>
        <w:trPr>
          <w:trHeight w:val="507" w:hRule="atLeast"/>
          <w:jc w:val="center"/>
        </w:trPr>
        <w:tc>
          <w:tcPr>
            <w:tcW w:w="5000" w:type="pct"/>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0C1741">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验收小组成员签字：</w:t>
            </w:r>
          </w:p>
        </w:tc>
      </w:tr>
      <w:tr w14:paraId="6B794EAA">
        <w:tblPrEx>
          <w:tblCellMar>
            <w:top w:w="0" w:type="dxa"/>
            <w:left w:w="0" w:type="dxa"/>
            <w:bottom w:w="0" w:type="dxa"/>
            <w:right w:w="0" w:type="dxa"/>
          </w:tblCellMar>
        </w:tblPrEx>
        <w:trPr>
          <w:trHeight w:val="736" w:hRule="atLeast"/>
          <w:jc w:val="center"/>
        </w:trPr>
        <w:tc>
          <w:tcPr>
            <w:tcW w:w="5000" w:type="pct"/>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9C5E7A">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监督人员或者其他相关人员签字：</w:t>
            </w:r>
          </w:p>
          <w:p w14:paraId="648EF21D">
            <w:pPr>
              <w:widowControl/>
              <w:spacing w:before="100" w:beforeAutospacing="1" w:after="100" w:afterAutospacing="1" w:line="320" w:lineRule="atLeast"/>
              <w:ind w:firstLine="74"/>
              <w:jc w:val="left"/>
              <w:rPr>
                <w:rFonts w:ascii="宋体" w:hAnsi="宋体" w:cs="宋体"/>
                <w:color w:val="auto"/>
                <w:kern w:val="0"/>
                <w:szCs w:val="21"/>
              </w:rPr>
            </w:pPr>
            <w:r>
              <w:rPr>
                <w:rFonts w:ascii="宋体" w:hAnsi="宋体" w:cs="宋体"/>
                <w:color w:val="auto"/>
                <w:kern w:val="0"/>
                <w:szCs w:val="21"/>
              </w:rPr>
              <w:t>或者受邀机构的意见（盖章）：</w:t>
            </w:r>
          </w:p>
        </w:tc>
      </w:tr>
      <w:tr w14:paraId="3812E182">
        <w:tblPrEx>
          <w:tblCellMar>
            <w:top w:w="0" w:type="dxa"/>
            <w:left w:w="0" w:type="dxa"/>
            <w:bottom w:w="0" w:type="dxa"/>
            <w:right w:w="0" w:type="dxa"/>
          </w:tblCellMar>
        </w:tblPrEx>
        <w:trPr>
          <w:trHeight w:val="264" w:hRule="atLeast"/>
          <w:jc w:val="center"/>
        </w:trPr>
        <w:tc>
          <w:tcPr>
            <w:tcW w:w="2458" w:type="pct"/>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3E0A6EB6">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成交供应商负责人签字或者盖章：</w:t>
            </w:r>
          </w:p>
          <w:p w14:paraId="39EE070D">
            <w:pPr>
              <w:widowControl/>
              <w:spacing w:before="100" w:beforeAutospacing="1" w:after="100" w:afterAutospacing="1" w:line="320" w:lineRule="atLeast"/>
              <w:jc w:val="left"/>
              <w:rPr>
                <w:rFonts w:ascii="宋体" w:hAnsi="宋体" w:cs="宋体"/>
                <w:color w:val="auto"/>
                <w:kern w:val="0"/>
                <w:szCs w:val="21"/>
              </w:rPr>
            </w:pPr>
          </w:p>
          <w:p w14:paraId="469ADB87">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联系电话：</w:t>
            </w:r>
            <w:r>
              <w:rPr>
                <w:rFonts w:hint="eastAsia" w:ascii="宋体" w:hAnsi="宋体" w:cs="宋体"/>
                <w:color w:val="auto"/>
                <w:kern w:val="0"/>
                <w:szCs w:val="21"/>
              </w:rPr>
              <w:t xml:space="preserve">               </w:t>
            </w:r>
            <w:r>
              <w:rPr>
                <w:rFonts w:ascii="宋体" w:hAnsi="宋体" w:cs="宋体"/>
                <w:color w:val="auto"/>
                <w:kern w:val="0"/>
                <w:szCs w:val="21"/>
              </w:rPr>
              <w:t xml:space="preserve"> 年</w:t>
            </w:r>
            <w:r>
              <w:rPr>
                <w:rFonts w:hint="eastAsia" w:ascii="宋体" w:hAnsi="宋体" w:cs="宋体"/>
                <w:color w:val="auto"/>
                <w:kern w:val="0"/>
                <w:szCs w:val="21"/>
              </w:rPr>
              <w:t xml:space="preserve"> </w:t>
            </w:r>
            <w:r>
              <w:rPr>
                <w:rFonts w:ascii="宋体" w:hAnsi="宋体" w:cs="宋体"/>
                <w:color w:val="auto"/>
                <w:kern w:val="0"/>
                <w:szCs w:val="21"/>
              </w:rPr>
              <w:t xml:space="preserve"> 月 </w:t>
            </w:r>
            <w:r>
              <w:rPr>
                <w:rFonts w:hint="eastAsia" w:ascii="宋体" w:hAnsi="宋体" w:cs="宋体"/>
                <w:color w:val="auto"/>
                <w:kern w:val="0"/>
                <w:szCs w:val="21"/>
              </w:rPr>
              <w:t xml:space="preserve"> </w:t>
            </w:r>
            <w:r>
              <w:rPr>
                <w:rFonts w:ascii="宋体" w:hAnsi="宋体" w:cs="宋体"/>
                <w:color w:val="auto"/>
                <w:kern w:val="0"/>
                <w:szCs w:val="21"/>
              </w:rPr>
              <w:t>日</w:t>
            </w:r>
          </w:p>
        </w:tc>
        <w:tc>
          <w:tcPr>
            <w:tcW w:w="2542" w:type="pct"/>
            <w:gridSpan w:val="4"/>
            <w:tcBorders>
              <w:top w:val="nil"/>
              <w:left w:val="nil"/>
              <w:bottom w:val="single" w:color="auto" w:sz="8" w:space="0"/>
              <w:right w:val="single" w:color="auto" w:sz="8" w:space="0"/>
            </w:tcBorders>
            <w:noWrap w:val="0"/>
            <w:vAlign w:val="center"/>
          </w:tcPr>
          <w:p w14:paraId="44005B39">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采购人或者受托机构的意见（盖章）：</w:t>
            </w:r>
          </w:p>
          <w:p w14:paraId="3E4D8AE9">
            <w:pPr>
              <w:widowControl/>
              <w:spacing w:before="100" w:beforeAutospacing="1" w:after="100" w:afterAutospacing="1" w:line="320" w:lineRule="atLeast"/>
              <w:ind w:firstLine="210" w:firstLineChars="100"/>
              <w:jc w:val="left"/>
              <w:rPr>
                <w:rFonts w:ascii="宋体" w:hAnsi="宋体" w:cs="宋体"/>
                <w:color w:val="auto"/>
                <w:kern w:val="0"/>
                <w:szCs w:val="21"/>
              </w:rPr>
            </w:pPr>
          </w:p>
          <w:p w14:paraId="3B54C841">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联系电话：</w:t>
            </w:r>
            <w:r>
              <w:rPr>
                <w:rFonts w:hint="eastAsia" w:ascii="宋体" w:hAnsi="宋体" w:cs="宋体"/>
                <w:color w:val="auto"/>
                <w:kern w:val="0"/>
                <w:szCs w:val="21"/>
              </w:rPr>
              <w:t xml:space="preserve">                  </w:t>
            </w:r>
            <w:r>
              <w:rPr>
                <w:rFonts w:ascii="宋体" w:hAnsi="宋体" w:cs="宋体"/>
                <w:color w:val="auto"/>
                <w:kern w:val="0"/>
                <w:szCs w:val="21"/>
              </w:rPr>
              <w:t>年</w:t>
            </w:r>
            <w:r>
              <w:rPr>
                <w:rFonts w:hint="eastAsia" w:ascii="宋体" w:hAnsi="宋体" w:cs="宋体"/>
                <w:color w:val="auto"/>
                <w:kern w:val="0"/>
                <w:szCs w:val="21"/>
              </w:rPr>
              <w:t xml:space="preserve"> </w:t>
            </w:r>
            <w:r>
              <w:rPr>
                <w:rFonts w:ascii="宋体" w:hAnsi="宋体" w:cs="宋体"/>
                <w:color w:val="auto"/>
                <w:kern w:val="0"/>
                <w:szCs w:val="21"/>
              </w:rPr>
              <w:t xml:space="preserve"> 月</w:t>
            </w:r>
            <w:r>
              <w:rPr>
                <w:rFonts w:hint="eastAsia" w:ascii="宋体" w:hAnsi="宋体" w:cs="宋体"/>
                <w:color w:val="auto"/>
                <w:kern w:val="0"/>
                <w:szCs w:val="21"/>
              </w:rPr>
              <w:t xml:space="preserve"> </w:t>
            </w:r>
            <w:r>
              <w:rPr>
                <w:rFonts w:ascii="宋体" w:hAnsi="宋体" w:cs="宋体"/>
                <w:color w:val="auto"/>
                <w:kern w:val="0"/>
                <w:szCs w:val="21"/>
              </w:rPr>
              <w:t xml:space="preserve"> 日</w:t>
            </w:r>
          </w:p>
        </w:tc>
      </w:tr>
    </w:tbl>
    <w:p w14:paraId="20D137BE">
      <w:pPr>
        <w:pStyle w:val="14"/>
        <w:snapToGrid w:val="0"/>
        <w:ind w:left="840" w:hanging="420"/>
        <w:rPr>
          <w:rFonts w:hint="eastAsia" w:ascii="黑体" w:hAnsi="黑体" w:eastAsia="黑体" w:cs="黑体"/>
          <w:color w:val="auto"/>
          <w:sz w:val="32"/>
          <w:szCs w:val="32"/>
        </w:rPr>
      </w:pPr>
      <w:r>
        <w:rPr>
          <w:rFonts w:hAnsi="宋体"/>
          <w:color w:val="auto"/>
        </w:rPr>
        <w:br w:type="page"/>
      </w:r>
      <w:r>
        <w:rPr>
          <w:rFonts w:hint="eastAsia" w:ascii="黑体" w:hAnsi="黑体" w:eastAsia="黑体" w:cs="黑体"/>
          <w:color w:val="auto"/>
          <w:sz w:val="32"/>
          <w:szCs w:val="32"/>
        </w:rPr>
        <w:t>附件2：</w:t>
      </w:r>
    </w:p>
    <w:p w14:paraId="010451B9">
      <w:pPr>
        <w:jc w:val="center"/>
        <w:rPr>
          <w:rFonts w:hint="eastAsia" w:ascii="宋体" w:hAnsi="宋体" w:cs="宋体"/>
          <w:b/>
          <w:bCs/>
          <w:color w:val="auto"/>
          <w:sz w:val="32"/>
          <w:szCs w:val="32"/>
        </w:rPr>
      </w:pPr>
      <w:r>
        <w:rPr>
          <w:rFonts w:hint="eastAsia" w:ascii="宋体" w:hAnsi="宋体" w:cs="宋体"/>
          <w:b/>
          <w:bCs/>
          <w:color w:val="auto"/>
          <w:sz w:val="32"/>
          <w:szCs w:val="32"/>
        </w:rPr>
        <w:t>政府采购项目履约保证金退付意见书</w:t>
      </w:r>
    </w:p>
    <w:p w14:paraId="66CF2873">
      <w:pPr>
        <w:jc w:val="center"/>
        <w:rPr>
          <w:rFonts w:hint="eastAsia" w:ascii="黑体" w:hAnsi="黑体" w:eastAsia="黑体"/>
          <w:color w:val="auto"/>
          <w:sz w:val="36"/>
          <w:szCs w:val="36"/>
        </w:rPr>
      </w:pPr>
      <w:r>
        <w:rPr>
          <w:rFonts w:hint="eastAsia" w:ascii="宋体" w:hAnsi="宋体" w:cs="宋体"/>
          <w:b/>
          <w:bCs/>
          <w:color w:val="auto"/>
          <w:kern w:val="0"/>
          <w:sz w:val="18"/>
          <w:szCs w:val="18"/>
        </w:rPr>
        <w:t>（本项目如有，可以参考使用）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923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76F8CA90">
            <w:pPr>
              <w:spacing w:line="360" w:lineRule="exact"/>
              <w:jc w:val="center"/>
              <w:rPr>
                <w:rFonts w:hint="eastAsia"/>
                <w:color w:val="auto"/>
                <w:sz w:val="24"/>
              </w:rPr>
            </w:pPr>
            <w:r>
              <w:rPr>
                <w:rFonts w:hint="eastAsia"/>
                <w:color w:val="auto"/>
                <w:sz w:val="24"/>
              </w:rPr>
              <w:t>供</w:t>
            </w:r>
          </w:p>
          <w:p w14:paraId="4EE4927D">
            <w:pPr>
              <w:spacing w:line="360" w:lineRule="exact"/>
              <w:jc w:val="center"/>
              <w:rPr>
                <w:rFonts w:hint="eastAsia"/>
                <w:color w:val="auto"/>
                <w:sz w:val="24"/>
              </w:rPr>
            </w:pPr>
            <w:r>
              <w:rPr>
                <w:rFonts w:hint="eastAsia"/>
                <w:color w:val="auto"/>
                <w:sz w:val="24"/>
              </w:rPr>
              <w:t>应</w:t>
            </w:r>
          </w:p>
          <w:p w14:paraId="5A526657">
            <w:pPr>
              <w:spacing w:line="360" w:lineRule="exact"/>
              <w:jc w:val="center"/>
              <w:rPr>
                <w:rFonts w:hint="eastAsia"/>
                <w:color w:val="auto"/>
                <w:sz w:val="24"/>
              </w:rPr>
            </w:pPr>
            <w:r>
              <w:rPr>
                <w:rFonts w:hint="eastAsia"/>
                <w:color w:val="auto"/>
                <w:sz w:val="24"/>
              </w:rPr>
              <w:t>商</w:t>
            </w:r>
          </w:p>
          <w:p w14:paraId="2F43085E">
            <w:pPr>
              <w:spacing w:line="360" w:lineRule="exact"/>
              <w:jc w:val="center"/>
              <w:rPr>
                <w:rFonts w:hint="eastAsia"/>
                <w:color w:val="auto"/>
                <w:sz w:val="24"/>
              </w:rPr>
            </w:pPr>
            <w:r>
              <w:rPr>
                <w:rFonts w:hint="eastAsia"/>
                <w:color w:val="auto"/>
                <w:sz w:val="24"/>
              </w:rPr>
              <w:t>申</w:t>
            </w:r>
          </w:p>
          <w:p w14:paraId="6A8212EA">
            <w:pPr>
              <w:spacing w:line="360" w:lineRule="exact"/>
              <w:jc w:val="center"/>
              <w:rPr>
                <w:rFonts w:hint="eastAsia"/>
                <w:color w:val="auto"/>
                <w:sz w:val="24"/>
              </w:rPr>
            </w:pPr>
            <w:r>
              <w:rPr>
                <w:rFonts w:hint="eastAsia"/>
                <w:color w:val="auto"/>
                <w:sz w:val="24"/>
              </w:rPr>
              <w:t>请</w:t>
            </w:r>
          </w:p>
        </w:tc>
        <w:tc>
          <w:tcPr>
            <w:tcW w:w="8009" w:type="dxa"/>
            <w:noWrap w:val="0"/>
            <w:vAlign w:val="center"/>
          </w:tcPr>
          <w:p w14:paraId="170137D4">
            <w:pPr>
              <w:spacing w:line="360" w:lineRule="exact"/>
              <w:rPr>
                <w:rFonts w:hint="eastAsia"/>
                <w:color w:val="auto"/>
                <w:sz w:val="24"/>
              </w:rPr>
            </w:pPr>
            <w:r>
              <w:rPr>
                <w:rFonts w:hint="eastAsia"/>
                <w:color w:val="auto"/>
                <w:sz w:val="24"/>
              </w:rPr>
              <w:t>项目编号：</w:t>
            </w:r>
          </w:p>
        </w:tc>
      </w:tr>
      <w:tr w14:paraId="6A8F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486F2F28">
            <w:pPr>
              <w:spacing w:line="360" w:lineRule="exact"/>
              <w:rPr>
                <w:rFonts w:hint="eastAsia"/>
                <w:color w:val="auto"/>
                <w:sz w:val="24"/>
              </w:rPr>
            </w:pPr>
          </w:p>
        </w:tc>
        <w:tc>
          <w:tcPr>
            <w:tcW w:w="8009" w:type="dxa"/>
            <w:noWrap w:val="0"/>
            <w:vAlign w:val="center"/>
          </w:tcPr>
          <w:p w14:paraId="7A58E923">
            <w:pPr>
              <w:spacing w:line="360" w:lineRule="exact"/>
              <w:rPr>
                <w:rFonts w:hint="eastAsia"/>
                <w:color w:val="auto"/>
                <w:sz w:val="24"/>
              </w:rPr>
            </w:pPr>
            <w:r>
              <w:rPr>
                <w:rFonts w:hint="eastAsia"/>
                <w:color w:val="auto"/>
                <w:sz w:val="24"/>
              </w:rPr>
              <w:t>项目名称：</w:t>
            </w:r>
          </w:p>
        </w:tc>
      </w:tr>
      <w:tr w14:paraId="74DB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551E85B8">
            <w:pPr>
              <w:spacing w:line="360" w:lineRule="exact"/>
              <w:rPr>
                <w:rFonts w:hint="eastAsia"/>
                <w:color w:val="auto"/>
                <w:sz w:val="24"/>
              </w:rPr>
            </w:pPr>
          </w:p>
        </w:tc>
        <w:tc>
          <w:tcPr>
            <w:tcW w:w="8009" w:type="dxa"/>
            <w:noWrap w:val="0"/>
            <w:vAlign w:val="top"/>
          </w:tcPr>
          <w:p w14:paraId="0D4F6866">
            <w:pPr>
              <w:spacing w:line="360" w:lineRule="exact"/>
              <w:rPr>
                <w:rFonts w:hint="eastAsia"/>
                <w:color w:val="auto"/>
                <w:sz w:val="24"/>
              </w:rPr>
            </w:pPr>
            <w:r>
              <w:rPr>
                <w:rFonts w:hint="eastAsia"/>
                <w:color w:val="auto"/>
                <w:sz w:val="24"/>
              </w:rPr>
              <w:t xml:space="preserve">  </w:t>
            </w:r>
          </w:p>
          <w:p w14:paraId="18DB2866">
            <w:pPr>
              <w:spacing w:line="360" w:lineRule="exact"/>
              <w:ind w:firstLine="480" w:firstLineChars="200"/>
              <w:rPr>
                <w:rFonts w:hint="eastAsia"/>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p>
          <w:p w14:paraId="76D0094D">
            <w:pPr>
              <w:spacing w:line="360" w:lineRule="exact"/>
              <w:rPr>
                <w:rFonts w:hint="eastAsia"/>
                <w:color w:val="auto"/>
                <w:sz w:val="24"/>
              </w:rPr>
            </w:pPr>
            <w:r>
              <w:rPr>
                <w:rFonts w:hint="eastAsia"/>
                <w:color w:val="auto"/>
                <w:sz w:val="24"/>
                <w:u w:val="single"/>
              </w:rPr>
              <w:t xml:space="preserve">                                      </w:t>
            </w:r>
            <w:r>
              <w:rPr>
                <w:rFonts w:hint="eastAsia"/>
                <w:color w:val="auto"/>
                <w:sz w:val="24"/>
              </w:rPr>
              <w:t>（大写）¥</w:t>
            </w:r>
            <w:r>
              <w:rPr>
                <w:rFonts w:hint="eastAsia"/>
                <w:color w:val="auto"/>
                <w:sz w:val="24"/>
                <w:u w:val="single"/>
              </w:rPr>
              <w:t xml:space="preserve">          </w:t>
            </w:r>
            <w:r>
              <w:rPr>
                <w:rFonts w:hint="eastAsia"/>
                <w:color w:val="auto"/>
                <w:sz w:val="24"/>
              </w:rPr>
              <w:t>（小写）退付到达以下账户。</w:t>
            </w:r>
          </w:p>
          <w:p w14:paraId="632DAB01">
            <w:pPr>
              <w:spacing w:line="360" w:lineRule="exact"/>
              <w:rPr>
                <w:rFonts w:hint="eastAsia"/>
                <w:color w:val="auto"/>
                <w:sz w:val="24"/>
              </w:rPr>
            </w:pPr>
            <w:r>
              <w:rPr>
                <w:rFonts w:hint="eastAsia"/>
                <w:color w:val="auto"/>
                <w:sz w:val="24"/>
              </w:rPr>
              <w:t>单位名称：</w:t>
            </w:r>
          </w:p>
          <w:p w14:paraId="7BA7CF0B">
            <w:pPr>
              <w:spacing w:line="360" w:lineRule="exact"/>
              <w:rPr>
                <w:rFonts w:hint="eastAsia"/>
                <w:color w:val="auto"/>
                <w:sz w:val="24"/>
              </w:rPr>
            </w:pPr>
            <w:r>
              <w:rPr>
                <w:rFonts w:hint="eastAsia"/>
                <w:color w:val="auto"/>
                <w:sz w:val="24"/>
              </w:rPr>
              <w:t>开户银行：</w:t>
            </w:r>
          </w:p>
          <w:p w14:paraId="368A99AC">
            <w:pPr>
              <w:spacing w:line="360" w:lineRule="exact"/>
              <w:rPr>
                <w:rFonts w:hint="eastAsia"/>
                <w:color w:val="auto"/>
                <w:sz w:val="24"/>
              </w:rPr>
            </w:pPr>
            <w:r>
              <w:rPr>
                <w:rFonts w:hint="eastAsia"/>
                <w:color w:val="auto"/>
                <w:sz w:val="24"/>
              </w:rPr>
              <w:t>账    号：</w:t>
            </w:r>
          </w:p>
          <w:p w14:paraId="23927D5F">
            <w:pPr>
              <w:spacing w:line="360" w:lineRule="exact"/>
              <w:rPr>
                <w:rFonts w:hint="eastAsia"/>
                <w:color w:val="auto"/>
                <w:sz w:val="24"/>
              </w:rPr>
            </w:pPr>
            <w:r>
              <w:rPr>
                <w:rFonts w:hint="eastAsia"/>
                <w:color w:val="auto"/>
                <w:sz w:val="24"/>
              </w:rPr>
              <w:t>联系人及电话：</w:t>
            </w:r>
          </w:p>
          <w:p w14:paraId="7F6DA2BC">
            <w:pPr>
              <w:spacing w:line="360" w:lineRule="exact"/>
              <w:rPr>
                <w:rFonts w:hint="eastAsia"/>
                <w:color w:val="auto"/>
                <w:sz w:val="24"/>
              </w:rPr>
            </w:pPr>
          </w:p>
          <w:p w14:paraId="73AFB8B7">
            <w:pPr>
              <w:spacing w:line="360" w:lineRule="exact"/>
              <w:jc w:val="center"/>
              <w:rPr>
                <w:rFonts w:hint="eastAsia"/>
                <w:color w:val="auto"/>
                <w:sz w:val="24"/>
              </w:rPr>
            </w:pPr>
            <w:r>
              <w:rPr>
                <w:rFonts w:hint="eastAsia"/>
                <w:color w:val="auto"/>
                <w:sz w:val="24"/>
              </w:rPr>
              <w:t xml:space="preserve">                           供应商公章：</w:t>
            </w:r>
          </w:p>
          <w:p w14:paraId="7E18E4AE">
            <w:pPr>
              <w:spacing w:line="360" w:lineRule="exact"/>
              <w:jc w:val="center"/>
              <w:rPr>
                <w:rFonts w:hint="eastAsia"/>
                <w:color w:val="auto"/>
                <w:sz w:val="24"/>
              </w:rPr>
            </w:pPr>
            <w:r>
              <w:rPr>
                <w:rFonts w:hint="eastAsia"/>
                <w:color w:val="auto"/>
                <w:sz w:val="24"/>
              </w:rPr>
              <w:t xml:space="preserve">                                                年    月    日</w:t>
            </w:r>
          </w:p>
        </w:tc>
      </w:tr>
      <w:tr w14:paraId="495A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6C16D502">
            <w:pPr>
              <w:spacing w:line="360" w:lineRule="exact"/>
              <w:jc w:val="center"/>
              <w:rPr>
                <w:rFonts w:hint="eastAsia"/>
                <w:color w:val="auto"/>
                <w:sz w:val="24"/>
              </w:rPr>
            </w:pPr>
            <w:r>
              <w:rPr>
                <w:rFonts w:hint="eastAsia"/>
                <w:color w:val="auto"/>
                <w:sz w:val="24"/>
              </w:rPr>
              <w:t>采</w:t>
            </w:r>
          </w:p>
          <w:p w14:paraId="33517139">
            <w:pPr>
              <w:spacing w:line="360" w:lineRule="exact"/>
              <w:jc w:val="center"/>
              <w:rPr>
                <w:rFonts w:hint="eastAsia"/>
                <w:color w:val="auto"/>
                <w:sz w:val="24"/>
              </w:rPr>
            </w:pPr>
            <w:r>
              <w:rPr>
                <w:rFonts w:hint="eastAsia"/>
                <w:color w:val="auto"/>
                <w:sz w:val="24"/>
              </w:rPr>
              <w:t>购</w:t>
            </w:r>
          </w:p>
          <w:p w14:paraId="520444FA">
            <w:pPr>
              <w:spacing w:line="360" w:lineRule="exact"/>
              <w:jc w:val="center"/>
              <w:rPr>
                <w:rFonts w:hint="eastAsia"/>
                <w:color w:val="auto"/>
                <w:sz w:val="24"/>
              </w:rPr>
            </w:pPr>
            <w:r>
              <w:rPr>
                <w:rFonts w:hint="eastAsia"/>
                <w:color w:val="auto"/>
                <w:sz w:val="24"/>
              </w:rPr>
              <w:t>单</w:t>
            </w:r>
          </w:p>
          <w:p w14:paraId="6B0F0D87">
            <w:pPr>
              <w:spacing w:line="360" w:lineRule="exact"/>
              <w:jc w:val="center"/>
              <w:rPr>
                <w:rFonts w:hint="eastAsia"/>
                <w:color w:val="auto"/>
                <w:sz w:val="24"/>
              </w:rPr>
            </w:pPr>
            <w:r>
              <w:rPr>
                <w:rFonts w:hint="eastAsia"/>
                <w:color w:val="auto"/>
                <w:sz w:val="24"/>
              </w:rPr>
              <w:t>位</w:t>
            </w:r>
          </w:p>
          <w:p w14:paraId="2CDD9651">
            <w:pPr>
              <w:spacing w:line="360" w:lineRule="exact"/>
              <w:jc w:val="center"/>
              <w:rPr>
                <w:rFonts w:hint="eastAsia"/>
                <w:color w:val="auto"/>
                <w:sz w:val="24"/>
              </w:rPr>
            </w:pPr>
            <w:r>
              <w:rPr>
                <w:rFonts w:hint="eastAsia"/>
                <w:color w:val="auto"/>
                <w:sz w:val="24"/>
              </w:rPr>
              <w:t>意</w:t>
            </w:r>
          </w:p>
          <w:p w14:paraId="12F65F05">
            <w:pPr>
              <w:spacing w:line="360" w:lineRule="exact"/>
              <w:jc w:val="center"/>
              <w:rPr>
                <w:rFonts w:hint="eastAsia"/>
                <w:color w:val="auto"/>
                <w:sz w:val="24"/>
              </w:rPr>
            </w:pPr>
            <w:r>
              <w:rPr>
                <w:rFonts w:hint="eastAsia"/>
                <w:color w:val="auto"/>
                <w:sz w:val="24"/>
              </w:rPr>
              <w:t>见</w:t>
            </w:r>
          </w:p>
        </w:tc>
        <w:tc>
          <w:tcPr>
            <w:tcW w:w="8009" w:type="dxa"/>
            <w:noWrap w:val="0"/>
            <w:vAlign w:val="top"/>
          </w:tcPr>
          <w:p w14:paraId="02EA23B9">
            <w:pPr>
              <w:spacing w:line="360" w:lineRule="exact"/>
              <w:rPr>
                <w:rFonts w:hint="eastAsia"/>
                <w:color w:val="auto"/>
                <w:sz w:val="24"/>
              </w:rPr>
            </w:pPr>
          </w:p>
          <w:p w14:paraId="4E301660">
            <w:pPr>
              <w:spacing w:line="360" w:lineRule="exact"/>
              <w:rPr>
                <w:rFonts w:hint="eastAsia"/>
                <w:color w:val="auto"/>
                <w:sz w:val="24"/>
              </w:rPr>
            </w:pPr>
            <w:r>
              <w:rPr>
                <w:rFonts w:hint="eastAsia"/>
                <w:color w:val="auto"/>
                <w:sz w:val="24"/>
              </w:rPr>
              <w:t>退付意见：是否同意退付履约保证金及退付金额：</w:t>
            </w:r>
          </w:p>
          <w:p w14:paraId="469C89FB">
            <w:pPr>
              <w:spacing w:line="360" w:lineRule="exact"/>
              <w:rPr>
                <w:rFonts w:hint="eastAsia"/>
                <w:color w:val="auto"/>
                <w:sz w:val="24"/>
              </w:rPr>
            </w:pPr>
          </w:p>
          <w:p w14:paraId="394B26FE">
            <w:pPr>
              <w:spacing w:line="360" w:lineRule="exact"/>
              <w:rPr>
                <w:rFonts w:hint="eastAsia"/>
                <w:color w:val="auto"/>
                <w:sz w:val="24"/>
              </w:rPr>
            </w:pPr>
          </w:p>
          <w:p w14:paraId="43B0B9DE">
            <w:pPr>
              <w:spacing w:line="360" w:lineRule="exact"/>
              <w:rPr>
                <w:rFonts w:hint="eastAsia"/>
                <w:color w:val="auto"/>
                <w:sz w:val="24"/>
              </w:rPr>
            </w:pPr>
            <w:r>
              <w:rPr>
                <w:rFonts w:hint="eastAsia"/>
                <w:color w:val="auto"/>
                <w:sz w:val="24"/>
              </w:rPr>
              <w:t xml:space="preserve">联系人及电话：                                </w:t>
            </w:r>
          </w:p>
          <w:p w14:paraId="14DDE3C2">
            <w:pPr>
              <w:spacing w:line="360" w:lineRule="exact"/>
              <w:rPr>
                <w:rFonts w:hint="eastAsia"/>
                <w:color w:val="auto"/>
                <w:sz w:val="24"/>
              </w:rPr>
            </w:pPr>
          </w:p>
          <w:p w14:paraId="01CEB2CB">
            <w:pPr>
              <w:spacing w:line="360" w:lineRule="exact"/>
              <w:ind w:firstLine="4560" w:firstLineChars="1900"/>
              <w:rPr>
                <w:rFonts w:hint="eastAsia"/>
                <w:color w:val="auto"/>
                <w:sz w:val="24"/>
              </w:rPr>
            </w:pPr>
            <w:r>
              <w:rPr>
                <w:rFonts w:hint="eastAsia"/>
                <w:color w:val="auto"/>
                <w:sz w:val="24"/>
              </w:rPr>
              <w:t xml:space="preserve"> 采购单位公章：</w:t>
            </w:r>
          </w:p>
          <w:p w14:paraId="32B241A9">
            <w:pPr>
              <w:spacing w:line="360" w:lineRule="exact"/>
              <w:jc w:val="center"/>
              <w:rPr>
                <w:rFonts w:hint="eastAsia"/>
                <w:color w:val="auto"/>
                <w:sz w:val="24"/>
              </w:rPr>
            </w:pPr>
            <w:r>
              <w:rPr>
                <w:rFonts w:hint="eastAsia"/>
                <w:color w:val="auto"/>
                <w:sz w:val="24"/>
              </w:rPr>
              <w:t xml:space="preserve">                                                年    月    日</w:t>
            </w:r>
          </w:p>
        </w:tc>
      </w:tr>
      <w:tr w14:paraId="4D4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74BA890A">
            <w:pPr>
              <w:spacing w:line="360" w:lineRule="exact"/>
              <w:jc w:val="center"/>
              <w:rPr>
                <w:rFonts w:hint="eastAsia"/>
                <w:color w:val="auto"/>
                <w:sz w:val="24"/>
              </w:rPr>
            </w:pPr>
            <w:r>
              <w:rPr>
                <w:rFonts w:hint="eastAsia"/>
                <w:color w:val="auto"/>
                <w:sz w:val="24"/>
              </w:rPr>
              <w:t>财</w:t>
            </w:r>
          </w:p>
          <w:p w14:paraId="5C72F8CF">
            <w:pPr>
              <w:spacing w:line="360" w:lineRule="exact"/>
              <w:jc w:val="center"/>
              <w:rPr>
                <w:rFonts w:hint="eastAsia"/>
                <w:color w:val="auto"/>
                <w:sz w:val="24"/>
              </w:rPr>
            </w:pPr>
            <w:r>
              <w:rPr>
                <w:rFonts w:hint="eastAsia"/>
                <w:color w:val="auto"/>
                <w:sz w:val="24"/>
              </w:rPr>
              <w:t>务</w:t>
            </w:r>
          </w:p>
          <w:p w14:paraId="440E26AE">
            <w:pPr>
              <w:spacing w:line="360" w:lineRule="exact"/>
              <w:jc w:val="center"/>
              <w:rPr>
                <w:rFonts w:hint="eastAsia"/>
                <w:color w:val="auto"/>
                <w:sz w:val="24"/>
              </w:rPr>
            </w:pPr>
            <w:r>
              <w:rPr>
                <w:rFonts w:hint="eastAsia"/>
                <w:color w:val="auto"/>
                <w:sz w:val="24"/>
              </w:rPr>
              <w:t>部</w:t>
            </w:r>
          </w:p>
          <w:p w14:paraId="1BB74878">
            <w:pPr>
              <w:spacing w:line="360" w:lineRule="exact"/>
              <w:jc w:val="center"/>
              <w:rPr>
                <w:rFonts w:hint="eastAsia"/>
                <w:color w:val="auto"/>
                <w:sz w:val="24"/>
              </w:rPr>
            </w:pPr>
            <w:r>
              <w:rPr>
                <w:rFonts w:hint="eastAsia"/>
                <w:color w:val="auto"/>
                <w:sz w:val="24"/>
              </w:rPr>
              <w:t>门</w:t>
            </w:r>
          </w:p>
          <w:p w14:paraId="739B042D">
            <w:pPr>
              <w:spacing w:line="360" w:lineRule="exact"/>
              <w:jc w:val="center"/>
              <w:rPr>
                <w:rFonts w:hint="eastAsia"/>
                <w:color w:val="auto"/>
                <w:sz w:val="24"/>
              </w:rPr>
            </w:pPr>
            <w:r>
              <w:rPr>
                <w:rFonts w:hint="eastAsia"/>
                <w:color w:val="auto"/>
                <w:sz w:val="24"/>
              </w:rPr>
              <w:t>意</w:t>
            </w:r>
          </w:p>
          <w:p w14:paraId="0ED01F85">
            <w:pPr>
              <w:spacing w:line="360" w:lineRule="exact"/>
              <w:jc w:val="center"/>
              <w:rPr>
                <w:rFonts w:hint="eastAsia"/>
                <w:color w:val="auto"/>
                <w:sz w:val="24"/>
              </w:rPr>
            </w:pPr>
            <w:r>
              <w:rPr>
                <w:rFonts w:hint="eastAsia"/>
                <w:color w:val="auto"/>
                <w:sz w:val="24"/>
              </w:rPr>
              <w:t>见</w:t>
            </w:r>
          </w:p>
        </w:tc>
        <w:tc>
          <w:tcPr>
            <w:tcW w:w="8009" w:type="dxa"/>
            <w:noWrap w:val="0"/>
            <w:vAlign w:val="top"/>
          </w:tcPr>
          <w:p w14:paraId="4EA226C1">
            <w:pPr>
              <w:spacing w:line="360" w:lineRule="exact"/>
              <w:rPr>
                <w:rFonts w:hint="eastAsia"/>
                <w:color w:val="auto"/>
                <w:sz w:val="24"/>
              </w:rPr>
            </w:pPr>
            <w:r>
              <w:rPr>
                <w:rFonts w:hint="eastAsia"/>
                <w:color w:val="auto"/>
                <w:sz w:val="24"/>
              </w:rPr>
              <w:t>此表于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日收到。</w:t>
            </w:r>
          </w:p>
          <w:p w14:paraId="1B4678AA">
            <w:pPr>
              <w:spacing w:line="360" w:lineRule="exact"/>
              <w:rPr>
                <w:rFonts w:hint="eastAsia"/>
                <w:color w:val="auto"/>
                <w:sz w:val="24"/>
              </w:rPr>
            </w:pPr>
          </w:p>
          <w:p w14:paraId="51EA7BC7">
            <w:pPr>
              <w:spacing w:line="360" w:lineRule="exact"/>
              <w:rPr>
                <w:rFonts w:hint="eastAsia"/>
                <w:color w:val="auto"/>
                <w:sz w:val="24"/>
              </w:rPr>
            </w:pPr>
            <w:r>
              <w:rPr>
                <w:rFonts w:hint="eastAsia"/>
                <w:color w:val="auto"/>
                <w:sz w:val="24"/>
              </w:rPr>
              <w:t>会计审核：</w:t>
            </w:r>
          </w:p>
          <w:p w14:paraId="39F6F584">
            <w:pPr>
              <w:spacing w:line="360" w:lineRule="exact"/>
              <w:rPr>
                <w:rFonts w:hint="eastAsia"/>
                <w:color w:val="auto"/>
                <w:sz w:val="24"/>
              </w:rPr>
            </w:pPr>
          </w:p>
          <w:p w14:paraId="569E7CCF">
            <w:pPr>
              <w:spacing w:line="360" w:lineRule="exact"/>
              <w:rPr>
                <w:rFonts w:hint="eastAsia"/>
                <w:color w:val="auto"/>
                <w:sz w:val="24"/>
              </w:rPr>
            </w:pPr>
            <w:r>
              <w:rPr>
                <w:rFonts w:hint="eastAsia"/>
                <w:color w:val="auto"/>
                <w:sz w:val="24"/>
              </w:rPr>
              <w:t>财务负责人审核：</w:t>
            </w:r>
          </w:p>
          <w:p w14:paraId="0845FD66">
            <w:pPr>
              <w:spacing w:line="360" w:lineRule="exact"/>
              <w:rPr>
                <w:rFonts w:hint="eastAsia"/>
                <w:color w:val="auto"/>
                <w:sz w:val="24"/>
              </w:rPr>
            </w:pPr>
          </w:p>
          <w:p w14:paraId="662F8CA0">
            <w:pPr>
              <w:spacing w:line="360" w:lineRule="exact"/>
              <w:rPr>
                <w:rFonts w:hint="eastAsia"/>
                <w:color w:val="auto"/>
                <w:sz w:val="24"/>
              </w:rPr>
            </w:pPr>
            <w:r>
              <w:rPr>
                <w:rFonts w:hint="eastAsia"/>
                <w:color w:val="auto"/>
                <w:sz w:val="24"/>
              </w:rPr>
              <w:t>单位负责人签字：</w:t>
            </w:r>
          </w:p>
          <w:p w14:paraId="19232C3C">
            <w:pPr>
              <w:spacing w:line="360" w:lineRule="exact"/>
              <w:rPr>
                <w:rFonts w:hint="eastAsia"/>
                <w:color w:val="auto"/>
                <w:sz w:val="24"/>
              </w:rPr>
            </w:pPr>
          </w:p>
          <w:p w14:paraId="3AF7BACE">
            <w:pPr>
              <w:spacing w:line="360" w:lineRule="exact"/>
              <w:rPr>
                <w:rFonts w:hint="eastAsia"/>
                <w:color w:val="auto"/>
                <w:sz w:val="24"/>
              </w:rPr>
            </w:pPr>
            <w:r>
              <w:rPr>
                <w:rFonts w:hint="eastAsia"/>
                <w:color w:val="auto"/>
                <w:sz w:val="24"/>
              </w:rPr>
              <w:t>出纳办理转账日期：</w:t>
            </w:r>
          </w:p>
        </w:tc>
      </w:tr>
    </w:tbl>
    <w:p w14:paraId="3222050F">
      <w:pPr>
        <w:pStyle w:val="10"/>
        <w:ind w:left="1" w:firstLine="2" w:firstLineChars="1"/>
        <w:rPr>
          <w:rFonts w:hint="eastAsia" w:ascii="宋体"/>
          <w:b/>
          <w:bCs/>
          <w:color w:val="auto"/>
          <w:sz w:val="18"/>
          <w:szCs w:val="18"/>
        </w:rPr>
      </w:pPr>
    </w:p>
    <w:p w14:paraId="3D011903">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rPr>
      </w:pPr>
      <w:r>
        <w:rPr>
          <w:rFonts w:hAnsi="宋体"/>
          <w:b w:val="0"/>
          <w:color w:val="auto"/>
        </w:rPr>
        <w:br w:type="page"/>
      </w:r>
      <w:bookmarkStart w:id="16" w:name="_Toc29215"/>
      <w:r>
        <w:rPr>
          <w:rFonts w:hint="eastAsia"/>
          <w:color w:val="auto"/>
        </w:rPr>
        <w:t>第三章 采购需求</w:t>
      </w:r>
      <w:bookmarkEnd w:id="16"/>
    </w:p>
    <w:p w14:paraId="56C2CB23">
      <w:pPr>
        <w:spacing w:line="440" w:lineRule="exact"/>
        <w:jc w:val="center"/>
        <w:rPr>
          <w:rFonts w:hint="eastAsia" w:ascii="宋体" w:hAnsi="宋体"/>
          <w:b/>
          <w:color w:val="auto"/>
          <w:sz w:val="32"/>
          <w:szCs w:val="32"/>
        </w:rPr>
      </w:pPr>
      <w:r>
        <w:rPr>
          <w:rFonts w:hint="eastAsia" w:ascii="宋体" w:hAnsi="宋体"/>
          <w:b/>
          <w:color w:val="auto"/>
          <w:sz w:val="32"/>
          <w:szCs w:val="32"/>
        </w:rPr>
        <w:t>采购项目技术规格、参数及要求</w:t>
      </w:r>
    </w:p>
    <w:p w14:paraId="75CA01B1">
      <w:pPr>
        <w:spacing w:line="360" w:lineRule="exact"/>
        <w:jc w:val="left"/>
        <w:rPr>
          <w:rFonts w:hint="eastAsia" w:ascii="宋体" w:hAnsi="宋体" w:cs="宋体"/>
          <w:color w:val="auto"/>
          <w:szCs w:val="21"/>
        </w:rPr>
      </w:pPr>
      <w:r>
        <w:rPr>
          <w:rFonts w:hint="eastAsia" w:ascii="宋体" w:hAnsi="宋体" w:cs="宋体"/>
          <w:color w:val="auto"/>
          <w:szCs w:val="21"/>
        </w:rPr>
        <w:t>说明：</w:t>
      </w:r>
    </w:p>
    <w:p w14:paraId="04878AFC">
      <w:pPr>
        <w:spacing w:line="360" w:lineRule="exact"/>
        <w:ind w:firstLine="420" w:firstLineChars="200"/>
        <w:jc w:val="left"/>
        <w:rPr>
          <w:rFonts w:hint="eastAsia" w:ascii="宋体" w:hAnsi="宋体" w:cs="宋体"/>
          <w:color w:val="auto"/>
          <w:szCs w:val="21"/>
        </w:rPr>
      </w:pPr>
      <w:r>
        <w:rPr>
          <w:rFonts w:ascii="宋体" w:hAnsi="宋体"/>
          <w:color w:val="auto"/>
        </w:rPr>
        <w:t>1.</w:t>
      </w:r>
      <w:r>
        <w:rPr>
          <w:rFonts w:hint="eastAsia"/>
          <w:color w:val="auto"/>
        </w:rPr>
        <w:t>为落实政府采购政策需满足的要求</w:t>
      </w:r>
    </w:p>
    <w:p w14:paraId="34B27599">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本竞争性磋商采购文件所称中小企业必须符合《政府采购促进中小企业发展管理办法》（财库〔2020〕46号）的规定。</w:t>
      </w:r>
    </w:p>
    <w:p w14:paraId="6E03234C">
      <w:pPr>
        <w:spacing w:line="360" w:lineRule="exact"/>
        <w:ind w:firstLine="424" w:firstLineChars="202"/>
        <w:jc w:val="left"/>
        <w:rPr>
          <w:rFonts w:ascii="宋体" w:hAnsi="宋体" w:cs="宋体"/>
          <w:color w:val="auto"/>
          <w:szCs w:val="21"/>
        </w:rPr>
      </w:pPr>
      <w:r>
        <w:rPr>
          <w:rFonts w:hint="eastAsia" w:ascii="宋体" w:hAnsi="宋体" w:cs="宋体"/>
          <w:color w:val="auto"/>
          <w:szCs w:val="21"/>
        </w:rPr>
        <w:t>2.“实质性要求”是指采购需求中带“▲”的条款或者不能负偏离的条款或者已经指明不满足按响应文件按无效处理的条款。</w:t>
      </w:r>
    </w:p>
    <w:p w14:paraId="150AB784">
      <w:pPr>
        <w:spacing w:line="360" w:lineRule="exact"/>
        <w:ind w:firstLine="426" w:firstLineChars="202"/>
        <w:jc w:val="left"/>
        <w:rPr>
          <w:rFonts w:ascii="宋体" w:hAnsi="宋体" w:cs="宋体"/>
          <w:b/>
          <w:color w:val="auto"/>
          <w:szCs w:val="21"/>
        </w:rPr>
      </w:pPr>
      <w:r>
        <w:rPr>
          <w:rFonts w:hint="eastAsia" w:ascii="宋体" w:hAnsi="宋体" w:cs="宋体"/>
          <w:b/>
          <w:color w:val="auto"/>
          <w:szCs w:val="21"/>
        </w:rPr>
        <w:t>本采购需求表凡标注“▲”的条款或要求不响应或不满足的，其响应文件即作无效竞标处理。</w:t>
      </w:r>
    </w:p>
    <w:p w14:paraId="3F1EC9CB">
      <w:pPr>
        <w:spacing w:line="360" w:lineRule="exact"/>
        <w:ind w:firstLine="424" w:firstLineChars="202"/>
        <w:jc w:val="left"/>
        <w:rPr>
          <w:color w:val="auto"/>
        </w:rPr>
      </w:pPr>
      <w:r>
        <w:rPr>
          <w:rFonts w:ascii="宋体" w:hAnsi="宋体" w:cs="宋体"/>
          <w:color w:val="auto"/>
          <w:szCs w:val="21"/>
        </w:rPr>
        <w:t>3</w:t>
      </w:r>
      <w:r>
        <w:rPr>
          <w:rFonts w:hint="eastAsia" w:ascii="宋体" w:hAnsi="宋体" w:cs="宋体"/>
          <w:color w:val="auto"/>
          <w:szCs w:val="21"/>
        </w:rPr>
        <w:t>.</w:t>
      </w:r>
      <w:r>
        <w:rPr>
          <w:rFonts w:hint="eastAsia"/>
          <w:color w:val="auto"/>
        </w:rPr>
        <w:t>供应商必须自行为其竞标产品侵犯他人的知识产权或者专利成果</w:t>
      </w:r>
      <w:bookmarkStart w:id="28" w:name="_GoBack"/>
      <w:bookmarkEnd w:id="28"/>
      <w:r>
        <w:rPr>
          <w:rFonts w:hint="eastAsia"/>
          <w:color w:val="auto"/>
        </w:rPr>
        <w:t>的行为承担相应法律责任。</w:t>
      </w:r>
    </w:p>
    <w:p w14:paraId="508DEC5E">
      <w:pPr>
        <w:spacing w:line="360" w:lineRule="exact"/>
        <w:ind w:firstLine="424" w:firstLineChars="202"/>
        <w:jc w:val="left"/>
        <w:rPr>
          <w:rFonts w:ascii="宋体" w:hAnsi="宋体"/>
          <w:color w:val="auto"/>
          <w:szCs w:val="21"/>
        </w:rPr>
      </w:pPr>
      <w:r>
        <w:rPr>
          <w:rFonts w:ascii="宋体" w:hAnsi="宋体"/>
          <w:color w:val="auto"/>
          <w:szCs w:val="21"/>
        </w:rPr>
        <w:t>4</w:t>
      </w:r>
      <w:r>
        <w:rPr>
          <w:rFonts w:hint="eastAsia" w:ascii="宋体" w:hAnsi="宋体"/>
          <w:color w:val="auto"/>
          <w:szCs w:val="21"/>
        </w:rPr>
        <w:t>.所属行业依照《中小企业划型标准规定》（工信部联企业〔2011〕300号）及《国民经济行业分类》（GB/T4754-2017）的有关规定执行。</w:t>
      </w:r>
    </w:p>
    <w:p w14:paraId="4D2BC902">
      <w:pPr>
        <w:spacing w:line="360" w:lineRule="exact"/>
        <w:ind w:firstLine="426" w:firstLineChars="202"/>
        <w:jc w:val="left"/>
        <w:rPr>
          <w:rFonts w:hint="eastAsia" w:ascii="宋体" w:hAnsi="宋体"/>
          <w:b/>
          <w:color w:val="auto"/>
          <w:szCs w:val="21"/>
          <w:u w:val="single"/>
        </w:rPr>
      </w:pPr>
      <w:r>
        <w:rPr>
          <w:rFonts w:ascii="宋体" w:hAnsi="宋体"/>
          <w:b/>
          <w:color w:val="auto"/>
          <w:szCs w:val="21"/>
        </w:rPr>
        <w:t>5</w:t>
      </w:r>
      <w:r>
        <w:rPr>
          <w:rFonts w:hint="eastAsia" w:ascii="宋体" w:hAnsi="宋体"/>
          <w:b/>
          <w:color w:val="auto"/>
          <w:szCs w:val="21"/>
        </w:rPr>
        <w:t>.</w:t>
      </w:r>
      <w:r>
        <w:rPr>
          <w:rFonts w:hint="eastAsia" w:ascii="宋体" w:hAnsi="宋体"/>
          <w:b/>
          <w:color w:val="auto"/>
          <w:szCs w:val="21"/>
          <w:u w:val="single"/>
        </w:rPr>
        <w:t>本项目采购需求表中要求提供的文件材料或承诺书，请在《技术要求偏离表》或《商务要求偏离表》中应答时，注明相关文件材料或承诺书放置的页码。</w:t>
      </w:r>
    </w:p>
    <w:p w14:paraId="6B0A38E8">
      <w:pPr>
        <w:spacing w:line="360" w:lineRule="exact"/>
        <w:ind w:firstLine="426" w:firstLineChars="202"/>
        <w:jc w:val="left"/>
        <w:rPr>
          <w:rFonts w:hint="eastAsia" w:ascii="宋体" w:hAnsi="宋体"/>
          <w:b/>
          <w:color w:val="auto"/>
          <w:szCs w:val="21"/>
          <w:u w:val="single"/>
        </w:rPr>
      </w:pPr>
    </w:p>
    <w:tbl>
      <w:tblPr>
        <w:tblStyle w:val="21"/>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269"/>
        <w:gridCol w:w="870"/>
        <w:gridCol w:w="980"/>
        <w:gridCol w:w="5783"/>
      </w:tblGrid>
      <w:tr w14:paraId="55AA7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9574" w:type="dxa"/>
            <w:gridSpan w:val="5"/>
            <w:noWrap w:val="0"/>
            <w:vAlign w:val="center"/>
          </w:tcPr>
          <w:p w14:paraId="5BBBC8B8">
            <w:pPr>
              <w:tabs>
                <w:tab w:val="left" w:pos="180"/>
                <w:tab w:val="left" w:pos="1620"/>
              </w:tabs>
              <w:spacing w:line="360" w:lineRule="exact"/>
              <w:jc w:val="center"/>
              <w:rPr>
                <w:rFonts w:hint="eastAsia" w:ascii="宋体" w:hAnsi="宋体" w:cs="宋体"/>
                <w:color w:val="auto"/>
                <w:szCs w:val="21"/>
              </w:rPr>
            </w:pPr>
            <w:r>
              <w:rPr>
                <w:rFonts w:hint="eastAsia"/>
                <w:b/>
                <w:bCs/>
                <w:color w:val="auto"/>
                <w:sz w:val="24"/>
                <w:szCs w:val="24"/>
                <w:highlight w:val="none"/>
                <w:lang w:val="en-US" w:eastAsia="zh-CN"/>
              </w:rPr>
              <w:t>一、</w:t>
            </w:r>
            <w:r>
              <w:rPr>
                <w:rFonts w:hint="eastAsia"/>
                <w:b/>
                <w:bCs/>
                <w:color w:val="auto"/>
                <w:sz w:val="24"/>
                <w:szCs w:val="24"/>
                <w:highlight w:val="none"/>
              </w:rPr>
              <w:t>采购需求一览表</w:t>
            </w:r>
          </w:p>
        </w:tc>
      </w:tr>
      <w:tr w14:paraId="5722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7DF3A4FA">
            <w:pPr>
              <w:tabs>
                <w:tab w:val="left" w:pos="180"/>
                <w:tab w:val="left" w:pos="1620"/>
              </w:tabs>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序号</w:t>
            </w:r>
          </w:p>
        </w:tc>
        <w:tc>
          <w:tcPr>
            <w:tcW w:w="1269" w:type="dxa"/>
            <w:shd w:val="clear" w:color="auto" w:fill="auto"/>
            <w:noWrap w:val="0"/>
            <w:vAlign w:val="center"/>
          </w:tcPr>
          <w:p w14:paraId="4F86F9DD">
            <w:pPr>
              <w:tabs>
                <w:tab w:val="left" w:pos="180"/>
                <w:tab w:val="left" w:pos="1620"/>
              </w:tabs>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标的的名称</w:t>
            </w:r>
          </w:p>
        </w:tc>
        <w:tc>
          <w:tcPr>
            <w:tcW w:w="870" w:type="dxa"/>
            <w:shd w:val="clear" w:color="auto" w:fill="auto"/>
            <w:noWrap w:val="0"/>
            <w:vAlign w:val="center"/>
          </w:tcPr>
          <w:p w14:paraId="0440A52A">
            <w:pPr>
              <w:tabs>
                <w:tab w:val="left" w:pos="180"/>
                <w:tab w:val="left" w:pos="1620"/>
              </w:tabs>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数量及单位</w:t>
            </w:r>
          </w:p>
        </w:tc>
        <w:tc>
          <w:tcPr>
            <w:tcW w:w="980" w:type="dxa"/>
            <w:shd w:val="clear" w:color="auto" w:fill="auto"/>
            <w:noWrap w:val="0"/>
            <w:vAlign w:val="center"/>
          </w:tcPr>
          <w:p w14:paraId="28016EC6">
            <w:pPr>
              <w:tabs>
                <w:tab w:val="left" w:pos="180"/>
                <w:tab w:val="left" w:pos="1620"/>
              </w:tabs>
              <w:spacing w:line="360" w:lineRule="exact"/>
              <w:jc w:val="center"/>
              <w:rPr>
                <w:rFonts w:hint="eastAsia" w:ascii="宋体" w:hAnsi="宋体" w:cs="宋体"/>
                <w:color w:val="auto"/>
                <w:szCs w:val="21"/>
              </w:rPr>
            </w:pPr>
            <w:r>
              <w:rPr>
                <w:rFonts w:hint="eastAsia" w:ascii="宋体" w:hAnsi="宋体" w:cs="宋体"/>
                <w:color w:val="auto"/>
                <w:szCs w:val="21"/>
              </w:rPr>
              <w:t>所属</w:t>
            </w:r>
          </w:p>
          <w:p w14:paraId="68E4CFA1">
            <w:pPr>
              <w:tabs>
                <w:tab w:val="left" w:pos="180"/>
                <w:tab w:val="left" w:pos="1620"/>
              </w:tabs>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行业</w:t>
            </w:r>
          </w:p>
        </w:tc>
        <w:tc>
          <w:tcPr>
            <w:tcW w:w="5783" w:type="dxa"/>
            <w:shd w:val="clear" w:color="auto" w:fill="auto"/>
            <w:noWrap w:val="0"/>
            <w:vAlign w:val="center"/>
          </w:tcPr>
          <w:p w14:paraId="10CFBFFC">
            <w:pPr>
              <w:tabs>
                <w:tab w:val="left" w:pos="180"/>
                <w:tab w:val="left" w:pos="1620"/>
              </w:tabs>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技术或服务要求</w:t>
            </w:r>
          </w:p>
        </w:tc>
      </w:tr>
      <w:tr w14:paraId="3678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35578E3B">
            <w:pPr>
              <w:tabs>
                <w:tab w:val="left" w:pos="180"/>
                <w:tab w:val="left" w:pos="1620"/>
              </w:tabs>
              <w:spacing w:line="360" w:lineRule="exact"/>
              <w:jc w:val="center"/>
              <w:rPr>
                <w:rFonts w:hint="eastAsia" w:ascii="宋体" w:hAnsi="宋体" w:cs="宋体"/>
                <w:color w:val="auto"/>
                <w:szCs w:val="21"/>
              </w:rPr>
            </w:pPr>
            <w:r>
              <w:rPr>
                <w:rFonts w:hint="eastAsia" w:ascii="宋体" w:hAnsi="宋体" w:cs="宋体"/>
                <w:color w:val="auto"/>
                <w:szCs w:val="21"/>
              </w:rPr>
              <w:t>1</w:t>
            </w:r>
          </w:p>
        </w:tc>
        <w:tc>
          <w:tcPr>
            <w:tcW w:w="1269" w:type="dxa"/>
            <w:noWrap w:val="0"/>
            <w:vAlign w:val="center"/>
          </w:tcPr>
          <w:p w14:paraId="5671269B">
            <w:pPr>
              <w:widowControl/>
              <w:spacing w:line="360" w:lineRule="exact"/>
              <w:jc w:val="center"/>
              <w:rPr>
                <w:rFonts w:ascii="宋体" w:hAnsi="宋体" w:cs="宋体"/>
                <w:color w:val="auto"/>
                <w:kern w:val="0"/>
                <w:szCs w:val="21"/>
              </w:rPr>
            </w:pPr>
            <w:r>
              <w:rPr>
                <w:rFonts w:hint="eastAsia" w:ascii="宋体" w:hAnsi="宋体" w:cs="宋体"/>
                <w:color w:val="auto"/>
                <w:szCs w:val="21"/>
                <w:highlight w:val="none"/>
                <w:lang w:eastAsia="zh-CN"/>
              </w:rPr>
              <w:t>防城港市第一人民医院安保服务及停车场管理服务采购</w:t>
            </w:r>
          </w:p>
        </w:tc>
        <w:tc>
          <w:tcPr>
            <w:tcW w:w="870" w:type="dxa"/>
            <w:noWrap w:val="0"/>
            <w:vAlign w:val="center"/>
          </w:tcPr>
          <w:p w14:paraId="488A2CEB">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980" w:type="dxa"/>
            <w:noWrap w:val="0"/>
            <w:vAlign w:val="center"/>
          </w:tcPr>
          <w:p w14:paraId="05131036">
            <w:pPr>
              <w:tabs>
                <w:tab w:val="left" w:pos="180"/>
                <w:tab w:val="left" w:pos="1620"/>
              </w:tabs>
              <w:spacing w:line="360" w:lineRule="exact"/>
              <w:jc w:val="center"/>
              <w:rPr>
                <w:rFonts w:hint="eastAsia" w:ascii="宋体" w:hAnsi="宋体" w:cs="宋体"/>
                <w:color w:val="auto"/>
                <w:szCs w:val="21"/>
                <w:highlight w:val="none"/>
              </w:rPr>
            </w:pPr>
            <w:r>
              <w:rPr>
                <w:rFonts w:hint="eastAsia"/>
                <w:color w:val="auto"/>
                <w:highlight w:val="none"/>
              </w:rPr>
              <w:t>租赁和商务服务业</w:t>
            </w:r>
          </w:p>
        </w:tc>
        <w:tc>
          <w:tcPr>
            <w:tcW w:w="5783" w:type="dxa"/>
            <w:noWrap w:val="0"/>
            <w:vAlign w:val="center"/>
          </w:tcPr>
          <w:p w14:paraId="786DECF6">
            <w:pPr>
              <w:spacing w:line="36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（一）服务范围</w:t>
            </w:r>
          </w:p>
          <w:p w14:paraId="62F348F2">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广西壮族自治区人民医院防城港医院</w:t>
            </w:r>
            <w:r>
              <w:rPr>
                <w:rFonts w:hint="eastAsia" w:ascii="宋体" w:hAnsi="宋体" w:cs="宋体"/>
                <w:color w:val="auto"/>
                <w:szCs w:val="21"/>
                <w:highlight w:val="none"/>
              </w:rPr>
              <w:t>防城港市第一人民医院</w:t>
            </w:r>
            <w:r>
              <w:rPr>
                <w:rFonts w:hint="eastAsia" w:ascii="宋体" w:hAnsi="宋体" w:cs="宋体"/>
                <w:color w:val="auto"/>
                <w:szCs w:val="21"/>
                <w:highlight w:val="none"/>
                <w:lang w:val="en-US" w:eastAsia="zh-CN"/>
              </w:rPr>
              <w:t>全院范围内</w:t>
            </w:r>
            <w:r>
              <w:rPr>
                <w:rFonts w:hint="eastAsia" w:ascii="宋体" w:hAnsi="宋体" w:cs="宋体"/>
                <w:b/>
                <w:bCs/>
                <w:color w:val="auto"/>
                <w:szCs w:val="21"/>
                <w:highlight w:val="none"/>
                <w:lang w:val="en-US" w:eastAsia="zh-CN"/>
              </w:rPr>
              <w:t>（含文昌院区、防城院区服务延伸点）</w:t>
            </w:r>
            <w:r>
              <w:rPr>
                <w:rFonts w:hint="eastAsia" w:ascii="宋体" w:hAnsi="宋体" w:cs="宋体"/>
                <w:color w:val="auto"/>
                <w:szCs w:val="21"/>
                <w:highlight w:val="none"/>
              </w:rPr>
              <w:t>的安保服务、停车场收费管理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只限防城服务延伸点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、医疗秩序维护、治安防范、消防安全，车辆安全、交通秩序及突发事件应急处置</w:t>
            </w:r>
            <w:r>
              <w:rPr>
                <w:rFonts w:hint="eastAsia" w:ascii="宋体" w:hAnsi="宋体" w:cs="宋体"/>
                <w:color w:val="auto"/>
                <w:szCs w:val="21"/>
                <w:highlight w:val="none"/>
                <w:lang w:eastAsia="zh-CN"/>
              </w:rPr>
              <w:t>，</w:t>
            </w:r>
            <w:r>
              <w:rPr>
                <w:rFonts w:hint="eastAsia" w:ascii="宋体" w:hAnsi="宋体" w:cs="宋体"/>
                <w:color w:val="auto"/>
                <w:szCs w:val="21"/>
                <w:highlight w:val="none"/>
              </w:rPr>
              <w:t>生活区的以及全院范围内的人员、设备设施的安全保卫服务等。</w:t>
            </w:r>
            <w:r>
              <w:rPr>
                <w:rFonts w:hint="eastAsia" w:ascii="宋体" w:hAnsi="宋体" w:cs="宋体"/>
                <w:color w:val="auto"/>
                <w:szCs w:val="21"/>
                <w:highlight w:val="none"/>
                <w:lang w:val="en-US" w:eastAsia="zh-CN"/>
              </w:rPr>
              <w:t xml:space="preserve">                </w:t>
            </w:r>
          </w:p>
          <w:p w14:paraId="6300A073">
            <w:pPr>
              <w:spacing w:line="36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（二）人员要求</w:t>
            </w:r>
          </w:p>
          <w:p w14:paraId="3B87CF00">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保安员不少于32人，安保人员应经过专业培训，并取得保安上岗资格证，进驻前需人证核验。具备初中以上文化，男性年龄18—55岁之间，身高在165cm以上，女性年龄18—50岁之间，身高在160cm以上，50岁以下安保人员数量不少于保安总数的20%，女性人数需控制在安保人员总数的15%以内。具体岗位需服从采购方的安排、调配。</w:t>
            </w:r>
          </w:p>
          <w:p w14:paraId="75B150BF">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2.消防控制室值班员不少于3人，持消防操作员中级证书，能熟练操作消防设备；</w:t>
            </w:r>
          </w:p>
          <w:p w14:paraId="45F9E70F">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3.停车收费管理不少于10人，</w:t>
            </w:r>
            <w:r>
              <w:rPr>
                <w:rFonts w:hint="eastAsia" w:ascii="宋体" w:hAnsi="宋体" w:cs="宋体"/>
                <w:color w:val="auto"/>
                <w:szCs w:val="21"/>
                <w:highlight w:val="none"/>
                <w:lang w:val="en-US" w:eastAsia="zh-CN"/>
              </w:rPr>
              <w:t>停车场的收费收入</w:t>
            </w:r>
            <w:r>
              <w:rPr>
                <w:rFonts w:hint="eastAsia" w:ascii="宋体" w:hAnsi="宋体" w:cs="宋体"/>
                <w:color w:val="auto"/>
                <w:szCs w:val="21"/>
                <w:highlight w:val="none"/>
                <w:lang w:val="en-US" w:eastAsia="zh-CN"/>
              </w:rPr>
              <w:t>由成交供应商自收自支（含人员工资、福利、车场设备器材配备和维修、车场停放期间产生的事故和纠纷所发生的经济赔偿），</w:t>
            </w:r>
            <w:r>
              <w:rPr>
                <w:rFonts w:hint="eastAsia" w:ascii="宋体" w:hAnsi="宋体" w:cs="宋体"/>
                <w:color w:val="auto"/>
                <w:szCs w:val="21"/>
                <w:highlight w:val="none"/>
                <w:lang w:val="en-US" w:eastAsia="zh-CN"/>
              </w:rPr>
              <w:t>成交供应商须向采购人支付停车场管理费，管理费收取比例为停车场收入的5%。管理费在每个月进行财务结算后的5个工作日内支付至采购人指定账户。</w:t>
            </w:r>
          </w:p>
          <w:p w14:paraId="5F0D5DDE">
            <w:pPr>
              <w:spacing w:line="360" w:lineRule="exac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注：具体岗位人员设置要求详见附件一《岗位人员设置要求》</w:t>
            </w:r>
          </w:p>
          <w:p w14:paraId="11487597">
            <w:pPr>
              <w:numPr>
                <w:ilvl w:val="0"/>
                <w:numId w:val="0"/>
              </w:numPr>
              <w:tabs>
                <w:tab w:val="left" w:pos="180"/>
                <w:tab w:val="left" w:pos="1620"/>
              </w:tabs>
              <w:spacing w:line="360" w:lineRule="auto"/>
              <w:jc w:val="left"/>
              <w:rPr>
                <w:rFonts w:hint="eastAsia" w:ascii="宋体" w:hAnsi="宋体" w:eastAsia="宋体" w:cs="宋体"/>
                <w:b/>
                <w:bCs/>
                <w:color w:val="auto"/>
                <w:kern w:val="2"/>
                <w:sz w:val="21"/>
                <w:szCs w:val="21"/>
                <w:highlight w:val="none"/>
                <w:lang w:val="en-US" w:eastAsia="zh-CN" w:bidi="ar-SA"/>
              </w:rPr>
            </w:pPr>
          </w:p>
          <w:p w14:paraId="12E33C6D">
            <w:pPr>
              <w:numPr>
                <w:ilvl w:val="0"/>
                <w:numId w:val="0"/>
              </w:numPr>
              <w:tabs>
                <w:tab w:val="left" w:pos="180"/>
                <w:tab w:val="left" w:pos="1620"/>
              </w:tabs>
              <w:spacing w:line="36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cs="宋体"/>
                <w:b/>
                <w:bCs/>
                <w:color w:val="auto"/>
                <w:sz w:val="24"/>
                <w:szCs w:val="24"/>
                <w:highlight w:val="none"/>
                <w:lang w:val="en-US" w:eastAsia="zh-CN"/>
              </w:rPr>
              <w:t>工作要求：</w:t>
            </w:r>
          </w:p>
          <w:p w14:paraId="1F8693F2">
            <w:pPr>
              <w:spacing w:line="360" w:lineRule="auto"/>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（一）安保人员</w:t>
            </w:r>
          </w:p>
          <w:p w14:paraId="59A281DA">
            <w:pPr>
              <w:spacing w:line="360" w:lineRule="auto"/>
              <w:ind w:firstLine="420" w:firstLineChars="200"/>
              <w:jc w:val="left"/>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1）安保人员应经过专业培训，并取得保安上岗资格证，进驻前需人证核验。具备初中以上文化，男性年龄18—55岁之间，身高在165cm以上，女性年龄18—50岁之间，身高在160cm以上，50岁以下安保人员数量不少于保安总数的20%，女性人数需控制在安保人员总数的15%以内。</w:t>
            </w:r>
          </w:p>
          <w:p w14:paraId="40A0E731">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安保人员要求身体健康，双眼矫正视力达到4.8（小数视力0.6）以上，五官端正，无传染性疾病，无肝、肾、心脏、心血管等严重疾病，无吸毒等不良社会记录，提供正规医院健康证明，（经采购人认可的特殊岗位和特别优秀的保安可适当放宽）；</w:t>
            </w:r>
          </w:p>
          <w:p w14:paraId="5D14E2A8">
            <w:pPr>
              <w:spacing w:line="360" w:lineRule="auto"/>
              <w:ind w:firstLine="420" w:firstLineChars="200"/>
              <w:jc w:val="left"/>
              <w:rPr>
                <w:rFonts w:ascii="宋体" w:hAnsi="宋体" w:cs="宋体"/>
                <w:color w:val="auto"/>
                <w:szCs w:val="21"/>
              </w:rPr>
            </w:pPr>
            <w:r>
              <w:rPr>
                <w:rFonts w:hint="eastAsia" w:ascii="宋体" w:hAnsi="宋体" w:eastAsia="宋体" w:cs="宋体"/>
                <w:color w:val="auto"/>
                <w:szCs w:val="21"/>
                <w:lang w:val="en-US" w:eastAsia="zh-CN"/>
              </w:rPr>
              <w:t>（3）安保人员要有良好的职业道德和服务态度，对医务人员和家属要以礼相待，</w:t>
            </w:r>
            <w:r>
              <w:rPr>
                <w:rFonts w:hint="eastAsia" w:ascii="宋体" w:hAnsi="宋体" w:cs="宋体"/>
                <w:color w:val="auto"/>
                <w:szCs w:val="21"/>
              </w:rPr>
              <w:t>着装统一，动作规范，文明礼貌，形象良好。</w:t>
            </w:r>
          </w:p>
          <w:p w14:paraId="74C478F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）服从医院领导的工作安排，接受医院的监督和检查，医院有权要求更换工作态度不好，工作能力差的安保人员。</w:t>
            </w:r>
          </w:p>
          <w:p w14:paraId="73E1F44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eastAsia="zh-CN"/>
              </w:rPr>
              <w:t>安保人员</w:t>
            </w:r>
            <w:r>
              <w:rPr>
                <w:rFonts w:hint="eastAsia" w:ascii="宋体" w:hAnsi="宋体" w:cs="宋体"/>
                <w:color w:val="auto"/>
                <w:szCs w:val="21"/>
              </w:rPr>
              <w:t>实行准军事化管理，要做到在院24小时值守制，不断提高人员素质，要求对</w:t>
            </w:r>
            <w:r>
              <w:rPr>
                <w:rFonts w:hint="eastAsia" w:ascii="宋体" w:hAnsi="宋体" w:cs="宋体"/>
                <w:color w:val="auto"/>
                <w:szCs w:val="21"/>
                <w:lang w:eastAsia="zh-CN"/>
              </w:rPr>
              <w:t>安保人员</w:t>
            </w:r>
            <w:r>
              <w:rPr>
                <w:rFonts w:hint="eastAsia" w:ascii="宋体" w:hAnsi="宋体" w:cs="宋体"/>
                <w:color w:val="auto"/>
                <w:szCs w:val="21"/>
              </w:rPr>
              <w:t>进行培训、检查和考核，提高工作质量。</w:t>
            </w:r>
          </w:p>
          <w:p w14:paraId="4097C31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eastAsia="zh-CN"/>
              </w:rPr>
              <w:t>安保人员</w:t>
            </w:r>
            <w:r>
              <w:rPr>
                <w:rFonts w:hint="eastAsia" w:ascii="宋体" w:hAnsi="宋体" w:cs="宋体"/>
                <w:color w:val="auto"/>
                <w:szCs w:val="21"/>
              </w:rPr>
              <w:t>实行24小时值班制，并保证满员上岗，能合理安排机动人员，以应对节假日出现的人员不足问题，以保证不空岗。</w:t>
            </w:r>
          </w:p>
          <w:p w14:paraId="25C280E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）负责医院的消防，组织</w:t>
            </w:r>
            <w:r>
              <w:rPr>
                <w:rFonts w:hint="eastAsia" w:ascii="宋体" w:hAnsi="宋体" w:cs="宋体"/>
                <w:color w:val="auto"/>
                <w:szCs w:val="21"/>
                <w:lang w:eastAsia="zh-CN"/>
              </w:rPr>
              <w:t>安保人员</w:t>
            </w:r>
            <w:r>
              <w:rPr>
                <w:rFonts w:hint="eastAsia" w:ascii="宋体" w:hAnsi="宋体" w:cs="宋体"/>
                <w:color w:val="auto"/>
                <w:szCs w:val="21"/>
              </w:rPr>
              <w:t>经常参加消防知识培训及学习基本操作规程，不断提高对医院消防安全的认识和实际技</w:t>
            </w:r>
            <w:r>
              <w:rPr>
                <w:rFonts w:hint="eastAsia" w:ascii="宋体" w:hAnsi="宋体" w:cs="宋体"/>
                <w:color w:val="auto"/>
                <w:szCs w:val="21"/>
                <w:lang w:eastAsia="zh-CN"/>
              </w:rPr>
              <w:t>能</w:t>
            </w:r>
            <w:r>
              <w:rPr>
                <w:rFonts w:hint="eastAsia" w:ascii="宋体" w:hAnsi="宋体" w:cs="宋体"/>
                <w:color w:val="auto"/>
                <w:szCs w:val="21"/>
              </w:rPr>
              <w:t>，一旦出现火情，第一时间赶赴现场并能有效正确的实施灭火。</w:t>
            </w:r>
          </w:p>
          <w:p w14:paraId="5C96D78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）负责医院的治安安全，定时巡查（每2小时1次）全院区域，重点监控门急诊、挂号收费处、住院处、药房、病房、停车场及其他公共区域。</w:t>
            </w:r>
          </w:p>
          <w:p w14:paraId="4C1C9BC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负责医院医务人员工作时间的人身安全，一旦出现医患纠纷，保证第一时间赶赴现场维护秩序，独立并有效制止在工作区域烧纸、摆花圈、拉横幅、设灵堂等影响医院形象，干扰医疗秩序的行为，能积极配合、协助公安机关处理相关事件。在上述工作过程中，如出现法律纠纷或酿成治安事件，由成交单位独自承担相对应法律责任和后果，与采购单位无关。</w:t>
            </w:r>
          </w:p>
          <w:p w14:paraId="44A2448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）负责维护医院的正常秩序，协助公安机关打击违法犯罪分子，尤其是对反恐、伤医、医托、盗窃分子和个人暴力等行为。</w:t>
            </w:r>
          </w:p>
          <w:p w14:paraId="0002BF2C">
            <w:pPr>
              <w:spacing w:line="360" w:lineRule="auto"/>
              <w:ind w:firstLine="422" w:firstLineChars="20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（二）</w:t>
            </w:r>
            <w:r>
              <w:rPr>
                <w:rFonts w:hint="eastAsia" w:ascii="宋体" w:hAnsi="宋体" w:eastAsia="宋体" w:cs="宋体"/>
                <w:b/>
                <w:bCs/>
                <w:color w:val="auto"/>
                <w:szCs w:val="21"/>
                <w:lang w:val="en-US" w:eastAsia="zh-CN"/>
              </w:rPr>
              <w:t>消防控制室中级操作员</w:t>
            </w:r>
          </w:p>
          <w:p w14:paraId="281324B9">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（1）要求具有高中及以上文化程度，并且需要经过正规的职业培训，</w:t>
            </w:r>
            <w:r>
              <w:rPr>
                <w:rFonts w:hint="eastAsia" w:ascii="宋体" w:hAnsi="宋体" w:eastAsia="宋体" w:cs="宋体"/>
                <w:b/>
                <w:bCs/>
                <w:color w:val="auto"/>
                <w:szCs w:val="21"/>
                <w:lang w:val="en-US" w:eastAsia="zh-CN"/>
              </w:rPr>
              <w:t>取得消防设施操作员中级职业资格证书</w:t>
            </w:r>
            <w:r>
              <w:rPr>
                <w:rFonts w:hint="eastAsia" w:ascii="宋体" w:hAnsi="宋体" w:eastAsia="宋体" w:cs="宋体"/>
                <w:color w:val="auto"/>
                <w:szCs w:val="21"/>
                <w:lang w:val="en-US" w:eastAsia="zh-CN"/>
              </w:rPr>
              <w:t>。</w:t>
            </w:r>
          </w:p>
          <w:p w14:paraId="15100C1C">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（2）具备良好的沟通和团队协作能力，因为在火灾应急情况时，需要和其他消防救援人员、大楼内人员等协同工作。</w:t>
            </w:r>
          </w:p>
          <w:p w14:paraId="11E43390">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 能熟练操作消防控制室的设备，如火灾报警控制器（联动型）的多种操作，包括但不限于手自动转换、消音、复位等基本功能操作，还要能准确查询相关的火警、故障、联动等信息。</w:t>
            </w:r>
          </w:p>
          <w:p w14:paraId="440CA442">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（4）能够区分火灾报警信号、故障报警信号。对于消防联动设备，能通过手动方式对其进行启动和停止操作，像消防广播、防排烟系统等。</w:t>
            </w:r>
          </w:p>
          <w:p w14:paraId="3C5B19CE">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（5）掌握消防设施的操作，比如会正确使用消防电话总机进行通话，懂得应急广播系统的操作流程，包括录制、播放疏散指令等。</w:t>
            </w:r>
          </w:p>
          <w:p w14:paraId="5E5B2F2B">
            <w:pPr>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w:t>
            </w:r>
            <w:r>
              <w:rPr>
                <w:rFonts w:hint="eastAsia" w:ascii="宋体" w:hAnsi="宋体" w:cs="宋体"/>
                <w:b/>
                <w:bCs/>
                <w:color w:val="auto"/>
                <w:szCs w:val="21"/>
                <w:lang w:val="en-US" w:eastAsia="zh-CN"/>
              </w:rPr>
              <w:t>三</w:t>
            </w:r>
            <w:r>
              <w:rPr>
                <w:rFonts w:hint="eastAsia" w:ascii="宋体" w:hAnsi="宋体" w:cs="宋体"/>
                <w:b/>
                <w:bCs/>
                <w:color w:val="auto"/>
                <w:szCs w:val="21"/>
              </w:rPr>
              <w:t>）收费人员</w:t>
            </w:r>
          </w:p>
          <w:p w14:paraId="2D31464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（1）按要求查验相关人员和车辆的通行证；</w:t>
            </w:r>
          </w:p>
          <w:p w14:paraId="5C7253C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（2）能按照规定接待来访人员；</w:t>
            </w:r>
          </w:p>
          <w:p w14:paraId="009B5D2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（3）能指挥、疏导人员与车辆，确保院内通路畅通；</w:t>
            </w:r>
          </w:p>
          <w:p w14:paraId="2323A0B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（4）能及时发现异常情况并及时报告；</w:t>
            </w:r>
          </w:p>
          <w:p w14:paraId="693647D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（5）能识别报警信号，并使用对讲机、电话、有线和无线按钮、键盘等常用报警设备报警；</w:t>
            </w:r>
          </w:p>
          <w:p w14:paraId="12BF700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（6）能清理目标区域内无关人员和可疑物品；</w:t>
            </w:r>
          </w:p>
          <w:p w14:paraId="392FABB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（7）能发现火险、水电气泄漏、盗窃等安全隐患并及时报告；</w:t>
            </w:r>
          </w:p>
          <w:p w14:paraId="676DC9E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（8）能徒手或使用常用保安器械进行防护；</w:t>
            </w:r>
          </w:p>
          <w:p w14:paraId="70F088D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（9）能使用消火栓、灭火器等消防器材灭火；</w:t>
            </w:r>
          </w:p>
          <w:p w14:paraId="0801409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（10）能按规定设置隔离区保护案件、事故现场；</w:t>
            </w:r>
          </w:p>
          <w:p w14:paraId="4FE62AC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（11）能按照预定方案巡逻；</w:t>
            </w:r>
          </w:p>
          <w:p w14:paraId="4029560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（12）能使用有线、无线等通讯器材进行联络；</w:t>
            </w:r>
          </w:p>
          <w:p w14:paraId="10D71B20">
            <w:pPr>
              <w:pStyle w:val="10"/>
              <w:spacing w:line="360" w:lineRule="auto"/>
              <w:ind w:firstLine="420" w:firstLineChars="200"/>
              <w:rPr>
                <w:rFonts w:ascii="宋体" w:hAnsi="宋体" w:cs="宋体"/>
                <w:color w:val="auto"/>
                <w:szCs w:val="21"/>
              </w:rPr>
            </w:pPr>
            <w:r>
              <w:rPr>
                <w:rFonts w:hint="eastAsia" w:ascii="宋体" w:hAnsi="宋体" w:cs="宋体"/>
                <w:color w:val="auto"/>
                <w:szCs w:val="21"/>
              </w:rPr>
              <w:t>（13）能按规定格式填写巡逻</w:t>
            </w:r>
            <w:r>
              <w:rPr>
                <w:rFonts w:hint="eastAsia" w:ascii="宋体" w:hAnsi="宋体" w:cs="宋体"/>
                <w:color w:val="auto"/>
                <w:szCs w:val="21"/>
                <w:lang w:eastAsia="zh-CN"/>
              </w:rPr>
              <w:t>记</w:t>
            </w:r>
            <w:r>
              <w:rPr>
                <w:rFonts w:hint="eastAsia" w:ascii="宋体" w:hAnsi="宋体" w:cs="宋体"/>
                <w:color w:val="auto"/>
                <w:szCs w:val="21"/>
              </w:rPr>
              <w:t>录并规范交接班。</w:t>
            </w:r>
          </w:p>
          <w:p w14:paraId="07ABA6C9">
            <w:pPr>
              <w:numPr>
                <w:ilvl w:val="0"/>
                <w:numId w:val="0"/>
              </w:numPr>
              <w:tabs>
                <w:tab w:val="left" w:pos="180"/>
                <w:tab w:val="left" w:pos="1620"/>
              </w:tabs>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四、管理要求：</w:t>
            </w:r>
          </w:p>
          <w:p w14:paraId="6681CC8B">
            <w:pPr>
              <w:numPr>
                <w:ilvl w:val="0"/>
                <w:numId w:val="0"/>
              </w:numPr>
              <w:tabs>
                <w:tab w:val="left" w:pos="180"/>
                <w:tab w:val="left" w:pos="1620"/>
              </w:tabs>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（一）保安服务</w:t>
            </w:r>
          </w:p>
          <w:p w14:paraId="241EF89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建立保安服务管理制度。主要是提供保安服务时确保保安质量和保安服务合同得到切实履行的一系列管理制度。供应商应当根据国家有关保安服务标准和有关质量管理要求，并结合自身和采购人安全需求特点，建立一套自己的服务管理制度；</w:t>
            </w:r>
          </w:p>
          <w:p w14:paraId="29A0210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2、建立岗位责任制度。根据甲方要求的岗位，遵循因事设岗，职责相称，权责一致、责任分明，任务清楚、要求明确，责任到人，便于考核的原则；</w:t>
            </w:r>
          </w:p>
          <w:p w14:paraId="37E6654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3、建立</w:t>
            </w:r>
            <w:r>
              <w:rPr>
                <w:rFonts w:hint="eastAsia" w:ascii="宋体" w:hAnsi="宋体" w:cs="宋体"/>
                <w:color w:val="auto"/>
                <w:szCs w:val="21"/>
                <w:lang w:eastAsia="zh-CN"/>
              </w:rPr>
              <w:t>安保人员</w:t>
            </w:r>
            <w:r>
              <w:rPr>
                <w:rFonts w:hint="eastAsia" w:ascii="宋体" w:hAnsi="宋体" w:cs="宋体"/>
                <w:color w:val="auto"/>
                <w:szCs w:val="21"/>
              </w:rPr>
              <w:t>管理制度。是指供应商为全面提高保安队伍综合素质，加强保安队伍的正规化、职业化建设，提高保安服务质量和水平，对所属</w:t>
            </w:r>
            <w:r>
              <w:rPr>
                <w:rFonts w:hint="eastAsia" w:ascii="宋体" w:hAnsi="宋体" w:cs="宋体"/>
                <w:color w:val="auto"/>
                <w:szCs w:val="21"/>
                <w:lang w:eastAsia="zh-CN"/>
              </w:rPr>
              <w:t>安保人员</w:t>
            </w:r>
            <w:r>
              <w:rPr>
                <w:rFonts w:hint="eastAsia" w:ascii="宋体" w:hAnsi="宋体" w:cs="宋体"/>
                <w:color w:val="auto"/>
                <w:szCs w:val="21"/>
              </w:rPr>
              <w:t>进行规范管理的总体管理制度，包括录用、培训教育、考核评价、调配使用、执勤规范、奖励处罚及物资保障、福利待遇等制度；</w:t>
            </w:r>
          </w:p>
          <w:p w14:paraId="26F881E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4、制订紧急情况应急预案。供应商应根据甲方安全要求制订相应的应急预案，如消防、工作人员受到伤害等，预案中应明确包括应急项目，任务目的，组织指挥，力量配备和职责分工，通信联络，应急措施等；</w:t>
            </w:r>
          </w:p>
          <w:p w14:paraId="6FD3173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5、保安管理人员应服从甲乙双方领导，严守纪律，履行职责，敢于、善于管理；其中，保安大队长，要求3年以上保安管理经验；</w:t>
            </w:r>
          </w:p>
          <w:p w14:paraId="33EED0C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6、统一为在院工作人员配置各季节全套着装，每人每年2套；</w:t>
            </w:r>
          </w:p>
          <w:p w14:paraId="0B26057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7、采购人有权根据具体情况（如处理医疗纠纷、迎接上级检查）等临时调整成交方工作人员的工作时间及工作内容，成交方</w:t>
            </w:r>
            <w:r>
              <w:rPr>
                <w:rFonts w:hint="eastAsia" w:ascii="宋体" w:hAnsi="宋体" w:cs="宋体"/>
                <w:color w:val="auto"/>
                <w:szCs w:val="21"/>
                <w:lang w:eastAsia="zh-CN"/>
              </w:rPr>
              <w:t>安保人员</w:t>
            </w:r>
            <w:r>
              <w:rPr>
                <w:rFonts w:hint="eastAsia" w:ascii="宋体" w:hAnsi="宋体" w:cs="宋体"/>
                <w:color w:val="auto"/>
                <w:szCs w:val="21"/>
              </w:rPr>
              <w:t>应当服从采购人的调整（因采购人临时调整成交方</w:t>
            </w:r>
            <w:r>
              <w:rPr>
                <w:rFonts w:hint="eastAsia" w:ascii="宋体" w:hAnsi="宋体" w:cs="宋体"/>
                <w:color w:val="auto"/>
                <w:szCs w:val="21"/>
                <w:lang w:eastAsia="zh-CN"/>
              </w:rPr>
              <w:t>安保人员</w:t>
            </w:r>
            <w:r>
              <w:rPr>
                <w:rFonts w:hint="eastAsia" w:ascii="宋体" w:hAnsi="宋体" w:cs="宋体"/>
                <w:color w:val="auto"/>
                <w:szCs w:val="21"/>
              </w:rPr>
              <w:t>的工作时间及工作内容而产生的费用由成交方承担）；</w:t>
            </w:r>
          </w:p>
          <w:p w14:paraId="1CC3C23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8、定期对</w:t>
            </w:r>
            <w:r>
              <w:rPr>
                <w:rFonts w:hint="eastAsia" w:ascii="宋体" w:hAnsi="宋体" w:cs="宋体"/>
                <w:color w:val="auto"/>
                <w:szCs w:val="21"/>
                <w:lang w:val="en-US" w:eastAsia="zh-CN"/>
              </w:rPr>
              <w:t>安保</w:t>
            </w:r>
            <w:r>
              <w:rPr>
                <w:rFonts w:hint="eastAsia" w:ascii="宋体" w:hAnsi="宋体" w:cs="宋体"/>
                <w:color w:val="auto"/>
                <w:szCs w:val="21"/>
              </w:rPr>
              <w:t>人员进行体能训练和综合教育，管理人员每月至少召开一次例会；</w:t>
            </w:r>
          </w:p>
          <w:p w14:paraId="32D1562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9、依法与</w:t>
            </w:r>
            <w:r>
              <w:rPr>
                <w:rFonts w:hint="eastAsia" w:ascii="宋体" w:hAnsi="宋体" w:cs="宋体"/>
                <w:color w:val="auto"/>
                <w:szCs w:val="21"/>
                <w:lang w:eastAsia="zh-CN"/>
              </w:rPr>
              <w:t>安保人员</w:t>
            </w:r>
            <w:r>
              <w:rPr>
                <w:rFonts w:hint="eastAsia" w:ascii="宋体" w:hAnsi="宋体" w:cs="宋体"/>
                <w:color w:val="auto"/>
                <w:szCs w:val="21"/>
              </w:rPr>
              <w:t>签订劳动合同，按照规定投保意外伤害保险和社会保险，包括养老、医疗、失业、工伤、生育保险等；</w:t>
            </w:r>
          </w:p>
          <w:p w14:paraId="7E518A3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10、对</w:t>
            </w:r>
            <w:r>
              <w:rPr>
                <w:rFonts w:hint="eastAsia" w:ascii="宋体" w:hAnsi="宋体" w:cs="宋体"/>
                <w:color w:val="auto"/>
                <w:szCs w:val="21"/>
                <w:lang w:val="en-US" w:eastAsia="zh-CN"/>
              </w:rPr>
              <w:t>安保</w:t>
            </w:r>
            <w:r>
              <w:rPr>
                <w:rFonts w:hint="eastAsia" w:ascii="宋体" w:hAnsi="宋体" w:cs="宋体"/>
                <w:color w:val="auto"/>
                <w:szCs w:val="21"/>
              </w:rPr>
              <w:t>人员进行法律、保安知识等安全教育和安保技能培训；</w:t>
            </w:r>
          </w:p>
          <w:p w14:paraId="6D2C04F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11、提供</w:t>
            </w:r>
            <w:r>
              <w:rPr>
                <w:rFonts w:hint="eastAsia" w:ascii="宋体" w:hAnsi="宋体" w:cs="宋体"/>
                <w:color w:val="auto"/>
                <w:szCs w:val="21"/>
                <w:lang w:eastAsia="zh-CN"/>
              </w:rPr>
              <w:t>安保人员</w:t>
            </w:r>
            <w:r>
              <w:rPr>
                <w:rFonts w:hint="eastAsia" w:ascii="宋体" w:hAnsi="宋体" w:cs="宋体"/>
                <w:color w:val="auto"/>
                <w:szCs w:val="21"/>
              </w:rPr>
              <w:t>劳动条件和劳动保护，如安防工具（对讲机等）、设施、装备，安防工作场所、安防保障经费、安防技术资料等；</w:t>
            </w:r>
          </w:p>
          <w:p w14:paraId="0F92FCD1">
            <w:pPr>
              <w:spacing w:line="360" w:lineRule="auto"/>
              <w:ind w:left="630" w:leftChars="200" w:hanging="210" w:hangingChars="100"/>
              <w:jc w:val="left"/>
              <w:rPr>
                <w:rFonts w:hint="eastAsia" w:ascii="宋体" w:hAnsi="宋体" w:cs="宋体"/>
                <w:color w:val="auto"/>
                <w:szCs w:val="21"/>
                <w:lang w:val="en-US" w:eastAsia="zh-CN"/>
              </w:rPr>
            </w:pPr>
            <w:r>
              <w:rPr>
                <w:rFonts w:hint="eastAsia" w:ascii="宋体" w:hAnsi="宋体" w:cs="宋体"/>
                <w:color w:val="auto"/>
                <w:szCs w:val="21"/>
              </w:rPr>
              <w:t>12、</w:t>
            </w:r>
            <w:r>
              <w:rPr>
                <w:rFonts w:hint="eastAsia" w:ascii="宋体" w:hAnsi="宋体" w:cs="宋体"/>
                <w:color w:val="auto"/>
                <w:szCs w:val="21"/>
                <w:lang w:val="en-US" w:eastAsia="zh-CN"/>
              </w:rPr>
              <w:t>配置两轮电动治安巡逻车一辆，用于文昌院区的治安巡逻。</w:t>
            </w:r>
          </w:p>
          <w:p w14:paraId="336CBA02">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13、</w:t>
            </w:r>
            <w:r>
              <w:rPr>
                <w:rFonts w:hint="eastAsia" w:ascii="宋体" w:hAnsi="宋体" w:eastAsia="宋体" w:cs="宋体"/>
                <w:color w:val="auto"/>
                <w:szCs w:val="21"/>
              </w:rPr>
              <w:t>按考核标准对在</w:t>
            </w:r>
            <w:r>
              <w:rPr>
                <w:rFonts w:hint="eastAsia" w:ascii="宋体" w:hAnsi="宋体" w:cs="宋体"/>
                <w:color w:val="auto"/>
                <w:szCs w:val="21"/>
                <w:lang w:val="en-US" w:eastAsia="zh-CN"/>
              </w:rPr>
              <w:t>安保</w:t>
            </w:r>
            <w:r>
              <w:rPr>
                <w:rFonts w:hint="eastAsia" w:ascii="宋体" w:hAnsi="宋体" w:eastAsia="宋体" w:cs="宋体"/>
                <w:color w:val="auto"/>
                <w:szCs w:val="21"/>
              </w:rPr>
              <w:t>人员实施奖惩</w:t>
            </w:r>
            <w:r>
              <w:rPr>
                <w:rFonts w:hint="eastAsia" w:ascii="宋体" w:hAnsi="宋体" w:eastAsia="宋体" w:cs="宋体"/>
                <w:color w:val="auto"/>
                <w:szCs w:val="21"/>
                <w:lang w:eastAsia="zh-CN"/>
              </w:rPr>
              <w:t>。</w:t>
            </w:r>
          </w:p>
          <w:p w14:paraId="2A873E5C">
            <w:pPr>
              <w:spacing w:line="360" w:lineRule="auto"/>
              <w:ind w:firstLine="422" w:firstLineChars="20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二</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消防控制室操作员管理</w:t>
            </w:r>
          </w:p>
          <w:p w14:paraId="374B3A43">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1、消防控制室操作员应定期参加专业培训和继续教育，不断更新知识和技能，提高业务水平。培训内容包括消防法律法规、消防设施的操作与维护、火灾应急处置等。</w:t>
            </w:r>
          </w:p>
          <w:p w14:paraId="28FFD31C">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2、参加消防设施操作员国家职业技能鉴定考试，取得相应等级的证书，并且在工作中接受单位的定期考核和评估，考核内容包括业务能力、工作态度、值班纪律。</w:t>
            </w:r>
          </w:p>
          <w:p w14:paraId="55652B0A">
            <w:pPr>
              <w:spacing w:line="360" w:lineRule="auto"/>
              <w:ind w:firstLine="422" w:firstLineChars="200"/>
              <w:jc w:val="left"/>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三</w:t>
            </w:r>
            <w:r>
              <w:rPr>
                <w:rFonts w:hint="eastAsia" w:ascii="宋体" w:hAnsi="宋体" w:eastAsia="宋体" w:cs="宋体"/>
                <w:b/>
                <w:bCs/>
                <w:color w:val="auto"/>
                <w:szCs w:val="21"/>
                <w:lang w:eastAsia="zh-CN"/>
              </w:rPr>
              <w:t>）车场管理要求</w:t>
            </w:r>
          </w:p>
          <w:p w14:paraId="161C62D6">
            <w:pPr>
              <w:spacing w:line="360" w:lineRule="auto"/>
              <w:ind w:firstLine="420" w:firstLineChars="200"/>
              <w:jc w:val="left"/>
              <w:rPr>
                <w:rFonts w:ascii="宋体" w:hAnsi="宋体" w:cs="宋体"/>
                <w:color w:val="auto"/>
                <w:szCs w:val="21"/>
              </w:rPr>
            </w:pPr>
            <w:r>
              <w:rPr>
                <w:rFonts w:hint="eastAsia" w:ascii="宋体" w:hAnsi="宋体" w:eastAsia="宋体" w:cs="宋体"/>
                <w:color w:val="auto"/>
                <w:szCs w:val="21"/>
              </w:rPr>
              <w:t>1、供应商必</w:t>
            </w:r>
            <w:r>
              <w:rPr>
                <w:rFonts w:hint="eastAsia" w:ascii="宋体" w:hAnsi="宋体" w:cs="宋体"/>
                <w:color w:val="auto"/>
                <w:szCs w:val="21"/>
              </w:rPr>
              <w:t>须遵守国家的有关法律法规，依法经营，遵守采购人的有关规章制度，接受采购人监督、检查和管理。</w:t>
            </w:r>
          </w:p>
          <w:p w14:paraId="214D5C3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2、供应商未经采购人允许，不得对停车场进行任何改造。不得转租、转借他人，擅自改变用途或者不服从采购人管理，采购人有权提前收回场地并终止合同。</w:t>
            </w:r>
          </w:p>
          <w:p w14:paraId="2838461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3、供应商在承包管理期中，不得扣押车辆停放者的证件和财物（若有争议纠纷应由公安部门或相关部门解决）。</w:t>
            </w:r>
          </w:p>
          <w:p w14:paraId="1032744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4、车辆在停车场内停放安全由保卫人员负责，如在承包管理过程中，停车场内所发生的车辆纠纷、</w:t>
            </w:r>
            <w:r>
              <w:rPr>
                <w:rFonts w:hint="eastAsia" w:ascii="宋体" w:hAnsi="宋体" w:cs="宋体"/>
                <w:color w:val="auto"/>
                <w:szCs w:val="21"/>
                <w:highlight w:val="none"/>
                <w:lang w:eastAsia="zh-CN"/>
              </w:rPr>
              <w:t>剐蹭</w:t>
            </w:r>
            <w:r>
              <w:rPr>
                <w:rFonts w:hint="eastAsia" w:ascii="宋体" w:hAnsi="宋体" w:cs="宋体"/>
                <w:color w:val="auto"/>
                <w:szCs w:val="21"/>
                <w:highlight w:val="none"/>
              </w:rPr>
              <w:t>事故车损，由保卫人员协调报交警部门处理，</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管理问题导致的后果，由供应商</w:t>
            </w:r>
            <w:r>
              <w:rPr>
                <w:rFonts w:hint="eastAsia" w:ascii="宋体" w:hAnsi="宋体" w:cs="宋体"/>
                <w:color w:val="auto"/>
                <w:szCs w:val="21"/>
                <w:highlight w:val="none"/>
              </w:rPr>
              <w:t>承担。</w:t>
            </w:r>
          </w:p>
          <w:p w14:paraId="37B8AA0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5、采购人如发生突发事件，医患纠</w:t>
            </w:r>
            <w:r>
              <w:rPr>
                <w:rFonts w:hint="eastAsia" w:ascii="宋体" w:hAnsi="宋体" w:cs="宋体"/>
                <w:color w:val="auto"/>
                <w:szCs w:val="21"/>
                <w:lang w:eastAsia="zh-CN"/>
              </w:rPr>
              <w:t>纷</w:t>
            </w:r>
            <w:r>
              <w:rPr>
                <w:rFonts w:hint="eastAsia" w:ascii="宋体" w:hAnsi="宋体" w:cs="宋体"/>
                <w:color w:val="auto"/>
                <w:szCs w:val="21"/>
              </w:rPr>
              <w:t>，急救抢救和现场救护等临时需占用停车场所，供应商无条件服从采购人安排和调度，不得拒绝。</w:t>
            </w:r>
          </w:p>
          <w:p w14:paraId="1363EDF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院内职工、生活区住户车辆按采购人规定收费。政府机关和相关部门的来院公务的车辆不得收费（包括：政府机关和相关部门如公检法110、119，120急救车、救护车、殡葬车、消防设施、运送药品，送血及运输采购人的设备材料等的车辆）。</w:t>
            </w:r>
          </w:p>
          <w:p w14:paraId="495E5FA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7、其他进入院内的车辆按物价部门已批复的收费文件标准执行。如院内停车位已满，入口收费员告知车主本车场车位已满情况，出口收费人员应根据出口车辆情况立即通知入口收费员安排车辆进入停放。</w:t>
            </w:r>
          </w:p>
          <w:p w14:paraId="0A4B620D">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8、成交供应商须向采购人支付停车场管理费，管理费收取比例为停车场收入的5%。管理费在每个月进行财务结算后的5个工作日内支付至采购人指定账户。</w:t>
            </w:r>
          </w:p>
          <w:p w14:paraId="66157941">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供应商在承包期内应保护、维护院区停车收费系统和岗亭等设备设施，承包期内需负责停车场的场地修缮、监控维护、路网隔离器材的更换。采购人如有重要检查及大型活动，供应商应无条件配合搞好所属区域卫生和维护采购人形象。</w:t>
            </w:r>
          </w:p>
          <w:p w14:paraId="2BB0BBDA">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供应商的所有从业人员应在签约时向采购人提供身份证复印件，人员安全责任由供应商负责，并按规定签订履行合同责任书。承包期间，采购人如发现供应商从业人员有违纪违章或违反有关规定不服从管理的，采购人有权责成供应商换人，供应商应及时更换。</w:t>
            </w:r>
          </w:p>
          <w:p w14:paraId="7040E8D8">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11</w:t>
            </w:r>
            <w:r>
              <w:rPr>
                <w:rFonts w:hint="eastAsia" w:ascii="宋体" w:hAnsi="宋体" w:cs="宋体"/>
                <w:color w:val="auto"/>
                <w:szCs w:val="21"/>
              </w:rPr>
              <w:t>、供应商所招聘的从业人员应自觉维护采购人形象，统一服装并佩戴上岗证，仪容整洁，着装整齐，文明礼貌用语规范，文明服务，礼貌待人。未佩上岗证及行为不当，有损采购人形象的每次罚款100元。</w:t>
            </w:r>
          </w:p>
          <w:p w14:paraId="0E998512">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、供应商自行到工商税务部门办理税务营业执照，收费许可证，将管理部门核发车辆价格收费标准悬挂在停车场显目位置，必须按国家有关规定缴纳税金、工商管理费，如未交纳，则由承包人承担相应处罚。</w:t>
            </w:r>
          </w:p>
          <w:p w14:paraId="7ECAFA76">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13</w:t>
            </w:r>
            <w:r>
              <w:rPr>
                <w:rFonts w:hint="eastAsia" w:ascii="宋体" w:hAnsi="宋体" w:cs="宋体"/>
                <w:color w:val="auto"/>
                <w:szCs w:val="21"/>
              </w:rPr>
              <w:t>、供应商应严格执行政府规定的收费标准，按税收管理制度使用发票。不得使用假票和涂改及与单位不相符的票证，不得伪造有关证照和票据，如因违法违规给采购人造成损失或不良影响的或在承包期内发生的投诉，由供应商负责解释、答复，情节严重的采购人有权单方终止合同。</w:t>
            </w:r>
          </w:p>
          <w:p w14:paraId="42F7F1EA">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14</w:t>
            </w:r>
            <w:r>
              <w:rPr>
                <w:rFonts w:hint="eastAsia" w:ascii="宋体" w:hAnsi="宋体" w:cs="宋体"/>
                <w:color w:val="auto"/>
                <w:szCs w:val="21"/>
              </w:rPr>
              <w:t>、供应商应依据国家法律和地方有关部</w:t>
            </w:r>
            <w:r>
              <w:rPr>
                <w:rFonts w:hint="eastAsia" w:ascii="宋体" w:hAnsi="宋体" w:cs="宋体"/>
                <w:color w:val="auto"/>
                <w:szCs w:val="21"/>
                <w:lang w:eastAsia="zh-CN"/>
              </w:rPr>
              <w:t>门的</w:t>
            </w:r>
            <w:r>
              <w:rPr>
                <w:rFonts w:hint="eastAsia" w:ascii="宋体" w:hAnsi="宋体" w:cs="宋体"/>
                <w:color w:val="auto"/>
                <w:szCs w:val="21"/>
              </w:rPr>
              <w:t>规定，自觉履行防火安全、门前三包、综合治理及安全、保卫等义务，并接受采购人的监督检查。认真做好各项消防安全工作，不得在所属区域内进行一切非法活动。如有违反上述各项约定，由供应商承担包括采购人直接和间接损失在内的一切经济后果和法律责任。</w:t>
            </w:r>
          </w:p>
          <w:p w14:paraId="21A2E97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供应商在承包期内应保护、维护院区停车收费系统和岗亭等设备设施，采购人如有重要检查及大型活动，供应商应无条件配合搞好所属区域卫生和维护采购人形象。供应商如有违约或违规，采购人将追究供应商责任。</w:t>
            </w:r>
          </w:p>
          <w:p w14:paraId="7ACA0DB7">
            <w:pPr>
              <w:spacing w:line="360" w:lineRule="auto"/>
              <w:ind w:firstLine="422" w:firstLineChars="200"/>
              <w:jc w:val="left"/>
              <w:rPr>
                <w:rFonts w:hint="eastAsia" w:ascii="宋体" w:hAnsi="宋体" w:eastAsia="宋体" w:cs="宋体"/>
                <w:b/>
                <w:bCs/>
                <w:color w:val="auto"/>
                <w:szCs w:val="21"/>
                <w:lang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四</w:t>
            </w:r>
            <w:r>
              <w:rPr>
                <w:rFonts w:hint="eastAsia" w:ascii="宋体" w:hAnsi="宋体" w:cs="宋体"/>
                <w:b/>
                <w:bCs/>
                <w:color w:val="auto"/>
                <w:szCs w:val="21"/>
                <w:lang w:eastAsia="zh-CN"/>
              </w:rPr>
              <w:t>）</w:t>
            </w:r>
            <w:r>
              <w:rPr>
                <w:rFonts w:hint="eastAsia" w:ascii="宋体" w:hAnsi="宋体" w:cs="宋体"/>
                <w:b/>
                <w:bCs/>
                <w:color w:val="auto"/>
                <w:szCs w:val="21"/>
              </w:rPr>
              <w:t>考核小组成立以及考核的要求</w:t>
            </w:r>
          </w:p>
          <w:p w14:paraId="04350156">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1、成立防城港市第一人民医院保安考核小组，由保卫科、医院总值、院办、人力资源部、后勤保障科组成对保安服务的考核小组；</w:t>
            </w:r>
          </w:p>
          <w:p w14:paraId="5750B5AD">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2、考核要求：由考核小组对成交供应商派驻医院的安保人员进行日常的各项工作的考核，把存在问题的意见反馈给保卫科，由保卫科督促落实好。具体考评内容及标准详见附件</w:t>
            </w:r>
            <w:r>
              <w:rPr>
                <w:rFonts w:hint="eastAsia" w:ascii="宋体" w:hAnsi="宋体" w:cs="宋体"/>
                <w:color w:val="auto"/>
                <w:szCs w:val="21"/>
                <w:lang w:val="en-US" w:eastAsia="zh-CN"/>
              </w:rPr>
              <w:t>二</w:t>
            </w:r>
            <w:r>
              <w:rPr>
                <w:rFonts w:hint="eastAsia" w:ascii="宋体" w:hAnsi="宋体" w:eastAsia="宋体" w:cs="宋体"/>
                <w:color w:val="auto"/>
                <w:szCs w:val="21"/>
                <w:lang w:val="en-US" w:eastAsia="zh-CN"/>
              </w:rPr>
              <w:t>：《防城港市第一人民医院保安考核标准》。</w:t>
            </w:r>
          </w:p>
          <w:p w14:paraId="2085F1DB">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、考评周期：每月定期考评</w:t>
            </w:r>
            <w:r>
              <w:rPr>
                <w:rFonts w:hint="eastAsia" w:ascii="宋体" w:hAnsi="宋体" w:cs="宋体"/>
                <w:color w:val="auto"/>
                <w:szCs w:val="21"/>
                <w:lang w:eastAsia="zh-CN"/>
              </w:rPr>
              <w:t>，</w:t>
            </w:r>
            <w:r>
              <w:rPr>
                <w:rFonts w:hint="eastAsia" w:ascii="宋体" w:hAnsi="宋体" w:cs="宋体"/>
                <w:color w:val="auto"/>
                <w:szCs w:val="21"/>
                <w:lang w:val="en-US" w:eastAsia="zh-CN"/>
              </w:rPr>
              <w:t>连续两月</w:t>
            </w:r>
            <w:r>
              <w:rPr>
                <w:rFonts w:hint="eastAsia" w:ascii="宋体" w:hAnsi="宋体" w:eastAsia="宋体" w:cs="宋体"/>
                <w:color w:val="auto"/>
                <w:szCs w:val="21"/>
                <w:lang w:val="en-US" w:eastAsia="zh-CN"/>
              </w:rPr>
              <w:t>考核不合格采购方有权终止合同。</w:t>
            </w:r>
          </w:p>
          <w:p w14:paraId="15E10385">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、每月考核的结果以书面函的形式发送到成交</w:t>
            </w:r>
            <w:r>
              <w:rPr>
                <w:rFonts w:hint="eastAsia" w:ascii="宋体" w:hAnsi="宋体" w:eastAsia="宋体" w:cs="宋体"/>
                <w:color w:val="auto"/>
                <w:szCs w:val="21"/>
                <w:lang w:val="en-US" w:eastAsia="zh-CN"/>
              </w:rPr>
              <w:t>供应商</w:t>
            </w:r>
            <w:r>
              <w:rPr>
                <w:rFonts w:hint="eastAsia" w:ascii="宋体" w:hAnsi="宋体" w:eastAsia="宋体" w:cs="宋体"/>
                <w:color w:val="auto"/>
                <w:szCs w:val="21"/>
              </w:rPr>
              <w:t>，内容包括常规工作完成情况、满意度调查结果、工作中存在的问题、考评总分等。</w:t>
            </w:r>
          </w:p>
          <w:p w14:paraId="0553FD39">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、上级各类检查，院部检查及保卫处检查中存在的违规行为，均列入考评范围。</w:t>
            </w:r>
          </w:p>
        </w:tc>
      </w:tr>
      <w:tr w14:paraId="2AD68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574" w:type="dxa"/>
            <w:gridSpan w:val="5"/>
            <w:tcBorders>
              <w:top w:val="single" w:color="auto" w:sz="4" w:space="0"/>
              <w:left w:val="single" w:color="auto" w:sz="4" w:space="0"/>
              <w:bottom w:val="single" w:color="auto" w:sz="4" w:space="0"/>
              <w:right w:val="single" w:color="auto" w:sz="4" w:space="0"/>
            </w:tcBorders>
            <w:noWrap w:val="0"/>
            <w:vAlign w:val="center"/>
          </w:tcPr>
          <w:p w14:paraId="533EBDC5">
            <w:pPr>
              <w:spacing w:line="360" w:lineRule="exact"/>
              <w:jc w:val="both"/>
              <w:rPr>
                <w:rFonts w:ascii="宋体" w:hAnsi="宋体"/>
                <w:color w:val="auto"/>
                <w:szCs w:val="21"/>
              </w:rPr>
            </w:pPr>
            <w:r>
              <w:rPr>
                <w:rFonts w:hint="eastAsia" w:ascii="宋体" w:hAnsi="宋体" w:cs="宋体"/>
                <w:color w:val="auto"/>
                <w:sz w:val="24"/>
                <w:szCs w:val="24"/>
              </w:rPr>
              <w:t>▲</w:t>
            </w:r>
            <w:r>
              <w:rPr>
                <w:rFonts w:hint="eastAsia" w:ascii="宋体" w:hAnsi="宋体"/>
                <w:b/>
                <w:color w:val="auto"/>
                <w:sz w:val="24"/>
                <w:szCs w:val="24"/>
                <w:lang w:val="en-US" w:eastAsia="zh-CN"/>
              </w:rPr>
              <w:t>二</w:t>
            </w:r>
            <w:r>
              <w:rPr>
                <w:rFonts w:hint="eastAsia" w:ascii="宋体" w:hAnsi="宋体"/>
                <w:b/>
                <w:color w:val="auto"/>
                <w:sz w:val="24"/>
                <w:szCs w:val="24"/>
              </w:rPr>
              <w:t>、商务要求</w:t>
            </w:r>
          </w:p>
        </w:tc>
      </w:tr>
      <w:tr w14:paraId="1F06D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98BFC6">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服务期限和地点</w:t>
            </w:r>
          </w:p>
        </w:tc>
        <w:tc>
          <w:tcPr>
            <w:tcW w:w="7633" w:type="dxa"/>
            <w:gridSpan w:val="3"/>
            <w:tcBorders>
              <w:top w:val="single" w:color="auto" w:sz="4" w:space="0"/>
              <w:left w:val="single" w:color="auto" w:sz="4" w:space="0"/>
              <w:bottom w:val="single" w:color="auto" w:sz="4" w:space="0"/>
              <w:right w:val="single" w:color="auto" w:sz="4" w:space="0"/>
            </w:tcBorders>
            <w:noWrap w:val="0"/>
            <w:vAlign w:val="center"/>
          </w:tcPr>
          <w:p w14:paraId="486F6CB8">
            <w:pPr>
              <w:spacing w:line="360" w:lineRule="auto"/>
              <w:rPr>
                <w:rFonts w:ascii="宋体" w:hAnsi="宋体" w:cs="宋体"/>
                <w:color w:val="auto"/>
                <w:sz w:val="21"/>
                <w:szCs w:val="21"/>
              </w:rPr>
            </w:pPr>
            <w:r>
              <w:rPr>
                <w:rFonts w:hint="eastAsia" w:ascii="宋体" w:hAnsi="宋体" w:cs="宋体"/>
                <w:color w:val="auto"/>
                <w:sz w:val="21"/>
                <w:szCs w:val="21"/>
              </w:rPr>
              <w:t>1.服务期限：</w:t>
            </w:r>
            <w:r>
              <w:rPr>
                <w:rFonts w:ascii="宋体" w:hAnsi="宋体" w:cs="Arial"/>
                <w:bCs/>
                <w:iCs/>
                <w:color w:val="auto"/>
                <w:sz w:val="21"/>
                <w:szCs w:val="21"/>
              </w:rPr>
              <w:t>自合同签订之日起</w:t>
            </w:r>
            <w:r>
              <w:rPr>
                <w:rFonts w:hint="eastAsia" w:ascii="宋体" w:hAnsi="宋体" w:cs="Arial"/>
                <w:bCs/>
                <w:iCs/>
                <w:color w:val="auto"/>
                <w:sz w:val="21"/>
                <w:szCs w:val="21"/>
                <w:lang w:val="en-US" w:eastAsia="zh-CN"/>
              </w:rPr>
              <w:t>1</w:t>
            </w:r>
            <w:r>
              <w:rPr>
                <w:rFonts w:ascii="宋体" w:hAnsi="宋体" w:cs="Arial"/>
                <w:bCs/>
                <w:iCs/>
                <w:color w:val="auto"/>
                <w:sz w:val="21"/>
                <w:szCs w:val="21"/>
              </w:rPr>
              <w:t>年</w:t>
            </w:r>
            <w:r>
              <w:rPr>
                <w:rFonts w:hint="eastAsia" w:ascii="宋体" w:hAnsi="宋体" w:cs="Arial"/>
                <w:bCs/>
                <w:iCs/>
                <w:color w:val="auto"/>
                <w:sz w:val="21"/>
                <w:szCs w:val="21"/>
              </w:rPr>
              <w:t>。</w:t>
            </w:r>
          </w:p>
          <w:p w14:paraId="45801045">
            <w:pPr>
              <w:spacing w:line="360" w:lineRule="auto"/>
              <w:rPr>
                <w:rFonts w:ascii="宋体" w:hAnsi="宋体"/>
                <w:color w:val="auto"/>
                <w:sz w:val="21"/>
                <w:szCs w:val="21"/>
                <w:highlight w:val="none"/>
              </w:rPr>
            </w:pPr>
            <w:r>
              <w:rPr>
                <w:rFonts w:hint="eastAsia" w:ascii="宋体" w:hAnsi="宋体" w:cs="宋体"/>
                <w:color w:val="auto"/>
                <w:sz w:val="21"/>
                <w:szCs w:val="21"/>
              </w:rPr>
              <w:t>2.服务的地点：</w:t>
            </w:r>
            <w:r>
              <w:rPr>
                <w:rFonts w:hint="eastAsia" w:ascii="宋体" w:hAnsi="宋体"/>
                <w:color w:val="auto"/>
                <w:sz w:val="21"/>
                <w:szCs w:val="21"/>
              </w:rPr>
              <w:t>广西</w:t>
            </w:r>
            <w:r>
              <w:rPr>
                <w:rFonts w:hint="eastAsia" w:ascii="宋体" w:hAnsi="宋体"/>
                <w:color w:val="auto"/>
                <w:sz w:val="21"/>
                <w:szCs w:val="21"/>
                <w:u w:val="single"/>
              </w:rPr>
              <w:t>防城港</w:t>
            </w:r>
            <w:r>
              <w:rPr>
                <w:rFonts w:hint="eastAsia" w:ascii="宋体" w:hAnsi="宋体"/>
                <w:color w:val="auto"/>
                <w:sz w:val="21"/>
                <w:szCs w:val="21"/>
              </w:rPr>
              <w:t>市采购人指定地点。</w:t>
            </w:r>
          </w:p>
        </w:tc>
      </w:tr>
      <w:tr w14:paraId="1A2D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9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37DB20">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633" w:type="dxa"/>
            <w:gridSpan w:val="3"/>
            <w:tcBorders>
              <w:top w:val="single" w:color="auto" w:sz="4" w:space="0"/>
              <w:left w:val="single" w:color="auto" w:sz="4" w:space="0"/>
              <w:bottom w:val="single" w:color="auto" w:sz="4" w:space="0"/>
              <w:right w:val="single" w:color="auto" w:sz="4" w:space="0"/>
            </w:tcBorders>
            <w:noWrap w:val="0"/>
            <w:vAlign w:val="center"/>
          </w:tcPr>
          <w:p w14:paraId="3B154F72">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41D89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96CFF36">
            <w:pPr>
              <w:adjustRightInd w:val="0"/>
              <w:spacing w:line="360" w:lineRule="auto"/>
              <w:ind w:left="6" w:leftChars="0" w:firstLine="420" w:firstLineChars="200"/>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highlight w:val="none"/>
              </w:rPr>
              <w:t>报价要求</w:t>
            </w:r>
          </w:p>
        </w:tc>
        <w:tc>
          <w:tcPr>
            <w:tcW w:w="7633" w:type="dxa"/>
            <w:gridSpan w:val="3"/>
            <w:tcBorders>
              <w:top w:val="single" w:color="auto" w:sz="4" w:space="0"/>
              <w:left w:val="single" w:color="auto" w:sz="4" w:space="0"/>
              <w:bottom w:val="single" w:color="auto" w:sz="4" w:space="0"/>
              <w:right w:val="single" w:color="auto" w:sz="4" w:space="0"/>
            </w:tcBorders>
            <w:noWrap w:val="0"/>
            <w:vAlign w:val="center"/>
          </w:tcPr>
          <w:p w14:paraId="7A62E81C">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1.本项目不允许转包、分包，不接受联合体投标。</w:t>
            </w:r>
          </w:p>
          <w:p w14:paraId="19A19AF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供应商应对所</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项目的全部内容进行报价，只竞标其中部分内容者，其响应文件将被拒绝。</w:t>
            </w:r>
          </w:p>
          <w:p w14:paraId="32C90F8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竞标报价应包括项目所有服务人员的年度工资预算（员工工作时间应该遵守市每月最高工作时间的相关规定；工资不得低于甚至应该高于防城港市最低工资标准；所有工作人员必须交纳包括养老、工伤、失业、生育、医疗等在内的社会保险；法定节假日加班按照国家规定计算并支付的超时工资和加班工资等；夏季高温费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41DDED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竞标报价应包含完成本项目采购发生的所有含税费用、支付给员工的工资和国家强制缴纳的各种社会保障资金，以及为完成本项目采购所有项目可能发生的费用，供应商必须提供各单项人员工资组成明细、配置工具、设备明细表，提供各项物耗明细表。报价还应考虑采购文件合同专用条款和其他要求条款中注明的相关内容可能产生的费用。</w:t>
            </w:r>
          </w:p>
          <w:p w14:paraId="3475AAF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供应商应充分考虑所有可能影响到报价的价格及政策等风险因素，一旦成交，总价将包定，一律不予调整。</w:t>
            </w:r>
          </w:p>
          <w:p w14:paraId="3770C3BC">
            <w:pPr>
              <w:autoSpaceDE w:val="0"/>
              <w:autoSpaceDN w:val="0"/>
              <w:adjustRightInd w:val="0"/>
              <w:spacing w:line="360" w:lineRule="auto"/>
              <w:ind w:left="-2" w:left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报价除包含采购文件中列明的项目外还应包括保障该项目服务正常运行应当具有的物资和服务，对项目服务正常运行应当具有的物资和服务理解不一致的以采购人理解为准。供应商的任何错漏、优惠、竞争性报价不得作为减轻责任、减少服务、增加收费、降低质量的理由。</w:t>
            </w:r>
          </w:p>
          <w:p w14:paraId="6430C4E3">
            <w:pPr>
              <w:spacing w:line="360" w:lineRule="auto"/>
              <w:ind w:firstLine="420" w:firstLineChars="200"/>
              <w:jc w:val="left"/>
              <w:rPr>
                <w:rFonts w:hint="eastAsia" w:ascii="宋体" w:hAnsi="宋体" w:eastAsia="宋体" w:cs="宋体"/>
                <w:color w:val="auto"/>
                <w:sz w:val="21"/>
                <w:szCs w:val="21"/>
                <w:lang w:eastAsia="zh-CN"/>
              </w:rPr>
            </w:pPr>
            <w:bookmarkStart w:id="17" w:name="_Toc25104"/>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医院停车场管理由</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供应商按照《防城港市第一人民医院停车场管理服务方案》进行自收自支，医院不负责收费岗位人员劳动报酬</w:t>
            </w:r>
            <w:bookmarkEnd w:id="17"/>
            <w:r>
              <w:rPr>
                <w:rFonts w:hint="eastAsia" w:ascii="宋体" w:hAnsi="宋体" w:cs="宋体"/>
                <w:color w:val="auto"/>
                <w:sz w:val="21"/>
                <w:szCs w:val="21"/>
                <w:highlight w:val="none"/>
                <w:lang w:eastAsia="zh-CN"/>
              </w:rPr>
              <w:t>，</w:t>
            </w:r>
            <w:r>
              <w:rPr>
                <w:rFonts w:hint="eastAsia" w:ascii="宋体" w:hAnsi="宋体" w:cs="宋体"/>
                <w:color w:val="auto"/>
                <w:szCs w:val="21"/>
                <w:lang w:val="en-US" w:eastAsia="zh-CN"/>
              </w:rPr>
              <w:t>成交供应商须向采购人支付停车场管理费，管理费收取比例为停车场收入的5%。管理费在每个月进行财务结算后的5个工作日内支付至采购人指定账户。</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rPr>
              <w:t>在承包期内应保护、维护院区停车收费系统和岗亭等设备设施，负责停车场的场地修缮、监控维护、路网隔离器材的更换。</w:t>
            </w:r>
          </w:p>
        </w:tc>
      </w:tr>
      <w:tr w14:paraId="240E7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70ADD817">
            <w:pPr>
              <w:snapToGrid w:val="0"/>
              <w:spacing w:line="360" w:lineRule="exact"/>
              <w:jc w:val="center"/>
              <w:rPr>
                <w:rFonts w:hint="eastAsia" w:ascii="宋体" w:hAnsi="宋体"/>
                <w:color w:val="auto"/>
                <w:sz w:val="21"/>
                <w:szCs w:val="21"/>
              </w:rPr>
            </w:pPr>
            <w:r>
              <w:rPr>
                <w:rFonts w:hint="eastAsia" w:ascii="宋体" w:hAnsi="宋体"/>
                <w:color w:val="auto"/>
                <w:sz w:val="21"/>
                <w:szCs w:val="21"/>
                <w:highlight w:val="none"/>
              </w:rPr>
              <w:t>付款条件</w:t>
            </w:r>
          </w:p>
        </w:tc>
        <w:tc>
          <w:tcPr>
            <w:tcW w:w="7633" w:type="dxa"/>
            <w:gridSpan w:val="3"/>
            <w:tcBorders>
              <w:top w:val="single" w:color="auto" w:sz="4" w:space="0"/>
              <w:left w:val="single" w:color="auto" w:sz="4" w:space="0"/>
              <w:bottom w:val="single" w:color="auto" w:sz="4" w:space="0"/>
              <w:right w:val="single" w:color="auto" w:sz="4" w:space="0"/>
            </w:tcBorders>
            <w:noWrap w:val="0"/>
            <w:vAlign w:val="center"/>
          </w:tcPr>
          <w:p w14:paraId="6603CD41">
            <w:pPr>
              <w:autoSpaceDE w:val="0"/>
              <w:autoSpaceDN w:val="0"/>
              <w:adjustRightInd w:val="0"/>
              <w:spacing w:line="360" w:lineRule="exact"/>
              <w:ind w:left="-2" w:leftChars="-1"/>
              <w:jc w:val="left"/>
              <w:rPr>
                <w:rFonts w:hint="eastAsia" w:ascii="宋体" w:hAnsi="宋体"/>
                <w:color w:val="auto"/>
                <w:sz w:val="21"/>
                <w:szCs w:val="21"/>
              </w:rPr>
            </w:pPr>
            <w:r>
              <w:rPr>
                <w:rFonts w:hint="eastAsia" w:ascii="宋体" w:hAnsi="宋体" w:cs="宋体"/>
                <w:color w:val="auto"/>
                <w:sz w:val="21"/>
                <w:szCs w:val="21"/>
              </w:rPr>
              <w:t>按月按实际岗位人数及考核情况支付。服务费由采购人在签订合同后、服务期开始按月平均支付服务费给成交供应商，采购方对成交方的服务工作进行考核，将考核结果与支付的服务费用挂钩，当月结束后，在下月月初考核合格后，于</w:t>
            </w:r>
            <w:r>
              <w:rPr>
                <w:rFonts w:hint="eastAsia" w:ascii="宋体" w:hAnsi="宋体" w:cs="宋体"/>
                <w:color w:val="auto"/>
                <w:sz w:val="21"/>
                <w:szCs w:val="21"/>
                <w:highlight w:val="none"/>
                <w:lang w:eastAsia="zh-CN"/>
              </w:rPr>
              <w:t>考核</w:t>
            </w:r>
            <w:r>
              <w:rPr>
                <w:rFonts w:hint="eastAsia" w:ascii="宋体" w:hAnsi="宋体" w:cs="宋体"/>
                <w:color w:val="auto"/>
                <w:sz w:val="21"/>
                <w:szCs w:val="21"/>
                <w:highlight w:val="none"/>
              </w:rPr>
              <w:t>月</w:t>
            </w:r>
            <w:r>
              <w:rPr>
                <w:rFonts w:hint="eastAsia" w:ascii="宋体" w:hAnsi="宋体" w:cs="宋体"/>
                <w:color w:val="auto"/>
                <w:sz w:val="21"/>
                <w:szCs w:val="21"/>
              </w:rPr>
              <w:t>的15</w:t>
            </w:r>
            <w:r>
              <w:rPr>
                <w:rFonts w:hint="eastAsia" w:ascii="宋体" w:hAnsi="宋体" w:cs="宋体"/>
                <w:color w:val="auto"/>
                <w:sz w:val="21"/>
                <w:szCs w:val="21"/>
                <w:lang w:eastAsia="zh-CN"/>
              </w:rPr>
              <w:t>日前</w:t>
            </w:r>
            <w:r>
              <w:rPr>
                <w:rFonts w:hint="eastAsia" w:ascii="宋体" w:hAnsi="宋体" w:cs="宋体"/>
                <w:color w:val="auto"/>
                <w:sz w:val="21"/>
                <w:szCs w:val="21"/>
              </w:rPr>
              <w:t>支付上月的费用，成交方需出具税务部门认可的发票。供应商必须按月提供为保安员缴纳“五险”金的合法票据复印件，如未能提供，采购方将在每月服务费中扣除五险金费用部分，不再支付保安员的五险费用。</w:t>
            </w:r>
          </w:p>
        </w:tc>
      </w:tr>
      <w:tr w14:paraId="4FC1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60EC7C9D">
            <w:pPr>
              <w:spacing w:line="360" w:lineRule="exact"/>
              <w:jc w:val="center"/>
              <w:rPr>
                <w:rFonts w:hint="eastAsia" w:ascii="宋体" w:hAnsi="宋体"/>
                <w:color w:val="auto"/>
                <w:sz w:val="21"/>
                <w:szCs w:val="21"/>
              </w:rPr>
            </w:pPr>
            <w:r>
              <w:rPr>
                <w:rFonts w:hint="eastAsia"/>
                <w:color w:val="auto"/>
                <w:sz w:val="21"/>
                <w:szCs w:val="21"/>
                <w:highlight w:val="none"/>
              </w:rPr>
              <w:t>验收标准</w:t>
            </w:r>
          </w:p>
        </w:tc>
        <w:tc>
          <w:tcPr>
            <w:tcW w:w="7633" w:type="dxa"/>
            <w:gridSpan w:val="3"/>
            <w:tcBorders>
              <w:top w:val="single" w:color="auto" w:sz="4" w:space="0"/>
              <w:left w:val="single" w:color="auto" w:sz="4" w:space="0"/>
              <w:bottom w:val="single" w:color="auto" w:sz="4" w:space="0"/>
              <w:right w:val="single" w:color="auto" w:sz="4" w:space="0"/>
            </w:tcBorders>
            <w:noWrap w:val="0"/>
            <w:vAlign w:val="center"/>
          </w:tcPr>
          <w:p w14:paraId="4BA3B79C">
            <w:pPr>
              <w:adjustRightInd w:val="0"/>
              <w:snapToGrid w:val="0"/>
              <w:spacing w:line="360" w:lineRule="exact"/>
              <w:rPr>
                <w:rFonts w:hint="eastAsia" w:ascii="宋体" w:hAnsi="宋体"/>
                <w:color w:val="auto"/>
                <w:sz w:val="21"/>
                <w:szCs w:val="21"/>
              </w:rPr>
            </w:pPr>
            <w:r>
              <w:rPr>
                <w:rFonts w:hint="eastAsia" w:ascii="宋体" w:hAnsi="宋体" w:cs="宋体"/>
                <w:color w:val="auto"/>
                <w:sz w:val="21"/>
                <w:szCs w:val="21"/>
              </w:rPr>
              <w:t>达到防城港市第一人民医院保安考核合格标准。</w:t>
            </w:r>
          </w:p>
        </w:tc>
      </w:tr>
      <w:tr w14:paraId="50146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2B9918B6">
            <w:pPr>
              <w:autoSpaceDE w:val="0"/>
              <w:autoSpaceDN w:val="0"/>
              <w:adjustRightInd w:val="0"/>
              <w:spacing w:line="360" w:lineRule="exact"/>
              <w:ind w:left="-2" w:leftChars="-1"/>
              <w:jc w:val="center"/>
              <w:rPr>
                <w:rFonts w:hint="eastAsia" w:ascii="宋体" w:hAnsi="宋体"/>
                <w:color w:val="auto"/>
                <w:sz w:val="21"/>
                <w:szCs w:val="21"/>
              </w:rPr>
            </w:pPr>
            <w:r>
              <w:rPr>
                <w:rFonts w:hint="eastAsia" w:ascii="宋体" w:hAnsi="宋体" w:eastAsia="宋体" w:cs="宋体"/>
                <w:color w:val="auto"/>
                <w:sz w:val="21"/>
                <w:szCs w:val="21"/>
                <w:lang w:val="en-US" w:eastAsia="zh-CN"/>
              </w:rPr>
              <w:t>其他要求</w:t>
            </w:r>
          </w:p>
        </w:tc>
        <w:tc>
          <w:tcPr>
            <w:tcW w:w="7633" w:type="dxa"/>
            <w:gridSpan w:val="3"/>
            <w:tcBorders>
              <w:top w:val="single" w:color="auto" w:sz="4" w:space="0"/>
              <w:left w:val="single" w:color="auto" w:sz="4" w:space="0"/>
              <w:bottom w:val="single" w:color="auto" w:sz="4" w:space="0"/>
              <w:right w:val="single" w:color="auto" w:sz="4" w:space="0"/>
            </w:tcBorders>
            <w:noWrap w:val="0"/>
            <w:vAlign w:val="center"/>
          </w:tcPr>
          <w:p w14:paraId="7F34880D">
            <w:pPr>
              <w:autoSpaceDE w:val="0"/>
              <w:autoSpaceDN w:val="0"/>
              <w:adjustRightInd w:val="0"/>
              <w:spacing w:line="360" w:lineRule="exact"/>
              <w:ind w:left="-2" w:leftChars="-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1.人员岗位配置根据各院区实际情况进行调整分配，需服从采购人的具体安排。</w:t>
            </w:r>
          </w:p>
          <w:p w14:paraId="3484D9BC">
            <w:pPr>
              <w:autoSpaceDE w:val="0"/>
              <w:autoSpaceDN w:val="0"/>
              <w:adjustRightInd w:val="0"/>
              <w:spacing w:line="360" w:lineRule="exact"/>
              <w:ind w:left="-2" w:leftChars="-1"/>
              <w:jc w:val="left"/>
              <w:rPr>
                <w:rFonts w:hint="eastAsia" w:ascii="宋体" w:hAnsi="宋体"/>
                <w:color w:val="auto"/>
                <w:sz w:val="21"/>
                <w:szCs w:val="21"/>
              </w:rPr>
            </w:pPr>
            <w:r>
              <w:rPr>
                <w:rFonts w:hint="eastAsia" w:ascii="宋体" w:hAnsi="宋体" w:eastAsia="宋体" w:cs="宋体"/>
                <w:color w:val="auto"/>
                <w:sz w:val="21"/>
                <w:szCs w:val="21"/>
                <w:highlight w:val="none"/>
                <w:lang w:val="en-US" w:eastAsia="zh-CN"/>
              </w:rPr>
              <w:t>2.停车收费管理的设施设备维修维护由停车管理方负责。</w:t>
            </w:r>
          </w:p>
        </w:tc>
      </w:tr>
    </w:tbl>
    <w:p w14:paraId="129D963E">
      <w:pPr>
        <w:widowControl/>
        <w:jc w:val="left"/>
        <w:textAlignment w:val="center"/>
        <w:rPr>
          <w:rFonts w:hint="eastAsia" w:ascii="宋体" w:hAnsi="宋体"/>
          <w:b/>
          <w:color w:val="auto"/>
          <w:szCs w:val="21"/>
        </w:rPr>
      </w:pPr>
      <w:r>
        <w:rPr>
          <w:rFonts w:hint="eastAsia" w:ascii="宋体" w:hAnsi="宋体"/>
          <w:b/>
          <w:color w:val="auto"/>
          <w:szCs w:val="21"/>
        </w:rPr>
        <w:t xml:space="preserve"> </w:t>
      </w:r>
    </w:p>
    <w:p w14:paraId="4A70F11D">
      <w:pPr>
        <w:widowControl/>
        <w:jc w:val="left"/>
        <w:textAlignment w:val="center"/>
        <w:rPr>
          <w:rFonts w:hint="eastAsia" w:ascii="宋体" w:hAnsi="宋体"/>
          <w:b/>
          <w:color w:val="auto"/>
          <w:szCs w:val="21"/>
        </w:rPr>
      </w:pPr>
    </w:p>
    <w:p w14:paraId="13F61A71">
      <w:pPr>
        <w:widowControl/>
        <w:jc w:val="left"/>
        <w:textAlignment w:val="center"/>
        <w:rPr>
          <w:rFonts w:hint="eastAsia" w:ascii="宋体" w:hAnsi="宋体"/>
          <w:b/>
          <w:color w:val="auto"/>
          <w:szCs w:val="21"/>
        </w:rPr>
      </w:pPr>
    </w:p>
    <w:p w14:paraId="1D6D62E6">
      <w:pPr>
        <w:widowControl/>
        <w:jc w:val="left"/>
        <w:textAlignment w:val="center"/>
        <w:rPr>
          <w:rFonts w:hint="eastAsia" w:ascii="宋体" w:hAnsi="宋体"/>
          <w:b/>
          <w:color w:val="auto"/>
          <w:szCs w:val="21"/>
        </w:rPr>
      </w:pPr>
    </w:p>
    <w:p w14:paraId="774A3ACB">
      <w:pPr>
        <w:spacing w:line="560" w:lineRule="exact"/>
        <w:rPr>
          <w:rFonts w:hint="eastAsia" w:ascii="宋体" w:hAnsi="宋体" w:eastAsia="宋体" w:cs="宋体"/>
          <w:color w:val="auto"/>
          <w:sz w:val="44"/>
          <w:szCs w:val="44"/>
          <w:shd w:val="clear" w:color="auto" w:fill="FFFFFF"/>
        </w:rPr>
      </w:pPr>
      <w:r>
        <w:rPr>
          <w:rFonts w:hint="eastAsia" w:ascii="黑体" w:hAnsi="黑体" w:eastAsia="黑体" w:cs="黑体"/>
          <w:color w:val="auto"/>
          <w:sz w:val="32"/>
          <w:szCs w:val="32"/>
        </w:rPr>
        <w:br w:type="page"/>
      </w:r>
      <w:r>
        <w:rPr>
          <w:rFonts w:hint="eastAsia" w:ascii="宋体" w:hAnsi="宋体" w:eastAsia="宋体" w:cs="宋体"/>
          <w:color w:val="auto"/>
          <w:sz w:val="32"/>
          <w:szCs w:val="32"/>
          <w:shd w:val="clear" w:color="auto" w:fill="FFFFFF"/>
        </w:rPr>
        <w:t>附件</w:t>
      </w:r>
      <w:r>
        <w:rPr>
          <w:rFonts w:hint="eastAsia" w:ascii="宋体" w:hAnsi="宋体" w:eastAsia="宋体" w:cs="宋体"/>
          <w:color w:val="auto"/>
          <w:sz w:val="32"/>
          <w:szCs w:val="32"/>
          <w:shd w:val="clear" w:color="auto" w:fill="FFFFFF"/>
          <w:lang w:val="en-US" w:eastAsia="zh-CN"/>
        </w:rPr>
        <w:t>一：</w:t>
      </w:r>
    </w:p>
    <w:p w14:paraId="5829BCF0">
      <w:pPr>
        <w:spacing w:line="560" w:lineRule="exact"/>
        <w:jc w:val="center"/>
        <w:rPr>
          <w:rFonts w:hint="eastAsia" w:ascii="宋体" w:hAnsi="宋体" w:eastAsia="宋体" w:cs="宋体"/>
          <w:b/>
          <w:bCs/>
          <w:color w:val="auto"/>
          <w:sz w:val="36"/>
          <w:szCs w:val="36"/>
          <w:shd w:val="clear" w:color="auto" w:fill="FFFFFF"/>
          <w:lang w:val="en-US" w:eastAsia="zh-CN"/>
        </w:rPr>
      </w:pPr>
      <w:r>
        <w:rPr>
          <w:rFonts w:hint="eastAsia" w:ascii="宋体" w:hAnsi="宋体" w:eastAsia="宋体" w:cs="宋体"/>
          <w:b/>
          <w:bCs/>
          <w:color w:val="auto"/>
          <w:sz w:val="36"/>
          <w:szCs w:val="36"/>
          <w:shd w:val="clear" w:color="auto" w:fill="FFFFFF"/>
        </w:rPr>
        <w:t>岗位人员设置</w:t>
      </w:r>
      <w:r>
        <w:rPr>
          <w:rFonts w:hint="eastAsia" w:ascii="宋体" w:hAnsi="宋体" w:eastAsia="宋体" w:cs="宋体"/>
          <w:b/>
          <w:bCs/>
          <w:color w:val="auto"/>
          <w:sz w:val="36"/>
          <w:szCs w:val="36"/>
          <w:shd w:val="clear" w:color="auto" w:fill="FFFFFF"/>
          <w:lang w:val="en-US" w:eastAsia="zh-CN"/>
        </w:rPr>
        <w:t>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442"/>
        <w:gridCol w:w="3730"/>
      </w:tblGrid>
      <w:tr w14:paraId="2D42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848" w:type="dxa"/>
            <w:noWrap w:val="0"/>
            <w:vAlign w:val="center"/>
          </w:tcPr>
          <w:p w14:paraId="12C5988E">
            <w:pPr>
              <w:spacing w:line="360" w:lineRule="exact"/>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安保岗位</w:t>
            </w:r>
          </w:p>
        </w:tc>
        <w:tc>
          <w:tcPr>
            <w:tcW w:w="1442" w:type="dxa"/>
            <w:noWrap w:val="0"/>
            <w:vAlign w:val="center"/>
          </w:tcPr>
          <w:p w14:paraId="6BF87BF2">
            <w:pPr>
              <w:spacing w:line="360" w:lineRule="exact"/>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人数</w:t>
            </w:r>
          </w:p>
        </w:tc>
        <w:tc>
          <w:tcPr>
            <w:tcW w:w="3730" w:type="dxa"/>
            <w:noWrap w:val="0"/>
            <w:vAlign w:val="center"/>
          </w:tcPr>
          <w:p w14:paraId="01007FAC">
            <w:pPr>
              <w:spacing w:line="360" w:lineRule="exact"/>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备注</w:t>
            </w:r>
          </w:p>
        </w:tc>
      </w:tr>
      <w:tr w14:paraId="7496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71242384">
            <w:pPr>
              <w:spacing w:line="440" w:lineRule="exac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区域医疗中心</w:t>
            </w:r>
          </w:p>
        </w:tc>
        <w:tc>
          <w:tcPr>
            <w:tcW w:w="1442" w:type="dxa"/>
            <w:noWrap w:val="0"/>
            <w:vAlign w:val="top"/>
          </w:tcPr>
          <w:p w14:paraId="39A5B1E7">
            <w:pPr>
              <w:spacing w:line="440" w:lineRule="exact"/>
              <w:jc w:val="center"/>
              <w:rPr>
                <w:rFonts w:hint="eastAsia" w:ascii="宋体" w:hAnsi="宋体" w:eastAsia="宋体" w:cs="宋体"/>
                <w:bCs/>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b/>
                <w:bCs w:val="0"/>
                <w:color w:val="auto"/>
                <w:kern w:val="0"/>
                <w:sz w:val="28"/>
                <w:szCs w:val="28"/>
                <w:lang w:val="en-US" w:eastAsia="zh-CN"/>
              </w:rPr>
              <w:t>20人</w:t>
            </w:r>
          </w:p>
        </w:tc>
        <w:tc>
          <w:tcPr>
            <w:tcW w:w="3730" w:type="dxa"/>
            <w:noWrap w:val="0"/>
            <w:vAlign w:val="top"/>
          </w:tcPr>
          <w:p w14:paraId="5B5B04C3">
            <w:pPr>
              <w:spacing w:line="440" w:lineRule="exact"/>
              <w:rPr>
                <w:rFonts w:hint="eastAsia" w:ascii="宋体" w:hAnsi="宋体" w:eastAsia="宋体" w:cs="宋体"/>
                <w:b/>
                <w:bCs/>
                <w:color w:val="auto"/>
                <w:kern w:val="0"/>
                <w:sz w:val="28"/>
                <w:szCs w:val="28"/>
              </w:rPr>
            </w:pPr>
          </w:p>
        </w:tc>
      </w:tr>
      <w:tr w14:paraId="12DB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742D0BCA">
            <w:pPr>
              <w:spacing w:line="44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急诊科</w:t>
            </w:r>
          </w:p>
        </w:tc>
        <w:tc>
          <w:tcPr>
            <w:tcW w:w="1442" w:type="dxa"/>
            <w:noWrap w:val="0"/>
            <w:vAlign w:val="top"/>
          </w:tcPr>
          <w:p w14:paraId="00A4B09F">
            <w:pPr>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≥3人</w:t>
            </w:r>
          </w:p>
        </w:tc>
        <w:tc>
          <w:tcPr>
            <w:tcW w:w="3730" w:type="dxa"/>
            <w:noWrap w:val="0"/>
            <w:vAlign w:val="top"/>
          </w:tcPr>
          <w:p w14:paraId="7FD51335">
            <w:pPr>
              <w:spacing w:line="44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保证24小时有人值班</w:t>
            </w:r>
          </w:p>
        </w:tc>
      </w:tr>
      <w:tr w14:paraId="5BB4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4F928433">
            <w:pPr>
              <w:spacing w:line="44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门诊大厅</w:t>
            </w:r>
            <w:r>
              <w:rPr>
                <w:rFonts w:hint="eastAsia" w:ascii="宋体" w:hAnsi="宋体" w:eastAsia="宋体" w:cs="宋体"/>
                <w:color w:val="auto"/>
                <w:kern w:val="0"/>
                <w:sz w:val="28"/>
                <w:szCs w:val="28"/>
                <w:lang w:val="en-US" w:eastAsia="zh-CN"/>
              </w:rPr>
              <w:t>门口安检</w:t>
            </w:r>
          </w:p>
        </w:tc>
        <w:tc>
          <w:tcPr>
            <w:tcW w:w="1442" w:type="dxa"/>
            <w:noWrap w:val="0"/>
            <w:vAlign w:val="top"/>
          </w:tcPr>
          <w:p w14:paraId="4AAC189D">
            <w:pPr>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≥3人</w:t>
            </w:r>
          </w:p>
        </w:tc>
        <w:tc>
          <w:tcPr>
            <w:tcW w:w="3730" w:type="dxa"/>
            <w:noWrap w:val="0"/>
            <w:vAlign w:val="top"/>
          </w:tcPr>
          <w:p w14:paraId="695F3982">
            <w:pPr>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保证24小时有人值班</w:t>
            </w:r>
          </w:p>
        </w:tc>
      </w:tr>
      <w:tr w14:paraId="7C99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1A7AA616">
            <w:pPr>
              <w:spacing w:line="44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住院部入口</w:t>
            </w:r>
          </w:p>
        </w:tc>
        <w:tc>
          <w:tcPr>
            <w:tcW w:w="1442" w:type="dxa"/>
            <w:noWrap w:val="0"/>
            <w:vAlign w:val="top"/>
          </w:tcPr>
          <w:p w14:paraId="4EFF836A">
            <w:pPr>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≥3人</w:t>
            </w:r>
          </w:p>
        </w:tc>
        <w:tc>
          <w:tcPr>
            <w:tcW w:w="3730" w:type="dxa"/>
            <w:noWrap w:val="0"/>
            <w:vAlign w:val="top"/>
          </w:tcPr>
          <w:p w14:paraId="5440327E">
            <w:pPr>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保证24小时有人值班</w:t>
            </w:r>
          </w:p>
        </w:tc>
      </w:tr>
      <w:tr w14:paraId="41D2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201A858D">
            <w:pPr>
              <w:spacing w:line="44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住院部后门及停车场</w:t>
            </w:r>
          </w:p>
        </w:tc>
        <w:tc>
          <w:tcPr>
            <w:tcW w:w="1442" w:type="dxa"/>
            <w:noWrap w:val="0"/>
            <w:vAlign w:val="top"/>
          </w:tcPr>
          <w:p w14:paraId="5239C655">
            <w:pPr>
              <w:spacing w:line="44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3人</w:t>
            </w:r>
          </w:p>
        </w:tc>
        <w:tc>
          <w:tcPr>
            <w:tcW w:w="3730" w:type="dxa"/>
            <w:noWrap w:val="0"/>
            <w:vAlign w:val="top"/>
          </w:tcPr>
          <w:p w14:paraId="49743F5C">
            <w:pPr>
              <w:spacing w:line="44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保证24小时有人值班</w:t>
            </w:r>
          </w:p>
        </w:tc>
      </w:tr>
      <w:tr w14:paraId="37BF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064DDBB9">
            <w:pPr>
              <w:spacing w:line="440" w:lineRule="exac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警务室</w:t>
            </w:r>
          </w:p>
        </w:tc>
        <w:tc>
          <w:tcPr>
            <w:tcW w:w="1442" w:type="dxa"/>
            <w:noWrap w:val="0"/>
            <w:vAlign w:val="top"/>
          </w:tcPr>
          <w:p w14:paraId="23287002">
            <w:pPr>
              <w:spacing w:line="44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rPr>
              <w:t>≥3人</w:t>
            </w:r>
          </w:p>
        </w:tc>
        <w:tc>
          <w:tcPr>
            <w:tcW w:w="3730" w:type="dxa"/>
            <w:noWrap w:val="0"/>
            <w:vAlign w:val="top"/>
          </w:tcPr>
          <w:p w14:paraId="05F1109A">
            <w:pPr>
              <w:spacing w:line="44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保证24小时有人值班</w:t>
            </w:r>
          </w:p>
        </w:tc>
      </w:tr>
      <w:tr w14:paraId="278C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047E42E3">
            <w:pPr>
              <w:spacing w:line="440" w:lineRule="exac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东门、西门</w:t>
            </w:r>
          </w:p>
        </w:tc>
        <w:tc>
          <w:tcPr>
            <w:tcW w:w="1442" w:type="dxa"/>
            <w:noWrap w:val="0"/>
            <w:vAlign w:val="top"/>
          </w:tcPr>
          <w:p w14:paraId="7E16E136">
            <w:pPr>
              <w:spacing w:line="44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人</w:t>
            </w:r>
          </w:p>
        </w:tc>
        <w:tc>
          <w:tcPr>
            <w:tcW w:w="3730" w:type="dxa"/>
            <w:noWrap w:val="0"/>
            <w:vAlign w:val="top"/>
          </w:tcPr>
          <w:p w14:paraId="34493E56">
            <w:pPr>
              <w:spacing w:line="44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保证开放使用时有人值守</w:t>
            </w:r>
          </w:p>
        </w:tc>
      </w:tr>
      <w:tr w14:paraId="6E78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5543AD64">
            <w:pPr>
              <w:spacing w:line="440" w:lineRule="exac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巡逻岗</w:t>
            </w:r>
          </w:p>
        </w:tc>
        <w:tc>
          <w:tcPr>
            <w:tcW w:w="1442" w:type="dxa"/>
            <w:noWrap w:val="0"/>
            <w:vAlign w:val="top"/>
          </w:tcPr>
          <w:p w14:paraId="613DA138">
            <w:pPr>
              <w:spacing w:line="44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人</w:t>
            </w:r>
          </w:p>
        </w:tc>
        <w:tc>
          <w:tcPr>
            <w:tcW w:w="3730" w:type="dxa"/>
            <w:noWrap w:val="0"/>
            <w:vAlign w:val="top"/>
          </w:tcPr>
          <w:p w14:paraId="6B713F8B">
            <w:pPr>
              <w:spacing w:line="44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保证24小时有人巡逻</w:t>
            </w:r>
          </w:p>
        </w:tc>
      </w:tr>
      <w:tr w14:paraId="1D45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3A763834">
            <w:pPr>
              <w:spacing w:line="440" w:lineRule="exac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防城服务延伸点</w:t>
            </w:r>
          </w:p>
        </w:tc>
        <w:tc>
          <w:tcPr>
            <w:tcW w:w="1442" w:type="dxa"/>
            <w:noWrap w:val="0"/>
            <w:vAlign w:val="top"/>
          </w:tcPr>
          <w:p w14:paraId="15E0CE37">
            <w:pPr>
              <w:spacing w:line="440" w:lineRule="exact"/>
              <w:jc w:val="center"/>
              <w:rPr>
                <w:rFonts w:hint="eastAsia" w:ascii="宋体" w:hAnsi="宋体" w:eastAsia="宋体" w:cs="宋体"/>
                <w:b/>
                <w:bCs/>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b/>
                <w:bCs/>
                <w:color w:val="auto"/>
                <w:kern w:val="0"/>
                <w:sz w:val="28"/>
                <w:szCs w:val="28"/>
                <w:lang w:val="en-US" w:eastAsia="zh-CN"/>
              </w:rPr>
              <w:t>12人</w:t>
            </w:r>
          </w:p>
        </w:tc>
        <w:tc>
          <w:tcPr>
            <w:tcW w:w="3730" w:type="dxa"/>
            <w:noWrap w:val="0"/>
            <w:vAlign w:val="top"/>
          </w:tcPr>
          <w:p w14:paraId="12057BAD">
            <w:pPr>
              <w:spacing w:line="360" w:lineRule="exact"/>
              <w:jc w:val="center"/>
              <w:rPr>
                <w:rFonts w:hint="eastAsia" w:ascii="宋体" w:hAnsi="宋体" w:eastAsia="宋体" w:cs="宋体"/>
                <w:color w:val="auto"/>
                <w:kern w:val="0"/>
                <w:sz w:val="28"/>
                <w:szCs w:val="28"/>
                <w:lang w:val="en-US" w:eastAsia="zh-CN" w:bidi="ar-SA"/>
              </w:rPr>
            </w:pPr>
          </w:p>
        </w:tc>
      </w:tr>
      <w:tr w14:paraId="7254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1A3E1D0B">
            <w:pPr>
              <w:spacing w:line="44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急诊</w:t>
            </w:r>
          </w:p>
        </w:tc>
        <w:tc>
          <w:tcPr>
            <w:tcW w:w="1442" w:type="dxa"/>
            <w:noWrap w:val="0"/>
            <w:vAlign w:val="top"/>
          </w:tcPr>
          <w:p w14:paraId="182F91F1">
            <w:pPr>
              <w:spacing w:line="44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3人</w:t>
            </w:r>
          </w:p>
        </w:tc>
        <w:tc>
          <w:tcPr>
            <w:tcW w:w="3730" w:type="dxa"/>
            <w:noWrap w:val="0"/>
            <w:vAlign w:val="top"/>
          </w:tcPr>
          <w:p w14:paraId="69AD5E0F">
            <w:pPr>
              <w:spacing w:line="36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保证24小时有人值班</w:t>
            </w:r>
          </w:p>
        </w:tc>
      </w:tr>
      <w:tr w14:paraId="6B2D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72ED090E">
            <w:pPr>
              <w:spacing w:line="44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门诊大厅门口安检</w:t>
            </w:r>
          </w:p>
        </w:tc>
        <w:tc>
          <w:tcPr>
            <w:tcW w:w="1442" w:type="dxa"/>
            <w:noWrap w:val="0"/>
            <w:vAlign w:val="top"/>
          </w:tcPr>
          <w:p w14:paraId="02AF112B">
            <w:pPr>
              <w:spacing w:line="44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3人</w:t>
            </w:r>
          </w:p>
        </w:tc>
        <w:tc>
          <w:tcPr>
            <w:tcW w:w="3730" w:type="dxa"/>
            <w:noWrap w:val="0"/>
            <w:vAlign w:val="top"/>
          </w:tcPr>
          <w:p w14:paraId="2680DE68">
            <w:pPr>
              <w:spacing w:line="36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保证24小时有人值班</w:t>
            </w:r>
          </w:p>
        </w:tc>
      </w:tr>
      <w:tr w14:paraId="3A20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48" w:type="dxa"/>
            <w:noWrap w:val="0"/>
            <w:vAlign w:val="top"/>
          </w:tcPr>
          <w:p w14:paraId="2D8C3C4B">
            <w:pPr>
              <w:spacing w:line="44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第一住院楼</w:t>
            </w:r>
          </w:p>
        </w:tc>
        <w:tc>
          <w:tcPr>
            <w:tcW w:w="1442" w:type="dxa"/>
            <w:noWrap w:val="0"/>
            <w:vAlign w:val="center"/>
          </w:tcPr>
          <w:p w14:paraId="4C304F04">
            <w:pPr>
              <w:spacing w:line="440" w:lineRule="exact"/>
              <w:jc w:val="center"/>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t>≥3人</w:t>
            </w:r>
          </w:p>
        </w:tc>
        <w:tc>
          <w:tcPr>
            <w:tcW w:w="3730" w:type="dxa"/>
            <w:noWrap w:val="0"/>
            <w:vAlign w:val="center"/>
          </w:tcPr>
          <w:p w14:paraId="284745A8">
            <w:pPr>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保证24小时有人值班</w:t>
            </w:r>
          </w:p>
        </w:tc>
      </w:tr>
      <w:tr w14:paraId="3D5D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0F4C1942">
            <w:pPr>
              <w:spacing w:line="44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第二住院楼大厅</w:t>
            </w:r>
          </w:p>
        </w:tc>
        <w:tc>
          <w:tcPr>
            <w:tcW w:w="1442" w:type="dxa"/>
            <w:noWrap w:val="0"/>
            <w:vAlign w:val="center"/>
          </w:tcPr>
          <w:p w14:paraId="125F4CEB">
            <w:pPr>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人</w:t>
            </w:r>
          </w:p>
        </w:tc>
        <w:tc>
          <w:tcPr>
            <w:tcW w:w="3730" w:type="dxa"/>
            <w:noWrap w:val="0"/>
            <w:vAlign w:val="center"/>
          </w:tcPr>
          <w:p w14:paraId="64661900">
            <w:pPr>
              <w:spacing w:line="36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保证24小时有人值班</w:t>
            </w:r>
          </w:p>
        </w:tc>
      </w:tr>
      <w:tr w14:paraId="476F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top"/>
          </w:tcPr>
          <w:p w14:paraId="38A7FD1E">
            <w:pPr>
              <w:spacing w:line="44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消防控制室中级操作员</w:t>
            </w:r>
          </w:p>
        </w:tc>
        <w:tc>
          <w:tcPr>
            <w:tcW w:w="1442" w:type="dxa"/>
            <w:noWrap w:val="0"/>
            <w:vAlign w:val="center"/>
          </w:tcPr>
          <w:p w14:paraId="60079134">
            <w:pPr>
              <w:spacing w:line="44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b/>
                <w:bCs/>
                <w:color w:val="auto"/>
                <w:kern w:val="0"/>
                <w:sz w:val="28"/>
                <w:szCs w:val="28"/>
                <w:lang w:val="en-US" w:eastAsia="zh-CN"/>
              </w:rPr>
              <w:t>3人</w:t>
            </w:r>
          </w:p>
        </w:tc>
        <w:tc>
          <w:tcPr>
            <w:tcW w:w="3730" w:type="dxa"/>
            <w:noWrap w:val="0"/>
            <w:vAlign w:val="center"/>
          </w:tcPr>
          <w:p w14:paraId="657E721B">
            <w:pPr>
              <w:spacing w:line="36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保证24小时在岗值班</w:t>
            </w:r>
          </w:p>
        </w:tc>
      </w:tr>
    </w:tbl>
    <w:p w14:paraId="13A24AD7">
      <w:pPr>
        <w:spacing w:line="560" w:lineRule="exact"/>
        <w:rPr>
          <w:rFonts w:hint="eastAsia" w:ascii="宋体" w:hAnsi="宋体" w:eastAsia="宋体" w:cs="宋体"/>
          <w:color w:val="auto"/>
          <w:kern w:val="0"/>
          <w:sz w:val="32"/>
          <w:szCs w:val="32"/>
        </w:rPr>
      </w:pPr>
    </w:p>
    <w:p w14:paraId="069CF6DB">
      <w:pPr>
        <w:spacing w:line="560" w:lineRule="exact"/>
        <w:rPr>
          <w:rFonts w:hint="eastAsia" w:ascii="宋体" w:hAnsi="宋体" w:eastAsia="宋体" w:cs="宋体"/>
          <w:color w:val="auto"/>
          <w:sz w:val="32"/>
          <w:szCs w:val="32"/>
          <w:shd w:val="clear" w:color="auto" w:fill="FFFFFF"/>
          <w:lang w:val="en-US" w:eastAsia="zh-CN"/>
        </w:rPr>
      </w:pPr>
    </w:p>
    <w:p w14:paraId="5805980D">
      <w:pPr>
        <w:spacing w:line="560" w:lineRule="exact"/>
        <w:rPr>
          <w:rFonts w:hint="eastAsia" w:ascii="宋体" w:hAnsi="宋体" w:eastAsia="宋体" w:cs="宋体"/>
          <w:color w:val="auto"/>
          <w:sz w:val="32"/>
          <w:szCs w:val="32"/>
          <w:shd w:val="clear" w:color="auto" w:fill="FFFFFF"/>
          <w:lang w:val="en-US" w:eastAsia="zh-CN"/>
        </w:rPr>
      </w:pPr>
    </w:p>
    <w:p w14:paraId="48267548">
      <w:pPr>
        <w:spacing w:line="560" w:lineRule="exact"/>
        <w:rPr>
          <w:rFonts w:hint="eastAsia" w:ascii="宋体" w:hAnsi="宋体" w:eastAsia="宋体" w:cs="宋体"/>
          <w:color w:val="auto"/>
          <w:sz w:val="32"/>
          <w:szCs w:val="32"/>
          <w:shd w:val="clear" w:color="auto" w:fill="FFFFFF"/>
          <w:lang w:val="en-US" w:eastAsia="zh-CN"/>
        </w:rPr>
      </w:pPr>
    </w:p>
    <w:p w14:paraId="099FE2F7">
      <w:pPr>
        <w:spacing w:line="560" w:lineRule="exact"/>
        <w:rPr>
          <w:rFonts w:hint="eastAsia" w:ascii="黑体" w:hAnsi="黑体" w:eastAsia="黑体" w:cs="Times New Roman"/>
          <w:color w:val="auto"/>
          <w:sz w:val="32"/>
          <w:szCs w:val="32"/>
          <w:shd w:val="clear" w:color="auto" w:fill="FFFFFF"/>
          <w:lang w:val="en-US" w:eastAsia="zh-CN"/>
        </w:rPr>
      </w:pPr>
    </w:p>
    <w:p w14:paraId="71FC58EC">
      <w:pPr>
        <w:spacing w:line="560" w:lineRule="exact"/>
        <w:rPr>
          <w:rFonts w:hint="eastAsia" w:ascii="黑体" w:hAnsi="黑体" w:eastAsia="黑体" w:cs="Times New Roman"/>
          <w:color w:val="auto"/>
          <w:sz w:val="32"/>
          <w:szCs w:val="32"/>
          <w:shd w:val="clear" w:color="auto" w:fill="FFFFFF"/>
          <w:lang w:val="en-US" w:eastAsia="zh-CN"/>
        </w:rPr>
      </w:pPr>
    </w:p>
    <w:p w14:paraId="14B47748">
      <w:pPr>
        <w:spacing w:line="560" w:lineRule="exact"/>
        <w:rPr>
          <w:rFonts w:hint="eastAsia" w:ascii="黑体" w:hAnsi="黑体" w:eastAsia="黑体" w:cs="Times New Roman"/>
          <w:color w:val="auto"/>
          <w:sz w:val="32"/>
          <w:szCs w:val="32"/>
          <w:shd w:val="clear" w:color="auto" w:fill="FFFFFF"/>
          <w:lang w:val="en-US" w:eastAsia="zh-CN"/>
        </w:rPr>
      </w:pPr>
    </w:p>
    <w:p w14:paraId="304B23D9">
      <w:pPr>
        <w:spacing w:line="560" w:lineRule="exact"/>
        <w:rPr>
          <w:rFonts w:hint="eastAsia" w:ascii="黑体" w:hAnsi="黑体" w:eastAsia="黑体" w:cs="Times New Roman"/>
          <w:color w:val="auto"/>
          <w:sz w:val="32"/>
          <w:szCs w:val="32"/>
          <w:shd w:val="clear" w:color="auto" w:fill="FFFFFF"/>
          <w:lang w:val="en-US" w:eastAsia="zh-CN"/>
        </w:rPr>
      </w:pPr>
    </w:p>
    <w:p w14:paraId="34FEAF98">
      <w:pPr>
        <w:spacing w:line="560" w:lineRule="exact"/>
        <w:rPr>
          <w:rFonts w:hint="eastAsia" w:ascii="黑体" w:hAnsi="黑体" w:eastAsia="黑体" w:cs="Times New Roman"/>
          <w:color w:val="auto"/>
          <w:sz w:val="32"/>
          <w:szCs w:val="32"/>
          <w:shd w:val="clear" w:color="auto" w:fill="FFFFFF"/>
          <w:lang w:val="en-US" w:eastAsia="zh-CN"/>
        </w:rPr>
      </w:pPr>
    </w:p>
    <w:p w14:paraId="59FADD36">
      <w:pPr>
        <w:spacing w:line="560" w:lineRule="exact"/>
        <w:rPr>
          <w:rFonts w:hint="eastAsia" w:ascii="黑体" w:hAnsi="黑体" w:eastAsia="黑体" w:cs="Times New Roman"/>
          <w:color w:val="auto"/>
          <w:sz w:val="32"/>
          <w:szCs w:val="32"/>
          <w:shd w:val="clear" w:color="auto" w:fill="FFFFFF"/>
          <w:lang w:val="en-US" w:eastAsia="zh-CN"/>
        </w:rPr>
      </w:pPr>
    </w:p>
    <w:p w14:paraId="203214B7">
      <w:pPr>
        <w:pStyle w:val="10"/>
        <w:rPr>
          <w:rFonts w:hint="eastAsia" w:ascii="宋体" w:hAnsi="宋体" w:eastAsia="宋体" w:cs="宋体"/>
          <w:color w:val="auto"/>
        </w:rPr>
      </w:pPr>
      <w:r>
        <w:rPr>
          <w:rFonts w:hint="eastAsia" w:ascii="宋体" w:hAnsi="宋体" w:eastAsia="宋体" w:cs="宋体"/>
          <w:color w:val="auto"/>
          <w:sz w:val="32"/>
          <w:szCs w:val="32"/>
          <w:lang w:val="en-US" w:eastAsia="zh-CN"/>
        </w:rPr>
        <w:t>附件二：</w:t>
      </w:r>
    </w:p>
    <w:p w14:paraId="2D704FCE">
      <w:pPr>
        <w:widowControl/>
        <w:adjustRightInd w:val="0"/>
        <w:spacing w:line="360" w:lineRule="auto"/>
        <w:ind w:firstLine="643" w:firstLineChars="200"/>
        <w:jc w:val="center"/>
        <w:rPr>
          <w:b/>
          <w:bCs/>
          <w:color w:val="auto"/>
          <w:sz w:val="32"/>
          <w:szCs w:val="32"/>
        </w:rPr>
      </w:pPr>
      <w:r>
        <w:rPr>
          <w:rFonts w:hint="eastAsia" w:ascii="宋体" w:hAnsi="宋体" w:eastAsia="宋体" w:cs="宋体"/>
          <w:b/>
          <w:bCs/>
          <w:color w:val="auto"/>
          <w:sz w:val="32"/>
          <w:szCs w:val="32"/>
        </w:rPr>
        <w:t>防城港市第一人民医院保安考核标</w:t>
      </w:r>
      <w:r>
        <w:rPr>
          <w:rFonts w:hint="eastAsia"/>
          <w:b/>
          <w:bCs/>
          <w:color w:val="auto"/>
          <w:sz w:val="32"/>
          <w:szCs w:val="32"/>
        </w:rPr>
        <w:t>准</w:t>
      </w:r>
    </w:p>
    <w:p w14:paraId="3E65AEC6">
      <w:pPr>
        <w:widowControl/>
        <w:adjustRightInd w:val="0"/>
        <w:spacing w:line="300" w:lineRule="exact"/>
        <w:ind w:firstLine="562" w:firstLineChars="200"/>
        <w:jc w:val="center"/>
        <w:rPr>
          <w:b/>
          <w:bCs/>
          <w:color w:val="auto"/>
          <w:sz w:val="28"/>
          <w:szCs w:val="28"/>
        </w:rPr>
      </w:pPr>
      <w:r>
        <w:rPr>
          <w:rFonts w:hint="eastAsia"/>
          <w:b/>
          <w:bCs/>
          <w:color w:val="auto"/>
          <w:sz w:val="28"/>
          <w:szCs w:val="28"/>
          <w:lang w:val="en-US" w:eastAsia="zh-CN"/>
        </w:rPr>
        <w:t xml:space="preserve">（   </w:t>
      </w:r>
      <w:r>
        <w:rPr>
          <w:rFonts w:hint="eastAsia"/>
          <w:b/>
          <w:bCs/>
          <w:color w:val="auto"/>
          <w:sz w:val="28"/>
          <w:szCs w:val="28"/>
        </w:rPr>
        <w:t>年度</w:t>
      </w:r>
      <w:r>
        <w:rPr>
          <w:rFonts w:hint="eastAsia"/>
          <w:b/>
          <w:bCs/>
          <w:color w:val="auto"/>
          <w:sz w:val="28"/>
          <w:szCs w:val="28"/>
          <w:lang w:val="en-US" w:eastAsia="zh-CN"/>
        </w:rPr>
        <w:t xml:space="preserve">   </w:t>
      </w:r>
      <w:r>
        <w:rPr>
          <w:rFonts w:hint="eastAsia"/>
          <w:b/>
          <w:bCs/>
          <w:color w:val="auto"/>
          <w:sz w:val="28"/>
          <w:szCs w:val="28"/>
        </w:rPr>
        <w:t>月份</w:t>
      </w:r>
      <w:r>
        <w:rPr>
          <w:rFonts w:hint="eastAsia"/>
          <w:b/>
          <w:bCs/>
          <w:color w:val="auto"/>
          <w:sz w:val="28"/>
          <w:szCs w:val="28"/>
          <w:lang w:val="en-US" w:eastAsia="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3195"/>
        <w:gridCol w:w="147"/>
        <w:gridCol w:w="453"/>
        <w:gridCol w:w="2940"/>
        <w:gridCol w:w="735"/>
        <w:gridCol w:w="845"/>
      </w:tblGrid>
      <w:tr w14:paraId="72CB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15" w:type="dxa"/>
            <w:noWrap w:val="0"/>
            <w:vAlign w:val="center"/>
          </w:tcPr>
          <w:p w14:paraId="045B7DCC">
            <w:pPr>
              <w:autoSpaceDE w:val="0"/>
              <w:autoSpaceDN w:val="0"/>
              <w:ind w:left="190" w:leftChars="53" w:right="84" w:rightChars="40" w:hanging="79" w:hangingChars="38"/>
              <w:jc w:val="center"/>
              <w:rPr>
                <w:color w:val="auto"/>
                <w:sz w:val="21"/>
                <w:szCs w:val="21"/>
              </w:rPr>
            </w:pPr>
            <w:r>
              <w:rPr>
                <w:rFonts w:hint="eastAsia" w:ascii="宋体" w:hAnsi="宋体" w:cs="宋体"/>
                <w:color w:val="auto"/>
                <w:kern w:val="0"/>
                <w:sz w:val="21"/>
                <w:szCs w:val="21"/>
              </w:rPr>
              <w:t>项目</w:t>
            </w:r>
          </w:p>
        </w:tc>
        <w:tc>
          <w:tcPr>
            <w:tcW w:w="3195" w:type="dxa"/>
            <w:noWrap w:val="0"/>
            <w:vAlign w:val="center"/>
          </w:tcPr>
          <w:p w14:paraId="16C097CE">
            <w:pPr>
              <w:autoSpaceDE w:val="0"/>
              <w:autoSpaceDN w:val="0"/>
              <w:ind w:left="190" w:leftChars="53" w:right="84" w:rightChars="40" w:hanging="79" w:hangingChars="38"/>
              <w:jc w:val="center"/>
              <w:rPr>
                <w:color w:val="auto"/>
                <w:sz w:val="21"/>
                <w:szCs w:val="21"/>
              </w:rPr>
            </w:pPr>
            <w:r>
              <w:rPr>
                <w:rFonts w:hint="eastAsia" w:ascii="宋体" w:hAnsi="宋体" w:cs="宋体"/>
                <w:color w:val="auto"/>
                <w:kern w:val="0"/>
                <w:sz w:val="21"/>
                <w:szCs w:val="21"/>
              </w:rPr>
              <w:t>服务质量标准</w:t>
            </w:r>
          </w:p>
        </w:tc>
        <w:tc>
          <w:tcPr>
            <w:tcW w:w="600" w:type="dxa"/>
            <w:gridSpan w:val="2"/>
            <w:noWrap w:val="0"/>
            <w:vAlign w:val="center"/>
          </w:tcPr>
          <w:p w14:paraId="64F22BA6">
            <w:pPr>
              <w:autoSpaceDE w:val="0"/>
              <w:autoSpaceDN w:val="0"/>
              <w:jc w:val="center"/>
              <w:rPr>
                <w:color w:val="auto"/>
                <w:sz w:val="21"/>
                <w:szCs w:val="21"/>
              </w:rPr>
            </w:pPr>
            <w:r>
              <w:rPr>
                <w:rFonts w:hint="eastAsia" w:ascii="宋体" w:hAnsi="宋体" w:cs="宋体"/>
                <w:color w:val="auto"/>
                <w:kern w:val="0"/>
                <w:sz w:val="21"/>
                <w:szCs w:val="21"/>
              </w:rPr>
              <w:t>分值</w:t>
            </w:r>
          </w:p>
        </w:tc>
        <w:tc>
          <w:tcPr>
            <w:tcW w:w="2940" w:type="dxa"/>
            <w:noWrap w:val="0"/>
            <w:vAlign w:val="center"/>
          </w:tcPr>
          <w:p w14:paraId="45A8326E">
            <w:pPr>
              <w:autoSpaceDE w:val="0"/>
              <w:autoSpaceDN w:val="0"/>
              <w:ind w:left="99" w:leftChars="47" w:right="84" w:rightChars="40"/>
              <w:jc w:val="center"/>
              <w:rPr>
                <w:color w:val="auto"/>
                <w:sz w:val="21"/>
                <w:szCs w:val="21"/>
              </w:rPr>
            </w:pPr>
            <w:r>
              <w:rPr>
                <w:rFonts w:hint="eastAsia" w:ascii="宋体" w:hAnsi="宋体" w:cs="宋体"/>
                <w:color w:val="auto"/>
                <w:kern w:val="0"/>
                <w:sz w:val="21"/>
                <w:szCs w:val="21"/>
              </w:rPr>
              <w:t>监管考评标准</w:t>
            </w:r>
          </w:p>
        </w:tc>
        <w:tc>
          <w:tcPr>
            <w:tcW w:w="735" w:type="dxa"/>
            <w:noWrap w:val="0"/>
            <w:vAlign w:val="center"/>
          </w:tcPr>
          <w:p w14:paraId="5E8F0D3F">
            <w:pPr>
              <w:autoSpaceDE w:val="0"/>
              <w:autoSpaceDN w:val="0"/>
              <w:ind w:right="84" w:rightChars="4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扣分</w:t>
            </w:r>
          </w:p>
        </w:tc>
        <w:tc>
          <w:tcPr>
            <w:tcW w:w="845" w:type="dxa"/>
            <w:noWrap w:val="0"/>
            <w:vAlign w:val="center"/>
          </w:tcPr>
          <w:p w14:paraId="07514C0B">
            <w:pPr>
              <w:autoSpaceDE w:val="0"/>
              <w:autoSpaceDN w:val="0"/>
              <w:ind w:right="84" w:rightChars="4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扣分原因</w:t>
            </w:r>
          </w:p>
        </w:tc>
      </w:tr>
      <w:tr w14:paraId="0355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415" w:type="dxa"/>
            <w:vMerge w:val="restart"/>
            <w:noWrap w:val="0"/>
            <w:vAlign w:val="top"/>
          </w:tcPr>
          <w:p w14:paraId="0957FBC6">
            <w:pPr>
              <w:jc w:val="center"/>
              <w:rPr>
                <w:rFonts w:ascii="宋体" w:hAnsi="宋体" w:cs="宋体"/>
                <w:bCs/>
                <w:color w:val="auto"/>
                <w:kern w:val="0"/>
                <w:sz w:val="21"/>
                <w:szCs w:val="21"/>
              </w:rPr>
            </w:pPr>
          </w:p>
          <w:p w14:paraId="650915D3">
            <w:pPr>
              <w:jc w:val="center"/>
              <w:rPr>
                <w:rFonts w:ascii="宋体" w:hAnsi="宋体" w:cs="宋体"/>
                <w:bCs/>
                <w:color w:val="auto"/>
                <w:kern w:val="0"/>
                <w:sz w:val="21"/>
                <w:szCs w:val="21"/>
              </w:rPr>
            </w:pPr>
          </w:p>
          <w:p w14:paraId="35857FBE">
            <w:pPr>
              <w:jc w:val="center"/>
              <w:rPr>
                <w:rFonts w:ascii="宋体" w:hAnsi="宋体" w:cs="宋体"/>
                <w:bCs/>
                <w:color w:val="auto"/>
                <w:kern w:val="0"/>
                <w:sz w:val="21"/>
                <w:szCs w:val="21"/>
              </w:rPr>
            </w:pPr>
          </w:p>
          <w:p w14:paraId="0013CA5B">
            <w:pPr>
              <w:jc w:val="center"/>
              <w:rPr>
                <w:rFonts w:ascii="宋体" w:hAnsi="宋体" w:cs="宋体"/>
                <w:bCs/>
                <w:color w:val="auto"/>
                <w:kern w:val="0"/>
                <w:sz w:val="21"/>
                <w:szCs w:val="21"/>
              </w:rPr>
            </w:pPr>
          </w:p>
          <w:p w14:paraId="6585CF1F">
            <w:pPr>
              <w:jc w:val="center"/>
              <w:rPr>
                <w:rFonts w:ascii="宋体" w:hAnsi="宋体" w:cs="宋体"/>
                <w:bCs/>
                <w:color w:val="auto"/>
                <w:kern w:val="0"/>
                <w:sz w:val="21"/>
                <w:szCs w:val="21"/>
              </w:rPr>
            </w:pPr>
          </w:p>
          <w:p w14:paraId="56D04315">
            <w:pPr>
              <w:jc w:val="center"/>
              <w:rPr>
                <w:rFonts w:ascii="宋体" w:hAnsi="宋体" w:cs="宋体"/>
                <w:bCs/>
                <w:color w:val="auto"/>
                <w:kern w:val="0"/>
                <w:sz w:val="21"/>
                <w:szCs w:val="21"/>
              </w:rPr>
            </w:pPr>
          </w:p>
          <w:p w14:paraId="3664A91A">
            <w:pPr>
              <w:jc w:val="center"/>
              <w:rPr>
                <w:rFonts w:ascii="宋体" w:hAnsi="宋体" w:cs="宋体"/>
                <w:bCs/>
                <w:color w:val="auto"/>
                <w:kern w:val="0"/>
                <w:sz w:val="21"/>
                <w:szCs w:val="21"/>
              </w:rPr>
            </w:pPr>
          </w:p>
          <w:p w14:paraId="207D424C">
            <w:pPr>
              <w:jc w:val="center"/>
              <w:rPr>
                <w:rFonts w:ascii="宋体" w:hAnsi="宋体" w:cs="宋体"/>
                <w:bCs/>
                <w:color w:val="auto"/>
                <w:kern w:val="0"/>
                <w:sz w:val="21"/>
                <w:szCs w:val="21"/>
              </w:rPr>
            </w:pPr>
          </w:p>
          <w:p w14:paraId="3120969B">
            <w:pPr>
              <w:jc w:val="center"/>
              <w:rPr>
                <w:rFonts w:ascii="宋体" w:hAnsi="宋体" w:cs="宋体"/>
                <w:bCs/>
                <w:color w:val="auto"/>
                <w:kern w:val="0"/>
                <w:sz w:val="21"/>
                <w:szCs w:val="21"/>
              </w:rPr>
            </w:pPr>
          </w:p>
          <w:p w14:paraId="5D996AC8">
            <w:pPr>
              <w:jc w:val="center"/>
              <w:rPr>
                <w:rFonts w:ascii="宋体" w:hAnsi="宋体" w:cs="宋体"/>
                <w:bCs/>
                <w:color w:val="auto"/>
                <w:kern w:val="0"/>
                <w:sz w:val="21"/>
                <w:szCs w:val="21"/>
              </w:rPr>
            </w:pPr>
          </w:p>
          <w:p w14:paraId="588FBD20">
            <w:pPr>
              <w:jc w:val="center"/>
              <w:rPr>
                <w:rFonts w:ascii="宋体" w:hAnsi="宋体" w:cs="宋体"/>
                <w:bCs/>
                <w:color w:val="auto"/>
                <w:kern w:val="0"/>
                <w:sz w:val="21"/>
                <w:szCs w:val="21"/>
              </w:rPr>
            </w:pPr>
          </w:p>
          <w:p w14:paraId="602D52C2">
            <w:pPr>
              <w:jc w:val="center"/>
              <w:rPr>
                <w:rFonts w:ascii="宋体" w:hAnsi="宋体" w:cs="宋体"/>
                <w:bCs/>
                <w:color w:val="auto"/>
                <w:kern w:val="0"/>
                <w:sz w:val="21"/>
                <w:szCs w:val="21"/>
              </w:rPr>
            </w:pPr>
          </w:p>
          <w:p w14:paraId="682095A4">
            <w:pPr>
              <w:jc w:val="center"/>
              <w:rPr>
                <w:rFonts w:ascii="宋体" w:hAnsi="宋体" w:cs="宋体"/>
                <w:bCs/>
                <w:color w:val="auto"/>
                <w:kern w:val="0"/>
                <w:sz w:val="21"/>
                <w:szCs w:val="21"/>
              </w:rPr>
            </w:pPr>
          </w:p>
          <w:p w14:paraId="23568542">
            <w:pPr>
              <w:jc w:val="center"/>
              <w:rPr>
                <w:rFonts w:ascii="宋体" w:hAnsi="宋体" w:cs="宋体"/>
                <w:bCs/>
                <w:color w:val="auto"/>
                <w:kern w:val="0"/>
                <w:sz w:val="21"/>
                <w:szCs w:val="21"/>
              </w:rPr>
            </w:pPr>
          </w:p>
          <w:p w14:paraId="1842DAE9">
            <w:pPr>
              <w:jc w:val="center"/>
              <w:rPr>
                <w:rFonts w:ascii="宋体" w:hAnsi="宋体" w:cs="宋体"/>
                <w:bCs/>
                <w:color w:val="auto"/>
                <w:kern w:val="0"/>
                <w:sz w:val="21"/>
                <w:szCs w:val="21"/>
              </w:rPr>
            </w:pPr>
          </w:p>
          <w:p w14:paraId="4A87939A">
            <w:pPr>
              <w:jc w:val="center"/>
              <w:rPr>
                <w:rFonts w:ascii="宋体" w:hAnsi="宋体" w:cs="宋体"/>
                <w:bCs/>
                <w:color w:val="auto"/>
                <w:kern w:val="0"/>
                <w:sz w:val="21"/>
                <w:szCs w:val="21"/>
              </w:rPr>
            </w:pPr>
          </w:p>
          <w:p w14:paraId="5CBB9CE2">
            <w:pPr>
              <w:ind w:left="180" w:hanging="210" w:hangingChars="100"/>
              <w:jc w:val="center"/>
              <w:rPr>
                <w:color w:val="auto"/>
                <w:sz w:val="21"/>
                <w:szCs w:val="21"/>
              </w:rPr>
            </w:pPr>
            <w:r>
              <w:rPr>
                <w:rFonts w:hint="eastAsia" w:ascii="宋体" w:hAnsi="宋体" w:cs="宋体"/>
                <w:bCs/>
                <w:color w:val="auto"/>
                <w:kern w:val="0"/>
                <w:sz w:val="21"/>
                <w:szCs w:val="21"/>
              </w:rPr>
              <w:t>治安管理</w:t>
            </w:r>
            <w:r>
              <w:rPr>
                <w:rFonts w:hint="eastAsia" w:ascii="宋体" w:hAnsi="宋体" w:cs="宋体"/>
                <w:bCs/>
                <w:color w:val="auto"/>
                <w:spacing w:val="-20"/>
                <w:kern w:val="0"/>
                <w:sz w:val="21"/>
                <w:szCs w:val="21"/>
              </w:rPr>
              <w:t>（50分）</w:t>
            </w:r>
          </w:p>
        </w:tc>
        <w:tc>
          <w:tcPr>
            <w:tcW w:w="3195" w:type="dxa"/>
            <w:noWrap w:val="0"/>
            <w:vAlign w:val="top"/>
          </w:tcPr>
          <w:p w14:paraId="7D5B657C">
            <w:pPr>
              <w:jc w:val="center"/>
              <w:rPr>
                <w:color w:val="auto"/>
                <w:sz w:val="21"/>
                <w:szCs w:val="21"/>
              </w:rPr>
            </w:pPr>
            <w:r>
              <w:rPr>
                <w:rFonts w:hint="eastAsia" w:ascii="宋体" w:hAnsi="宋体" w:cs="宋体"/>
                <w:color w:val="auto"/>
                <w:kern w:val="0"/>
                <w:sz w:val="21"/>
                <w:szCs w:val="21"/>
              </w:rPr>
              <w:t>1、结合医院特点制订安全防范措施及各项管理制度、规定，突发事件的应急措施、方案，并不断完善。确保医院无重大治安刑事案件和火灾事故发生，保持良好的医疗秩序。</w:t>
            </w:r>
          </w:p>
        </w:tc>
        <w:tc>
          <w:tcPr>
            <w:tcW w:w="600" w:type="dxa"/>
            <w:gridSpan w:val="2"/>
            <w:noWrap w:val="0"/>
            <w:vAlign w:val="center"/>
          </w:tcPr>
          <w:p w14:paraId="7098222A">
            <w:pPr>
              <w:autoSpaceDE w:val="0"/>
              <w:autoSpaceDN w:val="0"/>
              <w:spacing w:line="340" w:lineRule="exact"/>
              <w:ind w:left="27" w:right="33"/>
              <w:jc w:val="center"/>
              <w:rPr>
                <w:color w:val="auto"/>
                <w:sz w:val="21"/>
                <w:szCs w:val="21"/>
              </w:rPr>
            </w:pPr>
            <w:r>
              <w:rPr>
                <w:rFonts w:hint="eastAsia" w:ascii="宋体" w:hAnsi="宋体" w:cs="宋体"/>
                <w:color w:val="auto"/>
                <w:kern w:val="0"/>
                <w:sz w:val="21"/>
                <w:szCs w:val="21"/>
              </w:rPr>
              <w:t>6分</w:t>
            </w:r>
          </w:p>
        </w:tc>
        <w:tc>
          <w:tcPr>
            <w:tcW w:w="2940" w:type="dxa"/>
            <w:noWrap w:val="0"/>
            <w:vAlign w:val="top"/>
          </w:tcPr>
          <w:p w14:paraId="40DAAC77">
            <w:pPr>
              <w:jc w:val="center"/>
              <w:rPr>
                <w:color w:val="auto"/>
                <w:sz w:val="21"/>
                <w:szCs w:val="21"/>
              </w:rPr>
            </w:pPr>
            <w:r>
              <w:rPr>
                <w:rFonts w:hint="eastAsia" w:ascii="宋体" w:hAnsi="宋体" w:cs="宋体"/>
                <w:color w:val="auto"/>
                <w:kern w:val="0"/>
                <w:sz w:val="21"/>
                <w:szCs w:val="21"/>
              </w:rPr>
              <w:t>制度、措施、方案不健全，每项扣</w:t>
            </w:r>
            <w:r>
              <w:rPr>
                <w:rFonts w:ascii="宋体" w:hAnsi="宋体" w:cs="宋体"/>
                <w:color w:val="auto"/>
                <w:kern w:val="0"/>
                <w:sz w:val="21"/>
                <w:szCs w:val="21"/>
              </w:rPr>
              <w:t>1</w:t>
            </w:r>
            <w:r>
              <w:rPr>
                <w:rFonts w:hint="eastAsia" w:ascii="宋体" w:hAnsi="宋体" w:cs="宋体"/>
                <w:color w:val="auto"/>
                <w:kern w:val="0"/>
                <w:sz w:val="21"/>
                <w:szCs w:val="21"/>
              </w:rPr>
              <w:t>分，岗位管理不到位每次扣1分，发生有管理责任的重大刑事案件或火灾事故视情节扣1-6分，重大火灾一票否决。</w:t>
            </w:r>
          </w:p>
        </w:tc>
        <w:tc>
          <w:tcPr>
            <w:tcW w:w="735" w:type="dxa"/>
            <w:noWrap w:val="0"/>
            <w:vAlign w:val="top"/>
          </w:tcPr>
          <w:p w14:paraId="02B5A43E">
            <w:pPr>
              <w:jc w:val="center"/>
              <w:rPr>
                <w:color w:val="auto"/>
                <w:sz w:val="21"/>
                <w:szCs w:val="21"/>
              </w:rPr>
            </w:pPr>
          </w:p>
        </w:tc>
        <w:tc>
          <w:tcPr>
            <w:tcW w:w="845" w:type="dxa"/>
            <w:noWrap w:val="0"/>
            <w:vAlign w:val="top"/>
          </w:tcPr>
          <w:p w14:paraId="3CF51093">
            <w:pPr>
              <w:jc w:val="center"/>
              <w:rPr>
                <w:color w:val="auto"/>
                <w:sz w:val="21"/>
                <w:szCs w:val="21"/>
              </w:rPr>
            </w:pPr>
          </w:p>
        </w:tc>
      </w:tr>
      <w:tr w14:paraId="788E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jc w:val="center"/>
        </w:trPr>
        <w:tc>
          <w:tcPr>
            <w:tcW w:w="1415" w:type="dxa"/>
            <w:vMerge w:val="continue"/>
            <w:noWrap w:val="0"/>
            <w:vAlign w:val="top"/>
          </w:tcPr>
          <w:p w14:paraId="0E6B4D9B">
            <w:pPr>
              <w:jc w:val="center"/>
              <w:rPr>
                <w:color w:val="auto"/>
                <w:sz w:val="21"/>
                <w:szCs w:val="21"/>
              </w:rPr>
            </w:pPr>
          </w:p>
        </w:tc>
        <w:tc>
          <w:tcPr>
            <w:tcW w:w="3195" w:type="dxa"/>
            <w:noWrap w:val="0"/>
            <w:vAlign w:val="center"/>
          </w:tcPr>
          <w:p w14:paraId="23497A55">
            <w:pPr>
              <w:autoSpaceDE w:val="0"/>
              <w:autoSpaceDN w:val="0"/>
              <w:spacing w:line="340" w:lineRule="exact"/>
              <w:ind w:left="27" w:right="69" w:rightChars="33"/>
              <w:jc w:val="center"/>
              <w:rPr>
                <w:color w:val="auto"/>
                <w:sz w:val="21"/>
                <w:szCs w:val="21"/>
              </w:rPr>
            </w:pPr>
            <w:r>
              <w:rPr>
                <w:rFonts w:hint="eastAsia" w:ascii="宋体" w:hAnsi="宋体" w:cs="宋体"/>
                <w:color w:val="auto"/>
                <w:kern w:val="0"/>
                <w:sz w:val="21"/>
                <w:szCs w:val="21"/>
              </w:rPr>
              <w:t>2、实行</w:t>
            </w:r>
            <w:r>
              <w:rPr>
                <w:rFonts w:ascii="宋体" w:hAnsi="宋体" w:cs="宋体"/>
                <w:color w:val="auto"/>
                <w:kern w:val="0"/>
                <w:sz w:val="21"/>
                <w:szCs w:val="21"/>
              </w:rPr>
              <w:t>24</w:t>
            </w:r>
            <w:r>
              <w:rPr>
                <w:rFonts w:hint="eastAsia" w:ascii="宋体" w:hAnsi="宋体" w:cs="宋体"/>
                <w:color w:val="auto"/>
                <w:kern w:val="0"/>
                <w:sz w:val="21"/>
                <w:szCs w:val="21"/>
              </w:rPr>
              <w:t>小时保安值班及巡逻制度，每班巡查不少于三次（8小时内），发现问题及时报告；保安人员熟悉医院的环境，按规定着装和佩带装备，文明值勤，训练有素，机动灵活，言语规范，认真履行职责，不能与医院职工、患者及家属发生无谓冲突。保安人数应按标书要求配备充足。</w:t>
            </w:r>
          </w:p>
        </w:tc>
        <w:tc>
          <w:tcPr>
            <w:tcW w:w="600" w:type="dxa"/>
            <w:gridSpan w:val="2"/>
            <w:noWrap w:val="0"/>
            <w:vAlign w:val="center"/>
          </w:tcPr>
          <w:p w14:paraId="05FF7CB6">
            <w:pPr>
              <w:autoSpaceDE w:val="0"/>
              <w:autoSpaceDN w:val="0"/>
              <w:spacing w:line="340" w:lineRule="exact"/>
              <w:ind w:left="27" w:right="33"/>
              <w:jc w:val="center"/>
              <w:rPr>
                <w:color w:val="auto"/>
                <w:sz w:val="21"/>
                <w:szCs w:val="21"/>
              </w:rPr>
            </w:pPr>
            <w:r>
              <w:rPr>
                <w:rFonts w:hint="eastAsia" w:ascii="宋体" w:hAnsi="宋体" w:cs="宋体"/>
                <w:color w:val="auto"/>
                <w:kern w:val="0"/>
                <w:sz w:val="21"/>
                <w:szCs w:val="21"/>
              </w:rPr>
              <w:t>6分</w:t>
            </w:r>
          </w:p>
        </w:tc>
        <w:tc>
          <w:tcPr>
            <w:tcW w:w="2940" w:type="dxa"/>
            <w:noWrap w:val="0"/>
            <w:vAlign w:val="center"/>
          </w:tcPr>
          <w:p w14:paraId="75DF9A5E">
            <w:pPr>
              <w:autoSpaceDE w:val="0"/>
              <w:autoSpaceDN w:val="0"/>
              <w:spacing w:line="340" w:lineRule="exact"/>
              <w:ind w:left="82" w:leftChars="39" w:right="69" w:rightChars="33"/>
              <w:jc w:val="center"/>
              <w:rPr>
                <w:color w:val="auto"/>
                <w:sz w:val="21"/>
                <w:szCs w:val="21"/>
              </w:rPr>
            </w:pPr>
            <w:r>
              <w:rPr>
                <w:rFonts w:hint="eastAsia" w:ascii="宋体" w:hAnsi="宋体" w:cs="宋体"/>
                <w:color w:val="auto"/>
                <w:kern w:val="0"/>
                <w:sz w:val="21"/>
                <w:szCs w:val="21"/>
              </w:rPr>
              <w:t>值班及巡逻记录不规范，每次扣1分，着装不整、不规范使用文明用语扣1分。与他人发生冲突，扣2分，并追究责任。凡因为现场无人管理或管理不当，造成设施及建筑物</w:t>
            </w:r>
            <w:r>
              <w:rPr>
                <w:rFonts w:ascii="宋体" w:hAnsi="宋体" w:cs="宋体"/>
                <w:color w:val="auto"/>
                <w:kern w:val="0"/>
                <w:sz w:val="21"/>
                <w:szCs w:val="21"/>
              </w:rPr>
              <w:t>(</w:t>
            </w:r>
            <w:r>
              <w:rPr>
                <w:rFonts w:hint="eastAsia" w:ascii="宋体" w:hAnsi="宋体" w:cs="宋体"/>
                <w:color w:val="auto"/>
                <w:kern w:val="0"/>
                <w:sz w:val="21"/>
                <w:szCs w:val="21"/>
              </w:rPr>
              <w:t>地面</w:t>
            </w:r>
            <w:r>
              <w:rPr>
                <w:rFonts w:ascii="宋体" w:hAnsi="宋体" w:cs="宋体"/>
                <w:color w:val="auto"/>
                <w:kern w:val="0"/>
                <w:sz w:val="21"/>
                <w:szCs w:val="21"/>
              </w:rPr>
              <w:t>)</w:t>
            </w:r>
            <w:r>
              <w:rPr>
                <w:rFonts w:hint="eastAsia" w:ascii="宋体" w:hAnsi="宋体" w:cs="宋体"/>
                <w:color w:val="auto"/>
                <w:kern w:val="0"/>
                <w:sz w:val="21"/>
                <w:szCs w:val="21"/>
              </w:rPr>
              <w:t>损坏或人身伤害，一次扣2分。保安未按要求配备，每缺一人扣3300元。</w:t>
            </w:r>
          </w:p>
        </w:tc>
        <w:tc>
          <w:tcPr>
            <w:tcW w:w="735" w:type="dxa"/>
            <w:noWrap w:val="0"/>
            <w:vAlign w:val="top"/>
          </w:tcPr>
          <w:p w14:paraId="1F63F725">
            <w:pPr>
              <w:jc w:val="center"/>
              <w:rPr>
                <w:color w:val="auto"/>
                <w:sz w:val="21"/>
                <w:szCs w:val="21"/>
              </w:rPr>
            </w:pPr>
          </w:p>
        </w:tc>
        <w:tc>
          <w:tcPr>
            <w:tcW w:w="845" w:type="dxa"/>
            <w:noWrap w:val="0"/>
            <w:vAlign w:val="top"/>
          </w:tcPr>
          <w:p w14:paraId="290E89E8">
            <w:pPr>
              <w:jc w:val="center"/>
              <w:rPr>
                <w:color w:val="auto"/>
                <w:sz w:val="21"/>
                <w:szCs w:val="21"/>
              </w:rPr>
            </w:pPr>
          </w:p>
        </w:tc>
      </w:tr>
      <w:tr w14:paraId="57F3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415" w:type="dxa"/>
            <w:vMerge w:val="continue"/>
            <w:noWrap w:val="0"/>
            <w:vAlign w:val="top"/>
          </w:tcPr>
          <w:p w14:paraId="4914D4B7">
            <w:pPr>
              <w:jc w:val="center"/>
              <w:rPr>
                <w:color w:val="auto"/>
                <w:sz w:val="21"/>
                <w:szCs w:val="21"/>
              </w:rPr>
            </w:pPr>
          </w:p>
        </w:tc>
        <w:tc>
          <w:tcPr>
            <w:tcW w:w="3195" w:type="dxa"/>
            <w:noWrap w:val="0"/>
            <w:vAlign w:val="center"/>
          </w:tcPr>
          <w:p w14:paraId="318DD0FC">
            <w:pPr>
              <w:widowControl/>
              <w:jc w:val="center"/>
              <w:rPr>
                <w:color w:val="auto"/>
                <w:sz w:val="21"/>
                <w:szCs w:val="21"/>
              </w:rPr>
            </w:pPr>
            <w:r>
              <w:rPr>
                <w:rFonts w:hint="eastAsia" w:ascii="宋体" w:hAnsi="宋体" w:cs="宋体"/>
                <w:color w:val="auto"/>
                <w:kern w:val="0"/>
                <w:sz w:val="21"/>
                <w:szCs w:val="21"/>
              </w:rPr>
              <w:t>3、根据医院安全保卫特点定岗定职，布局合理,结构合理，无缺岗缺位，确保响应及时、行动迅速。保安队员年流动率不得超过35%。</w:t>
            </w:r>
          </w:p>
        </w:tc>
        <w:tc>
          <w:tcPr>
            <w:tcW w:w="600" w:type="dxa"/>
            <w:gridSpan w:val="2"/>
            <w:noWrap w:val="0"/>
            <w:vAlign w:val="center"/>
          </w:tcPr>
          <w:p w14:paraId="510F14FE">
            <w:pPr>
              <w:autoSpaceDE w:val="0"/>
              <w:autoSpaceDN w:val="0"/>
              <w:spacing w:line="340" w:lineRule="exact"/>
              <w:ind w:left="27" w:right="33"/>
              <w:jc w:val="center"/>
              <w:rPr>
                <w:color w:val="auto"/>
                <w:sz w:val="21"/>
                <w:szCs w:val="21"/>
              </w:rPr>
            </w:pPr>
            <w:r>
              <w:rPr>
                <w:rFonts w:hint="eastAsia" w:ascii="宋体" w:hAnsi="宋体" w:cs="宋体"/>
                <w:color w:val="auto"/>
                <w:kern w:val="0"/>
                <w:sz w:val="21"/>
                <w:szCs w:val="21"/>
              </w:rPr>
              <w:t>5分</w:t>
            </w:r>
          </w:p>
        </w:tc>
        <w:tc>
          <w:tcPr>
            <w:tcW w:w="2940" w:type="dxa"/>
            <w:noWrap w:val="0"/>
            <w:vAlign w:val="center"/>
          </w:tcPr>
          <w:p w14:paraId="11FB216F">
            <w:pPr>
              <w:autoSpaceDE w:val="0"/>
              <w:autoSpaceDN w:val="0"/>
              <w:spacing w:line="340" w:lineRule="exact"/>
              <w:ind w:left="82" w:leftChars="39" w:right="69" w:rightChars="33"/>
              <w:jc w:val="center"/>
              <w:rPr>
                <w:color w:val="auto"/>
                <w:sz w:val="21"/>
                <w:szCs w:val="21"/>
              </w:rPr>
            </w:pPr>
            <w:r>
              <w:rPr>
                <w:rFonts w:hint="eastAsia" w:ascii="宋体" w:hAnsi="宋体" w:cs="宋体"/>
                <w:color w:val="auto"/>
                <w:kern w:val="0"/>
                <w:sz w:val="21"/>
                <w:szCs w:val="21"/>
              </w:rPr>
              <w:t>不按规定定岗、定人缺一人次，扣1分；人员流动率超过一个百分点，扣1分，超过两个百分点，扣2分，依此类推。</w:t>
            </w:r>
          </w:p>
        </w:tc>
        <w:tc>
          <w:tcPr>
            <w:tcW w:w="735" w:type="dxa"/>
            <w:noWrap w:val="0"/>
            <w:vAlign w:val="top"/>
          </w:tcPr>
          <w:p w14:paraId="6C8E000E">
            <w:pPr>
              <w:jc w:val="center"/>
              <w:rPr>
                <w:color w:val="auto"/>
                <w:sz w:val="21"/>
                <w:szCs w:val="21"/>
              </w:rPr>
            </w:pPr>
          </w:p>
        </w:tc>
        <w:tc>
          <w:tcPr>
            <w:tcW w:w="845" w:type="dxa"/>
            <w:noWrap w:val="0"/>
            <w:vAlign w:val="top"/>
          </w:tcPr>
          <w:p w14:paraId="74CB4696">
            <w:pPr>
              <w:jc w:val="center"/>
              <w:rPr>
                <w:color w:val="auto"/>
                <w:sz w:val="21"/>
                <w:szCs w:val="21"/>
              </w:rPr>
            </w:pPr>
          </w:p>
        </w:tc>
      </w:tr>
      <w:tr w14:paraId="2A17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1415" w:type="dxa"/>
            <w:vMerge w:val="continue"/>
            <w:noWrap w:val="0"/>
            <w:vAlign w:val="top"/>
          </w:tcPr>
          <w:p w14:paraId="6609646C">
            <w:pPr>
              <w:jc w:val="center"/>
              <w:rPr>
                <w:color w:val="auto"/>
                <w:sz w:val="21"/>
                <w:szCs w:val="21"/>
              </w:rPr>
            </w:pPr>
          </w:p>
        </w:tc>
        <w:tc>
          <w:tcPr>
            <w:tcW w:w="3195" w:type="dxa"/>
            <w:noWrap w:val="0"/>
            <w:vAlign w:val="center"/>
          </w:tcPr>
          <w:p w14:paraId="70E17B0F">
            <w:pPr>
              <w:autoSpaceDE w:val="0"/>
              <w:autoSpaceDN w:val="0"/>
              <w:spacing w:line="340" w:lineRule="exact"/>
              <w:ind w:right="69" w:rightChars="33"/>
              <w:jc w:val="center"/>
              <w:rPr>
                <w:color w:val="auto"/>
                <w:sz w:val="21"/>
                <w:szCs w:val="21"/>
              </w:rPr>
            </w:pPr>
            <w:r>
              <w:rPr>
                <w:rFonts w:hint="eastAsia" w:ascii="宋体" w:hAnsi="宋体" w:cs="宋体"/>
                <w:color w:val="auto"/>
                <w:kern w:val="0"/>
                <w:sz w:val="21"/>
                <w:szCs w:val="21"/>
              </w:rPr>
              <w:t>4、医院的重点岗位及主要入口要落实保安固定岗位值守，</w:t>
            </w:r>
            <w:r>
              <w:rPr>
                <w:rFonts w:hint="eastAsia" w:ascii="宋体" w:hAnsi="宋体" w:cs="宋体"/>
                <w:color w:val="auto"/>
                <w:kern w:val="0"/>
                <w:sz w:val="21"/>
                <w:szCs w:val="21"/>
                <w:lang w:eastAsia="zh-CN"/>
              </w:rPr>
              <w:t>防城院区</w:t>
            </w:r>
            <w:r>
              <w:rPr>
                <w:rFonts w:hint="eastAsia" w:ascii="宋体" w:hAnsi="宋体" w:cs="宋体"/>
                <w:color w:val="auto"/>
                <w:kern w:val="0"/>
                <w:sz w:val="21"/>
                <w:szCs w:val="21"/>
              </w:rPr>
              <w:t>急诊室、第一住院楼、第二住院楼治安管控</w:t>
            </w:r>
            <w:r>
              <w:rPr>
                <w:rFonts w:hint="eastAsia" w:ascii="宋体" w:hAnsi="宋体" w:cs="宋体"/>
                <w:color w:val="auto"/>
                <w:kern w:val="0"/>
                <w:sz w:val="21"/>
                <w:szCs w:val="21"/>
                <w:lang w:eastAsia="zh-CN"/>
              </w:rPr>
              <w:t>，文昌院区门诊医技楼、急诊科、住院部</w:t>
            </w:r>
            <w:r>
              <w:rPr>
                <w:rFonts w:hint="eastAsia" w:ascii="宋体" w:hAnsi="宋体" w:cs="宋体"/>
                <w:color w:val="auto"/>
                <w:kern w:val="0"/>
                <w:sz w:val="21"/>
                <w:szCs w:val="21"/>
              </w:rPr>
              <w:t>等重点部位制订相应的安全措施及处理流程，确保发生突发事件处置及时。</w:t>
            </w:r>
          </w:p>
        </w:tc>
        <w:tc>
          <w:tcPr>
            <w:tcW w:w="600" w:type="dxa"/>
            <w:gridSpan w:val="2"/>
            <w:noWrap w:val="0"/>
            <w:vAlign w:val="center"/>
          </w:tcPr>
          <w:p w14:paraId="7C55509C">
            <w:pPr>
              <w:autoSpaceDE w:val="0"/>
              <w:autoSpaceDN w:val="0"/>
              <w:spacing w:line="340" w:lineRule="exact"/>
              <w:ind w:left="27" w:right="33"/>
              <w:jc w:val="center"/>
              <w:rPr>
                <w:color w:val="auto"/>
                <w:sz w:val="21"/>
                <w:szCs w:val="21"/>
              </w:rPr>
            </w:pPr>
            <w:r>
              <w:rPr>
                <w:rFonts w:hint="eastAsia" w:ascii="宋体" w:hAnsi="宋体" w:cs="宋体"/>
                <w:color w:val="auto"/>
                <w:kern w:val="0"/>
                <w:sz w:val="21"/>
                <w:szCs w:val="21"/>
              </w:rPr>
              <w:t>6分</w:t>
            </w:r>
          </w:p>
        </w:tc>
        <w:tc>
          <w:tcPr>
            <w:tcW w:w="2940" w:type="dxa"/>
            <w:noWrap w:val="0"/>
            <w:vAlign w:val="center"/>
          </w:tcPr>
          <w:p w14:paraId="7EC1BC21">
            <w:pPr>
              <w:autoSpaceDE w:val="0"/>
              <w:autoSpaceDN w:val="0"/>
              <w:spacing w:line="340" w:lineRule="exact"/>
              <w:ind w:left="27" w:right="69" w:rightChars="33"/>
              <w:jc w:val="center"/>
              <w:rPr>
                <w:color w:val="auto"/>
                <w:sz w:val="21"/>
                <w:szCs w:val="21"/>
              </w:rPr>
            </w:pPr>
            <w:r>
              <w:rPr>
                <w:rFonts w:hint="eastAsia" w:ascii="宋体" w:hAnsi="宋体" w:cs="宋体"/>
                <w:color w:val="auto"/>
                <w:kern w:val="0"/>
                <w:sz w:val="21"/>
                <w:szCs w:val="21"/>
              </w:rPr>
              <w:t>对特殊的部位要有相应的防范措施，每发现一处无防范措施，扣1分，执勤保安员严禁脱岗，必须确保</w:t>
            </w:r>
            <w:r>
              <w:rPr>
                <w:rFonts w:ascii="宋体" w:hAnsi="宋体" w:cs="宋体"/>
                <w:color w:val="auto"/>
                <w:kern w:val="0"/>
                <w:sz w:val="21"/>
                <w:szCs w:val="21"/>
              </w:rPr>
              <w:t>24</w:t>
            </w:r>
            <w:r>
              <w:rPr>
                <w:rFonts w:hint="eastAsia" w:ascii="宋体" w:hAnsi="宋体" w:cs="宋体"/>
                <w:color w:val="auto"/>
                <w:kern w:val="0"/>
                <w:sz w:val="21"/>
                <w:szCs w:val="21"/>
              </w:rPr>
              <w:t>小时人员在岗在位，因擅离职守扣1分，造成后果视情节另行处理，并追究责任。</w:t>
            </w:r>
          </w:p>
        </w:tc>
        <w:tc>
          <w:tcPr>
            <w:tcW w:w="735" w:type="dxa"/>
            <w:noWrap w:val="0"/>
            <w:vAlign w:val="top"/>
          </w:tcPr>
          <w:p w14:paraId="0D4F1440">
            <w:pPr>
              <w:jc w:val="center"/>
              <w:rPr>
                <w:color w:val="auto"/>
                <w:sz w:val="21"/>
                <w:szCs w:val="21"/>
              </w:rPr>
            </w:pPr>
          </w:p>
        </w:tc>
        <w:tc>
          <w:tcPr>
            <w:tcW w:w="845" w:type="dxa"/>
            <w:noWrap w:val="0"/>
            <w:vAlign w:val="top"/>
          </w:tcPr>
          <w:p w14:paraId="114BFE20">
            <w:pPr>
              <w:jc w:val="center"/>
              <w:rPr>
                <w:color w:val="auto"/>
                <w:sz w:val="21"/>
                <w:szCs w:val="21"/>
              </w:rPr>
            </w:pPr>
          </w:p>
        </w:tc>
      </w:tr>
      <w:tr w14:paraId="23F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1415" w:type="dxa"/>
            <w:vMerge w:val="continue"/>
            <w:noWrap w:val="0"/>
            <w:vAlign w:val="top"/>
          </w:tcPr>
          <w:p w14:paraId="3D1FE2B2">
            <w:pPr>
              <w:jc w:val="center"/>
              <w:rPr>
                <w:color w:val="auto"/>
                <w:sz w:val="21"/>
                <w:szCs w:val="21"/>
              </w:rPr>
            </w:pPr>
          </w:p>
        </w:tc>
        <w:tc>
          <w:tcPr>
            <w:tcW w:w="3195" w:type="dxa"/>
            <w:noWrap w:val="0"/>
            <w:vAlign w:val="center"/>
          </w:tcPr>
          <w:p w14:paraId="359BA09C">
            <w:pPr>
              <w:autoSpaceDE w:val="0"/>
              <w:autoSpaceDN w:val="0"/>
              <w:spacing w:line="340" w:lineRule="exact"/>
              <w:ind w:right="69" w:rightChars="33"/>
              <w:jc w:val="center"/>
              <w:rPr>
                <w:rFonts w:ascii="宋体" w:hAnsi="宋体" w:cs="宋体"/>
                <w:color w:val="auto"/>
                <w:kern w:val="0"/>
                <w:sz w:val="21"/>
                <w:szCs w:val="21"/>
              </w:rPr>
            </w:pPr>
            <w:r>
              <w:rPr>
                <w:rFonts w:hint="eastAsia" w:ascii="宋体" w:hAnsi="宋体" w:cs="宋体"/>
                <w:color w:val="auto"/>
                <w:kern w:val="0"/>
                <w:sz w:val="21"/>
                <w:szCs w:val="21"/>
              </w:rPr>
              <w:t>5、执行医院的各项安全工作管理规定。对可疑人员要进行检查询问，严禁推销、商贩、发小广告、医托等无关人员进出医院，及时发现报告和解决院区发生的各种突发情况，规范医院的秩序管理，确保正常的就医环境。</w:t>
            </w:r>
          </w:p>
        </w:tc>
        <w:tc>
          <w:tcPr>
            <w:tcW w:w="600" w:type="dxa"/>
            <w:gridSpan w:val="2"/>
            <w:noWrap w:val="0"/>
            <w:vAlign w:val="center"/>
          </w:tcPr>
          <w:p w14:paraId="661AEC41">
            <w:pPr>
              <w:autoSpaceDE w:val="0"/>
              <w:autoSpaceDN w:val="0"/>
              <w:spacing w:line="340" w:lineRule="exact"/>
              <w:ind w:left="33" w:right="33"/>
              <w:jc w:val="center"/>
              <w:rPr>
                <w:rFonts w:ascii="宋体" w:hAnsi="宋体" w:cs="宋体"/>
                <w:color w:val="auto"/>
                <w:kern w:val="0"/>
                <w:sz w:val="21"/>
                <w:szCs w:val="21"/>
              </w:rPr>
            </w:pPr>
            <w:r>
              <w:rPr>
                <w:rFonts w:hint="eastAsia" w:ascii="宋体" w:hAnsi="宋体" w:cs="宋体"/>
                <w:color w:val="auto"/>
                <w:kern w:val="0"/>
                <w:sz w:val="21"/>
                <w:szCs w:val="21"/>
              </w:rPr>
              <w:t>5分</w:t>
            </w:r>
          </w:p>
        </w:tc>
        <w:tc>
          <w:tcPr>
            <w:tcW w:w="2940" w:type="dxa"/>
            <w:noWrap w:val="0"/>
            <w:vAlign w:val="center"/>
          </w:tcPr>
          <w:p w14:paraId="4EC4F57B">
            <w:pPr>
              <w:autoSpaceDE w:val="0"/>
              <w:autoSpaceDN w:val="0"/>
              <w:spacing w:line="340" w:lineRule="exact"/>
              <w:ind w:left="33" w:right="69" w:rightChars="33"/>
              <w:jc w:val="center"/>
              <w:rPr>
                <w:rFonts w:ascii="宋体" w:hAnsi="宋体" w:cs="宋体"/>
                <w:color w:val="auto"/>
                <w:kern w:val="0"/>
                <w:sz w:val="21"/>
                <w:szCs w:val="21"/>
              </w:rPr>
            </w:pPr>
            <w:r>
              <w:rPr>
                <w:rFonts w:hint="eastAsia" w:ascii="宋体" w:hAnsi="宋体" w:cs="宋体"/>
                <w:color w:val="auto"/>
                <w:kern w:val="0"/>
                <w:sz w:val="21"/>
                <w:szCs w:val="21"/>
              </w:rPr>
              <w:t>院内有推销、商贩、</w:t>
            </w:r>
            <w:r>
              <w:rPr>
                <w:rFonts w:hint="eastAsia" w:ascii="宋体" w:hAnsi="宋体" w:cs="宋体"/>
                <w:color w:val="auto"/>
                <w:kern w:val="0"/>
                <w:sz w:val="21"/>
                <w:szCs w:val="21"/>
                <w:lang w:val="en-US" w:eastAsia="zh-CN"/>
              </w:rPr>
              <w:t>发</w:t>
            </w:r>
            <w:r>
              <w:rPr>
                <w:rFonts w:hint="eastAsia" w:ascii="宋体" w:hAnsi="宋体" w:cs="宋体"/>
                <w:color w:val="auto"/>
                <w:kern w:val="0"/>
                <w:sz w:val="21"/>
                <w:szCs w:val="21"/>
              </w:rPr>
              <w:t>放小广告、医托等类似无关人员出现，扣1分。发生有责偷盗、抢劫事件扣2-5分，发生突发事件处理不及时，扣2分，造成事故及影响较大的，扣5分,并追究责任。</w:t>
            </w:r>
          </w:p>
        </w:tc>
        <w:tc>
          <w:tcPr>
            <w:tcW w:w="735" w:type="dxa"/>
            <w:noWrap w:val="0"/>
            <w:vAlign w:val="top"/>
          </w:tcPr>
          <w:p w14:paraId="7A5691DF">
            <w:pPr>
              <w:jc w:val="center"/>
              <w:rPr>
                <w:color w:val="auto"/>
                <w:sz w:val="21"/>
                <w:szCs w:val="21"/>
              </w:rPr>
            </w:pPr>
          </w:p>
        </w:tc>
        <w:tc>
          <w:tcPr>
            <w:tcW w:w="845" w:type="dxa"/>
            <w:noWrap w:val="0"/>
            <w:vAlign w:val="top"/>
          </w:tcPr>
          <w:p w14:paraId="62C25B72">
            <w:pPr>
              <w:jc w:val="center"/>
              <w:rPr>
                <w:color w:val="auto"/>
                <w:sz w:val="21"/>
                <w:szCs w:val="21"/>
              </w:rPr>
            </w:pPr>
          </w:p>
        </w:tc>
      </w:tr>
      <w:tr w14:paraId="2DA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415" w:type="dxa"/>
            <w:vMerge w:val="continue"/>
            <w:noWrap w:val="0"/>
            <w:vAlign w:val="top"/>
          </w:tcPr>
          <w:p w14:paraId="148B9E15">
            <w:pPr>
              <w:jc w:val="center"/>
              <w:rPr>
                <w:color w:val="auto"/>
                <w:sz w:val="21"/>
                <w:szCs w:val="21"/>
              </w:rPr>
            </w:pPr>
          </w:p>
        </w:tc>
        <w:tc>
          <w:tcPr>
            <w:tcW w:w="3195" w:type="dxa"/>
            <w:noWrap w:val="0"/>
            <w:vAlign w:val="center"/>
          </w:tcPr>
          <w:p w14:paraId="1427EA8D">
            <w:pPr>
              <w:autoSpaceDE w:val="0"/>
              <w:autoSpaceDN w:val="0"/>
              <w:spacing w:line="340" w:lineRule="exact"/>
              <w:ind w:right="69" w:rightChars="33"/>
              <w:jc w:val="center"/>
              <w:rPr>
                <w:rFonts w:ascii="宋体" w:hAnsi="宋体" w:cs="宋体"/>
                <w:color w:val="auto"/>
                <w:kern w:val="0"/>
                <w:sz w:val="21"/>
                <w:szCs w:val="21"/>
              </w:rPr>
            </w:pPr>
            <w:r>
              <w:rPr>
                <w:rFonts w:hint="eastAsia" w:ascii="宋体" w:hAnsi="宋体" w:cs="宋体"/>
                <w:color w:val="auto"/>
                <w:kern w:val="0"/>
                <w:sz w:val="21"/>
                <w:szCs w:val="21"/>
              </w:rPr>
              <w:t>6、做好重大活动、会议、接待的保卫工作，建立各级安全警戒方案确保安全稳定，圆满完成院方交代的其它任务。</w:t>
            </w:r>
          </w:p>
        </w:tc>
        <w:tc>
          <w:tcPr>
            <w:tcW w:w="600" w:type="dxa"/>
            <w:gridSpan w:val="2"/>
            <w:noWrap w:val="0"/>
            <w:vAlign w:val="center"/>
          </w:tcPr>
          <w:p w14:paraId="49EF65AD">
            <w:pPr>
              <w:autoSpaceDE w:val="0"/>
              <w:autoSpaceDN w:val="0"/>
              <w:spacing w:line="340" w:lineRule="exact"/>
              <w:ind w:left="33" w:right="33"/>
              <w:jc w:val="center"/>
              <w:rPr>
                <w:rFonts w:ascii="宋体" w:hAnsi="宋体" w:cs="宋体"/>
                <w:color w:val="auto"/>
                <w:kern w:val="0"/>
                <w:sz w:val="21"/>
                <w:szCs w:val="21"/>
              </w:rPr>
            </w:pPr>
            <w:r>
              <w:rPr>
                <w:rFonts w:hint="eastAsia" w:ascii="宋体" w:hAnsi="宋体" w:cs="宋体"/>
                <w:color w:val="auto"/>
                <w:kern w:val="0"/>
                <w:sz w:val="21"/>
                <w:szCs w:val="21"/>
              </w:rPr>
              <w:t>6分</w:t>
            </w:r>
          </w:p>
          <w:p w14:paraId="74F3ED2A">
            <w:pPr>
              <w:autoSpaceDE w:val="0"/>
              <w:autoSpaceDN w:val="0"/>
              <w:spacing w:line="340" w:lineRule="exact"/>
              <w:ind w:left="33" w:right="33"/>
              <w:jc w:val="center"/>
              <w:rPr>
                <w:rFonts w:ascii="宋体" w:hAnsi="宋体" w:cs="宋体"/>
                <w:color w:val="auto"/>
                <w:kern w:val="0"/>
                <w:sz w:val="21"/>
                <w:szCs w:val="21"/>
              </w:rPr>
            </w:pPr>
          </w:p>
        </w:tc>
        <w:tc>
          <w:tcPr>
            <w:tcW w:w="2940" w:type="dxa"/>
            <w:noWrap w:val="0"/>
            <w:vAlign w:val="center"/>
          </w:tcPr>
          <w:p w14:paraId="335084E2">
            <w:pPr>
              <w:autoSpaceDE w:val="0"/>
              <w:autoSpaceDN w:val="0"/>
              <w:spacing w:line="340" w:lineRule="exact"/>
              <w:ind w:left="33" w:right="69" w:rightChars="33"/>
              <w:jc w:val="center"/>
              <w:rPr>
                <w:rFonts w:ascii="宋体" w:hAnsi="宋体" w:cs="宋体"/>
                <w:color w:val="auto"/>
                <w:kern w:val="0"/>
                <w:sz w:val="21"/>
                <w:szCs w:val="21"/>
              </w:rPr>
            </w:pPr>
            <w:r>
              <w:rPr>
                <w:rFonts w:hint="eastAsia" w:ascii="宋体" w:hAnsi="宋体" w:cs="宋体"/>
                <w:color w:val="auto"/>
                <w:kern w:val="0"/>
                <w:sz w:val="21"/>
                <w:szCs w:val="21"/>
              </w:rPr>
              <w:t>达不到安全要求，无安全工作方案每次</w:t>
            </w:r>
            <w:r>
              <w:rPr>
                <w:rFonts w:ascii="宋体" w:hAnsi="宋体" w:cs="宋体"/>
                <w:color w:val="auto"/>
                <w:kern w:val="0"/>
                <w:sz w:val="21"/>
                <w:szCs w:val="21"/>
              </w:rPr>
              <w:t>(</w:t>
            </w:r>
            <w:r>
              <w:rPr>
                <w:rFonts w:hint="eastAsia" w:ascii="宋体" w:hAnsi="宋体" w:cs="宋体"/>
                <w:color w:val="auto"/>
                <w:kern w:val="0"/>
                <w:sz w:val="21"/>
                <w:szCs w:val="21"/>
              </w:rPr>
              <w:t>项</w:t>
            </w:r>
            <w:r>
              <w:rPr>
                <w:rFonts w:ascii="宋体" w:hAnsi="宋体" w:cs="宋体"/>
                <w:color w:val="auto"/>
                <w:kern w:val="0"/>
                <w:sz w:val="21"/>
                <w:szCs w:val="21"/>
              </w:rPr>
              <w:t>)</w:t>
            </w:r>
            <w:r>
              <w:rPr>
                <w:rFonts w:hint="eastAsia" w:ascii="宋体" w:hAnsi="宋体" w:cs="宋体"/>
                <w:color w:val="auto"/>
                <w:kern w:val="0"/>
                <w:sz w:val="21"/>
                <w:szCs w:val="21"/>
              </w:rPr>
              <w:t>扣1分，造成不良影响扣2分，并视情进行处理。</w:t>
            </w:r>
          </w:p>
        </w:tc>
        <w:tc>
          <w:tcPr>
            <w:tcW w:w="735" w:type="dxa"/>
            <w:noWrap w:val="0"/>
            <w:vAlign w:val="top"/>
          </w:tcPr>
          <w:p w14:paraId="30D1AB3D">
            <w:pPr>
              <w:jc w:val="center"/>
              <w:rPr>
                <w:color w:val="auto"/>
                <w:sz w:val="21"/>
                <w:szCs w:val="21"/>
              </w:rPr>
            </w:pPr>
          </w:p>
        </w:tc>
        <w:tc>
          <w:tcPr>
            <w:tcW w:w="845" w:type="dxa"/>
            <w:noWrap w:val="0"/>
            <w:vAlign w:val="top"/>
          </w:tcPr>
          <w:p w14:paraId="7B48E589">
            <w:pPr>
              <w:jc w:val="center"/>
              <w:rPr>
                <w:color w:val="auto"/>
                <w:sz w:val="21"/>
                <w:szCs w:val="21"/>
              </w:rPr>
            </w:pPr>
          </w:p>
        </w:tc>
      </w:tr>
      <w:tr w14:paraId="7A92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1415" w:type="dxa"/>
            <w:vMerge w:val="continue"/>
            <w:tcBorders>
              <w:bottom w:val="nil"/>
              <w:right w:val="single" w:color="auto" w:sz="4" w:space="0"/>
            </w:tcBorders>
            <w:noWrap w:val="0"/>
            <w:vAlign w:val="top"/>
          </w:tcPr>
          <w:p w14:paraId="2EFFD8DA">
            <w:pPr>
              <w:jc w:val="center"/>
              <w:rPr>
                <w:color w:val="auto"/>
                <w:sz w:val="21"/>
                <w:szCs w:val="21"/>
              </w:rPr>
            </w:pPr>
          </w:p>
        </w:tc>
        <w:tc>
          <w:tcPr>
            <w:tcW w:w="3195" w:type="dxa"/>
            <w:tcBorders>
              <w:left w:val="single" w:color="auto" w:sz="4" w:space="0"/>
              <w:bottom w:val="single" w:color="auto" w:sz="4" w:space="0"/>
            </w:tcBorders>
            <w:noWrap w:val="0"/>
            <w:vAlign w:val="center"/>
          </w:tcPr>
          <w:p w14:paraId="2C6F577C">
            <w:pPr>
              <w:autoSpaceDE w:val="0"/>
              <w:autoSpaceDN w:val="0"/>
              <w:spacing w:line="340" w:lineRule="exact"/>
              <w:ind w:right="69" w:rightChars="33"/>
              <w:jc w:val="center"/>
              <w:rPr>
                <w:rFonts w:ascii="宋体" w:hAnsi="宋体" w:cs="宋体"/>
                <w:color w:val="auto"/>
                <w:kern w:val="0"/>
                <w:sz w:val="21"/>
                <w:szCs w:val="21"/>
              </w:rPr>
            </w:pPr>
            <w:r>
              <w:rPr>
                <w:rFonts w:hint="eastAsia" w:ascii="宋体" w:hAnsi="宋体" w:cs="宋体"/>
                <w:color w:val="auto"/>
                <w:kern w:val="0"/>
                <w:sz w:val="21"/>
                <w:szCs w:val="21"/>
              </w:rPr>
              <w:t>7、定期组织安全教育培训，整改各类隐患，保护医院和病人财产安全和人身安全，加强纠纷处置能力培训和反恐防暴应急演练，每年不少于2次，及时制止平息纠纷和恐怖袭击事件。</w:t>
            </w:r>
          </w:p>
        </w:tc>
        <w:tc>
          <w:tcPr>
            <w:tcW w:w="600" w:type="dxa"/>
            <w:gridSpan w:val="2"/>
            <w:noWrap w:val="0"/>
            <w:vAlign w:val="center"/>
          </w:tcPr>
          <w:p w14:paraId="3C2A5596">
            <w:pPr>
              <w:autoSpaceDE w:val="0"/>
              <w:autoSpaceDN w:val="0"/>
              <w:spacing w:line="340" w:lineRule="exact"/>
              <w:ind w:left="34" w:right="31"/>
              <w:jc w:val="center"/>
              <w:rPr>
                <w:rFonts w:ascii="宋体" w:hAnsi="宋体" w:cs="宋体"/>
                <w:color w:val="auto"/>
                <w:kern w:val="0"/>
                <w:sz w:val="21"/>
                <w:szCs w:val="21"/>
              </w:rPr>
            </w:pPr>
            <w:r>
              <w:rPr>
                <w:rFonts w:hint="eastAsia" w:ascii="宋体" w:hAnsi="宋体" w:cs="宋体"/>
                <w:color w:val="auto"/>
                <w:kern w:val="0"/>
                <w:sz w:val="21"/>
                <w:szCs w:val="21"/>
              </w:rPr>
              <w:t>6分</w:t>
            </w:r>
          </w:p>
        </w:tc>
        <w:tc>
          <w:tcPr>
            <w:tcW w:w="2940" w:type="dxa"/>
            <w:noWrap w:val="0"/>
            <w:vAlign w:val="center"/>
          </w:tcPr>
          <w:p w14:paraId="511CA344">
            <w:pPr>
              <w:autoSpaceDE w:val="0"/>
              <w:autoSpaceDN w:val="0"/>
              <w:spacing w:line="340" w:lineRule="exact"/>
              <w:ind w:left="34" w:right="69" w:rightChars="33"/>
              <w:jc w:val="center"/>
              <w:rPr>
                <w:rFonts w:ascii="宋体" w:hAnsi="宋体" w:cs="宋体"/>
                <w:color w:val="auto"/>
                <w:kern w:val="0"/>
                <w:sz w:val="21"/>
                <w:szCs w:val="21"/>
              </w:rPr>
            </w:pPr>
            <w:r>
              <w:rPr>
                <w:rFonts w:hint="eastAsia" w:ascii="宋体" w:hAnsi="宋体" w:cs="宋体"/>
                <w:color w:val="auto"/>
                <w:kern w:val="0"/>
                <w:sz w:val="21"/>
                <w:szCs w:val="21"/>
              </w:rPr>
              <w:t>发生打砸、殴打医护人员事件时，保安员没有及时制止，每次扣</w:t>
            </w:r>
            <w:r>
              <w:rPr>
                <w:rFonts w:ascii="宋体" w:hAnsi="宋体" w:cs="宋体"/>
                <w:color w:val="auto"/>
                <w:kern w:val="0"/>
                <w:sz w:val="21"/>
                <w:szCs w:val="21"/>
              </w:rPr>
              <w:t>2</w:t>
            </w:r>
            <w:r>
              <w:rPr>
                <w:rFonts w:hint="eastAsia" w:ascii="宋体" w:hAnsi="宋体" w:cs="宋体"/>
                <w:color w:val="auto"/>
                <w:kern w:val="0"/>
                <w:sz w:val="21"/>
                <w:szCs w:val="21"/>
              </w:rPr>
              <w:t>-4分，接到与保安责任相关投诉属实，每次扣</w:t>
            </w:r>
            <w:r>
              <w:rPr>
                <w:rFonts w:ascii="宋体" w:hAnsi="宋体" w:cs="宋体"/>
                <w:color w:val="auto"/>
                <w:kern w:val="0"/>
                <w:sz w:val="21"/>
                <w:szCs w:val="21"/>
              </w:rPr>
              <w:t>1</w:t>
            </w:r>
            <w:r>
              <w:rPr>
                <w:rFonts w:hint="eastAsia" w:ascii="宋体" w:hAnsi="宋体" w:cs="宋体"/>
                <w:color w:val="auto"/>
                <w:kern w:val="0"/>
                <w:sz w:val="21"/>
                <w:szCs w:val="21"/>
              </w:rPr>
              <w:t>分，情况严重的追究责任。发生内部人员自盗、打架斗殴扣4分，并追究领导责任。</w:t>
            </w:r>
          </w:p>
        </w:tc>
        <w:tc>
          <w:tcPr>
            <w:tcW w:w="735" w:type="dxa"/>
            <w:noWrap w:val="0"/>
            <w:vAlign w:val="top"/>
          </w:tcPr>
          <w:p w14:paraId="669DDD7A">
            <w:pPr>
              <w:jc w:val="center"/>
              <w:rPr>
                <w:color w:val="auto"/>
                <w:sz w:val="21"/>
                <w:szCs w:val="21"/>
              </w:rPr>
            </w:pPr>
          </w:p>
        </w:tc>
        <w:tc>
          <w:tcPr>
            <w:tcW w:w="845" w:type="dxa"/>
            <w:noWrap w:val="0"/>
            <w:vAlign w:val="top"/>
          </w:tcPr>
          <w:p w14:paraId="6EC8CB44">
            <w:pPr>
              <w:jc w:val="center"/>
              <w:rPr>
                <w:color w:val="auto"/>
                <w:sz w:val="21"/>
                <w:szCs w:val="21"/>
              </w:rPr>
            </w:pPr>
          </w:p>
        </w:tc>
      </w:tr>
      <w:tr w14:paraId="26E5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415" w:type="dxa"/>
            <w:vMerge w:val="restart"/>
            <w:tcBorders>
              <w:top w:val="nil"/>
              <w:right w:val="single" w:color="auto" w:sz="4" w:space="0"/>
            </w:tcBorders>
            <w:noWrap w:val="0"/>
            <w:vAlign w:val="top"/>
          </w:tcPr>
          <w:p w14:paraId="798D3AAE">
            <w:pPr>
              <w:jc w:val="center"/>
              <w:rPr>
                <w:b/>
                <w:bCs/>
                <w:color w:val="auto"/>
                <w:sz w:val="21"/>
                <w:szCs w:val="21"/>
              </w:rPr>
            </w:pPr>
          </w:p>
        </w:tc>
        <w:tc>
          <w:tcPr>
            <w:tcW w:w="3195" w:type="dxa"/>
            <w:tcBorders>
              <w:top w:val="single" w:color="auto" w:sz="4" w:space="0"/>
              <w:left w:val="single" w:color="auto" w:sz="4" w:space="0"/>
            </w:tcBorders>
            <w:noWrap w:val="0"/>
            <w:vAlign w:val="center"/>
          </w:tcPr>
          <w:p w14:paraId="334351DB">
            <w:pPr>
              <w:autoSpaceDE w:val="0"/>
              <w:autoSpaceDN w:val="0"/>
              <w:spacing w:line="340" w:lineRule="exact"/>
              <w:ind w:left="69" w:leftChars="33" w:right="69" w:rightChars="33"/>
              <w:jc w:val="center"/>
              <w:rPr>
                <w:b/>
                <w:bCs/>
                <w:color w:val="auto"/>
                <w:sz w:val="21"/>
                <w:szCs w:val="21"/>
              </w:rPr>
            </w:pPr>
            <w:r>
              <w:rPr>
                <w:rFonts w:hint="eastAsia" w:ascii="宋体" w:hAnsi="宋体" w:cs="宋体"/>
                <w:color w:val="auto"/>
                <w:kern w:val="0"/>
                <w:sz w:val="21"/>
                <w:szCs w:val="21"/>
              </w:rPr>
              <w:t>8、督促协助维护保养单位定期开展监控、门禁、一键紧急报警按钮等技防设施检查、维护、清洁工作，确保设施设备性能良好，运行正常。</w:t>
            </w:r>
          </w:p>
        </w:tc>
        <w:tc>
          <w:tcPr>
            <w:tcW w:w="600" w:type="dxa"/>
            <w:gridSpan w:val="2"/>
            <w:noWrap w:val="0"/>
            <w:vAlign w:val="center"/>
          </w:tcPr>
          <w:p w14:paraId="25C505C5">
            <w:pPr>
              <w:autoSpaceDE w:val="0"/>
              <w:autoSpaceDN w:val="0"/>
              <w:spacing w:line="340" w:lineRule="exact"/>
              <w:ind w:right="33"/>
              <w:jc w:val="center"/>
              <w:rPr>
                <w:b/>
                <w:bCs/>
                <w:color w:val="auto"/>
                <w:sz w:val="21"/>
                <w:szCs w:val="21"/>
              </w:rPr>
            </w:pPr>
            <w:r>
              <w:rPr>
                <w:rFonts w:hint="eastAsia" w:ascii="宋体" w:hAnsi="宋体" w:cs="宋体"/>
                <w:color w:val="auto"/>
                <w:kern w:val="0"/>
                <w:sz w:val="21"/>
                <w:szCs w:val="21"/>
              </w:rPr>
              <w:t>5分</w:t>
            </w:r>
          </w:p>
        </w:tc>
        <w:tc>
          <w:tcPr>
            <w:tcW w:w="2940" w:type="dxa"/>
            <w:noWrap w:val="0"/>
            <w:vAlign w:val="center"/>
          </w:tcPr>
          <w:p w14:paraId="5D348BBA">
            <w:pPr>
              <w:autoSpaceDE w:val="0"/>
              <w:autoSpaceDN w:val="0"/>
              <w:spacing w:line="340" w:lineRule="exact"/>
              <w:ind w:left="84" w:leftChars="40" w:right="69" w:rightChars="33"/>
              <w:jc w:val="center"/>
              <w:rPr>
                <w:b/>
                <w:bCs/>
                <w:color w:val="auto"/>
                <w:sz w:val="21"/>
                <w:szCs w:val="21"/>
              </w:rPr>
            </w:pPr>
            <w:r>
              <w:rPr>
                <w:rFonts w:hint="eastAsia" w:ascii="宋体" w:hAnsi="宋体" w:cs="宋体"/>
                <w:color w:val="auto"/>
                <w:kern w:val="0"/>
                <w:sz w:val="21"/>
                <w:szCs w:val="21"/>
              </w:rPr>
              <w:t>未落实检查制度，发现一次扣2分。发现一处设备故障超过48小时，扣1分。</w:t>
            </w:r>
          </w:p>
        </w:tc>
        <w:tc>
          <w:tcPr>
            <w:tcW w:w="735" w:type="dxa"/>
            <w:noWrap w:val="0"/>
            <w:vAlign w:val="center"/>
          </w:tcPr>
          <w:p w14:paraId="3F8601E7">
            <w:pPr>
              <w:widowControl/>
              <w:jc w:val="center"/>
              <w:rPr>
                <w:rFonts w:ascii="宋体" w:hAnsi="宋体" w:cs="宋体"/>
                <w:color w:val="auto"/>
                <w:kern w:val="0"/>
                <w:sz w:val="21"/>
                <w:szCs w:val="21"/>
              </w:rPr>
            </w:pPr>
          </w:p>
          <w:p w14:paraId="0ED67DE1">
            <w:pPr>
              <w:autoSpaceDE w:val="0"/>
              <w:autoSpaceDN w:val="0"/>
              <w:spacing w:line="340" w:lineRule="exact"/>
              <w:ind w:right="69" w:rightChars="33"/>
              <w:jc w:val="center"/>
              <w:rPr>
                <w:b/>
                <w:bCs/>
                <w:color w:val="auto"/>
                <w:sz w:val="21"/>
                <w:szCs w:val="21"/>
              </w:rPr>
            </w:pPr>
          </w:p>
        </w:tc>
        <w:tc>
          <w:tcPr>
            <w:tcW w:w="845" w:type="dxa"/>
            <w:noWrap w:val="0"/>
            <w:vAlign w:val="top"/>
          </w:tcPr>
          <w:p w14:paraId="045B97C2">
            <w:pPr>
              <w:jc w:val="center"/>
              <w:rPr>
                <w:b/>
                <w:bCs/>
                <w:color w:val="auto"/>
                <w:sz w:val="21"/>
                <w:szCs w:val="21"/>
              </w:rPr>
            </w:pPr>
          </w:p>
        </w:tc>
      </w:tr>
      <w:tr w14:paraId="49A7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15" w:type="dxa"/>
            <w:vMerge w:val="continue"/>
            <w:noWrap w:val="0"/>
            <w:vAlign w:val="top"/>
          </w:tcPr>
          <w:p w14:paraId="3B536B9C">
            <w:pPr>
              <w:jc w:val="center"/>
              <w:rPr>
                <w:b/>
                <w:bCs/>
                <w:color w:val="auto"/>
                <w:sz w:val="21"/>
                <w:szCs w:val="21"/>
              </w:rPr>
            </w:pPr>
          </w:p>
        </w:tc>
        <w:tc>
          <w:tcPr>
            <w:tcW w:w="3195" w:type="dxa"/>
            <w:noWrap w:val="0"/>
            <w:vAlign w:val="center"/>
          </w:tcPr>
          <w:p w14:paraId="3CD135A4">
            <w:pPr>
              <w:autoSpaceDE w:val="0"/>
              <w:autoSpaceDN w:val="0"/>
              <w:spacing w:line="340" w:lineRule="exact"/>
              <w:ind w:left="69" w:leftChars="33" w:right="69" w:rightChars="33"/>
              <w:jc w:val="center"/>
              <w:rPr>
                <w:b/>
                <w:bCs/>
                <w:color w:val="auto"/>
                <w:sz w:val="21"/>
                <w:szCs w:val="21"/>
              </w:rPr>
            </w:pPr>
            <w:r>
              <w:rPr>
                <w:rFonts w:hint="eastAsia" w:ascii="宋体" w:hAnsi="宋体" w:cs="宋体"/>
                <w:color w:val="auto"/>
                <w:kern w:val="0"/>
                <w:sz w:val="21"/>
                <w:szCs w:val="21"/>
              </w:rPr>
              <w:t>9、无重大治安案件，一般治安案件每月不超过两起。</w:t>
            </w:r>
          </w:p>
        </w:tc>
        <w:tc>
          <w:tcPr>
            <w:tcW w:w="600" w:type="dxa"/>
            <w:gridSpan w:val="2"/>
            <w:noWrap w:val="0"/>
            <w:vAlign w:val="center"/>
          </w:tcPr>
          <w:p w14:paraId="3DC88A27">
            <w:pPr>
              <w:autoSpaceDE w:val="0"/>
              <w:autoSpaceDN w:val="0"/>
              <w:spacing w:line="340" w:lineRule="exact"/>
              <w:ind w:right="33"/>
              <w:jc w:val="center"/>
              <w:rPr>
                <w:b/>
                <w:bCs/>
                <w:color w:val="auto"/>
                <w:sz w:val="21"/>
                <w:szCs w:val="21"/>
              </w:rPr>
            </w:pPr>
            <w:r>
              <w:rPr>
                <w:rFonts w:hint="eastAsia" w:ascii="宋体" w:hAnsi="宋体" w:cs="宋体"/>
                <w:color w:val="auto"/>
                <w:kern w:val="0"/>
                <w:sz w:val="21"/>
                <w:szCs w:val="21"/>
              </w:rPr>
              <w:t>5分</w:t>
            </w:r>
          </w:p>
        </w:tc>
        <w:tc>
          <w:tcPr>
            <w:tcW w:w="2940" w:type="dxa"/>
            <w:noWrap w:val="0"/>
            <w:vAlign w:val="center"/>
          </w:tcPr>
          <w:p w14:paraId="4B2D7AA8">
            <w:pPr>
              <w:autoSpaceDE w:val="0"/>
              <w:autoSpaceDN w:val="0"/>
              <w:spacing w:line="340" w:lineRule="exact"/>
              <w:ind w:left="84" w:leftChars="40" w:right="69" w:rightChars="33"/>
              <w:jc w:val="center"/>
              <w:rPr>
                <w:b/>
                <w:bCs/>
                <w:color w:val="auto"/>
                <w:sz w:val="21"/>
                <w:szCs w:val="21"/>
              </w:rPr>
            </w:pPr>
            <w:r>
              <w:rPr>
                <w:rFonts w:hint="eastAsia" w:ascii="宋体" w:hAnsi="宋体" w:cs="宋体"/>
                <w:color w:val="auto"/>
                <w:kern w:val="0"/>
                <w:sz w:val="21"/>
                <w:szCs w:val="21"/>
              </w:rPr>
              <w:t>发生重大案件扣5分，一般案件超过一起扣1分。</w:t>
            </w:r>
          </w:p>
        </w:tc>
        <w:tc>
          <w:tcPr>
            <w:tcW w:w="735" w:type="dxa"/>
            <w:noWrap w:val="0"/>
            <w:vAlign w:val="center"/>
          </w:tcPr>
          <w:p w14:paraId="4FBD0120">
            <w:pPr>
              <w:widowControl/>
              <w:jc w:val="center"/>
              <w:rPr>
                <w:rFonts w:ascii="宋体" w:hAnsi="宋体" w:cs="宋体"/>
                <w:color w:val="auto"/>
                <w:kern w:val="0"/>
                <w:sz w:val="21"/>
                <w:szCs w:val="21"/>
              </w:rPr>
            </w:pPr>
          </w:p>
          <w:p w14:paraId="7CFBAD21">
            <w:pPr>
              <w:autoSpaceDE w:val="0"/>
              <w:autoSpaceDN w:val="0"/>
              <w:spacing w:line="340" w:lineRule="exact"/>
              <w:ind w:right="69" w:rightChars="33"/>
              <w:jc w:val="center"/>
              <w:rPr>
                <w:b/>
                <w:bCs/>
                <w:color w:val="auto"/>
                <w:sz w:val="21"/>
                <w:szCs w:val="21"/>
              </w:rPr>
            </w:pPr>
          </w:p>
        </w:tc>
        <w:tc>
          <w:tcPr>
            <w:tcW w:w="845" w:type="dxa"/>
            <w:noWrap w:val="0"/>
            <w:vAlign w:val="top"/>
          </w:tcPr>
          <w:p w14:paraId="235F2B75">
            <w:pPr>
              <w:jc w:val="center"/>
              <w:rPr>
                <w:b/>
                <w:bCs/>
                <w:color w:val="auto"/>
                <w:sz w:val="21"/>
                <w:szCs w:val="21"/>
              </w:rPr>
            </w:pPr>
          </w:p>
        </w:tc>
      </w:tr>
      <w:tr w14:paraId="136A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1415" w:type="dxa"/>
            <w:vMerge w:val="restart"/>
            <w:noWrap w:val="0"/>
            <w:vAlign w:val="top"/>
          </w:tcPr>
          <w:p w14:paraId="119C36CB">
            <w:pPr>
              <w:autoSpaceDE w:val="0"/>
              <w:autoSpaceDN w:val="0"/>
              <w:ind w:left="190" w:leftChars="53" w:right="84" w:rightChars="40" w:hanging="79" w:hangingChars="38"/>
              <w:jc w:val="center"/>
              <w:rPr>
                <w:rFonts w:ascii="宋体" w:hAnsi="宋体" w:cs="宋体"/>
                <w:bCs/>
                <w:color w:val="auto"/>
                <w:kern w:val="0"/>
                <w:sz w:val="21"/>
                <w:szCs w:val="21"/>
              </w:rPr>
            </w:pPr>
          </w:p>
          <w:p w14:paraId="72E8F15F">
            <w:pPr>
              <w:autoSpaceDE w:val="0"/>
              <w:autoSpaceDN w:val="0"/>
              <w:ind w:left="190" w:leftChars="53" w:right="84" w:rightChars="40" w:hanging="79" w:hangingChars="38"/>
              <w:jc w:val="center"/>
              <w:rPr>
                <w:rFonts w:ascii="宋体" w:hAnsi="宋体" w:cs="宋体"/>
                <w:bCs/>
                <w:color w:val="auto"/>
                <w:kern w:val="0"/>
                <w:sz w:val="21"/>
                <w:szCs w:val="21"/>
              </w:rPr>
            </w:pPr>
          </w:p>
          <w:p w14:paraId="1B20645E">
            <w:pPr>
              <w:autoSpaceDE w:val="0"/>
              <w:autoSpaceDN w:val="0"/>
              <w:ind w:left="190" w:leftChars="53" w:right="84" w:rightChars="40" w:hanging="79" w:hangingChars="38"/>
              <w:jc w:val="center"/>
              <w:rPr>
                <w:rFonts w:ascii="宋体" w:hAnsi="宋体" w:cs="宋体"/>
                <w:bCs/>
                <w:color w:val="auto"/>
                <w:kern w:val="0"/>
                <w:sz w:val="21"/>
                <w:szCs w:val="21"/>
              </w:rPr>
            </w:pPr>
          </w:p>
          <w:p w14:paraId="7095F494">
            <w:pPr>
              <w:autoSpaceDE w:val="0"/>
              <w:autoSpaceDN w:val="0"/>
              <w:ind w:left="190" w:leftChars="53" w:right="84" w:rightChars="40" w:hanging="79" w:hangingChars="38"/>
              <w:jc w:val="center"/>
              <w:rPr>
                <w:rFonts w:ascii="宋体" w:hAnsi="宋体" w:cs="宋体"/>
                <w:bCs/>
                <w:color w:val="auto"/>
                <w:kern w:val="0"/>
                <w:sz w:val="21"/>
                <w:szCs w:val="21"/>
              </w:rPr>
            </w:pPr>
          </w:p>
          <w:p w14:paraId="41254036">
            <w:pPr>
              <w:autoSpaceDE w:val="0"/>
              <w:autoSpaceDN w:val="0"/>
              <w:ind w:left="190" w:leftChars="53" w:right="84" w:rightChars="40" w:hanging="79" w:hangingChars="38"/>
              <w:jc w:val="center"/>
              <w:rPr>
                <w:rFonts w:ascii="宋体" w:hAnsi="宋体" w:cs="宋体"/>
                <w:bCs/>
                <w:color w:val="auto"/>
                <w:kern w:val="0"/>
                <w:sz w:val="21"/>
                <w:szCs w:val="21"/>
              </w:rPr>
            </w:pPr>
          </w:p>
          <w:p w14:paraId="5CEBA158">
            <w:pPr>
              <w:autoSpaceDE w:val="0"/>
              <w:autoSpaceDN w:val="0"/>
              <w:ind w:left="190" w:leftChars="53" w:right="84" w:rightChars="40" w:hanging="79" w:hangingChars="38"/>
              <w:jc w:val="center"/>
              <w:rPr>
                <w:b/>
                <w:bCs/>
                <w:color w:val="auto"/>
                <w:sz w:val="21"/>
                <w:szCs w:val="21"/>
              </w:rPr>
            </w:pPr>
            <w:r>
              <w:rPr>
                <w:rFonts w:hint="eastAsia" w:ascii="宋体" w:hAnsi="宋体" w:cs="宋体"/>
                <w:bCs/>
                <w:color w:val="auto"/>
                <w:kern w:val="0"/>
                <w:sz w:val="21"/>
                <w:szCs w:val="21"/>
              </w:rPr>
              <w:t>交通管理</w:t>
            </w:r>
            <w:r>
              <w:rPr>
                <w:rFonts w:hint="eastAsia" w:ascii="宋体" w:hAnsi="宋体" w:cs="宋体"/>
                <w:bCs/>
                <w:color w:val="auto"/>
                <w:spacing w:val="-20"/>
                <w:kern w:val="0"/>
                <w:sz w:val="21"/>
                <w:szCs w:val="21"/>
              </w:rPr>
              <w:t>（15分）</w:t>
            </w:r>
          </w:p>
        </w:tc>
        <w:tc>
          <w:tcPr>
            <w:tcW w:w="3195" w:type="dxa"/>
            <w:noWrap w:val="0"/>
            <w:vAlign w:val="center"/>
          </w:tcPr>
          <w:p w14:paraId="45770A7C">
            <w:pPr>
              <w:autoSpaceDE w:val="0"/>
              <w:autoSpaceDN w:val="0"/>
              <w:spacing w:line="340" w:lineRule="exact"/>
              <w:ind w:left="71" w:right="65" w:rightChars="31"/>
              <w:jc w:val="center"/>
              <w:rPr>
                <w:b/>
                <w:bCs/>
                <w:color w:val="auto"/>
                <w:sz w:val="21"/>
                <w:szCs w:val="21"/>
              </w:rPr>
            </w:pPr>
            <w:r>
              <w:rPr>
                <w:rFonts w:hint="eastAsia" w:ascii="宋体" w:hAnsi="宋体" w:cs="宋体"/>
                <w:color w:val="auto"/>
                <w:kern w:val="0"/>
                <w:sz w:val="21"/>
                <w:szCs w:val="21"/>
              </w:rPr>
              <w:t>1、有专人专岗管理，进出口有专人值班，维护好院内停车秩序；车辆停放整齐，场地整洁，交通畅通。严禁违规停车，发现拥堵及时疏导。有交通突发情况应对预案，处置得力。确保院内停车秩序，维护好院内道路畅通和停车安全。</w:t>
            </w:r>
          </w:p>
        </w:tc>
        <w:tc>
          <w:tcPr>
            <w:tcW w:w="600" w:type="dxa"/>
            <w:gridSpan w:val="2"/>
            <w:noWrap w:val="0"/>
            <w:vAlign w:val="center"/>
          </w:tcPr>
          <w:p w14:paraId="39BDA1EF">
            <w:pPr>
              <w:autoSpaceDE w:val="0"/>
              <w:autoSpaceDN w:val="0"/>
              <w:spacing w:line="340" w:lineRule="exact"/>
              <w:ind w:right="31"/>
              <w:jc w:val="center"/>
              <w:rPr>
                <w:b/>
                <w:bCs/>
                <w:color w:val="auto"/>
                <w:sz w:val="21"/>
                <w:szCs w:val="21"/>
              </w:rPr>
            </w:pPr>
            <w:r>
              <w:rPr>
                <w:rFonts w:hint="eastAsia" w:ascii="宋体" w:hAnsi="宋体" w:cs="宋体"/>
                <w:color w:val="auto"/>
                <w:kern w:val="0"/>
                <w:sz w:val="21"/>
                <w:szCs w:val="21"/>
              </w:rPr>
              <w:t>10分</w:t>
            </w:r>
          </w:p>
        </w:tc>
        <w:tc>
          <w:tcPr>
            <w:tcW w:w="2940" w:type="dxa"/>
            <w:noWrap w:val="0"/>
            <w:vAlign w:val="center"/>
          </w:tcPr>
          <w:p w14:paraId="5F0FD799">
            <w:pPr>
              <w:autoSpaceDE w:val="0"/>
              <w:autoSpaceDN w:val="0"/>
              <w:spacing w:line="340" w:lineRule="exact"/>
              <w:ind w:left="84" w:leftChars="40" w:right="69" w:rightChars="33"/>
              <w:jc w:val="center"/>
              <w:rPr>
                <w:b/>
                <w:bCs/>
                <w:color w:val="auto"/>
                <w:sz w:val="21"/>
                <w:szCs w:val="21"/>
              </w:rPr>
            </w:pPr>
            <w:r>
              <w:rPr>
                <w:rFonts w:hint="eastAsia" w:ascii="宋体" w:hAnsi="宋体" w:cs="宋体"/>
                <w:color w:val="auto"/>
                <w:kern w:val="0"/>
                <w:sz w:val="21"/>
                <w:szCs w:val="21"/>
              </w:rPr>
              <w:t>消防通道、急救通道及严禁停车的区段发现停车或乱停乱放每辆次扣1分，因交通管理不力造成拥堵及突发情况处置不力每次扣2分，发生有责投诉每起扣2-5分，并追究相应责任。</w:t>
            </w:r>
          </w:p>
        </w:tc>
        <w:tc>
          <w:tcPr>
            <w:tcW w:w="735" w:type="dxa"/>
            <w:noWrap w:val="0"/>
            <w:vAlign w:val="center"/>
          </w:tcPr>
          <w:p w14:paraId="0C074A91">
            <w:pPr>
              <w:widowControl/>
              <w:jc w:val="center"/>
              <w:rPr>
                <w:rFonts w:ascii="宋体" w:hAnsi="宋体" w:cs="宋体"/>
                <w:color w:val="auto"/>
                <w:kern w:val="0"/>
                <w:sz w:val="21"/>
                <w:szCs w:val="21"/>
              </w:rPr>
            </w:pPr>
          </w:p>
          <w:p w14:paraId="31A9DC3E">
            <w:pPr>
              <w:widowControl/>
              <w:jc w:val="center"/>
              <w:rPr>
                <w:rFonts w:ascii="宋体" w:hAnsi="宋体" w:cs="宋体"/>
                <w:color w:val="auto"/>
                <w:kern w:val="0"/>
                <w:sz w:val="21"/>
                <w:szCs w:val="21"/>
              </w:rPr>
            </w:pPr>
          </w:p>
          <w:p w14:paraId="3EA16E1A">
            <w:pPr>
              <w:widowControl/>
              <w:jc w:val="center"/>
              <w:rPr>
                <w:rFonts w:ascii="宋体" w:hAnsi="宋体" w:cs="宋体"/>
                <w:color w:val="auto"/>
                <w:kern w:val="0"/>
                <w:sz w:val="21"/>
                <w:szCs w:val="21"/>
              </w:rPr>
            </w:pPr>
          </w:p>
          <w:p w14:paraId="50837CE6">
            <w:pPr>
              <w:widowControl/>
              <w:jc w:val="center"/>
              <w:rPr>
                <w:rFonts w:ascii="宋体" w:hAnsi="宋体" w:cs="宋体"/>
                <w:color w:val="auto"/>
                <w:kern w:val="0"/>
                <w:sz w:val="21"/>
                <w:szCs w:val="21"/>
              </w:rPr>
            </w:pPr>
          </w:p>
          <w:p w14:paraId="24AFF837">
            <w:pPr>
              <w:autoSpaceDE w:val="0"/>
              <w:autoSpaceDN w:val="0"/>
              <w:spacing w:line="340" w:lineRule="exact"/>
              <w:ind w:right="69" w:rightChars="33"/>
              <w:jc w:val="center"/>
              <w:rPr>
                <w:b/>
                <w:bCs/>
                <w:color w:val="auto"/>
                <w:sz w:val="21"/>
                <w:szCs w:val="21"/>
              </w:rPr>
            </w:pPr>
          </w:p>
        </w:tc>
        <w:tc>
          <w:tcPr>
            <w:tcW w:w="845" w:type="dxa"/>
            <w:noWrap w:val="0"/>
            <w:vAlign w:val="top"/>
          </w:tcPr>
          <w:p w14:paraId="2045683B">
            <w:pPr>
              <w:jc w:val="center"/>
              <w:rPr>
                <w:b/>
                <w:bCs/>
                <w:color w:val="auto"/>
                <w:sz w:val="21"/>
                <w:szCs w:val="21"/>
              </w:rPr>
            </w:pPr>
          </w:p>
        </w:tc>
      </w:tr>
      <w:tr w14:paraId="3387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415" w:type="dxa"/>
            <w:vMerge w:val="continue"/>
            <w:noWrap w:val="0"/>
            <w:vAlign w:val="top"/>
          </w:tcPr>
          <w:p w14:paraId="65993010">
            <w:pPr>
              <w:jc w:val="center"/>
              <w:rPr>
                <w:b/>
                <w:bCs/>
                <w:color w:val="auto"/>
                <w:sz w:val="21"/>
                <w:szCs w:val="21"/>
              </w:rPr>
            </w:pPr>
          </w:p>
        </w:tc>
        <w:tc>
          <w:tcPr>
            <w:tcW w:w="3195" w:type="dxa"/>
            <w:noWrap w:val="0"/>
            <w:vAlign w:val="center"/>
          </w:tcPr>
          <w:p w14:paraId="0275D7ED">
            <w:pPr>
              <w:autoSpaceDE w:val="0"/>
              <w:autoSpaceDN w:val="0"/>
              <w:spacing w:line="340" w:lineRule="exact"/>
              <w:ind w:left="69" w:right="65" w:rightChars="31"/>
              <w:jc w:val="center"/>
              <w:rPr>
                <w:b/>
                <w:bCs/>
                <w:color w:val="auto"/>
                <w:sz w:val="21"/>
                <w:szCs w:val="21"/>
              </w:rPr>
            </w:pPr>
            <w:r>
              <w:rPr>
                <w:rFonts w:hint="eastAsia" w:ascii="宋体" w:hAnsi="宋体" w:cs="宋体"/>
                <w:color w:val="auto"/>
                <w:kern w:val="0"/>
                <w:sz w:val="21"/>
                <w:szCs w:val="21"/>
              </w:rPr>
              <w:t>2、非机动车辆集中停放，管理制度落实，停车场车辆停放整齐，场地整洁，确保安全，严防损坏丢失；加强电瓶车充电安全管理，禁止私拉乱接电源及其他违章用电现象。</w:t>
            </w:r>
          </w:p>
        </w:tc>
        <w:tc>
          <w:tcPr>
            <w:tcW w:w="600" w:type="dxa"/>
            <w:gridSpan w:val="2"/>
            <w:noWrap w:val="0"/>
            <w:vAlign w:val="center"/>
          </w:tcPr>
          <w:p w14:paraId="7CC5D880">
            <w:pPr>
              <w:autoSpaceDE w:val="0"/>
              <w:autoSpaceDN w:val="0"/>
              <w:spacing w:line="340" w:lineRule="exact"/>
              <w:ind w:right="31"/>
              <w:jc w:val="center"/>
              <w:rPr>
                <w:b/>
                <w:bCs/>
                <w:color w:val="auto"/>
                <w:sz w:val="21"/>
                <w:szCs w:val="21"/>
              </w:rPr>
            </w:pPr>
            <w:r>
              <w:rPr>
                <w:rFonts w:hint="eastAsia" w:ascii="宋体" w:hAnsi="宋体" w:cs="宋体"/>
                <w:color w:val="auto"/>
                <w:kern w:val="0"/>
                <w:sz w:val="21"/>
                <w:szCs w:val="21"/>
              </w:rPr>
              <w:t>5分</w:t>
            </w:r>
          </w:p>
        </w:tc>
        <w:tc>
          <w:tcPr>
            <w:tcW w:w="2940" w:type="dxa"/>
            <w:noWrap w:val="0"/>
            <w:vAlign w:val="center"/>
          </w:tcPr>
          <w:p w14:paraId="3D4F70B6">
            <w:pPr>
              <w:autoSpaceDE w:val="0"/>
              <w:autoSpaceDN w:val="0"/>
              <w:spacing w:line="340" w:lineRule="exact"/>
              <w:ind w:left="84" w:leftChars="40" w:right="69" w:rightChars="33"/>
              <w:jc w:val="center"/>
              <w:rPr>
                <w:b/>
                <w:bCs/>
                <w:color w:val="auto"/>
                <w:sz w:val="21"/>
                <w:szCs w:val="21"/>
              </w:rPr>
            </w:pPr>
            <w:r>
              <w:rPr>
                <w:rFonts w:hint="eastAsia" w:ascii="宋体" w:hAnsi="宋体" w:cs="宋体"/>
                <w:color w:val="auto"/>
                <w:kern w:val="0"/>
                <w:sz w:val="21"/>
                <w:szCs w:val="21"/>
              </w:rPr>
              <w:t>停车场车辆停放整齐次序零乱，场地卫生不整洁的每发现一次扣</w:t>
            </w:r>
            <w:r>
              <w:rPr>
                <w:rFonts w:ascii="宋体" w:hAnsi="宋体" w:cs="宋体"/>
                <w:color w:val="auto"/>
                <w:kern w:val="0"/>
                <w:sz w:val="21"/>
                <w:szCs w:val="21"/>
              </w:rPr>
              <w:t>1</w:t>
            </w:r>
            <w:r>
              <w:rPr>
                <w:rFonts w:hint="eastAsia" w:ascii="宋体" w:hAnsi="宋体" w:cs="宋体"/>
                <w:color w:val="auto"/>
                <w:kern w:val="0"/>
                <w:sz w:val="21"/>
                <w:szCs w:val="21"/>
              </w:rPr>
              <w:t>分，监管不到位的，扣2分，私拉乱接电源现象每起扣2分，并承担由于管理失职造成事故责任。</w:t>
            </w:r>
          </w:p>
        </w:tc>
        <w:tc>
          <w:tcPr>
            <w:tcW w:w="735" w:type="dxa"/>
            <w:noWrap w:val="0"/>
            <w:vAlign w:val="center"/>
          </w:tcPr>
          <w:p w14:paraId="63F0E297">
            <w:pPr>
              <w:widowControl/>
              <w:jc w:val="center"/>
              <w:rPr>
                <w:rFonts w:ascii="宋体" w:hAnsi="宋体" w:cs="宋体"/>
                <w:color w:val="auto"/>
                <w:kern w:val="0"/>
                <w:sz w:val="21"/>
                <w:szCs w:val="21"/>
              </w:rPr>
            </w:pPr>
          </w:p>
          <w:p w14:paraId="6FA15E09">
            <w:pPr>
              <w:widowControl/>
              <w:jc w:val="center"/>
              <w:rPr>
                <w:rFonts w:ascii="宋体" w:hAnsi="宋体" w:cs="宋体"/>
                <w:color w:val="auto"/>
                <w:kern w:val="0"/>
                <w:sz w:val="21"/>
                <w:szCs w:val="21"/>
              </w:rPr>
            </w:pPr>
          </w:p>
          <w:p w14:paraId="262294EE">
            <w:pPr>
              <w:widowControl/>
              <w:jc w:val="center"/>
              <w:rPr>
                <w:rFonts w:ascii="宋体" w:hAnsi="宋体" w:cs="宋体"/>
                <w:color w:val="auto"/>
                <w:kern w:val="0"/>
                <w:sz w:val="21"/>
                <w:szCs w:val="21"/>
              </w:rPr>
            </w:pPr>
          </w:p>
          <w:p w14:paraId="5EA48335">
            <w:pPr>
              <w:autoSpaceDE w:val="0"/>
              <w:autoSpaceDN w:val="0"/>
              <w:spacing w:line="340" w:lineRule="exact"/>
              <w:ind w:right="69" w:rightChars="33"/>
              <w:jc w:val="center"/>
              <w:rPr>
                <w:b/>
                <w:bCs/>
                <w:color w:val="auto"/>
                <w:sz w:val="21"/>
                <w:szCs w:val="21"/>
              </w:rPr>
            </w:pPr>
          </w:p>
        </w:tc>
        <w:tc>
          <w:tcPr>
            <w:tcW w:w="845" w:type="dxa"/>
            <w:noWrap w:val="0"/>
            <w:vAlign w:val="top"/>
          </w:tcPr>
          <w:p w14:paraId="1A588B9E">
            <w:pPr>
              <w:jc w:val="center"/>
              <w:rPr>
                <w:b/>
                <w:bCs/>
                <w:color w:val="auto"/>
                <w:sz w:val="21"/>
                <w:szCs w:val="21"/>
              </w:rPr>
            </w:pPr>
          </w:p>
        </w:tc>
      </w:tr>
      <w:tr w14:paraId="6BAC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1415" w:type="dxa"/>
            <w:vMerge w:val="restart"/>
            <w:noWrap w:val="0"/>
            <w:vAlign w:val="top"/>
          </w:tcPr>
          <w:p w14:paraId="362E23EE">
            <w:pPr>
              <w:autoSpaceDE w:val="0"/>
              <w:autoSpaceDN w:val="0"/>
              <w:ind w:left="190" w:leftChars="53" w:right="84" w:rightChars="40" w:hanging="79" w:hangingChars="38"/>
              <w:jc w:val="center"/>
              <w:rPr>
                <w:rFonts w:ascii="宋体" w:hAnsi="宋体" w:cs="宋体"/>
                <w:bCs/>
                <w:color w:val="auto"/>
                <w:kern w:val="0"/>
                <w:sz w:val="21"/>
                <w:szCs w:val="21"/>
              </w:rPr>
            </w:pPr>
          </w:p>
          <w:p w14:paraId="77F49F3E">
            <w:pPr>
              <w:autoSpaceDE w:val="0"/>
              <w:autoSpaceDN w:val="0"/>
              <w:ind w:left="190" w:leftChars="53" w:right="84" w:rightChars="40" w:hanging="79" w:hangingChars="38"/>
              <w:jc w:val="center"/>
              <w:rPr>
                <w:rFonts w:ascii="宋体" w:hAnsi="宋体" w:cs="宋体"/>
                <w:bCs/>
                <w:color w:val="auto"/>
                <w:kern w:val="0"/>
                <w:sz w:val="21"/>
                <w:szCs w:val="21"/>
              </w:rPr>
            </w:pPr>
          </w:p>
          <w:p w14:paraId="57AB89D0">
            <w:pPr>
              <w:autoSpaceDE w:val="0"/>
              <w:autoSpaceDN w:val="0"/>
              <w:ind w:left="190" w:leftChars="53" w:right="84" w:rightChars="40" w:hanging="79" w:hangingChars="38"/>
              <w:jc w:val="center"/>
              <w:rPr>
                <w:rFonts w:ascii="宋体" w:hAnsi="宋体" w:cs="宋体"/>
                <w:bCs/>
                <w:color w:val="auto"/>
                <w:kern w:val="0"/>
                <w:sz w:val="21"/>
                <w:szCs w:val="21"/>
              </w:rPr>
            </w:pPr>
          </w:p>
          <w:p w14:paraId="2CB2D5CA">
            <w:pPr>
              <w:autoSpaceDE w:val="0"/>
              <w:autoSpaceDN w:val="0"/>
              <w:ind w:left="190" w:leftChars="53" w:right="84" w:rightChars="40" w:hanging="79" w:hangingChars="38"/>
              <w:jc w:val="center"/>
              <w:rPr>
                <w:rFonts w:ascii="宋体" w:hAnsi="宋体" w:cs="宋体"/>
                <w:bCs/>
                <w:color w:val="auto"/>
                <w:kern w:val="0"/>
                <w:sz w:val="21"/>
                <w:szCs w:val="21"/>
              </w:rPr>
            </w:pPr>
          </w:p>
          <w:p w14:paraId="63DDAACA">
            <w:pPr>
              <w:autoSpaceDE w:val="0"/>
              <w:autoSpaceDN w:val="0"/>
              <w:ind w:left="190" w:leftChars="53" w:right="84" w:rightChars="40" w:hanging="79" w:hangingChars="38"/>
              <w:jc w:val="center"/>
              <w:rPr>
                <w:rFonts w:ascii="宋体" w:hAnsi="宋体" w:cs="宋体"/>
                <w:bCs/>
                <w:color w:val="auto"/>
                <w:kern w:val="0"/>
                <w:sz w:val="21"/>
                <w:szCs w:val="21"/>
              </w:rPr>
            </w:pPr>
          </w:p>
          <w:p w14:paraId="070A1298">
            <w:pPr>
              <w:autoSpaceDE w:val="0"/>
              <w:autoSpaceDN w:val="0"/>
              <w:ind w:left="190" w:leftChars="53" w:right="84" w:rightChars="40" w:hanging="79" w:hangingChars="38"/>
              <w:jc w:val="center"/>
              <w:rPr>
                <w:b/>
                <w:bCs/>
                <w:color w:val="auto"/>
                <w:sz w:val="21"/>
                <w:szCs w:val="21"/>
              </w:rPr>
            </w:pPr>
            <w:r>
              <w:rPr>
                <w:rFonts w:hint="eastAsia" w:ascii="宋体" w:hAnsi="宋体" w:cs="宋体"/>
                <w:bCs/>
                <w:color w:val="auto"/>
                <w:kern w:val="0"/>
                <w:sz w:val="21"/>
                <w:szCs w:val="21"/>
              </w:rPr>
              <w:t>消防管理</w:t>
            </w:r>
            <w:r>
              <w:rPr>
                <w:rFonts w:hint="eastAsia" w:ascii="宋体" w:hAnsi="宋体" w:cs="宋体"/>
                <w:bCs/>
                <w:color w:val="auto"/>
                <w:spacing w:val="-20"/>
                <w:w w:val="90"/>
                <w:kern w:val="0"/>
                <w:sz w:val="21"/>
                <w:szCs w:val="21"/>
              </w:rPr>
              <w:t>（  20分）</w:t>
            </w:r>
          </w:p>
        </w:tc>
        <w:tc>
          <w:tcPr>
            <w:tcW w:w="3195" w:type="dxa"/>
            <w:noWrap w:val="0"/>
            <w:vAlign w:val="center"/>
          </w:tcPr>
          <w:p w14:paraId="57D4344A">
            <w:pPr>
              <w:autoSpaceDE w:val="0"/>
              <w:autoSpaceDN w:val="0"/>
              <w:spacing w:line="340" w:lineRule="exact"/>
              <w:ind w:left="69" w:right="65" w:rightChars="31"/>
              <w:jc w:val="center"/>
              <w:rPr>
                <w:b/>
                <w:bCs/>
                <w:color w:val="auto"/>
                <w:sz w:val="21"/>
                <w:szCs w:val="21"/>
              </w:rPr>
            </w:pPr>
            <w:r>
              <w:rPr>
                <w:rFonts w:hint="eastAsia" w:ascii="宋体" w:hAnsi="宋体" w:cs="宋体"/>
                <w:color w:val="auto"/>
                <w:kern w:val="0"/>
                <w:sz w:val="21"/>
                <w:szCs w:val="21"/>
              </w:rPr>
              <w:t>1、组织开展消防法规及消防知识的宣传教育，明确各区域防火责任人年度有消防培训计划、演练方案，有落实措施，并建立健全消防档案。配合院方开展各类消防安全培训和演练活动。</w:t>
            </w:r>
          </w:p>
        </w:tc>
        <w:tc>
          <w:tcPr>
            <w:tcW w:w="600" w:type="dxa"/>
            <w:gridSpan w:val="2"/>
            <w:noWrap w:val="0"/>
            <w:vAlign w:val="center"/>
          </w:tcPr>
          <w:p w14:paraId="727A1596">
            <w:pPr>
              <w:autoSpaceDE w:val="0"/>
              <w:autoSpaceDN w:val="0"/>
              <w:spacing w:line="340" w:lineRule="exact"/>
              <w:ind w:right="31"/>
              <w:jc w:val="center"/>
              <w:rPr>
                <w:b/>
                <w:bCs/>
                <w:color w:val="auto"/>
                <w:sz w:val="21"/>
                <w:szCs w:val="21"/>
              </w:rPr>
            </w:pPr>
            <w:r>
              <w:rPr>
                <w:rFonts w:hint="eastAsia" w:ascii="宋体" w:hAnsi="宋体" w:cs="宋体"/>
                <w:color w:val="auto"/>
                <w:kern w:val="0"/>
                <w:sz w:val="21"/>
                <w:szCs w:val="21"/>
              </w:rPr>
              <w:t>10分</w:t>
            </w:r>
          </w:p>
        </w:tc>
        <w:tc>
          <w:tcPr>
            <w:tcW w:w="2940" w:type="dxa"/>
            <w:noWrap w:val="0"/>
            <w:vAlign w:val="center"/>
          </w:tcPr>
          <w:p w14:paraId="7DB8898D">
            <w:pPr>
              <w:autoSpaceDE w:val="0"/>
              <w:autoSpaceDN w:val="0"/>
              <w:spacing w:line="340" w:lineRule="exact"/>
              <w:ind w:left="84" w:leftChars="40" w:right="69" w:rightChars="33"/>
              <w:jc w:val="center"/>
              <w:rPr>
                <w:b/>
                <w:bCs/>
                <w:color w:val="auto"/>
                <w:sz w:val="21"/>
                <w:szCs w:val="21"/>
              </w:rPr>
            </w:pPr>
            <w:r>
              <w:rPr>
                <w:rFonts w:hint="eastAsia" w:ascii="宋体" w:hAnsi="宋体" w:cs="宋体"/>
                <w:color w:val="auto"/>
                <w:kern w:val="0"/>
                <w:sz w:val="21"/>
                <w:szCs w:val="21"/>
              </w:rPr>
              <w:t>责任人不明确，一处扣2分，员工不了解安全防火应知应会，每人次扣</w:t>
            </w:r>
            <w:r>
              <w:rPr>
                <w:rFonts w:ascii="宋体" w:hAnsi="宋体" w:cs="宋体"/>
                <w:color w:val="auto"/>
                <w:kern w:val="0"/>
                <w:sz w:val="21"/>
                <w:szCs w:val="21"/>
              </w:rPr>
              <w:t>1</w:t>
            </w:r>
            <w:r>
              <w:rPr>
                <w:rFonts w:hint="eastAsia" w:ascii="宋体" w:hAnsi="宋体" w:cs="宋体"/>
                <w:color w:val="auto"/>
                <w:kern w:val="0"/>
                <w:sz w:val="21"/>
                <w:szCs w:val="21"/>
              </w:rPr>
              <w:t>分。消防设施操作不熟练，每人次扣1分，消防培训计划、方案、措施不全，每项扣2分。</w:t>
            </w:r>
          </w:p>
        </w:tc>
        <w:tc>
          <w:tcPr>
            <w:tcW w:w="735" w:type="dxa"/>
            <w:noWrap w:val="0"/>
            <w:vAlign w:val="center"/>
          </w:tcPr>
          <w:p w14:paraId="5669C119">
            <w:pPr>
              <w:widowControl/>
              <w:jc w:val="center"/>
              <w:rPr>
                <w:rFonts w:ascii="宋体" w:hAnsi="宋体" w:cs="宋体"/>
                <w:color w:val="auto"/>
                <w:kern w:val="0"/>
                <w:sz w:val="21"/>
                <w:szCs w:val="21"/>
              </w:rPr>
            </w:pPr>
          </w:p>
          <w:p w14:paraId="113C569C">
            <w:pPr>
              <w:widowControl/>
              <w:jc w:val="center"/>
              <w:rPr>
                <w:rFonts w:ascii="宋体" w:hAnsi="宋体" w:cs="宋体"/>
                <w:color w:val="auto"/>
                <w:kern w:val="0"/>
                <w:sz w:val="21"/>
                <w:szCs w:val="21"/>
              </w:rPr>
            </w:pPr>
          </w:p>
          <w:p w14:paraId="574993A6">
            <w:pPr>
              <w:widowControl/>
              <w:jc w:val="center"/>
              <w:rPr>
                <w:rFonts w:ascii="宋体" w:hAnsi="宋体" w:cs="宋体"/>
                <w:color w:val="auto"/>
                <w:kern w:val="0"/>
                <w:sz w:val="21"/>
                <w:szCs w:val="21"/>
              </w:rPr>
            </w:pPr>
          </w:p>
          <w:p w14:paraId="568C6E31">
            <w:pPr>
              <w:autoSpaceDE w:val="0"/>
              <w:autoSpaceDN w:val="0"/>
              <w:spacing w:line="340" w:lineRule="exact"/>
              <w:ind w:right="69" w:rightChars="33"/>
              <w:jc w:val="center"/>
              <w:rPr>
                <w:b/>
                <w:bCs/>
                <w:color w:val="auto"/>
                <w:sz w:val="21"/>
                <w:szCs w:val="21"/>
              </w:rPr>
            </w:pPr>
          </w:p>
        </w:tc>
        <w:tc>
          <w:tcPr>
            <w:tcW w:w="845" w:type="dxa"/>
            <w:noWrap w:val="0"/>
            <w:vAlign w:val="top"/>
          </w:tcPr>
          <w:p w14:paraId="3B87F2DC">
            <w:pPr>
              <w:jc w:val="center"/>
              <w:rPr>
                <w:b/>
                <w:bCs/>
                <w:color w:val="auto"/>
                <w:sz w:val="21"/>
                <w:szCs w:val="21"/>
              </w:rPr>
            </w:pPr>
          </w:p>
        </w:tc>
      </w:tr>
      <w:tr w14:paraId="0A5A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1415" w:type="dxa"/>
            <w:vMerge w:val="continue"/>
            <w:noWrap w:val="0"/>
            <w:vAlign w:val="top"/>
          </w:tcPr>
          <w:p w14:paraId="078D47F5">
            <w:pPr>
              <w:jc w:val="center"/>
              <w:rPr>
                <w:b/>
                <w:bCs/>
                <w:color w:val="auto"/>
                <w:sz w:val="21"/>
                <w:szCs w:val="21"/>
              </w:rPr>
            </w:pPr>
          </w:p>
        </w:tc>
        <w:tc>
          <w:tcPr>
            <w:tcW w:w="3195" w:type="dxa"/>
            <w:noWrap w:val="0"/>
            <w:vAlign w:val="center"/>
          </w:tcPr>
          <w:p w14:paraId="5A48714B">
            <w:pPr>
              <w:spacing w:line="340" w:lineRule="exact"/>
              <w:jc w:val="center"/>
              <w:rPr>
                <w:b/>
                <w:bCs/>
                <w:color w:val="auto"/>
                <w:sz w:val="21"/>
                <w:szCs w:val="21"/>
              </w:rPr>
            </w:pPr>
            <w:r>
              <w:rPr>
                <w:rFonts w:hint="eastAsia" w:ascii="宋体" w:hAnsi="宋体" w:cs="宋体"/>
                <w:color w:val="auto"/>
                <w:kern w:val="0"/>
                <w:sz w:val="21"/>
                <w:szCs w:val="21"/>
              </w:rPr>
              <w:t>2、严格执行消防工作管理制度，积极巡查，及时正确处理出现的问题。如实填写工作记录，设备使用情况清楚，工作制度、规定、程序，健全各种险情应急方案，确保现场消防设施正常运行，状态良好。无事故、无火灾。</w:t>
            </w:r>
          </w:p>
        </w:tc>
        <w:tc>
          <w:tcPr>
            <w:tcW w:w="600" w:type="dxa"/>
            <w:gridSpan w:val="2"/>
            <w:noWrap w:val="0"/>
            <w:vAlign w:val="center"/>
          </w:tcPr>
          <w:p w14:paraId="73391DFA">
            <w:pPr>
              <w:autoSpaceDE w:val="0"/>
              <w:autoSpaceDN w:val="0"/>
              <w:spacing w:line="340" w:lineRule="exact"/>
              <w:ind w:right="31"/>
              <w:jc w:val="center"/>
              <w:rPr>
                <w:b/>
                <w:bCs/>
                <w:color w:val="auto"/>
                <w:sz w:val="21"/>
                <w:szCs w:val="21"/>
              </w:rPr>
            </w:pPr>
            <w:r>
              <w:rPr>
                <w:rFonts w:hint="eastAsia" w:ascii="宋体" w:hAnsi="宋体" w:cs="宋体"/>
                <w:color w:val="auto"/>
                <w:kern w:val="0"/>
                <w:sz w:val="21"/>
                <w:szCs w:val="21"/>
              </w:rPr>
              <w:t>10分</w:t>
            </w:r>
          </w:p>
        </w:tc>
        <w:tc>
          <w:tcPr>
            <w:tcW w:w="2940" w:type="dxa"/>
            <w:noWrap w:val="0"/>
            <w:vAlign w:val="center"/>
          </w:tcPr>
          <w:p w14:paraId="25A7BC94">
            <w:pPr>
              <w:autoSpaceDE w:val="0"/>
              <w:autoSpaceDN w:val="0"/>
              <w:spacing w:line="340" w:lineRule="exact"/>
              <w:ind w:left="84" w:leftChars="40" w:right="69" w:rightChars="33"/>
              <w:jc w:val="center"/>
              <w:rPr>
                <w:b/>
                <w:bCs/>
                <w:color w:val="auto"/>
                <w:sz w:val="21"/>
                <w:szCs w:val="21"/>
              </w:rPr>
            </w:pPr>
            <w:r>
              <w:rPr>
                <w:rFonts w:hint="eastAsia" w:ascii="宋体" w:hAnsi="宋体" w:cs="宋体"/>
                <w:color w:val="auto"/>
                <w:kern w:val="0"/>
                <w:sz w:val="21"/>
                <w:szCs w:val="21"/>
              </w:rPr>
              <w:t>制度、方案不健全每项扣2分，记录不准确、检查不准时扣2分，未及时发现消防设备缺损、过期，不熟悉应急方案，未按规定履行职责，每次扣2分，造成有责事故扣完分，造成重大火灾事故一票否决，并追究相应法律责任。</w:t>
            </w:r>
          </w:p>
        </w:tc>
        <w:tc>
          <w:tcPr>
            <w:tcW w:w="735" w:type="dxa"/>
            <w:noWrap w:val="0"/>
            <w:vAlign w:val="center"/>
          </w:tcPr>
          <w:p w14:paraId="51A4CE21">
            <w:pPr>
              <w:widowControl/>
              <w:jc w:val="center"/>
              <w:rPr>
                <w:rFonts w:ascii="宋体" w:hAnsi="宋体" w:cs="宋体"/>
                <w:color w:val="auto"/>
                <w:kern w:val="0"/>
                <w:sz w:val="21"/>
                <w:szCs w:val="21"/>
              </w:rPr>
            </w:pPr>
          </w:p>
          <w:p w14:paraId="1BE4C745">
            <w:pPr>
              <w:widowControl/>
              <w:jc w:val="center"/>
              <w:rPr>
                <w:rFonts w:ascii="宋体" w:hAnsi="宋体" w:cs="宋体"/>
                <w:color w:val="auto"/>
                <w:kern w:val="0"/>
                <w:sz w:val="21"/>
                <w:szCs w:val="21"/>
              </w:rPr>
            </w:pPr>
          </w:p>
          <w:p w14:paraId="5546C397">
            <w:pPr>
              <w:widowControl/>
              <w:jc w:val="center"/>
              <w:rPr>
                <w:rFonts w:ascii="宋体" w:hAnsi="宋体" w:cs="宋体"/>
                <w:color w:val="auto"/>
                <w:kern w:val="0"/>
                <w:sz w:val="21"/>
                <w:szCs w:val="21"/>
              </w:rPr>
            </w:pPr>
          </w:p>
          <w:p w14:paraId="2D0BC6AC">
            <w:pPr>
              <w:widowControl/>
              <w:jc w:val="center"/>
              <w:rPr>
                <w:rFonts w:ascii="宋体" w:hAnsi="宋体" w:cs="宋体"/>
                <w:color w:val="auto"/>
                <w:kern w:val="0"/>
                <w:sz w:val="21"/>
                <w:szCs w:val="21"/>
              </w:rPr>
            </w:pPr>
          </w:p>
          <w:p w14:paraId="4D7CCC38">
            <w:pPr>
              <w:widowControl/>
              <w:jc w:val="center"/>
              <w:rPr>
                <w:rFonts w:ascii="宋体" w:hAnsi="宋体" w:cs="宋体"/>
                <w:color w:val="auto"/>
                <w:kern w:val="0"/>
                <w:sz w:val="21"/>
                <w:szCs w:val="21"/>
              </w:rPr>
            </w:pPr>
          </w:p>
          <w:p w14:paraId="7BD55863">
            <w:pPr>
              <w:autoSpaceDE w:val="0"/>
              <w:autoSpaceDN w:val="0"/>
              <w:spacing w:line="340" w:lineRule="exact"/>
              <w:ind w:right="69" w:rightChars="33"/>
              <w:jc w:val="center"/>
              <w:rPr>
                <w:b/>
                <w:bCs/>
                <w:color w:val="auto"/>
                <w:sz w:val="21"/>
                <w:szCs w:val="21"/>
              </w:rPr>
            </w:pPr>
          </w:p>
        </w:tc>
        <w:tc>
          <w:tcPr>
            <w:tcW w:w="845" w:type="dxa"/>
            <w:noWrap w:val="0"/>
            <w:vAlign w:val="top"/>
          </w:tcPr>
          <w:p w14:paraId="3B1C3B02">
            <w:pPr>
              <w:jc w:val="center"/>
              <w:rPr>
                <w:b/>
                <w:bCs/>
                <w:color w:val="auto"/>
                <w:sz w:val="21"/>
                <w:szCs w:val="21"/>
              </w:rPr>
            </w:pPr>
          </w:p>
        </w:tc>
      </w:tr>
      <w:tr w14:paraId="5AED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415" w:type="dxa"/>
            <w:noWrap w:val="0"/>
            <w:vAlign w:val="top"/>
          </w:tcPr>
          <w:p w14:paraId="0C01D102">
            <w:pPr>
              <w:autoSpaceDE w:val="0"/>
              <w:autoSpaceDN w:val="0"/>
              <w:ind w:left="190" w:leftChars="53" w:right="84" w:rightChars="40" w:hanging="79" w:hangingChars="38"/>
              <w:jc w:val="center"/>
              <w:rPr>
                <w:color w:val="auto"/>
                <w:sz w:val="21"/>
                <w:szCs w:val="21"/>
              </w:rPr>
            </w:pPr>
          </w:p>
          <w:p w14:paraId="72718691">
            <w:pPr>
              <w:autoSpaceDE w:val="0"/>
              <w:autoSpaceDN w:val="0"/>
              <w:ind w:left="190" w:leftChars="53" w:right="84" w:rightChars="40" w:hanging="79" w:hangingChars="38"/>
              <w:jc w:val="center"/>
              <w:rPr>
                <w:color w:val="auto"/>
                <w:sz w:val="21"/>
                <w:szCs w:val="21"/>
              </w:rPr>
            </w:pPr>
            <w:r>
              <w:rPr>
                <w:rFonts w:hint="eastAsia"/>
                <w:color w:val="auto"/>
                <w:sz w:val="21"/>
                <w:szCs w:val="21"/>
              </w:rPr>
              <w:t>环境卫生</w:t>
            </w:r>
          </w:p>
          <w:p w14:paraId="1E1C6E26">
            <w:pPr>
              <w:autoSpaceDE w:val="0"/>
              <w:autoSpaceDN w:val="0"/>
              <w:ind w:left="190" w:leftChars="53" w:right="84" w:rightChars="40" w:hanging="79" w:hangingChars="38"/>
              <w:jc w:val="center"/>
              <w:rPr>
                <w:b/>
                <w:bCs/>
                <w:color w:val="auto"/>
                <w:sz w:val="21"/>
                <w:szCs w:val="21"/>
              </w:rPr>
            </w:pPr>
            <w:r>
              <w:rPr>
                <w:rFonts w:hint="eastAsia"/>
                <w:color w:val="auto"/>
                <w:sz w:val="21"/>
                <w:szCs w:val="21"/>
              </w:rPr>
              <w:t>（5分）</w:t>
            </w:r>
          </w:p>
        </w:tc>
        <w:tc>
          <w:tcPr>
            <w:tcW w:w="3195" w:type="dxa"/>
            <w:noWrap w:val="0"/>
            <w:vAlign w:val="center"/>
          </w:tcPr>
          <w:p w14:paraId="55F5FFF5">
            <w:pPr>
              <w:autoSpaceDE w:val="0"/>
              <w:autoSpaceDN w:val="0"/>
              <w:spacing w:line="340" w:lineRule="exact"/>
              <w:ind w:right="84" w:rightChars="40"/>
              <w:jc w:val="center"/>
              <w:rPr>
                <w:b/>
                <w:bCs/>
                <w:color w:val="auto"/>
                <w:sz w:val="21"/>
                <w:szCs w:val="21"/>
              </w:rPr>
            </w:pPr>
            <w:r>
              <w:rPr>
                <w:rFonts w:hint="eastAsia"/>
                <w:color w:val="auto"/>
                <w:sz w:val="21"/>
                <w:szCs w:val="21"/>
              </w:rPr>
              <w:t>随时保持值班区域内外干净、整洁，不允许有吸烟现象发生。</w:t>
            </w:r>
          </w:p>
        </w:tc>
        <w:tc>
          <w:tcPr>
            <w:tcW w:w="600" w:type="dxa"/>
            <w:gridSpan w:val="2"/>
            <w:noWrap w:val="0"/>
            <w:vAlign w:val="center"/>
          </w:tcPr>
          <w:p w14:paraId="7EF6266C">
            <w:pPr>
              <w:autoSpaceDE w:val="0"/>
              <w:autoSpaceDN w:val="0"/>
              <w:spacing w:line="340" w:lineRule="exact"/>
              <w:ind w:right="40"/>
              <w:jc w:val="center"/>
              <w:rPr>
                <w:b/>
                <w:bCs/>
                <w:color w:val="auto"/>
                <w:sz w:val="21"/>
                <w:szCs w:val="21"/>
              </w:rPr>
            </w:pPr>
            <w:r>
              <w:rPr>
                <w:rFonts w:hint="eastAsia" w:ascii="宋体" w:hAnsi="宋体" w:cs="宋体"/>
                <w:color w:val="auto"/>
                <w:kern w:val="0"/>
                <w:sz w:val="21"/>
                <w:szCs w:val="21"/>
              </w:rPr>
              <w:t>5分</w:t>
            </w:r>
          </w:p>
        </w:tc>
        <w:tc>
          <w:tcPr>
            <w:tcW w:w="2940" w:type="dxa"/>
            <w:noWrap w:val="0"/>
            <w:vAlign w:val="center"/>
          </w:tcPr>
          <w:p w14:paraId="42841F83">
            <w:pPr>
              <w:autoSpaceDE w:val="0"/>
              <w:autoSpaceDN w:val="0"/>
              <w:spacing w:line="340" w:lineRule="exact"/>
              <w:ind w:right="69" w:rightChars="33"/>
              <w:jc w:val="center"/>
              <w:rPr>
                <w:b/>
                <w:bCs/>
                <w:color w:val="auto"/>
                <w:sz w:val="21"/>
                <w:szCs w:val="21"/>
              </w:rPr>
            </w:pPr>
            <w:r>
              <w:rPr>
                <w:rFonts w:hint="eastAsia" w:ascii="宋体" w:hAnsi="宋体" w:cs="宋体"/>
                <w:color w:val="auto"/>
                <w:kern w:val="0"/>
                <w:sz w:val="21"/>
                <w:szCs w:val="21"/>
              </w:rPr>
              <w:t>值班区域发现有烟头的扣1分，门前及周围值班区域内外卫生不干净、整洁的扣2-4分。</w:t>
            </w:r>
          </w:p>
        </w:tc>
        <w:tc>
          <w:tcPr>
            <w:tcW w:w="735" w:type="dxa"/>
            <w:noWrap w:val="0"/>
            <w:vAlign w:val="top"/>
          </w:tcPr>
          <w:p w14:paraId="31B016CC">
            <w:pPr>
              <w:autoSpaceDE w:val="0"/>
              <w:autoSpaceDN w:val="0"/>
              <w:ind w:left="191" w:leftChars="53" w:right="84" w:rightChars="40" w:hanging="80" w:hangingChars="38"/>
              <w:jc w:val="center"/>
              <w:rPr>
                <w:b/>
                <w:bCs/>
                <w:color w:val="auto"/>
                <w:sz w:val="21"/>
                <w:szCs w:val="21"/>
              </w:rPr>
            </w:pPr>
          </w:p>
        </w:tc>
        <w:tc>
          <w:tcPr>
            <w:tcW w:w="845" w:type="dxa"/>
            <w:noWrap w:val="0"/>
            <w:vAlign w:val="top"/>
          </w:tcPr>
          <w:p w14:paraId="0F226DFE">
            <w:pPr>
              <w:jc w:val="center"/>
              <w:rPr>
                <w:b/>
                <w:bCs/>
                <w:color w:val="auto"/>
                <w:sz w:val="21"/>
                <w:szCs w:val="21"/>
              </w:rPr>
            </w:pPr>
          </w:p>
        </w:tc>
      </w:tr>
      <w:tr w14:paraId="2454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15" w:type="dxa"/>
            <w:noWrap w:val="0"/>
            <w:vAlign w:val="center"/>
          </w:tcPr>
          <w:p w14:paraId="6B5F024D">
            <w:pPr>
              <w:autoSpaceDE w:val="0"/>
              <w:autoSpaceDN w:val="0"/>
              <w:spacing w:line="400" w:lineRule="exact"/>
              <w:ind w:left="190" w:leftChars="53" w:right="84" w:rightChars="40" w:hanging="79" w:hangingChars="38"/>
              <w:jc w:val="center"/>
              <w:rPr>
                <w:b/>
                <w:bCs/>
                <w:color w:val="auto"/>
                <w:sz w:val="21"/>
                <w:szCs w:val="21"/>
              </w:rPr>
            </w:pPr>
            <w:r>
              <w:rPr>
                <w:rFonts w:hint="eastAsia" w:ascii="宋体" w:hAnsi="宋体" w:eastAsia="宋体" w:cs="宋体"/>
                <w:bCs/>
                <w:color w:val="auto"/>
                <w:kern w:val="0"/>
                <w:sz w:val="21"/>
                <w:szCs w:val="21"/>
              </w:rPr>
              <w:t>综合满意度（10分）</w:t>
            </w:r>
          </w:p>
        </w:tc>
        <w:tc>
          <w:tcPr>
            <w:tcW w:w="3195" w:type="dxa"/>
            <w:noWrap w:val="0"/>
            <w:vAlign w:val="center"/>
          </w:tcPr>
          <w:p w14:paraId="19C99555">
            <w:pPr>
              <w:autoSpaceDE w:val="0"/>
              <w:autoSpaceDN w:val="0"/>
              <w:spacing w:line="340" w:lineRule="exact"/>
              <w:ind w:left="84" w:leftChars="40" w:right="69" w:rightChars="33"/>
              <w:rPr>
                <w:b/>
                <w:bCs/>
                <w:color w:val="auto"/>
                <w:sz w:val="21"/>
                <w:szCs w:val="21"/>
              </w:rPr>
            </w:pPr>
            <w:r>
              <w:rPr>
                <w:rFonts w:hint="eastAsia" w:ascii="宋体" w:hAnsi="宋体" w:cs="宋体"/>
                <w:color w:val="auto"/>
                <w:kern w:val="0"/>
                <w:sz w:val="21"/>
                <w:szCs w:val="21"/>
              </w:rPr>
              <w:t>安保整体服务月平均满意度（行政管理、医护人员、病人或家属）不得低于90%。</w:t>
            </w:r>
          </w:p>
        </w:tc>
        <w:tc>
          <w:tcPr>
            <w:tcW w:w="600" w:type="dxa"/>
            <w:gridSpan w:val="2"/>
            <w:noWrap w:val="0"/>
            <w:vAlign w:val="center"/>
          </w:tcPr>
          <w:p w14:paraId="032077CF">
            <w:pPr>
              <w:autoSpaceDE w:val="0"/>
              <w:autoSpaceDN w:val="0"/>
              <w:spacing w:line="340" w:lineRule="exact"/>
              <w:ind w:right="69" w:rightChars="33"/>
              <w:rPr>
                <w:b/>
                <w:bCs/>
                <w:color w:val="auto"/>
                <w:sz w:val="21"/>
                <w:szCs w:val="21"/>
              </w:rPr>
            </w:pPr>
            <w:r>
              <w:rPr>
                <w:rFonts w:hint="eastAsia" w:ascii="宋体" w:hAnsi="宋体" w:cs="宋体"/>
                <w:color w:val="auto"/>
                <w:kern w:val="0"/>
                <w:sz w:val="21"/>
                <w:szCs w:val="21"/>
              </w:rPr>
              <w:t>10分</w:t>
            </w:r>
          </w:p>
        </w:tc>
        <w:tc>
          <w:tcPr>
            <w:tcW w:w="2940" w:type="dxa"/>
            <w:noWrap w:val="0"/>
            <w:vAlign w:val="center"/>
          </w:tcPr>
          <w:p w14:paraId="0DED2A39">
            <w:pPr>
              <w:autoSpaceDE w:val="0"/>
              <w:autoSpaceDN w:val="0"/>
              <w:spacing w:line="340" w:lineRule="exact"/>
              <w:ind w:left="84" w:leftChars="40" w:right="69" w:rightChars="33"/>
              <w:rPr>
                <w:b/>
                <w:bCs/>
                <w:color w:val="auto"/>
                <w:sz w:val="21"/>
                <w:szCs w:val="21"/>
              </w:rPr>
            </w:pPr>
            <w:r>
              <w:rPr>
                <w:rFonts w:hint="eastAsia" w:ascii="宋体" w:hAnsi="宋体" w:cs="宋体"/>
                <w:color w:val="auto"/>
                <w:kern w:val="0"/>
                <w:sz w:val="21"/>
                <w:szCs w:val="21"/>
              </w:rPr>
              <w:t>每月随机测评30人，低于90%，每一个点扣1分,低于80%，每一个点加扣款100元处罚。</w:t>
            </w:r>
          </w:p>
        </w:tc>
        <w:tc>
          <w:tcPr>
            <w:tcW w:w="735" w:type="dxa"/>
            <w:noWrap w:val="0"/>
            <w:vAlign w:val="center"/>
          </w:tcPr>
          <w:p w14:paraId="163D1500">
            <w:pPr>
              <w:autoSpaceDE w:val="0"/>
              <w:autoSpaceDN w:val="0"/>
              <w:spacing w:line="400" w:lineRule="exact"/>
              <w:ind w:left="191" w:leftChars="53" w:right="84" w:rightChars="40" w:hanging="80" w:hangingChars="38"/>
              <w:jc w:val="center"/>
              <w:rPr>
                <w:b/>
                <w:bCs/>
                <w:color w:val="auto"/>
                <w:sz w:val="21"/>
                <w:szCs w:val="21"/>
              </w:rPr>
            </w:pPr>
          </w:p>
        </w:tc>
        <w:tc>
          <w:tcPr>
            <w:tcW w:w="845" w:type="dxa"/>
            <w:noWrap w:val="0"/>
            <w:vAlign w:val="top"/>
          </w:tcPr>
          <w:p w14:paraId="4E325F62">
            <w:pPr>
              <w:jc w:val="center"/>
              <w:rPr>
                <w:b/>
                <w:bCs/>
                <w:color w:val="auto"/>
                <w:sz w:val="21"/>
                <w:szCs w:val="21"/>
              </w:rPr>
            </w:pPr>
          </w:p>
        </w:tc>
      </w:tr>
      <w:tr w14:paraId="6CD2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5" w:type="dxa"/>
            <w:noWrap w:val="0"/>
            <w:vAlign w:val="center"/>
          </w:tcPr>
          <w:p w14:paraId="3A6FCD37">
            <w:pPr>
              <w:autoSpaceDE w:val="0"/>
              <w:autoSpaceDN w:val="0"/>
              <w:spacing w:line="360" w:lineRule="auto"/>
              <w:ind w:left="190" w:leftChars="53" w:right="84" w:rightChars="40" w:hanging="79" w:hangingChars="38"/>
              <w:jc w:val="center"/>
              <w:rPr>
                <w:rFonts w:hint="default" w:ascii="宋体" w:hAnsi="宋体" w:eastAsia="宋体" w:cs="宋体"/>
                <w:bCs/>
                <w:color w:val="auto"/>
                <w:spacing w:val="-20"/>
                <w:kern w:val="0"/>
                <w:sz w:val="21"/>
                <w:szCs w:val="21"/>
                <w:lang w:val="en-US" w:eastAsia="zh-CN"/>
              </w:rPr>
            </w:pPr>
            <w:r>
              <w:rPr>
                <w:rFonts w:hint="eastAsia" w:ascii="宋体" w:hAnsi="宋体" w:eastAsia="宋体" w:cs="宋体"/>
                <w:bCs/>
                <w:color w:val="auto"/>
                <w:kern w:val="0"/>
                <w:sz w:val="21"/>
                <w:szCs w:val="21"/>
                <w:lang w:val="en-US" w:eastAsia="zh-CN"/>
              </w:rPr>
              <w:t>奖惩标准</w:t>
            </w:r>
          </w:p>
        </w:tc>
        <w:tc>
          <w:tcPr>
            <w:tcW w:w="8315" w:type="dxa"/>
            <w:gridSpan w:val="6"/>
            <w:noWrap w:val="0"/>
            <w:vAlign w:val="center"/>
          </w:tcPr>
          <w:p w14:paraId="49D8E174">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注：1.合计总分100分，</w:t>
            </w:r>
            <w:r>
              <w:rPr>
                <w:rFonts w:hint="eastAsia" w:ascii="宋体" w:hAnsi="宋体" w:eastAsia="宋体" w:cs="宋体"/>
                <w:color w:val="auto"/>
                <w:sz w:val="21"/>
                <w:szCs w:val="21"/>
              </w:rPr>
              <w:t>在扣分说明中，违规就扣分；不违规，不扣分，不加分；</w:t>
            </w:r>
          </w:p>
          <w:p w14:paraId="5A92FE62">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月绩效考评采取随时电话抽查、现场查看、抽查、提问等方式进行；</w:t>
            </w:r>
          </w:p>
          <w:p w14:paraId="0434D815">
            <w:pPr>
              <w:numPr>
                <w:ilvl w:val="0"/>
                <w:numId w:val="0"/>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以月为周期，累计每次扣分，次月月初5日前统计月绩效考评得分，10日前拨付前月绩效；</w:t>
            </w:r>
          </w:p>
          <w:p w14:paraId="05BA8D06">
            <w:pPr>
              <w:numPr>
                <w:ilvl w:val="0"/>
                <w:numId w:val="0"/>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4.</w:t>
            </w:r>
            <w:r>
              <w:rPr>
                <w:rFonts w:hint="eastAsia" w:ascii="宋体" w:hAnsi="宋体" w:eastAsia="宋体" w:cs="宋体"/>
                <w:color w:val="auto"/>
                <w:kern w:val="0"/>
                <w:sz w:val="21"/>
                <w:szCs w:val="21"/>
              </w:rPr>
              <w:t>每月考评，考核得分≥90分不扣管理费，90分（含90分）以下每下降1个百分点扣除200元服务费, 80分（含80分）以下每下降1个百分点扣除300元服务费；累计扣除管理费不超过2000元；</w:t>
            </w:r>
          </w:p>
          <w:p w14:paraId="649159D1">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5.</w:t>
            </w:r>
            <w:r>
              <w:rPr>
                <w:rFonts w:hint="eastAsia" w:ascii="宋体" w:hAnsi="宋体" w:eastAsia="宋体" w:cs="宋体"/>
                <w:color w:val="auto"/>
                <w:sz w:val="21"/>
                <w:szCs w:val="21"/>
              </w:rPr>
              <w:t>低于75分当月的月绩效考核为不合格，要求针对存在问题写出整改计划。</w:t>
            </w:r>
          </w:p>
          <w:p w14:paraId="77F77B35">
            <w:pPr>
              <w:spacing w:line="360" w:lineRule="auto"/>
              <w:jc w:val="both"/>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考评周期：每月定期考评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连续两月考核不合格采购方有权终止合同。</w:t>
            </w:r>
          </w:p>
        </w:tc>
      </w:tr>
      <w:tr w14:paraId="7878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30" w:type="dxa"/>
            <w:gridSpan w:val="7"/>
            <w:noWrap w:val="0"/>
            <w:vAlign w:val="top"/>
          </w:tcPr>
          <w:p w14:paraId="346BF61A">
            <w:pPr>
              <w:rPr>
                <w:rFonts w:hint="eastAsia" w:ascii="宋体" w:hAnsi="宋体" w:eastAsia="宋体" w:cs="宋体"/>
                <w:color w:val="auto"/>
                <w:sz w:val="21"/>
                <w:szCs w:val="21"/>
                <w:lang w:val="en-US" w:eastAsia="zh-CN"/>
              </w:rPr>
            </w:pPr>
            <w:r>
              <w:rPr>
                <w:rFonts w:hint="eastAsia"/>
                <w:color w:val="auto"/>
              </w:rPr>
              <w:t>本次累计扣分：</w:t>
            </w:r>
          </w:p>
        </w:tc>
      </w:tr>
      <w:tr w14:paraId="7AB2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30" w:type="dxa"/>
            <w:gridSpan w:val="7"/>
            <w:noWrap w:val="0"/>
            <w:vAlign w:val="top"/>
          </w:tcPr>
          <w:p w14:paraId="074D1257">
            <w:pPr>
              <w:rPr>
                <w:rFonts w:hint="eastAsia" w:ascii="宋体" w:hAnsi="宋体" w:eastAsia="宋体" w:cs="宋体"/>
                <w:color w:val="auto"/>
                <w:sz w:val="21"/>
                <w:szCs w:val="21"/>
                <w:lang w:val="en-US" w:eastAsia="zh-CN"/>
              </w:rPr>
            </w:pPr>
            <w:r>
              <w:rPr>
                <w:rFonts w:hint="eastAsia"/>
                <w:color w:val="auto"/>
              </w:rPr>
              <w:t>本月累计扣分：</w:t>
            </w:r>
          </w:p>
        </w:tc>
      </w:tr>
      <w:tr w14:paraId="0FCB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30" w:type="dxa"/>
            <w:gridSpan w:val="7"/>
            <w:noWrap w:val="0"/>
            <w:vAlign w:val="top"/>
          </w:tcPr>
          <w:p w14:paraId="42D1F7BC">
            <w:pPr>
              <w:rPr>
                <w:rFonts w:hint="eastAsia" w:ascii="宋体" w:hAnsi="宋体" w:eastAsia="宋体" w:cs="宋体"/>
                <w:color w:val="auto"/>
                <w:sz w:val="21"/>
                <w:szCs w:val="21"/>
                <w:lang w:val="en-US" w:eastAsia="zh-CN"/>
              </w:rPr>
            </w:pPr>
            <w:r>
              <w:rPr>
                <w:rFonts w:hint="eastAsia"/>
                <w:color w:val="auto"/>
              </w:rPr>
              <w:t>月考核得分：</w:t>
            </w:r>
          </w:p>
        </w:tc>
      </w:tr>
      <w:tr w14:paraId="3458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9730" w:type="dxa"/>
            <w:gridSpan w:val="7"/>
            <w:noWrap w:val="0"/>
            <w:vAlign w:val="top"/>
          </w:tcPr>
          <w:p w14:paraId="348F0FC4">
            <w:pPr>
              <w:jc w:val="left"/>
              <w:rPr>
                <w:color w:val="auto"/>
              </w:rPr>
            </w:pPr>
            <w:r>
              <w:rPr>
                <w:rFonts w:hint="eastAsia"/>
                <w:color w:val="auto"/>
              </w:rPr>
              <w:t>上个月存在问题整改情况：</w:t>
            </w:r>
          </w:p>
          <w:p w14:paraId="3B7E7447">
            <w:pPr>
              <w:jc w:val="left"/>
              <w:rPr>
                <w:color w:val="auto"/>
              </w:rPr>
            </w:pPr>
            <w:r>
              <w:rPr>
                <w:rFonts w:hint="eastAsia"/>
                <w:color w:val="auto"/>
              </w:rPr>
              <w:t xml:space="preserve"> </w:t>
            </w:r>
          </w:p>
          <w:p w14:paraId="32E24A2A">
            <w:pPr>
              <w:jc w:val="left"/>
              <w:rPr>
                <w:color w:val="auto"/>
              </w:rPr>
            </w:pPr>
          </w:p>
          <w:p w14:paraId="1A26C1F3">
            <w:pPr>
              <w:jc w:val="left"/>
              <w:rPr>
                <w:color w:val="auto"/>
              </w:rPr>
            </w:pPr>
            <w:r>
              <w:rPr>
                <w:rFonts w:hint="eastAsia"/>
                <w:color w:val="auto"/>
              </w:rPr>
              <w:t>本月存在问题：</w:t>
            </w:r>
          </w:p>
          <w:p w14:paraId="0A4EC229">
            <w:pPr>
              <w:rPr>
                <w:rFonts w:hint="eastAsia"/>
                <w:color w:val="auto"/>
              </w:rPr>
            </w:pPr>
          </w:p>
        </w:tc>
      </w:tr>
      <w:tr w14:paraId="32C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30" w:type="dxa"/>
            <w:gridSpan w:val="7"/>
            <w:noWrap w:val="0"/>
            <w:vAlign w:val="top"/>
          </w:tcPr>
          <w:p w14:paraId="08A7F798">
            <w:pPr>
              <w:rPr>
                <w:color w:val="auto"/>
              </w:rPr>
            </w:pPr>
          </w:p>
          <w:p w14:paraId="612080ED">
            <w:pPr>
              <w:rPr>
                <w:rFonts w:hint="eastAsia"/>
                <w:color w:val="auto"/>
              </w:rPr>
            </w:pPr>
            <w:r>
              <w:rPr>
                <w:rFonts w:hint="eastAsia"/>
                <w:color w:val="auto"/>
              </w:rPr>
              <w:t>整改期限：         年       月       日</w:t>
            </w:r>
          </w:p>
        </w:tc>
      </w:tr>
      <w:tr w14:paraId="194B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30" w:type="dxa"/>
            <w:gridSpan w:val="7"/>
            <w:noWrap w:val="0"/>
            <w:vAlign w:val="top"/>
          </w:tcPr>
          <w:p w14:paraId="6525094C">
            <w:pPr>
              <w:rPr>
                <w:color w:val="auto"/>
              </w:rPr>
            </w:pPr>
          </w:p>
          <w:p w14:paraId="38AEF0DE">
            <w:pPr>
              <w:rPr>
                <w:color w:val="auto"/>
              </w:rPr>
            </w:pPr>
            <w:r>
              <w:rPr>
                <w:rFonts w:hint="eastAsia"/>
                <w:color w:val="auto"/>
              </w:rPr>
              <w:t>考核小组人员签名：</w:t>
            </w:r>
          </w:p>
          <w:p w14:paraId="3B3255BA">
            <w:pPr>
              <w:ind w:left="426" w:leftChars="0"/>
              <w:rPr>
                <w:rFonts w:hint="eastAsia"/>
                <w:color w:val="auto"/>
              </w:rPr>
            </w:pPr>
          </w:p>
        </w:tc>
      </w:tr>
      <w:tr w14:paraId="3AAA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757" w:type="dxa"/>
            <w:gridSpan w:val="3"/>
            <w:noWrap w:val="0"/>
            <w:vAlign w:val="top"/>
          </w:tcPr>
          <w:p w14:paraId="7195CABB">
            <w:pPr>
              <w:rPr>
                <w:rFonts w:hint="eastAsia"/>
                <w:color w:val="auto"/>
              </w:rPr>
            </w:pPr>
            <w:r>
              <w:rPr>
                <w:rFonts w:hint="eastAsia"/>
                <w:color w:val="auto"/>
              </w:rPr>
              <w:t>分管院领导签名：</w:t>
            </w:r>
          </w:p>
        </w:tc>
        <w:tc>
          <w:tcPr>
            <w:tcW w:w="4973" w:type="dxa"/>
            <w:gridSpan w:val="4"/>
            <w:noWrap w:val="0"/>
            <w:vAlign w:val="top"/>
          </w:tcPr>
          <w:p w14:paraId="72EDF377">
            <w:pPr>
              <w:rPr>
                <w:rFonts w:hint="eastAsia"/>
                <w:color w:val="auto"/>
              </w:rPr>
            </w:pPr>
            <w:r>
              <w:rPr>
                <w:rFonts w:hint="eastAsia"/>
                <w:color w:val="auto"/>
              </w:rPr>
              <w:t>保安公司负责人签名：</w:t>
            </w:r>
          </w:p>
        </w:tc>
      </w:tr>
      <w:tr w14:paraId="1D9C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757" w:type="dxa"/>
            <w:gridSpan w:val="3"/>
            <w:noWrap w:val="0"/>
            <w:vAlign w:val="bottom"/>
          </w:tcPr>
          <w:p w14:paraId="743F8AB8">
            <w:pPr>
              <w:ind w:firstLine="2310" w:firstLineChars="1100"/>
              <w:jc w:val="right"/>
              <w:rPr>
                <w:rFonts w:hint="eastAsia"/>
                <w:color w:val="auto"/>
              </w:rPr>
            </w:pPr>
            <w:r>
              <w:rPr>
                <w:rFonts w:hint="eastAsia"/>
                <w:color w:val="auto"/>
              </w:rPr>
              <w:t>年     月      日</w:t>
            </w:r>
          </w:p>
        </w:tc>
        <w:tc>
          <w:tcPr>
            <w:tcW w:w="4973" w:type="dxa"/>
            <w:gridSpan w:val="4"/>
            <w:noWrap w:val="0"/>
            <w:vAlign w:val="bottom"/>
          </w:tcPr>
          <w:p w14:paraId="33720D9E">
            <w:pPr>
              <w:ind w:firstLine="420" w:firstLineChars="200"/>
              <w:jc w:val="right"/>
              <w:rPr>
                <w:rFonts w:hint="eastAsia"/>
                <w:color w:val="auto"/>
              </w:rPr>
            </w:pPr>
            <w:r>
              <w:rPr>
                <w:rFonts w:hint="eastAsia"/>
                <w:color w:val="auto"/>
              </w:rPr>
              <w:t>年     月      日</w:t>
            </w:r>
          </w:p>
        </w:tc>
      </w:tr>
    </w:tbl>
    <w:p w14:paraId="47FC1852">
      <w:pPr>
        <w:spacing w:line="560" w:lineRule="exact"/>
        <w:rPr>
          <w:rFonts w:hint="eastAsia" w:ascii="黑体" w:hAnsi="黑体" w:eastAsia="黑体" w:cs="Times New Roman"/>
          <w:color w:val="auto"/>
          <w:sz w:val="32"/>
          <w:szCs w:val="32"/>
          <w:shd w:val="clear" w:color="auto" w:fill="FFFFFF"/>
          <w:lang w:val="en-US" w:eastAsia="zh-CN"/>
        </w:rPr>
      </w:pPr>
    </w:p>
    <w:p w14:paraId="69B91DA4">
      <w:pPr>
        <w:spacing w:line="560" w:lineRule="exact"/>
        <w:rPr>
          <w:rFonts w:hint="eastAsia" w:ascii="黑体" w:hAnsi="黑体" w:eastAsia="黑体" w:cs="Times New Roman"/>
          <w:color w:val="auto"/>
          <w:sz w:val="32"/>
          <w:szCs w:val="32"/>
          <w:shd w:val="clear" w:color="auto" w:fill="FFFFFF"/>
          <w:lang w:val="en-US" w:eastAsia="zh-CN"/>
        </w:rPr>
      </w:pPr>
    </w:p>
    <w:p w14:paraId="2D1066A7">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4D7EEF7E">
      <w:pPr>
        <w:widowControl/>
        <w:jc w:val="left"/>
        <w:rPr>
          <w:rFonts w:hint="eastAsia" w:ascii="宋体" w:hAnsi="宋体" w:eastAsia="宋体" w:cs="宋体"/>
          <w:color w:val="auto"/>
          <w:sz w:val="32"/>
          <w:szCs w:val="32"/>
        </w:rPr>
      </w:pPr>
      <w:r>
        <w:rPr>
          <w:rFonts w:hint="eastAsia" w:ascii="宋体" w:hAnsi="宋体" w:eastAsia="宋体" w:cs="宋体"/>
          <w:color w:val="auto"/>
          <w:sz w:val="32"/>
          <w:szCs w:val="32"/>
        </w:rPr>
        <w:t>附件</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rPr>
        <w:t>：</w:t>
      </w:r>
    </w:p>
    <w:p w14:paraId="796228BD">
      <w:pPr>
        <w:jc w:val="center"/>
        <w:rPr>
          <w:rFonts w:hint="eastAsia" w:ascii="宋体" w:hAnsi="宋体" w:eastAsia="宋体" w:cs="宋体"/>
          <w:color w:val="auto"/>
          <w:sz w:val="44"/>
          <w:szCs w:val="44"/>
        </w:rPr>
      </w:pPr>
      <w:r>
        <w:rPr>
          <w:rFonts w:hint="eastAsia" w:ascii="宋体" w:hAnsi="宋体" w:eastAsia="宋体" w:cs="宋体"/>
          <w:color w:val="auto"/>
          <w:sz w:val="44"/>
          <w:szCs w:val="44"/>
        </w:rPr>
        <w:t>中小微企业划型标准</w:t>
      </w:r>
    </w:p>
    <w:p w14:paraId="6523DE91">
      <w:pPr>
        <w:ind w:left="1871"/>
        <w:rPr>
          <w:rFonts w:hint="eastAsia" w:ascii="宋体" w:hAnsi="宋体" w:cs="宋体"/>
          <w:color w:val="auto"/>
          <w:szCs w:val="21"/>
        </w:rPr>
      </w:pPr>
    </w:p>
    <w:tbl>
      <w:tblPr>
        <w:tblStyle w:val="21"/>
        <w:tblW w:w="0" w:type="auto"/>
        <w:jc w:val="center"/>
        <w:tblLayout w:type="fixed"/>
        <w:tblCellMar>
          <w:top w:w="0" w:type="dxa"/>
          <w:left w:w="108" w:type="dxa"/>
          <w:bottom w:w="0" w:type="dxa"/>
          <w:right w:w="108" w:type="dxa"/>
        </w:tblCellMar>
      </w:tblPr>
      <w:tblGrid>
        <w:gridCol w:w="1945"/>
        <w:gridCol w:w="1690"/>
        <w:gridCol w:w="913"/>
        <w:gridCol w:w="1620"/>
        <w:gridCol w:w="1440"/>
        <w:gridCol w:w="1402"/>
      </w:tblGrid>
      <w:tr w14:paraId="025760BB">
        <w:tblPrEx>
          <w:tblCellMar>
            <w:top w:w="0" w:type="dxa"/>
            <w:left w:w="108" w:type="dxa"/>
            <w:bottom w:w="0" w:type="dxa"/>
            <w:right w:w="108" w:type="dxa"/>
          </w:tblCellMar>
        </w:tblPrEx>
        <w:trPr>
          <w:trHeight w:val="285"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14:paraId="5895E558">
            <w:pPr>
              <w:widowControl/>
              <w:jc w:val="center"/>
              <w:rPr>
                <w:rFonts w:hint="eastAsia" w:ascii="宋体" w:hAnsi="宋体" w:cs="宋体"/>
                <w:b/>
                <w:color w:val="auto"/>
                <w:kern w:val="0"/>
                <w:sz w:val="24"/>
              </w:rPr>
            </w:pPr>
            <w:r>
              <w:rPr>
                <w:rFonts w:hint="eastAsia" w:ascii="宋体" w:hAnsi="宋体" w:cs="宋体"/>
                <w:b/>
                <w:color w:val="auto"/>
                <w:kern w:val="0"/>
                <w:sz w:val="24"/>
              </w:rPr>
              <w:t>行业名称</w:t>
            </w:r>
          </w:p>
        </w:tc>
        <w:tc>
          <w:tcPr>
            <w:tcW w:w="1690" w:type="dxa"/>
            <w:tcBorders>
              <w:top w:val="single" w:color="auto" w:sz="4" w:space="0"/>
              <w:left w:val="nil"/>
              <w:bottom w:val="single" w:color="auto" w:sz="4" w:space="0"/>
              <w:right w:val="single" w:color="auto" w:sz="4" w:space="0"/>
            </w:tcBorders>
            <w:noWrap w:val="0"/>
            <w:vAlign w:val="center"/>
          </w:tcPr>
          <w:p w14:paraId="212337D6">
            <w:pPr>
              <w:widowControl/>
              <w:jc w:val="left"/>
              <w:rPr>
                <w:rFonts w:hint="eastAsia"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noWrap w:val="0"/>
            <w:vAlign w:val="center"/>
          </w:tcPr>
          <w:p w14:paraId="7728B51F">
            <w:pPr>
              <w:widowControl/>
              <w:jc w:val="left"/>
              <w:rPr>
                <w:rFonts w:hint="eastAsia"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noWrap w:val="0"/>
            <w:vAlign w:val="center"/>
          </w:tcPr>
          <w:p w14:paraId="678C2643">
            <w:pPr>
              <w:widowControl/>
              <w:jc w:val="center"/>
              <w:rPr>
                <w:rFonts w:hint="eastAsia"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noWrap w:val="0"/>
            <w:vAlign w:val="center"/>
          </w:tcPr>
          <w:p w14:paraId="1137A77F">
            <w:pPr>
              <w:widowControl/>
              <w:jc w:val="center"/>
              <w:rPr>
                <w:rFonts w:hint="eastAsia" w:ascii="宋体" w:hAnsi="宋体" w:cs="宋体"/>
                <w:b/>
                <w:color w:val="auto"/>
                <w:kern w:val="0"/>
                <w:sz w:val="24"/>
              </w:rPr>
            </w:pPr>
            <w:r>
              <w:rPr>
                <w:rFonts w:hint="eastAsia" w:ascii="宋体" w:hAnsi="宋体" w:cs="宋体"/>
                <w:b/>
                <w:color w:val="auto"/>
                <w:kern w:val="0"/>
                <w:sz w:val="24"/>
              </w:rPr>
              <w:t>小型</w:t>
            </w:r>
          </w:p>
        </w:tc>
        <w:tc>
          <w:tcPr>
            <w:tcW w:w="1402" w:type="dxa"/>
            <w:tcBorders>
              <w:top w:val="single" w:color="auto" w:sz="4" w:space="0"/>
              <w:left w:val="nil"/>
              <w:bottom w:val="single" w:color="auto" w:sz="4" w:space="0"/>
              <w:right w:val="single" w:color="auto" w:sz="4" w:space="0"/>
            </w:tcBorders>
            <w:noWrap w:val="0"/>
            <w:vAlign w:val="center"/>
          </w:tcPr>
          <w:p w14:paraId="4E07279F">
            <w:pPr>
              <w:widowControl/>
              <w:jc w:val="center"/>
              <w:rPr>
                <w:rFonts w:hint="eastAsia" w:ascii="宋体" w:hAnsi="宋体" w:cs="宋体"/>
                <w:b/>
                <w:color w:val="auto"/>
                <w:kern w:val="0"/>
                <w:sz w:val="24"/>
              </w:rPr>
            </w:pPr>
            <w:r>
              <w:rPr>
                <w:rFonts w:hint="eastAsia" w:ascii="宋体" w:hAnsi="宋体" w:cs="宋体"/>
                <w:b/>
                <w:color w:val="auto"/>
                <w:kern w:val="0"/>
                <w:sz w:val="24"/>
              </w:rPr>
              <w:t>微型</w:t>
            </w:r>
          </w:p>
        </w:tc>
      </w:tr>
      <w:tr w14:paraId="70302C7C">
        <w:tblPrEx>
          <w:tblCellMar>
            <w:top w:w="0" w:type="dxa"/>
            <w:left w:w="108" w:type="dxa"/>
            <w:bottom w:w="0" w:type="dxa"/>
            <w:right w:w="108" w:type="dxa"/>
          </w:tblCellMar>
        </w:tblPrEx>
        <w:trPr>
          <w:trHeight w:val="428" w:hRule="atLeast"/>
          <w:jc w:val="center"/>
        </w:trPr>
        <w:tc>
          <w:tcPr>
            <w:tcW w:w="1945" w:type="dxa"/>
            <w:tcBorders>
              <w:top w:val="nil"/>
              <w:left w:val="single" w:color="auto" w:sz="4" w:space="0"/>
              <w:bottom w:val="single" w:color="auto" w:sz="4" w:space="0"/>
              <w:right w:val="single" w:color="auto" w:sz="4" w:space="0"/>
            </w:tcBorders>
            <w:noWrap w:val="0"/>
            <w:vAlign w:val="bottom"/>
          </w:tcPr>
          <w:p w14:paraId="379B7E4E">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690" w:type="dxa"/>
            <w:tcBorders>
              <w:top w:val="nil"/>
              <w:left w:val="nil"/>
              <w:bottom w:val="single" w:color="auto" w:sz="4" w:space="0"/>
              <w:right w:val="single" w:color="auto" w:sz="4" w:space="0"/>
            </w:tcBorders>
            <w:noWrap w:val="0"/>
            <w:vAlign w:val="center"/>
          </w:tcPr>
          <w:p w14:paraId="6B70D23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2DFBD7B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277395F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noWrap w:val="0"/>
            <w:vAlign w:val="center"/>
          </w:tcPr>
          <w:p w14:paraId="6046557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1402" w:type="dxa"/>
            <w:tcBorders>
              <w:top w:val="nil"/>
              <w:left w:val="nil"/>
              <w:bottom w:val="single" w:color="auto" w:sz="4" w:space="0"/>
              <w:right w:val="single" w:color="auto" w:sz="4" w:space="0"/>
            </w:tcBorders>
            <w:noWrap w:val="0"/>
            <w:vAlign w:val="center"/>
          </w:tcPr>
          <w:p w14:paraId="375B2C7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7B34A813">
        <w:tblPrEx>
          <w:tblCellMar>
            <w:top w:w="0" w:type="dxa"/>
            <w:left w:w="108" w:type="dxa"/>
            <w:bottom w:w="0" w:type="dxa"/>
            <w:right w:w="108" w:type="dxa"/>
          </w:tblCellMar>
        </w:tblPrEx>
        <w:trPr>
          <w:trHeight w:val="308"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A1CE672">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工业</w:t>
            </w:r>
          </w:p>
        </w:tc>
        <w:tc>
          <w:tcPr>
            <w:tcW w:w="1690" w:type="dxa"/>
            <w:tcBorders>
              <w:top w:val="nil"/>
              <w:left w:val="nil"/>
              <w:bottom w:val="single" w:color="auto" w:sz="4" w:space="0"/>
              <w:right w:val="single" w:color="auto" w:sz="4" w:space="0"/>
            </w:tcBorders>
            <w:noWrap w:val="0"/>
            <w:vAlign w:val="center"/>
          </w:tcPr>
          <w:p w14:paraId="1C6E9B4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244F939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19FD707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7CE0933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402" w:type="dxa"/>
            <w:tcBorders>
              <w:top w:val="nil"/>
              <w:left w:val="nil"/>
              <w:bottom w:val="single" w:color="auto" w:sz="4" w:space="0"/>
              <w:right w:val="single" w:color="auto" w:sz="4" w:space="0"/>
            </w:tcBorders>
            <w:noWrap w:val="0"/>
            <w:vAlign w:val="center"/>
          </w:tcPr>
          <w:p w14:paraId="7E5C1A87">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6303E3A0">
        <w:tblPrEx>
          <w:tblCellMar>
            <w:top w:w="0" w:type="dxa"/>
            <w:left w:w="108" w:type="dxa"/>
            <w:bottom w:w="0" w:type="dxa"/>
            <w:right w:w="108" w:type="dxa"/>
          </w:tblCellMar>
        </w:tblPrEx>
        <w:trPr>
          <w:trHeight w:val="308"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05DCA19D">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6EA91CF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7019EBD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3DA975A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noWrap w:val="0"/>
            <w:vAlign w:val="center"/>
          </w:tcPr>
          <w:p w14:paraId="03D2C7F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1402" w:type="dxa"/>
            <w:tcBorders>
              <w:top w:val="nil"/>
              <w:left w:val="nil"/>
              <w:bottom w:val="single" w:color="auto" w:sz="4" w:space="0"/>
              <w:right w:val="single" w:color="auto" w:sz="4" w:space="0"/>
            </w:tcBorders>
            <w:noWrap w:val="0"/>
            <w:vAlign w:val="center"/>
          </w:tcPr>
          <w:p w14:paraId="7380B12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78737164">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6724131E">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690" w:type="dxa"/>
            <w:tcBorders>
              <w:top w:val="nil"/>
              <w:left w:val="nil"/>
              <w:bottom w:val="single" w:color="auto" w:sz="4" w:space="0"/>
              <w:right w:val="single" w:color="auto" w:sz="4" w:space="0"/>
            </w:tcBorders>
            <w:noWrap w:val="0"/>
            <w:vAlign w:val="center"/>
          </w:tcPr>
          <w:p w14:paraId="3116EFC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4BF9091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7CC8722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noWrap w:val="0"/>
            <w:vAlign w:val="center"/>
          </w:tcPr>
          <w:p w14:paraId="643B83E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1402" w:type="dxa"/>
            <w:tcBorders>
              <w:top w:val="nil"/>
              <w:left w:val="nil"/>
              <w:bottom w:val="single" w:color="auto" w:sz="4" w:space="0"/>
              <w:right w:val="single" w:color="auto" w:sz="4" w:space="0"/>
            </w:tcBorders>
            <w:noWrap w:val="0"/>
            <w:vAlign w:val="center"/>
          </w:tcPr>
          <w:p w14:paraId="64ACB5D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790C4F45">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46828709">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1DB62F2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noWrap w:val="0"/>
            <w:vAlign w:val="center"/>
          </w:tcPr>
          <w:p w14:paraId="58615EC6">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4609ACD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noWrap w:val="0"/>
            <w:vAlign w:val="center"/>
          </w:tcPr>
          <w:p w14:paraId="30CDB0F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1402" w:type="dxa"/>
            <w:tcBorders>
              <w:top w:val="nil"/>
              <w:left w:val="nil"/>
              <w:bottom w:val="single" w:color="auto" w:sz="4" w:space="0"/>
              <w:right w:val="single" w:color="auto" w:sz="4" w:space="0"/>
            </w:tcBorders>
            <w:noWrap w:val="0"/>
            <w:vAlign w:val="center"/>
          </w:tcPr>
          <w:p w14:paraId="044C55A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1E949FC5">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594E7B0">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690" w:type="dxa"/>
            <w:tcBorders>
              <w:top w:val="nil"/>
              <w:left w:val="nil"/>
              <w:bottom w:val="single" w:color="auto" w:sz="4" w:space="0"/>
              <w:right w:val="single" w:color="auto" w:sz="4" w:space="0"/>
            </w:tcBorders>
            <w:noWrap w:val="0"/>
            <w:vAlign w:val="center"/>
          </w:tcPr>
          <w:p w14:paraId="55F014A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46705FFA">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2769A64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noWrap w:val="0"/>
            <w:vAlign w:val="center"/>
          </w:tcPr>
          <w:p w14:paraId="50FF8617">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1402" w:type="dxa"/>
            <w:tcBorders>
              <w:top w:val="nil"/>
              <w:left w:val="nil"/>
              <w:bottom w:val="single" w:color="auto" w:sz="4" w:space="0"/>
              <w:right w:val="single" w:color="auto" w:sz="4" w:space="0"/>
            </w:tcBorders>
            <w:noWrap w:val="0"/>
            <w:vAlign w:val="center"/>
          </w:tcPr>
          <w:p w14:paraId="5503DEBB">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104BC3A5">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772256ED">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4602825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178EC69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69F590DA">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noWrap w:val="0"/>
            <w:vAlign w:val="center"/>
          </w:tcPr>
          <w:p w14:paraId="0332B87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02" w:type="dxa"/>
            <w:tcBorders>
              <w:top w:val="nil"/>
              <w:left w:val="nil"/>
              <w:bottom w:val="single" w:color="auto" w:sz="4" w:space="0"/>
              <w:right w:val="single" w:color="auto" w:sz="4" w:space="0"/>
            </w:tcBorders>
            <w:noWrap w:val="0"/>
            <w:vAlign w:val="center"/>
          </w:tcPr>
          <w:p w14:paraId="13B6EC2B">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4B053CDB">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25B90E5F">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690" w:type="dxa"/>
            <w:tcBorders>
              <w:top w:val="nil"/>
              <w:left w:val="nil"/>
              <w:bottom w:val="single" w:color="auto" w:sz="4" w:space="0"/>
              <w:right w:val="single" w:color="auto" w:sz="4" w:space="0"/>
            </w:tcBorders>
            <w:noWrap w:val="0"/>
            <w:vAlign w:val="center"/>
          </w:tcPr>
          <w:p w14:paraId="346A6A77">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7941B89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4B80F0A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noWrap w:val="0"/>
            <w:vAlign w:val="center"/>
          </w:tcPr>
          <w:p w14:paraId="09CA4E8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10≤X＜50</w:t>
            </w:r>
          </w:p>
        </w:tc>
        <w:tc>
          <w:tcPr>
            <w:tcW w:w="1402" w:type="dxa"/>
            <w:tcBorders>
              <w:top w:val="nil"/>
              <w:left w:val="nil"/>
              <w:bottom w:val="single" w:color="auto" w:sz="4" w:space="0"/>
              <w:right w:val="single" w:color="auto" w:sz="4" w:space="0"/>
            </w:tcBorders>
            <w:noWrap w:val="0"/>
            <w:vAlign w:val="center"/>
          </w:tcPr>
          <w:p w14:paraId="7C0D822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3A84397">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5037475">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0BBA3DD1">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0BF3D3A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29F9C20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noWrap w:val="0"/>
            <w:vAlign w:val="center"/>
          </w:tcPr>
          <w:p w14:paraId="1ED6E43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1402" w:type="dxa"/>
            <w:tcBorders>
              <w:top w:val="nil"/>
              <w:left w:val="nil"/>
              <w:bottom w:val="single" w:color="auto" w:sz="4" w:space="0"/>
              <w:right w:val="single" w:color="auto" w:sz="4" w:space="0"/>
            </w:tcBorders>
            <w:noWrap w:val="0"/>
            <w:vAlign w:val="center"/>
          </w:tcPr>
          <w:p w14:paraId="0DFADB8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D65D763">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C7DE42C">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690" w:type="dxa"/>
            <w:tcBorders>
              <w:top w:val="nil"/>
              <w:left w:val="nil"/>
              <w:bottom w:val="single" w:color="auto" w:sz="4" w:space="0"/>
              <w:right w:val="single" w:color="auto" w:sz="4" w:space="0"/>
            </w:tcBorders>
            <w:noWrap w:val="0"/>
            <w:vAlign w:val="center"/>
          </w:tcPr>
          <w:p w14:paraId="58FBEB5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7BD6F19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71CC21B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13B51CB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402" w:type="dxa"/>
            <w:tcBorders>
              <w:top w:val="nil"/>
              <w:left w:val="nil"/>
              <w:bottom w:val="single" w:color="auto" w:sz="4" w:space="0"/>
              <w:right w:val="single" w:color="auto" w:sz="4" w:space="0"/>
            </w:tcBorders>
            <w:noWrap w:val="0"/>
            <w:vAlign w:val="center"/>
          </w:tcPr>
          <w:p w14:paraId="78ED8966">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3CBFBE1">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6420D7EB">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0C055836">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7ADCA26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193B298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noWrap w:val="0"/>
            <w:vAlign w:val="center"/>
          </w:tcPr>
          <w:p w14:paraId="3203BF8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1402" w:type="dxa"/>
            <w:tcBorders>
              <w:top w:val="nil"/>
              <w:left w:val="nil"/>
              <w:bottom w:val="single" w:color="auto" w:sz="4" w:space="0"/>
              <w:right w:val="single" w:color="auto" w:sz="4" w:space="0"/>
            </w:tcBorders>
            <w:noWrap w:val="0"/>
            <w:vAlign w:val="center"/>
          </w:tcPr>
          <w:p w14:paraId="1905194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42139B6A">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4FADC85C">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690" w:type="dxa"/>
            <w:tcBorders>
              <w:top w:val="nil"/>
              <w:left w:val="nil"/>
              <w:bottom w:val="single" w:color="auto" w:sz="4" w:space="0"/>
              <w:right w:val="single" w:color="auto" w:sz="4" w:space="0"/>
            </w:tcBorders>
            <w:noWrap w:val="0"/>
            <w:vAlign w:val="center"/>
          </w:tcPr>
          <w:p w14:paraId="35BAACC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3ABA3D9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39D57D7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noWrap w:val="0"/>
            <w:vAlign w:val="center"/>
          </w:tcPr>
          <w:p w14:paraId="012BEB0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1402" w:type="dxa"/>
            <w:tcBorders>
              <w:top w:val="nil"/>
              <w:left w:val="nil"/>
              <w:bottom w:val="single" w:color="auto" w:sz="4" w:space="0"/>
              <w:right w:val="single" w:color="auto" w:sz="4" w:space="0"/>
            </w:tcBorders>
            <w:noWrap w:val="0"/>
            <w:vAlign w:val="center"/>
          </w:tcPr>
          <w:p w14:paraId="6554AF4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6FAE41A1">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148803E9">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5E21FD61">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2F7F544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6AB951E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noWrap w:val="0"/>
            <w:vAlign w:val="center"/>
          </w:tcPr>
          <w:p w14:paraId="06EF9307">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402" w:type="dxa"/>
            <w:tcBorders>
              <w:top w:val="nil"/>
              <w:left w:val="nil"/>
              <w:bottom w:val="single" w:color="auto" w:sz="4" w:space="0"/>
              <w:right w:val="single" w:color="auto" w:sz="4" w:space="0"/>
            </w:tcBorders>
            <w:noWrap w:val="0"/>
            <w:vAlign w:val="center"/>
          </w:tcPr>
          <w:p w14:paraId="3551ACA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DB9ECBC">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03713CC9">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690" w:type="dxa"/>
            <w:tcBorders>
              <w:top w:val="nil"/>
              <w:left w:val="nil"/>
              <w:bottom w:val="single" w:color="auto" w:sz="4" w:space="0"/>
              <w:right w:val="single" w:color="auto" w:sz="4" w:space="0"/>
            </w:tcBorders>
            <w:noWrap w:val="0"/>
            <w:vAlign w:val="center"/>
          </w:tcPr>
          <w:p w14:paraId="095CE77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4BB501E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6FB8AE2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20889BF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402" w:type="dxa"/>
            <w:tcBorders>
              <w:top w:val="nil"/>
              <w:left w:val="nil"/>
              <w:bottom w:val="single" w:color="auto" w:sz="4" w:space="0"/>
              <w:right w:val="single" w:color="auto" w:sz="4" w:space="0"/>
            </w:tcBorders>
            <w:noWrap w:val="0"/>
            <w:vAlign w:val="center"/>
          </w:tcPr>
          <w:p w14:paraId="3EF179F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5D19ADA">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B33A144">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267B103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76F7E21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48F409A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noWrap w:val="0"/>
            <w:vAlign w:val="center"/>
          </w:tcPr>
          <w:p w14:paraId="24373B8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402" w:type="dxa"/>
            <w:tcBorders>
              <w:top w:val="nil"/>
              <w:left w:val="nil"/>
              <w:bottom w:val="single" w:color="auto" w:sz="4" w:space="0"/>
              <w:right w:val="single" w:color="auto" w:sz="4" w:space="0"/>
            </w:tcBorders>
            <w:noWrap w:val="0"/>
            <w:vAlign w:val="center"/>
          </w:tcPr>
          <w:p w14:paraId="5D56865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10F389E">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79D74A2">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690" w:type="dxa"/>
            <w:tcBorders>
              <w:top w:val="nil"/>
              <w:left w:val="nil"/>
              <w:bottom w:val="single" w:color="auto" w:sz="4" w:space="0"/>
              <w:right w:val="single" w:color="auto" w:sz="4" w:space="0"/>
            </w:tcBorders>
            <w:noWrap w:val="0"/>
            <w:vAlign w:val="center"/>
          </w:tcPr>
          <w:p w14:paraId="34F715E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5A0BA056">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24833F8B">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5F538ED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402" w:type="dxa"/>
            <w:tcBorders>
              <w:top w:val="nil"/>
              <w:left w:val="nil"/>
              <w:bottom w:val="single" w:color="auto" w:sz="4" w:space="0"/>
              <w:right w:val="single" w:color="auto" w:sz="4" w:space="0"/>
            </w:tcBorders>
            <w:noWrap w:val="0"/>
            <w:vAlign w:val="center"/>
          </w:tcPr>
          <w:p w14:paraId="497530B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07AA2866">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27559E78">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3BE436B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0FA37BD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46306C5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noWrap w:val="0"/>
            <w:vAlign w:val="center"/>
          </w:tcPr>
          <w:p w14:paraId="41C847E6">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402" w:type="dxa"/>
            <w:tcBorders>
              <w:top w:val="nil"/>
              <w:left w:val="nil"/>
              <w:bottom w:val="single" w:color="auto" w:sz="4" w:space="0"/>
              <w:right w:val="single" w:color="auto" w:sz="4" w:space="0"/>
            </w:tcBorders>
            <w:noWrap w:val="0"/>
            <w:vAlign w:val="center"/>
          </w:tcPr>
          <w:p w14:paraId="58716F8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492EA21">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33C2D504">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690" w:type="dxa"/>
            <w:tcBorders>
              <w:top w:val="nil"/>
              <w:left w:val="nil"/>
              <w:bottom w:val="single" w:color="auto" w:sz="4" w:space="0"/>
              <w:right w:val="single" w:color="auto" w:sz="4" w:space="0"/>
            </w:tcBorders>
            <w:noWrap w:val="0"/>
            <w:vAlign w:val="center"/>
          </w:tcPr>
          <w:p w14:paraId="7F16273A">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2374A0B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70A79BC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5B9E6AB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402" w:type="dxa"/>
            <w:tcBorders>
              <w:top w:val="nil"/>
              <w:left w:val="nil"/>
              <w:bottom w:val="single" w:color="auto" w:sz="4" w:space="0"/>
              <w:right w:val="single" w:color="auto" w:sz="4" w:space="0"/>
            </w:tcBorders>
            <w:noWrap w:val="0"/>
            <w:vAlign w:val="center"/>
          </w:tcPr>
          <w:p w14:paraId="68804D0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295FDFD0">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2375AF3D">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5A8AE36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4FAD6EF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5BA0E42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noWrap w:val="0"/>
            <w:vAlign w:val="center"/>
          </w:tcPr>
          <w:p w14:paraId="6D47593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402" w:type="dxa"/>
            <w:tcBorders>
              <w:top w:val="nil"/>
              <w:left w:val="nil"/>
              <w:bottom w:val="single" w:color="auto" w:sz="4" w:space="0"/>
              <w:right w:val="single" w:color="auto" w:sz="4" w:space="0"/>
            </w:tcBorders>
            <w:noWrap w:val="0"/>
            <w:vAlign w:val="center"/>
          </w:tcPr>
          <w:p w14:paraId="5537120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7152054">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212FA9E1">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690" w:type="dxa"/>
            <w:tcBorders>
              <w:top w:val="nil"/>
              <w:left w:val="nil"/>
              <w:bottom w:val="single" w:color="auto" w:sz="4" w:space="0"/>
              <w:right w:val="single" w:color="auto" w:sz="4" w:space="0"/>
            </w:tcBorders>
            <w:noWrap w:val="0"/>
            <w:vAlign w:val="center"/>
          </w:tcPr>
          <w:p w14:paraId="39617FF7">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1FEF58EE">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093AF59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noWrap w:val="0"/>
            <w:vAlign w:val="center"/>
          </w:tcPr>
          <w:p w14:paraId="1CA1C6B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402" w:type="dxa"/>
            <w:tcBorders>
              <w:top w:val="nil"/>
              <w:left w:val="nil"/>
              <w:bottom w:val="single" w:color="auto" w:sz="4" w:space="0"/>
              <w:right w:val="single" w:color="auto" w:sz="4" w:space="0"/>
            </w:tcBorders>
            <w:noWrap w:val="0"/>
            <w:vAlign w:val="center"/>
          </w:tcPr>
          <w:p w14:paraId="0FD36AA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5E85451">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EB9D53E">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6EB56AB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735E3E2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3533489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noWrap w:val="0"/>
            <w:vAlign w:val="center"/>
          </w:tcPr>
          <w:p w14:paraId="38761A5B">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402" w:type="dxa"/>
            <w:tcBorders>
              <w:top w:val="nil"/>
              <w:left w:val="nil"/>
              <w:bottom w:val="single" w:color="auto" w:sz="4" w:space="0"/>
              <w:right w:val="single" w:color="auto" w:sz="4" w:space="0"/>
            </w:tcBorders>
            <w:noWrap w:val="0"/>
            <w:vAlign w:val="center"/>
          </w:tcPr>
          <w:p w14:paraId="13C4E61A">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089E629">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116C2B9F">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690" w:type="dxa"/>
            <w:tcBorders>
              <w:top w:val="nil"/>
              <w:left w:val="nil"/>
              <w:bottom w:val="single" w:color="auto" w:sz="4" w:space="0"/>
              <w:right w:val="single" w:color="auto" w:sz="4" w:space="0"/>
            </w:tcBorders>
            <w:noWrap w:val="0"/>
            <w:vAlign w:val="center"/>
          </w:tcPr>
          <w:p w14:paraId="08FD511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2C2F580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599BED5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6D1D9CFA">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402" w:type="dxa"/>
            <w:tcBorders>
              <w:top w:val="nil"/>
              <w:left w:val="nil"/>
              <w:bottom w:val="single" w:color="auto" w:sz="4" w:space="0"/>
              <w:right w:val="single" w:color="auto" w:sz="4" w:space="0"/>
            </w:tcBorders>
            <w:noWrap w:val="0"/>
            <w:vAlign w:val="center"/>
          </w:tcPr>
          <w:p w14:paraId="0049C81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550A5B9">
        <w:tblPrEx>
          <w:tblCellMar>
            <w:top w:w="0" w:type="dxa"/>
            <w:left w:w="108" w:type="dxa"/>
            <w:bottom w:w="0" w:type="dxa"/>
            <w:right w:w="108" w:type="dxa"/>
          </w:tblCellMar>
        </w:tblPrEx>
        <w:trPr>
          <w:trHeight w:val="323" w:hRule="exac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518C23F0">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6E69EC4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046376F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79E4F5C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noWrap w:val="0"/>
            <w:vAlign w:val="center"/>
          </w:tcPr>
          <w:p w14:paraId="0AFF45E7">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1402" w:type="dxa"/>
            <w:tcBorders>
              <w:top w:val="nil"/>
              <w:left w:val="nil"/>
              <w:bottom w:val="single" w:color="auto" w:sz="4" w:space="0"/>
              <w:right w:val="single" w:color="auto" w:sz="4" w:space="0"/>
            </w:tcBorders>
            <w:noWrap w:val="0"/>
            <w:vAlign w:val="center"/>
          </w:tcPr>
          <w:p w14:paraId="72FA9AA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75B3C28A">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055EC044">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690" w:type="dxa"/>
            <w:tcBorders>
              <w:top w:val="nil"/>
              <w:left w:val="nil"/>
              <w:bottom w:val="single" w:color="auto" w:sz="4" w:space="0"/>
              <w:right w:val="single" w:color="auto" w:sz="4" w:space="0"/>
            </w:tcBorders>
            <w:noWrap w:val="0"/>
            <w:vAlign w:val="center"/>
          </w:tcPr>
          <w:p w14:paraId="268F846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0F98343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39CDEB00">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noWrap w:val="0"/>
            <w:vAlign w:val="center"/>
          </w:tcPr>
          <w:p w14:paraId="160477C1">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100≤X＜1000</w:t>
            </w:r>
          </w:p>
        </w:tc>
        <w:tc>
          <w:tcPr>
            <w:tcW w:w="1402" w:type="dxa"/>
            <w:tcBorders>
              <w:top w:val="nil"/>
              <w:left w:val="nil"/>
              <w:bottom w:val="single" w:color="auto" w:sz="4" w:space="0"/>
              <w:right w:val="single" w:color="auto" w:sz="4" w:space="0"/>
            </w:tcBorders>
            <w:noWrap w:val="0"/>
            <w:vAlign w:val="center"/>
          </w:tcPr>
          <w:p w14:paraId="2E033FD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3FA1F17F">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1B514D68">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7E3713F5">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noWrap w:val="0"/>
            <w:vAlign w:val="center"/>
          </w:tcPr>
          <w:p w14:paraId="6C37CAE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7EAADD6A">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noWrap w:val="0"/>
            <w:vAlign w:val="center"/>
          </w:tcPr>
          <w:p w14:paraId="7FD3E91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2000≤Y＜5000</w:t>
            </w:r>
          </w:p>
        </w:tc>
        <w:tc>
          <w:tcPr>
            <w:tcW w:w="1402" w:type="dxa"/>
            <w:tcBorders>
              <w:top w:val="nil"/>
              <w:left w:val="nil"/>
              <w:bottom w:val="single" w:color="auto" w:sz="4" w:space="0"/>
              <w:right w:val="single" w:color="auto" w:sz="4" w:space="0"/>
            </w:tcBorders>
            <w:noWrap w:val="0"/>
            <w:vAlign w:val="center"/>
          </w:tcPr>
          <w:p w14:paraId="4BD7CD76">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Y＜2000</w:t>
            </w:r>
          </w:p>
        </w:tc>
      </w:tr>
      <w:tr w14:paraId="38557405">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387FCC7D">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690" w:type="dxa"/>
            <w:tcBorders>
              <w:top w:val="nil"/>
              <w:left w:val="nil"/>
              <w:bottom w:val="single" w:color="auto" w:sz="4" w:space="0"/>
              <w:right w:val="single" w:color="auto" w:sz="4" w:space="0"/>
            </w:tcBorders>
            <w:noWrap w:val="0"/>
            <w:vAlign w:val="center"/>
          </w:tcPr>
          <w:p w14:paraId="3403F1C1">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6568D7A1">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37E60CA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14A57D0B">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02" w:type="dxa"/>
            <w:tcBorders>
              <w:top w:val="nil"/>
              <w:left w:val="nil"/>
              <w:bottom w:val="single" w:color="auto" w:sz="4" w:space="0"/>
              <w:right w:val="single" w:color="auto" w:sz="4" w:space="0"/>
            </w:tcBorders>
            <w:noWrap w:val="0"/>
            <w:vAlign w:val="center"/>
          </w:tcPr>
          <w:p w14:paraId="1F81F73A">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536F2DFA">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727B541">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1DEDC66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71C2FB8D">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10DF5B1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noWrap w:val="0"/>
            <w:vAlign w:val="center"/>
          </w:tcPr>
          <w:p w14:paraId="7A91648B">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1402" w:type="dxa"/>
            <w:tcBorders>
              <w:top w:val="nil"/>
              <w:left w:val="nil"/>
              <w:bottom w:val="single" w:color="auto" w:sz="4" w:space="0"/>
              <w:right w:val="single" w:color="auto" w:sz="4" w:space="0"/>
            </w:tcBorders>
            <w:noWrap w:val="0"/>
            <w:vAlign w:val="center"/>
          </w:tcPr>
          <w:p w14:paraId="4EF8C35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7B8DC7F3">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59ABFA9">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690" w:type="dxa"/>
            <w:tcBorders>
              <w:top w:val="nil"/>
              <w:left w:val="nil"/>
              <w:bottom w:val="single" w:color="auto" w:sz="4" w:space="0"/>
              <w:right w:val="single" w:color="auto" w:sz="4" w:space="0"/>
            </w:tcBorders>
            <w:noWrap w:val="0"/>
            <w:vAlign w:val="center"/>
          </w:tcPr>
          <w:p w14:paraId="0A56FC5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672E4E5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6439320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34D3D002">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402" w:type="dxa"/>
            <w:tcBorders>
              <w:top w:val="nil"/>
              <w:left w:val="nil"/>
              <w:bottom w:val="single" w:color="auto" w:sz="4" w:space="0"/>
              <w:right w:val="single" w:color="auto" w:sz="4" w:space="0"/>
            </w:tcBorders>
            <w:noWrap w:val="0"/>
            <w:vAlign w:val="center"/>
          </w:tcPr>
          <w:p w14:paraId="61D1B301">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2C43B67">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789C015">
            <w:pPr>
              <w:widowControl/>
              <w:spacing w:line="360" w:lineRule="auto"/>
              <w:jc w:val="left"/>
              <w:rPr>
                <w:rFonts w:hint="eastAsia" w:ascii="宋体" w:hAnsi="宋体" w:cs="宋体"/>
                <w:b/>
                <w:bCs/>
                <w:color w:val="auto"/>
                <w:kern w:val="0"/>
                <w:sz w:val="18"/>
                <w:szCs w:val="18"/>
              </w:rPr>
            </w:pPr>
          </w:p>
        </w:tc>
        <w:tc>
          <w:tcPr>
            <w:tcW w:w="1690" w:type="dxa"/>
            <w:tcBorders>
              <w:top w:val="nil"/>
              <w:left w:val="nil"/>
              <w:bottom w:val="single" w:color="auto" w:sz="4" w:space="0"/>
              <w:right w:val="single" w:color="auto" w:sz="4" w:space="0"/>
            </w:tcBorders>
            <w:noWrap w:val="0"/>
            <w:vAlign w:val="center"/>
          </w:tcPr>
          <w:p w14:paraId="7643560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noWrap w:val="0"/>
            <w:vAlign w:val="center"/>
          </w:tcPr>
          <w:p w14:paraId="25B2E098">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14:paraId="1415F8F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noWrap w:val="0"/>
            <w:vAlign w:val="center"/>
          </w:tcPr>
          <w:p w14:paraId="424BE78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1402" w:type="dxa"/>
            <w:tcBorders>
              <w:top w:val="nil"/>
              <w:left w:val="nil"/>
              <w:bottom w:val="single" w:color="auto" w:sz="4" w:space="0"/>
              <w:right w:val="single" w:color="auto" w:sz="4" w:space="0"/>
            </w:tcBorders>
            <w:noWrap w:val="0"/>
            <w:vAlign w:val="center"/>
          </w:tcPr>
          <w:p w14:paraId="744B0C89">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A348BF0">
        <w:tblPrEx>
          <w:tblCellMar>
            <w:top w:w="0" w:type="dxa"/>
            <w:left w:w="108" w:type="dxa"/>
            <w:bottom w:w="0" w:type="dxa"/>
            <w:right w:w="108" w:type="dxa"/>
          </w:tblCellMar>
        </w:tblPrEx>
        <w:trPr>
          <w:trHeight w:val="225" w:hRule="atLeast"/>
          <w:jc w:val="center"/>
        </w:trPr>
        <w:tc>
          <w:tcPr>
            <w:tcW w:w="1945" w:type="dxa"/>
            <w:tcBorders>
              <w:top w:val="nil"/>
              <w:left w:val="single" w:color="auto" w:sz="4" w:space="0"/>
              <w:bottom w:val="single" w:color="auto" w:sz="4" w:space="0"/>
              <w:right w:val="single" w:color="auto" w:sz="4" w:space="0"/>
            </w:tcBorders>
            <w:noWrap w:val="0"/>
            <w:vAlign w:val="bottom"/>
          </w:tcPr>
          <w:p w14:paraId="2F109E0C">
            <w:pPr>
              <w:widowControl/>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690" w:type="dxa"/>
            <w:tcBorders>
              <w:top w:val="nil"/>
              <w:left w:val="nil"/>
              <w:bottom w:val="single" w:color="auto" w:sz="4" w:space="0"/>
              <w:right w:val="single" w:color="auto" w:sz="4" w:space="0"/>
            </w:tcBorders>
            <w:noWrap w:val="0"/>
            <w:vAlign w:val="center"/>
          </w:tcPr>
          <w:p w14:paraId="4E75553F">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1AC5DC44">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14:paraId="306477BC">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220B50C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402" w:type="dxa"/>
            <w:tcBorders>
              <w:top w:val="nil"/>
              <w:left w:val="nil"/>
              <w:bottom w:val="single" w:color="auto" w:sz="4" w:space="0"/>
              <w:right w:val="single" w:color="auto" w:sz="4" w:space="0"/>
            </w:tcBorders>
            <w:noWrap w:val="0"/>
            <w:vAlign w:val="center"/>
          </w:tcPr>
          <w:p w14:paraId="5346F9A3">
            <w:pPr>
              <w:widowControl/>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6CC5218C">
      <w:pPr>
        <w:spacing w:line="360" w:lineRule="auto"/>
        <w:ind w:firstLine="525" w:firstLineChars="250"/>
        <w:rPr>
          <w:rFonts w:hint="eastAsia" w:ascii="宋体" w:hAnsi="宋体" w:cs="宋体"/>
          <w:color w:val="auto"/>
          <w:szCs w:val="21"/>
        </w:rPr>
      </w:pPr>
    </w:p>
    <w:p w14:paraId="71C589E2">
      <w:pPr>
        <w:spacing w:line="360" w:lineRule="auto"/>
        <w:ind w:firstLine="525" w:firstLineChars="250"/>
        <w:rPr>
          <w:rFonts w:hint="eastAsia" w:ascii="宋体" w:hAnsi="宋体" w:cs="宋体"/>
          <w:b/>
          <w:bCs/>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D7D1AD4">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rPr>
      </w:pPr>
      <w:bookmarkStart w:id="18" w:name="_Toc19871"/>
      <w:r>
        <w:rPr>
          <w:rFonts w:hint="eastAsia"/>
          <w:color w:val="auto"/>
        </w:rPr>
        <w:t>第四章  评审程序、评审方法和评审标准</w:t>
      </w:r>
      <w:bookmarkEnd w:id="18"/>
    </w:p>
    <w:p w14:paraId="07F9AFC8">
      <w:pPr>
        <w:spacing w:line="360" w:lineRule="auto"/>
        <w:jc w:val="center"/>
        <w:rPr>
          <w:rFonts w:hint="eastAsia" w:ascii="宋体" w:hAnsi="宋体"/>
          <w:b/>
          <w:color w:val="auto"/>
          <w:sz w:val="32"/>
          <w:szCs w:val="32"/>
        </w:rPr>
      </w:pPr>
      <w:r>
        <w:rPr>
          <w:rFonts w:hint="eastAsia" w:ascii="宋体" w:hAnsi="宋体"/>
          <w:b/>
          <w:color w:val="auto"/>
          <w:sz w:val="32"/>
          <w:szCs w:val="32"/>
        </w:rPr>
        <w:t>一、评审程序和评审方法</w:t>
      </w:r>
    </w:p>
    <w:p w14:paraId="5C2D0932">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454588CE">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104D310F">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14:paraId="2B41C92F">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（1）查询渠道： “信用中国”网站(www.creditchina.gov.cn)、中国政府采购网(www.ccgp.gov.cn)。</w:t>
      </w:r>
    </w:p>
    <w:p w14:paraId="4813F3DA">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29BDDC6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14:paraId="604834A6">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14:paraId="1455FA0B">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22923444">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611FA8D2">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2EAFD0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（2）未按磋商文件规定的方式获取本磋商文件的供应商；</w:t>
      </w:r>
    </w:p>
    <w:p w14:paraId="59C3E0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14:paraId="73342F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370EADE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7E703800">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362F0DAE">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1A593479">
      <w:pPr>
        <w:spacing w:line="360" w:lineRule="auto"/>
        <w:ind w:firstLine="420" w:firstLineChars="200"/>
        <w:rPr>
          <w:rFonts w:hint="eastAsia" w:ascii="宋体" w:hAnsi="宋体" w:cs="宋体"/>
          <w:color w:val="auto"/>
          <w:szCs w:val="21"/>
        </w:rPr>
      </w:pPr>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p w14:paraId="22A50184">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C701E4">
      <w:pPr>
        <w:spacing w:line="360" w:lineRule="auto"/>
        <w:ind w:firstLine="420" w:firstLineChars="200"/>
        <w:rPr>
          <w:rFonts w:hint="eastAsia"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14:paraId="747FCF09">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35EA491">
      <w:pPr>
        <w:spacing w:line="360" w:lineRule="auto"/>
        <w:ind w:firstLine="396" w:firstLineChars="200"/>
        <w:rPr>
          <w:rFonts w:hint="eastAsia"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3DBBBB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25F75B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61F4E2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54D6F2B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08C2E0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19B2372C">
      <w:pPr>
        <w:spacing w:line="360" w:lineRule="auto"/>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2439AD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在评审时，如发现下列情形之一的，将被视为响应文件无效处理：</w:t>
      </w:r>
    </w:p>
    <w:p w14:paraId="51C2C10B">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030251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1）响应文件未按磋商文件要求签署、盖章；</w:t>
      </w:r>
    </w:p>
    <w:p w14:paraId="6318620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2）委托代理人未能出具有效身份证或者出具的身份证与授权委托书中的信息不符的； </w:t>
      </w:r>
    </w:p>
    <w:p w14:paraId="278811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B19AF7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4）商务、技术要求允许负偏离的条款数超过“供应商须知前附表”规定项数的；</w:t>
      </w:r>
    </w:p>
    <w:p w14:paraId="2CD2722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5）未对竞标有效期作出响应或者响应文件承诺的竞标有效期不满足磋商文件要求；</w:t>
      </w:r>
    </w:p>
    <w:p w14:paraId="0D55C1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6）响应文件的实质性内容未使用中文表述、使用计量单位不符合磋商文件要求；</w:t>
      </w:r>
    </w:p>
    <w:p w14:paraId="258155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7）响应文件中的文件资料因填写不齐全或者内容虚假或者出现其他情形而导致被磋商小组认定无效；</w:t>
      </w:r>
    </w:p>
    <w:p w14:paraId="0908EC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8）响应文件含有采购人不能接受的附加条件；</w:t>
      </w:r>
    </w:p>
    <w:p w14:paraId="1437A4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9）属于“供应商须知正文”第7.</w:t>
      </w:r>
      <w:r>
        <w:rPr>
          <w:rFonts w:ascii="宋体" w:hAnsi="宋体" w:cs="宋体"/>
          <w:color w:val="auto"/>
          <w:szCs w:val="21"/>
        </w:rPr>
        <w:t>5</w:t>
      </w:r>
      <w:r>
        <w:rPr>
          <w:rFonts w:hint="eastAsia" w:ascii="宋体" w:hAnsi="宋体" w:cs="宋体"/>
          <w:color w:val="auto"/>
          <w:szCs w:val="21"/>
        </w:rPr>
        <w:t>条情形；</w:t>
      </w:r>
    </w:p>
    <w:p w14:paraId="668EC5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10）虚假竞标，或者出现其他情形而导致被磋商小组认定无效；</w:t>
      </w:r>
    </w:p>
    <w:p w14:paraId="67AD131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11）磋商文件未载明允许提供备选（替代）竞标方案或明确不允许提供备选（替代）竞标方案时，供应商提供了备选（替代）竞标方案的；</w:t>
      </w:r>
    </w:p>
    <w:p w14:paraId="14C91B13">
      <w:pPr>
        <w:spacing w:line="360" w:lineRule="auto"/>
        <w:ind w:firstLine="420" w:firstLineChars="200"/>
        <w:rPr>
          <w:rFonts w:ascii="宋体" w:hAnsi="宋体" w:cs="宋体"/>
          <w:color w:val="auto"/>
          <w:szCs w:val="21"/>
        </w:rPr>
      </w:pPr>
      <w:r>
        <w:rPr>
          <w:rFonts w:hint="eastAsia" w:ascii="宋体" w:hAnsi="宋体" w:cs="宋体"/>
          <w:color w:val="auto"/>
          <w:szCs w:val="21"/>
        </w:rPr>
        <w:t>12）响应文件标注的项目名称或者项目编号与磋商文件标注的项目名称或者项目编号不一致的；</w:t>
      </w:r>
    </w:p>
    <w:p w14:paraId="72AB96E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w:t>
      </w:r>
      <w:r>
        <w:rPr>
          <w:rFonts w:hint="eastAsia" w:ascii="宋体" w:hAnsi="宋体"/>
          <w:color w:val="auto"/>
          <w:szCs w:val="21"/>
        </w:rPr>
        <w:t>竞争性磋商文件明确不允许分包，响应文件拟分包的；</w:t>
      </w:r>
    </w:p>
    <w:p w14:paraId="3D9F9B60">
      <w:pPr>
        <w:spacing w:line="360" w:lineRule="auto"/>
        <w:ind w:firstLine="420" w:firstLineChars="200"/>
        <w:rPr>
          <w:rFonts w:ascii="宋体" w:hAnsi="宋体" w:cs="宋体"/>
          <w:color w:val="auto"/>
          <w:szCs w:val="21"/>
        </w:rPr>
      </w:pPr>
      <w:r>
        <w:rPr>
          <w:rFonts w:hint="eastAsia" w:ascii="宋体" w:hAnsi="宋体" w:cs="宋体"/>
          <w:color w:val="auto"/>
          <w:szCs w:val="21"/>
        </w:rPr>
        <w:t>14）未响应磋商文件实质性要求；</w:t>
      </w:r>
    </w:p>
    <w:p w14:paraId="49CFE3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15）法律、法规和磋商文件规定的其他无效情形。</w:t>
      </w:r>
    </w:p>
    <w:p w14:paraId="07E9A1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642EF2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报价文件中规定的“竞标报价表”；</w:t>
      </w:r>
    </w:p>
    <w:p w14:paraId="26DC7C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2）未采用人民币报价或者未按照磋商文件标明的币种报价；</w:t>
      </w:r>
    </w:p>
    <w:p w14:paraId="7B74A25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30D5F3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分项竞标报价（包含首次报价、最后报价）超过磋商文件分项采购预算金额或者最高限价的（如本项目公布了最高限价）；</w:t>
      </w:r>
    </w:p>
    <w:p w14:paraId="330EC56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0DB39D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w:t>
      </w:r>
      <w:r>
        <w:rPr>
          <w:rFonts w:hint="eastAsia" w:ascii="宋体" w:hAnsi="宋体"/>
          <w:color w:val="auto"/>
          <w:szCs w:val="21"/>
        </w:rPr>
        <w:t>响应文件响应的标的数量及单位与竞争性磋商采购文件要求实质性不一致的。</w:t>
      </w:r>
    </w:p>
    <w:p w14:paraId="487ECE05">
      <w:pPr>
        <w:spacing w:line="360" w:lineRule="auto"/>
        <w:ind w:firstLine="420" w:firstLineChars="200"/>
        <w:rPr>
          <w:rFonts w:hint="eastAsia"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4C0EF1E">
      <w:pPr>
        <w:spacing w:line="360" w:lineRule="auto"/>
        <w:ind w:firstLine="420" w:firstLineChars="200"/>
        <w:rPr>
          <w:rFonts w:hint="eastAsia"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14:paraId="525EF692">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16BFD911">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w:t>
      </w:r>
      <w:r>
        <w:rPr>
          <w:color w:val="auto"/>
        </w:rPr>
        <w:t>在规定时间内在广西政府采购云平台上参加</w:t>
      </w:r>
      <w:r>
        <w:rPr>
          <w:rFonts w:hint="eastAsia"/>
          <w:color w:val="auto"/>
        </w:rPr>
        <w:t>磋商</w:t>
      </w:r>
      <w:r>
        <w:rPr>
          <w:rFonts w:hint="eastAsia" w:ascii="宋体" w:hAnsi="宋体" w:cs="宋体"/>
          <w:color w:val="auto"/>
          <w:szCs w:val="21"/>
        </w:rPr>
        <w:t>，未在规定时间内参加磋商的视同放弃参加磋商权利，其响应文件按无效响应处理。</w:t>
      </w:r>
    </w:p>
    <w:p w14:paraId="0A314770">
      <w:pPr>
        <w:spacing w:line="360" w:lineRule="auto"/>
        <w:ind w:firstLine="420" w:firstLineChars="200"/>
        <w:rPr>
          <w:rFonts w:hint="eastAsia"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638121F">
      <w:pPr>
        <w:spacing w:line="360" w:lineRule="auto"/>
        <w:ind w:firstLine="420" w:firstLineChars="200"/>
        <w:rPr>
          <w:rFonts w:hint="eastAsia"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14:paraId="4733F753">
      <w:pPr>
        <w:spacing w:line="360" w:lineRule="auto"/>
        <w:ind w:firstLine="420" w:firstLineChars="200"/>
        <w:rPr>
          <w:rFonts w:hint="eastAsia"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FEE0069">
      <w:pPr>
        <w:spacing w:line="360" w:lineRule="auto"/>
        <w:ind w:firstLine="420" w:firstLineChars="200"/>
        <w:rPr>
          <w:rFonts w:hint="eastAsia"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53FDC57C">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采购代理机构对磋商过程和重要磋商内容进行记录。</w:t>
      </w:r>
    </w:p>
    <w:p w14:paraId="1550A8B1">
      <w:pPr>
        <w:tabs>
          <w:tab w:val="left" w:pos="2835"/>
        </w:tabs>
        <w:spacing w:line="360" w:lineRule="auto"/>
        <w:ind w:firstLine="420" w:firstLineChars="200"/>
        <w:rPr>
          <w:rFonts w:hint="eastAsia"/>
          <w:color w:val="auto"/>
        </w:rPr>
      </w:pPr>
      <w:r>
        <w:rPr>
          <w:rFonts w:hint="eastAsia" w:ascii="宋体" w:hAnsi="宋体" w:cs="宋体"/>
          <w:color w:val="auto"/>
          <w:szCs w:val="21"/>
        </w:rPr>
        <w:t>3</w:t>
      </w:r>
      <w:r>
        <w:rPr>
          <w:rFonts w:ascii="宋体" w:hAnsi="宋体" w:cs="宋体"/>
          <w:color w:val="auto"/>
          <w:szCs w:val="21"/>
        </w:rPr>
        <w:t>.7</w:t>
      </w:r>
      <w:r>
        <w:rPr>
          <w:color w:va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B8B99A">
      <w:pPr>
        <w:tabs>
          <w:tab w:val="left" w:pos="2835"/>
        </w:tabs>
        <w:spacing w:line="360" w:lineRule="auto"/>
        <w:ind w:firstLine="420" w:firstLineChars="200"/>
        <w:rPr>
          <w:rFonts w:hint="eastAsia" w:ascii="宋体" w:hAnsi="宋体" w:cs="宋体"/>
          <w:color w:val="auto"/>
          <w:szCs w:val="21"/>
        </w:rPr>
      </w:pPr>
      <w:r>
        <w:rPr>
          <w:color w:val="auto"/>
        </w:rPr>
        <w:t>3.8除本章第3.7条情形</w:t>
      </w:r>
      <w:r>
        <w:rPr>
          <w:rFonts w:hint="eastAsia"/>
          <w:color w:val="auto"/>
        </w:rPr>
        <w:t>外，</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14:paraId="060ED299">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14:paraId="6E45A758">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344BE250">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2A19CC60">
      <w:pPr>
        <w:spacing w:line="360" w:lineRule="auto"/>
        <w:ind w:firstLine="420" w:firstLineChars="200"/>
        <w:rPr>
          <w:rFonts w:hint="eastAsia"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rPr>
        <w:t>本</w:t>
      </w:r>
      <w:r>
        <w:rPr>
          <w:rFonts w:ascii="宋体" w:hAnsi="宋体" w:cs="宋体"/>
          <w:color w:val="auto"/>
          <w:szCs w:val="21"/>
        </w:rPr>
        <w:t>章第3.7条情</w:t>
      </w:r>
      <w:r>
        <w:rPr>
          <w:color w:val="auto"/>
        </w:rPr>
        <w:t>形的，</w:t>
      </w:r>
      <w:r>
        <w:rPr>
          <w:rFonts w:hint="eastAsia" w:ascii="宋体" w:hAnsi="宋体" w:cs="宋体"/>
          <w:color w:val="auto"/>
          <w:szCs w:val="21"/>
        </w:rPr>
        <w:t>提交最后报价的供应商可以为2家。</w:t>
      </w:r>
    </w:p>
    <w:p w14:paraId="7885A4CB">
      <w:pPr>
        <w:spacing w:line="360" w:lineRule="auto"/>
        <w:ind w:firstLine="420" w:firstLineChars="200"/>
        <w:rPr>
          <w:rFonts w:hint="eastAsia"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w:t>
      </w:r>
    </w:p>
    <w:p w14:paraId="7F00DBDC">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14:paraId="0DA82AF0">
      <w:pPr>
        <w:spacing w:line="360" w:lineRule="auto"/>
        <w:ind w:firstLine="420" w:firstLineChars="200"/>
        <w:rPr>
          <w:rFonts w:hint="eastAsia"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14:paraId="64D53B98">
      <w:pPr>
        <w:spacing w:line="360" w:lineRule="auto"/>
        <w:ind w:firstLine="420" w:firstLineChars="200"/>
        <w:rPr>
          <w:rFonts w:hint="eastAsia"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4AD10E9F">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77D0670E">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19395ED0">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14:paraId="0EC121C3">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14:paraId="166040EA">
      <w:pPr>
        <w:spacing w:line="360" w:lineRule="auto"/>
        <w:ind w:firstLine="420" w:firstLineChars="200"/>
        <w:rPr>
          <w:rFonts w:hint="eastAsia"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553DE152">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27D261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14:paraId="206472E0">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6D70765A">
      <w:pPr>
        <w:spacing w:line="360" w:lineRule="auto"/>
        <w:ind w:firstLine="420" w:firstLineChars="200"/>
        <w:rPr>
          <w:rFonts w:hint="eastAsia"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061E5717">
      <w:pPr>
        <w:spacing w:line="360" w:lineRule="auto"/>
        <w:ind w:firstLine="420" w:firstLineChars="200"/>
        <w:rPr>
          <w:rFonts w:hint="eastAsia"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18EB663D">
      <w:pPr>
        <w:spacing w:line="360" w:lineRule="auto"/>
        <w:ind w:firstLine="420" w:firstLineChars="200"/>
        <w:rPr>
          <w:rFonts w:hint="eastAsia"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2E222A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76E323F4">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42B8E9E4">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1D38B899">
      <w:pPr>
        <w:spacing w:line="360" w:lineRule="auto"/>
        <w:ind w:firstLine="420" w:firstLineChars="200"/>
        <w:rPr>
          <w:rFonts w:hint="eastAsia"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464870E7">
      <w:pPr>
        <w:spacing w:line="360" w:lineRule="auto"/>
        <w:ind w:firstLine="420" w:firstLineChars="200"/>
        <w:rPr>
          <w:rFonts w:hint="eastAsia"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F7F662">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1D63FED6">
      <w:pPr>
        <w:spacing w:line="360" w:lineRule="auto"/>
        <w:ind w:firstLine="420" w:firstLineChars="200"/>
        <w:rPr>
          <w:rFonts w:hint="eastAsia"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评审依据：磋商小组将以磋商响应文件为评审依据，对供应商的报价、技术、商务等方面内容按百分制打分。（计分方法按四舍五入取至百分位）</w:t>
      </w:r>
    </w:p>
    <w:tbl>
      <w:tblPr>
        <w:tblStyle w:val="21"/>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179"/>
        <w:gridCol w:w="6484"/>
      </w:tblGrid>
      <w:tr w14:paraId="6C5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54" w:type="dxa"/>
            <w:noWrap w:val="0"/>
            <w:vAlign w:val="center"/>
          </w:tcPr>
          <w:p w14:paraId="07AD15D4">
            <w:pPr>
              <w:shd w:val="clear" w:color="auto" w:fill="auto"/>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79" w:type="dxa"/>
            <w:noWrap w:val="0"/>
            <w:vAlign w:val="center"/>
          </w:tcPr>
          <w:p w14:paraId="2194C875">
            <w:pPr>
              <w:shd w:val="clear" w:color="auto" w:fill="auto"/>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6484" w:type="dxa"/>
            <w:noWrap w:val="0"/>
            <w:vAlign w:val="center"/>
          </w:tcPr>
          <w:p w14:paraId="40ECF95E">
            <w:pPr>
              <w:shd w:val="clear" w:color="auto" w:fill="auto"/>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1C36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954" w:type="dxa"/>
            <w:noWrap w:val="0"/>
            <w:vAlign w:val="center"/>
          </w:tcPr>
          <w:p w14:paraId="6CB5AA50">
            <w:pPr>
              <w:shd w:val="clear" w:color="auto" w:fill="auto"/>
              <w:adjustRightInd w:val="0"/>
              <w:spacing w:line="360" w:lineRule="auto"/>
              <w:jc w:val="center"/>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2179" w:type="dxa"/>
            <w:noWrap w:val="0"/>
            <w:vAlign w:val="center"/>
          </w:tcPr>
          <w:p w14:paraId="72BC7A09">
            <w:pPr>
              <w:keepNext w:val="0"/>
              <w:keepLines w:val="0"/>
              <w:pageBreakBefore w:val="0"/>
              <w:shd w:val="clear" w:color="auto" w:fill="auto"/>
              <w:kinsoku/>
              <w:wordWrap/>
              <w:overflowPunct/>
              <w:topLinePunct w:val="0"/>
              <w:autoSpaceDE/>
              <w:autoSpaceDN/>
              <w:bidi w:val="0"/>
              <w:adjustRightInd/>
              <w:snapToGrid/>
              <w:spacing w:line="360" w:lineRule="auto"/>
              <w:ind w:left="1052" w:leftChars="300" w:hanging="422" w:hangingChars="200"/>
              <w:jc w:val="both"/>
              <w:textAlignment w:val="auto"/>
              <w:rPr>
                <w:rFonts w:hint="eastAsia" w:ascii="宋体" w:hAnsi="宋体" w:cs="Tahoma"/>
                <w:b/>
                <w:bCs/>
                <w:color w:val="auto"/>
                <w:kern w:val="0"/>
                <w:szCs w:val="21"/>
                <w:lang w:val="en-US" w:eastAsia="zh-CN"/>
              </w:rPr>
            </w:pPr>
            <w:r>
              <w:rPr>
                <w:rFonts w:hint="eastAsia" w:ascii="宋体" w:hAnsi="宋体" w:cs="Tahoma"/>
                <w:b/>
                <w:bCs/>
                <w:color w:val="auto"/>
                <w:kern w:val="0"/>
                <w:szCs w:val="21"/>
              </w:rPr>
              <w:t>价格分</w:t>
            </w:r>
            <w:r>
              <w:rPr>
                <w:rFonts w:hint="eastAsia" w:ascii="宋体" w:hAnsi="宋体" w:cs="Tahoma"/>
                <w:b/>
                <w:bCs/>
                <w:color w:val="auto"/>
                <w:kern w:val="0"/>
                <w:szCs w:val="21"/>
                <w:lang w:val="en-US" w:eastAsia="zh-CN"/>
              </w:rPr>
              <w:t xml:space="preserve">  </w:t>
            </w:r>
          </w:p>
          <w:p w14:paraId="4E0AF70F">
            <w:pPr>
              <w:keepNext w:val="0"/>
              <w:keepLines w:val="0"/>
              <w:pageBreakBefore w:val="0"/>
              <w:shd w:val="clear" w:color="auto" w:fill="auto"/>
              <w:kinsoku/>
              <w:wordWrap/>
              <w:overflowPunct/>
              <w:topLinePunct w:val="0"/>
              <w:autoSpaceDE/>
              <w:autoSpaceDN/>
              <w:bidi w:val="0"/>
              <w:adjustRightInd/>
              <w:snapToGrid/>
              <w:spacing w:line="360" w:lineRule="auto"/>
              <w:ind w:firstLine="211" w:firstLineChars="1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cs="Tahoma"/>
                <w:b/>
                <w:bCs/>
                <w:color w:val="auto"/>
                <w:kern w:val="0"/>
                <w:szCs w:val="21"/>
                <w:lang w:eastAsia="zh-CN"/>
              </w:rPr>
              <w:t>（</w:t>
            </w:r>
            <w:r>
              <w:rPr>
                <w:rFonts w:hint="eastAsia" w:ascii="宋体" w:hAnsi="宋体" w:cs="Tahoma"/>
                <w:b/>
                <w:bCs/>
                <w:color w:val="auto"/>
                <w:kern w:val="0"/>
                <w:szCs w:val="21"/>
                <w:lang w:val="en-US" w:eastAsia="zh-CN"/>
              </w:rPr>
              <w:t>满分10分</w:t>
            </w:r>
            <w:r>
              <w:rPr>
                <w:rFonts w:hint="eastAsia" w:ascii="宋体" w:hAnsi="宋体" w:cs="Tahoma"/>
                <w:b/>
                <w:bCs/>
                <w:color w:val="auto"/>
                <w:kern w:val="0"/>
                <w:szCs w:val="21"/>
                <w:lang w:eastAsia="zh-CN"/>
              </w:rPr>
              <w:t>）</w:t>
            </w:r>
          </w:p>
        </w:tc>
        <w:tc>
          <w:tcPr>
            <w:tcW w:w="6484" w:type="dxa"/>
            <w:noWrap w:val="0"/>
            <w:vAlign w:val="top"/>
          </w:tcPr>
          <w:p w14:paraId="156B1C22">
            <w:pPr>
              <w:shd w:val="clear" w:color="auto" w:fill="auto"/>
              <w:spacing w:line="360" w:lineRule="auto"/>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（1）本项目为专门面向中小企业采购的项目，</w:t>
            </w:r>
            <w:r>
              <w:rPr>
                <w:rFonts w:hint="eastAsia" w:ascii="宋体" w:hAnsi="宋体" w:eastAsia="宋体" w:cs="宋体"/>
                <w:color w:val="auto"/>
                <w:sz w:val="21"/>
                <w:szCs w:val="21"/>
                <w:highlight w:val="none"/>
              </w:rPr>
              <w:t>按照《政府采购促进中小企业发展管理办法》（财库[2020]46号）的规定，专门面向中小企业采购的项目或者采购包，不再执行价格评审优惠的扶持政策。</w:t>
            </w:r>
          </w:p>
          <w:p w14:paraId="4655DB62">
            <w:pPr>
              <w:pStyle w:val="14"/>
              <w:shd w:val="clear" w:color="auto" w:fill="auto"/>
              <w:spacing w:line="360" w:lineRule="auto"/>
              <w:jc w:val="both"/>
              <w:rPr>
                <w:rFonts w:hAnsi="宋体" w:cs="Courier New"/>
                <w:bCs/>
                <w:color w:val="auto"/>
                <w:kern w:val="2"/>
                <w:sz w:val="21"/>
                <w:highlight w:val="none"/>
              </w:rPr>
            </w:pPr>
            <w:r>
              <w:rPr>
                <w:rFonts w:hint="eastAsia" w:hAnsi="宋体" w:cs="Courier New"/>
                <w:bCs/>
                <w:color w:val="auto"/>
                <w:kern w:val="2"/>
                <w:sz w:val="21"/>
                <w:highlight w:val="none"/>
              </w:rPr>
              <w:t>（</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10</w:t>
            </w:r>
            <w:r>
              <w:rPr>
                <w:rFonts w:hint="eastAsia" w:hAnsi="宋体" w:cs="Courier New"/>
                <w:bCs/>
                <w:color w:val="auto"/>
                <w:kern w:val="2"/>
                <w:sz w:val="21"/>
                <w:highlight w:val="none"/>
                <w:u w:val="single"/>
              </w:rPr>
              <w:t>分</w:t>
            </w:r>
            <w:r>
              <w:rPr>
                <w:rFonts w:hint="eastAsia" w:hAnsi="宋体" w:cs="Courier New"/>
                <w:bCs/>
                <w:color w:val="auto"/>
                <w:kern w:val="2"/>
                <w:sz w:val="21"/>
                <w:highlight w:val="none"/>
              </w:rPr>
              <w:t>。</w:t>
            </w:r>
          </w:p>
          <w:p w14:paraId="093BC594">
            <w:pPr>
              <w:pStyle w:val="14"/>
              <w:shd w:val="clear" w:color="auto" w:fill="auto"/>
              <w:spacing w:line="360" w:lineRule="auto"/>
              <w:jc w:val="both"/>
              <w:rPr>
                <w:rFonts w:hAnsi="宋体" w:cs="Courier New"/>
                <w:bCs/>
                <w:color w:val="auto"/>
                <w:kern w:val="2"/>
                <w:sz w:val="21"/>
                <w:highlight w:val="none"/>
              </w:rPr>
            </w:pPr>
            <w:r>
              <w:rPr>
                <w:rFonts w:hint="eastAsia" w:hAnsi="宋体" w:cs="Courier New"/>
                <w:bCs/>
                <w:color w:val="auto"/>
                <w:kern w:val="2"/>
                <w:sz w:val="21"/>
                <w:highlight w:val="none"/>
              </w:rPr>
              <w:t>（</w:t>
            </w: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）价格分计算公式：</w:t>
            </w:r>
          </w:p>
          <w:p w14:paraId="7B858BB7">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hAnsi="宋体" w:cs="Courier New"/>
                <w:bCs/>
                <w:color w:val="auto"/>
                <w:kern w:val="2"/>
                <w:sz w:val="21"/>
                <w:highlight w:val="none"/>
              </w:rPr>
            </w:pPr>
            <w:r>
              <w:rPr>
                <w:rFonts w:hint="eastAsia" w:hAnsi="宋体" w:cs="Courier New"/>
                <w:bCs/>
                <w:color w:val="auto"/>
                <w:kern w:val="2"/>
                <w:sz w:val="21"/>
                <w:highlight w:val="none"/>
              </w:rPr>
              <w:t>报价得分=（基准价/供应商最后评审报价）×</w:t>
            </w:r>
            <w:r>
              <w:rPr>
                <w:rFonts w:hint="eastAsia" w:ascii="宋体" w:hAnsi="宋体" w:eastAsia="宋体" w:cs="宋体"/>
                <w:bCs/>
                <w:color w:val="auto"/>
                <w:kern w:val="2"/>
                <w:sz w:val="21"/>
                <w:highlight w:val="none"/>
                <w:u w:val="single"/>
                <w:lang w:val="en-US" w:eastAsia="zh-CN"/>
              </w:rPr>
              <w:t>10</w:t>
            </w:r>
            <w:r>
              <w:rPr>
                <w:rFonts w:hint="eastAsia" w:ascii="宋体" w:hAnsi="宋体" w:eastAsia="宋体" w:cs="宋体"/>
                <w:bCs/>
                <w:color w:val="auto"/>
                <w:kern w:val="2"/>
                <w:sz w:val="21"/>
                <w:highlight w:val="none"/>
                <w:u w:val="single"/>
              </w:rPr>
              <w:t>分</w:t>
            </w:r>
          </w:p>
        </w:tc>
      </w:tr>
      <w:tr w14:paraId="27C6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4" w:type="dxa"/>
            <w:noWrap w:val="0"/>
            <w:vAlign w:val="center"/>
          </w:tcPr>
          <w:p w14:paraId="1B2ED37B">
            <w:pPr>
              <w:shd w:val="clear" w:color="auto" w:fill="auto"/>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2179" w:type="dxa"/>
            <w:noWrap w:val="0"/>
            <w:vAlign w:val="center"/>
          </w:tcPr>
          <w:p w14:paraId="07ADC168">
            <w:pPr>
              <w:shd w:val="clear" w:color="auto" w:fill="auto"/>
              <w:adjustRightInd w:val="0"/>
              <w:spacing w:line="360" w:lineRule="auto"/>
              <w:jc w:val="center"/>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技术分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满分75</w:t>
            </w:r>
            <w:r>
              <w:rPr>
                <w:rFonts w:hint="eastAsia" w:ascii="宋体" w:hAnsi="宋体" w:eastAsia="宋体" w:cs="宋体"/>
                <w:b/>
                <w:color w:val="auto"/>
                <w:sz w:val="21"/>
                <w:szCs w:val="21"/>
                <w:highlight w:val="none"/>
                <w:lang w:eastAsia="zh-CN"/>
              </w:rPr>
              <w:t>）</w:t>
            </w:r>
          </w:p>
        </w:tc>
        <w:tc>
          <w:tcPr>
            <w:tcW w:w="6484" w:type="dxa"/>
            <w:noWrap w:val="0"/>
            <w:vAlign w:val="center"/>
          </w:tcPr>
          <w:p w14:paraId="1570243F">
            <w:pPr>
              <w:shd w:val="clear" w:color="auto" w:fill="auto"/>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cs="Tahoma"/>
                <w:b/>
                <w:color w:val="auto"/>
                <w:kern w:val="0"/>
                <w:szCs w:val="21"/>
              </w:rPr>
              <w:t>评审因素</w:t>
            </w:r>
          </w:p>
        </w:tc>
      </w:tr>
      <w:tr w14:paraId="79D2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54" w:type="dxa"/>
            <w:noWrap w:val="0"/>
            <w:vAlign w:val="center"/>
          </w:tcPr>
          <w:p w14:paraId="66F0900B">
            <w:pPr>
              <w:shd w:val="clear" w:color="auto" w:fill="auto"/>
              <w:adjustRightInd w:val="0"/>
              <w:snapToGrid w:val="0"/>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.1</w:t>
            </w:r>
          </w:p>
        </w:tc>
        <w:tc>
          <w:tcPr>
            <w:tcW w:w="2179" w:type="dxa"/>
            <w:noWrap w:val="0"/>
            <w:vAlign w:val="center"/>
          </w:tcPr>
          <w:p w14:paraId="44BCBC0B">
            <w:pPr>
              <w:shd w:val="clear" w:color="auto" w:fill="auto"/>
              <w:snapToGrid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服务管理措施</w:t>
            </w:r>
            <w:r>
              <w:rPr>
                <w:rFonts w:hint="eastAsia" w:ascii="宋体" w:hAnsi="宋体" w:cs="宋体"/>
                <w:b/>
                <w:bCs/>
                <w:color w:val="auto"/>
                <w:kern w:val="0"/>
                <w:sz w:val="21"/>
                <w:szCs w:val="21"/>
                <w:highlight w:val="none"/>
                <w:lang w:val="en-US" w:eastAsia="zh-CN" w:bidi="ar-SA"/>
              </w:rPr>
              <w:t xml:space="preserve">          </w:t>
            </w:r>
            <w:r>
              <w:rPr>
                <w:rFonts w:hint="eastAsia" w:ascii="宋体" w:hAnsi="宋体" w:eastAsia="宋体" w:cs="宋体"/>
                <w:b/>
                <w:bCs/>
                <w:color w:val="auto"/>
                <w:kern w:val="0"/>
                <w:sz w:val="21"/>
                <w:szCs w:val="21"/>
                <w:highlight w:val="none"/>
                <w:lang w:val="en-US" w:eastAsia="zh-CN" w:bidi="ar-SA"/>
              </w:rPr>
              <w:t>（满分</w:t>
            </w:r>
            <w:r>
              <w:rPr>
                <w:rFonts w:hint="eastAsia" w:ascii="宋体" w:hAnsi="宋体" w:cs="宋体"/>
                <w:b/>
                <w:bCs/>
                <w:color w:val="auto"/>
                <w:kern w:val="0"/>
                <w:sz w:val="21"/>
                <w:szCs w:val="21"/>
                <w:highlight w:val="none"/>
                <w:lang w:val="en-US" w:eastAsia="zh-CN" w:bidi="ar-SA"/>
              </w:rPr>
              <w:t>25</w:t>
            </w:r>
            <w:r>
              <w:rPr>
                <w:rFonts w:hint="eastAsia" w:ascii="宋体" w:hAnsi="宋体" w:eastAsia="宋体" w:cs="宋体"/>
                <w:b/>
                <w:bCs/>
                <w:color w:val="auto"/>
                <w:kern w:val="0"/>
                <w:sz w:val="21"/>
                <w:szCs w:val="21"/>
                <w:highlight w:val="none"/>
                <w:lang w:val="en-US" w:eastAsia="zh-CN" w:bidi="ar-SA"/>
              </w:rPr>
              <w:t xml:space="preserve"> 分）</w:t>
            </w:r>
          </w:p>
        </w:tc>
        <w:tc>
          <w:tcPr>
            <w:tcW w:w="6484" w:type="dxa"/>
            <w:noWrap w:val="0"/>
            <w:vAlign w:val="center"/>
          </w:tcPr>
          <w:p w14:paraId="4120448F">
            <w:pPr>
              <w:widowControl/>
              <w:shd w:val="clear" w:color="auto" w:fill="auto"/>
              <w:snapToGrid w:val="0"/>
              <w:spacing w:line="360" w:lineRule="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分）：提供的服务管理措施</w:t>
            </w:r>
            <w:r>
              <w:rPr>
                <w:rFonts w:hint="eastAsia" w:ascii="宋体" w:hAnsi="宋体" w:cs="宋体"/>
                <w:bCs/>
                <w:color w:val="auto"/>
                <w:kern w:val="0"/>
                <w:sz w:val="21"/>
                <w:szCs w:val="21"/>
                <w:highlight w:val="none"/>
                <w:lang w:val="en-US" w:eastAsia="zh-CN" w:bidi="ar-SA"/>
              </w:rPr>
              <w:t>简单，内容不具体。</w:t>
            </w:r>
          </w:p>
          <w:p w14:paraId="0565505F">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二档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10</w:t>
            </w:r>
            <w:r>
              <w:rPr>
                <w:rFonts w:hint="eastAsia" w:ascii="宋体" w:hAnsi="宋体" w:eastAsia="宋体" w:cs="宋体"/>
                <w:bCs/>
                <w:color w:val="auto"/>
                <w:kern w:val="0"/>
                <w:sz w:val="21"/>
                <w:szCs w:val="21"/>
                <w:highlight w:val="none"/>
                <w:lang w:val="en-US" w:eastAsia="zh-CN" w:bidi="ar-SA"/>
              </w:rPr>
              <w:t>分）：</w:t>
            </w:r>
            <w:r>
              <w:rPr>
                <w:rFonts w:hint="eastAsia"/>
                <w:color w:val="auto"/>
                <w:sz w:val="21"/>
                <w:szCs w:val="21"/>
                <w:highlight w:val="none"/>
                <w:lang w:val="en-US" w:eastAsia="zh-CN"/>
              </w:rPr>
              <w:t>提供的</w:t>
            </w:r>
            <w:r>
              <w:rPr>
                <w:rFonts w:hint="eastAsia" w:ascii="宋体" w:hAnsi="宋体" w:eastAsia="宋体" w:cs="宋体"/>
                <w:bCs/>
                <w:color w:val="auto"/>
                <w:kern w:val="0"/>
                <w:sz w:val="21"/>
                <w:szCs w:val="21"/>
                <w:highlight w:val="none"/>
                <w:lang w:val="en-US" w:eastAsia="zh-CN" w:bidi="ar-SA"/>
              </w:rPr>
              <w:t>服务管理措施有各服务区域的管理措施。</w:t>
            </w:r>
          </w:p>
          <w:p w14:paraId="262EF0E4">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三档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w:t>
            </w:r>
            <w:r>
              <w:rPr>
                <w:rFonts w:hint="eastAsia"/>
                <w:color w:val="auto"/>
                <w:sz w:val="21"/>
                <w:szCs w:val="21"/>
                <w:highlight w:val="none"/>
                <w:lang w:val="en-US" w:eastAsia="zh-CN"/>
              </w:rPr>
              <w:t>提供的</w:t>
            </w:r>
            <w:r>
              <w:rPr>
                <w:rFonts w:hint="eastAsia" w:ascii="宋体" w:hAnsi="宋体" w:eastAsia="宋体" w:cs="宋体"/>
                <w:bCs/>
                <w:color w:val="auto"/>
                <w:kern w:val="0"/>
                <w:sz w:val="21"/>
                <w:szCs w:val="21"/>
                <w:highlight w:val="none"/>
                <w:lang w:val="en-US" w:eastAsia="zh-CN" w:bidi="ar-SA"/>
              </w:rPr>
              <w:t>服务管理措施能针对项目需求制定保安服务总体要求与目标，有</w:t>
            </w:r>
            <w:r>
              <w:rPr>
                <w:rFonts w:hint="eastAsia" w:ascii="宋体" w:hAnsi="宋体" w:cs="宋体"/>
                <w:bCs/>
                <w:color w:val="auto"/>
                <w:kern w:val="0"/>
                <w:sz w:val="21"/>
                <w:szCs w:val="21"/>
                <w:highlight w:val="none"/>
                <w:lang w:val="en-US" w:eastAsia="zh-CN" w:bidi="ar-SA"/>
              </w:rPr>
              <w:t>详细的</w:t>
            </w:r>
            <w:r>
              <w:rPr>
                <w:rFonts w:hint="eastAsia" w:ascii="宋体" w:hAnsi="宋体" w:eastAsia="宋体" w:cs="宋体"/>
                <w:bCs/>
                <w:color w:val="auto"/>
                <w:kern w:val="0"/>
                <w:sz w:val="21"/>
                <w:szCs w:val="21"/>
                <w:highlight w:val="none"/>
                <w:lang w:val="en-US" w:eastAsia="zh-CN" w:bidi="ar-SA"/>
              </w:rPr>
              <w:t>各服务区域的管理措施</w:t>
            </w:r>
            <w:r>
              <w:rPr>
                <w:rFonts w:hint="eastAsia" w:ascii="宋体"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 xml:space="preserve">保安服务工作流程管理。 </w:t>
            </w:r>
          </w:p>
          <w:p w14:paraId="5607018B">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四档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20</w:t>
            </w:r>
            <w:r>
              <w:rPr>
                <w:rFonts w:hint="eastAsia" w:ascii="宋体" w:hAnsi="宋体" w:eastAsia="宋体" w:cs="宋体"/>
                <w:bCs/>
                <w:color w:val="auto"/>
                <w:kern w:val="0"/>
                <w:sz w:val="21"/>
                <w:szCs w:val="21"/>
                <w:highlight w:val="none"/>
                <w:lang w:val="en-US" w:eastAsia="zh-CN" w:bidi="ar-SA"/>
              </w:rPr>
              <w:t>分）：</w:t>
            </w:r>
            <w:r>
              <w:rPr>
                <w:rFonts w:hint="eastAsia"/>
                <w:color w:val="auto"/>
                <w:sz w:val="21"/>
                <w:szCs w:val="21"/>
                <w:highlight w:val="none"/>
                <w:lang w:val="en-US" w:eastAsia="zh-CN"/>
              </w:rPr>
              <w:t>提供的</w:t>
            </w:r>
            <w:r>
              <w:rPr>
                <w:rFonts w:hint="eastAsia" w:ascii="宋体" w:hAnsi="宋体" w:eastAsia="宋体" w:cs="宋体"/>
                <w:bCs/>
                <w:color w:val="auto"/>
                <w:kern w:val="0"/>
                <w:sz w:val="21"/>
                <w:szCs w:val="21"/>
                <w:highlight w:val="none"/>
                <w:lang w:val="en-US" w:eastAsia="zh-CN" w:bidi="ar-SA"/>
              </w:rPr>
              <w:t xml:space="preserve">服务管理措施能针对项目需求制定的保安服务总体要求与目标，有各服务区域的管理措施，能提供保安员工作管理计划、保安服务工作流程管理、轮岗管理制度、交接工作管理安排。 </w:t>
            </w:r>
          </w:p>
          <w:p w14:paraId="11A8AC6B">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五档</w:t>
            </w:r>
            <w:r>
              <w:rPr>
                <w:rFonts w:hint="eastAsia" w:ascii="宋体" w:hAnsi="宋体" w:eastAsia="宋体" w:cs="宋体"/>
                <w:bCs/>
                <w:color w:val="auto"/>
                <w:kern w:val="0"/>
                <w:sz w:val="21"/>
                <w:szCs w:val="21"/>
                <w:highlight w:val="none"/>
                <w:lang w:val="en-US" w:eastAsia="zh-CN" w:bidi="ar-SA"/>
              </w:rPr>
              <w:t>（2</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w:t>
            </w:r>
            <w:r>
              <w:rPr>
                <w:rFonts w:hint="eastAsia"/>
                <w:color w:val="auto"/>
                <w:sz w:val="21"/>
                <w:szCs w:val="21"/>
                <w:highlight w:val="none"/>
                <w:lang w:val="en-US" w:eastAsia="zh-CN"/>
              </w:rPr>
              <w:t>提供的</w:t>
            </w:r>
            <w:r>
              <w:rPr>
                <w:rFonts w:hint="eastAsia" w:ascii="宋体" w:hAnsi="宋体" w:eastAsia="宋体" w:cs="宋体"/>
                <w:bCs/>
                <w:color w:val="auto"/>
                <w:kern w:val="0"/>
                <w:sz w:val="21"/>
                <w:szCs w:val="21"/>
                <w:highlight w:val="none"/>
                <w:lang w:val="en-US" w:eastAsia="zh-CN" w:bidi="ar-SA"/>
              </w:rPr>
              <w:t>服务管理措施能针对项目需求制定保安服务总体要求与目标，有各服务区域的管理措施，能提供保安员工作管理计划、保安服务工作流程管理、轮岗管理制度、交接工作管理安排，明确服务人员的职责和权限，配备接收投诉人员、协调处理人员，有健全的管理机制</w:t>
            </w:r>
            <w:r>
              <w:rPr>
                <w:rFonts w:hint="eastAsia" w:ascii="宋体" w:hAnsi="宋体" w:cs="宋体"/>
                <w:bCs/>
                <w:color w:val="auto"/>
                <w:kern w:val="0"/>
                <w:sz w:val="21"/>
                <w:szCs w:val="21"/>
                <w:highlight w:val="none"/>
                <w:lang w:val="en-US" w:eastAsia="zh-CN" w:bidi="ar-SA"/>
              </w:rPr>
              <w:t>。</w:t>
            </w:r>
          </w:p>
        </w:tc>
      </w:tr>
      <w:tr w14:paraId="68C5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9" w:hRule="atLeast"/>
          <w:jc w:val="center"/>
        </w:trPr>
        <w:tc>
          <w:tcPr>
            <w:tcW w:w="954" w:type="dxa"/>
            <w:noWrap w:val="0"/>
            <w:vAlign w:val="center"/>
          </w:tcPr>
          <w:p w14:paraId="710E5F85">
            <w:pPr>
              <w:shd w:val="clear" w:color="auto" w:fill="auto"/>
              <w:adjustRightInd w:val="0"/>
              <w:snapToGrid w:val="0"/>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w:t>
            </w:r>
          </w:p>
        </w:tc>
        <w:tc>
          <w:tcPr>
            <w:tcW w:w="2179" w:type="dxa"/>
            <w:noWrap w:val="0"/>
            <w:tcMar>
              <w:left w:w="57" w:type="dxa"/>
              <w:right w:w="57" w:type="dxa"/>
            </w:tcMar>
            <w:vAlign w:val="center"/>
          </w:tcPr>
          <w:p w14:paraId="1A813E6F">
            <w:pPr>
              <w:shd w:val="clear" w:color="auto" w:fill="auto"/>
              <w:snapToGrid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管理规章制度及考核管理办法（满分</w:t>
            </w:r>
            <w:r>
              <w:rPr>
                <w:rFonts w:hint="eastAsia" w:ascii="宋体" w:hAnsi="宋体" w:cs="宋体"/>
                <w:b/>
                <w:bCs/>
                <w:color w:val="auto"/>
                <w:kern w:val="0"/>
                <w:sz w:val="21"/>
                <w:szCs w:val="21"/>
                <w:highlight w:val="none"/>
                <w:lang w:val="en-US" w:eastAsia="zh-CN" w:bidi="ar-SA"/>
              </w:rPr>
              <w:t>15</w:t>
            </w:r>
            <w:r>
              <w:rPr>
                <w:rFonts w:hint="eastAsia" w:ascii="宋体" w:hAnsi="宋体" w:eastAsia="宋体" w:cs="宋体"/>
                <w:b/>
                <w:bCs/>
                <w:color w:val="auto"/>
                <w:kern w:val="0"/>
                <w:sz w:val="21"/>
                <w:szCs w:val="21"/>
                <w:highlight w:val="none"/>
                <w:lang w:val="en-US" w:eastAsia="zh-CN" w:bidi="ar-SA"/>
              </w:rPr>
              <w:t>分）</w:t>
            </w:r>
          </w:p>
        </w:tc>
        <w:tc>
          <w:tcPr>
            <w:tcW w:w="6484" w:type="dxa"/>
            <w:noWrap w:val="0"/>
            <w:vAlign w:val="center"/>
          </w:tcPr>
          <w:p w14:paraId="35458E6E">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 xml:space="preserve">分）：具有内部管理构架、管理运作制度及人员服务考核制度，实行3个月一次的考核管理。 </w:t>
            </w:r>
          </w:p>
          <w:p w14:paraId="42863987">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 xml:space="preserve">分）：具有内部管理构架、管理运作制度、管理规章制度及人员服务考核制度，实行二个月一次的考核管理，对考核不合格的人员进行整顿及加强管理，有保安人员监督机制、奖惩制度。 </w:t>
            </w:r>
          </w:p>
          <w:p w14:paraId="4ABED384">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三档（1</w:t>
            </w:r>
            <w:r>
              <w:rPr>
                <w:rFonts w:hint="eastAsia" w:ascii="宋体" w:hAnsi="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分）：具有内部管理构架、管理运作制度及标准、管理规章制度、考勤管理制度、人员服务考核制度，实行一个月一次的考核管理， 有简单的对考核不合格的人员进行整顿及加强管理措施，有保安人员监督机制、奖惩机制等。</w:t>
            </w:r>
          </w:p>
          <w:p w14:paraId="0E2E22FB">
            <w:pPr>
              <w:widowControl/>
              <w:shd w:val="clear" w:color="auto" w:fill="auto"/>
              <w:snapToGrid w:val="0"/>
              <w:spacing w:line="360" w:lineRule="auto"/>
              <w:rPr>
                <w:rFonts w:hint="eastAsia"/>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四档（</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分）：具有内部管理构架、管理运作制度及标准、管理规章制度、考勤管理制度、档案管理制度、人员服务考核制度，实行半个月一次的考核管理， 有对考核不合格的人员进行整顿及加强管理的详细措施，有保安人员监督机制、奖惩机制、安保人员自我约束机制等。</w:t>
            </w:r>
          </w:p>
        </w:tc>
      </w:tr>
      <w:tr w14:paraId="3D1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54" w:type="dxa"/>
            <w:noWrap w:val="0"/>
            <w:vAlign w:val="center"/>
          </w:tcPr>
          <w:p w14:paraId="6D3E2E96">
            <w:pPr>
              <w:shd w:val="clear" w:color="auto" w:fill="auto"/>
              <w:adjustRightInd w:val="0"/>
              <w:snapToGrid w:val="0"/>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w:t>
            </w:r>
          </w:p>
        </w:tc>
        <w:tc>
          <w:tcPr>
            <w:tcW w:w="2179" w:type="dxa"/>
            <w:noWrap w:val="0"/>
            <w:tcMar>
              <w:left w:w="57" w:type="dxa"/>
              <w:right w:w="57" w:type="dxa"/>
            </w:tcMar>
            <w:vAlign w:val="center"/>
          </w:tcPr>
          <w:p w14:paraId="1762DAD0">
            <w:pPr>
              <w:shd w:val="clear" w:color="auto" w:fill="auto"/>
              <w:snapToGrid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服务质量保障方案（满分</w:t>
            </w:r>
            <w:r>
              <w:rPr>
                <w:rFonts w:hint="eastAsia" w:ascii="宋体" w:hAnsi="宋体" w:cs="宋体"/>
                <w:b/>
                <w:bCs/>
                <w:color w:val="auto"/>
                <w:kern w:val="0"/>
                <w:sz w:val="21"/>
                <w:szCs w:val="21"/>
                <w:highlight w:val="none"/>
                <w:lang w:val="en-US" w:eastAsia="zh-CN" w:bidi="ar-SA"/>
              </w:rPr>
              <w:t>15</w:t>
            </w:r>
            <w:r>
              <w:rPr>
                <w:rFonts w:hint="eastAsia" w:ascii="宋体" w:hAnsi="宋体" w:eastAsia="宋体" w:cs="宋体"/>
                <w:b/>
                <w:bCs/>
                <w:color w:val="auto"/>
                <w:kern w:val="0"/>
                <w:sz w:val="21"/>
                <w:szCs w:val="21"/>
                <w:highlight w:val="none"/>
                <w:lang w:val="en-US" w:eastAsia="zh-CN" w:bidi="ar-SA"/>
              </w:rPr>
              <w:t>分）</w:t>
            </w:r>
          </w:p>
        </w:tc>
        <w:tc>
          <w:tcPr>
            <w:tcW w:w="6484" w:type="dxa"/>
            <w:noWrap w:val="0"/>
            <w:vAlign w:val="center"/>
          </w:tcPr>
          <w:p w14:paraId="176D71B1">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 xml:space="preserve">分）：提供有基本的服务质量保障方案，提供有保安服务质量标准，方案基本符合项目需求。 </w:t>
            </w:r>
          </w:p>
          <w:p w14:paraId="152B629A">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 xml:space="preserve">分）：提供有完善的服务质量保障方案，提供有保安服务质量标准，方案中有针对本项目建立的检查及监督机制，方案符合项目需求。 </w:t>
            </w:r>
          </w:p>
          <w:p w14:paraId="7C1E369B">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ascii="宋体" w:hAnsi="宋体" w:cs="宋体"/>
                <w:bCs/>
                <w:color w:val="auto"/>
                <w:kern w:val="0"/>
                <w:sz w:val="21"/>
                <w:szCs w:val="21"/>
                <w:highlight w:val="none"/>
                <w:lang w:val="en-US" w:eastAsia="zh-CN" w:bidi="ar-SA"/>
              </w:rPr>
              <w:t>11</w:t>
            </w:r>
            <w:r>
              <w:rPr>
                <w:rFonts w:hint="eastAsia" w:ascii="宋体" w:hAnsi="宋体" w:eastAsia="宋体" w:cs="宋体"/>
                <w:bCs/>
                <w:color w:val="auto"/>
                <w:kern w:val="0"/>
                <w:sz w:val="21"/>
                <w:szCs w:val="21"/>
                <w:highlight w:val="none"/>
                <w:lang w:val="en-US" w:eastAsia="zh-CN" w:bidi="ar-SA"/>
              </w:rPr>
              <w:t>分）：提供有完善的服务质量保障方案，提供有保安服务质量标准，方案中有针对本项目建立的检查及监督机制，能说明各级别检查及监督机制的主要职责及检查程序，方案完全满足项目需求。</w:t>
            </w:r>
          </w:p>
          <w:p w14:paraId="73551597">
            <w:pPr>
              <w:widowControl/>
              <w:shd w:val="clear" w:color="auto" w:fill="auto"/>
              <w:snapToGrid w:val="0"/>
              <w:spacing w:line="360" w:lineRule="auto"/>
              <w:rPr>
                <w:rFonts w:hint="eastAsia"/>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四档（</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提供有合理、完善的服务质量保障方案，提供保安服务质量标准，方案中有针对本项目建立的检查及监督机制，能说明各级别检查及监督机制的主要职责及检查程序，并提供完善的服务保障措施，保证安保人员的服务质量。</w:t>
            </w:r>
          </w:p>
        </w:tc>
      </w:tr>
      <w:tr w14:paraId="4295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54" w:type="dxa"/>
            <w:noWrap w:val="0"/>
            <w:vAlign w:val="center"/>
          </w:tcPr>
          <w:p w14:paraId="51531FDF">
            <w:pPr>
              <w:shd w:val="clear" w:color="auto" w:fill="auto"/>
              <w:adjustRightInd w:val="0"/>
              <w:snapToGrid w:val="0"/>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2.4</w:t>
            </w:r>
          </w:p>
        </w:tc>
        <w:tc>
          <w:tcPr>
            <w:tcW w:w="2179" w:type="dxa"/>
            <w:noWrap w:val="0"/>
            <w:tcMar>
              <w:left w:w="57" w:type="dxa"/>
              <w:right w:w="57" w:type="dxa"/>
            </w:tcMar>
            <w:vAlign w:val="center"/>
          </w:tcPr>
          <w:p w14:paraId="299C7F14">
            <w:pPr>
              <w:shd w:val="clear" w:color="auto" w:fill="auto"/>
              <w:snapToGrid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岗前培训方案</w:t>
            </w:r>
          </w:p>
          <w:p w14:paraId="1EBBD9DB">
            <w:pPr>
              <w:shd w:val="clear" w:color="auto" w:fill="auto"/>
              <w:snapToGrid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（满分</w:t>
            </w:r>
            <w:r>
              <w:rPr>
                <w:rFonts w:hint="eastAsia" w:ascii="宋体" w:hAnsi="宋体" w:cs="宋体"/>
                <w:b/>
                <w:bCs/>
                <w:color w:val="auto"/>
                <w:kern w:val="0"/>
                <w:sz w:val="21"/>
                <w:szCs w:val="21"/>
                <w:highlight w:val="none"/>
                <w:lang w:val="en-US" w:eastAsia="zh-CN" w:bidi="ar-SA"/>
              </w:rPr>
              <w:t>10</w:t>
            </w:r>
            <w:r>
              <w:rPr>
                <w:rFonts w:hint="eastAsia" w:ascii="宋体" w:hAnsi="宋体" w:eastAsia="宋体" w:cs="宋体"/>
                <w:b/>
                <w:bCs/>
                <w:color w:val="auto"/>
                <w:kern w:val="0"/>
                <w:sz w:val="21"/>
                <w:szCs w:val="21"/>
                <w:highlight w:val="none"/>
                <w:lang w:val="en-US" w:eastAsia="zh-CN" w:bidi="ar-SA"/>
              </w:rPr>
              <w:t>分）</w:t>
            </w:r>
          </w:p>
        </w:tc>
        <w:tc>
          <w:tcPr>
            <w:tcW w:w="6484" w:type="dxa"/>
            <w:noWrap w:val="0"/>
            <w:vAlign w:val="center"/>
          </w:tcPr>
          <w:p w14:paraId="02009549">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 xml:space="preserve">分）：拟订有安保人员培训计划，每三个月实行一次培训活动，有培训目标、培训内容。 </w:t>
            </w:r>
          </w:p>
          <w:p w14:paraId="0D683DE3">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 xml:space="preserve">分）：拟订有安保人员培训计划，每二个月实行一次培训活动，有培训目标、培训内容、培训方式，包含保安理论知识及专业技能培训，有不少于2种培训方式。 </w:t>
            </w:r>
          </w:p>
          <w:p w14:paraId="014B6389">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ascii="宋体" w:hAnsi="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分）：拟订有安保人员培训计划，每一个月实行一次培训活动，有培训目标、培训内容、培训方式，包含保安理论知识及专业技能培训，有不少于3种培训方式，制定有培训考核办法及考核标准。</w:t>
            </w:r>
          </w:p>
          <w:p w14:paraId="42CE1924">
            <w:pPr>
              <w:widowControl/>
              <w:shd w:val="clear" w:color="auto" w:fill="auto"/>
              <w:snapToGrid w:val="0"/>
              <w:spacing w:line="360" w:lineRule="auto"/>
              <w:rPr>
                <w:rFonts w:hint="eastAsia"/>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四档（</w:t>
            </w:r>
            <w:r>
              <w:rPr>
                <w:rFonts w:hint="eastAsia" w:ascii="宋体" w:hAnsi="宋体" w:cs="宋体"/>
                <w:bCs/>
                <w:color w:val="auto"/>
                <w:kern w:val="0"/>
                <w:sz w:val="21"/>
                <w:szCs w:val="21"/>
                <w:highlight w:val="none"/>
                <w:lang w:val="en-US" w:eastAsia="zh-CN" w:bidi="ar-SA"/>
              </w:rPr>
              <w:t>10</w:t>
            </w:r>
            <w:r>
              <w:rPr>
                <w:rFonts w:hint="eastAsia" w:ascii="宋体" w:hAnsi="宋体" w:eastAsia="宋体" w:cs="宋体"/>
                <w:bCs/>
                <w:color w:val="auto"/>
                <w:kern w:val="0"/>
                <w:sz w:val="21"/>
                <w:szCs w:val="21"/>
                <w:highlight w:val="none"/>
                <w:lang w:val="en-US" w:eastAsia="zh-CN" w:bidi="ar-SA"/>
              </w:rPr>
              <w:t>分）：拟订有安保人员培训计划，每半个月实行一次培训活动，有培训目标、培训内容、培训方式，包含保安理论知识及专业技能培训，有不少于4种培训方式，制定有详细的培训考核办法及考核标准。</w:t>
            </w:r>
          </w:p>
        </w:tc>
      </w:tr>
      <w:tr w14:paraId="460A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4" w:type="dxa"/>
            <w:noWrap w:val="0"/>
            <w:vAlign w:val="center"/>
          </w:tcPr>
          <w:p w14:paraId="2022780C">
            <w:pPr>
              <w:shd w:val="clear" w:color="auto" w:fill="auto"/>
              <w:adjustRightInd w:val="0"/>
              <w:snapToGrid w:val="0"/>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2.5</w:t>
            </w:r>
          </w:p>
        </w:tc>
        <w:tc>
          <w:tcPr>
            <w:tcW w:w="2179" w:type="dxa"/>
            <w:noWrap w:val="0"/>
            <w:tcMar>
              <w:left w:w="57" w:type="dxa"/>
              <w:right w:w="57" w:type="dxa"/>
            </w:tcMar>
            <w:vAlign w:val="center"/>
          </w:tcPr>
          <w:p w14:paraId="2AAEF43F">
            <w:pPr>
              <w:shd w:val="clear" w:color="auto" w:fill="auto"/>
              <w:snapToGrid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应急预案</w:t>
            </w:r>
          </w:p>
          <w:p w14:paraId="670433C1">
            <w:pPr>
              <w:shd w:val="clear" w:color="auto" w:fill="auto"/>
              <w:snapToGrid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（满分</w:t>
            </w:r>
            <w:r>
              <w:rPr>
                <w:rFonts w:hint="eastAsia" w:ascii="宋体" w:hAnsi="宋体" w:cs="宋体"/>
                <w:b/>
                <w:bCs/>
                <w:color w:val="auto"/>
                <w:kern w:val="0"/>
                <w:sz w:val="21"/>
                <w:szCs w:val="21"/>
                <w:highlight w:val="none"/>
                <w:lang w:val="en-US" w:eastAsia="zh-CN" w:bidi="ar-SA"/>
              </w:rPr>
              <w:t>10</w:t>
            </w:r>
            <w:r>
              <w:rPr>
                <w:rFonts w:hint="eastAsia" w:ascii="宋体" w:hAnsi="宋体" w:eastAsia="宋体" w:cs="宋体"/>
                <w:b/>
                <w:bCs/>
                <w:color w:val="auto"/>
                <w:kern w:val="0"/>
                <w:sz w:val="21"/>
                <w:szCs w:val="21"/>
                <w:highlight w:val="none"/>
                <w:lang w:val="en-US" w:eastAsia="zh-CN" w:bidi="ar-SA"/>
              </w:rPr>
              <w:t>分）</w:t>
            </w:r>
          </w:p>
        </w:tc>
        <w:tc>
          <w:tcPr>
            <w:tcW w:w="6484" w:type="dxa"/>
            <w:noWrap w:val="0"/>
            <w:vAlign w:val="center"/>
          </w:tcPr>
          <w:p w14:paraId="7A2FD563">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 xml:space="preserve">分）：具有基本的应急组织措施，提供应急人员安排及应急人员岗位职责、应急人员调配计划及人员计划（安排）表。 </w:t>
            </w:r>
          </w:p>
          <w:p w14:paraId="6F17B9BE">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 xml:space="preserve">分）：具有应急组织措施，提供应急人员安排及应急人员岗位职责、应急人员调配计划及人员计划（安排）表，能提出对消防管理、治安事件、卫生事件的解决措施。 </w:t>
            </w:r>
          </w:p>
          <w:p w14:paraId="76248188">
            <w:pPr>
              <w:widowControl/>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ascii="宋体" w:hAnsi="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分）：具有应急组织措施，提供应急人员安排及应急人员岗位职责、应急人员调配计划及人员计划（安排）表，能提出对消防管理、治安事件、卫生事件、自然灾害事件、意外事件等突发事件的解决措施，能对应急情况发生的问题立即响应，提供处理完成时间及应急事件处理方案。</w:t>
            </w:r>
          </w:p>
          <w:p w14:paraId="70BE633E">
            <w:pPr>
              <w:pStyle w:val="10"/>
              <w:spacing w:line="360" w:lineRule="auto"/>
              <w:rPr>
                <w:rFonts w:hint="eastAsia"/>
                <w:color w:val="auto"/>
                <w:lang w:val="en-US" w:eastAsia="zh-CN"/>
              </w:rPr>
            </w:pPr>
            <w:r>
              <w:rPr>
                <w:rFonts w:hint="eastAsia" w:ascii="宋体" w:hAnsi="宋体" w:eastAsia="宋体" w:cs="宋体"/>
                <w:bCs/>
                <w:color w:val="auto"/>
                <w:kern w:val="0"/>
                <w:sz w:val="21"/>
                <w:szCs w:val="21"/>
                <w:highlight w:val="none"/>
                <w:lang w:val="en-US" w:eastAsia="zh-CN" w:bidi="ar-SA"/>
              </w:rPr>
              <w:t>四档（10分）：具有应急组织措施，提供应急人员安排及应急人员岗位职责、应急人员调配计划及人员计划（安排）表，能提出对消防管理、治安事件、卫生事件、自然灾害事件、意外事件等突发事件的解决措施，能对应急情况发生的问题立即响应，提供处理完成时间，配备应急人员调配计划及人员计划（安排）表及应急事件处理方案。</w:t>
            </w:r>
          </w:p>
        </w:tc>
      </w:tr>
      <w:tr w14:paraId="24D0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54" w:type="dxa"/>
            <w:shd w:val="clear" w:color="auto" w:fill="auto"/>
            <w:noWrap w:val="0"/>
            <w:vAlign w:val="center"/>
          </w:tcPr>
          <w:p w14:paraId="7A5C5E05">
            <w:pPr>
              <w:widowControl/>
              <w:spacing w:line="360" w:lineRule="exact"/>
              <w:jc w:val="center"/>
              <w:rPr>
                <w:rFonts w:hint="eastAsia" w:ascii="宋体" w:hAnsi="宋体" w:eastAsia="宋体" w:cs="Courier New"/>
                <w:b/>
                <w:bCs/>
                <w:color w:val="auto"/>
                <w:szCs w:val="21"/>
                <w:lang w:val="en-US" w:eastAsia="zh-CN"/>
              </w:rPr>
            </w:pPr>
            <w:r>
              <w:rPr>
                <w:rFonts w:hint="eastAsia" w:ascii="宋体" w:hAnsi="宋体" w:eastAsia="宋体" w:cs="Courier New"/>
                <w:b/>
                <w:bCs/>
                <w:color w:val="auto"/>
                <w:szCs w:val="21"/>
                <w:lang w:val="en-US" w:eastAsia="zh-CN"/>
              </w:rPr>
              <w:t>3</w:t>
            </w:r>
          </w:p>
        </w:tc>
        <w:tc>
          <w:tcPr>
            <w:tcW w:w="2179" w:type="dxa"/>
            <w:shd w:val="clear" w:color="auto" w:fill="auto"/>
            <w:noWrap w:val="0"/>
            <w:tcMar>
              <w:left w:w="57" w:type="dxa"/>
              <w:right w:w="57" w:type="dxa"/>
            </w:tcMar>
            <w:vAlign w:val="center"/>
          </w:tcPr>
          <w:p w14:paraId="6A19FEDE">
            <w:pPr>
              <w:widowControl/>
              <w:spacing w:line="360" w:lineRule="exact"/>
              <w:jc w:val="center"/>
              <w:rPr>
                <w:rFonts w:hint="eastAsia" w:ascii="宋体" w:hAnsi="宋体" w:eastAsia="宋体" w:cs="Courier New"/>
                <w:b/>
                <w:bCs/>
                <w:color w:val="auto"/>
                <w:szCs w:val="21"/>
                <w:lang w:val="en-US" w:eastAsia="zh-CN"/>
              </w:rPr>
            </w:pPr>
            <w:r>
              <w:rPr>
                <w:rFonts w:hint="eastAsia" w:ascii="宋体" w:hAnsi="宋体" w:eastAsia="宋体" w:cs="Courier New"/>
                <w:b/>
                <w:bCs/>
                <w:color w:val="auto"/>
                <w:szCs w:val="21"/>
              </w:rPr>
              <w:t>商务分</w:t>
            </w:r>
            <w:r>
              <w:rPr>
                <w:rFonts w:hint="eastAsia" w:ascii="宋体" w:hAnsi="宋体" w:eastAsia="宋体" w:cs="Courier New"/>
                <w:b/>
                <w:bCs/>
                <w:color w:val="auto"/>
                <w:szCs w:val="21"/>
                <w:lang w:eastAsia="zh-CN"/>
              </w:rPr>
              <w:t>（</w:t>
            </w:r>
            <w:r>
              <w:rPr>
                <w:rFonts w:hint="eastAsia" w:ascii="宋体" w:hAnsi="宋体" w:eastAsia="宋体" w:cs="Courier New"/>
                <w:b/>
                <w:bCs/>
                <w:color w:val="auto"/>
                <w:szCs w:val="21"/>
                <w:lang w:val="en-US" w:eastAsia="zh-CN"/>
              </w:rPr>
              <w:t>满分15</w:t>
            </w:r>
            <w:r>
              <w:rPr>
                <w:rFonts w:hint="eastAsia" w:ascii="宋体" w:hAnsi="宋体" w:eastAsia="宋体" w:cs="Courier New"/>
                <w:b/>
                <w:bCs/>
                <w:color w:val="auto"/>
                <w:szCs w:val="21"/>
                <w:lang w:eastAsia="zh-CN"/>
              </w:rPr>
              <w:t>）</w:t>
            </w:r>
          </w:p>
        </w:tc>
        <w:tc>
          <w:tcPr>
            <w:tcW w:w="6484" w:type="dxa"/>
            <w:shd w:val="clear" w:color="auto" w:fill="auto"/>
            <w:noWrap w:val="0"/>
            <w:vAlign w:val="center"/>
          </w:tcPr>
          <w:p w14:paraId="653E94D2">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Tahoma"/>
                <w:b/>
                <w:color w:val="auto"/>
                <w:kern w:val="0"/>
                <w:szCs w:val="21"/>
              </w:rPr>
              <w:t>评审因素</w:t>
            </w:r>
          </w:p>
        </w:tc>
      </w:tr>
      <w:tr w14:paraId="0191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54" w:type="dxa"/>
            <w:shd w:val="clear" w:color="auto" w:fill="auto"/>
            <w:noWrap w:val="0"/>
            <w:vAlign w:val="center"/>
          </w:tcPr>
          <w:p w14:paraId="1C589BB4">
            <w:pPr>
              <w:shd w:val="clear" w:color="auto" w:fill="auto"/>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3.1</w:t>
            </w:r>
          </w:p>
        </w:tc>
        <w:tc>
          <w:tcPr>
            <w:tcW w:w="2179" w:type="dxa"/>
            <w:shd w:val="clear" w:color="auto" w:fill="auto"/>
            <w:noWrap w:val="0"/>
            <w:tcMar>
              <w:left w:w="57" w:type="dxa"/>
              <w:right w:w="57" w:type="dxa"/>
            </w:tcMar>
            <w:vAlign w:val="center"/>
          </w:tcPr>
          <w:p w14:paraId="1869CAF6">
            <w:pPr>
              <w:shd w:val="clear" w:color="auto" w:fill="auto"/>
              <w:snapToGrid w:val="0"/>
              <w:spacing w:line="360" w:lineRule="auto"/>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业绩分</w:t>
            </w:r>
          </w:p>
          <w:p w14:paraId="580C2197">
            <w:pPr>
              <w:shd w:val="clear" w:color="auto" w:fill="auto"/>
              <w:snapToGrid w:val="0"/>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（满分</w:t>
            </w:r>
            <w:r>
              <w:rPr>
                <w:rFonts w:hint="eastAsia" w:ascii="宋体" w:hAnsi="宋体" w:cs="宋体"/>
                <w:b/>
                <w:bCs w:val="0"/>
                <w:color w:val="auto"/>
                <w:kern w:val="0"/>
                <w:sz w:val="21"/>
                <w:szCs w:val="21"/>
                <w:highlight w:val="none"/>
                <w:u w:val="none"/>
                <w:lang w:val="en-US" w:eastAsia="zh-CN" w:bidi="ar-SA"/>
              </w:rPr>
              <w:t>15</w:t>
            </w:r>
            <w:r>
              <w:rPr>
                <w:rFonts w:hint="eastAsia" w:ascii="宋体" w:hAnsi="宋体" w:eastAsia="宋体" w:cs="宋体"/>
                <w:b/>
                <w:bCs w:val="0"/>
                <w:color w:val="auto"/>
                <w:kern w:val="0"/>
                <w:sz w:val="21"/>
                <w:szCs w:val="21"/>
                <w:highlight w:val="none"/>
                <w:lang w:val="en-US" w:eastAsia="zh-CN" w:bidi="ar-SA"/>
              </w:rPr>
              <w:t>分）</w:t>
            </w:r>
          </w:p>
        </w:tc>
        <w:tc>
          <w:tcPr>
            <w:tcW w:w="6484" w:type="dxa"/>
            <w:shd w:val="clear" w:color="auto" w:fill="auto"/>
            <w:noWrap w:val="0"/>
            <w:vAlign w:val="top"/>
          </w:tcPr>
          <w:p w14:paraId="2984BD96">
            <w:pPr>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2022年1月1日至提交响应文件截止时间止，供应商具有与本次采购内容有关的类似项目业绩的，每提供一个得</w:t>
            </w:r>
            <w:r>
              <w:rPr>
                <w:rFonts w:hint="eastAsia" w:ascii="宋体"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分，满分</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分。【需在响应文件中提供类似项目业绩的有效的合同或者中标（成交）通知书复印件并加盖供应商公章，未按要求提供的该项不得分。】</w:t>
            </w:r>
          </w:p>
        </w:tc>
      </w:tr>
      <w:tr w14:paraId="480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17" w:type="dxa"/>
            <w:gridSpan w:val="3"/>
            <w:noWrap w:val="0"/>
            <w:vAlign w:val="center"/>
          </w:tcPr>
          <w:p w14:paraId="48220066">
            <w:pPr>
              <w:shd w:val="clear" w:color="auto" w:fill="auto"/>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 w:val="24"/>
                <w:szCs w:val="24"/>
                <w:highlight w:val="none"/>
              </w:rPr>
              <w:t>总得分=1+2+3</w:t>
            </w:r>
          </w:p>
        </w:tc>
      </w:tr>
    </w:tbl>
    <w:p w14:paraId="019C801D">
      <w:pPr>
        <w:spacing w:line="360" w:lineRule="auto"/>
        <w:ind w:firstLine="420" w:firstLineChars="200"/>
        <w:rPr>
          <w:rFonts w:ascii="宋体" w:hAnsi="宋体"/>
          <w:bCs/>
          <w:color w:val="auto"/>
          <w:szCs w:val="21"/>
        </w:rPr>
      </w:pPr>
    </w:p>
    <w:p w14:paraId="70620929">
      <w:pPr>
        <w:spacing w:line="360" w:lineRule="auto"/>
        <w:ind w:firstLine="420" w:firstLineChars="200"/>
        <w:rPr>
          <w:rFonts w:hint="eastAsia" w:ascii="宋体" w:hAnsi="宋体"/>
          <w:color w:val="auto"/>
          <w:szCs w:val="21"/>
        </w:rPr>
      </w:pPr>
      <w:r>
        <w:rPr>
          <w:rFonts w:ascii="宋体" w:hAnsi="宋体"/>
          <w:bCs/>
          <w:color w:val="auto"/>
          <w:szCs w:val="21"/>
        </w:rPr>
        <w:t>7.</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由低到高的顺序推荐。评审得分且最后报价相同的，按照技术指标优劣顺序推荐（按技术得分由高到低排序，技术得分相同的按照技术要求偏离分由高到低排序）。评审得分、最后报价、技术得分、技术要求偏离分均相同的，由磋商小组随机抽取推荐。</w:t>
      </w:r>
    </w:p>
    <w:p w14:paraId="7115E457">
      <w:pPr>
        <w:spacing w:line="400" w:lineRule="exact"/>
        <w:ind w:firstLine="420" w:firstLineChars="200"/>
        <w:rPr>
          <w:rFonts w:hint="eastAsia" w:ascii="宋体" w:hAnsi="宋体" w:cs="宋体"/>
          <w:color w:val="auto"/>
        </w:rPr>
      </w:pPr>
    </w:p>
    <w:p w14:paraId="692677F4">
      <w:pPr>
        <w:spacing w:line="400" w:lineRule="exact"/>
        <w:ind w:firstLine="420" w:firstLineChars="200"/>
        <w:rPr>
          <w:rFonts w:hint="eastAsia" w:ascii="宋体" w:hAnsi="宋体" w:cs="宋体"/>
          <w:color w:val="auto"/>
        </w:rPr>
      </w:pPr>
    </w:p>
    <w:p w14:paraId="2CF9B4F0">
      <w:pPr>
        <w:rPr>
          <w:rFonts w:hint="eastAsia"/>
          <w:color w:val="auto"/>
        </w:rPr>
      </w:pPr>
    </w:p>
    <w:p w14:paraId="65BFFDE5">
      <w:pPr>
        <w:rPr>
          <w:rFonts w:hint="eastAsia"/>
          <w:color w:val="auto"/>
        </w:rPr>
      </w:pPr>
    </w:p>
    <w:p w14:paraId="2C26B7E8">
      <w:pPr>
        <w:rPr>
          <w:rFonts w:hint="eastAsia"/>
          <w:color w:val="auto"/>
        </w:rPr>
      </w:pPr>
    </w:p>
    <w:p w14:paraId="065CF3FA">
      <w:pPr>
        <w:rPr>
          <w:rFonts w:hint="eastAsia"/>
          <w:color w:val="auto"/>
        </w:rPr>
      </w:pPr>
    </w:p>
    <w:p w14:paraId="36714E63">
      <w:pPr>
        <w:pStyle w:val="2"/>
        <w:jc w:val="center"/>
        <w:rPr>
          <w:rFonts w:hint="eastAsia"/>
          <w:color w:val="auto"/>
        </w:rPr>
      </w:pPr>
    </w:p>
    <w:p w14:paraId="1CCFA013">
      <w:pPr>
        <w:pStyle w:val="2"/>
        <w:jc w:val="center"/>
        <w:rPr>
          <w:rFonts w:hint="eastAsia"/>
          <w:color w:val="auto"/>
        </w:rPr>
      </w:pPr>
    </w:p>
    <w:p w14:paraId="4FEAF0A6">
      <w:pPr>
        <w:rPr>
          <w:rFonts w:hint="eastAsia"/>
          <w:color w:val="auto"/>
        </w:rPr>
      </w:pPr>
    </w:p>
    <w:p w14:paraId="6ACD4A40">
      <w:pPr>
        <w:pStyle w:val="10"/>
        <w:rPr>
          <w:rFonts w:hint="eastAsia"/>
          <w:color w:val="auto"/>
        </w:rPr>
      </w:pPr>
    </w:p>
    <w:p w14:paraId="1D9B0627">
      <w:pPr>
        <w:pStyle w:val="10"/>
        <w:rPr>
          <w:rFonts w:hint="eastAsia"/>
          <w:color w:val="auto"/>
        </w:rPr>
      </w:pPr>
    </w:p>
    <w:p w14:paraId="566A4BF7">
      <w:pPr>
        <w:pStyle w:val="10"/>
        <w:rPr>
          <w:rFonts w:hint="eastAsia"/>
          <w:color w:val="auto"/>
        </w:rPr>
      </w:pPr>
    </w:p>
    <w:p w14:paraId="16BB9A2E">
      <w:pPr>
        <w:pStyle w:val="10"/>
        <w:rPr>
          <w:rFonts w:hint="eastAsia"/>
          <w:color w:val="auto"/>
        </w:rPr>
      </w:pPr>
    </w:p>
    <w:p w14:paraId="09ACEC6C">
      <w:pPr>
        <w:pStyle w:val="10"/>
        <w:rPr>
          <w:rFonts w:hint="eastAsia"/>
          <w:color w:val="auto"/>
        </w:rPr>
      </w:pPr>
    </w:p>
    <w:p w14:paraId="60C73AA9">
      <w:pPr>
        <w:pStyle w:val="10"/>
        <w:rPr>
          <w:rFonts w:hint="eastAsia"/>
          <w:color w:val="auto"/>
        </w:rPr>
      </w:pPr>
    </w:p>
    <w:p w14:paraId="4ACCBF0D">
      <w:pPr>
        <w:pStyle w:val="10"/>
        <w:rPr>
          <w:rFonts w:hint="eastAsia"/>
          <w:color w:val="auto"/>
        </w:rPr>
      </w:pPr>
    </w:p>
    <w:p w14:paraId="684947A7">
      <w:pPr>
        <w:pStyle w:val="10"/>
        <w:rPr>
          <w:rFonts w:hint="eastAsia"/>
          <w:color w:val="auto"/>
        </w:rPr>
      </w:pPr>
    </w:p>
    <w:p w14:paraId="77B74491">
      <w:pPr>
        <w:pStyle w:val="10"/>
        <w:rPr>
          <w:rFonts w:hint="eastAsia"/>
          <w:color w:val="auto"/>
        </w:rPr>
      </w:pPr>
    </w:p>
    <w:p w14:paraId="23F44E52">
      <w:pPr>
        <w:pStyle w:val="10"/>
        <w:rPr>
          <w:rFonts w:hint="eastAsia"/>
          <w:color w:val="auto"/>
        </w:rPr>
      </w:pPr>
    </w:p>
    <w:p w14:paraId="78B141AF">
      <w:pPr>
        <w:pStyle w:val="10"/>
        <w:rPr>
          <w:rFonts w:hint="eastAsia"/>
          <w:color w:val="auto"/>
        </w:rPr>
      </w:pPr>
    </w:p>
    <w:p w14:paraId="5AC1A05C">
      <w:pPr>
        <w:pStyle w:val="10"/>
        <w:rPr>
          <w:rFonts w:hint="eastAsia"/>
          <w:color w:val="auto"/>
        </w:rPr>
      </w:pPr>
    </w:p>
    <w:p w14:paraId="0D0AEE1C">
      <w:pPr>
        <w:pStyle w:val="10"/>
        <w:rPr>
          <w:rFonts w:hint="eastAsia"/>
          <w:color w:val="auto"/>
        </w:rPr>
      </w:pPr>
    </w:p>
    <w:p w14:paraId="28ADD548">
      <w:pPr>
        <w:pStyle w:val="10"/>
        <w:rPr>
          <w:rFonts w:hint="eastAsia"/>
          <w:color w:val="auto"/>
        </w:rPr>
      </w:pPr>
    </w:p>
    <w:p w14:paraId="57DA6C6D">
      <w:pPr>
        <w:pStyle w:val="10"/>
        <w:rPr>
          <w:rFonts w:hint="eastAsia"/>
          <w:color w:val="auto"/>
        </w:rPr>
      </w:pPr>
    </w:p>
    <w:p w14:paraId="3B0BA9D9">
      <w:pPr>
        <w:pStyle w:val="10"/>
        <w:rPr>
          <w:rFonts w:hint="eastAsia"/>
          <w:color w:val="auto"/>
        </w:rPr>
      </w:pPr>
    </w:p>
    <w:p w14:paraId="203F5926">
      <w:pPr>
        <w:pStyle w:val="10"/>
        <w:rPr>
          <w:rFonts w:hint="eastAsia"/>
          <w:color w:val="auto"/>
        </w:rPr>
      </w:pPr>
    </w:p>
    <w:p w14:paraId="31829681">
      <w:pPr>
        <w:pStyle w:val="10"/>
        <w:rPr>
          <w:rFonts w:hint="eastAsia"/>
          <w:color w:val="auto"/>
        </w:rPr>
      </w:pPr>
    </w:p>
    <w:p w14:paraId="119559F9">
      <w:pPr>
        <w:pStyle w:val="10"/>
        <w:rPr>
          <w:rFonts w:hint="eastAsia"/>
          <w:color w:val="auto"/>
        </w:rPr>
      </w:pPr>
    </w:p>
    <w:p w14:paraId="48322C3F">
      <w:pPr>
        <w:pStyle w:val="10"/>
        <w:rPr>
          <w:rFonts w:hint="eastAsia"/>
          <w:color w:val="auto"/>
        </w:rPr>
      </w:pPr>
    </w:p>
    <w:p w14:paraId="73629F87">
      <w:pPr>
        <w:pStyle w:val="10"/>
        <w:rPr>
          <w:rFonts w:hint="eastAsia"/>
          <w:color w:val="auto"/>
        </w:rPr>
      </w:pPr>
    </w:p>
    <w:p w14:paraId="3629B9BA">
      <w:pPr>
        <w:pStyle w:val="10"/>
        <w:rPr>
          <w:rFonts w:hint="eastAsia"/>
          <w:color w:val="auto"/>
        </w:rPr>
      </w:pPr>
    </w:p>
    <w:p w14:paraId="6CFB97D4">
      <w:pPr>
        <w:pStyle w:val="2"/>
        <w:jc w:val="center"/>
        <w:rPr>
          <w:rFonts w:hint="eastAsia"/>
          <w:color w:val="auto"/>
        </w:rPr>
      </w:pPr>
      <w:bookmarkStart w:id="19" w:name="_Toc2744"/>
      <w:r>
        <w:rPr>
          <w:rFonts w:hint="eastAsia"/>
          <w:color w:val="auto"/>
        </w:rPr>
        <w:t>第五章 响应文件格式</w:t>
      </w:r>
      <w:bookmarkEnd w:id="19"/>
    </w:p>
    <w:p w14:paraId="1C7EA547">
      <w:pPr>
        <w:spacing w:line="240" w:lineRule="atLeast"/>
        <w:rPr>
          <w:rFonts w:hint="eastAsia" w:ascii="宋体" w:hAnsi="宋体"/>
          <w:b/>
          <w:color w:val="auto"/>
          <w:sz w:val="32"/>
          <w:szCs w:val="32"/>
        </w:rPr>
      </w:pPr>
    </w:p>
    <w:p w14:paraId="18884BB6">
      <w:pPr>
        <w:spacing w:line="240" w:lineRule="atLeast"/>
        <w:rPr>
          <w:rFonts w:hint="eastAsia" w:ascii="宋体" w:hAnsi="宋体"/>
          <w:b/>
          <w:color w:val="auto"/>
          <w:sz w:val="32"/>
          <w:szCs w:val="32"/>
        </w:rPr>
      </w:pPr>
    </w:p>
    <w:p w14:paraId="2FD7DEB2">
      <w:pPr>
        <w:spacing w:line="240" w:lineRule="atLeast"/>
        <w:rPr>
          <w:rFonts w:hint="eastAsia" w:ascii="宋体" w:hAnsi="宋体"/>
          <w:b/>
          <w:color w:val="auto"/>
          <w:sz w:val="32"/>
          <w:szCs w:val="32"/>
        </w:rPr>
      </w:pPr>
    </w:p>
    <w:p w14:paraId="537E7AD3">
      <w:pPr>
        <w:spacing w:line="240" w:lineRule="atLeast"/>
        <w:rPr>
          <w:rFonts w:hint="eastAsia" w:ascii="宋体" w:hAnsi="宋体"/>
          <w:b/>
          <w:color w:val="auto"/>
          <w:sz w:val="32"/>
          <w:szCs w:val="32"/>
        </w:rPr>
      </w:pPr>
    </w:p>
    <w:p w14:paraId="303F6A69">
      <w:pPr>
        <w:spacing w:line="240" w:lineRule="atLeast"/>
        <w:rPr>
          <w:rFonts w:hint="eastAsia" w:ascii="宋体" w:hAnsi="宋体"/>
          <w:b/>
          <w:color w:val="auto"/>
          <w:sz w:val="32"/>
          <w:szCs w:val="32"/>
        </w:rPr>
      </w:pPr>
    </w:p>
    <w:p w14:paraId="73F1E51A">
      <w:pPr>
        <w:spacing w:line="240" w:lineRule="atLeast"/>
        <w:rPr>
          <w:rFonts w:hint="eastAsia" w:ascii="宋体" w:hAnsi="宋体"/>
          <w:b/>
          <w:color w:val="auto"/>
          <w:sz w:val="32"/>
          <w:szCs w:val="32"/>
        </w:rPr>
      </w:pPr>
    </w:p>
    <w:p w14:paraId="2C698465">
      <w:pPr>
        <w:spacing w:line="240" w:lineRule="atLeast"/>
        <w:rPr>
          <w:rFonts w:hint="eastAsia" w:ascii="宋体" w:hAnsi="宋体"/>
          <w:b/>
          <w:color w:val="auto"/>
          <w:sz w:val="32"/>
          <w:szCs w:val="32"/>
        </w:rPr>
      </w:pPr>
    </w:p>
    <w:p w14:paraId="3F652C0A">
      <w:pPr>
        <w:spacing w:line="240" w:lineRule="atLeast"/>
        <w:rPr>
          <w:rFonts w:hint="eastAsia" w:ascii="宋体" w:hAnsi="宋体"/>
          <w:b/>
          <w:color w:val="auto"/>
          <w:sz w:val="32"/>
          <w:szCs w:val="32"/>
        </w:rPr>
      </w:pPr>
    </w:p>
    <w:p w14:paraId="589DF08B">
      <w:pPr>
        <w:spacing w:line="240" w:lineRule="atLeast"/>
        <w:rPr>
          <w:rFonts w:hint="eastAsia" w:ascii="宋体" w:hAnsi="宋体"/>
          <w:b/>
          <w:color w:val="auto"/>
          <w:sz w:val="32"/>
          <w:szCs w:val="32"/>
        </w:rPr>
      </w:pPr>
    </w:p>
    <w:p w14:paraId="72FB7645">
      <w:pPr>
        <w:spacing w:line="240" w:lineRule="atLeast"/>
        <w:rPr>
          <w:rFonts w:hint="eastAsia" w:ascii="宋体" w:hAnsi="宋体"/>
          <w:b/>
          <w:color w:val="auto"/>
          <w:sz w:val="32"/>
          <w:szCs w:val="32"/>
        </w:rPr>
      </w:pPr>
    </w:p>
    <w:p w14:paraId="4B8D5043">
      <w:pPr>
        <w:spacing w:line="240" w:lineRule="atLeast"/>
        <w:rPr>
          <w:rFonts w:hint="eastAsia" w:ascii="宋体" w:hAnsi="宋体"/>
          <w:b/>
          <w:color w:val="auto"/>
          <w:sz w:val="32"/>
          <w:szCs w:val="32"/>
        </w:rPr>
      </w:pPr>
    </w:p>
    <w:p w14:paraId="332917DB">
      <w:pPr>
        <w:spacing w:line="240" w:lineRule="atLeast"/>
        <w:rPr>
          <w:rFonts w:hint="eastAsia" w:ascii="宋体" w:hAnsi="宋体"/>
          <w:b/>
          <w:color w:val="auto"/>
          <w:sz w:val="32"/>
          <w:szCs w:val="32"/>
        </w:rPr>
      </w:pPr>
    </w:p>
    <w:p w14:paraId="7A38051C">
      <w:pPr>
        <w:spacing w:line="240" w:lineRule="atLeast"/>
        <w:rPr>
          <w:rFonts w:hint="eastAsia" w:ascii="宋体" w:hAnsi="宋体"/>
          <w:b/>
          <w:color w:val="auto"/>
          <w:sz w:val="32"/>
          <w:szCs w:val="32"/>
        </w:rPr>
      </w:pPr>
    </w:p>
    <w:p w14:paraId="0EDC5A01">
      <w:pPr>
        <w:spacing w:line="240" w:lineRule="atLeast"/>
        <w:rPr>
          <w:rFonts w:hint="eastAsia" w:ascii="宋体" w:hAnsi="宋体"/>
          <w:b/>
          <w:color w:val="auto"/>
          <w:sz w:val="32"/>
          <w:szCs w:val="32"/>
        </w:rPr>
      </w:pPr>
    </w:p>
    <w:p w14:paraId="0BFAE016">
      <w:pPr>
        <w:spacing w:line="240" w:lineRule="atLeast"/>
        <w:rPr>
          <w:rFonts w:hint="eastAsia" w:ascii="宋体" w:hAnsi="宋体"/>
          <w:b/>
          <w:color w:val="auto"/>
          <w:sz w:val="32"/>
          <w:szCs w:val="32"/>
        </w:rPr>
      </w:pPr>
    </w:p>
    <w:p w14:paraId="7F8D8682">
      <w:pPr>
        <w:spacing w:line="240" w:lineRule="atLeast"/>
        <w:rPr>
          <w:rFonts w:hint="eastAsia" w:ascii="宋体" w:hAnsi="宋体"/>
          <w:b/>
          <w:color w:val="auto"/>
          <w:sz w:val="32"/>
          <w:szCs w:val="32"/>
        </w:rPr>
      </w:pPr>
    </w:p>
    <w:p w14:paraId="71091B31">
      <w:pPr>
        <w:spacing w:line="240" w:lineRule="atLeast"/>
        <w:rPr>
          <w:rFonts w:hint="eastAsia" w:ascii="宋体" w:hAnsi="宋体"/>
          <w:b/>
          <w:color w:val="auto"/>
          <w:sz w:val="32"/>
          <w:szCs w:val="32"/>
        </w:rPr>
      </w:pPr>
    </w:p>
    <w:p w14:paraId="4D4FF1FA">
      <w:pPr>
        <w:spacing w:line="240" w:lineRule="atLeast"/>
        <w:rPr>
          <w:rFonts w:hint="eastAsia" w:ascii="宋体" w:hAnsi="宋体"/>
          <w:b/>
          <w:color w:val="auto"/>
          <w:sz w:val="32"/>
          <w:szCs w:val="32"/>
        </w:rPr>
      </w:pPr>
    </w:p>
    <w:p w14:paraId="45032B9D">
      <w:pPr>
        <w:snapToGrid w:val="0"/>
        <w:spacing w:before="50" w:after="50"/>
        <w:outlineLvl w:val="1"/>
        <w:rPr>
          <w:rFonts w:hint="eastAsia" w:ascii="宋体" w:hAnsi="宋体"/>
          <w:b/>
          <w:bCs/>
          <w:color w:val="auto"/>
          <w:sz w:val="24"/>
        </w:rPr>
      </w:pPr>
    </w:p>
    <w:p w14:paraId="4AAA206B">
      <w:pPr>
        <w:pStyle w:val="3"/>
        <w:shd w:val="clear" w:color="auto" w:fill="auto"/>
        <w:jc w:val="center"/>
        <w:rPr>
          <w:rFonts w:ascii="宋体" w:hAnsi="宋体"/>
          <w:b/>
          <w:bCs w:val="0"/>
          <w:color w:val="auto"/>
          <w:highlight w:val="none"/>
        </w:rPr>
      </w:pPr>
      <w:bookmarkStart w:id="20" w:name="_Toc32335"/>
      <w:bookmarkStart w:id="21" w:name="_Toc80205938"/>
      <w:bookmarkStart w:id="22" w:name="_Toc80886942"/>
      <w:r>
        <w:rPr>
          <w:rFonts w:hint="eastAsia" w:ascii="宋体" w:hAnsi="宋体"/>
          <w:b/>
          <w:bCs w:val="0"/>
          <w:color w:val="auto"/>
          <w:highlight w:val="none"/>
        </w:rPr>
        <w:t>第一节 封面格式</w:t>
      </w:r>
      <w:bookmarkEnd w:id="20"/>
      <w:bookmarkEnd w:id="21"/>
      <w:bookmarkEnd w:id="22"/>
    </w:p>
    <w:p w14:paraId="0B8DDAAB">
      <w:pPr>
        <w:shd w:val="clear" w:color="auto" w:fill="auto"/>
        <w:snapToGrid w:val="0"/>
        <w:spacing w:before="120" w:beforeLines="50" w:after="50"/>
        <w:rPr>
          <w:rFonts w:ascii="宋体" w:hAnsi="宋体"/>
          <w:color w:val="auto"/>
          <w:sz w:val="24"/>
          <w:szCs w:val="20"/>
          <w:highlight w:val="none"/>
        </w:rPr>
      </w:pPr>
    </w:p>
    <w:p w14:paraId="1B86955D">
      <w:pPr>
        <w:shd w:val="clear" w:color="auto" w:fill="auto"/>
        <w:snapToGrid w:val="0"/>
        <w:spacing w:before="120" w:beforeLines="50" w:after="50"/>
        <w:jc w:val="center"/>
        <w:rPr>
          <w:rFonts w:ascii="宋体" w:hAnsi="宋体"/>
          <w:bCs/>
          <w:color w:val="auto"/>
          <w:sz w:val="24"/>
          <w:szCs w:val="20"/>
          <w:highlight w:val="none"/>
        </w:rPr>
      </w:pPr>
    </w:p>
    <w:p w14:paraId="303A7C65">
      <w:pPr>
        <w:shd w:val="clear" w:color="auto" w:fill="auto"/>
        <w:snapToGrid w:val="0"/>
        <w:spacing w:before="120" w:beforeLines="50" w:after="50"/>
        <w:jc w:val="center"/>
        <w:rPr>
          <w:rFonts w:hint="eastAsia" w:asciiTheme="minorEastAsia" w:hAnsiTheme="minorEastAsia" w:eastAsiaTheme="minorEastAsia" w:cstheme="minorEastAsia"/>
          <w:b/>
          <w:bCs w:val="0"/>
          <w:color w:val="auto"/>
          <w:sz w:val="72"/>
          <w:szCs w:val="72"/>
          <w:highlight w:val="none"/>
        </w:rPr>
      </w:pPr>
      <w:r>
        <w:rPr>
          <w:rFonts w:hint="eastAsia" w:asciiTheme="minorEastAsia" w:hAnsiTheme="minorEastAsia" w:eastAsiaTheme="minorEastAsia" w:cstheme="minorEastAsia"/>
          <w:b/>
          <w:bCs w:val="0"/>
          <w:color w:val="auto"/>
          <w:sz w:val="72"/>
          <w:szCs w:val="72"/>
          <w:highlight w:val="none"/>
        </w:rPr>
        <w:t>响  应  文  件</w:t>
      </w:r>
    </w:p>
    <w:p w14:paraId="18A86636">
      <w:pPr>
        <w:shd w:val="clear" w:color="auto" w:fill="auto"/>
        <w:snapToGrid w:val="0"/>
        <w:spacing w:before="120" w:beforeLines="50" w:after="50"/>
        <w:rPr>
          <w:rFonts w:ascii="宋体" w:hAnsi="宋体"/>
          <w:bCs/>
          <w:color w:val="auto"/>
          <w:sz w:val="24"/>
          <w:szCs w:val="20"/>
          <w:highlight w:val="none"/>
        </w:rPr>
      </w:pPr>
    </w:p>
    <w:p w14:paraId="06BF73F5">
      <w:pPr>
        <w:shd w:val="clear" w:color="auto" w:fill="auto"/>
        <w:snapToGrid w:val="0"/>
        <w:spacing w:before="120" w:beforeLines="50" w:after="50"/>
        <w:rPr>
          <w:rFonts w:ascii="宋体" w:hAnsi="宋体"/>
          <w:bCs/>
          <w:color w:val="auto"/>
          <w:sz w:val="24"/>
          <w:szCs w:val="20"/>
          <w:highlight w:val="none"/>
        </w:rPr>
      </w:pPr>
    </w:p>
    <w:p w14:paraId="29FDF00A">
      <w:pPr>
        <w:shd w:val="clear" w:color="auto" w:fill="auto"/>
        <w:snapToGrid w:val="0"/>
        <w:spacing w:before="120" w:beforeLines="50" w:after="50"/>
        <w:rPr>
          <w:rFonts w:ascii="仿宋_GB2312" w:hAnsi="仿宋_GB2312" w:eastAsia="仿宋_GB2312" w:cs="仿宋_GB2312"/>
          <w:bCs/>
          <w:color w:val="auto"/>
          <w:sz w:val="32"/>
          <w:szCs w:val="32"/>
          <w:highlight w:val="none"/>
        </w:rPr>
      </w:pPr>
    </w:p>
    <w:p w14:paraId="6224C175">
      <w:pPr>
        <w:shd w:val="clear" w:color="auto" w:fill="auto"/>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F827AFD">
      <w:pPr>
        <w:shd w:val="clear" w:color="auto" w:fill="auto"/>
        <w:snapToGrid w:val="0"/>
        <w:spacing w:before="120" w:beforeLines="50" w:after="50"/>
        <w:ind w:firstLine="480" w:firstLineChars="150"/>
        <w:rPr>
          <w:rFonts w:ascii="宋体" w:hAnsi="宋体" w:cs="仿宋_GB2312"/>
          <w:bCs/>
          <w:color w:val="auto"/>
          <w:sz w:val="32"/>
          <w:szCs w:val="32"/>
          <w:highlight w:val="none"/>
        </w:rPr>
      </w:pPr>
    </w:p>
    <w:p w14:paraId="2E9B757C">
      <w:pPr>
        <w:shd w:val="clear" w:color="auto" w:fill="auto"/>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项目编号：</w:t>
      </w:r>
    </w:p>
    <w:p w14:paraId="69E4ADF0">
      <w:pPr>
        <w:shd w:val="clear" w:color="auto" w:fill="auto"/>
        <w:snapToGrid w:val="0"/>
        <w:spacing w:before="120" w:beforeLines="50" w:after="50"/>
        <w:rPr>
          <w:rFonts w:ascii="宋体" w:hAnsi="宋体" w:cs="仿宋_GB2312"/>
          <w:bCs/>
          <w:color w:val="auto"/>
          <w:sz w:val="32"/>
          <w:szCs w:val="32"/>
          <w:highlight w:val="none"/>
        </w:rPr>
      </w:pPr>
    </w:p>
    <w:p w14:paraId="68C3A1FC">
      <w:pPr>
        <w:shd w:val="clear" w:color="auto" w:fill="auto"/>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2974F61">
      <w:pPr>
        <w:shd w:val="clear" w:color="auto" w:fill="auto"/>
        <w:snapToGrid w:val="0"/>
        <w:spacing w:before="120" w:beforeLines="50" w:after="50"/>
        <w:rPr>
          <w:rFonts w:ascii="宋体" w:hAnsi="宋体" w:cs="仿宋_GB2312"/>
          <w:bCs/>
          <w:color w:val="auto"/>
          <w:sz w:val="32"/>
          <w:szCs w:val="32"/>
          <w:highlight w:val="none"/>
        </w:rPr>
      </w:pPr>
    </w:p>
    <w:p w14:paraId="28577CEC">
      <w:pPr>
        <w:shd w:val="clear" w:color="auto" w:fill="auto"/>
        <w:snapToGrid w:val="0"/>
        <w:spacing w:before="120" w:beforeLines="50" w:after="50"/>
        <w:ind w:firstLine="480" w:firstLineChars="150"/>
        <w:jc w:val="center"/>
        <w:rPr>
          <w:rFonts w:hint="eastAsia" w:ascii="宋体" w:hAnsi="宋体" w:cs="仿宋_GB2312"/>
          <w:bCs/>
          <w:color w:val="auto"/>
          <w:sz w:val="32"/>
          <w:szCs w:val="32"/>
          <w:highlight w:val="none"/>
        </w:rPr>
      </w:pPr>
    </w:p>
    <w:p w14:paraId="10EDDDF7">
      <w:pPr>
        <w:shd w:val="clear" w:color="auto" w:fill="auto"/>
        <w:snapToGrid w:val="0"/>
        <w:spacing w:before="120" w:beforeLines="50" w:after="50"/>
        <w:ind w:firstLine="480" w:firstLineChars="150"/>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5D0DA539">
      <w:pPr>
        <w:shd w:val="clear" w:color="auto" w:fill="auto"/>
        <w:snapToGrid w:val="0"/>
        <w:spacing w:before="120" w:beforeLines="50" w:after="50"/>
        <w:ind w:firstLine="5440" w:firstLineChars="1700"/>
        <w:jc w:val="center"/>
        <w:rPr>
          <w:rFonts w:ascii="宋体" w:hAnsi="宋体" w:cs="仿宋_GB2312"/>
          <w:bCs/>
          <w:color w:val="auto"/>
          <w:sz w:val="32"/>
          <w:szCs w:val="32"/>
          <w:highlight w:val="none"/>
        </w:rPr>
      </w:pPr>
    </w:p>
    <w:p w14:paraId="5CDD1F9B">
      <w:pPr>
        <w:shd w:val="clear" w:color="auto" w:fill="auto"/>
        <w:snapToGrid w:val="0"/>
        <w:spacing w:before="120" w:beforeLines="50" w:after="50"/>
        <w:ind w:firstLine="645"/>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6FF46200">
      <w:pPr>
        <w:shd w:val="clear" w:color="auto" w:fill="auto"/>
        <w:rPr>
          <w:color w:val="auto"/>
          <w:highlight w:val="none"/>
        </w:rPr>
        <w:sectPr>
          <w:footerReference r:id="rId11" w:type="default"/>
          <w:pgSz w:w="11910" w:h="16840"/>
          <w:pgMar w:top="1440" w:right="1080" w:bottom="1440" w:left="1080" w:header="720" w:footer="720" w:gutter="0"/>
          <w:pgBorders>
            <w:top w:val="none" w:sz="0" w:space="0"/>
            <w:left w:val="none" w:sz="0" w:space="0"/>
            <w:bottom w:val="none" w:sz="0" w:space="0"/>
            <w:right w:val="none" w:sz="0" w:space="0"/>
          </w:pgBorders>
          <w:pgNumType w:fmt="decimal" w:start="1"/>
          <w:cols w:space="720" w:num="1"/>
        </w:sectPr>
      </w:pPr>
    </w:p>
    <w:p w14:paraId="34B86B7A">
      <w:pPr>
        <w:pStyle w:val="3"/>
        <w:shd w:val="clear" w:color="auto" w:fill="auto"/>
        <w:jc w:val="center"/>
        <w:rPr>
          <w:rFonts w:ascii="宋体" w:hAnsi="宋体"/>
          <w:bCs w:val="0"/>
          <w:color w:val="auto"/>
          <w:highlight w:val="none"/>
        </w:rPr>
      </w:pPr>
      <w:bookmarkStart w:id="23" w:name="_Toc80205939"/>
      <w:bookmarkStart w:id="24" w:name="_Toc80886943"/>
      <w:bookmarkStart w:id="25" w:name="_Toc25684"/>
      <w:r>
        <w:rPr>
          <w:rFonts w:hint="eastAsia" w:ascii="宋体" w:hAnsi="宋体"/>
          <w:bCs w:val="0"/>
          <w:color w:val="auto"/>
          <w:highlight w:val="none"/>
        </w:rPr>
        <w:t>第二节 资格证明文件格式</w:t>
      </w:r>
      <w:bookmarkEnd w:id="23"/>
      <w:bookmarkEnd w:id="24"/>
      <w:bookmarkEnd w:id="25"/>
    </w:p>
    <w:p w14:paraId="2131CFEA">
      <w:pPr>
        <w:shd w:val="clear" w:color="auto" w:fill="auto"/>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8CEF800">
      <w:pPr>
        <w:shd w:val="clear" w:color="auto" w:fill="auto"/>
        <w:snapToGrid w:val="0"/>
        <w:spacing w:before="120" w:beforeLines="50" w:after="50"/>
        <w:rPr>
          <w:rFonts w:ascii="宋体" w:hAnsi="宋体"/>
          <w:color w:val="auto"/>
          <w:sz w:val="24"/>
          <w:szCs w:val="20"/>
          <w:highlight w:val="none"/>
        </w:rPr>
      </w:pPr>
    </w:p>
    <w:p w14:paraId="26EDBEFE">
      <w:pPr>
        <w:shd w:val="clear" w:color="auto" w:fill="auto"/>
        <w:snapToGrid w:val="0"/>
        <w:spacing w:before="120" w:beforeLines="50" w:after="50"/>
        <w:rPr>
          <w:rFonts w:ascii="宋体" w:hAnsi="宋体"/>
          <w:color w:val="auto"/>
          <w:sz w:val="24"/>
          <w:szCs w:val="20"/>
          <w:highlight w:val="none"/>
        </w:rPr>
      </w:pPr>
    </w:p>
    <w:p w14:paraId="6006B973">
      <w:pPr>
        <w:shd w:val="clear" w:color="auto" w:fill="auto"/>
        <w:snapToGrid w:val="0"/>
        <w:spacing w:before="120" w:beforeLines="50" w:after="50"/>
        <w:jc w:val="center"/>
        <w:rPr>
          <w:rFonts w:hint="eastAsia" w:asciiTheme="majorEastAsia" w:hAnsiTheme="majorEastAsia" w:eastAsiaTheme="majorEastAsia" w:cstheme="majorEastAsia"/>
          <w:b/>
          <w:bCs w:val="0"/>
          <w:color w:val="auto"/>
          <w:sz w:val="48"/>
          <w:szCs w:val="48"/>
          <w:highlight w:val="none"/>
        </w:rPr>
      </w:pPr>
    </w:p>
    <w:p w14:paraId="7D1EB9D5">
      <w:pPr>
        <w:shd w:val="clear" w:color="auto" w:fill="auto"/>
        <w:snapToGrid w:val="0"/>
        <w:spacing w:before="120" w:beforeLines="50" w:after="50"/>
        <w:jc w:val="center"/>
        <w:rPr>
          <w:rFonts w:hint="eastAsia" w:asciiTheme="majorEastAsia" w:hAnsiTheme="majorEastAsia" w:eastAsiaTheme="majorEastAsia" w:cstheme="majorEastAsia"/>
          <w:b/>
          <w:bCs w:val="0"/>
          <w:color w:val="auto"/>
          <w:sz w:val="48"/>
          <w:szCs w:val="48"/>
          <w:highlight w:val="none"/>
        </w:rPr>
      </w:pPr>
      <w:r>
        <w:rPr>
          <w:rFonts w:hint="eastAsia" w:asciiTheme="majorEastAsia" w:hAnsiTheme="majorEastAsia" w:eastAsiaTheme="majorEastAsia" w:cstheme="majorEastAsia"/>
          <w:b/>
          <w:bCs w:val="0"/>
          <w:color w:val="auto"/>
          <w:sz w:val="48"/>
          <w:szCs w:val="48"/>
          <w:highlight w:val="none"/>
        </w:rPr>
        <w:t>资  格  证  明  文  件（封面）</w:t>
      </w:r>
    </w:p>
    <w:p w14:paraId="12F8033C">
      <w:pPr>
        <w:shd w:val="clear" w:color="auto" w:fill="auto"/>
        <w:snapToGrid w:val="0"/>
        <w:spacing w:before="120" w:beforeLines="50" w:after="50"/>
        <w:rPr>
          <w:rFonts w:ascii="宋体" w:hAnsi="宋体"/>
          <w:bCs/>
          <w:color w:val="auto"/>
          <w:sz w:val="24"/>
          <w:szCs w:val="20"/>
          <w:highlight w:val="none"/>
        </w:rPr>
      </w:pPr>
    </w:p>
    <w:p w14:paraId="2B849E51">
      <w:pPr>
        <w:shd w:val="clear" w:color="auto" w:fill="auto"/>
        <w:snapToGrid w:val="0"/>
        <w:spacing w:before="120" w:beforeLines="50" w:after="50"/>
        <w:rPr>
          <w:rFonts w:ascii="宋体" w:hAnsi="宋体"/>
          <w:bCs/>
          <w:color w:val="auto"/>
          <w:sz w:val="24"/>
          <w:szCs w:val="20"/>
          <w:highlight w:val="none"/>
        </w:rPr>
      </w:pPr>
    </w:p>
    <w:p w14:paraId="24CC2249">
      <w:pPr>
        <w:shd w:val="clear" w:color="auto" w:fill="auto"/>
        <w:snapToGrid w:val="0"/>
        <w:spacing w:before="120" w:beforeLines="50" w:after="50"/>
        <w:rPr>
          <w:rFonts w:ascii="宋体" w:hAnsi="宋体"/>
          <w:bCs/>
          <w:color w:val="auto"/>
          <w:sz w:val="24"/>
          <w:szCs w:val="20"/>
          <w:highlight w:val="none"/>
        </w:rPr>
      </w:pPr>
    </w:p>
    <w:p w14:paraId="588BD9F0">
      <w:pPr>
        <w:shd w:val="clear" w:color="auto" w:fill="auto"/>
        <w:snapToGrid w:val="0"/>
        <w:spacing w:before="120" w:beforeLines="50" w:after="50"/>
        <w:rPr>
          <w:rFonts w:ascii="宋体" w:hAnsi="宋体"/>
          <w:bCs/>
          <w:color w:val="auto"/>
          <w:sz w:val="24"/>
          <w:szCs w:val="20"/>
          <w:highlight w:val="none"/>
        </w:rPr>
      </w:pPr>
    </w:p>
    <w:p w14:paraId="5675A93F">
      <w:pPr>
        <w:shd w:val="clear" w:color="auto" w:fill="auto"/>
        <w:snapToGrid w:val="0"/>
        <w:spacing w:before="120" w:beforeLines="50" w:after="50"/>
        <w:rPr>
          <w:rFonts w:ascii="宋体" w:hAnsi="宋体"/>
          <w:bCs/>
          <w:color w:val="auto"/>
          <w:sz w:val="24"/>
          <w:szCs w:val="20"/>
          <w:highlight w:val="none"/>
        </w:rPr>
      </w:pPr>
    </w:p>
    <w:p w14:paraId="146E885A">
      <w:pPr>
        <w:shd w:val="clear" w:color="auto" w:fill="auto"/>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31D9307">
      <w:pPr>
        <w:shd w:val="clear" w:color="auto" w:fill="auto"/>
        <w:snapToGrid w:val="0"/>
        <w:spacing w:before="120" w:beforeLines="50" w:after="50"/>
        <w:ind w:firstLine="720" w:firstLineChars="225"/>
        <w:rPr>
          <w:rFonts w:ascii="宋体" w:hAnsi="宋体" w:cs="仿宋_GB2312"/>
          <w:bCs/>
          <w:color w:val="auto"/>
          <w:sz w:val="32"/>
          <w:szCs w:val="32"/>
          <w:highlight w:val="none"/>
        </w:rPr>
      </w:pPr>
    </w:p>
    <w:p w14:paraId="29D90520">
      <w:pPr>
        <w:shd w:val="clear" w:color="auto" w:fill="auto"/>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项目编号：</w:t>
      </w:r>
    </w:p>
    <w:p w14:paraId="4AB46C3F">
      <w:pPr>
        <w:shd w:val="clear" w:color="auto" w:fill="auto"/>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CB2E89D">
      <w:pPr>
        <w:pStyle w:val="6"/>
        <w:shd w:val="clear" w:color="auto" w:fill="auto"/>
        <w:snapToGrid w:val="0"/>
        <w:spacing w:before="50" w:after="12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DC432D5">
      <w:pPr>
        <w:pStyle w:val="6"/>
        <w:shd w:val="clear" w:color="auto" w:fill="auto"/>
        <w:snapToGrid w:val="0"/>
        <w:spacing w:before="50" w:after="120"/>
        <w:ind w:firstLine="720" w:firstLineChars="225"/>
        <w:rPr>
          <w:rFonts w:ascii="宋体" w:hAnsi="宋体" w:cs="仿宋_GB2312"/>
          <w:bCs/>
          <w:color w:val="auto"/>
          <w:sz w:val="32"/>
          <w:szCs w:val="32"/>
          <w:highlight w:val="none"/>
        </w:rPr>
      </w:pPr>
    </w:p>
    <w:p w14:paraId="114C52D1">
      <w:pPr>
        <w:pStyle w:val="6"/>
        <w:shd w:val="clear" w:color="auto" w:fill="auto"/>
        <w:snapToGrid w:val="0"/>
        <w:spacing w:before="50" w:after="120"/>
        <w:ind w:firstLine="720" w:firstLineChars="225"/>
        <w:rPr>
          <w:rFonts w:ascii="宋体" w:hAnsi="宋体" w:cs="仿宋_GB2312"/>
          <w:bCs/>
          <w:color w:val="auto"/>
          <w:sz w:val="32"/>
          <w:szCs w:val="32"/>
          <w:highlight w:val="none"/>
        </w:rPr>
      </w:pPr>
    </w:p>
    <w:p w14:paraId="3A4488E5">
      <w:pPr>
        <w:pStyle w:val="6"/>
        <w:shd w:val="clear" w:color="auto" w:fill="auto"/>
        <w:snapToGrid w:val="0"/>
        <w:spacing w:before="50" w:after="120"/>
        <w:ind w:firstLine="720" w:firstLineChars="225"/>
        <w:rPr>
          <w:rFonts w:ascii="宋体" w:hAnsi="宋体" w:cs="仿宋_GB2312"/>
          <w:bCs/>
          <w:color w:val="auto"/>
          <w:sz w:val="32"/>
          <w:szCs w:val="32"/>
          <w:highlight w:val="none"/>
        </w:rPr>
      </w:pPr>
    </w:p>
    <w:p w14:paraId="756C8BCD">
      <w:pPr>
        <w:pStyle w:val="6"/>
        <w:shd w:val="clear" w:color="auto" w:fill="auto"/>
        <w:snapToGrid w:val="0"/>
        <w:spacing w:before="50" w:after="120"/>
        <w:ind w:firstLine="1280" w:firstLineChars="400"/>
        <w:rPr>
          <w:rFonts w:ascii="宋体" w:hAnsi="宋体" w:cs="仿宋_GB2312"/>
          <w:bCs/>
          <w:color w:val="auto"/>
          <w:sz w:val="32"/>
          <w:szCs w:val="32"/>
          <w:highlight w:val="none"/>
        </w:rPr>
      </w:pPr>
    </w:p>
    <w:p w14:paraId="2B39F70F">
      <w:pPr>
        <w:shd w:val="clear" w:color="auto" w:fill="auto"/>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8E3EB5F">
      <w:pPr>
        <w:shd w:val="clear" w:color="auto" w:fill="auto"/>
        <w:snapToGrid w:val="0"/>
        <w:spacing w:before="120" w:beforeLines="50" w:after="50" w:line="360" w:lineRule="auto"/>
        <w:jc w:val="left"/>
        <w:rPr>
          <w:rFonts w:ascii="宋体" w:hAnsi="宋体"/>
          <w:b/>
          <w:bCs/>
          <w:color w:val="auto"/>
          <w:sz w:val="32"/>
          <w:szCs w:val="32"/>
          <w:highlight w:val="none"/>
        </w:rPr>
      </w:pPr>
    </w:p>
    <w:p w14:paraId="186F53B6">
      <w:pPr>
        <w:snapToGrid w:val="0"/>
        <w:spacing w:before="120" w:beforeLines="50" w:after="50" w:line="360" w:lineRule="auto"/>
        <w:ind w:left="142"/>
        <w:jc w:val="left"/>
        <w:rPr>
          <w:rFonts w:hint="eastAsia"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0E4C761D">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047562A7">
      <w:pPr>
        <w:snapToGrid w:val="0"/>
        <w:spacing w:before="120" w:beforeLines="50" w:after="50"/>
        <w:rPr>
          <w:rFonts w:ascii="宋体" w:hAnsi="宋体"/>
          <w:color w:val="auto"/>
          <w:sz w:val="24"/>
          <w:szCs w:val="20"/>
        </w:rPr>
      </w:pPr>
      <w:r>
        <w:rPr>
          <w:rFonts w:ascii="宋体" w:hAnsi="宋体"/>
          <w:color w:val="auto"/>
          <w:sz w:val="24"/>
          <w:szCs w:val="20"/>
        </w:rPr>
        <w:t xml:space="preserve"> </w:t>
      </w:r>
    </w:p>
    <w:p w14:paraId="2D2F7368">
      <w:pPr>
        <w:spacing w:line="300" w:lineRule="auto"/>
        <w:rPr>
          <w:rFonts w:hint="eastAsia" w:ascii="宋体" w:hAnsi="宋体"/>
          <w:color w:val="auto"/>
          <w:szCs w:val="21"/>
        </w:rPr>
      </w:pPr>
    </w:p>
    <w:p w14:paraId="084E2508">
      <w:pPr>
        <w:spacing w:line="300" w:lineRule="auto"/>
        <w:rPr>
          <w:rFonts w:hint="eastAsia" w:ascii="宋体" w:hAnsi="宋体"/>
          <w:color w:val="auto"/>
          <w:szCs w:val="21"/>
        </w:rPr>
      </w:pPr>
    </w:p>
    <w:p w14:paraId="65A0A839">
      <w:pPr>
        <w:spacing w:line="300" w:lineRule="auto"/>
        <w:rPr>
          <w:rFonts w:hint="eastAsia" w:ascii="宋体" w:hAnsi="宋体"/>
          <w:color w:val="auto"/>
          <w:szCs w:val="21"/>
        </w:rPr>
      </w:pPr>
    </w:p>
    <w:p w14:paraId="45A2A013">
      <w:pPr>
        <w:spacing w:line="300" w:lineRule="auto"/>
        <w:rPr>
          <w:rFonts w:hint="eastAsia" w:ascii="宋体" w:hAnsi="宋体"/>
          <w:color w:val="auto"/>
          <w:szCs w:val="21"/>
        </w:rPr>
      </w:pPr>
    </w:p>
    <w:p w14:paraId="55B898F9">
      <w:pPr>
        <w:spacing w:line="300" w:lineRule="auto"/>
        <w:rPr>
          <w:rFonts w:hint="eastAsia" w:ascii="宋体" w:hAnsi="宋体"/>
          <w:color w:val="auto"/>
          <w:szCs w:val="21"/>
        </w:rPr>
      </w:pPr>
    </w:p>
    <w:p w14:paraId="709E7F9D">
      <w:pPr>
        <w:spacing w:line="300" w:lineRule="auto"/>
        <w:rPr>
          <w:rFonts w:hint="eastAsia" w:ascii="宋体" w:hAnsi="宋体"/>
          <w:color w:val="auto"/>
          <w:szCs w:val="21"/>
        </w:rPr>
      </w:pPr>
    </w:p>
    <w:p w14:paraId="58075ECD">
      <w:pPr>
        <w:spacing w:line="300" w:lineRule="auto"/>
        <w:rPr>
          <w:rFonts w:hint="eastAsia" w:ascii="宋体" w:hAnsi="宋体"/>
          <w:color w:val="auto"/>
          <w:szCs w:val="21"/>
        </w:rPr>
      </w:pPr>
    </w:p>
    <w:p w14:paraId="266A1801">
      <w:pPr>
        <w:spacing w:line="300" w:lineRule="auto"/>
        <w:rPr>
          <w:rFonts w:hint="eastAsia" w:ascii="宋体" w:hAnsi="宋体"/>
          <w:color w:val="auto"/>
          <w:szCs w:val="21"/>
        </w:rPr>
      </w:pPr>
    </w:p>
    <w:p w14:paraId="55FD714D">
      <w:pPr>
        <w:spacing w:line="300" w:lineRule="auto"/>
        <w:rPr>
          <w:rFonts w:hint="eastAsia" w:ascii="宋体" w:hAnsi="宋体"/>
          <w:color w:val="auto"/>
          <w:szCs w:val="21"/>
        </w:rPr>
      </w:pPr>
    </w:p>
    <w:p w14:paraId="042A7674">
      <w:pPr>
        <w:spacing w:line="300" w:lineRule="auto"/>
        <w:rPr>
          <w:rFonts w:hint="eastAsia" w:ascii="宋体" w:hAnsi="宋体"/>
          <w:color w:val="auto"/>
          <w:szCs w:val="21"/>
        </w:rPr>
      </w:pPr>
    </w:p>
    <w:p w14:paraId="6B9E559D">
      <w:pPr>
        <w:spacing w:line="300" w:lineRule="auto"/>
        <w:rPr>
          <w:rFonts w:hint="eastAsia" w:ascii="宋体" w:hAnsi="宋体"/>
          <w:color w:val="auto"/>
          <w:szCs w:val="21"/>
        </w:rPr>
      </w:pPr>
    </w:p>
    <w:p w14:paraId="004D17EA">
      <w:pPr>
        <w:spacing w:line="300" w:lineRule="auto"/>
        <w:rPr>
          <w:rFonts w:hint="eastAsia" w:ascii="宋体" w:hAnsi="宋体"/>
          <w:color w:val="auto"/>
          <w:szCs w:val="21"/>
        </w:rPr>
      </w:pPr>
    </w:p>
    <w:p w14:paraId="25C23C3A">
      <w:pPr>
        <w:spacing w:line="300" w:lineRule="auto"/>
        <w:rPr>
          <w:rFonts w:hint="eastAsia" w:ascii="宋体" w:hAnsi="宋体"/>
          <w:color w:val="auto"/>
          <w:szCs w:val="21"/>
        </w:rPr>
      </w:pPr>
    </w:p>
    <w:p w14:paraId="3B864EB1">
      <w:pPr>
        <w:spacing w:line="300" w:lineRule="auto"/>
        <w:rPr>
          <w:rFonts w:hint="eastAsia" w:ascii="宋体" w:hAnsi="宋体"/>
          <w:color w:val="auto"/>
          <w:szCs w:val="21"/>
        </w:rPr>
      </w:pPr>
    </w:p>
    <w:p w14:paraId="373332DB">
      <w:pPr>
        <w:spacing w:line="300" w:lineRule="auto"/>
        <w:rPr>
          <w:rFonts w:hint="eastAsia" w:ascii="宋体" w:hAnsi="宋体"/>
          <w:color w:val="auto"/>
          <w:szCs w:val="21"/>
        </w:rPr>
      </w:pPr>
    </w:p>
    <w:p w14:paraId="39AEA92C">
      <w:pPr>
        <w:spacing w:line="320" w:lineRule="exact"/>
        <w:jc w:val="center"/>
        <w:rPr>
          <w:rFonts w:ascii="宋体" w:hAnsi="宋体"/>
          <w:b/>
          <w:color w:val="auto"/>
          <w:sz w:val="32"/>
          <w:szCs w:val="32"/>
        </w:rPr>
      </w:pPr>
      <w:r>
        <w:rPr>
          <w:rFonts w:ascii="宋体" w:hAnsi="宋体"/>
          <w:color w:val="auto"/>
          <w:szCs w:val="21"/>
        </w:rPr>
        <w:br w:type="page"/>
      </w:r>
      <w:r>
        <w:rPr>
          <w:rFonts w:hint="eastAsia" w:ascii="宋体" w:hAnsi="宋体"/>
          <w:color w:val="auto"/>
          <w:szCs w:val="21"/>
        </w:rPr>
        <w:t xml:space="preserve"> </w:t>
      </w:r>
      <w:r>
        <w:rPr>
          <w:rFonts w:hint="eastAsia" w:ascii="宋体" w:hAnsi="宋体"/>
          <w:b/>
          <w:color w:val="auto"/>
          <w:sz w:val="32"/>
          <w:szCs w:val="32"/>
        </w:rPr>
        <w:t>防城港市政府采购供应商信用承诺函（格式）</w:t>
      </w:r>
    </w:p>
    <w:p w14:paraId="4E48A185">
      <w:pPr>
        <w:spacing w:line="320" w:lineRule="exact"/>
        <w:jc w:val="left"/>
        <w:rPr>
          <w:rFonts w:hint="eastAsia" w:ascii="宋体" w:hAnsi="宋体"/>
          <w:color w:val="auto"/>
          <w:szCs w:val="21"/>
        </w:rPr>
      </w:pPr>
    </w:p>
    <w:p w14:paraId="176B8369">
      <w:pPr>
        <w:spacing w:line="360" w:lineRule="auto"/>
        <w:jc w:val="left"/>
        <w:rPr>
          <w:rFonts w:hint="eastAsia" w:ascii="宋体" w:hAnsi="宋体"/>
          <w:color w:val="auto"/>
          <w:sz w:val="24"/>
        </w:rPr>
      </w:pPr>
    </w:p>
    <w:p w14:paraId="456612C6">
      <w:pPr>
        <w:spacing w:line="360" w:lineRule="auto"/>
        <w:jc w:val="left"/>
        <w:rPr>
          <w:rFonts w:hint="eastAsia" w:ascii="宋体" w:hAnsi="宋体"/>
          <w:color w:val="auto"/>
          <w:sz w:val="24"/>
        </w:rPr>
      </w:pPr>
      <w:r>
        <w:rPr>
          <w:rFonts w:hint="eastAsia" w:ascii="宋体" w:hAnsi="宋体"/>
          <w:color w:val="auto"/>
          <w:sz w:val="24"/>
        </w:rPr>
        <w:t>致（采购人或采购代理机构） ：</w:t>
      </w:r>
    </w:p>
    <w:p w14:paraId="1A59E209">
      <w:pPr>
        <w:spacing w:line="360" w:lineRule="auto"/>
        <w:ind w:firstLine="480" w:firstLineChars="200"/>
        <w:jc w:val="left"/>
        <w:rPr>
          <w:rFonts w:hint="eastAsia" w:ascii="宋体" w:hAnsi="宋体"/>
          <w:color w:val="auto"/>
          <w:sz w:val="24"/>
        </w:rPr>
      </w:pPr>
      <w:r>
        <w:rPr>
          <w:rFonts w:hint="eastAsia" w:ascii="宋体" w:hAnsi="宋体"/>
          <w:color w:val="auto"/>
          <w:sz w:val="24"/>
        </w:rPr>
        <w:t>我方自愿参加</w:t>
      </w:r>
      <w:r>
        <w:rPr>
          <w:rFonts w:hint="eastAsia" w:ascii="宋体" w:hAnsi="宋体"/>
          <w:color w:val="auto"/>
          <w:sz w:val="24"/>
          <w:u w:val="single"/>
        </w:rPr>
        <w:t xml:space="preserve"> （项目名称） </w:t>
      </w:r>
      <w:r>
        <w:rPr>
          <w:rFonts w:hint="eastAsia" w:ascii="宋体" w:hAnsi="宋体"/>
          <w:color w:val="auto"/>
          <w:sz w:val="24"/>
        </w:rPr>
        <w:t>项目（</w:t>
      </w:r>
      <w:r>
        <w:rPr>
          <w:rFonts w:hint="eastAsia" w:ascii="宋体" w:hAnsi="宋体"/>
          <w:color w:val="auto"/>
          <w:sz w:val="24"/>
          <w:u w:val="single"/>
        </w:rPr>
        <w:t xml:space="preserve">项目编号：         </w:t>
      </w:r>
      <w:r>
        <w:rPr>
          <w:rFonts w:hint="eastAsia" w:ascii="宋体" w:hAnsi="宋体"/>
          <w:color w:val="auto"/>
          <w:sz w:val="24"/>
        </w:rPr>
        <w:t xml:space="preserve">）的政府采购活动，严格遵守《中华人民共和国政府采购法》及相关法律法规，依法诚信经营，无条件遵守本次政府采购活动的各项规定，并郑重承诺： </w:t>
      </w:r>
    </w:p>
    <w:p w14:paraId="775A3966">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1.我方具有符合采购文件资格要求的财务状况报告。 </w:t>
      </w:r>
    </w:p>
    <w:p w14:paraId="2906EBF4">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2.我方具有符合采购文件资格要求的依法缴纳税收和社会保障资金的良好记录。 </w:t>
      </w:r>
    </w:p>
    <w:p w14:paraId="5777064F">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3.我方参加政府采购活动前三年内在经营活动中没有重大违法记录。 </w:t>
      </w:r>
    </w:p>
    <w:p w14:paraId="2C498259">
      <w:pPr>
        <w:spacing w:line="360" w:lineRule="auto"/>
        <w:ind w:firstLine="480" w:firstLineChars="200"/>
        <w:jc w:val="left"/>
        <w:rPr>
          <w:rFonts w:hint="eastAsia" w:ascii="宋体" w:hAnsi="宋体"/>
          <w:color w:val="auto"/>
          <w:sz w:val="24"/>
        </w:rPr>
      </w:pPr>
      <w:r>
        <w:rPr>
          <w:rFonts w:hint="eastAsia" w:ascii="宋体" w:hAnsi="宋体"/>
          <w:color w:val="auto"/>
          <w:sz w:val="24"/>
        </w:rPr>
        <w:t>我方对以上承诺内容的真实性负责。如有虚假，将依法承担相应责任。</w:t>
      </w:r>
    </w:p>
    <w:p w14:paraId="19A50811">
      <w:pPr>
        <w:spacing w:line="360" w:lineRule="auto"/>
        <w:jc w:val="left"/>
        <w:rPr>
          <w:rFonts w:hint="eastAsia" w:ascii="宋体" w:hAnsi="宋体"/>
          <w:color w:val="auto"/>
          <w:sz w:val="24"/>
        </w:rPr>
      </w:pPr>
    </w:p>
    <w:p w14:paraId="449F23A1">
      <w:pPr>
        <w:spacing w:line="360" w:lineRule="auto"/>
        <w:jc w:val="left"/>
        <w:rPr>
          <w:rFonts w:hint="eastAsia" w:ascii="宋体" w:hAnsi="宋体"/>
          <w:color w:val="auto"/>
          <w:sz w:val="24"/>
        </w:rPr>
      </w:pPr>
    </w:p>
    <w:p w14:paraId="4AC889B1">
      <w:pPr>
        <w:spacing w:line="360" w:lineRule="auto"/>
        <w:ind w:firstLine="480" w:firstLineChars="200"/>
        <w:jc w:val="left"/>
        <w:rPr>
          <w:rFonts w:hint="eastAsia" w:ascii="宋体" w:hAnsi="宋体"/>
          <w:color w:val="auto"/>
          <w:sz w:val="24"/>
        </w:rPr>
      </w:pPr>
      <w:r>
        <w:rPr>
          <w:rFonts w:hint="eastAsia" w:ascii="宋体" w:hAnsi="宋体"/>
          <w:color w:val="auto"/>
          <w:sz w:val="24"/>
        </w:rPr>
        <w:t>供应商名称（电子签章）：</w:t>
      </w:r>
    </w:p>
    <w:p w14:paraId="710C32BF">
      <w:pPr>
        <w:spacing w:line="360" w:lineRule="auto"/>
        <w:ind w:firstLine="480" w:firstLineChars="200"/>
        <w:jc w:val="left"/>
        <w:rPr>
          <w:rFonts w:hint="eastAsia" w:ascii="宋体" w:hAnsi="宋体"/>
          <w:color w:val="auto"/>
          <w:sz w:val="24"/>
        </w:rPr>
      </w:pPr>
      <w:r>
        <w:rPr>
          <w:rFonts w:hint="eastAsia" w:ascii="宋体" w:hAnsi="宋体"/>
          <w:color w:val="auto"/>
          <w:sz w:val="24"/>
        </w:rPr>
        <w:t>统一社会信用代码：</w:t>
      </w:r>
    </w:p>
    <w:p w14:paraId="1AA83D94">
      <w:pPr>
        <w:spacing w:line="360" w:lineRule="auto"/>
        <w:ind w:firstLine="480" w:firstLineChars="200"/>
        <w:jc w:val="left"/>
        <w:rPr>
          <w:rFonts w:hint="eastAsia" w:ascii="宋体" w:hAnsi="宋体"/>
          <w:color w:val="auto"/>
          <w:sz w:val="24"/>
        </w:rPr>
      </w:pPr>
      <w:r>
        <w:rPr>
          <w:rFonts w:hint="eastAsia" w:ascii="宋体" w:hAnsi="宋体"/>
          <w:color w:val="auto"/>
          <w:sz w:val="24"/>
        </w:rPr>
        <w:t>法定代表人或授权代表(签字或者电子签名)：</w:t>
      </w:r>
    </w:p>
    <w:p w14:paraId="16FB5578">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日期： </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日</w:t>
      </w:r>
    </w:p>
    <w:p w14:paraId="402107B0">
      <w:pPr>
        <w:spacing w:line="360" w:lineRule="auto"/>
        <w:jc w:val="left"/>
        <w:rPr>
          <w:rFonts w:hint="eastAsia" w:ascii="宋体" w:hAnsi="宋体"/>
          <w:color w:val="auto"/>
          <w:sz w:val="24"/>
        </w:rPr>
      </w:pPr>
    </w:p>
    <w:p w14:paraId="4F1AB56B">
      <w:pPr>
        <w:spacing w:line="360" w:lineRule="auto"/>
        <w:ind w:firstLine="480" w:firstLineChars="200"/>
        <w:jc w:val="left"/>
        <w:rPr>
          <w:rFonts w:hint="eastAsia" w:ascii="宋体" w:hAnsi="宋体"/>
          <w:color w:val="auto"/>
          <w:sz w:val="24"/>
        </w:rPr>
      </w:pPr>
      <w:r>
        <w:rPr>
          <w:rFonts w:hint="eastAsia" w:ascii="宋体" w:hAnsi="宋体"/>
          <w:color w:val="auto"/>
          <w:sz w:val="24"/>
        </w:rPr>
        <w:t>注：1.供应商须在响应文件中按此模板提供承诺函，未提供视为未实质性响应采购文件要求，按无效响应处理。</w:t>
      </w:r>
    </w:p>
    <w:p w14:paraId="1F6DD19F">
      <w:pPr>
        <w:spacing w:line="360" w:lineRule="auto"/>
        <w:ind w:firstLine="960" w:firstLineChars="400"/>
        <w:jc w:val="left"/>
        <w:rPr>
          <w:rFonts w:hint="eastAsia" w:ascii="宋体" w:hAnsi="宋体"/>
          <w:color w:val="auto"/>
          <w:sz w:val="24"/>
        </w:rPr>
      </w:pPr>
      <w:r>
        <w:rPr>
          <w:rFonts w:hint="eastAsia" w:ascii="宋体" w:hAnsi="宋体"/>
          <w:color w:val="auto"/>
          <w:sz w:val="24"/>
        </w:rPr>
        <w:t>2.供应商的法定代表人（其他组织的为负责人）或者授权代表的签名或盖章应真实、有效，如由授权代表签名或盖章的，应提供“法定代表人授权书”。</w:t>
      </w:r>
    </w:p>
    <w:p w14:paraId="0EF6F240">
      <w:pPr>
        <w:spacing w:line="320" w:lineRule="exact"/>
        <w:jc w:val="left"/>
        <w:rPr>
          <w:rFonts w:ascii="宋体" w:hAnsi="宋体"/>
          <w:color w:val="auto"/>
          <w:szCs w:val="21"/>
        </w:rPr>
      </w:pPr>
    </w:p>
    <w:p w14:paraId="001B5DB8">
      <w:pPr>
        <w:spacing w:line="320" w:lineRule="exact"/>
        <w:jc w:val="left"/>
        <w:rPr>
          <w:rFonts w:ascii="宋体" w:hAnsi="宋体"/>
          <w:color w:val="auto"/>
          <w:szCs w:val="21"/>
        </w:rPr>
      </w:pPr>
    </w:p>
    <w:p w14:paraId="0B13B4AD">
      <w:pPr>
        <w:spacing w:line="320" w:lineRule="exact"/>
        <w:jc w:val="left"/>
        <w:rPr>
          <w:rFonts w:ascii="宋体" w:hAnsi="宋体"/>
          <w:color w:val="auto"/>
          <w:szCs w:val="21"/>
        </w:rPr>
      </w:pPr>
    </w:p>
    <w:p w14:paraId="7D776C3E">
      <w:pPr>
        <w:spacing w:line="320" w:lineRule="exact"/>
        <w:jc w:val="left"/>
        <w:rPr>
          <w:rFonts w:ascii="宋体" w:hAnsi="宋体"/>
          <w:color w:val="auto"/>
          <w:szCs w:val="21"/>
        </w:rPr>
      </w:pPr>
    </w:p>
    <w:p w14:paraId="34FD082D">
      <w:pPr>
        <w:spacing w:line="320" w:lineRule="exact"/>
        <w:jc w:val="left"/>
        <w:rPr>
          <w:rFonts w:ascii="宋体" w:hAnsi="宋体"/>
          <w:color w:val="auto"/>
          <w:szCs w:val="21"/>
        </w:rPr>
      </w:pPr>
    </w:p>
    <w:p w14:paraId="3BE1A5C2">
      <w:pPr>
        <w:spacing w:line="320" w:lineRule="exact"/>
        <w:jc w:val="left"/>
        <w:rPr>
          <w:rFonts w:ascii="宋体" w:hAnsi="宋体"/>
          <w:color w:val="auto"/>
          <w:szCs w:val="21"/>
        </w:rPr>
      </w:pPr>
    </w:p>
    <w:p w14:paraId="02241666">
      <w:pPr>
        <w:spacing w:line="320" w:lineRule="exact"/>
        <w:jc w:val="left"/>
        <w:rPr>
          <w:rFonts w:ascii="宋体" w:hAnsi="宋体"/>
          <w:color w:val="auto"/>
          <w:szCs w:val="21"/>
        </w:rPr>
      </w:pPr>
    </w:p>
    <w:p w14:paraId="071411EA">
      <w:pPr>
        <w:spacing w:line="320" w:lineRule="exact"/>
        <w:jc w:val="left"/>
        <w:rPr>
          <w:rFonts w:ascii="宋体" w:hAnsi="宋体"/>
          <w:color w:val="auto"/>
          <w:szCs w:val="21"/>
        </w:rPr>
      </w:pPr>
    </w:p>
    <w:p w14:paraId="06FC6C47">
      <w:pPr>
        <w:spacing w:line="320" w:lineRule="exact"/>
        <w:jc w:val="left"/>
        <w:rPr>
          <w:rFonts w:ascii="宋体" w:hAnsi="宋体"/>
          <w:color w:val="auto"/>
          <w:szCs w:val="21"/>
        </w:rPr>
      </w:pPr>
    </w:p>
    <w:p w14:paraId="027D982A">
      <w:pPr>
        <w:spacing w:line="320" w:lineRule="exact"/>
        <w:jc w:val="left"/>
        <w:rPr>
          <w:rFonts w:ascii="宋体" w:hAnsi="宋体"/>
          <w:color w:val="auto"/>
          <w:szCs w:val="21"/>
        </w:rPr>
      </w:pPr>
    </w:p>
    <w:p w14:paraId="0DF041D8">
      <w:pPr>
        <w:pStyle w:val="10"/>
        <w:rPr>
          <w:rFonts w:ascii="宋体" w:hAnsi="宋体"/>
          <w:color w:val="auto"/>
          <w:szCs w:val="21"/>
        </w:rPr>
      </w:pPr>
    </w:p>
    <w:p w14:paraId="4659F39C">
      <w:pPr>
        <w:pStyle w:val="10"/>
        <w:rPr>
          <w:rFonts w:ascii="宋体" w:hAnsi="宋体"/>
          <w:color w:val="auto"/>
          <w:szCs w:val="21"/>
        </w:rPr>
      </w:pPr>
    </w:p>
    <w:p w14:paraId="7B8A3563">
      <w:pPr>
        <w:snapToGrid w:val="0"/>
        <w:spacing w:line="360" w:lineRule="auto"/>
        <w:jc w:val="center"/>
        <w:rPr>
          <w:rFonts w:hint="eastAsia" w:ascii="宋体" w:hAnsi="宋体"/>
          <w:b/>
          <w:color w:val="auto"/>
          <w:sz w:val="28"/>
          <w:szCs w:val="28"/>
        </w:rPr>
      </w:pPr>
      <w:r>
        <w:rPr>
          <w:rFonts w:hint="eastAsia" w:ascii="宋体" w:hAnsi="宋体"/>
          <w:b/>
          <w:color w:val="auto"/>
          <w:sz w:val="28"/>
          <w:szCs w:val="28"/>
        </w:rPr>
        <w:t>供应商直接控股股东信息表</w:t>
      </w:r>
      <w:r>
        <w:rPr>
          <w:rFonts w:hint="eastAsia" w:ascii="宋体" w:hAnsi="宋体"/>
          <w:b/>
          <w:color w:val="auto"/>
          <w:sz w:val="28"/>
          <w:szCs w:val="28"/>
          <w:lang w:eastAsia="zh-CN"/>
        </w:rPr>
        <w:t>、</w:t>
      </w:r>
      <w:r>
        <w:rPr>
          <w:rFonts w:hint="eastAsia" w:ascii="宋体" w:hAnsi="宋体"/>
          <w:b/>
          <w:color w:val="auto"/>
          <w:sz w:val="32"/>
          <w:szCs w:val="32"/>
        </w:rPr>
        <w:t>供应商直接管理关系信息表</w:t>
      </w:r>
    </w:p>
    <w:p w14:paraId="0B81A7AF">
      <w:pPr>
        <w:snapToGrid w:val="0"/>
        <w:spacing w:before="50" w:after="120" w:afterLines="50" w:line="360" w:lineRule="auto"/>
        <w:jc w:val="center"/>
        <w:rPr>
          <w:rFonts w:hint="eastAsia" w:ascii="宋体" w:hAnsi="宋体"/>
          <w:b/>
          <w:color w:val="auto"/>
          <w:sz w:val="32"/>
          <w:szCs w:val="32"/>
        </w:rPr>
      </w:pPr>
      <w:r>
        <w:rPr>
          <w:rFonts w:hint="eastAsia" w:ascii="宋体" w:hAnsi="宋体"/>
          <w:b/>
          <w:color w:val="auto"/>
          <w:sz w:val="32"/>
          <w:szCs w:val="32"/>
        </w:rPr>
        <w:t>供应商直接控股股东信息表</w:t>
      </w:r>
    </w:p>
    <w:tbl>
      <w:tblPr>
        <w:tblStyle w:val="21"/>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D7973DC">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7EAFB6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2EA739">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2BE254C">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39C09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61F2E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4C490062">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30514">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596F0F">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B928C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06DDA4">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709ECF">
            <w:pPr>
              <w:spacing w:line="360" w:lineRule="auto"/>
              <w:jc w:val="center"/>
              <w:rPr>
                <w:rFonts w:ascii="宋体" w:hAnsi="宋体" w:cs="宋体"/>
                <w:color w:val="auto"/>
                <w:kern w:val="0"/>
                <w:sz w:val="24"/>
              </w:rPr>
            </w:pPr>
          </w:p>
        </w:tc>
      </w:tr>
      <w:tr w14:paraId="1B7B86C7">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7B74CA">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73CBCC">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76858C">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A36BB7">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70D9BE">
            <w:pPr>
              <w:spacing w:line="360" w:lineRule="auto"/>
              <w:jc w:val="center"/>
              <w:rPr>
                <w:rFonts w:ascii="宋体" w:hAnsi="宋体" w:cs="宋体"/>
                <w:color w:val="auto"/>
                <w:kern w:val="0"/>
                <w:sz w:val="24"/>
              </w:rPr>
            </w:pPr>
          </w:p>
        </w:tc>
      </w:tr>
      <w:tr w14:paraId="3096DEDF">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366917">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84E674">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405AC7">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D64CF2">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0BE03B">
            <w:pPr>
              <w:spacing w:line="360" w:lineRule="auto"/>
              <w:jc w:val="center"/>
              <w:rPr>
                <w:rFonts w:ascii="宋体" w:hAnsi="宋体" w:cs="宋体"/>
                <w:color w:val="auto"/>
                <w:kern w:val="0"/>
                <w:sz w:val="24"/>
              </w:rPr>
            </w:pPr>
          </w:p>
        </w:tc>
      </w:tr>
      <w:tr w14:paraId="2FF98D3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8D2593">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9B87F5">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8AF0A7">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A3F0C">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DBB37C">
            <w:pPr>
              <w:spacing w:line="360" w:lineRule="auto"/>
              <w:jc w:val="center"/>
              <w:rPr>
                <w:rFonts w:ascii="宋体" w:hAnsi="宋体" w:cs="宋体"/>
                <w:color w:val="auto"/>
                <w:kern w:val="0"/>
                <w:sz w:val="24"/>
              </w:rPr>
            </w:pPr>
          </w:p>
        </w:tc>
      </w:tr>
    </w:tbl>
    <w:p w14:paraId="3F3CBF71">
      <w:pPr>
        <w:snapToGrid w:val="0"/>
        <w:spacing w:line="360" w:lineRule="auto"/>
        <w:jc w:val="left"/>
        <w:rPr>
          <w:rFonts w:hint="eastAsia" w:ascii="宋体" w:hAnsi="宋体"/>
          <w:color w:val="auto"/>
          <w:sz w:val="24"/>
        </w:rPr>
      </w:pPr>
      <w:r>
        <w:rPr>
          <w:rFonts w:hint="eastAsia" w:ascii="宋体" w:hAnsi="宋体"/>
          <w:color w:val="auto"/>
          <w:sz w:val="24"/>
        </w:rPr>
        <w:t>注：</w:t>
      </w:r>
    </w:p>
    <w:p w14:paraId="5F9DFBA2">
      <w:pPr>
        <w:snapToGrid w:val="0"/>
        <w:spacing w:line="360" w:lineRule="auto"/>
        <w:jc w:val="left"/>
        <w:rPr>
          <w:rFonts w:hint="eastAsia"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B07352">
      <w:pPr>
        <w:snapToGrid w:val="0"/>
        <w:spacing w:line="360" w:lineRule="auto"/>
        <w:jc w:val="left"/>
        <w:rPr>
          <w:rFonts w:hint="eastAsia"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2132CFD6">
      <w:pPr>
        <w:snapToGrid w:val="0"/>
        <w:spacing w:line="360" w:lineRule="auto"/>
        <w:jc w:val="left"/>
        <w:rPr>
          <w:rFonts w:hint="eastAsia" w:ascii="宋体" w:hAnsi="宋体"/>
          <w:color w:val="auto"/>
          <w:sz w:val="24"/>
        </w:rPr>
      </w:pPr>
      <w:r>
        <w:rPr>
          <w:rFonts w:hint="eastAsia" w:ascii="宋体" w:hAnsi="宋体"/>
          <w:color w:val="auto"/>
          <w:sz w:val="24"/>
        </w:rPr>
        <w:t>3.供应商不存在直接控股股东的，则在“</w:t>
      </w:r>
      <w:r>
        <w:rPr>
          <w:rFonts w:hint="eastAsia" w:ascii="宋体" w:hAnsi="宋体" w:cs="宋体"/>
          <w:b/>
          <w:bCs/>
          <w:color w:val="auto"/>
          <w:kern w:val="0"/>
          <w:sz w:val="24"/>
        </w:rPr>
        <w:t>直接控股股东名称</w:t>
      </w:r>
      <w:r>
        <w:rPr>
          <w:rFonts w:hint="eastAsia" w:ascii="宋体" w:hAnsi="宋体"/>
          <w:color w:val="auto"/>
          <w:sz w:val="24"/>
        </w:rPr>
        <w:t>”中填“无”。</w:t>
      </w:r>
    </w:p>
    <w:p w14:paraId="1348E382">
      <w:pPr>
        <w:snapToGrid w:val="0"/>
        <w:spacing w:line="360" w:lineRule="auto"/>
        <w:jc w:val="left"/>
        <w:rPr>
          <w:rFonts w:hint="eastAsia" w:ascii="宋体" w:hAnsi="宋体"/>
          <w:color w:val="auto"/>
          <w:sz w:val="24"/>
        </w:rPr>
      </w:pPr>
    </w:p>
    <w:p w14:paraId="398CA3DC">
      <w:pPr>
        <w:snapToGrid w:val="0"/>
        <w:spacing w:line="360" w:lineRule="auto"/>
        <w:jc w:val="left"/>
        <w:rPr>
          <w:rFonts w:hint="eastAsia" w:ascii="宋体" w:hAnsi="宋体"/>
          <w:color w:val="auto"/>
          <w:sz w:val="24"/>
        </w:rPr>
      </w:pPr>
    </w:p>
    <w:p w14:paraId="609C8C5B">
      <w:pPr>
        <w:snapToGrid w:val="0"/>
        <w:spacing w:line="360" w:lineRule="auto"/>
        <w:jc w:val="left"/>
        <w:rPr>
          <w:rFonts w:hint="eastAsia" w:ascii="宋体" w:hAnsi="宋体"/>
          <w:color w:val="auto"/>
          <w:sz w:val="24"/>
        </w:rPr>
      </w:pPr>
    </w:p>
    <w:p w14:paraId="234CFC57">
      <w:pPr>
        <w:snapToGrid w:val="0"/>
        <w:spacing w:line="360" w:lineRule="auto"/>
        <w:ind w:left="-2" w:leftChars="-1" w:right="-817" w:rightChars="-389"/>
        <w:rPr>
          <w:rFonts w:hint="eastAsia" w:ascii="宋体" w:hAnsi="宋体"/>
          <w:color w:val="auto"/>
          <w:sz w:val="24"/>
        </w:rPr>
      </w:pPr>
      <w:r>
        <w:rPr>
          <w:rFonts w:hint="eastAsia" w:ascii="宋体" w:hAnsi="宋体"/>
          <w:color w:val="auto"/>
          <w:sz w:val="24"/>
        </w:rPr>
        <w:t xml:space="preserve">             法定代表人或者委托代理人（签字或者电子签名）：</w:t>
      </w:r>
    </w:p>
    <w:p w14:paraId="4EA7E673">
      <w:pPr>
        <w:snapToGrid w:val="0"/>
        <w:spacing w:line="360" w:lineRule="auto"/>
        <w:ind w:left="-3" w:leftChars="-15" w:right="-817" w:rightChars="-389" w:hanging="28" w:hangingChars="12"/>
        <w:rPr>
          <w:rFonts w:hint="eastAsia" w:ascii="宋体" w:hAnsi="宋体"/>
          <w:color w:val="auto"/>
          <w:sz w:val="24"/>
        </w:rPr>
      </w:pPr>
      <w:r>
        <w:rPr>
          <w:rFonts w:hint="eastAsia" w:ascii="宋体" w:hAnsi="宋体"/>
          <w:color w:val="auto"/>
          <w:sz w:val="24"/>
        </w:rPr>
        <w:t xml:space="preserve">                                    供应商名称（电子签章）：</w:t>
      </w:r>
    </w:p>
    <w:p w14:paraId="00399BB0">
      <w:pPr>
        <w:snapToGrid w:val="0"/>
        <w:spacing w:line="360" w:lineRule="auto"/>
        <w:jc w:val="left"/>
        <w:rPr>
          <w:rFonts w:hint="eastAsia" w:ascii="宋体" w:hAnsi="宋体"/>
          <w:color w:val="auto"/>
          <w:szCs w:val="21"/>
        </w:rPr>
      </w:pPr>
      <w:r>
        <w:rPr>
          <w:rFonts w:hint="eastAsia" w:ascii="宋体" w:hAnsi="宋体"/>
          <w:color w:val="auto"/>
          <w:sz w:val="24"/>
        </w:rPr>
        <w:t xml:space="preserve">                                    日期：    年   月   日</w:t>
      </w:r>
    </w:p>
    <w:p w14:paraId="77ED86B0">
      <w:pPr>
        <w:snapToGrid w:val="0"/>
        <w:jc w:val="center"/>
        <w:rPr>
          <w:rFonts w:hint="eastAsia" w:ascii="宋体" w:hAnsi="宋体"/>
          <w:b/>
          <w:color w:val="auto"/>
          <w:sz w:val="28"/>
          <w:szCs w:val="28"/>
        </w:rPr>
      </w:pPr>
    </w:p>
    <w:p w14:paraId="641AE68D">
      <w:pPr>
        <w:snapToGrid w:val="0"/>
        <w:spacing w:line="360" w:lineRule="auto"/>
        <w:jc w:val="left"/>
        <w:rPr>
          <w:rFonts w:hint="eastAsia" w:ascii="宋体" w:hAnsi="宋体"/>
          <w:b/>
          <w:color w:val="auto"/>
          <w:sz w:val="32"/>
          <w:szCs w:val="32"/>
        </w:rPr>
      </w:pPr>
      <w:r>
        <w:rPr>
          <w:rFonts w:hint="eastAsia" w:ascii="宋体" w:hAnsi="宋体"/>
          <w:b/>
          <w:color w:val="auto"/>
          <w:sz w:val="32"/>
          <w:szCs w:val="32"/>
        </w:rPr>
        <w:br w:type="page"/>
      </w:r>
    </w:p>
    <w:p w14:paraId="45283C53">
      <w:pPr>
        <w:snapToGrid w:val="0"/>
        <w:spacing w:line="360" w:lineRule="auto"/>
        <w:jc w:val="center"/>
        <w:rPr>
          <w:rFonts w:hint="eastAsia" w:ascii="宋体" w:hAnsi="宋体"/>
          <w:color w:val="auto"/>
          <w:sz w:val="32"/>
          <w:szCs w:val="32"/>
        </w:rPr>
      </w:pPr>
      <w:r>
        <w:rPr>
          <w:rFonts w:hint="eastAsia" w:ascii="宋体" w:hAnsi="宋体"/>
          <w:b/>
          <w:color w:val="auto"/>
          <w:sz w:val="32"/>
          <w:szCs w:val="32"/>
        </w:rPr>
        <w:t>供应商直接管理关系信息表</w:t>
      </w:r>
    </w:p>
    <w:tbl>
      <w:tblPr>
        <w:tblStyle w:val="21"/>
        <w:tblW w:w="0" w:type="auto"/>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69C3B7B3">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5A8272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E7229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C5C91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CF30C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1DD9E124">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C9259E">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4D3088">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46ACA4">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983DA4">
            <w:pPr>
              <w:spacing w:line="360" w:lineRule="auto"/>
              <w:jc w:val="center"/>
              <w:rPr>
                <w:rFonts w:ascii="宋体" w:hAnsi="宋体" w:cs="宋体"/>
                <w:color w:val="auto"/>
                <w:kern w:val="0"/>
                <w:sz w:val="24"/>
              </w:rPr>
            </w:pPr>
          </w:p>
        </w:tc>
      </w:tr>
      <w:tr w14:paraId="61304180">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4B74AD">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894E8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8AB956">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6AD3C5">
            <w:pPr>
              <w:spacing w:line="360" w:lineRule="auto"/>
              <w:jc w:val="center"/>
              <w:rPr>
                <w:rFonts w:ascii="宋体" w:hAnsi="宋体" w:cs="宋体"/>
                <w:color w:val="auto"/>
                <w:kern w:val="0"/>
                <w:sz w:val="24"/>
              </w:rPr>
            </w:pPr>
          </w:p>
        </w:tc>
      </w:tr>
      <w:tr w14:paraId="46584930">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95A7E0">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C61BA0">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3C90F0">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737C92">
            <w:pPr>
              <w:spacing w:line="360" w:lineRule="auto"/>
              <w:jc w:val="center"/>
              <w:rPr>
                <w:rFonts w:ascii="宋体" w:hAnsi="宋体" w:cs="宋体"/>
                <w:color w:val="auto"/>
                <w:kern w:val="0"/>
                <w:sz w:val="24"/>
              </w:rPr>
            </w:pPr>
          </w:p>
        </w:tc>
      </w:tr>
      <w:tr w14:paraId="66644B6E">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EC27BC">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C34DD4">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62982E">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938A2">
            <w:pPr>
              <w:spacing w:line="360" w:lineRule="auto"/>
              <w:jc w:val="center"/>
              <w:rPr>
                <w:rFonts w:ascii="宋体" w:hAnsi="宋体" w:cs="宋体"/>
                <w:color w:val="auto"/>
                <w:kern w:val="0"/>
                <w:sz w:val="24"/>
              </w:rPr>
            </w:pPr>
          </w:p>
        </w:tc>
      </w:tr>
    </w:tbl>
    <w:p w14:paraId="46D1A769">
      <w:pPr>
        <w:snapToGrid w:val="0"/>
        <w:spacing w:line="360" w:lineRule="auto"/>
        <w:jc w:val="left"/>
        <w:rPr>
          <w:rFonts w:hint="eastAsia" w:ascii="宋体" w:hAnsi="宋体"/>
          <w:color w:val="auto"/>
          <w:sz w:val="24"/>
        </w:rPr>
      </w:pPr>
      <w:r>
        <w:rPr>
          <w:rFonts w:hint="eastAsia" w:ascii="宋体" w:hAnsi="宋体"/>
          <w:color w:val="auto"/>
          <w:sz w:val="24"/>
        </w:rPr>
        <w:t>注：</w:t>
      </w:r>
    </w:p>
    <w:p w14:paraId="6D026D30">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60907CFE">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684EFB6C">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3.供应商不存在直接管理关系的，则在“</w:t>
      </w:r>
      <w:r>
        <w:rPr>
          <w:rFonts w:hint="eastAsia" w:ascii="宋体" w:hAnsi="宋体" w:cs="宋体"/>
          <w:b/>
          <w:bCs/>
          <w:color w:val="auto"/>
          <w:kern w:val="0"/>
          <w:sz w:val="24"/>
        </w:rPr>
        <w:t>直接管理关系单位名称</w:t>
      </w:r>
      <w:r>
        <w:rPr>
          <w:rFonts w:hint="eastAsia" w:ascii="宋体" w:hAnsi="宋体"/>
          <w:color w:val="auto"/>
          <w:sz w:val="24"/>
        </w:rPr>
        <w:t>”中填“无”。</w:t>
      </w:r>
    </w:p>
    <w:p w14:paraId="1DF11C1D">
      <w:pPr>
        <w:snapToGrid w:val="0"/>
        <w:spacing w:line="360" w:lineRule="auto"/>
        <w:jc w:val="left"/>
        <w:rPr>
          <w:rFonts w:hint="eastAsia" w:ascii="宋体" w:hAnsi="宋体"/>
          <w:color w:val="auto"/>
          <w:sz w:val="24"/>
        </w:rPr>
      </w:pPr>
    </w:p>
    <w:p w14:paraId="78B92223">
      <w:pPr>
        <w:snapToGrid w:val="0"/>
        <w:spacing w:line="360" w:lineRule="auto"/>
        <w:jc w:val="left"/>
        <w:rPr>
          <w:rFonts w:hint="eastAsia" w:ascii="宋体" w:hAnsi="宋体"/>
          <w:color w:val="auto"/>
          <w:sz w:val="24"/>
        </w:rPr>
      </w:pPr>
    </w:p>
    <w:p w14:paraId="063BCF54">
      <w:pPr>
        <w:snapToGrid w:val="0"/>
        <w:spacing w:line="360" w:lineRule="auto"/>
        <w:jc w:val="left"/>
        <w:rPr>
          <w:rFonts w:hint="eastAsia" w:ascii="宋体" w:hAnsi="宋体"/>
          <w:color w:val="auto"/>
          <w:sz w:val="24"/>
        </w:rPr>
      </w:pPr>
    </w:p>
    <w:p w14:paraId="4EE981F2">
      <w:pPr>
        <w:snapToGrid w:val="0"/>
        <w:spacing w:line="360" w:lineRule="auto"/>
        <w:jc w:val="left"/>
        <w:rPr>
          <w:rFonts w:hint="eastAsia"/>
          <w:color w:val="auto"/>
          <w:sz w:val="24"/>
        </w:rPr>
      </w:pPr>
    </w:p>
    <w:p w14:paraId="398E9957">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476E1A5E">
      <w:pPr>
        <w:snapToGrid w:val="0"/>
        <w:spacing w:line="360" w:lineRule="auto"/>
        <w:ind w:left="-3" w:leftChars="-15" w:right="-817" w:rightChars="-389" w:hanging="28" w:hangingChars="12"/>
        <w:rPr>
          <w:rFonts w:hint="eastAsia" w:ascii="宋体" w:hAnsi="宋体"/>
          <w:color w:val="auto"/>
          <w:sz w:val="24"/>
        </w:rPr>
      </w:pPr>
      <w:r>
        <w:rPr>
          <w:rFonts w:hint="eastAsia" w:ascii="宋体" w:hAnsi="宋体"/>
          <w:color w:val="auto"/>
          <w:sz w:val="24"/>
        </w:rPr>
        <w:t xml:space="preserve">                                  供应商名称（电子签章）：</w:t>
      </w:r>
    </w:p>
    <w:p w14:paraId="657A8DA4">
      <w:pPr>
        <w:snapToGrid w:val="0"/>
        <w:spacing w:line="360" w:lineRule="auto"/>
        <w:ind w:right="480" w:firstLine="240" w:firstLineChars="100"/>
        <w:jc w:val="left"/>
        <w:rPr>
          <w:rFonts w:hint="eastAsia" w:ascii="宋体" w:hAnsi="宋体"/>
          <w:color w:val="auto"/>
          <w:szCs w:val="21"/>
        </w:rPr>
      </w:pPr>
      <w:r>
        <w:rPr>
          <w:rFonts w:hint="eastAsia" w:ascii="宋体" w:hAnsi="宋体"/>
          <w:color w:val="auto"/>
          <w:sz w:val="24"/>
        </w:rPr>
        <w:t xml:space="preserve">                                日期：    年   月   日</w:t>
      </w:r>
    </w:p>
    <w:p w14:paraId="69AB58B4">
      <w:pPr>
        <w:snapToGrid w:val="0"/>
        <w:spacing w:before="120" w:beforeLines="50" w:after="50"/>
        <w:jc w:val="left"/>
        <w:rPr>
          <w:rFonts w:hint="eastAsia" w:ascii="宋体" w:hAnsi="宋体"/>
          <w:color w:val="auto"/>
          <w:sz w:val="24"/>
        </w:rPr>
      </w:pPr>
    </w:p>
    <w:p w14:paraId="27C1C41E">
      <w:pPr>
        <w:snapToGrid w:val="0"/>
        <w:spacing w:before="50" w:after="120" w:afterLines="50"/>
        <w:jc w:val="left"/>
        <w:rPr>
          <w:rFonts w:hint="eastAsia" w:ascii="宋体" w:hAnsi="宋体"/>
          <w:color w:val="auto"/>
          <w:szCs w:val="21"/>
        </w:rPr>
      </w:pPr>
    </w:p>
    <w:p w14:paraId="79B06D57">
      <w:pPr>
        <w:snapToGrid w:val="0"/>
        <w:spacing w:before="120" w:beforeLines="50" w:after="50"/>
        <w:jc w:val="left"/>
        <w:rPr>
          <w:rFonts w:hint="eastAsia" w:ascii="宋体" w:hAnsi="宋体"/>
          <w:b/>
          <w:color w:val="auto"/>
          <w:sz w:val="24"/>
          <w:szCs w:val="20"/>
        </w:rPr>
      </w:pPr>
    </w:p>
    <w:p w14:paraId="67ED4B35">
      <w:pPr>
        <w:snapToGrid w:val="0"/>
        <w:spacing w:before="120" w:beforeLines="50" w:after="50"/>
        <w:ind w:left="142"/>
        <w:jc w:val="left"/>
        <w:rPr>
          <w:rFonts w:hint="eastAsia" w:ascii="宋体" w:hAnsi="宋体"/>
          <w:b/>
          <w:color w:val="auto"/>
          <w:sz w:val="24"/>
        </w:rPr>
      </w:pPr>
    </w:p>
    <w:p w14:paraId="1E225C14">
      <w:pPr>
        <w:snapToGrid w:val="0"/>
        <w:spacing w:before="120" w:beforeLines="50" w:after="50"/>
        <w:ind w:left="142"/>
        <w:jc w:val="left"/>
        <w:rPr>
          <w:rFonts w:hint="eastAsia" w:ascii="宋体" w:hAnsi="宋体"/>
          <w:b/>
          <w:color w:val="auto"/>
          <w:sz w:val="24"/>
        </w:rPr>
      </w:pPr>
    </w:p>
    <w:p w14:paraId="5B477F8D">
      <w:pPr>
        <w:snapToGrid w:val="0"/>
        <w:spacing w:before="120" w:beforeLines="50" w:after="50"/>
        <w:ind w:left="142"/>
        <w:jc w:val="left"/>
        <w:rPr>
          <w:rFonts w:hint="eastAsia" w:ascii="宋体" w:hAnsi="宋体"/>
          <w:b/>
          <w:color w:val="auto"/>
          <w:sz w:val="24"/>
        </w:rPr>
      </w:pPr>
    </w:p>
    <w:p w14:paraId="30B4ED81">
      <w:pPr>
        <w:pStyle w:val="10"/>
        <w:rPr>
          <w:rFonts w:hint="eastAsia" w:ascii="宋体" w:hAnsi="宋体"/>
          <w:b/>
          <w:color w:val="auto"/>
          <w:sz w:val="24"/>
        </w:rPr>
      </w:pPr>
    </w:p>
    <w:p w14:paraId="6B946E73">
      <w:pPr>
        <w:pStyle w:val="10"/>
        <w:rPr>
          <w:rFonts w:hint="eastAsia" w:ascii="宋体" w:hAnsi="宋体"/>
          <w:b/>
          <w:color w:val="auto"/>
          <w:sz w:val="24"/>
        </w:rPr>
      </w:pPr>
    </w:p>
    <w:p w14:paraId="26EFAEE1">
      <w:pPr>
        <w:snapToGrid w:val="0"/>
        <w:spacing w:before="120" w:beforeLines="50" w:after="50"/>
        <w:ind w:left="142"/>
        <w:jc w:val="left"/>
        <w:rPr>
          <w:rFonts w:hint="eastAsia" w:ascii="宋体" w:hAnsi="宋体"/>
          <w:b/>
          <w:color w:val="auto"/>
          <w:sz w:val="24"/>
        </w:rPr>
      </w:pPr>
    </w:p>
    <w:p w14:paraId="0D1CE774">
      <w:pPr>
        <w:snapToGrid w:val="0"/>
        <w:spacing w:before="120" w:beforeLines="50" w:after="50"/>
        <w:ind w:left="142"/>
        <w:jc w:val="left"/>
        <w:rPr>
          <w:rFonts w:hint="eastAsia" w:ascii="宋体" w:hAnsi="宋体"/>
          <w:b/>
          <w:color w:val="auto"/>
          <w:sz w:val="24"/>
        </w:rPr>
      </w:pPr>
    </w:p>
    <w:p w14:paraId="31183D2B">
      <w:pPr>
        <w:snapToGrid w:val="0"/>
        <w:spacing w:line="360" w:lineRule="auto"/>
        <w:jc w:val="center"/>
        <w:rPr>
          <w:rFonts w:hint="eastAsia" w:ascii="宋体" w:hAnsi="宋体" w:eastAsia="宋体" w:cs="Times New Roman"/>
          <w:b/>
          <w:color w:val="auto"/>
          <w:sz w:val="32"/>
          <w:szCs w:val="32"/>
        </w:rPr>
      </w:pPr>
      <w:r>
        <w:rPr>
          <w:rFonts w:hint="eastAsia" w:ascii="宋体" w:hAnsi="宋体" w:eastAsia="宋体" w:cs="Times New Roman"/>
          <w:b/>
          <w:color w:val="auto"/>
          <w:sz w:val="32"/>
          <w:szCs w:val="32"/>
        </w:rPr>
        <w:t>竞标声明</w:t>
      </w:r>
    </w:p>
    <w:p w14:paraId="7B6FFA5D">
      <w:pPr>
        <w:spacing w:line="320" w:lineRule="exact"/>
        <w:jc w:val="center"/>
        <w:rPr>
          <w:rFonts w:hint="eastAsia" w:ascii="宋体" w:hAnsi="宋体"/>
          <w:color w:val="auto"/>
          <w:sz w:val="24"/>
          <w:szCs w:val="20"/>
        </w:rPr>
      </w:pPr>
    </w:p>
    <w:p w14:paraId="66D8E752">
      <w:pPr>
        <w:spacing w:line="360" w:lineRule="auto"/>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77DC9086">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5CE12361">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5BDF740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14:paraId="438D9D37">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72EF308B">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14:paraId="42D080E9">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（1）将按磋商文件的约定履行合同责任和义务；</w:t>
      </w:r>
    </w:p>
    <w:p w14:paraId="7FD040D7">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（2）已详细审查全部磋商文件，包括澄清或者更正公告（如有）；</w:t>
      </w:r>
    </w:p>
    <w:p w14:paraId="3A3B1380">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（3）同意提供按照贵方可能要求的与磋商有关的一切数据或者资料；</w:t>
      </w:r>
    </w:p>
    <w:p w14:paraId="3A78C63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（4）响应磋商文件规定的竞标有效期。</w:t>
      </w:r>
    </w:p>
    <w:p w14:paraId="71B1C298">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4.我方承诺符合《中华人民共和国政府采购法》第二十二条规定：</w:t>
      </w:r>
    </w:p>
    <w:p w14:paraId="2F3DADE5">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（1）具有独立承担民事责任的能力；</w:t>
      </w:r>
    </w:p>
    <w:p w14:paraId="64BAB216">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31017768">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05859D95">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3884F48E">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AA67C06">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（6）法律、行政法规规定的其他条件。</w:t>
      </w:r>
    </w:p>
    <w:p w14:paraId="2A71065E">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4A71A4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717F7A4">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0EE1F225">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9CDF7DB">
      <w:pPr>
        <w:pStyle w:val="14"/>
        <w:spacing w:line="360" w:lineRule="auto"/>
        <w:ind w:firstLine="480" w:firstLineChars="200"/>
        <w:contextualSpacing/>
        <w:rPr>
          <w:rFonts w:hint="eastAsia"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1BB59D32">
      <w:pPr>
        <w:pStyle w:val="14"/>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电子邮箱：</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4376C5DC">
      <w:pPr>
        <w:pStyle w:val="12"/>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709BD7C3">
      <w:pPr>
        <w:pStyle w:val="12"/>
        <w:tabs>
          <w:tab w:val="left" w:pos="939"/>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47A3BF79">
      <w:pPr>
        <w:pStyle w:val="12"/>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1D371D42">
      <w:pPr>
        <w:spacing w:line="360" w:lineRule="auto"/>
        <w:contextualSpacing/>
        <w:jc w:val="left"/>
        <w:rPr>
          <w:rFonts w:hint="eastAsia" w:ascii="宋体" w:hAnsi="宋体" w:cs="宋体"/>
          <w:color w:val="auto"/>
          <w:szCs w:val="21"/>
        </w:rPr>
      </w:pPr>
    </w:p>
    <w:p w14:paraId="08001B12">
      <w:pPr>
        <w:spacing w:line="360" w:lineRule="auto"/>
        <w:ind w:firstLine="1800" w:firstLineChars="750"/>
        <w:contextualSpacing/>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法定代表人或者委托代理人（签字或者电子签名）：                                                </w:t>
      </w:r>
    </w:p>
    <w:p w14:paraId="68FAD3CE">
      <w:pPr>
        <w:spacing w:line="360" w:lineRule="auto"/>
        <w:ind w:firstLine="4320" w:firstLineChars="1800"/>
        <w:contextualSpacing/>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供应商名称（电子签章）：                                          </w:t>
      </w:r>
    </w:p>
    <w:p w14:paraId="0B456CC3">
      <w:pPr>
        <w:pStyle w:val="12"/>
        <w:tabs>
          <w:tab w:val="left" w:pos="939"/>
        </w:tabs>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  月    日</w:t>
      </w:r>
    </w:p>
    <w:p w14:paraId="719982B4">
      <w:pPr>
        <w:jc w:val="center"/>
        <w:rPr>
          <w:rFonts w:hint="eastAsia" w:ascii="方正小标宋简体" w:hAnsi="方正小标宋简体" w:eastAsia="方正小标宋简体" w:cs="方正小标宋简体"/>
          <w:color w:val="auto"/>
          <w:sz w:val="44"/>
          <w:szCs w:val="44"/>
        </w:rPr>
      </w:pPr>
    </w:p>
    <w:p w14:paraId="009C0C2A">
      <w:pPr>
        <w:jc w:val="center"/>
        <w:rPr>
          <w:rFonts w:hint="eastAsia" w:ascii="方正小标宋简体" w:hAnsi="方正小标宋简体" w:eastAsia="方正小标宋简体" w:cs="方正小标宋简体"/>
          <w:color w:val="auto"/>
          <w:sz w:val="44"/>
          <w:szCs w:val="44"/>
        </w:rPr>
      </w:pPr>
    </w:p>
    <w:p w14:paraId="58FFFF50">
      <w:pPr>
        <w:jc w:val="center"/>
        <w:rPr>
          <w:rFonts w:hint="eastAsia" w:ascii="方正小标宋简体" w:hAnsi="方正小标宋简体" w:eastAsia="方正小标宋简体" w:cs="方正小标宋简体"/>
          <w:color w:val="auto"/>
          <w:sz w:val="44"/>
          <w:szCs w:val="44"/>
        </w:rPr>
      </w:pPr>
    </w:p>
    <w:p w14:paraId="2CCA084B">
      <w:pPr>
        <w:jc w:val="center"/>
        <w:rPr>
          <w:rFonts w:hint="eastAsia" w:ascii="方正小标宋简体" w:hAnsi="方正小标宋简体" w:eastAsia="方正小标宋简体" w:cs="方正小标宋简体"/>
          <w:color w:val="auto"/>
          <w:sz w:val="44"/>
          <w:szCs w:val="44"/>
        </w:rPr>
      </w:pPr>
    </w:p>
    <w:p w14:paraId="41AC1323">
      <w:pPr>
        <w:jc w:val="center"/>
        <w:rPr>
          <w:rFonts w:hint="eastAsia" w:ascii="方正小标宋简体" w:hAnsi="方正小标宋简体" w:eastAsia="方正小标宋简体" w:cs="方正小标宋简体"/>
          <w:color w:val="auto"/>
          <w:sz w:val="44"/>
          <w:szCs w:val="44"/>
        </w:rPr>
      </w:pPr>
    </w:p>
    <w:p w14:paraId="4071C5CE">
      <w:pPr>
        <w:jc w:val="center"/>
        <w:rPr>
          <w:rFonts w:hint="eastAsia" w:ascii="方正小标宋简体" w:hAnsi="方正小标宋简体" w:eastAsia="方正小标宋简体" w:cs="方正小标宋简体"/>
          <w:color w:val="auto"/>
          <w:sz w:val="44"/>
          <w:szCs w:val="44"/>
        </w:rPr>
      </w:pPr>
    </w:p>
    <w:p w14:paraId="2D49347C">
      <w:pPr>
        <w:jc w:val="center"/>
        <w:rPr>
          <w:rFonts w:hint="eastAsia" w:ascii="方正小标宋简体" w:hAnsi="方正小标宋简体" w:eastAsia="方正小标宋简体" w:cs="方正小标宋简体"/>
          <w:color w:val="auto"/>
          <w:sz w:val="44"/>
          <w:szCs w:val="44"/>
        </w:rPr>
      </w:pPr>
    </w:p>
    <w:p w14:paraId="01E5EE09">
      <w:pPr>
        <w:jc w:val="center"/>
        <w:rPr>
          <w:rFonts w:hint="eastAsia" w:ascii="方正小标宋简体" w:hAnsi="方正小标宋简体" w:eastAsia="方正小标宋简体" w:cs="方正小标宋简体"/>
          <w:color w:val="auto"/>
          <w:sz w:val="44"/>
          <w:szCs w:val="44"/>
        </w:rPr>
      </w:pPr>
    </w:p>
    <w:p w14:paraId="738B511B">
      <w:pPr>
        <w:jc w:val="center"/>
        <w:rPr>
          <w:rFonts w:hint="eastAsia" w:ascii="方正小标宋简体" w:hAnsi="方正小标宋简体" w:eastAsia="方正小标宋简体" w:cs="方正小标宋简体"/>
          <w:color w:val="auto"/>
          <w:sz w:val="44"/>
          <w:szCs w:val="44"/>
        </w:rPr>
      </w:pPr>
    </w:p>
    <w:p w14:paraId="70335CE0">
      <w:pPr>
        <w:jc w:val="center"/>
        <w:rPr>
          <w:rFonts w:hint="eastAsia" w:ascii="方正小标宋简体" w:hAnsi="方正小标宋简体" w:eastAsia="方正小标宋简体" w:cs="方正小标宋简体"/>
          <w:color w:val="auto"/>
          <w:sz w:val="44"/>
          <w:szCs w:val="44"/>
        </w:rPr>
      </w:pPr>
    </w:p>
    <w:p w14:paraId="78DF04E7">
      <w:pPr>
        <w:pStyle w:val="6"/>
        <w:overflowPunct w:val="0"/>
        <w:spacing w:line="520" w:lineRule="exact"/>
        <w:ind w:firstLine="0"/>
        <w:jc w:val="center"/>
        <w:rPr>
          <w:rFonts w:ascii="宋体" w:hAnsi="宋体"/>
          <w:b/>
          <w:bCs/>
          <w:color w:val="auto"/>
          <w:sz w:val="32"/>
          <w:szCs w:val="32"/>
        </w:rPr>
      </w:pPr>
      <w:r>
        <w:rPr>
          <w:rFonts w:hint="eastAsia"/>
          <w:color w:val="auto"/>
          <w:sz w:val="24"/>
        </w:rPr>
        <w:br w:type="page"/>
      </w:r>
    </w:p>
    <w:p w14:paraId="261A8E66">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中小企业声明函（服务）</w:t>
      </w:r>
    </w:p>
    <w:p w14:paraId="652CDF88">
      <w:pPr>
        <w:spacing w:before="2" w:line="500" w:lineRule="exact"/>
        <w:ind w:firstLine="708" w:firstLineChars="294"/>
        <w:rPr>
          <w:rFonts w:ascii="宋体" w:hAnsi="宋体" w:cs="宋体"/>
          <w:b/>
          <w:bCs/>
          <w:color w:val="auto"/>
          <w:sz w:val="24"/>
        </w:rPr>
      </w:pPr>
    </w:p>
    <w:p w14:paraId="3ACDCC48">
      <w:pPr>
        <w:pStyle w:val="10"/>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服务全部由符合政策要求的中小企业承接。相关企业（含联合体中的中小企业、签订分包意向协议的中小企业）的具体情况如下：</w:t>
      </w:r>
    </w:p>
    <w:p w14:paraId="0BFD01E4">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77536CE6">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3124E5E2">
      <w:pPr>
        <w:pStyle w:val="10"/>
        <w:spacing w:before="34" w:line="500" w:lineRule="exact"/>
        <w:ind w:right="142" w:firstLine="705" w:firstLineChars="294"/>
        <w:rPr>
          <w:rFonts w:ascii="宋体" w:hAnsi="宋体"/>
          <w:color w:val="auto"/>
          <w:sz w:val="24"/>
        </w:rPr>
      </w:pPr>
      <w:r>
        <w:rPr>
          <w:rFonts w:ascii="宋体" w:hAnsi="宋体"/>
          <w:color w:val="auto"/>
          <w:sz w:val="24"/>
        </w:rPr>
        <w:t xml:space="preserve">…… </w:t>
      </w:r>
    </w:p>
    <w:p w14:paraId="6B82307C">
      <w:pPr>
        <w:pStyle w:val="10"/>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14:paraId="5BB728C5">
      <w:pPr>
        <w:pStyle w:val="10"/>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14:paraId="6FEADE37">
      <w:pPr>
        <w:pStyle w:val="10"/>
        <w:spacing w:before="56" w:line="500" w:lineRule="exact"/>
        <w:ind w:right="1808" w:firstLine="705" w:firstLineChars="294"/>
        <w:rPr>
          <w:rFonts w:hint="eastAsia" w:ascii="宋体" w:hAnsi="宋体"/>
          <w:color w:val="auto"/>
          <w:sz w:val="24"/>
        </w:rPr>
      </w:pPr>
    </w:p>
    <w:p w14:paraId="1F712295">
      <w:pPr>
        <w:pStyle w:val="10"/>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14:paraId="05F542B3">
      <w:pPr>
        <w:pStyle w:val="10"/>
        <w:spacing w:before="56" w:line="500" w:lineRule="exact"/>
        <w:ind w:right="1808" w:firstLine="5625" w:firstLineChars="2344"/>
        <w:rPr>
          <w:rFonts w:ascii="宋体" w:hAnsi="宋体"/>
          <w:color w:val="auto"/>
          <w:sz w:val="24"/>
        </w:rPr>
      </w:pPr>
      <w:r>
        <w:rPr>
          <w:rFonts w:ascii="宋体" w:hAnsi="宋体"/>
          <w:color w:val="auto"/>
          <w:sz w:val="24"/>
        </w:rPr>
        <w:t>日 期：</w:t>
      </w:r>
    </w:p>
    <w:p w14:paraId="40976503">
      <w:pPr>
        <w:spacing w:line="520" w:lineRule="exact"/>
        <w:jc w:val="left"/>
        <w:rPr>
          <w:rFonts w:hint="eastAsia"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2E70674">
      <w:pPr>
        <w:spacing w:line="520" w:lineRule="exact"/>
        <w:jc w:val="center"/>
        <w:rPr>
          <w:rFonts w:hint="eastAsia"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14:paraId="05A28AE6">
      <w:pPr>
        <w:spacing w:line="360" w:lineRule="auto"/>
        <w:contextualSpacing/>
        <w:rPr>
          <w:rFonts w:hint="eastAsia" w:ascii="仿宋_GB2312" w:hAnsi="仿宋_GB2312" w:eastAsia="仿宋_GB2312" w:cs="仿宋_GB2312"/>
          <w:color w:val="auto"/>
          <w:sz w:val="32"/>
          <w:szCs w:val="32"/>
        </w:rPr>
      </w:pPr>
    </w:p>
    <w:p w14:paraId="49F676BF">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2FA8954A">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67134779">
      <w:pPr>
        <w:spacing w:line="360" w:lineRule="auto"/>
        <w:contextualSpacing/>
        <w:rPr>
          <w:rFonts w:hint="eastAsia" w:ascii="宋体" w:hAnsi="宋体" w:cs="仿宋_GB2312"/>
          <w:color w:val="auto"/>
          <w:sz w:val="24"/>
        </w:rPr>
      </w:pPr>
    </w:p>
    <w:p w14:paraId="328D4322">
      <w:pPr>
        <w:spacing w:line="360" w:lineRule="auto"/>
        <w:contextualSpacing/>
        <w:rPr>
          <w:rFonts w:hint="eastAsia" w:ascii="宋体" w:hAnsi="宋体" w:cs="仿宋_GB2312"/>
          <w:color w:val="auto"/>
          <w:sz w:val="24"/>
        </w:rPr>
      </w:pPr>
    </w:p>
    <w:p w14:paraId="568A1CE4">
      <w:pPr>
        <w:spacing w:line="360" w:lineRule="auto"/>
        <w:contextualSpacing/>
        <w:rPr>
          <w:rFonts w:hint="eastAsia" w:ascii="宋体" w:hAnsi="宋体" w:cs="仿宋_GB2312"/>
          <w:color w:val="auto"/>
          <w:sz w:val="24"/>
        </w:rPr>
      </w:pPr>
    </w:p>
    <w:p w14:paraId="7A9561AE">
      <w:pPr>
        <w:spacing w:line="360" w:lineRule="auto"/>
        <w:ind w:firstLine="2400" w:firstLineChars="1000"/>
        <w:contextualSpacing/>
        <w:rPr>
          <w:rFonts w:hint="eastAsia" w:ascii="宋体" w:hAnsi="宋体" w:cs="仿宋_GB2312"/>
          <w:color w:val="auto"/>
          <w:sz w:val="24"/>
        </w:rPr>
      </w:pPr>
      <w:r>
        <w:rPr>
          <w:rFonts w:hint="eastAsia" w:ascii="宋体" w:hAnsi="宋体" w:cs="仿宋_GB2312"/>
          <w:color w:val="auto"/>
          <w:sz w:val="24"/>
        </w:rPr>
        <w:t>单位名称（盖章）：</w:t>
      </w:r>
    </w:p>
    <w:p w14:paraId="14B658EA">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日  期：</w:t>
      </w:r>
    </w:p>
    <w:p w14:paraId="32E31639">
      <w:pPr>
        <w:spacing w:line="360" w:lineRule="auto"/>
        <w:contextualSpacing/>
        <w:rPr>
          <w:rFonts w:hint="eastAsia" w:ascii="宋体" w:hAnsi="宋体" w:cs="仿宋_GB2312"/>
          <w:color w:val="auto"/>
          <w:sz w:val="24"/>
        </w:rPr>
      </w:pPr>
    </w:p>
    <w:p w14:paraId="5748AA4D">
      <w:pPr>
        <w:spacing w:line="360" w:lineRule="auto"/>
        <w:contextualSpacing/>
        <w:rPr>
          <w:rFonts w:hint="eastAsia" w:ascii="宋体" w:hAnsi="宋体" w:cs="仿宋_GB2312"/>
          <w:color w:val="auto"/>
          <w:sz w:val="24"/>
        </w:rPr>
      </w:pPr>
    </w:p>
    <w:p w14:paraId="39635A37">
      <w:pPr>
        <w:spacing w:line="360" w:lineRule="auto"/>
        <w:contextualSpacing/>
        <w:rPr>
          <w:rFonts w:hint="eastAsia" w:ascii="宋体" w:hAnsi="宋体" w:cs="仿宋_GB2312"/>
          <w:color w:val="auto"/>
          <w:sz w:val="24"/>
        </w:rPr>
      </w:pPr>
    </w:p>
    <w:p w14:paraId="3CCD936D">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72357473">
      <w:pPr>
        <w:spacing w:line="360" w:lineRule="auto"/>
        <w:ind w:right="-817" w:rightChars="-389" w:firstLine="4096" w:firstLineChars="1700"/>
        <w:contextualSpacing/>
        <w:rPr>
          <w:rFonts w:hint="eastAsia" w:ascii="宋体" w:hAnsi="宋体" w:cs="仿宋_GB2312"/>
          <w:b/>
          <w:color w:val="auto"/>
          <w:sz w:val="24"/>
        </w:rPr>
      </w:pPr>
    </w:p>
    <w:p w14:paraId="49756AD1">
      <w:pPr>
        <w:spacing w:line="360" w:lineRule="auto"/>
        <w:ind w:right="420"/>
        <w:contextualSpacing/>
        <w:jc w:val="left"/>
        <w:rPr>
          <w:rFonts w:ascii="宋体" w:hAnsi="宋体"/>
          <w:b/>
          <w:color w:val="auto"/>
          <w:sz w:val="32"/>
          <w:szCs w:val="32"/>
        </w:rPr>
      </w:pPr>
      <w:r>
        <w:rPr>
          <w:rFonts w:ascii="宋体" w:hAnsi="宋体"/>
          <w:b/>
          <w:bCs/>
          <w:color w:val="auto"/>
          <w:sz w:val="32"/>
          <w:szCs w:val="32"/>
        </w:rPr>
        <w:br w:type="page"/>
      </w:r>
      <w:r>
        <w:rPr>
          <w:rFonts w:hint="eastAsia" w:ascii="宋体" w:hAnsi="宋体"/>
          <w:b/>
          <w:bCs/>
          <w:color w:val="auto"/>
          <w:sz w:val="32"/>
          <w:szCs w:val="32"/>
          <w:lang w:val="en-US" w:eastAsia="zh-CN"/>
        </w:rPr>
        <w:t>三</w:t>
      </w:r>
      <w:r>
        <w:rPr>
          <w:rFonts w:hint="eastAsia" w:ascii="宋体" w:hAnsi="宋体"/>
          <w:b/>
          <w:bCs/>
          <w:color w:val="auto"/>
          <w:sz w:val="32"/>
          <w:szCs w:val="32"/>
        </w:rPr>
        <w:t>、</w:t>
      </w:r>
      <w:r>
        <w:rPr>
          <w:rFonts w:hint="eastAsia" w:ascii="宋体" w:hAnsi="宋体"/>
          <w:b/>
          <w:color w:val="auto"/>
          <w:sz w:val="32"/>
          <w:szCs w:val="32"/>
        </w:rPr>
        <w:t xml:space="preserve">报价文件格式 </w:t>
      </w:r>
    </w:p>
    <w:p w14:paraId="2D62E1C8">
      <w:pPr>
        <w:snapToGrid w:val="0"/>
        <w:spacing w:before="120" w:beforeLines="50" w:after="50" w:line="360" w:lineRule="auto"/>
        <w:jc w:val="left"/>
        <w:rPr>
          <w:rFonts w:hint="eastAsia" w:ascii="宋体" w:hAnsi="宋体"/>
          <w:b/>
          <w:color w:val="auto"/>
          <w:sz w:val="32"/>
          <w:szCs w:val="32"/>
        </w:rPr>
      </w:pPr>
      <w:r>
        <w:rPr>
          <w:rFonts w:hint="eastAsia" w:ascii="宋体" w:hAnsi="宋体"/>
          <w:b/>
          <w:color w:val="auto"/>
          <w:sz w:val="32"/>
          <w:szCs w:val="32"/>
        </w:rPr>
        <w:t>1.报价文件封面格式</w:t>
      </w:r>
    </w:p>
    <w:p w14:paraId="4F88E0DF">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p>
    <w:p w14:paraId="50872B99">
      <w:pPr>
        <w:snapToGrid w:val="0"/>
        <w:spacing w:before="120" w:beforeLines="50" w:after="50"/>
        <w:rPr>
          <w:rFonts w:hint="eastAsia" w:ascii="宋体" w:hAnsi="宋体"/>
          <w:color w:val="auto"/>
          <w:sz w:val="24"/>
          <w:szCs w:val="20"/>
        </w:rPr>
      </w:pPr>
    </w:p>
    <w:p w14:paraId="5872DFF6">
      <w:pPr>
        <w:snapToGrid w:val="0"/>
        <w:spacing w:before="120" w:beforeLines="50" w:after="50"/>
        <w:rPr>
          <w:rFonts w:hint="eastAsia" w:ascii="宋体" w:hAnsi="宋体"/>
          <w:color w:val="auto"/>
          <w:sz w:val="24"/>
          <w:szCs w:val="20"/>
        </w:rPr>
      </w:pPr>
    </w:p>
    <w:p w14:paraId="3888B269">
      <w:pPr>
        <w:snapToGrid w:val="0"/>
        <w:spacing w:before="120" w:beforeLines="50" w:after="50"/>
        <w:jc w:val="center"/>
        <w:rPr>
          <w:rFonts w:hint="eastAsia" w:asciiTheme="majorEastAsia" w:hAnsiTheme="majorEastAsia" w:eastAsiaTheme="majorEastAsia" w:cstheme="majorEastAsia"/>
          <w:b/>
          <w:bCs w:val="0"/>
          <w:color w:val="auto"/>
          <w:sz w:val="72"/>
          <w:szCs w:val="72"/>
        </w:rPr>
      </w:pPr>
      <w:r>
        <w:rPr>
          <w:rFonts w:hint="eastAsia" w:asciiTheme="majorEastAsia" w:hAnsiTheme="majorEastAsia" w:eastAsiaTheme="majorEastAsia" w:cstheme="majorEastAsia"/>
          <w:b/>
          <w:bCs w:val="0"/>
          <w:color w:val="auto"/>
          <w:sz w:val="72"/>
          <w:szCs w:val="72"/>
        </w:rPr>
        <w:t>报  价  文  件</w:t>
      </w:r>
    </w:p>
    <w:p w14:paraId="2A9A09D7">
      <w:pPr>
        <w:snapToGrid w:val="0"/>
        <w:spacing w:before="120" w:beforeLines="50" w:after="50"/>
        <w:rPr>
          <w:rFonts w:hint="eastAsia" w:ascii="宋体" w:hAnsi="宋体"/>
          <w:bCs/>
          <w:color w:val="auto"/>
          <w:sz w:val="24"/>
          <w:szCs w:val="20"/>
        </w:rPr>
      </w:pPr>
    </w:p>
    <w:p w14:paraId="692FC761">
      <w:pPr>
        <w:snapToGrid w:val="0"/>
        <w:spacing w:before="120" w:beforeLines="50" w:after="50"/>
        <w:rPr>
          <w:rFonts w:hint="eastAsia" w:ascii="宋体" w:hAnsi="宋体"/>
          <w:bCs/>
          <w:color w:val="auto"/>
          <w:sz w:val="24"/>
          <w:szCs w:val="20"/>
        </w:rPr>
      </w:pPr>
    </w:p>
    <w:p w14:paraId="5159ABA4">
      <w:pPr>
        <w:snapToGrid w:val="0"/>
        <w:spacing w:before="120" w:beforeLines="50" w:after="50"/>
        <w:rPr>
          <w:rFonts w:hint="eastAsia" w:ascii="宋体" w:hAnsi="宋体"/>
          <w:bCs/>
          <w:color w:val="auto"/>
          <w:sz w:val="24"/>
          <w:szCs w:val="20"/>
        </w:rPr>
      </w:pPr>
    </w:p>
    <w:p w14:paraId="6FDD9A8C">
      <w:pPr>
        <w:snapToGrid w:val="0"/>
        <w:spacing w:before="120" w:beforeLines="50" w:after="50"/>
        <w:rPr>
          <w:rFonts w:hint="eastAsia" w:ascii="宋体" w:hAnsi="宋体"/>
          <w:bCs/>
          <w:color w:val="auto"/>
          <w:sz w:val="24"/>
          <w:szCs w:val="20"/>
        </w:rPr>
      </w:pPr>
    </w:p>
    <w:p w14:paraId="0A704E20">
      <w:pPr>
        <w:snapToGrid w:val="0"/>
        <w:spacing w:before="120" w:beforeLines="50" w:after="50"/>
        <w:rPr>
          <w:rFonts w:hint="eastAsia" w:ascii="宋体" w:hAnsi="宋体"/>
          <w:bCs/>
          <w:color w:val="auto"/>
          <w:sz w:val="24"/>
          <w:szCs w:val="20"/>
        </w:rPr>
      </w:pPr>
    </w:p>
    <w:p w14:paraId="2EDCEDEE">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05D71325">
      <w:pPr>
        <w:snapToGrid w:val="0"/>
        <w:spacing w:before="120" w:beforeLines="50" w:after="50"/>
        <w:ind w:firstLine="720" w:firstLineChars="225"/>
        <w:rPr>
          <w:rFonts w:hint="eastAsia" w:ascii="宋体" w:hAnsi="宋体" w:cs="仿宋_GB2312"/>
          <w:bCs/>
          <w:color w:val="auto"/>
          <w:sz w:val="32"/>
          <w:szCs w:val="32"/>
        </w:rPr>
      </w:pPr>
    </w:p>
    <w:p w14:paraId="18899AE9">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44C9DE1D">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74C9C73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1539A3FB">
      <w:pPr>
        <w:snapToGrid w:val="0"/>
        <w:spacing w:before="120" w:beforeLines="50" w:after="50"/>
        <w:ind w:firstLine="720" w:firstLineChars="225"/>
        <w:rPr>
          <w:rFonts w:hint="eastAsia" w:ascii="宋体" w:hAnsi="宋体" w:cs="仿宋_GB2312"/>
          <w:bCs/>
          <w:color w:val="auto"/>
          <w:sz w:val="32"/>
          <w:szCs w:val="32"/>
        </w:rPr>
      </w:pPr>
    </w:p>
    <w:p w14:paraId="4B8BA509">
      <w:pPr>
        <w:pStyle w:val="6"/>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334B1453">
      <w:pPr>
        <w:pStyle w:val="6"/>
        <w:snapToGrid w:val="0"/>
        <w:spacing w:before="50" w:after="50"/>
        <w:ind w:firstLine="640" w:firstLineChars="200"/>
        <w:rPr>
          <w:rFonts w:hint="eastAsia" w:ascii="宋体" w:hAnsi="宋体" w:cs="仿宋_GB2312"/>
          <w:bCs/>
          <w:color w:val="auto"/>
          <w:sz w:val="32"/>
          <w:szCs w:val="32"/>
        </w:rPr>
      </w:pPr>
    </w:p>
    <w:p w14:paraId="12562F33">
      <w:pPr>
        <w:pStyle w:val="6"/>
        <w:snapToGrid w:val="0"/>
        <w:spacing w:before="50" w:after="50"/>
        <w:ind w:firstLine="720" w:firstLineChars="225"/>
        <w:rPr>
          <w:rFonts w:hint="eastAsia" w:ascii="宋体" w:hAnsi="宋体" w:cs="仿宋_GB2312"/>
          <w:bCs/>
          <w:color w:val="auto"/>
          <w:sz w:val="32"/>
          <w:szCs w:val="32"/>
        </w:rPr>
      </w:pPr>
    </w:p>
    <w:p w14:paraId="64B52879">
      <w:pPr>
        <w:pStyle w:val="6"/>
        <w:snapToGrid w:val="0"/>
        <w:spacing w:before="50" w:after="50"/>
        <w:ind w:firstLine="0"/>
        <w:rPr>
          <w:rFonts w:hint="eastAsia" w:ascii="宋体" w:hAnsi="宋体" w:cs="仿宋_GB2312"/>
          <w:bCs/>
          <w:color w:val="auto"/>
          <w:sz w:val="32"/>
          <w:szCs w:val="32"/>
        </w:rPr>
      </w:pPr>
    </w:p>
    <w:p w14:paraId="0C3A9A39">
      <w:pPr>
        <w:pStyle w:val="6"/>
        <w:snapToGrid w:val="0"/>
        <w:spacing w:before="50" w:after="50"/>
        <w:ind w:firstLine="1280" w:firstLineChars="400"/>
        <w:rPr>
          <w:rFonts w:hint="eastAsia" w:ascii="宋体" w:hAnsi="宋体" w:cs="仿宋_GB2312"/>
          <w:bCs/>
          <w:color w:val="auto"/>
          <w:sz w:val="32"/>
          <w:szCs w:val="32"/>
        </w:rPr>
      </w:pPr>
    </w:p>
    <w:p w14:paraId="58858BDE">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6813AAF7">
      <w:pPr>
        <w:snapToGrid w:val="0"/>
        <w:spacing w:before="120" w:beforeLines="50" w:after="50" w:line="360" w:lineRule="auto"/>
        <w:ind w:left="142"/>
        <w:jc w:val="left"/>
        <w:rPr>
          <w:rFonts w:hint="eastAsia"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14:paraId="0D6D561B">
      <w:pPr>
        <w:spacing w:line="520" w:lineRule="exact"/>
        <w:jc w:val="center"/>
        <w:rPr>
          <w:rFonts w:hint="eastAsia" w:ascii="方正小标宋简体" w:hAnsi="方正小标宋简体" w:eastAsia="方正小标宋简体" w:cs="方正小标宋简体"/>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方正小标宋简体" w:hAnsi="方正小标宋简体" w:eastAsia="方正小标宋简体" w:cs="方正小标宋简体"/>
          <w:bCs/>
          <w:color w:val="auto"/>
          <w:sz w:val="44"/>
          <w:szCs w:val="44"/>
        </w:rPr>
        <w:t>竞  标  报  价  表</w:t>
      </w:r>
    </w:p>
    <w:p w14:paraId="49DA0943">
      <w:pPr>
        <w:spacing w:line="440" w:lineRule="exact"/>
        <w:jc w:val="center"/>
        <w:rPr>
          <w:rFonts w:hint="eastAsia" w:ascii="方正小标宋简体" w:hAnsi="方正小标宋简体" w:eastAsia="方正小标宋简体" w:cs="方正小标宋简体"/>
          <w:bCs/>
          <w:color w:val="auto"/>
          <w:sz w:val="32"/>
          <w:szCs w:val="32"/>
        </w:rPr>
      </w:pPr>
    </w:p>
    <w:p w14:paraId="579E669C">
      <w:pPr>
        <w:spacing w:line="360" w:lineRule="auto"/>
        <w:contextualSpacing/>
        <w:rPr>
          <w:rFonts w:hint="eastAsia" w:ascii="宋体" w:hAnsi="宋体" w:cs="仿宋_GB2312"/>
          <w:color w:val="auto"/>
          <w:sz w:val="24"/>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2B3D838">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分标（如有）：</w:t>
      </w:r>
      <w:r>
        <w:rPr>
          <w:rFonts w:hint="eastAsia" w:ascii="宋体" w:hAnsi="宋体" w:cs="仿宋_GB2312"/>
          <w:color w:val="auto"/>
          <w:sz w:val="24"/>
          <w:u w:val="single"/>
        </w:rPr>
        <w:t xml:space="preserve">                                         </w:t>
      </w:r>
    </w:p>
    <w:p w14:paraId="480865D8">
      <w:pPr>
        <w:spacing w:line="360" w:lineRule="auto"/>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5D94808E">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                                               </w:t>
      </w:r>
      <w:r>
        <w:rPr>
          <w:rFonts w:hint="eastAsia" w:ascii="宋体" w:hAnsi="宋体" w:cs="仿宋_GB2312"/>
          <w:color w:val="auto"/>
          <w:sz w:val="24"/>
          <w:lang w:val="en-US" w:eastAsia="zh-CN"/>
        </w:rPr>
        <w:t xml:space="preserve">                  </w:t>
      </w:r>
      <w:r>
        <w:rPr>
          <w:rFonts w:hint="eastAsia" w:ascii="宋体" w:hAnsi="宋体" w:cs="仿宋_GB2312"/>
          <w:color w:val="auto"/>
          <w:sz w:val="24"/>
        </w:rPr>
        <w:t xml:space="preserve"> 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12"/>
        <w:gridCol w:w="761"/>
        <w:gridCol w:w="825"/>
        <w:gridCol w:w="1842"/>
        <w:gridCol w:w="1184"/>
        <w:gridCol w:w="1184"/>
      </w:tblGrid>
      <w:tr w14:paraId="2403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0A9A7E9">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9BED25C">
            <w:pPr>
              <w:spacing w:line="360" w:lineRule="auto"/>
              <w:contextualSpacing/>
              <w:jc w:val="center"/>
              <w:rPr>
                <w:rFonts w:ascii="宋体" w:hAnsi="宋体" w:cs="仿宋_GB2312"/>
                <w:color w:val="auto"/>
                <w:sz w:val="24"/>
              </w:rPr>
            </w:pPr>
            <w:r>
              <w:rPr>
                <w:rFonts w:hint="eastAsia" w:ascii="宋体" w:hAnsi="宋体" w:cs="仿宋_GB2312"/>
                <w:color w:val="auto"/>
                <w:sz w:val="24"/>
                <w:lang w:eastAsia="zh-CN"/>
              </w:rPr>
              <w:t>标的</w:t>
            </w:r>
            <w:r>
              <w:rPr>
                <w:rFonts w:ascii="宋体" w:hAnsi="宋体" w:cs="仿宋_GB2312"/>
                <w:color w:val="auto"/>
                <w:sz w:val="24"/>
              </w:rPr>
              <w:t>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71CC562">
            <w:pPr>
              <w:spacing w:line="360" w:lineRule="auto"/>
              <w:contextualSpacing/>
              <w:jc w:val="center"/>
              <w:rPr>
                <w:rFonts w:ascii="宋体" w:hAnsi="宋体" w:cs="仿宋_GB2312"/>
                <w:color w:val="auto"/>
                <w:sz w:val="24"/>
              </w:rPr>
            </w:pPr>
            <w:r>
              <w:rPr>
                <w:rFonts w:hint="eastAsia" w:ascii="宋体" w:hAnsi="宋体" w:cs="仿宋_GB2312"/>
                <w:color w:val="auto"/>
                <w:sz w:val="24"/>
              </w:rPr>
              <w:t>数量</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6972A6">
            <w:pPr>
              <w:spacing w:line="360" w:lineRule="auto"/>
              <w:contextualSpacing/>
              <w:jc w:val="center"/>
              <w:rPr>
                <w:rFonts w:ascii="宋体" w:hAnsi="宋体" w:cs="仿宋_GB2312"/>
                <w:color w:val="auto"/>
                <w:sz w:val="24"/>
              </w:rPr>
            </w:pPr>
            <w:r>
              <w:rPr>
                <w:rFonts w:hint="eastAsia" w:ascii="宋体" w:hAnsi="宋体" w:cs="仿宋_GB2312"/>
                <w:color w:val="auto"/>
                <w:sz w:val="24"/>
              </w:rPr>
              <w:t>单位</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A2D894F">
            <w:pPr>
              <w:spacing w:line="360" w:lineRule="auto"/>
              <w:contextualSpacing/>
              <w:jc w:val="center"/>
              <w:rPr>
                <w:rFonts w:ascii="宋体" w:hAnsi="宋体" w:cs="仿宋_GB2312"/>
                <w:color w:val="auto"/>
                <w:sz w:val="24"/>
              </w:rPr>
            </w:pPr>
            <w:r>
              <w:rPr>
                <w:rFonts w:hint="eastAsia" w:ascii="宋体" w:hAnsi="宋体" w:cs="仿宋_GB2312"/>
                <w:color w:val="auto"/>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C4E36C">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AF23EC2">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14:paraId="0C45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93BEDA0">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F161E81">
            <w:pPr>
              <w:spacing w:line="360" w:lineRule="auto"/>
              <w:contextualSpacing/>
              <w:jc w:val="center"/>
              <w:rPr>
                <w:rFonts w:ascii="宋体" w:hAnsi="宋体" w:cs="仿宋_GB2312"/>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7E2DC18E">
            <w:pPr>
              <w:spacing w:line="360" w:lineRule="auto"/>
              <w:contextualSpacing/>
              <w:jc w:val="center"/>
              <w:rPr>
                <w:rFonts w:ascii="宋体" w:hAnsi="宋体" w:cs="仿宋_GB2312"/>
                <w:color w:val="auto"/>
                <w:sz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30916B6">
            <w:pPr>
              <w:spacing w:line="360" w:lineRule="auto"/>
              <w:contextualSpacing/>
              <w:rPr>
                <w:rFonts w:ascii="宋体" w:hAnsi="宋体" w:cs="仿宋_GB2312"/>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F58937D">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2289F171">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DA2D40A">
            <w:pPr>
              <w:spacing w:line="360" w:lineRule="auto"/>
              <w:contextualSpacing/>
              <w:rPr>
                <w:rFonts w:ascii="宋体" w:hAnsi="宋体" w:cs="仿宋_GB2312"/>
                <w:color w:val="auto"/>
                <w:sz w:val="24"/>
              </w:rPr>
            </w:pPr>
          </w:p>
        </w:tc>
      </w:tr>
      <w:tr w14:paraId="28D7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389" w:type="dxa"/>
            <w:gridSpan w:val="7"/>
            <w:tcBorders>
              <w:top w:val="single" w:color="auto" w:sz="4" w:space="0"/>
              <w:left w:val="single" w:color="auto" w:sz="4" w:space="0"/>
              <w:bottom w:val="single" w:color="auto" w:sz="4" w:space="0"/>
              <w:right w:val="single" w:color="auto" w:sz="4" w:space="0"/>
            </w:tcBorders>
            <w:noWrap w:val="0"/>
            <w:vAlign w:val="center"/>
          </w:tcPr>
          <w:p w14:paraId="7F6F0B2D">
            <w:pPr>
              <w:spacing w:line="360" w:lineRule="auto"/>
              <w:contextualSpacing/>
              <w:rPr>
                <w:rFonts w:ascii="宋体" w:hAnsi="宋体" w:cs="仿宋_GB2312"/>
                <w:color w:val="auto"/>
                <w:sz w:val="24"/>
              </w:rPr>
            </w:pPr>
            <w:r>
              <w:rPr>
                <w:rFonts w:hint="eastAsia" w:ascii="宋体" w:hAnsi="宋体" w:cs="仿宋_GB2312"/>
                <w:color w:val="auto"/>
                <w:sz w:val="24"/>
              </w:rPr>
              <w:t>合计金额大写：人民币</w:t>
            </w:r>
            <w:r>
              <w:rPr>
                <w:rFonts w:hint="eastAsia" w:ascii="宋体" w:hAnsi="宋体" w:cs="仿宋_GB2312"/>
                <w:color w:val="auto"/>
                <w:sz w:val="24"/>
                <w:u w:val="single"/>
              </w:rPr>
              <w:t xml:space="preserve">           </w:t>
            </w:r>
            <w:r>
              <w:rPr>
                <w:rFonts w:hint="eastAsia" w:ascii="宋体" w:hAnsi="宋体" w:cs="仿宋_GB2312"/>
                <w:color w:val="auto"/>
                <w:sz w:val="24"/>
              </w:rPr>
              <w:t>（¥</w:t>
            </w:r>
            <w:r>
              <w:rPr>
                <w:rFonts w:hint="eastAsia" w:ascii="宋体" w:hAnsi="宋体" w:cs="仿宋_GB2312"/>
                <w:color w:val="auto"/>
                <w:sz w:val="24"/>
                <w:u w:val="single"/>
              </w:rPr>
              <w:t xml:space="preserve">           </w:t>
            </w:r>
            <w:r>
              <w:rPr>
                <w:rFonts w:hint="eastAsia" w:ascii="宋体" w:hAnsi="宋体" w:cs="仿宋_GB2312"/>
                <w:color w:val="auto"/>
                <w:sz w:val="24"/>
              </w:rPr>
              <w:t>）</w:t>
            </w:r>
          </w:p>
        </w:tc>
      </w:tr>
    </w:tbl>
    <w:p w14:paraId="5AB950DD">
      <w:pPr>
        <w:spacing w:line="360" w:lineRule="auto"/>
        <w:contextualSpacing/>
        <w:jc w:val="left"/>
        <w:rPr>
          <w:rFonts w:ascii="宋体" w:hAnsi="宋体" w:cs="仿宋_GB2312"/>
          <w:color w:val="auto"/>
          <w:sz w:val="24"/>
        </w:rPr>
      </w:pPr>
    </w:p>
    <w:p w14:paraId="197439F7">
      <w:pPr>
        <w:spacing w:line="360" w:lineRule="auto"/>
        <w:contextualSpacing/>
        <w:jc w:val="left"/>
        <w:rPr>
          <w:rFonts w:hint="eastAsia" w:ascii="宋体" w:hAnsi="宋体" w:cs="仿宋_GB2312"/>
          <w:color w:val="auto"/>
          <w:sz w:val="24"/>
        </w:rPr>
      </w:pPr>
      <w:r>
        <w:rPr>
          <w:rFonts w:hint="eastAsia" w:ascii="宋体" w:hAnsi="宋体" w:cs="仿宋_GB2312"/>
          <w:color w:val="auto"/>
          <w:sz w:val="24"/>
        </w:rPr>
        <w:t xml:space="preserve">注： </w:t>
      </w:r>
    </w:p>
    <w:p w14:paraId="47A9657F">
      <w:pPr>
        <w:spacing w:line="360" w:lineRule="auto"/>
        <w:ind w:firstLine="480" w:firstLineChars="200"/>
        <w:contextualSpacing/>
        <w:jc w:val="left"/>
        <w:rPr>
          <w:rFonts w:hint="eastAsia"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14:paraId="3FC5801E">
      <w:pPr>
        <w:spacing w:line="360" w:lineRule="auto"/>
        <w:ind w:firstLine="480" w:firstLineChars="200"/>
        <w:contextualSpacing/>
        <w:jc w:val="left"/>
        <w:rPr>
          <w:rFonts w:hint="eastAsia"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14:paraId="6BEB271C">
      <w:pPr>
        <w:spacing w:line="360" w:lineRule="auto"/>
        <w:ind w:right="-817" w:rightChars="-389"/>
        <w:contextualSpacing/>
        <w:rPr>
          <w:rFonts w:hint="eastAsia" w:ascii="宋体" w:hAnsi="宋体" w:cs="仿宋_GB2312"/>
          <w:color w:val="auto"/>
          <w:sz w:val="24"/>
        </w:rPr>
      </w:pPr>
    </w:p>
    <w:p w14:paraId="6792D191">
      <w:pPr>
        <w:pStyle w:val="10"/>
        <w:rPr>
          <w:rFonts w:hint="eastAsia"/>
          <w:color w:val="auto"/>
        </w:rPr>
      </w:pPr>
    </w:p>
    <w:p w14:paraId="23B50FC8">
      <w:pPr>
        <w:keepNext w:val="0"/>
        <w:keepLines w:val="0"/>
        <w:pageBreakBefore w:val="0"/>
        <w:widowControl w:val="0"/>
        <w:kinsoku/>
        <w:wordWrap/>
        <w:overflowPunct/>
        <w:topLinePunct w:val="0"/>
        <w:autoSpaceDE/>
        <w:autoSpaceDN/>
        <w:bidi w:val="0"/>
        <w:adjustRightInd/>
        <w:snapToGrid/>
        <w:spacing w:line="480" w:lineRule="auto"/>
        <w:ind w:right="-817" w:rightChars="-389" w:firstLine="2640" w:firstLineChars="1100"/>
        <w:contextualSpacing/>
        <w:textAlignment w:val="auto"/>
        <w:rPr>
          <w:rFonts w:hint="eastAsia"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74A49A65">
      <w:pPr>
        <w:keepNext w:val="0"/>
        <w:keepLines w:val="0"/>
        <w:pageBreakBefore w:val="0"/>
        <w:widowControl w:val="0"/>
        <w:kinsoku/>
        <w:wordWrap/>
        <w:overflowPunct/>
        <w:topLinePunct w:val="0"/>
        <w:autoSpaceDE/>
        <w:autoSpaceDN/>
        <w:bidi w:val="0"/>
        <w:adjustRightInd/>
        <w:snapToGrid/>
        <w:spacing w:line="480" w:lineRule="auto"/>
        <w:ind w:right="-817" w:rightChars="-389" w:firstLine="2640" w:firstLineChars="1100"/>
        <w:contextualSpacing/>
        <w:textAlignment w:val="auto"/>
        <w:rPr>
          <w:rFonts w:hint="eastAsia" w:ascii="宋体" w:hAnsi="宋体" w:cs="仿宋_GB2312"/>
          <w:color w:val="auto"/>
          <w:sz w:val="24"/>
        </w:rPr>
      </w:pPr>
      <w:r>
        <w:rPr>
          <w:rFonts w:hint="eastAsia" w:ascii="宋体" w:hAnsi="宋体" w:cs="仿宋_GB2312"/>
          <w:color w:val="auto"/>
          <w:sz w:val="24"/>
        </w:rPr>
        <w:t xml:space="preserve">供应商名称（电子签章）：      </w:t>
      </w:r>
    </w:p>
    <w:p w14:paraId="1B99A35C">
      <w:pPr>
        <w:keepNext w:val="0"/>
        <w:keepLines w:val="0"/>
        <w:pageBreakBefore w:val="0"/>
        <w:widowControl w:val="0"/>
        <w:kinsoku/>
        <w:wordWrap/>
        <w:overflowPunct/>
        <w:topLinePunct w:val="0"/>
        <w:autoSpaceDE/>
        <w:autoSpaceDN/>
        <w:bidi w:val="0"/>
        <w:adjustRightInd/>
        <w:snapToGrid/>
        <w:spacing w:line="480" w:lineRule="auto"/>
        <w:ind w:right="-817" w:rightChars="-389" w:firstLine="4080" w:firstLineChars="1700"/>
        <w:contextualSpacing/>
        <w:textAlignment w:val="auto"/>
        <w:rPr>
          <w:rFonts w:hint="eastAsia" w:ascii="宋体" w:hAnsi="宋体" w:cs="仿宋_GB2312"/>
          <w:color w:val="auto"/>
          <w:sz w:val="24"/>
        </w:rPr>
      </w:pPr>
      <w:r>
        <w:rPr>
          <w:rFonts w:hint="eastAsia" w:ascii="宋体" w:hAnsi="宋体" w:cs="仿宋_GB2312"/>
          <w:color w:val="auto"/>
          <w:sz w:val="24"/>
        </w:rPr>
        <w:t>日期：   年   月   日</w:t>
      </w:r>
    </w:p>
    <w:p w14:paraId="65BC2306">
      <w:pPr>
        <w:spacing w:line="360" w:lineRule="auto"/>
        <w:ind w:right="420"/>
        <w:contextualSpacing/>
        <w:jc w:val="left"/>
        <w:rPr>
          <w:rFonts w:hint="eastAsia" w:ascii="宋体" w:hAnsi="宋体"/>
          <w:b/>
          <w:color w:val="auto"/>
          <w:sz w:val="32"/>
          <w:szCs w:val="32"/>
        </w:rPr>
      </w:pPr>
      <w:r>
        <w:rPr>
          <w:rFonts w:hint="eastAsia" w:ascii="宋体" w:hAnsi="宋体" w:cs="仿宋_GB2312"/>
          <w:color w:val="auto"/>
          <w:sz w:val="24"/>
        </w:rPr>
        <w:br w:type="page"/>
      </w:r>
      <w:r>
        <w:rPr>
          <w:rFonts w:hint="eastAsia" w:ascii="宋体" w:hAnsi="宋体"/>
          <w:b/>
          <w:bCs/>
          <w:color w:val="auto"/>
          <w:sz w:val="32"/>
          <w:szCs w:val="32"/>
          <w:lang w:val="en-US" w:eastAsia="zh-CN"/>
        </w:rPr>
        <w:t>四</w:t>
      </w:r>
      <w:r>
        <w:rPr>
          <w:rFonts w:hint="eastAsia" w:ascii="宋体" w:hAnsi="宋体"/>
          <w:b/>
          <w:bCs/>
          <w:color w:val="auto"/>
          <w:sz w:val="32"/>
          <w:szCs w:val="32"/>
        </w:rPr>
        <w:t>、</w:t>
      </w:r>
      <w:r>
        <w:rPr>
          <w:rFonts w:hint="eastAsia" w:ascii="宋体" w:hAnsi="宋体"/>
          <w:b/>
          <w:color w:val="auto"/>
          <w:sz w:val="32"/>
          <w:szCs w:val="32"/>
        </w:rPr>
        <w:t xml:space="preserve">商务技术文件格式 </w:t>
      </w:r>
    </w:p>
    <w:p w14:paraId="493673A5">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14:paraId="38150E19">
      <w:pPr>
        <w:snapToGrid w:val="0"/>
        <w:spacing w:before="120" w:beforeLines="50" w:after="50"/>
        <w:rPr>
          <w:rFonts w:hint="eastAsia" w:ascii="宋体" w:hAnsi="宋体"/>
          <w:color w:val="auto"/>
          <w:sz w:val="24"/>
        </w:rPr>
      </w:pPr>
      <w:r>
        <w:rPr>
          <w:rFonts w:hint="eastAsia" w:ascii="宋体" w:hAnsi="宋体"/>
          <w:color w:val="auto"/>
          <w:sz w:val="24"/>
        </w:rPr>
        <w:t xml:space="preserve">                              </w:t>
      </w:r>
    </w:p>
    <w:p w14:paraId="62EF5E48">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p>
    <w:p w14:paraId="46DCE45C">
      <w:pPr>
        <w:snapToGrid w:val="0"/>
        <w:spacing w:before="120" w:beforeLines="50" w:after="50"/>
        <w:rPr>
          <w:rFonts w:hint="eastAsia" w:ascii="宋体" w:hAnsi="宋体"/>
          <w:color w:val="auto"/>
          <w:sz w:val="24"/>
          <w:szCs w:val="20"/>
        </w:rPr>
      </w:pPr>
    </w:p>
    <w:p w14:paraId="03852090">
      <w:pPr>
        <w:snapToGrid w:val="0"/>
        <w:spacing w:before="120" w:beforeLines="50" w:after="50"/>
        <w:jc w:val="center"/>
        <w:rPr>
          <w:rFonts w:hint="eastAsia" w:asciiTheme="majorEastAsia" w:hAnsiTheme="majorEastAsia" w:eastAsiaTheme="majorEastAsia" w:cstheme="majorEastAsia"/>
          <w:b/>
          <w:bCs w:val="0"/>
          <w:color w:val="auto"/>
          <w:sz w:val="72"/>
          <w:szCs w:val="72"/>
        </w:rPr>
      </w:pPr>
      <w:r>
        <w:rPr>
          <w:rFonts w:hint="eastAsia" w:asciiTheme="majorEastAsia" w:hAnsiTheme="majorEastAsia" w:eastAsiaTheme="majorEastAsia" w:cstheme="majorEastAsia"/>
          <w:b/>
          <w:bCs w:val="0"/>
          <w:color w:val="auto"/>
          <w:sz w:val="72"/>
          <w:szCs w:val="72"/>
        </w:rPr>
        <w:t>商务技术文件</w:t>
      </w:r>
    </w:p>
    <w:p w14:paraId="39044F24">
      <w:pPr>
        <w:snapToGrid w:val="0"/>
        <w:spacing w:before="120" w:beforeLines="50" w:after="50"/>
        <w:rPr>
          <w:rFonts w:hint="eastAsia" w:ascii="宋体" w:hAnsi="宋体"/>
          <w:bCs/>
          <w:color w:val="auto"/>
          <w:sz w:val="24"/>
          <w:szCs w:val="20"/>
        </w:rPr>
      </w:pPr>
    </w:p>
    <w:p w14:paraId="0C71EAD7">
      <w:pPr>
        <w:snapToGrid w:val="0"/>
        <w:spacing w:before="120" w:beforeLines="50" w:after="50"/>
        <w:rPr>
          <w:rFonts w:hint="eastAsia" w:ascii="宋体" w:hAnsi="宋体"/>
          <w:bCs/>
          <w:color w:val="auto"/>
          <w:sz w:val="24"/>
          <w:szCs w:val="20"/>
        </w:rPr>
      </w:pPr>
    </w:p>
    <w:p w14:paraId="2C37FC99">
      <w:pPr>
        <w:snapToGrid w:val="0"/>
        <w:spacing w:before="120" w:beforeLines="50" w:after="50"/>
        <w:rPr>
          <w:rFonts w:hint="eastAsia" w:ascii="宋体" w:hAnsi="宋体"/>
          <w:bCs/>
          <w:color w:val="auto"/>
          <w:sz w:val="24"/>
          <w:szCs w:val="20"/>
        </w:rPr>
      </w:pPr>
    </w:p>
    <w:p w14:paraId="78AF7555">
      <w:pPr>
        <w:snapToGrid w:val="0"/>
        <w:spacing w:before="120" w:beforeLines="50" w:after="50"/>
        <w:rPr>
          <w:rFonts w:hint="eastAsia" w:ascii="宋体" w:hAnsi="宋体"/>
          <w:bCs/>
          <w:color w:val="auto"/>
          <w:sz w:val="24"/>
          <w:szCs w:val="20"/>
        </w:rPr>
      </w:pPr>
    </w:p>
    <w:p w14:paraId="57A169EC">
      <w:pPr>
        <w:snapToGrid w:val="0"/>
        <w:spacing w:before="120" w:beforeLines="50" w:after="50"/>
        <w:rPr>
          <w:rFonts w:hint="eastAsia" w:ascii="宋体" w:hAnsi="宋体"/>
          <w:bCs/>
          <w:color w:val="auto"/>
          <w:sz w:val="24"/>
          <w:szCs w:val="20"/>
        </w:rPr>
      </w:pPr>
    </w:p>
    <w:p w14:paraId="54C5CC7B">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1FF9AA15">
      <w:pPr>
        <w:snapToGrid w:val="0"/>
        <w:spacing w:before="120" w:beforeLines="50" w:after="50"/>
        <w:ind w:firstLine="720" w:firstLineChars="225"/>
        <w:rPr>
          <w:rFonts w:hint="eastAsia" w:ascii="宋体" w:hAnsi="宋体" w:cs="仿宋_GB2312"/>
          <w:bCs/>
          <w:color w:val="auto"/>
          <w:sz w:val="32"/>
          <w:szCs w:val="32"/>
        </w:rPr>
      </w:pPr>
    </w:p>
    <w:p w14:paraId="4394FDB6">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1E50C3A9">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42AEBD0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223304A0">
      <w:pPr>
        <w:snapToGrid w:val="0"/>
        <w:spacing w:before="120" w:beforeLines="50" w:after="50"/>
        <w:ind w:firstLine="720" w:firstLineChars="225"/>
        <w:rPr>
          <w:rFonts w:hint="eastAsia" w:ascii="宋体" w:hAnsi="宋体" w:cs="仿宋_GB2312"/>
          <w:bCs/>
          <w:color w:val="auto"/>
          <w:sz w:val="32"/>
          <w:szCs w:val="32"/>
        </w:rPr>
      </w:pPr>
    </w:p>
    <w:p w14:paraId="4D729BB4">
      <w:pPr>
        <w:pStyle w:val="6"/>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00C33F46">
      <w:pPr>
        <w:pStyle w:val="6"/>
        <w:snapToGrid w:val="0"/>
        <w:spacing w:before="50" w:after="50"/>
        <w:ind w:firstLine="640" w:firstLineChars="200"/>
        <w:rPr>
          <w:rFonts w:hint="eastAsia" w:ascii="宋体" w:hAnsi="宋体" w:cs="仿宋_GB2312"/>
          <w:bCs/>
          <w:color w:val="auto"/>
          <w:sz w:val="32"/>
          <w:szCs w:val="32"/>
        </w:rPr>
      </w:pPr>
    </w:p>
    <w:p w14:paraId="1D8F658C">
      <w:pPr>
        <w:pStyle w:val="6"/>
        <w:snapToGrid w:val="0"/>
        <w:spacing w:before="50" w:after="50"/>
        <w:ind w:firstLine="720" w:firstLineChars="225"/>
        <w:rPr>
          <w:rFonts w:hint="eastAsia" w:ascii="宋体" w:hAnsi="宋体" w:cs="仿宋_GB2312"/>
          <w:bCs/>
          <w:color w:val="auto"/>
          <w:sz w:val="32"/>
          <w:szCs w:val="32"/>
        </w:rPr>
      </w:pPr>
    </w:p>
    <w:p w14:paraId="22ADCC96">
      <w:pPr>
        <w:pStyle w:val="6"/>
        <w:snapToGrid w:val="0"/>
        <w:spacing w:before="50" w:after="50"/>
        <w:ind w:firstLine="0"/>
        <w:rPr>
          <w:rFonts w:hint="eastAsia" w:ascii="宋体" w:hAnsi="宋体" w:cs="仿宋_GB2312"/>
          <w:bCs/>
          <w:color w:val="auto"/>
          <w:sz w:val="32"/>
          <w:szCs w:val="32"/>
        </w:rPr>
      </w:pPr>
    </w:p>
    <w:p w14:paraId="69547D15">
      <w:pPr>
        <w:pStyle w:val="6"/>
        <w:snapToGrid w:val="0"/>
        <w:spacing w:before="50" w:after="50"/>
        <w:ind w:firstLine="1280" w:firstLineChars="400"/>
        <w:rPr>
          <w:rFonts w:hint="eastAsia" w:ascii="宋体" w:hAnsi="宋体" w:cs="仿宋_GB2312"/>
          <w:bCs/>
          <w:color w:val="auto"/>
          <w:sz w:val="32"/>
          <w:szCs w:val="32"/>
        </w:rPr>
      </w:pPr>
    </w:p>
    <w:p w14:paraId="798E3A30">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09CB0E86">
      <w:pPr>
        <w:snapToGrid w:val="0"/>
        <w:spacing w:before="120" w:beforeLines="50" w:after="50" w:line="360" w:lineRule="auto"/>
        <w:ind w:right="480" w:firstLine="240" w:firstLineChars="100"/>
        <w:jc w:val="left"/>
        <w:rPr>
          <w:rFonts w:hint="eastAsia"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14:paraId="36538AAE">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4D39CF5D">
      <w:pPr>
        <w:spacing w:line="400" w:lineRule="exact"/>
        <w:rPr>
          <w:rFonts w:hint="eastAsia" w:ascii="仿宋_GB2312" w:hAnsi="仿宋_GB2312" w:eastAsia="仿宋_GB2312" w:cs="仿宋_GB2312"/>
          <w:color w:val="auto"/>
          <w:sz w:val="32"/>
          <w:szCs w:val="32"/>
        </w:rPr>
      </w:pPr>
    </w:p>
    <w:p w14:paraId="614180F8">
      <w:pPr>
        <w:spacing w:line="520" w:lineRule="exact"/>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6189B79E">
      <w:pPr>
        <w:spacing w:line="360" w:lineRule="auto"/>
        <w:ind w:firstLine="640" w:firstLineChars="200"/>
        <w:contextualSpacing/>
        <w:rPr>
          <w:rFonts w:hint="eastAsia" w:ascii="仿宋_GB2312" w:hAnsi="仿宋_GB2312" w:eastAsia="仿宋_GB2312" w:cs="仿宋_GB2312"/>
          <w:color w:val="auto"/>
          <w:sz w:val="32"/>
          <w:szCs w:val="32"/>
        </w:rPr>
      </w:pPr>
    </w:p>
    <w:p w14:paraId="2C70D807">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一、我方承诺无下列相互串通竞标的情形：</w:t>
      </w:r>
    </w:p>
    <w:p w14:paraId="0A1C25ED">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686220FA">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2.不同供应商委托同一单位或者个人办理竞标事宜；</w:t>
      </w:r>
    </w:p>
    <w:p w14:paraId="434D076D">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3.不同供应商的响应文件载明的项目管理员为同一个人；</w:t>
      </w:r>
    </w:p>
    <w:p w14:paraId="04673BB5">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392EFC9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5.不同供应商的响应文件相互混装；</w:t>
      </w:r>
    </w:p>
    <w:p w14:paraId="6ED72B68">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二、我方承诺无下列恶意串通的情形：</w:t>
      </w:r>
    </w:p>
    <w:p w14:paraId="08158FB9">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0E1A3CD8">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1224B267">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7FC23BA3">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5B40465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6350FE0A">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5BDF7FC2">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4A4E4219">
      <w:pPr>
        <w:spacing w:line="360" w:lineRule="auto"/>
        <w:ind w:firstLine="480" w:firstLineChars="200"/>
        <w:contextualSpacing/>
        <w:rPr>
          <w:rFonts w:hint="eastAsia" w:ascii="宋体" w:hAnsi="宋体" w:cs="仿宋_GB2312"/>
          <w:color w:val="auto"/>
          <w:sz w:val="24"/>
        </w:rPr>
      </w:pPr>
    </w:p>
    <w:p w14:paraId="067F2F7C">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79707C33">
      <w:pPr>
        <w:spacing w:line="360" w:lineRule="auto"/>
        <w:contextualSpacing/>
        <w:rPr>
          <w:rFonts w:hint="eastAsia" w:ascii="宋体" w:hAnsi="宋体" w:cs="仿宋_GB2312"/>
          <w:color w:val="auto"/>
          <w:sz w:val="24"/>
        </w:rPr>
      </w:pPr>
    </w:p>
    <w:p w14:paraId="576B55C5">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供应商名称（电子签章）：</w:t>
      </w:r>
    </w:p>
    <w:p w14:paraId="0680B30F">
      <w:pPr>
        <w:spacing w:line="360" w:lineRule="auto"/>
        <w:ind w:firstLine="480" w:firstLineChars="200"/>
        <w:contextualSpacing/>
        <w:jc w:val="center"/>
        <w:rPr>
          <w:rFonts w:hint="eastAsia"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2443B9EE">
      <w:pPr>
        <w:spacing w:line="520" w:lineRule="exact"/>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14:paraId="0EE0D56B">
      <w:pPr>
        <w:spacing w:line="360" w:lineRule="auto"/>
        <w:ind w:left="540"/>
        <w:contextualSpacing/>
        <w:rPr>
          <w:rFonts w:hint="eastAsia" w:ascii="仿宋_GB2312" w:hAnsi="仿宋_GB2312" w:eastAsia="仿宋_GB2312" w:cs="仿宋_GB2312"/>
          <w:color w:val="auto"/>
          <w:sz w:val="32"/>
          <w:szCs w:val="32"/>
        </w:rPr>
      </w:pPr>
    </w:p>
    <w:p w14:paraId="6D57C3FB">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12F11863">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4F2380FF">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3BB3BD65">
      <w:pPr>
        <w:spacing w:line="360" w:lineRule="auto"/>
        <w:ind w:left="540"/>
        <w:contextualSpacing/>
        <w:rPr>
          <w:rFonts w:hint="eastAsia"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43EC26D1">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1BA0564F">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601613AB">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特此证明。</w:t>
      </w:r>
    </w:p>
    <w:p w14:paraId="5E1084F2">
      <w:pPr>
        <w:spacing w:line="360" w:lineRule="auto"/>
        <w:ind w:left="540"/>
        <w:contextualSpacing/>
        <w:rPr>
          <w:rFonts w:hint="eastAsia" w:ascii="宋体" w:hAnsi="宋体" w:cs="仿宋_GB2312"/>
          <w:color w:val="auto"/>
          <w:sz w:val="24"/>
        </w:rPr>
      </w:pPr>
    </w:p>
    <w:p w14:paraId="254E928A">
      <w:pPr>
        <w:spacing w:line="360" w:lineRule="auto"/>
        <w:ind w:left="540"/>
        <w:contextualSpacing/>
        <w:rPr>
          <w:rFonts w:hint="eastAsia" w:ascii="宋体" w:hAnsi="宋体" w:cs="仿宋_GB2312"/>
          <w:color w:val="auto"/>
          <w:sz w:val="24"/>
        </w:rPr>
      </w:pPr>
    </w:p>
    <w:p w14:paraId="18758736">
      <w:pPr>
        <w:spacing w:line="360" w:lineRule="auto"/>
        <w:ind w:left="540"/>
        <w:contextualSpacing/>
        <w:rPr>
          <w:rFonts w:hint="eastAsia" w:ascii="宋体" w:hAnsi="宋体" w:cs="仿宋_GB2312"/>
          <w:color w:val="auto"/>
          <w:sz w:val="24"/>
        </w:rPr>
      </w:pPr>
    </w:p>
    <w:p w14:paraId="7799A341">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附件：法定代表人有效身份证正反面复印件</w:t>
      </w:r>
    </w:p>
    <w:p w14:paraId="2BDA3721">
      <w:pPr>
        <w:spacing w:line="360" w:lineRule="auto"/>
        <w:ind w:left="540"/>
        <w:contextualSpacing/>
        <w:rPr>
          <w:rFonts w:hint="eastAsia" w:ascii="宋体" w:hAnsi="宋体" w:cs="仿宋_GB2312"/>
          <w:color w:val="auto"/>
          <w:sz w:val="24"/>
        </w:rPr>
      </w:pPr>
    </w:p>
    <w:p w14:paraId="22D6DCB1">
      <w:pPr>
        <w:spacing w:line="360" w:lineRule="auto"/>
        <w:ind w:left="540" w:leftChars="257" w:right="480" w:firstLine="2280" w:firstLineChars="950"/>
        <w:contextualSpacing/>
        <w:rPr>
          <w:rFonts w:hint="eastAsia" w:ascii="宋体" w:hAnsi="宋体" w:cs="仿宋_GB2312"/>
          <w:color w:val="auto"/>
          <w:sz w:val="24"/>
        </w:rPr>
      </w:pPr>
      <w:r>
        <w:rPr>
          <w:rFonts w:hint="eastAsia" w:ascii="宋体" w:hAnsi="宋体" w:cs="仿宋_GB2312"/>
          <w:color w:val="auto"/>
          <w:sz w:val="24"/>
        </w:rPr>
        <w:t>供应商名称（电子签章）：</w:t>
      </w:r>
      <w:r>
        <w:rPr>
          <w:rFonts w:hint="eastAsia" w:ascii="宋体" w:hAnsi="宋体" w:cs="仿宋_GB2312"/>
          <w:color w:val="auto"/>
          <w:sz w:val="24"/>
          <w:u w:val="single"/>
        </w:rPr>
        <w:t xml:space="preserve">               </w:t>
      </w:r>
    </w:p>
    <w:p w14:paraId="05EDEBE0">
      <w:pPr>
        <w:spacing w:line="360" w:lineRule="auto"/>
        <w:ind w:firstLine="5040" w:firstLineChars="2100"/>
        <w:contextualSpacing/>
        <w:rPr>
          <w:rFonts w:hint="eastAsia"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53746E55">
      <w:pPr>
        <w:spacing w:line="360" w:lineRule="auto"/>
        <w:contextualSpacing/>
        <w:jc w:val="center"/>
        <w:rPr>
          <w:rFonts w:hint="eastAsia" w:ascii="宋体" w:hAnsi="宋体" w:cs="仿宋_GB2312"/>
          <w:b/>
          <w:color w:val="auto"/>
          <w:sz w:val="24"/>
        </w:rPr>
      </w:pPr>
    </w:p>
    <w:p w14:paraId="1A9B0EC5">
      <w:pPr>
        <w:spacing w:line="360" w:lineRule="auto"/>
        <w:contextualSpacing/>
        <w:jc w:val="left"/>
        <w:rPr>
          <w:rFonts w:hint="eastAsia" w:ascii="宋体" w:hAnsi="宋体" w:cs="仿宋_GB2312"/>
          <w:color w:val="auto"/>
          <w:sz w:val="24"/>
        </w:rPr>
      </w:pPr>
    </w:p>
    <w:p w14:paraId="77BB5C0D">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w:t>
      </w:r>
    </w:p>
    <w:p w14:paraId="1F0486DB">
      <w:pPr>
        <w:adjustRightInd w:val="0"/>
        <w:snapToGrid w:val="0"/>
        <w:spacing w:line="300" w:lineRule="auto"/>
        <w:jc w:val="left"/>
        <w:rPr>
          <w:rFonts w:hint="eastAsia" w:ascii="宋体" w:hAnsi="宋体"/>
          <w:b/>
          <w:color w:val="auto"/>
          <w:szCs w:val="21"/>
        </w:rPr>
      </w:pPr>
    </w:p>
    <w:p w14:paraId="4E696044">
      <w:pP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14:paraId="0ED4302F">
      <w:pPr>
        <w:spacing w:line="5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授权委托书</w:t>
      </w:r>
    </w:p>
    <w:p w14:paraId="4990F733">
      <w:pPr>
        <w:spacing w:line="5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1BD39C83">
      <w:pPr>
        <w:spacing w:line="520" w:lineRule="exact"/>
        <w:rPr>
          <w:rFonts w:hint="eastAsia" w:ascii="仿宋_GB2312" w:hAnsi="仿宋_GB2312" w:eastAsia="仿宋_GB2312" w:cs="仿宋_GB2312"/>
          <w:color w:val="auto"/>
          <w:sz w:val="32"/>
          <w:szCs w:val="32"/>
        </w:rPr>
      </w:pPr>
    </w:p>
    <w:p w14:paraId="7EF3966D">
      <w:pPr>
        <w:spacing w:line="360" w:lineRule="auto"/>
        <w:rPr>
          <w:rFonts w:hint="eastAsia"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07B27B5C">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sym w:font="Wingdings 2" w:char="00A3"/>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336AEDD1">
      <w:pPr>
        <w:spacing w:line="360" w:lineRule="auto"/>
        <w:rPr>
          <w:rFonts w:hint="eastAsia"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14:paraId="3BA0F40F">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62794811">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委托代理人无转委托权，特此委托。</w:t>
      </w:r>
    </w:p>
    <w:p w14:paraId="79AAD257">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附：法定代表人/负责人身份证明书及委托代理人有效身份证正反面复印件</w:t>
      </w:r>
    </w:p>
    <w:p w14:paraId="071C3B8E">
      <w:pPr>
        <w:spacing w:line="360" w:lineRule="auto"/>
        <w:rPr>
          <w:rFonts w:hint="eastAsia" w:ascii="宋体" w:hAnsi="宋体" w:cs="仿宋_GB2312"/>
          <w:color w:val="auto"/>
          <w:sz w:val="24"/>
        </w:rPr>
      </w:pPr>
    </w:p>
    <w:p w14:paraId="1BB7F2F7">
      <w:pPr>
        <w:spacing w:line="360" w:lineRule="auto"/>
        <w:contextualSpacing/>
        <w:rPr>
          <w:rFonts w:hint="eastAsia"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法定代表人/负责人（签字或者盖章或者电子签名）：                    </w:t>
      </w:r>
    </w:p>
    <w:p w14:paraId="177D79F9">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委托代理人身份证号码：                              </w:t>
      </w:r>
    </w:p>
    <w:p w14:paraId="5A1A92FD">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                                </w:t>
      </w:r>
    </w:p>
    <w:p w14:paraId="7019A2CC">
      <w:pPr>
        <w:spacing w:line="360" w:lineRule="auto"/>
        <w:rPr>
          <w:rFonts w:hint="eastAsia" w:ascii="宋体" w:hAnsi="宋体" w:cs="仿宋_GB2312"/>
          <w:color w:val="auto"/>
          <w:sz w:val="24"/>
        </w:rPr>
      </w:pPr>
      <w:r>
        <w:rPr>
          <w:rFonts w:hint="eastAsia" w:ascii="宋体" w:hAnsi="宋体" w:cs="仿宋_GB2312"/>
          <w:color w:val="auto"/>
          <w:sz w:val="24"/>
        </w:rPr>
        <w:t xml:space="preserve">                          供应商名称（电子签章）：                      </w:t>
      </w:r>
    </w:p>
    <w:p w14:paraId="4349B225">
      <w:pPr>
        <w:spacing w:line="360" w:lineRule="auto"/>
        <w:rPr>
          <w:rFonts w:hint="eastAsia" w:ascii="宋体" w:hAnsi="宋体" w:cs="仿宋_GB2312"/>
          <w:color w:val="auto"/>
          <w:sz w:val="24"/>
        </w:rPr>
      </w:pPr>
      <w:r>
        <w:rPr>
          <w:rFonts w:hint="eastAsia" w:ascii="宋体" w:hAnsi="宋体" w:cs="仿宋_GB2312"/>
          <w:color w:val="auto"/>
          <w:sz w:val="24"/>
        </w:rPr>
        <w:t xml:space="preserve">                                         年    月    日</w:t>
      </w:r>
    </w:p>
    <w:p w14:paraId="3BC7D6C1">
      <w:pPr>
        <w:spacing w:line="360" w:lineRule="auto"/>
        <w:rPr>
          <w:rFonts w:hint="eastAsia" w:ascii="宋体" w:hAnsi="宋体" w:cs="仿宋_GB2312"/>
          <w:color w:val="auto"/>
          <w:sz w:val="24"/>
        </w:rPr>
      </w:pPr>
    </w:p>
    <w:p w14:paraId="5058F95E">
      <w:pPr>
        <w:spacing w:line="360" w:lineRule="auto"/>
        <w:rPr>
          <w:rFonts w:ascii="宋体" w:hAnsi="宋体" w:cs="仿宋_GB2312"/>
          <w:color w:val="auto"/>
          <w:sz w:val="24"/>
        </w:rPr>
      </w:pPr>
      <w:r>
        <w:rPr>
          <w:rFonts w:hint="eastAsia" w:ascii="宋体" w:hAnsi="宋体" w:cs="仿宋_GB2312"/>
          <w:color w:val="auto"/>
          <w:sz w:val="24"/>
        </w:rPr>
        <w:t>注：1. 法定代表人/负责人必须在授权委托书上签字或者盖章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09C488F5">
      <w:pPr>
        <w:spacing w:line="360" w:lineRule="auto"/>
        <w:ind w:firstLine="480" w:firstLineChars="200"/>
        <w:jc w:val="left"/>
        <w:rPr>
          <w:rFonts w:hint="eastAsia" w:ascii="宋体" w:hAnsi="宋体" w:cs="仿宋_GB2312"/>
          <w:color w:val="auto"/>
          <w:sz w:val="24"/>
        </w:rPr>
      </w:pPr>
      <w:r>
        <w:rPr>
          <w:rFonts w:ascii="宋体" w:hAnsi="宋体" w:cs="仿宋_GB2312"/>
          <w:color w:val="auto"/>
          <w:sz w:val="24"/>
        </w:rPr>
        <w:t>2.</w:t>
      </w:r>
      <w:r>
        <w:rPr>
          <w:rFonts w:hint="eastAsia" w:ascii="宋体" w:hAnsi="宋体" w:cs="仿宋_GB2312"/>
          <w:color w:val="auto"/>
          <w:sz w:val="24"/>
        </w:rPr>
        <w:t>法人、其他组织竞标时“我方”是指“我单位”，自然人竞标时“我方”是指“本人”。</w:t>
      </w:r>
    </w:p>
    <w:p w14:paraId="2C9F9157">
      <w:pPr>
        <w:spacing w:line="360" w:lineRule="auto"/>
        <w:ind w:firstLine="420" w:firstLineChars="200"/>
        <w:jc w:val="left"/>
        <w:rPr>
          <w:rFonts w:hint="eastAsia" w:ascii="仿宋_GB2312" w:hAnsi="仿宋_GB2312" w:eastAsia="仿宋_GB2312" w:cs="仿宋_GB2312"/>
          <w:color w:val="auto"/>
          <w:szCs w:val="21"/>
        </w:rPr>
      </w:pPr>
    </w:p>
    <w:p w14:paraId="12089CD4">
      <w:pPr>
        <w:spacing w:line="500" w:lineRule="exact"/>
        <w:jc w:val="center"/>
        <w:rPr>
          <w:rFonts w:ascii="方正小标宋简体" w:hAnsi="方正小标宋简体" w:eastAsia="方正小标宋简体" w:cs="方正小标宋简体"/>
          <w:bCs/>
          <w:color w:val="auto"/>
          <w:sz w:val="44"/>
          <w:szCs w:val="44"/>
        </w:rPr>
      </w:pPr>
      <w:r>
        <w:rPr>
          <w:rFonts w:ascii="仿宋_GB2312" w:hAnsi="仿宋_GB2312" w:eastAsia="仿宋_GB2312" w:cs="仿宋_GB2312"/>
          <w:color w:val="auto"/>
          <w:szCs w:val="21"/>
        </w:rPr>
        <w:br w:type="page"/>
      </w:r>
    </w:p>
    <w:p w14:paraId="1A67E0D4">
      <w:pPr>
        <w:spacing w:line="5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商务要求偏离表格式</w:t>
      </w:r>
    </w:p>
    <w:p w14:paraId="2DBD18B7">
      <w:pPr>
        <w:spacing w:line="360" w:lineRule="auto"/>
        <w:contextualSpacing/>
        <w:jc w:val="left"/>
        <w:rPr>
          <w:rFonts w:hint="eastAsia" w:ascii="宋体" w:hAnsi="宋体"/>
          <w:color w:val="auto"/>
          <w:sz w:val="24"/>
        </w:rPr>
      </w:pPr>
    </w:p>
    <w:p w14:paraId="143A1777">
      <w:pPr>
        <w:pStyle w:val="14"/>
        <w:spacing w:line="360" w:lineRule="auto"/>
        <w:contextualSpacing/>
        <w:rPr>
          <w:rFonts w:hint="eastAsia" w:hAnsi="宋体" w:cs="仿宋_GB2312"/>
          <w:color w:val="auto"/>
          <w:sz w:val="24"/>
          <w:szCs w:val="24"/>
        </w:rPr>
      </w:pPr>
      <w:r>
        <w:rPr>
          <w:rFonts w:hint="eastAsia" w:hAnsi="宋体" w:cs="仿宋_GB2312"/>
          <w:color w:val="auto"/>
          <w:sz w:val="24"/>
          <w:szCs w:val="24"/>
        </w:rPr>
        <w:t>所竞分标：</w:t>
      </w:r>
      <w:r>
        <w:rPr>
          <w:rFonts w:hint="eastAsia" w:hAnsi="宋体" w:cs="仿宋_GB2312"/>
          <w:color w:val="auto"/>
          <w:sz w:val="24"/>
          <w:szCs w:val="24"/>
          <w:u w:val="single"/>
        </w:rPr>
        <w:t xml:space="preserve">              </w:t>
      </w:r>
    </w:p>
    <w:p w14:paraId="7D79276A">
      <w:pPr>
        <w:spacing w:line="360" w:lineRule="auto"/>
        <w:contextualSpacing/>
        <w:jc w:val="left"/>
        <w:rPr>
          <w:rFonts w:hint="eastAsia" w:ascii="宋体" w:hAnsi="宋体" w:cs="仿宋_GB2312"/>
          <w:color w:val="auto"/>
          <w:sz w:val="24"/>
          <w:u w:val="single"/>
        </w:rPr>
      </w:pPr>
    </w:p>
    <w:tbl>
      <w:tblPr>
        <w:tblStyle w:val="2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570F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F8FE3CC">
            <w:pPr>
              <w:spacing w:line="360" w:lineRule="auto"/>
              <w:contextualSpacing/>
              <w:jc w:val="center"/>
              <w:rPr>
                <w:rFonts w:hint="eastAsia" w:ascii="宋体" w:hAnsi="宋体" w:cs="仿宋_GB2312"/>
                <w:color w:val="auto"/>
                <w:sz w:val="24"/>
                <w:szCs w:val="24"/>
              </w:rPr>
            </w:pPr>
            <w:r>
              <w:rPr>
                <w:rFonts w:hint="eastAsia" w:ascii="宋体" w:hAnsi="宋体" w:cs="仿宋_GB2312"/>
                <w:color w:val="auto"/>
                <w:sz w:val="24"/>
                <w:szCs w:val="24"/>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00EB9B5">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B52327B">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6735049">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偏离说明</w:t>
            </w:r>
          </w:p>
        </w:tc>
      </w:tr>
      <w:tr w14:paraId="7299E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EF9DDDD">
            <w:pPr>
              <w:spacing w:line="360" w:lineRule="atLeast"/>
              <w:jc w:val="center"/>
              <w:rPr>
                <w:rFonts w:ascii="宋体" w:hAnsi="宋体"/>
                <w:color w:val="auto"/>
                <w:sz w:val="24"/>
                <w:szCs w:val="24"/>
              </w:rPr>
            </w:pPr>
            <w:r>
              <w:rPr>
                <w:rFonts w:hint="eastAsia" w:ascii="宋体" w:hAnsi="宋体" w:eastAsia="宋体" w:cs="Times New Roman"/>
                <w:color w:val="auto"/>
                <w:sz w:val="24"/>
                <w:szCs w:val="24"/>
                <w:highlight w:val="none"/>
              </w:rPr>
              <w:t>服务期限和地点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B0B3B57">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EE83CD0">
            <w:pPr>
              <w:spacing w:line="360" w:lineRule="auto"/>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FC769BB">
            <w:pPr>
              <w:spacing w:line="360" w:lineRule="auto"/>
              <w:contextualSpacing/>
              <w:jc w:val="center"/>
              <w:rPr>
                <w:rFonts w:hint="eastAsia" w:ascii="宋体" w:hAnsi="宋体" w:cs="仿宋_GB2312"/>
                <w:color w:val="auto"/>
                <w:sz w:val="24"/>
              </w:rPr>
            </w:pPr>
          </w:p>
        </w:tc>
      </w:tr>
      <w:tr w14:paraId="635C7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FC5D0EE">
            <w:pPr>
              <w:spacing w:line="360" w:lineRule="atLeast"/>
              <w:jc w:val="center"/>
              <w:rPr>
                <w:rFonts w:ascii="宋体" w:hAnsi="宋体"/>
                <w:color w:val="auto"/>
                <w:sz w:val="24"/>
                <w:szCs w:val="24"/>
              </w:rPr>
            </w:pPr>
            <w:r>
              <w:rPr>
                <w:rFonts w:hint="eastAsia" w:ascii="宋体" w:hAnsi="宋体" w:eastAsia="宋体" w:cs="Times New Roman"/>
                <w:color w:val="auto"/>
                <w:sz w:val="24"/>
                <w:szCs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D5E19CC">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70F67FE">
            <w:pPr>
              <w:spacing w:line="360" w:lineRule="auto"/>
              <w:ind w:left="43"/>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1595CB7">
            <w:pPr>
              <w:spacing w:line="360" w:lineRule="auto"/>
              <w:ind w:left="43"/>
              <w:contextualSpacing/>
              <w:jc w:val="center"/>
              <w:rPr>
                <w:rFonts w:hint="eastAsia" w:ascii="宋体" w:hAnsi="宋体" w:cs="仿宋_GB2312"/>
                <w:color w:val="auto"/>
                <w:sz w:val="24"/>
              </w:rPr>
            </w:pPr>
          </w:p>
        </w:tc>
      </w:tr>
      <w:tr w14:paraId="41F0F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7832047">
            <w:pPr>
              <w:adjustRightInd w:val="0"/>
              <w:spacing w:line="360" w:lineRule="auto"/>
              <w:ind w:left="6" w:leftChars="0" w:firstLine="480" w:firstLineChars="200"/>
              <w:rPr>
                <w:rFonts w:hint="eastAsia" w:ascii="宋体" w:hAnsi="宋体"/>
                <w:color w:val="auto"/>
                <w:sz w:val="24"/>
                <w:szCs w:val="24"/>
              </w:rPr>
            </w:pPr>
            <w:r>
              <w:rPr>
                <w:rFonts w:hint="eastAsia" w:ascii="宋体" w:hAnsi="宋体" w:eastAsia="宋体" w:cs="宋体"/>
                <w:color w:val="auto"/>
                <w:sz w:val="24"/>
                <w:szCs w:val="24"/>
                <w:highlight w:val="none"/>
              </w:rPr>
              <w:t>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413F22A">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269B4F8">
            <w:pPr>
              <w:spacing w:line="360" w:lineRule="auto"/>
              <w:ind w:left="43"/>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03ACA8B">
            <w:pPr>
              <w:spacing w:line="360" w:lineRule="auto"/>
              <w:ind w:left="43"/>
              <w:contextualSpacing/>
              <w:jc w:val="center"/>
              <w:rPr>
                <w:rFonts w:hint="eastAsia" w:ascii="宋体" w:hAnsi="宋体" w:cs="仿宋_GB2312"/>
                <w:color w:val="auto"/>
                <w:sz w:val="24"/>
              </w:rPr>
            </w:pPr>
          </w:p>
        </w:tc>
      </w:tr>
      <w:tr w14:paraId="2D263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A15D9F2">
            <w:pPr>
              <w:snapToGrid w:val="0"/>
              <w:spacing w:line="360" w:lineRule="exact"/>
              <w:jc w:val="center"/>
              <w:rPr>
                <w:rFonts w:hint="eastAsia" w:ascii="宋体" w:hAnsi="宋体"/>
                <w:color w:val="auto"/>
                <w:sz w:val="24"/>
                <w:szCs w:val="24"/>
              </w:rPr>
            </w:pPr>
            <w:r>
              <w:rPr>
                <w:rFonts w:hint="eastAsia" w:ascii="宋体" w:hAnsi="宋体"/>
                <w:color w:val="auto"/>
                <w:sz w:val="24"/>
                <w:szCs w:val="24"/>
                <w:highlight w:val="none"/>
              </w:rPr>
              <w:t>付款条件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C46C209">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E395523">
            <w:pPr>
              <w:spacing w:line="360" w:lineRule="auto"/>
              <w:ind w:left="43"/>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7650F30">
            <w:pPr>
              <w:spacing w:line="360" w:lineRule="auto"/>
              <w:ind w:left="43"/>
              <w:contextualSpacing/>
              <w:jc w:val="center"/>
              <w:rPr>
                <w:rFonts w:hint="eastAsia" w:ascii="宋体" w:hAnsi="宋体" w:cs="仿宋_GB2312"/>
                <w:color w:val="auto"/>
                <w:sz w:val="24"/>
              </w:rPr>
            </w:pPr>
          </w:p>
        </w:tc>
      </w:tr>
      <w:tr w14:paraId="5275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56C5AE2">
            <w:pPr>
              <w:spacing w:line="360" w:lineRule="exact"/>
              <w:jc w:val="center"/>
              <w:rPr>
                <w:rFonts w:hint="eastAsia" w:ascii="宋体" w:hAnsi="宋体" w:cs="仿宋_GB2312"/>
                <w:color w:val="auto"/>
                <w:sz w:val="24"/>
                <w:szCs w:val="24"/>
              </w:rPr>
            </w:pPr>
            <w:r>
              <w:rPr>
                <w:rFonts w:hint="eastAsia"/>
                <w:color w:val="auto"/>
                <w:sz w:val="24"/>
                <w:szCs w:val="24"/>
                <w:highlight w:val="none"/>
              </w:rPr>
              <w:t>验收标准</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E2784B7">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1D45960">
            <w:pPr>
              <w:spacing w:line="360" w:lineRule="auto"/>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CA1DD64">
            <w:pPr>
              <w:spacing w:line="360" w:lineRule="auto"/>
              <w:contextualSpacing/>
              <w:jc w:val="center"/>
              <w:rPr>
                <w:rFonts w:hint="eastAsia" w:ascii="宋体" w:hAnsi="宋体" w:cs="仿宋_GB2312"/>
                <w:color w:val="auto"/>
                <w:sz w:val="24"/>
              </w:rPr>
            </w:pPr>
          </w:p>
        </w:tc>
      </w:tr>
      <w:tr w14:paraId="116D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8DB43C3">
            <w:pPr>
              <w:spacing w:line="360" w:lineRule="auto"/>
              <w:contextualSpacing/>
              <w:jc w:val="center"/>
              <w:rPr>
                <w:rFonts w:hint="eastAsia" w:ascii="宋体" w:hAnsi="宋体" w:cs="仿宋_GB2312"/>
                <w:color w:val="auto"/>
                <w:sz w:val="24"/>
                <w:szCs w:val="24"/>
              </w:rPr>
            </w:pPr>
            <w:r>
              <w:rPr>
                <w:rFonts w:hint="eastAsia" w:ascii="宋体" w:hAnsi="宋体" w:cs="仿宋_GB2312"/>
                <w:color w:val="auto"/>
                <w:sz w:val="24"/>
                <w:szCs w:val="24"/>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394915B">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0E61BDF">
            <w:pPr>
              <w:spacing w:line="360" w:lineRule="auto"/>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E94AF33">
            <w:pPr>
              <w:spacing w:line="360" w:lineRule="auto"/>
              <w:contextualSpacing/>
              <w:jc w:val="center"/>
              <w:rPr>
                <w:rFonts w:hint="eastAsia" w:ascii="宋体" w:hAnsi="宋体" w:cs="仿宋_GB2312"/>
                <w:color w:val="auto"/>
                <w:sz w:val="24"/>
              </w:rPr>
            </w:pPr>
          </w:p>
        </w:tc>
      </w:tr>
    </w:tbl>
    <w:p w14:paraId="56F38270">
      <w:pPr>
        <w:pStyle w:val="9"/>
        <w:spacing w:after="0" w:line="360" w:lineRule="auto"/>
        <w:contextualSpacing/>
        <w:rPr>
          <w:rFonts w:hint="eastAsia" w:ascii="宋体" w:hAnsi="宋体"/>
          <w:color w:val="auto"/>
          <w:kern w:val="0"/>
          <w:sz w:val="24"/>
          <w:szCs w:val="24"/>
        </w:rPr>
      </w:pPr>
      <w:r>
        <w:rPr>
          <w:rFonts w:hint="eastAsia" w:ascii="宋体" w:hAnsi="宋体"/>
          <w:color w:val="auto"/>
          <w:kern w:val="0"/>
          <w:sz w:val="24"/>
          <w:szCs w:val="24"/>
        </w:rPr>
        <w:t>注：</w:t>
      </w:r>
    </w:p>
    <w:p w14:paraId="423E7AE4">
      <w:pPr>
        <w:pStyle w:val="9"/>
        <w:spacing w:after="0" w:line="360" w:lineRule="auto"/>
        <w:contextualSpacing/>
        <w:rPr>
          <w:rFonts w:hint="eastAsia" w:ascii="宋体" w:hAnsi="宋体"/>
          <w:color w:val="auto"/>
          <w:kern w:val="0"/>
          <w:sz w:val="24"/>
          <w:szCs w:val="24"/>
        </w:rPr>
      </w:pPr>
      <w:r>
        <w:rPr>
          <w:rFonts w:hint="eastAsia" w:ascii="宋体" w:hAnsi="宋体"/>
          <w:color w:val="auto"/>
          <w:kern w:val="0"/>
          <w:sz w:val="24"/>
          <w:szCs w:val="24"/>
        </w:rPr>
        <w:t>1. 说明：应对照磋商文件“第三章 采购需求”中的商务要求逐条作出明确响应，并作出偏离说明。</w:t>
      </w:r>
    </w:p>
    <w:p w14:paraId="11827ADC">
      <w:pPr>
        <w:spacing w:line="360" w:lineRule="auto"/>
        <w:contextualSpacing/>
        <w:jc w:val="left"/>
        <w:rPr>
          <w:rFonts w:hint="eastAsia" w:ascii="宋体" w:hAnsi="宋体" w:cs="仿宋_GB2312"/>
          <w:color w:val="auto"/>
          <w:sz w:val="24"/>
          <w:u w:val="single"/>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6418A9EF">
      <w:pPr>
        <w:spacing w:line="360" w:lineRule="auto"/>
        <w:ind w:right="-817" w:rightChars="-389"/>
        <w:contextualSpacing/>
        <w:rPr>
          <w:rFonts w:hint="eastAsia" w:ascii="宋体" w:hAnsi="宋体" w:cs="仿宋_GB2312"/>
          <w:color w:val="auto"/>
          <w:sz w:val="24"/>
        </w:rPr>
      </w:pPr>
    </w:p>
    <w:p w14:paraId="2B67683B">
      <w:pPr>
        <w:spacing w:line="360" w:lineRule="auto"/>
        <w:ind w:right="-817" w:rightChars="-389"/>
        <w:contextualSpacing/>
        <w:jc w:val="center"/>
        <w:rPr>
          <w:rFonts w:hint="eastAsia" w:ascii="宋体" w:hAnsi="宋体" w:cs="仿宋_GB2312"/>
          <w:color w:val="auto"/>
          <w:sz w:val="24"/>
        </w:rPr>
      </w:pPr>
      <w:r>
        <w:rPr>
          <w:rFonts w:hint="eastAsia" w:ascii="宋体" w:hAnsi="宋体" w:cs="仿宋_GB2312"/>
          <w:color w:val="auto"/>
          <w:sz w:val="24"/>
        </w:rPr>
        <w:t>法定代表人/负责人或者委托代理人（签字或者电子签名）：</w:t>
      </w:r>
    </w:p>
    <w:p w14:paraId="56696582">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供应商名称（电子签章）：      </w:t>
      </w:r>
    </w:p>
    <w:p w14:paraId="017830FC">
      <w:pPr>
        <w:spacing w:line="360" w:lineRule="auto"/>
        <w:ind w:right="-817" w:rightChars="-389" w:firstLine="4080" w:firstLineChars="1700"/>
        <w:contextualSpacing/>
        <w:rPr>
          <w:rFonts w:hint="eastAsia"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307687A3">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rPr>
      </w:pPr>
    </w:p>
    <w:p w14:paraId="65DEC0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技术要求偏离表</w:t>
      </w:r>
    </w:p>
    <w:p w14:paraId="2915AE5E">
      <w:pPr>
        <w:spacing w:line="520" w:lineRule="exact"/>
        <w:rPr>
          <w:rFonts w:hint="eastAsia" w:ascii="仿宋_GB2312" w:hAnsi="仿宋_GB2312" w:eastAsia="仿宋_GB2312" w:cs="仿宋_GB2312"/>
          <w:color w:val="auto"/>
          <w:sz w:val="32"/>
          <w:szCs w:val="32"/>
        </w:rPr>
      </w:pPr>
    </w:p>
    <w:p w14:paraId="6934C62C">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09A3429F">
      <w:pPr>
        <w:spacing w:line="360" w:lineRule="auto"/>
        <w:contextualSpacing/>
        <w:rPr>
          <w:rFonts w:hint="eastAsia"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p w14:paraId="4743ACEC">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002"/>
        <w:gridCol w:w="3328"/>
        <w:gridCol w:w="2995"/>
        <w:gridCol w:w="1635"/>
      </w:tblGrid>
      <w:tr w14:paraId="07DE91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503" w:type="pct"/>
            <w:noWrap w:val="0"/>
            <w:vAlign w:val="center"/>
          </w:tcPr>
          <w:p w14:paraId="005E7F8B">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序号</w:t>
            </w:r>
          </w:p>
        </w:tc>
        <w:tc>
          <w:tcPr>
            <w:tcW w:w="503" w:type="pct"/>
            <w:tcBorders>
              <w:right w:val="single" w:color="auto" w:sz="4" w:space="0"/>
            </w:tcBorders>
            <w:noWrap w:val="0"/>
            <w:vAlign w:val="center"/>
          </w:tcPr>
          <w:p w14:paraId="72B227E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名称</w:t>
            </w:r>
          </w:p>
        </w:tc>
        <w:tc>
          <w:tcPr>
            <w:tcW w:w="1670" w:type="pct"/>
            <w:tcBorders>
              <w:left w:val="single" w:color="auto" w:sz="4" w:space="0"/>
            </w:tcBorders>
            <w:noWrap w:val="0"/>
            <w:vAlign w:val="center"/>
          </w:tcPr>
          <w:p w14:paraId="4ACBF6FC">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磋商文件技术或服务要求</w:t>
            </w:r>
          </w:p>
        </w:tc>
        <w:tc>
          <w:tcPr>
            <w:tcW w:w="1503" w:type="pct"/>
            <w:noWrap w:val="0"/>
            <w:vAlign w:val="center"/>
          </w:tcPr>
          <w:p w14:paraId="38482AF7">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竞标响应</w:t>
            </w:r>
          </w:p>
        </w:tc>
        <w:tc>
          <w:tcPr>
            <w:tcW w:w="820" w:type="pct"/>
            <w:noWrap w:val="0"/>
            <w:vAlign w:val="center"/>
          </w:tcPr>
          <w:p w14:paraId="37702BC8">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偏离说明</w:t>
            </w:r>
          </w:p>
        </w:tc>
      </w:tr>
      <w:tr w14:paraId="6F531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971629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1</w:t>
            </w:r>
          </w:p>
        </w:tc>
        <w:tc>
          <w:tcPr>
            <w:tcW w:w="503" w:type="pct"/>
            <w:tcBorders>
              <w:right w:val="single" w:color="auto" w:sz="4" w:space="0"/>
            </w:tcBorders>
            <w:noWrap w:val="0"/>
            <w:vAlign w:val="center"/>
          </w:tcPr>
          <w:p w14:paraId="1DBD5E9B">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71B1940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695C9F77">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604F2221">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18D2D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08CBD6C">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2</w:t>
            </w:r>
          </w:p>
        </w:tc>
        <w:tc>
          <w:tcPr>
            <w:tcW w:w="503" w:type="pct"/>
            <w:tcBorders>
              <w:right w:val="single" w:color="auto" w:sz="4" w:space="0"/>
            </w:tcBorders>
            <w:noWrap w:val="0"/>
            <w:vAlign w:val="center"/>
          </w:tcPr>
          <w:p w14:paraId="5C72868D">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020478A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7C2603F6">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5A4F1604">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054B6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7B41721">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3</w:t>
            </w:r>
          </w:p>
        </w:tc>
        <w:tc>
          <w:tcPr>
            <w:tcW w:w="503" w:type="pct"/>
            <w:tcBorders>
              <w:right w:val="single" w:color="auto" w:sz="4" w:space="0"/>
            </w:tcBorders>
            <w:noWrap w:val="0"/>
            <w:vAlign w:val="center"/>
          </w:tcPr>
          <w:p w14:paraId="76A25334">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7E6CE30D">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52885405">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65253D64">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75D404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20161A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4</w:t>
            </w:r>
          </w:p>
        </w:tc>
        <w:tc>
          <w:tcPr>
            <w:tcW w:w="503" w:type="pct"/>
            <w:tcBorders>
              <w:right w:val="single" w:color="auto" w:sz="4" w:space="0"/>
            </w:tcBorders>
            <w:noWrap w:val="0"/>
            <w:vAlign w:val="center"/>
          </w:tcPr>
          <w:p w14:paraId="25F58415">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1A6830C6">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2CA886B7">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553EF9C6">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64485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BDC23E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5</w:t>
            </w:r>
          </w:p>
        </w:tc>
        <w:tc>
          <w:tcPr>
            <w:tcW w:w="503" w:type="pct"/>
            <w:tcBorders>
              <w:right w:val="single" w:color="auto" w:sz="4" w:space="0"/>
            </w:tcBorders>
            <w:noWrap w:val="0"/>
            <w:vAlign w:val="center"/>
          </w:tcPr>
          <w:p w14:paraId="5BB7D770">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33F692F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28DFE682">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33D41948">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1A3289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3193CE4D">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w:t>
            </w:r>
          </w:p>
        </w:tc>
        <w:tc>
          <w:tcPr>
            <w:tcW w:w="503" w:type="pct"/>
            <w:tcBorders>
              <w:right w:val="single" w:color="auto" w:sz="4" w:space="0"/>
            </w:tcBorders>
            <w:noWrap w:val="0"/>
            <w:vAlign w:val="center"/>
          </w:tcPr>
          <w:p w14:paraId="5AE72A39">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563801DE">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5BBA964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tcBorders>
              <w:right w:val="single" w:color="auto" w:sz="4" w:space="0"/>
            </w:tcBorders>
            <w:noWrap w:val="0"/>
            <w:vAlign w:val="center"/>
          </w:tcPr>
          <w:p w14:paraId="5586589B">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bl>
    <w:p w14:paraId="3DE65E55">
      <w:pPr>
        <w:adjustRightInd w:val="0"/>
        <w:spacing w:line="360" w:lineRule="auto"/>
        <w:contextualSpacing/>
        <w:rPr>
          <w:rFonts w:hint="eastAsia" w:ascii="宋体" w:hAnsi="宋体" w:cs="仿宋_GB2312"/>
          <w:color w:val="auto"/>
          <w:sz w:val="24"/>
        </w:rPr>
      </w:pPr>
    </w:p>
    <w:p w14:paraId="1C5AFE64">
      <w:pPr>
        <w:pStyle w:val="11"/>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注：</w:t>
      </w:r>
    </w:p>
    <w:p w14:paraId="6907C30D">
      <w:pPr>
        <w:pStyle w:val="11"/>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1. 说明：应对照磋商文件“第三章 采购需求”中的技术或服务要求逐条作出明确响应，并作出偏离说明。</w:t>
      </w:r>
    </w:p>
    <w:p w14:paraId="531AC598">
      <w:pPr>
        <w:pStyle w:val="11"/>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2.供应商应根据自身的承诺，对照磋商文件要求，在“偏离说明”中注明“正偏离”、“负偏离”或者“无偏离”。既不属于“正偏离”也不属于“负偏离”即为“无偏离”。</w:t>
      </w:r>
    </w:p>
    <w:p w14:paraId="3C6763D2">
      <w:pPr>
        <w:spacing w:line="360" w:lineRule="auto"/>
        <w:ind w:right="-817" w:rightChars="-389"/>
        <w:contextualSpacing/>
        <w:rPr>
          <w:rFonts w:hint="eastAsia" w:ascii="宋体" w:hAnsi="宋体" w:cs="仿宋_GB2312"/>
          <w:color w:val="auto"/>
          <w:sz w:val="24"/>
        </w:rPr>
      </w:pPr>
    </w:p>
    <w:p w14:paraId="46CF75C8">
      <w:pPr>
        <w:spacing w:line="360" w:lineRule="auto"/>
        <w:ind w:right="-817" w:rightChars="-389"/>
        <w:contextualSpacing/>
        <w:jc w:val="center"/>
        <w:rPr>
          <w:rFonts w:hint="eastAsia" w:ascii="宋体" w:hAnsi="宋体" w:cs="仿宋_GB2312"/>
          <w:color w:val="auto"/>
          <w:sz w:val="24"/>
        </w:rPr>
      </w:pPr>
      <w:r>
        <w:rPr>
          <w:rFonts w:hint="eastAsia" w:ascii="宋体" w:hAnsi="宋体" w:cs="仿宋_GB2312"/>
          <w:color w:val="auto"/>
          <w:sz w:val="24"/>
        </w:rPr>
        <w:t>法定代表人/负责人或者委托代理人（签字或者电子签名）：</w:t>
      </w:r>
    </w:p>
    <w:p w14:paraId="779661D3">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供应商名称（电子签章）：      </w:t>
      </w:r>
    </w:p>
    <w:p w14:paraId="69312DA6">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323BD4F3">
      <w:pPr>
        <w:snapToGrid w:val="0"/>
        <w:spacing w:before="120" w:beforeLines="50" w:after="50"/>
        <w:ind w:left="142"/>
        <w:jc w:val="left"/>
        <w:rPr>
          <w:rFonts w:hint="eastAsia" w:ascii="宋体" w:hAnsi="宋体"/>
          <w:b/>
          <w:color w:val="auto"/>
          <w:sz w:val="24"/>
        </w:rPr>
      </w:pPr>
      <w:r>
        <w:rPr>
          <w:rFonts w:ascii="宋体" w:hAnsi="宋体" w:cs="仿宋_GB2312"/>
          <w:color w:val="auto"/>
          <w:sz w:val="24"/>
        </w:rPr>
        <w:br w:type="page"/>
      </w:r>
      <w:r>
        <w:rPr>
          <w:rFonts w:hint="eastAsia" w:ascii="宋体" w:hAnsi="宋体"/>
          <w:b/>
          <w:color w:val="auto"/>
          <w:sz w:val="24"/>
        </w:rPr>
        <w:t>项目实施人员一览表格式</w:t>
      </w:r>
    </w:p>
    <w:p w14:paraId="6F9DA022">
      <w:pPr>
        <w:snapToGrid w:val="0"/>
        <w:spacing w:before="120" w:beforeLines="50" w:after="50"/>
        <w:ind w:left="142"/>
        <w:jc w:val="left"/>
        <w:rPr>
          <w:rFonts w:hint="eastAsia" w:ascii="宋体" w:hAnsi="宋体"/>
          <w:b/>
          <w:color w:val="auto"/>
          <w:sz w:val="24"/>
        </w:rPr>
      </w:pPr>
    </w:p>
    <w:p w14:paraId="70D1BB8C">
      <w:pPr>
        <w:spacing w:line="360" w:lineRule="auto"/>
        <w:ind w:left="142"/>
        <w:contextualSpacing/>
        <w:jc w:val="center"/>
        <w:rPr>
          <w:rFonts w:hint="eastAsia" w:ascii="宋体" w:hAnsi="宋体"/>
          <w:b/>
          <w:color w:val="auto"/>
          <w:sz w:val="32"/>
          <w:szCs w:val="32"/>
        </w:rPr>
      </w:pPr>
      <w:r>
        <w:rPr>
          <w:rFonts w:hint="eastAsia" w:ascii="宋体" w:hAnsi="宋体"/>
          <w:b/>
          <w:color w:val="auto"/>
          <w:sz w:val="32"/>
          <w:szCs w:val="32"/>
        </w:rPr>
        <w:t>项目实施人员一览表</w:t>
      </w:r>
    </w:p>
    <w:p w14:paraId="35A6AC6A">
      <w:pPr>
        <w:pStyle w:val="14"/>
        <w:spacing w:line="360" w:lineRule="auto"/>
        <w:contextualSpacing/>
        <w:rPr>
          <w:rFonts w:hint="eastAsia"/>
          <w:color w:val="auto"/>
          <w:sz w:val="24"/>
          <w:szCs w:val="24"/>
        </w:rPr>
      </w:pPr>
      <w:r>
        <w:rPr>
          <w:rFonts w:hint="eastAsia"/>
          <w:color w:val="auto"/>
          <w:sz w:val="24"/>
          <w:szCs w:val="24"/>
        </w:rPr>
        <w:t>所竞分标：</w:t>
      </w:r>
      <w:r>
        <w:rPr>
          <w:rFonts w:hint="eastAsia"/>
          <w:color w:val="auto"/>
          <w:sz w:val="24"/>
          <w:szCs w:val="24"/>
          <w:u w:val="single"/>
        </w:rPr>
        <w:t xml:space="preserve">     </w:t>
      </w:r>
      <w:r>
        <w:rPr>
          <w:rFonts w:hint="eastAsia"/>
          <w:color w:val="auto"/>
          <w:sz w:val="24"/>
          <w:szCs w:val="24"/>
        </w:rPr>
        <w:t>分标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63"/>
        <w:gridCol w:w="1942"/>
        <w:gridCol w:w="1179"/>
        <w:gridCol w:w="1698"/>
        <w:gridCol w:w="1843"/>
      </w:tblGrid>
      <w:tr w14:paraId="5D2C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718697E3">
            <w:pPr>
              <w:spacing w:line="360" w:lineRule="auto"/>
              <w:contextualSpacing/>
              <w:jc w:val="center"/>
              <w:rPr>
                <w:rFonts w:hint="eastAsia" w:ascii="宋体" w:hAnsi="宋体"/>
                <w:color w:val="auto"/>
                <w:sz w:val="24"/>
                <w:szCs w:val="20"/>
              </w:rPr>
            </w:pPr>
            <w:r>
              <w:rPr>
                <w:rFonts w:hint="eastAsia" w:ascii="宋体" w:hAnsi="宋体"/>
                <w:color w:val="auto"/>
                <w:sz w:val="24"/>
                <w:szCs w:val="20"/>
              </w:rPr>
              <w:t>姓名</w:t>
            </w:r>
          </w:p>
        </w:tc>
        <w:tc>
          <w:tcPr>
            <w:tcW w:w="1163" w:type="dxa"/>
            <w:noWrap w:val="0"/>
            <w:vAlign w:val="center"/>
          </w:tcPr>
          <w:p w14:paraId="54C5532E">
            <w:pPr>
              <w:spacing w:line="360" w:lineRule="auto"/>
              <w:contextualSpacing/>
              <w:jc w:val="center"/>
              <w:rPr>
                <w:rFonts w:hint="eastAsia" w:ascii="宋体" w:hAnsi="宋体"/>
                <w:color w:val="auto"/>
                <w:sz w:val="24"/>
                <w:szCs w:val="20"/>
              </w:rPr>
            </w:pPr>
            <w:r>
              <w:rPr>
                <w:rFonts w:hint="eastAsia" w:ascii="宋体" w:hAnsi="宋体"/>
                <w:color w:val="auto"/>
                <w:sz w:val="24"/>
                <w:szCs w:val="20"/>
              </w:rPr>
              <w:t>职务</w:t>
            </w:r>
          </w:p>
        </w:tc>
        <w:tc>
          <w:tcPr>
            <w:tcW w:w="1942" w:type="dxa"/>
            <w:noWrap w:val="0"/>
            <w:vAlign w:val="center"/>
          </w:tcPr>
          <w:p w14:paraId="21D835C6">
            <w:pPr>
              <w:spacing w:line="240" w:lineRule="auto"/>
              <w:contextualSpacing/>
              <w:jc w:val="center"/>
              <w:rPr>
                <w:rFonts w:hint="eastAsia"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179" w:type="dxa"/>
            <w:noWrap w:val="0"/>
            <w:vAlign w:val="center"/>
          </w:tcPr>
          <w:p w14:paraId="47F02819">
            <w:pPr>
              <w:spacing w:line="360" w:lineRule="auto"/>
              <w:contextualSpacing/>
              <w:jc w:val="center"/>
              <w:rPr>
                <w:rFonts w:hint="eastAsia" w:ascii="宋体" w:hAnsi="宋体"/>
                <w:color w:val="auto"/>
                <w:sz w:val="24"/>
                <w:szCs w:val="20"/>
              </w:rPr>
            </w:pPr>
            <w:r>
              <w:rPr>
                <w:rFonts w:hint="eastAsia" w:ascii="宋体" w:hAnsi="宋体"/>
                <w:color w:val="auto"/>
                <w:sz w:val="24"/>
                <w:szCs w:val="20"/>
              </w:rPr>
              <w:t>证书编号</w:t>
            </w:r>
          </w:p>
        </w:tc>
        <w:tc>
          <w:tcPr>
            <w:tcW w:w="1698" w:type="dxa"/>
            <w:noWrap w:val="0"/>
            <w:vAlign w:val="center"/>
          </w:tcPr>
          <w:p w14:paraId="719D08C3">
            <w:pPr>
              <w:spacing w:line="360" w:lineRule="auto"/>
              <w:contextualSpacing/>
              <w:jc w:val="center"/>
              <w:rPr>
                <w:rFonts w:hint="eastAsia" w:ascii="宋体" w:hAnsi="宋体"/>
                <w:color w:val="auto"/>
                <w:sz w:val="24"/>
                <w:szCs w:val="20"/>
              </w:rPr>
            </w:pPr>
            <w:r>
              <w:rPr>
                <w:rFonts w:hint="eastAsia" w:ascii="宋体" w:hAnsi="宋体"/>
                <w:color w:val="auto"/>
                <w:sz w:val="24"/>
                <w:szCs w:val="20"/>
              </w:rPr>
              <w:t>参加本单位</w:t>
            </w:r>
          </w:p>
          <w:p w14:paraId="08FA012A">
            <w:pPr>
              <w:spacing w:line="360" w:lineRule="auto"/>
              <w:contextualSpacing/>
              <w:jc w:val="center"/>
              <w:rPr>
                <w:rFonts w:hint="eastAsia" w:ascii="宋体" w:hAnsi="宋体"/>
                <w:color w:val="auto"/>
                <w:sz w:val="24"/>
                <w:szCs w:val="20"/>
              </w:rPr>
            </w:pPr>
            <w:r>
              <w:rPr>
                <w:rFonts w:hint="eastAsia" w:ascii="宋体" w:hAnsi="宋体"/>
                <w:color w:val="auto"/>
                <w:sz w:val="24"/>
                <w:szCs w:val="20"/>
              </w:rPr>
              <w:t>工作时间</w:t>
            </w:r>
          </w:p>
        </w:tc>
        <w:tc>
          <w:tcPr>
            <w:tcW w:w="1843" w:type="dxa"/>
            <w:noWrap w:val="0"/>
            <w:vAlign w:val="center"/>
          </w:tcPr>
          <w:p w14:paraId="440F5CDE">
            <w:pPr>
              <w:spacing w:line="360" w:lineRule="auto"/>
              <w:contextualSpacing/>
              <w:jc w:val="center"/>
              <w:rPr>
                <w:rFonts w:hint="eastAsia" w:ascii="宋体" w:hAnsi="宋体"/>
                <w:color w:val="auto"/>
                <w:sz w:val="24"/>
                <w:szCs w:val="20"/>
              </w:rPr>
            </w:pPr>
            <w:r>
              <w:rPr>
                <w:rFonts w:hint="eastAsia" w:ascii="宋体" w:hAnsi="宋体"/>
                <w:color w:val="auto"/>
                <w:sz w:val="24"/>
                <w:szCs w:val="20"/>
              </w:rPr>
              <w:t>劳动合同编号</w:t>
            </w:r>
          </w:p>
        </w:tc>
      </w:tr>
      <w:tr w14:paraId="1AF2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6CF2C59E">
            <w:pPr>
              <w:spacing w:line="360" w:lineRule="auto"/>
              <w:contextualSpacing/>
              <w:jc w:val="center"/>
              <w:rPr>
                <w:rFonts w:hint="eastAsia" w:ascii="宋体" w:hAnsi="宋体"/>
                <w:color w:val="auto"/>
                <w:sz w:val="24"/>
                <w:szCs w:val="20"/>
              </w:rPr>
            </w:pPr>
          </w:p>
        </w:tc>
        <w:tc>
          <w:tcPr>
            <w:tcW w:w="1163" w:type="dxa"/>
            <w:noWrap w:val="0"/>
            <w:vAlign w:val="center"/>
          </w:tcPr>
          <w:p w14:paraId="4F7BF27A">
            <w:pPr>
              <w:spacing w:line="360" w:lineRule="auto"/>
              <w:contextualSpacing/>
              <w:jc w:val="center"/>
              <w:rPr>
                <w:rFonts w:hint="eastAsia" w:ascii="宋体" w:hAnsi="宋体"/>
                <w:color w:val="auto"/>
                <w:sz w:val="24"/>
                <w:szCs w:val="20"/>
              </w:rPr>
            </w:pPr>
          </w:p>
        </w:tc>
        <w:tc>
          <w:tcPr>
            <w:tcW w:w="1942" w:type="dxa"/>
            <w:noWrap w:val="0"/>
            <w:vAlign w:val="center"/>
          </w:tcPr>
          <w:p w14:paraId="1FD8961F">
            <w:pPr>
              <w:spacing w:line="360" w:lineRule="auto"/>
              <w:contextualSpacing/>
              <w:jc w:val="center"/>
              <w:rPr>
                <w:rFonts w:hint="eastAsia" w:ascii="宋体" w:hAnsi="宋体"/>
                <w:color w:val="auto"/>
                <w:sz w:val="24"/>
                <w:szCs w:val="20"/>
              </w:rPr>
            </w:pPr>
          </w:p>
        </w:tc>
        <w:tc>
          <w:tcPr>
            <w:tcW w:w="1179" w:type="dxa"/>
            <w:noWrap w:val="0"/>
            <w:vAlign w:val="center"/>
          </w:tcPr>
          <w:p w14:paraId="59E1B2DE">
            <w:pPr>
              <w:spacing w:line="360" w:lineRule="auto"/>
              <w:contextualSpacing/>
              <w:jc w:val="center"/>
              <w:rPr>
                <w:rFonts w:hint="eastAsia" w:ascii="宋体" w:hAnsi="宋体"/>
                <w:color w:val="auto"/>
                <w:sz w:val="24"/>
                <w:szCs w:val="20"/>
              </w:rPr>
            </w:pPr>
          </w:p>
        </w:tc>
        <w:tc>
          <w:tcPr>
            <w:tcW w:w="1698" w:type="dxa"/>
            <w:noWrap w:val="0"/>
            <w:vAlign w:val="center"/>
          </w:tcPr>
          <w:p w14:paraId="18566859">
            <w:pPr>
              <w:spacing w:line="360" w:lineRule="auto"/>
              <w:contextualSpacing/>
              <w:jc w:val="center"/>
              <w:rPr>
                <w:rFonts w:hint="eastAsia" w:ascii="宋体" w:hAnsi="宋体"/>
                <w:color w:val="auto"/>
                <w:sz w:val="24"/>
                <w:szCs w:val="20"/>
              </w:rPr>
            </w:pPr>
          </w:p>
        </w:tc>
        <w:tc>
          <w:tcPr>
            <w:tcW w:w="1843" w:type="dxa"/>
            <w:noWrap w:val="0"/>
            <w:vAlign w:val="center"/>
          </w:tcPr>
          <w:p w14:paraId="49E7E4FF">
            <w:pPr>
              <w:spacing w:line="360" w:lineRule="auto"/>
              <w:contextualSpacing/>
              <w:jc w:val="center"/>
              <w:rPr>
                <w:rFonts w:hint="eastAsia" w:ascii="宋体" w:hAnsi="宋体"/>
                <w:color w:val="auto"/>
                <w:sz w:val="24"/>
                <w:szCs w:val="20"/>
              </w:rPr>
            </w:pPr>
          </w:p>
        </w:tc>
      </w:tr>
      <w:tr w14:paraId="7B84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7E4DFB51">
            <w:pPr>
              <w:spacing w:line="360" w:lineRule="auto"/>
              <w:contextualSpacing/>
              <w:jc w:val="center"/>
              <w:rPr>
                <w:rFonts w:hint="eastAsia" w:ascii="宋体" w:hAnsi="宋体"/>
                <w:color w:val="auto"/>
                <w:sz w:val="24"/>
                <w:szCs w:val="20"/>
              </w:rPr>
            </w:pPr>
          </w:p>
        </w:tc>
        <w:tc>
          <w:tcPr>
            <w:tcW w:w="1163" w:type="dxa"/>
            <w:noWrap w:val="0"/>
            <w:vAlign w:val="center"/>
          </w:tcPr>
          <w:p w14:paraId="0E0EA89C">
            <w:pPr>
              <w:spacing w:line="360" w:lineRule="auto"/>
              <w:contextualSpacing/>
              <w:jc w:val="center"/>
              <w:rPr>
                <w:rFonts w:hint="eastAsia" w:ascii="宋体" w:hAnsi="宋体"/>
                <w:color w:val="auto"/>
                <w:sz w:val="24"/>
                <w:szCs w:val="20"/>
              </w:rPr>
            </w:pPr>
          </w:p>
        </w:tc>
        <w:tc>
          <w:tcPr>
            <w:tcW w:w="1942" w:type="dxa"/>
            <w:noWrap w:val="0"/>
            <w:vAlign w:val="center"/>
          </w:tcPr>
          <w:p w14:paraId="69A3EF71">
            <w:pPr>
              <w:spacing w:line="360" w:lineRule="auto"/>
              <w:contextualSpacing/>
              <w:jc w:val="center"/>
              <w:rPr>
                <w:rFonts w:hint="eastAsia" w:ascii="宋体" w:hAnsi="宋体"/>
                <w:color w:val="auto"/>
                <w:sz w:val="24"/>
                <w:szCs w:val="20"/>
              </w:rPr>
            </w:pPr>
          </w:p>
        </w:tc>
        <w:tc>
          <w:tcPr>
            <w:tcW w:w="1179" w:type="dxa"/>
            <w:noWrap w:val="0"/>
            <w:vAlign w:val="center"/>
          </w:tcPr>
          <w:p w14:paraId="590F2FEC">
            <w:pPr>
              <w:spacing w:line="360" w:lineRule="auto"/>
              <w:contextualSpacing/>
              <w:jc w:val="center"/>
              <w:rPr>
                <w:rFonts w:hint="eastAsia" w:ascii="宋体" w:hAnsi="宋体"/>
                <w:color w:val="auto"/>
                <w:sz w:val="24"/>
                <w:szCs w:val="20"/>
              </w:rPr>
            </w:pPr>
          </w:p>
        </w:tc>
        <w:tc>
          <w:tcPr>
            <w:tcW w:w="1698" w:type="dxa"/>
            <w:noWrap w:val="0"/>
            <w:vAlign w:val="center"/>
          </w:tcPr>
          <w:p w14:paraId="766BECAA">
            <w:pPr>
              <w:spacing w:line="360" w:lineRule="auto"/>
              <w:contextualSpacing/>
              <w:jc w:val="center"/>
              <w:rPr>
                <w:rFonts w:hint="eastAsia" w:ascii="宋体" w:hAnsi="宋体"/>
                <w:color w:val="auto"/>
                <w:sz w:val="24"/>
                <w:szCs w:val="20"/>
              </w:rPr>
            </w:pPr>
          </w:p>
        </w:tc>
        <w:tc>
          <w:tcPr>
            <w:tcW w:w="1843" w:type="dxa"/>
            <w:noWrap w:val="0"/>
            <w:vAlign w:val="center"/>
          </w:tcPr>
          <w:p w14:paraId="3D3F4C3F">
            <w:pPr>
              <w:spacing w:line="360" w:lineRule="auto"/>
              <w:contextualSpacing/>
              <w:jc w:val="center"/>
              <w:rPr>
                <w:rFonts w:hint="eastAsia" w:ascii="宋体" w:hAnsi="宋体"/>
                <w:color w:val="auto"/>
                <w:sz w:val="24"/>
                <w:szCs w:val="20"/>
              </w:rPr>
            </w:pPr>
          </w:p>
        </w:tc>
      </w:tr>
      <w:tr w14:paraId="6B34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713A1F70">
            <w:pPr>
              <w:spacing w:line="360" w:lineRule="auto"/>
              <w:contextualSpacing/>
              <w:jc w:val="center"/>
              <w:rPr>
                <w:rFonts w:hint="eastAsia" w:ascii="宋体" w:hAnsi="宋体"/>
                <w:color w:val="auto"/>
                <w:sz w:val="24"/>
                <w:szCs w:val="20"/>
              </w:rPr>
            </w:pPr>
          </w:p>
        </w:tc>
        <w:tc>
          <w:tcPr>
            <w:tcW w:w="1163" w:type="dxa"/>
            <w:noWrap w:val="0"/>
            <w:vAlign w:val="center"/>
          </w:tcPr>
          <w:p w14:paraId="24445B1C">
            <w:pPr>
              <w:spacing w:line="360" w:lineRule="auto"/>
              <w:contextualSpacing/>
              <w:jc w:val="center"/>
              <w:rPr>
                <w:rFonts w:hint="eastAsia" w:ascii="宋体" w:hAnsi="宋体"/>
                <w:color w:val="auto"/>
                <w:sz w:val="24"/>
                <w:szCs w:val="20"/>
              </w:rPr>
            </w:pPr>
          </w:p>
        </w:tc>
        <w:tc>
          <w:tcPr>
            <w:tcW w:w="1942" w:type="dxa"/>
            <w:noWrap w:val="0"/>
            <w:vAlign w:val="center"/>
          </w:tcPr>
          <w:p w14:paraId="5A1863E1">
            <w:pPr>
              <w:spacing w:line="360" w:lineRule="auto"/>
              <w:contextualSpacing/>
              <w:jc w:val="center"/>
              <w:rPr>
                <w:rFonts w:hint="eastAsia" w:ascii="宋体" w:hAnsi="宋体"/>
                <w:color w:val="auto"/>
                <w:sz w:val="24"/>
                <w:szCs w:val="20"/>
              </w:rPr>
            </w:pPr>
          </w:p>
        </w:tc>
        <w:tc>
          <w:tcPr>
            <w:tcW w:w="1179" w:type="dxa"/>
            <w:noWrap w:val="0"/>
            <w:vAlign w:val="center"/>
          </w:tcPr>
          <w:p w14:paraId="7AE74587">
            <w:pPr>
              <w:spacing w:line="360" w:lineRule="auto"/>
              <w:contextualSpacing/>
              <w:jc w:val="center"/>
              <w:rPr>
                <w:rFonts w:hint="eastAsia" w:ascii="宋体" w:hAnsi="宋体"/>
                <w:color w:val="auto"/>
                <w:sz w:val="24"/>
                <w:szCs w:val="20"/>
              </w:rPr>
            </w:pPr>
          </w:p>
        </w:tc>
        <w:tc>
          <w:tcPr>
            <w:tcW w:w="1698" w:type="dxa"/>
            <w:noWrap w:val="0"/>
            <w:vAlign w:val="center"/>
          </w:tcPr>
          <w:p w14:paraId="5E6C8B8E">
            <w:pPr>
              <w:spacing w:line="360" w:lineRule="auto"/>
              <w:contextualSpacing/>
              <w:jc w:val="center"/>
              <w:rPr>
                <w:rFonts w:hint="eastAsia" w:ascii="宋体" w:hAnsi="宋体"/>
                <w:color w:val="auto"/>
                <w:sz w:val="24"/>
                <w:szCs w:val="20"/>
              </w:rPr>
            </w:pPr>
          </w:p>
        </w:tc>
        <w:tc>
          <w:tcPr>
            <w:tcW w:w="1843" w:type="dxa"/>
            <w:noWrap w:val="0"/>
            <w:vAlign w:val="center"/>
          </w:tcPr>
          <w:p w14:paraId="0132BCCE">
            <w:pPr>
              <w:spacing w:line="360" w:lineRule="auto"/>
              <w:contextualSpacing/>
              <w:jc w:val="center"/>
              <w:rPr>
                <w:rFonts w:hint="eastAsia" w:ascii="宋体" w:hAnsi="宋体"/>
                <w:color w:val="auto"/>
                <w:sz w:val="24"/>
                <w:szCs w:val="20"/>
              </w:rPr>
            </w:pPr>
          </w:p>
        </w:tc>
      </w:tr>
    </w:tbl>
    <w:p w14:paraId="737E49B8">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295B8888">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在填写时，如本表格不适合供应商的实际情况，可根据本表格式自行制表填写。</w:t>
      </w:r>
    </w:p>
    <w:p w14:paraId="3EDA9B95">
      <w:pPr>
        <w:spacing w:line="360" w:lineRule="auto"/>
        <w:contextualSpacing/>
        <w:jc w:val="left"/>
        <w:rPr>
          <w:rFonts w:hint="eastAsia" w:ascii="宋体" w:hAnsi="宋体"/>
          <w:color w:val="auto"/>
          <w:sz w:val="24"/>
          <w:szCs w:val="20"/>
        </w:rPr>
      </w:pPr>
      <w:r>
        <w:rPr>
          <w:rFonts w:ascii="宋体" w:hAnsi="宋体"/>
          <w:color w:val="auto"/>
          <w:sz w:val="24"/>
          <w:szCs w:val="20"/>
        </w:rPr>
        <w:t>2.</w:t>
      </w:r>
      <w:r>
        <w:rPr>
          <w:rFonts w:hint="eastAsia" w:ascii="宋体" w:hAnsi="宋体"/>
          <w:color w:val="auto"/>
          <w:sz w:val="24"/>
          <w:szCs w:val="20"/>
        </w:rPr>
        <w:t>供应商应当附本表所列证书的复印件并加盖供应商电子签章。</w:t>
      </w:r>
    </w:p>
    <w:p w14:paraId="115D9777">
      <w:pPr>
        <w:spacing w:line="360" w:lineRule="auto"/>
        <w:contextualSpacing/>
        <w:rPr>
          <w:rFonts w:hint="eastAsia" w:ascii="宋体" w:hAnsi="宋体"/>
          <w:color w:val="auto"/>
          <w:sz w:val="24"/>
        </w:rPr>
      </w:pPr>
    </w:p>
    <w:p w14:paraId="7F81ED21">
      <w:pPr>
        <w:pStyle w:val="10"/>
        <w:rPr>
          <w:rFonts w:hint="eastAsia" w:ascii="宋体" w:hAnsi="宋体"/>
          <w:color w:val="auto"/>
          <w:sz w:val="24"/>
        </w:rPr>
      </w:pPr>
    </w:p>
    <w:p w14:paraId="2D37FA38">
      <w:pPr>
        <w:pStyle w:val="10"/>
        <w:rPr>
          <w:rFonts w:hint="eastAsia" w:ascii="宋体" w:hAnsi="宋体"/>
          <w:color w:val="auto"/>
          <w:sz w:val="24"/>
        </w:rPr>
      </w:pPr>
    </w:p>
    <w:p w14:paraId="69D22AFA">
      <w:pPr>
        <w:spacing w:line="360" w:lineRule="auto"/>
        <w:contextualSpacing/>
        <w:jc w:val="left"/>
        <w:rPr>
          <w:rFonts w:hint="eastAsia" w:ascii="宋体" w:hAnsi="宋体"/>
          <w:color w:val="auto"/>
          <w:spacing w:val="20"/>
          <w:sz w:val="24"/>
        </w:rPr>
      </w:pPr>
    </w:p>
    <w:p w14:paraId="159E4533">
      <w:pPr>
        <w:spacing w:line="360" w:lineRule="auto"/>
        <w:contextualSpacing/>
        <w:jc w:val="left"/>
        <w:rPr>
          <w:rFonts w:hint="eastAsia" w:ascii="宋体" w:hAnsi="宋体"/>
          <w:color w:val="auto"/>
          <w:sz w:val="24"/>
          <w:szCs w:val="20"/>
        </w:rPr>
      </w:pPr>
      <w:r>
        <w:rPr>
          <w:rFonts w:hint="eastAsia" w:ascii="宋体" w:hAnsi="宋体"/>
          <w:color w:val="auto"/>
          <w:spacing w:val="20"/>
          <w:sz w:val="24"/>
        </w:rPr>
        <w:t>供应商名称（电子签章）：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125157E7">
      <w:pPr>
        <w:snapToGrid w:val="0"/>
        <w:spacing w:line="360" w:lineRule="auto"/>
        <w:ind w:right="480" w:firstLine="240" w:firstLineChars="100"/>
        <w:jc w:val="left"/>
        <w:rPr>
          <w:rFonts w:ascii="宋体" w:hAnsi="宋体"/>
          <w:color w:val="auto"/>
          <w:szCs w:val="21"/>
        </w:rPr>
        <w:sectPr>
          <w:pgSz w:w="11906" w:h="16838"/>
          <w:pgMar w:top="1440" w:right="1080" w:bottom="1440" w:left="1080" w:header="851" w:footer="992" w:gutter="0"/>
          <w:pgNumType w:fmt="decimal"/>
          <w:cols w:space="720" w:num="1"/>
        </w:sectPr>
      </w:pPr>
      <w:r>
        <w:rPr>
          <w:rFonts w:ascii="宋体" w:hAnsi="宋体"/>
          <w:color w:val="auto"/>
          <w:sz w:val="24"/>
          <w:szCs w:val="20"/>
        </w:rPr>
        <w:br w:type="page"/>
      </w:r>
    </w:p>
    <w:p w14:paraId="7C199C17">
      <w:pPr>
        <w:spacing w:line="300" w:lineRule="auto"/>
        <w:rPr>
          <w:rFonts w:hint="eastAsia" w:ascii="宋体" w:hAnsi="宋体"/>
          <w:color w:val="auto"/>
          <w:szCs w:val="21"/>
        </w:rPr>
      </w:pPr>
      <w:r>
        <w:rPr>
          <w:rFonts w:hint="eastAsia" w:ascii="宋体" w:hAnsi="宋体"/>
          <w:b/>
          <w:bCs/>
          <w:color w:val="auto"/>
          <w:sz w:val="24"/>
        </w:rPr>
        <w:t>其他文书、文件格式</w:t>
      </w:r>
    </w:p>
    <w:p w14:paraId="40919686">
      <w:pPr>
        <w:spacing w:line="360" w:lineRule="auto"/>
        <w:jc w:val="center"/>
        <w:rPr>
          <w:rFonts w:ascii="宋体" w:hAnsi="宋体" w:cs="仿宋_GB2312"/>
          <w:color w:val="auto"/>
          <w:sz w:val="24"/>
        </w:rPr>
      </w:pPr>
    </w:p>
    <w:p w14:paraId="5906CD81">
      <w:pPr>
        <w:spacing w:line="360" w:lineRule="auto"/>
        <w:jc w:val="center"/>
        <w:rPr>
          <w:rFonts w:hint="eastAsia"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14:paraId="25A83828">
      <w:pPr>
        <w:pStyle w:val="14"/>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01AE691">
      <w:pPr>
        <w:pStyle w:val="14"/>
        <w:spacing w:line="360" w:lineRule="auto"/>
        <w:ind w:firstLine="480" w:firstLineChars="200"/>
        <w:contextualSpacing/>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01FEEBD1">
      <w:pPr>
        <w:pStyle w:val="14"/>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08C5E948">
      <w:pPr>
        <w:pStyle w:val="14"/>
        <w:spacing w:line="360" w:lineRule="auto"/>
        <w:ind w:firstLine="480" w:firstLineChars="200"/>
        <w:contextualSpacing/>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386C0B5D">
      <w:pPr>
        <w:pStyle w:val="14"/>
        <w:spacing w:line="360" w:lineRule="auto"/>
        <w:ind w:firstLine="480" w:firstLineChars="200"/>
        <w:contextualSpacing/>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54D58DE9">
      <w:pPr>
        <w:pStyle w:val="14"/>
        <w:spacing w:line="360" w:lineRule="auto"/>
        <w:ind w:firstLine="480" w:firstLineChars="200"/>
        <w:contextualSpacing/>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B61D785">
      <w:pPr>
        <w:pStyle w:val="14"/>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F5470FE">
      <w:pPr>
        <w:pStyle w:val="14"/>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二、质疑项目基本情况：</w:t>
      </w:r>
    </w:p>
    <w:p w14:paraId="4B97E4C1">
      <w:pPr>
        <w:pStyle w:val="14"/>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24F3C207">
      <w:pPr>
        <w:pStyle w:val="14"/>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35346E0E">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4292180F">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w:t>
      </w:r>
    </w:p>
    <w:p w14:paraId="7E9C4BD5">
      <w:pPr>
        <w:pStyle w:val="14"/>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2FBF2F9C">
      <w:pPr>
        <w:pStyle w:val="14"/>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 xml:space="preserve">□采购过程   </w:t>
      </w:r>
    </w:p>
    <w:p w14:paraId="475ABB59">
      <w:pPr>
        <w:pStyle w:val="14"/>
        <w:spacing w:line="360" w:lineRule="auto"/>
        <w:ind w:left="25" w:leftChars="12" w:firstLine="352" w:firstLineChars="147"/>
        <w:contextualSpacing/>
        <w:rPr>
          <w:rFonts w:hint="eastAsia" w:hAnsi="宋体"/>
          <w:bCs/>
          <w:color w:val="auto"/>
          <w:sz w:val="24"/>
          <w:szCs w:val="24"/>
          <w:u w:val="single"/>
        </w:rPr>
      </w:pPr>
      <w:r>
        <w:rPr>
          <w:rFonts w:hint="eastAsia" w:hAnsi="宋体"/>
          <w:color w:val="auto"/>
          <w:sz w:val="24"/>
          <w:szCs w:val="24"/>
        </w:rPr>
        <w:t xml:space="preserve">□成交结果   </w:t>
      </w:r>
    </w:p>
    <w:p w14:paraId="72F6BB75">
      <w:pPr>
        <w:pStyle w:val="14"/>
        <w:spacing w:line="360" w:lineRule="auto"/>
        <w:ind w:left="25" w:leftChars="12" w:firstLine="472" w:firstLineChars="196"/>
        <w:contextualSpacing/>
        <w:rPr>
          <w:rFonts w:hint="eastAsia" w:hAnsi="宋体"/>
          <w:b/>
          <w:color w:val="auto"/>
          <w:sz w:val="24"/>
          <w:szCs w:val="24"/>
        </w:rPr>
      </w:pPr>
      <w:r>
        <w:rPr>
          <w:rFonts w:hint="eastAsia" w:hAnsi="宋体"/>
          <w:b/>
          <w:color w:val="auto"/>
          <w:sz w:val="24"/>
          <w:szCs w:val="24"/>
        </w:rPr>
        <w:t>三、质疑事项具体内容</w:t>
      </w:r>
    </w:p>
    <w:p w14:paraId="32A3FD72">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5BF780E0">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60656EF7">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262EC52E">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质疑事项2</w:t>
      </w:r>
    </w:p>
    <w:p w14:paraId="57AC2D6C">
      <w:pPr>
        <w:pStyle w:val="14"/>
        <w:spacing w:line="360" w:lineRule="auto"/>
        <w:ind w:left="25" w:leftChars="12" w:firstLine="472" w:firstLineChars="197"/>
        <w:contextualSpacing/>
        <w:rPr>
          <w:rFonts w:hint="eastAsia" w:hAnsi="宋体"/>
          <w:color w:val="auto"/>
          <w:sz w:val="24"/>
          <w:szCs w:val="24"/>
        </w:rPr>
      </w:pPr>
      <w:r>
        <w:rPr>
          <w:rFonts w:hAnsi="宋体"/>
          <w:color w:val="auto"/>
          <w:sz w:val="24"/>
          <w:szCs w:val="24"/>
        </w:rPr>
        <w:t>……</w:t>
      </w:r>
    </w:p>
    <w:p w14:paraId="3CCB1D26">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四、与质疑事项相关的质疑请求：</w:t>
      </w:r>
    </w:p>
    <w:p w14:paraId="319D5E65">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09890AEB">
      <w:pPr>
        <w:pStyle w:val="14"/>
        <w:spacing w:line="360" w:lineRule="auto"/>
        <w:ind w:left="25" w:leftChars="12" w:firstLine="352" w:firstLineChars="147"/>
        <w:contextualSpacing/>
        <w:rPr>
          <w:rFonts w:hint="eastAsia" w:hAnsi="宋体"/>
          <w:color w:val="auto"/>
          <w:sz w:val="24"/>
          <w:szCs w:val="24"/>
        </w:rPr>
      </w:pPr>
    </w:p>
    <w:p w14:paraId="103F25CD">
      <w:pPr>
        <w:pStyle w:val="14"/>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签字（签章）：                                       公章：</w:t>
      </w:r>
    </w:p>
    <w:p w14:paraId="4B11AAA9">
      <w:pPr>
        <w:pStyle w:val="14"/>
        <w:spacing w:line="360" w:lineRule="auto"/>
        <w:ind w:firstLine="480" w:firstLineChars="200"/>
        <w:contextualSpacing/>
        <w:rPr>
          <w:rFonts w:hint="eastAsia" w:hAnsi="宋体"/>
          <w:b/>
          <w:color w:val="auto"/>
          <w:sz w:val="24"/>
          <w:szCs w:val="24"/>
        </w:rPr>
      </w:pPr>
      <w:r>
        <w:rPr>
          <w:rFonts w:hint="eastAsia" w:hAnsi="宋体"/>
          <w:color w:val="auto"/>
          <w:sz w:val="24"/>
          <w:szCs w:val="24"/>
        </w:rPr>
        <w:t>日期：</w:t>
      </w:r>
    </w:p>
    <w:p w14:paraId="4E8F0A56">
      <w:pPr>
        <w:pStyle w:val="14"/>
        <w:spacing w:line="360" w:lineRule="auto"/>
        <w:contextualSpacing/>
        <w:rPr>
          <w:rFonts w:hint="eastAsia" w:hAnsi="宋体"/>
          <w:b/>
          <w:color w:val="auto"/>
          <w:sz w:val="24"/>
          <w:szCs w:val="24"/>
        </w:rPr>
      </w:pPr>
      <w:r>
        <w:rPr>
          <w:rFonts w:hint="eastAsia" w:hAnsi="宋体"/>
          <w:b/>
          <w:color w:val="auto"/>
          <w:sz w:val="24"/>
          <w:szCs w:val="24"/>
        </w:rPr>
        <w:t>说明：</w:t>
      </w:r>
    </w:p>
    <w:p w14:paraId="41D8543B">
      <w:pPr>
        <w:pStyle w:val="14"/>
        <w:spacing w:line="360" w:lineRule="auto"/>
        <w:ind w:left="25" w:leftChars="12" w:firstLine="354" w:firstLineChars="147"/>
        <w:contextualSpacing/>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05EAAC28">
      <w:pPr>
        <w:pStyle w:val="14"/>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81A5D7">
      <w:pPr>
        <w:pStyle w:val="14"/>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14:paraId="2A4EFB7E">
      <w:pPr>
        <w:pStyle w:val="14"/>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4.质疑函的质疑请求应与质疑事项相关。</w:t>
      </w:r>
    </w:p>
    <w:p w14:paraId="2606D362">
      <w:pPr>
        <w:pStyle w:val="14"/>
        <w:spacing w:line="360" w:lineRule="auto"/>
        <w:ind w:left="25" w:leftChars="12" w:firstLine="354" w:firstLineChars="147"/>
        <w:contextualSpacing/>
        <w:rPr>
          <w:rFonts w:hint="eastAsia" w:hAnsi="宋体"/>
          <w:b/>
          <w:color w:val="auto"/>
        </w:rPr>
      </w:pPr>
      <w:r>
        <w:rPr>
          <w:rFonts w:hint="eastAsia" w:hAnsi="宋体"/>
          <w:b/>
          <w:color w:val="auto"/>
          <w:sz w:val="24"/>
          <w:szCs w:val="24"/>
        </w:rPr>
        <w:t>5.质疑供应商为法人或者其他组织的，质疑函应由法定代表人/负责人、主要负责人，或者其授权代表签字或者盖章，并加盖公章。</w:t>
      </w:r>
    </w:p>
    <w:p w14:paraId="7AACD08E">
      <w:pPr>
        <w:pStyle w:val="14"/>
        <w:snapToGrid w:val="0"/>
        <w:rPr>
          <w:rFonts w:hint="eastAsia"/>
          <w:b/>
          <w:color w:val="auto"/>
          <w:sz w:val="24"/>
          <w:szCs w:val="24"/>
        </w:rPr>
      </w:pPr>
    </w:p>
    <w:p w14:paraId="6AE7492E">
      <w:pPr>
        <w:rPr>
          <w:rFonts w:hint="eastAsia"/>
          <w:color w:val="auto"/>
          <w:sz w:val="32"/>
          <w:szCs w:val="40"/>
        </w:rPr>
      </w:pPr>
    </w:p>
    <w:p w14:paraId="2C4DC9DB">
      <w:pPr>
        <w:rPr>
          <w:rFonts w:hint="eastAsia"/>
          <w:color w:val="auto"/>
          <w:sz w:val="32"/>
          <w:szCs w:val="40"/>
        </w:rPr>
      </w:pPr>
    </w:p>
    <w:p w14:paraId="359A00E0">
      <w:pPr>
        <w:rPr>
          <w:rFonts w:hint="eastAsia"/>
          <w:color w:val="auto"/>
          <w:sz w:val="32"/>
          <w:szCs w:val="40"/>
        </w:rPr>
      </w:pPr>
    </w:p>
    <w:p w14:paraId="27AD5EA7">
      <w:pPr>
        <w:rPr>
          <w:rFonts w:hint="eastAsia"/>
          <w:color w:val="auto"/>
          <w:sz w:val="32"/>
          <w:szCs w:val="40"/>
        </w:rPr>
      </w:pPr>
    </w:p>
    <w:p w14:paraId="5EBA29F4">
      <w:pPr>
        <w:rPr>
          <w:rFonts w:hint="eastAsia"/>
          <w:color w:val="auto"/>
          <w:sz w:val="32"/>
          <w:szCs w:val="40"/>
        </w:rPr>
      </w:pPr>
    </w:p>
    <w:p w14:paraId="5594D1DA">
      <w:pPr>
        <w:rPr>
          <w:rFonts w:hint="eastAsia"/>
          <w:color w:val="auto"/>
          <w:sz w:val="32"/>
          <w:szCs w:val="40"/>
        </w:rPr>
      </w:pPr>
    </w:p>
    <w:p w14:paraId="474A861A">
      <w:pPr>
        <w:rPr>
          <w:rFonts w:hint="eastAsia"/>
          <w:color w:val="auto"/>
          <w:sz w:val="32"/>
          <w:szCs w:val="40"/>
        </w:rPr>
      </w:pPr>
    </w:p>
    <w:p w14:paraId="704A417D">
      <w:pPr>
        <w:rPr>
          <w:rFonts w:hint="eastAsia"/>
          <w:color w:val="auto"/>
          <w:sz w:val="32"/>
          <w:szCs w:val="40"/>
        </w:rPr>
      </w:pPr>
    </w:p>
    <w:p w14:paraId="096224DA">
      <w:pPr>
        <w:rPr>
          <w:rFonts w:hint="eastAsia"/>
          <w:color w:val="auto"/>
          <w:sz w:val="32"/>
          <w:szCs w:val="40"/>
        </w:rPr>
      </w:pPr>
    </w:p>
    <w:p w14:paraId="3C01E36D">
      <w:pPr>
        <w:rPr>
          <w:rFonts w:hint="eastAsia"/>
          <w:color w:val="auto"/>
          <w:sz w:val="32"/>
          <w:szCs w:val="40"/>
        </w:rPr>
      </w:pPr>
    </w:p>
    <w:p w14:paraId="13025E74">
      <w:pPr>
        <w:rPr>
          <w:rFonts w:hint="eastAsia"/>
          <w:color w:val="auto"/>
          <w:sz w:val="32"/>
          <w:szCs w:val="40"/>
        </w:rPr>
      </w:pPr>
    </w:p>
    <w:p w14:paraId="1D5D69F8">
      <w:pPr>
        <w:rPr>
          <w:rFonts w:hint="eastAsia"/>
          <w:color w:val="auto"/>
          <w:sz w:val="32"/>
          <w:szCs w:val="40"/>
        </w:rPr>
      </w:pPr>
    </w:p>
    <w:p w14:paraId="3C328108">
      <w:pPr>
        <w:rPr>
          <w:rFonts w:hint="eastAsia"/>
          <w:color w:val="auto"/>
          <w:sz w:val="32"/>
          <w:szCs w:val="40"/>
        </w:rPr>
      </w:pPr>
    </w:p>
    <w:p w14:paraId="41BBADC3">
      <w:pPr>
        <w:rPr>
          <w:rFonts w:hint="eastAsia"/>
          <w:color w:val="auto"/>
          <w:sz w:val="32"/>
          <w:szCs w:val="40"/>
        </w:rPr>
      </w:pPr>
    </w:p>
    <w:p w14:paraId="541FF2B0">
      <w:pPr>
        <w:spacing w:line="36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3869CF49">
      <w:pPr>
        <w:pStyle w:val="14"/>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2018D331">
      <w:pPr>
        <w:pStyle w:val="14"/>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23ACCAA1">
      <w:pPr>
        <w:pStyle w:val="14"/>
        <w:snapToGrid w:val="0"/>
        <w:spacing w:line="360" w:lineRule="auto"/>
        <w:ind w:firstLine="480" w:firstLineChars="200"/>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D838755">
      <w:pPr>
        <w:pStyle w:val="14"/>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法定代表人/负责人/主要负责人：</w:t>
      </w:r>
      <w:r>
        <w:rPr>
          <w:rFonts w:hint="eastAsia" w:hAnsi="宋体"/>
          <w:bCs/>
          <w:color w:val="auto"/>
          <w:sz w:val="24"/>
          <w:szCs w:val="24"/>
          <w:u w:val="single"/>
        </w:rPr>
        <w:t xml:space="preserve">                                                         </w:t>
      </w:r>
    </w:p>
    <w:p w14:paraId="5E40BAC6">
      <w:pPr>
        <w:pStyle w:val="14"/>
        <w:snapToGrid w:val="0"/>
        <w:spacing w:line="360" w:lineRule="auto"/>
        <w:ind w:firstLine="480" w:firstLineChars="200"/>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3A082682">
      <w:pPr>
        <w:pStyle w:val="14"/>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7D42EF2C">
      <w:pPr>
        <w:pStyle w:val="14"/>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3F02024A">
      <w:pPr>
        <w:pStyle w:val="14"/>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25A666F">
      <w:pPr>
        <w:pStyle w:val="14"/>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被投诉人1：</w:t>
      </w:r>
    </w:p>
    <w:p w14:paraId="1E65010F">
      <w:pPr>
        <w:pStyle w:val="14"/>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657853A6">
      <w:pPr>
        <w:pStyle w:val="14"/>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52C88DB">
      <w:pPr>
        <w:pStyle w:val="14"/>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74F62A32">
      <w:pPr>
        <w:pStyle w:val="14"/>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被投诉人2：</w:t>
      </w:r>
    </w:p>
    <w:p w14:paraId="30D6ED97">
      <w:pPr>
        <w:pStyle w:val="14"/>
        <w:snapToGrid w:val="0"/>
        <w:spacing w:line="360" w:lineRule="auto"/>
        <w:ind w:firstLine="480" w:firstLineChars="200"/>
        <w:rPr>
          <w:rFonts w:hint="eastAsia" w:hAnsi="宋体"/>
          <w:bCs/>
          <w:color w:val="auto"/>
          <w:sz w:val="24"/>
          <w:szCs w:val="24"/>
        </w:rPr>
      </w:pPr>
      <w:r>
        <w:rPr>
          <w:rFonts w:hAnsi="宋体"/>
          <w:bCs/>
          <w:color w:val="auto"/>
          <w:sz w:val="24"/>
          <w:szCs w:val="24"/>
        </w:rPr>
        <w:t>……</w:t>
      </w:r>
    </w:p>
    <w:p w14:paraId="5DCECC1F">
      <w:pPr>
        <w:pStyle w:val="14"/>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345E3EF8">
      <w:pPr>
        <w:pStyle w:val="14"/>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292A403F">
      <w:pPr>
        <w:pStyle w:val="14"/>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295D669F">
      <w:pPr>
        <w:pStyle w:val="14"/>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二、投诉项目基本情况：</w:t>
      </w:r>
    </w:p>
    <w:p w14:paraId="543712B3">
      <w:pPr>
        <w:pStyle w:val="14"/>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06D50BB8">
      <w:pPr>
        <w:pStyle w:val="14"/>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2BD368E4">
      <w:pPr>
        <w:pStyle w:val="14"/>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0E4A18D7">
      <w:pPr>
        <w:pStyle w:val="14"/>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5A0282E6">
      <w:pPr>
        <w:pStyle w:val="14"/>
        <w:spacing w:line="360" w:lineRule="auto"/>
        <w:ind w:left="25" w:leftChars="12" w:firstLine="472" w:firstLineChars="197"/>
        <w:rPr>
          <w:rFonts w:hint="eastAsia"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3D78977D">
      <w:pPr>
        <w:pStyle w:val="14"/>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59060524">
      <w:pPr>
        <w:pStyle w:val="14"/>
        <w:spacing w:line="360" w:lineRule="auto"/>
        <w:ind w:left="25" w:leftChars="12" w:firstLine="472" w:firstLineChars="196"/>
        <w:rPr>
          <w:rFonts w:hint="eastAsia" w:hAnsi="宋体"/>
          <w:b/>
          <w:color w:val="auto"/>
          <w:sz w:val="24"/>
          <w:szCs w:val="24"/>
        </w:rPr>
      </w:pPr>
      <w:r>
        <w:rPr>
          <w:rFonts w:hint="eastAsia" w:hAnsi="宋体"/>
          <w:b/>
          <w:color w:val="auto"/>
          <w:sz w:val="24"/>
          <w:szCs w:val="24"/>
        </w:rPr>
        <w:t>三、质疑基本情况</w:t>
      </w:r>
    </w:p>
    <w:p w14:paraId="445BEB73">
      <w:pPr>
        <w:pStyle w:val="14"/>
        <w:spacing w:line="360" w:lineRule="auto"/>
        <w:ind w:firstLine="480" w:firstLineChars="200"/>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4DD13F80">
      <w:pPr>
        <w:pStyle w:val="14"/>
        <w:spacing w:line="360" w:lineRule="auto"/>
        <w:ind w:firstLine="241"/>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167AB4CF">
      <w:pPr>
        <w:pStyle w:val="14"/>
        <w:spacing w:line="360" w:lineRule="auto"/>
        <w:ind w:firstLine="241"/>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378AF613">
      <w:pPr>
        <w:pStyle w:val="14"/>
        <w:spacing w:line="360" w:lineRule="auto"/>
        <w:ind w:firstLine="480" w:firstLineChars="200"/>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76EA6C9B">
      <w:pPr>
        <w:pStyle w:val="14"/>
        <w:spacing w:line="360" w:lineRule="auto"/>
        <w:ind w:left="25" w:leftChars="12" w:firstLine="472" w:firstLineChars="196"/>
        <w:rPr>
          <w:rFonts w:hint="eastAsia" w:hAnsi="宋体"/>
          <w:b/>
          <w:color w:val="auto"/>
          <w:sz w:val="24"/>
          <w:szCs w:val="24"/>
        </w:rPr>
      </w:pPr>
      <w:r>
        <w:rPr>
          <w:rFonts w:hint="eastAsia" w:hAnsi="宋体"/>
          <w:b/>
          <w:color w:val="auto"/>
          <w:sz w:val="24"/>
          <w:szCs w:val="24"/>
        </w:rPr>
        <w:t>四、投诉事项具体内容</w:t>
      </w:r>
    </w:p>
    <w:p w14:paraId="64CF5B8B">
      <w:pPr>
        <w:pStyle w:val="14"/>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5B48552F">
      <w:pPr>
        <w:pStyle w:val="14"/>
        <w:spacing w:line="360" w:lineRule="auto"/>
        <w:ind w:firstLine="480" w:firstLineChars="200"/>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173707CF">
      <w:pPr>
        <w:pStyle w:val="14"/>
        <w:spacing w:line="360" w:lineRule="auto"/>
        <w:ind w:left="25" w:leftChars="12" w:firstLine="472" w:firstLineChars="197"/>
        <w:rPr>
          <w:rFonts w:hint="eastAsia" w:hAnsi="宋体"/>
          <w:color w:val="auto"/>
          <w:sz w:val="24"/>
          <w:szCs w:val="24"/>
        </w:rPr>
      </w:pPr>
      <w:r>
        <w:rPr>
          <w:rFonts w:hint="eastAsia" w:hAnsi="宋体"/>
          <w:bCs/>
          <w:color w:val="auto"/>
          <w:sz w:val="24"/>
          <w:szCs w:val="24"/>
          <w:u w:val="single"/>
        </w:rPr>
        <w:t xml:space="preserve">                                                                                        </w:t>
      </w:r>
    </w:p>
    <w:p w14:paraId="49C9DD13">
      <w:pPr>
        <w:pStyle w:val="14"/>
        <w:spacing w:line="360" w:lineRule="auto"/>
        <w:ind w:firstLine="480" w:firstLineChars="200"/>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67F1B42F">
      <w:pPr>
        <w:pStyle w:val="14"/>
        <w:spacing w:line="360" w:lineRule="auto"/>
        <w:ind w:left="25" w:leftChars="12" w:firstLine="352" w:firstLineChars="147"/>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6064E2CA">
      <w:pPr>
        <w:pStyle w:val="14"/>
        <w:spacing w:line="360" w:lineRule="auto"/>
        <w:ind w:left="25" w:leftChars="12" w:firstLine="472" w:firstLineChars="197"/>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75016C0F">
      <w:pPr>
        <w:pStyle w:val="14"/>
        <w:spacing w:line="360" w:lineRule="auto"/>
        <w:ind w:left="25" w:leftChars="12" w:firstLine="472" w:firstLineChars="197"/>
        <w:rPr>
          <w:rFonts w:hint="eastAsia" w:hAnsi="宋体"/>
          <w:bCs/>
          <w:color w:val="auto"/>
          <w:sz w:val="24"/>
          <w:szCs w:val="24"/>
        </w:rPr>
      </w:pPr>
      <w:r>
        <w:rPr>
          <w:rFonts w:hAnsi="宋体"/>
          <w:bCs/>
          <w:color w:val="auto"/>
          <w:sz w:val="24"/>
          <w:szCs w:val="24"/>
        </w:rPr>
        <w:t>……</w:t>
      </w:r>
    </w:p>
    <w:p w14:paraId="740528AA">
      <w:pPr>
        <w:pStyle w:val="14"/>
        <w:spacing w:line="360" w:lineRule="auto"/>
        <w:ind w:left="25" w:leftChars="12" w:firstLine="472" w:firstLineChars="196"/>
        <w:rPr>
          <w:rFonts w:hint="eastAsia" w:hAnsi="宋体"/>
          <w:b/>
          <w:color w:val="auto"/>
          <w:sz w:val="24"/>
          <w:szCs w:val="24"/>
        </w:rPr>
      </w:pPr>
      <w:r>
        <w:rPr>
          <w:rFonts w:hint="eastAsia" w:hAnsi="宋体"/>
          <w:b/>
          <w:color w:val="auto"/>
          <w:sz w:val="24"/>
          <w:szCs w:val="24"/>
        </w:rPr>
        <w:t>五、与投诉事项相关的投诉请求：</w:t>
      </w:r>
    </w:p>
    <w:p w14:paraId="40045FA3">
      <w:pPr>
        <w:pStyle w:val="14"/>
        <w:spacing w:line="360" w:lineRule="auto"/>
        <w:ind w:left="25" w:leftChars="12" w:firstLine="472" w:firstLineChars="197"/>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655B6598">
      <w:pPr>
        <w:pStyle w:val="14"/>
        <w:spacing w:line="360" w:lineRule="auto"/>
        <w:ind w:left="25" w:leftChars="12" w:firstLine="352" w:firstLineChars="147"/>
        <w:rPr>
          <w:rFonts w:hint="eastAsia" w:hAnsi="宋体"/>
          <w:color w:val="auto"/>
          <w:sz w:val="24"/>
          <w:szCs w:val="24"/>
        </w:rPr>
      </w:pPr>
    </w:p>
    <w:p w14:paraId="02A10989">
      <w:pPr>
        <w:pStyle w:val="14"/>
        <w:spacing w:line="360" w:lineRule="auto"/>
        <w:ind w:left="25" w:leftChars="12" w:firstLine="472" w:firstLineChars="197"/>
        <w:rPr>
          <w:rFonts w:hint="eastAsia" w:hAnsi="宋体"/>
          <w:color w:val="auto"/>
          <w:sz w:val="24"/>
          <w:szCs w:val="24"/>
        </w:rPr>
      </w:pPr>
      <w:r>
        <w:rPr>
          <w:rFonts w:hint="eastAsia" w:hAnsi="宋体"/>
          <w:color w:val="auto"/>
          <w:sz w:val="24"/>
          <w:szCs w:val="24"/>
        </w:rPr>
        <w:t>签字（签章）：                                       公章：</w:t>
      </w:r>
    </w:p>
    <w:p w14:paraId="296B80AD">
      <w:pPr>
        <w:pStyle w:val="14"/>
        <w:spacing w:line="360" w:lineRule="auto"/>
        <w:ind w:left="25" w:leftChars="12" w:firstLine="352" w:firstLineChars="147"/>
        <w:rPr>
          <w:rFonts w:hint="eastAsia" w:hAnsi="宋体"/>
          <w:color w:val="auto"/>
          <w:sz w:val="24"/>
          <w:szCs w:val="24"/>
        </w:rPr>
      </w:pPr>
    </w:p>
    <w:p w14:paraId="682E74AE">
      <w:pPr>
        <w:pStyle w:val="14"/>
        <w:spacing w:line="360" w:lineRule="auto"/>
        <w:ind w:left="25" w:leftChars="12" w:firstLine="472" w:firstLineChars="197"/>
        <w:rPr>
          <w:rFonts w:hint="eastAsia" w:hAnsi="宋体"/>
          <w:color w:val="auto"/>
          <w:sz w:val="24"/>
          <w:szCs w:val="24"/>
        </w:rPr>
      </w:pPr>
      <w:r>
        <w:rPr>
          <w:rFonts w:hint="eastAsia" w:hAnsi="宋体"/>
          <w:color w:val="auto"/>
          <w:sz w:val="24"/>
          <w:szCs w:val="24"/>
        </w:rPr>
        <w:t>日期：</w:t>
      </w:r>
    </w:p>
    <w:p w14:paraId="48CE7A75">
      <w:pPr>
        <w:pStyle w:val="14"/>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 xml:space="preserve">                                                                                 </w:t>
      </w:r>
    </w:p>
    <w:p w14:paraId="150D3A95">
      <w:pPr>
        <w:pStyle w:val="14"/>
        <w:snapToGrid w:val="0"/>
        <w:spacing w:line="360" w:lineRule="auto"/>
        <w:rPr>
          <w:rFonts w:hint="eastAsia" w:hAnsi="宋体"/>
          <w:b/>
          <w:color w:val="auto"/>
          <w:sz w:val="24"/>
          <w:szCs w:val="24"/>
        </w:rPr>
      </w:pPr>
      <w:r>
        <w:rPr>
          <w:rFonts w:hint="eastAsia" w:hAnsi="宋体"/>
          <w:b/>
          <w:color w:val="auto"/>
          <w:sz w:val="24"/>
          <w:szCs w:val="24"/>
        </w:rPr>
        <w:t>说明：</w:t>
      </w:r>
    </w:p>
    <w:p w14:paraId="1F4BE367">
      <w:pPr>
        <w:pStyle w:val="14"/>
        <w:spacing w:line="360" w:lineRule="auto"/>
        <w:ind w:left="25" w:leftChars="12" w:firstLine="354" w:firstLineChars="147"/>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34DE072D">
      <w:pPr>
        <w:pStyle w:val="14"/>
        <w:spacing w:line="360" w:lineRule="auto"/>
        <w:ind w:left="25" w:leftChars="12" w:firstLine="354" w:firstLineChars="147"/>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C91DB8">
      <w:pPr>
        <w:pStyle w:val="14"/>
        <w:spacing w:line="360" w:lineRule="auto"/>
        <w:ind w:left="25" w:leftChars="12" w:firstLine="354" w:firstLineChars="147"/>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14:paraId="3D51840A">
      <w:pPr>
        <w:pStyle w:val="14"/>
        <w:spacing w:line="360" w:lineRule="auto"/>
        <w:ind w:left="25" w:leftChars="12" w:firstLine="354" w:firstLineChars="147"/>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14:paraId="3987282D">
      <w:pPr>
        <w:pStyle w:val="14"/>
        <w:spacing w:line="360" w:lineRule="auto"/>
        <w:ind w:left="25" w:leftChars="12" w:firstLine="354" w:firstLineChars="147"/>
        <w:rPr>
          <w:rFonts w:hint="eastAsia" w:hAnsi="宋体"/>
          <w:b/>
          <w:color w:val="auto"/>
          <w:sz w:val="24"/>
          <w:szCs w:val="24"/>
        </w:rPr>
      </w:pPr>
      <w:r>
        <w:rPr>
          <w:rFonts w:hint="eastAsia" w:hAnsi="宋体"/>
          <w:b/>
          <w:color w:val="auto"/>
          <w:sz w:val="24"/>
          <w:szCs w:val="24"/>
        </w:rPr>
        <w:t>5.投诉书的投诉请求应与投诉事项相关。</w:t>
      </w:r>
    </w:p>
    <w:p w14:paraId="11E14152">
      <w:pPr>
        <w:pStyle w:val="14"/>
        <w:spacing w:line="360" w:lineRule="auto"/>
        <w:ind w:left="25" w:leftChars="12" w:firstLine="354" w:firstLineChars="147"/>
        <w:rPr>
          <w:rFonts w:hint="eastAsia" w:hAnsi="宋体"/>
          <w:b/>
          <w:color w:val="auto"/>
        </w:rPr>
      </w:pPr>
      <w:r>
        <w:rPr>
          <w:rFonts w:hint="eastAsia" w:hAnsi="宋体"/>
          <w:b/>
          <w:color w:val="auto"/>
          <w:sz w:val="24"/>
          <w:szCs w:val="24"/>
        </w:rPr>
        <w:t>6.投诉人为法人或者其他组织的，投诉书应由法定代表人/负责人、主要负责人，或者其授权代表签字或者盖章，并加盖公章。</w:t>
      </w:r>
    </w:p>
    <w:p w14:paraId="106745DA">
      <w:pPr>
        <w:pStyle w:val="2"/>
        <w:jc w:val="center"/>
        <w:rPr>
          <w:rFonts w:hint="eastAsia"/>
          <w:color w:val="auto"/>
        </w:rPr>
      </w:pPr>
    </w:p>
    <w:p w14:paraId="7099BDFE">
      <w:pPr>
        <w:pStyle w:val="2"/>
        <w:jc w:val="center"/>
        <w:rPr>
          <w:rFonts w:hint="eastAsia"/>
          <w:color w:val="auto"/>
        </w:rPr>
      </w:pPr>
    </w:p>
    <w:p w14:paraId="13F82156">
      <w:pPr>
        <w:pStyle w:val="2"/>
        <w:jc w:val="center"/>
        <w:rPr>
          <w:rFonts w:hint="eastAsia"/>
          <w:color w:val="auto"/>
        </w:rPr>
      </w:pPr>
    </w:p>
    <w:p w14:paraId="3591999A">
      <w:pPr>
        <w:pStyle w:val="2"/>
        <w:jc w:val="center"/>
        <w:rPr>
          <w:rFonts w:hint="eastAsia"/>
          <w:color w:val="auto"/>
        </w:rPr>
      </w:pPr>
    </w:p>
    <w:p w14:paraId="560355C5">
      <w:pPr>
        <w:pStyle w:val="2"/>
        <w:jc w:val="center"/>
        <w:rPr>
          <w:rFonts w:hint="eastAsia"/>
          <w:color w:val="auto"/>
        </w:rPr>
      </w:pPr>
      <w:bookmarkStart w:id="26" w:name="_Toc27541"/>
      <w:r>
        <w:rPr>
          <w:rFonts w:hint="eastAsia"/>
          <w:color w:val="auto"/>
        </w:rPr>
        <w:t>第六章 合同文本</w:t>
      </w:r>
      <w:bookmarkEnd w:id="26"/>
    </w:p>
    <w:p w14:paraId="65B3B86E">
      <w:pPr>
        <w:jc w:val="center"/>
        <w:rPr>
          <w:rFonts w:ascii="宋体" w:hAnsi="宋体" w:cs="Courier New"/>
          <w:b/>
          <w:color w:val="auto"/>
          <w:sz w:val="32"/>
          <w:szCs w:val="32"/>
        </w:rPr>
      </w:pPr>
      <w:r>
        <w:rPr>
          <w:rFonts w:ascii="宋体" w:hAnsi="宋体" w:cs="Courier New"/>
          <w:b/>
          <w:color w:val="auto"/>
          <w:sz w:val="32"/>
          <w:szCs w:val="32"/>
        </w:rPr>
        <w:br w:type="page"/>
      </w:r>
      <w:bookmarkStart w:id="27" w:name="_Toc74322013"/>
    </w:p>
    <w:p w14:paraId="7423D669">
      <w:pPr>
        <w:jc w:val="center"/>
        <w:rPr>
          <w:rFonts w:ascii="宋体" w:hAnsi="宋体" w:cs="Courier New"/>
          <w:b/>
          <w:color w:val="auto"/>
          <w:sz w:val="32"/>
          <w:szCs w:val="32"/>
          <w:highlight w:val="none"/>
        </w:rPr>
      </w:pPr>
    </w:p>
    <w:p w14:paraId="2345FA33">
      <w:pPr>
        <w:jc w:val="center"/>
        <w:rPr>
          <w:rFonts w:ascii="宋体" w:hAnsi="宋体" w:cs="Courier New"/>
          <w:b/>
          <w:color w:val="auto"/>
          <w:sz w:val="32"/>
          <w:szCs w:val="32"/>
          <w:highlight w:val="none"/>
        </w:rPr>
      </w:pPr>
    </w:p>
    <w:p w14:paraId="6715CDCD">
      <w:pPr>
        <w:jc w:val="center"/>
        <w:rPr>
          <w:b/>
          <w:color w:val="auto"/>
          <w:sz w:val="72"/>
          <w:szCs w:val="72"/>
          <w:highlight w:val="none"/>
        </w:rPr>
      </w:pPr>
      <w:r>
        <w:rPr>
          <w:rFonts w:hint="eastAsia"/>
          <w:b/>
          <w:color w:val="auto"/>
          <w:sz w:val="72"/>
          <w:szCs w:val="72"/>
          <w:highlight w:val="none"/>
        </w:rPr>
        <w:t>防城港市第一人民医院</w:t>
      </w:r>
    </w:p>
    <w:p w14:paraId="5B67AFAF">
      <w:pPr>
        <w:jc w:val="center"/>
        <w:rPr>
          <w:b/>
          <w:color w:val="auto"/>
          <w:sz w:val="72"/>
          <w:szCs w:val="72"/>
          <w:highlight w:val="none"/>
        </w:rPr>
      </w:pPr>
    </w:p>
    <w:p w14:paraId="07132648">
      <w:pPr>
        <w:rPr>
          <w:b/>
          <w:color w:val="auto"/>
          <w:sz w:val="72"/>
          <w:szCs w:val="72"/>
          <w:highlight w:val="none"/>
        </w:rPr>
      </w:pPr>
    </w:p>
    <w:p w14:paraId="6E82512F">
      <w:pPr>
        <w:jc w:val="center"/>
        <w:rPr>
          <w:b/>
          <w:color w:val="auto"/>
          <w:sz w:val="72"/>
          <w:szCs w:val="72"/>
          <w:highlight w:val="none"/>
        </w:rPr>
      </w:pPr>
      <w:r>
        <w:rPr>
          <w:rFonts w:hint="eastAsia"/>
          <w:b/>
          <w:color w:val="auto"/>
          <w:sz w:val="72"/>
          <w:szCs w:val="72"/>
          <w:highlight w:val="none"/>
        </w:rPr>
        <w:t>政府采购合同书</w:t>
      </w:r>
    </w:p>
    <w:p w14:paraId="24E3C48D">
      <w:pPr>
        <w:rPr>
          <w:color w:val="auto"/>
          <w:highlight w:val="none"/>
        </w:rPr>
      </w:pPr>
    </w:p>
    <w:p w14:paraId="6F52088A">
      <w:pPr>
        <w:rPr>
          <w:color w:val="auto"/>
          <w:szCs w:val="20"/>
          <w:highlight w:val="none"/>
        </w:rPr>
      </w:pPr>
    </w:p>
    <w:p w14:paraId="4F9F5C3D">
      <w:pPr>
        <w:rPr>
          <w:color w:val="auto"/>
          <w:szCs w:val="20"/>
          <w:highlight w:val="none"/>
        </w:rPr>
      </w:pPr>
    </w:p>
    <w:p w14:paraId="2A95CA74">
      <w:pPr>
        <w:rPr>
          <w:color w:val="auto"/>
          <w:sz w:val="44"/>
          <w:szCs w:val="20"/>
          <w:highlight w:val="none"/>
        </w:rPr>
      </w:pPr>
    </w:p>
    <w:p w14:paraId="31A7CD03">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0A2D8CF5">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7518786A">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4D00FB99">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2D638354">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23FB2E96">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559A2F57">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01E95F91">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4B0BFF61">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012754EE">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157E5692">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552ADE59">
      <w:pPr>
        <w:spacing w:line="600" w:lineRule="exact"/>
        <w:ind w:left="2435" w:leftChars="374" w:hanging="1650" w:hangingChars="550"/>
        <w:jc w:val="left"/>
        <w:rPr>
          <w:rFonts w:hint="eastAsia" w:eastAsia="宋体"/>
          <w:color w:val="auto"/>
          <w:sz w:val="30"/>
          <w:szCs w:val="30"/>
          <w:highlight w:val="none"/>
          <w:u w:val="single"/>
          <w:lang w:eastAsia="zh-CN"/>
        </w:rPr>
      </w:pPr>
      <w:r>
        <w:rPr>
          <w:rFonts w:hint="eastAsia"/>
          <w:color w:val="auto"/>
          <w:sz w:val="30"/>
          <w:szCs w:val="30"/>
          <w:highlight w:val="none"/>
        </w:rPr>
        <w:t>项目名称：</w:t>
      </w:r>
      <w:r>
        <w:rPr>
          <w:rFonts w:hint="eastAsia" w:eastAsia="宋体"/>
          <w:color w:val="auto"/>
          <w:sz w:val="30"/>
          <w:szCs w:val="30"/>
          <w:highlight w:val="none"/>
          <w:u w:val="single"/>
          <w:lang w:eastAsia="zh-CN"/>
        </w:rPr>
        <w:t>防城港市第一人民医院安保服务及停车场管理服务采购项目</w:t>
      </w:r>
    </w:p>
    <w:p w14:paraId="43C7C472">
      <w:pPr>
        <w:spacing w:line="600" w:lineRule="exact"/>
        <w:ind w:left="2435" w:leftChars="374" w:hanging="1650" w:hangingChars="550"/>
        <w:jc w:val="left"/>
        <w:rPr>
          <w:rFonts w:hint="default" w:eastAsia="宋体"/>
          <w:color w:val="auto"/>
          <w:sz w:val="30"/>
          <w:szCs w:val="30"/>
          <w:highlight w:val="none"/>
          <w:u w:val="single"/>
          <w:lang w:val="en-US" w:eastAsia="zh-CN"/>
        </w:rPr>
      </w:pPr>
      <w:r>
        <w:rPr>
          <w:rFonts w:hint="eastAsia"/>
          <w:color w:val="auto"/>
          <w:sz w:val="30"/>
          <w:szCs w:val="30"/>
          <w:highlight w:val="none"/>
        </w:rPr>
        <w:t>项目编号：</w:t>
      </w:r>
      <w:r>
        <w:rPr>
          <w:rFonts w:hint="eastAsia" w:ascii="Times New Roman" w:eastAsia="宋体"/>
          <w:color w:val="auto"/>
          <w:sz w:val="30"/>
          <w:szCs w:val="30"/>
          <w:highlight w:val="none"/>
          <w:u w:val="single"/>
          <w:lang w:val="en-US" w:eastAsia="zh-CN"/>
        </w:rPr>
        <w:t xml:space="preserve">                      </w:t>
      </w:r>
    </w:p>
    <w:p w14:paraId="192BA237">
      <w:pPr>
        <w:spacing w:line="600" w:lineRule="exact"/>
        <w:ind w:firstLine="750" w:firstLineChars="250"/>
        <w:jc w:val="left"/>
        <w:rPr>
          <w:color w:val="auto"/>
          <w:sz w:val="30"/>
          <w:szCs w:val="30"/>
          <w:highlight w:val="none"/>
        </w:rPr>
      </w:pPr>
      <w:r>
        <w:rPr>
          <w:rFonts w:hint="eastAsia"/>
          <w:color w:val="auto"/>
          <w:sz w:val="30"/>
          <w:szCs w:val="30"/>
          <w:highlight w:val="none"/>
        </w:rPr>
        <w:t>甲方（采购人）：</w:t>
      </w:r>
      <w:r>
        <w:rPr>
          <w:rFonts w:hint="eastAsia"/>
          <w:color w:val="auto"/>
          <w:sz w:val="30"/>
          <w:szCs w:val="30"/>
          <w:highlight w:val="none"/>
          <w:u w:val="single"/>
        </w:rPr>
        <w:t>防城港市第一人民医院</w:t>
      </w:r>
    </w:p>
    <w:p w14:paraId="6676B39A">
      <w:pPr>
        <w:spacing w:line="600" w:lineRule="exact"/>
        <w:ind w:firstLine="750" w:firstLineChars="250"/>
        <w:jc w:val="left"/>
        <w:rPr>
          <w:rFonts w:hint="eastAsia"/>
          <w:color w:val="auto"/>
          <w:sz w:val="30"/>
          <w:szCs w:val="30"/>
          <w:highlight w:val="none"/>
        </w:rPr>
      </w:pPr>
      <w:r>
        <w:rPr>
          <w:rFonts w:hint="eastAsia"/>
          <w:color w:val="auto"/>
          <w:sz w:val="30"/>
          <w:szCs w:val="30"/>
          <w:highlight w:val="none"/>
        </w:rPr>
        <w:t>乙方（成交供应商）：</w:t>
      </w:r>
      <w:r>
        <w:rPr>
          <w:rFonts w:hint="eastAsia" w:ascii="Times New Roman" w:eastAsia="宋体"/>
          <w:color w:val="auto"/>
          <w:sz w:val="30"/>
          <w:szCs w:val="30"/>
          <w:highlight w:val="none"/>
          <w:u w:val="single"/>
          <w:lang w:val="en-US" w:eastAsia="zh-CN"/>
        </w:rPr>
        <w:t xml:space="preserve">                      </w:t>
      </w:r>
    </w:p>
    <w:p w14:paraId="03D376CB">
      <w:pPr>
        <w:spacing w:line="600" w:lineRule="exact"/>
        <w:ind w:firstLine="2250" w:firstLineChars="750"/>
        <w:jc w:val="left"/>
        <w:rPr>
          <w:rFonts w:hint="default" w:eastAsia="宋体"/>
          <w:color w:val="auto"/>
          <w:sz w:val="30"/>
          <w:szCs w:val="30"/>
          <w:highlight w:val="none"/>
          <w:lang w:val="en-US" w:eastAsia="zh-CN"/>
        </w:rPr>
      </w:pPr>
      <w:r>
        <w:rPr>
          <w:rFonts w:hint="eastAsia"/>
          <w:color w:val="auto"/>
          <w:sz w:val="30"/>
          <w:szCs w:val="30"/>
          <w:highlight w:val="none"/>
        </w:rPr>
        <w:t>日期：</w:t>
      </w:r>
      <w:r>
        <w:rPr>
          <w:rFonts w:hint="eastAsia" w:ascii="Times New Roman" w:eastAsia="宋体"/>
          <w:color w:val="auto"/>
          <w:sz w:val="30"/>
          <w:szCs w:val="30"/>
          <w:highlight w:val="none"/>
          <w:lang w:val="en-US" w:eastAsia="zh-CN"/>
        </w:rPr>
        <w:t xml:space="preserve">  </w:t>
      </w:r>
      <w:r>
        <w:rPr>
          <w:rFonts w:hint="eastAsia"/>
          <w:color w:val="auto"/>
          <w:sz w:val="30"/>
          <w:szCs w:val="30"/>
          <w:highlight w:val="none"/>
        </w:rPr>
        <w:t>年</w:t>
      </w:r>
      <w:r>
        <w:rPr>
          <w:rFonts w:hint="eastAsia" w:ascii="Times New Roman" w:eastAsia="宋体"/>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日</w:t>
      </w:r>
    </w:p>
    <w:p w14:paraId="3AD3C064">
      <w:pPr>
        <w:snapToGrid w:val="0"/>
        <w:spacing w:line="500" w:lineRule="exact"/>
        <w:ind w:right="482"/>
        <w:jc w:val="center"/>
        <w:rPr>
          <w:rFonts w:ascii="宋体" w:hAnsi="宋体"/>
          <w:b/>
          <w:bCs/>
          <w:color w:val="auto"/>
          <w:sz w:val="32"/>
          <w:szCs w:val="32"/>
          <w:highlight w:val="none"/>
        </w:rPr>
      </w:pPr>
    </w:p>
    <w:p w14:paraId="42979AB8">
      <w:pPr>
        <w:pStyle w:val="10"/>
        <w:rPr>
          <w:rFonts w:ascii="宋体" w:hAnsi="宋体"/>
          <w:b/>
          <w:bCs/>
          <w:color w:val="auto"/>
          <w:sz w:val="32"/>
          <w:szCs w:val="32"/>
          <w:highlight w:val="none"/>
        </w:rPr>
      </w:pPr>
    </w:p>
    <w:p w14:paraId="22077265">
      <w:pPr>
        <w:pStyle w:val="2"/>
        <w:spacing w:line="440" w:lineRule="exact"/>
        <w:jc w:val="center"/>
        <w:rPr>
          <w:rFonts w:hint="eastAsia" w:eastAsia="宋体"/>
          <w:color w:val="auto"/>
          <w:sz w:val="32"/>
          <w:szCs w:val="32"/>
          <w:highlight w:val="none"/>
          <w:lang w:eastAsia="zh-CN"/>
        </w:rPr>
      </w:pPr>
      <w:r>
        <w:rPr>
          <w:rFonts w:hint="eastAsia"/>
          <w:color w:val="auto"/>
          <w:sz w:val="32"/>
          <w:szCs w:val="32"/>
          <w:highlight w:val="none"/>
          <w:lang w:eastAsia="zh-CN"/>
        </w:rPr>
        <w:t>防城港市第一人民医院安保服务及停车场管理服务采购项目</w:t>
      </w:r>
    </w:p>
    <w:p w14:paraId="4BCFF3F8">
      <w:pPr>
        <w:pStyle w:val="2"/>
        <w:spacing w:line="440" w:lineRule="exact"/>
        <w:jc w:val="center"/>
        <w:rPr>
          <w:color w:val="auto"/>
          <w:sz w:val="32"/>
          <w:szCs w:val="32"/>
          <w:highlight w:val="none"/>
        </w:rPr>
      </w:pPr>
      <w:r>
        <w:rPr>
          <w:rFonts w:hint="eastAsia"/>
          <w:color w:val="auto"/>
          <w:sz w:val="32"/>
          <w:szCs w:val="32"/>
          <w:highlight w:val="none"/>
        </w:rPr>
        <w:t>采购合同</w:t>
      </w:r>
      <w:bookmarkEnd w:id="27"/>
    </w:p>
    <w:p w14:paraId="712FE03D">
      <w:pPr>
        <w:spacing w:line="360" w:lineRule="auto"/>
        <w:ind w:right="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采购计划号：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917105">
      <w:pPr>
        <w:spacing w:line="360" w:lineRule="auto"/>
        <w:ind w:right="8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合同编号：</w:t>
      </w:r>
      <w:r>
        <w:rPr>
          <w:rFonts w:hint="eastAsia" w:ascii="宋体" w:hAnsi="宋体" w:eastAsia="宋体" w:cs="宋体"/>
          <w:color w:val="auto"/>
          <w:sz w:val="24"/>
          <w:szCs w:val="24"/>
          <w:highlight w:val="none"/>
          <w:u w:val="single"/>
          <w:lang w:val="en-US" w:eastAsia="zh-CN"/>
        </w:rPr>
        <w:t xml:space="preserve">                  </w:t>
      </w:r>
    </w:p>
    <w:p w14:paraId="5F2425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5D7247F1">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lang w:val="en-US" w:eastAsia="zh-CN"/>
        </w:rPr>
        <w:t xml:space="preserve">                 </w:t>
      </w:r>
    </w:p>
    <w:p w14:paraId="47DB48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5FF552D">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59DE50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防城港市第一人民医院</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1F2AF2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年   月   日</w:t>
      </w:r>
      <w:r>
        <w:rPr>
          <w:rFonts w:hint="eastAsia" w:ascii="宋体" w:hAnsi="宋体" w:eastAsia="宋体" w:cs="宋体"/>
          <w:color w:val="auto"/>
          <w:sz w:val="24"/>
          <w:szCs w:val="24"/>
          <w:highlight w:val="none"/>
          <w:u w:val="single"/>
        </w:rPr>
        <w:t xml:space="preserve"> </w:t>
      </w:r>
    </w:p>
    <w:p w14:paraId="412AC5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本合同为中小企业预留合同：</w:t>
      </w:r>
      <w:r>
        <w:rPr>
          <w:rFonts w:hint="eastAsia" w:ascii="宋体" w:hAnsi="宋体" w:eastAsia="宋体" w:cs="宋体"/>
          <w:color w:val="auto"/>
          <w:sz w:val="24"/>
          <w:szCs w:val="24"/>
          <w:highlight w:val="none"/>
          <w:u w:val="single"/>
        </w:rPr>
        <w:t>是</w:t>
      </w:r>
    </w:p>
    <w:p w14:paraId="2B7845F7">
      <w:pPr>
        <w:widowControl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供应商属于</w:t>
      </w:r>
      <w:r>
        <w:rPr>
          <w:rFonts w:hint="eastAsia" w:ascii="宋体" w:hAnsi="宋体" w:eastAsia="宋体" w:cs="宋体"/>
          <w:color w:val="auto"/>
          <w:kern w:val="2"/>
          <w:sz w:val="24"/>
          <w:szCs w:val="24"/>
          <w:highlight w:val="none"/>
          <w:u w:val="single"/>
          <w:lang w:val="en-US" w:eastAsia="zh-CN" w:bidi="ar-SA"/>
        </w:rPr>
        <w:t xml:space="preserve">□大型  □中型  □小型   □微型 </w:t>
      </w:r>
      <w:r>
        <w:rPr>
          <w:rFonts w:hint="eastAsia" w:ascii="宋体" w:hAnsi="宋体" w:eastAsia="宋体" w:cs="宋体"/>
          <w:color w:val="auto"/>
          <w:kern w:val="2"/>
          <w:sz w:val="24"/>
          <w:szCs w:val="24"/>
          <w:highlight w:val="none"/>
          <w:lang w:val="en-US" w:eastAsia="zh-CN" w:bidi="ar-SA"/>
        </w:rPr>
        <w:t>企业</w:t>
      </w:r>
    </w:p>
    <w:p w14:paraId="395F172B">
      <w:pPr>
        <w:spacing w:line="400" w:lineRule="exact"/>
        <w:ind w:firstLine="480" w:firstLineChars="200"/>
        <w:rPr>
          <w:rFonts w:hint="eastAsia" w:ascii="宋体" w:hAnsi="宋体" w:eastAsia="宋体" w:cs="宋体"/>
          <w:color w:val="auto"/>
          <w:sz w:val="24"/>
          <w:szCs w:val="24"/>
          <w:highlight w:val="none"/>
        </w:rPr>
      </w:pPr>
    </w:p>
    <w:p w14:paraId="484693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根据《中华人民共和国政府采购法》、《中华人民共和国民法典》等法律、法规规定，按照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文件规定条款和乙方响应文件及其承诺，甲乙双方签订本合同。</w:t>
      </w:r>
    </w:p>
    <w:p w14:paraId="741DF0A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合同标的</w:t>
      </w:r>
    </w:p>
    <w:p w14:paraId="463A59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1、项目一览表</w:t>
      </w:r>
    </w:p>
    <w:tbl>
      <w:tblPr>
        <w:tblStyle w:val="2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208"/>
        <w:gridCol w:w="900"/>
        <w:gridCol w:w="1455"/>
        <w:gridCol w:w="2233"/>
      </w:tblGrid>
      <w:tr w14:paraId="3F2E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9F3DF32">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46B443C">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8F00813">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A60DC6F">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8F003E6">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5D69BCA9">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7A5D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4E175B5">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A10E828">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防城港市第一人民医院安保服务及停车场管理服务采购项目</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74FA6310">
            <w:pPr>
              <w:spacing w:line="360" w:lineRule="auto"/>
              <w:contextualSpacing/>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ECD97CA">
            <w:pPr>
              <w:spacing w:line="360" w:lineRule="auto"/>
              <w:contextualSpacing/>
              <w:jc w:val="center"/>
              <w:rPr>
                <w:rFonts w:hint="eastAsia" w:ascii="宋体" w:hAnsi="宋体" w:eastAsia="宋体" w:cs="宋体"/>
                <w:color w:val="auto"/>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23483CE">
            <w:pPr>
              <w:spacing w:line="360" w:lineRule="auto"/>
              <w:contextualSpacing/>
              <w:jc w:val="center"/>
              <w:rPr>
                <w:rFonts w:hint="eastAsia" w:ascii="宋体" w:hAnsi="宋体" w:eastAsia="宋体" w:cs="宋体"/>
                <w:color w:val="auto"/>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noWrap w:val="0"/>
            <w:vAlign w:val="center"/>
          </w:tcPr>
          <w:p w14:paraId="15819010">
            <w:pPr>
              <w:spacing w:line="360" w:lineRule="auto"/>
              <w:contextualSpacing/>
              <w:jc w:val="center"/>
              <w:rPr>
                <w:rFonts w:hint="eastAsia" w:ascii="宋体" w:hAnsi="宋体" w:eastAsia="宋体" w:cs="宋体"/>
                <w:color w:val="auto"/>
                <w:sz w:val="24"/>
                <w:szCs w:val="24"/>
                <w:highlight w:val="none"/>
              </w:rPr>
            </w:pPr>
          </w:p>
        </w:tc>
      </w:tr>
      <w:tr w14:paraId="5283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14:paraId="7A78BB3B">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合计金额大写：</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tc>
      </w:tr>
    </w:tbl>
    <w:p w14:paraId="5ECA758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b/>
          <w:bCs/>
          <w:color w:val="auto"/>
          <w:sz w:val="24"/>
          <w:szCs w:val="24"/>
          <w:highlight w:val="none"/>
        </w:rPr>
        <w:t>本项目的服务费</w:t>
      </w:r>
    </w:p>
    <w:p w14:paraId="22DBD2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1、对所竞标项目的全部内容进行报价。</w:t>
      </w:r>
    </w:p>
    <w:p w14:paraId="531404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服务人员的年度工资预算（员工工作时间应该遵守市每月最高工作时间的相关规定；工资不得低于甚至应该高于防城港市最低工资标准；所有工作人员必须交纳包括养老、工伤、失业、生育、医疗等在内的社会保险；法定节假日加班按照国家规定计算并支付的超时工资和加班工资等；夏季高温费等)。</w:t>
      </w:r>
    </w:p>
    <w:p w14:paraId="36A233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本招标发生的所有含税费用、支付给员工的工资和国家强制缴纳的各种社会保障资金，以及为完成本项目采购所有项目可能发生的费用，谈判供应商必须提供各单项人员工资组成明细、配置工具、设备明细表，提供各项物耗明细表。报价还应考虑采购文件合同专用条款和其他要求条款中注明的相关内容可能产生的费用。</w:t>
      </w:r>
    </w:p>
    <w:p w14:paraId="15B8FA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文件中列明的项目外还应包括保障该项目服务正常运行应当具有的物资和服务，对项目服务正常运行应当具有的物资和服务理解不一致的以采购人理解为准。谈判供应商的任何错漏、优惠、竞争性报价不得作为减轻责任、减少服务、增加收费、降低质量的理由。</w:t>
      </w:r>
    </w:p>
    <w:p w14:paraId="6C71399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、医院停车场管理由</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供应商按照《防城港市第一人民医院停车场管理服务方案》进行自收自支，医院不负责收费岗位人员劳动报酬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成交供应商须向采购人支付停车场管理费，管理费收取比例为停车场收入的5%。管理费在每个月进行财务结算后的5个工作日内支付至采购人指定账户。</w:t>
      </w:r>
      <w:r>
        <w:rPr>
          <w:rFonts w:hint="eastAsia" w:ascii="宋体" w:hAnsi="宋体" w:cs="宋体"/>
          <w:color w:val="auto"/>
          <w:sz w:val="24"/>
          <w:szCs w:val="24"/>
          <w:highlight w:val="none"/>
          <w:lang w:eastAsia="zh-CN"/>
        </w:rPr>
        <w:t>供应商在承包期内应保护、维护院区停车收费系统和岗亭等设备设施，负责停车场的场地修缮、监控维护、路网隔离器材的更换。</w:t>
      </w:r>
    </w:p>
    <w:p w14:paraId="5BC941D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服务期限及服务地点</w:t>
      </w:r>
    </w:p>
    <w:p w14:paraId="038EC8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1、服务期限：1年（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月      日</w:t>
      </w:r>
      <w:r>
        <w:rPr>
          <w:rFonts w:hint="eastAsia" w:ascii="宋体" w:hAnsi="宋体" w:eastAsia="宋体" w:cs="宋体"/>
          <w:color w:val="auto"/>
          <w:sz w:val="24"/>
          <w:szCs w:val="24"/>
          <w:highlight w:val="none"/>
          <w:u w:val="single"/>
        </w:rPr>
        <w:t xml:space="preserve">  起至  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月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日 </w:t>
      </w:r>
      <w:r>
        <w:rPr>
          <w:rFonts w:hint="eastAsia" w:ascii="宋体" w:hAnsi="宋体" w:eastAsia="宋体" w:cs="宋体"/>
          <w:color w:val="auto"/>
          <w:sz w:val="24"/>
          <w:szCs w:val="24"/>
          <w:highlight w:val="none"/>
        </w:rPr>
        <w:t>），</w:t>
      </w:r>
    </w:p>
    <w:p w14:paraId="023E9E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w:t>
      </w:r>
      <w:r>
        <w:rPr>
          <w:rFonts w:hint="eastAsia" w:ascii="宋体" w:hAnsi="宋体" w:eastAsia="宋体" w:cs="宋体"/>
          <w:color w:val="auto"/>
          <w:sz w:val="24"/>
          <w:szCs w:val="24"/>
          <w:highlight w:val="none"/>
          <w:u w:val="single"/>
        </w:rPr>
        <w:t>防城港市采购人指定地点</w:t>
      </w:r>
      <w:r>
        <w:rPr>
          <w:rFonts w:hint="eastAsia" w:ascii="宋体" w:hAnsi="宋体" w:eastAsia="宋体" w:cs="宋体"/>
          <w:color w:val="auto"/>
          <w:sz w:val="24"/>
          <w:szCs w:val="24"/>
          <w:highlight w:val="none"/>
        </w:rPr>
        <w:t>。</w:t>
      </w:r>
    </w:p>
    <w:p w14:paraId="3C51142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　双方的权利与义务</w:t>
      </w:r>
    </w:p>
    <w:p w14:paraId="479998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（一）甲方的权利义务 </w:t>
      </w:r>
    </w:p>
    <w:p w14:paraId="652B83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1.甲方按现有条件将采购人范围内的保安服务工作承包给乙方。</w:t>
      </w:r>
    </w:p>
    <w:p w14:paraId="58BBCB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2.甲方按月支付乙方保安费用。</w:t>
      </w:r>
    </w:p>
    <w:p w14:paraId="19C332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3.甲方在合同期间，对乙方工作进行监督、检查和指导，有权对保安员的工作进行考核、指导、监督、批评教育。</w:t>
      </w:r>
    </w:p>
    <w:p w14:paraId="682B99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4.甲方如发现乙方未严格履行协议规定，有权要求乙方限期整改；如乙方在整改限期内</w:t>
      </w:r>
      <w:r>
        <w:rPr>
          <w:rFonts w:hint="eastAsia" w:ascii="宋体" w:hAnsi="宋体" w:eastAsia="宋体" w:cs="宋体"/>
          <w:color w:val="auto"/>
          <w:sz w:val="24"/>
          <w:szCs w:val="24"/>
          <w:highlight w:val="none"/>
          <w:lang w:eastAsia="zh-CN"/>
        </w:rPr>
        <w:t>仍</w:t>
      </w:r>
      <w:r>
        <w:rPr>
          <w:rFonts w:hint="eastAsia" w:ascii="宋体" w:hAnsi="宋体" w:eastAsia="宋体" w:cs="宋体"/>
          <w:color w:val="auto"/>
          <w:sz w:val="24"/>
          <w:szCs w:val="24"/>
          <w:highlight w:val="none"/>
        </w:rPr>
        <w:t>不能达到协议规定的</w:t>
      </w:r>
      <w:r>
        <w:rPr>
          <w:rFonts w:hint="eastAsia" w:ascii="宋体" w:hAnsi="宋体" w:eastAsia="宋体" w:cs="宋体"/>
          <w:color w:val="auto"/>
          <w:sz w:val="24"/>
          <w:szCs w:val="24"/>
          <w:highlight w:val="none"/>
          <w:lang w:eastAsia="zh-CN"/>
        </w:rPr>
        <w:t>服务质量</w:t>
      </w:r>
      <w:r>
        <w:rPr>
          <w:rFonts w:hint="eastAsia" w:ascii="宋体" w:hAnsi="宋体" w:eastAsia="宋体" w:cs="宋体"/>
          <w:color w:val="auto"/>
          <w:sz w:val="24"/>
          <w:szCs w:val="24"/>
          <w:highlight w:val="none"/>
        </w:rPr>
        <w:t>要求和标准</w:t>
      </w:r>
      <w:r>
        <w:rPr>
          <w:rFonts w:hint="eastAsia" w:ascii="宋体" w:hAnsi="宋体" w:eastAsia="宋体" w:cs="宋体"/>
          <w:color w:val="auto"/>
          <w:sz w:val="24"/>
          <w:szCs w:val="24"/>
          <w:highlight w:val="none"/>
          <w:lang w:eastAsia="zh-CN"/>
        </w:rPr>
        <w:t>，考核成绩低于</w:t>
      </w:r>
      <w:r>
        <w:rPr>
          <w:rFonts w:hint="eastAsia" w:ascii="宋体" w:hAnsi="宋体" w:eastAsia="宋体" w:cs="宋体"/>
          <w:color w:val="auto"/>
          <w:sz w:val="24"/>
          <w:szCs w:val="24"/>
          <w:highlight w:val="none"/>
          <w:lang w:val="en-US" w:eastAsia="zh-CN"/>
        </w:rPr>
        <w:t>80分</w:t>
      </w:r>
      <w:r>
        <w:rPr>
          <w:rFonts w:hint="eastAsia" w:ascii="宋体" w:hAnsi="宋体" w:eastAsia="宋体" w:cs="宋体"/>
          <w:color w:val="auto"/>
          <w:sz w:val="24"/>
          <w:szCs w:val="24"/>
          <w:highlight w:val="none"/>
        </w:rPr>
        <w:t>，甲方有权对乙方进行经济处罚</w:t>
      </w:r>
      <w:r>
        <w:rPr>
          <w:rFonts w:hint="eastAsia" w:ascii="宋体" w:hAnsi="宋体" w:eastAsia="宋体" w:cs="宋体"/>
          <w:color w:val="auto"/>
          <w:sz w:val="24"/>
          <w:szCs w:val="24"/>
          <w:highlight w:val="none"/>
          <w:lang w:eastAsia="zh-CN"/>
        </w:rPr>
        <w:t>贰仟元</w:t>
      </w:r>
      <w:r>
        <w:rPr>
          <w:rFonts w:hint="eastAsia" w:ascii="宋体" w:hAnsi="宋体" w:eastAsia="宋体" w:cs="宋体"/>
          <w:color w:val="auto"/>
          <w:sz w:val="24"/>
          <w:szCs w:val="24"/>
          <w:highlight w:val="none"/>
        </w:rPr>
        <w:t>，甲方再次要求整改，限期内仍不能达到协议规定的要求和标准，甲方有利</w:t>
      </w:r>
      <w:r>
        <w:rPr>
          <w:rFonts w:hint="eastAsia" w:ascii="宋体" w:hAnsi="宋体" w:eastAsia="宋体" w:cs="宋体"/>
          <w:color w:val="auto"/>
          <w:sz w:val="24"/>
          <w:szCs w:val="24"/>
          <w:highlight w:val="none"/>
          <w:lang w:eastAsia="zh-CN"/>
        </w:rPr>
        <w:t>终止合同</w:t>
      </w:r>
      <w:r>
        <w:rPr>
          <w:rFonts w:hint="eastAsia" w:ascii="宋体" w:hAnsi="宋体" w:eastAsia="宋体" w:cs="宋体"/>
          <w:color w:val="auto"/>
          <w:sz w:val="24"/>
          <w:szCs w:val="24"/>
          <w:highlight w:val="none"/>
        </w:rPr>
        <w:t>。</w:t>
      </w:r>
    </w:p>
    <w:p w14:paraId="7DDF3A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5.甲方视其条件，为保安员提供适当的工作环境和工作生活条件。</w:t>
      </w:r>
    </w:p>
    <w:p w14:paraId="165570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6.甲方有权对保安人员进行教育管理，并教育本单位职工支持配合保安员工作。</w:t>
      </w:r>
    </w:p>
    <w:p w14:paraId="100852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7.合同期间，甲方如发生突发事件，甲方应派人协助乙方的工作，并配合乙方做好善后处理工作。</w:t>
      </w:r>
    </w:p>
    <w:p w14:paraId="2E0C15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8.落实乙方责任赔偿时，甲方有权客观公正的维护乙方和当事人双方的合法权益。</w:t>
      </w:r>
    </w:p>
    <w:p w14:paraId="29568D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9.甲方有要求乙方更换不称职的工作人员的权利，有建议保留称职工作人员的权利。</w:t>
      </w:r>
    </w:p>
    <w:p w14:paraId="10FD94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10.甲方负责服务范围内各类安全设施的配套建设及日常维修；对乙方提出的合理的安全管理整改意见，甲方应给予支持和解决。</w:t>
      </w:r>
    </w:p>
    <w:p w14:paraId="011098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11.甲方应根据相关法律法规，结合实际情况，指导和督促甲方各部门及系部制定有关安全防范管理制度，做好内部安全、消防的防范管理工作。</w:t>
      </w:r>
    </w:p>
    <w:p w14:paraId="293507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12.甲方要建立健全保安员值勤、管理和评价制度，对保安员工作情况每月进行一次考核，并将考核结果逐月通报乙方。</w:t>
      </w:r>
    </w:p>
    <w:p w14:paraId="7EC31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13.甲方要于每季度末，对乙方的工作进行综合评议，并提出整改意见。</w:t>
      </w:r>
    </w:p>
    <w:p w14:paraId="3F2115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（二）乙方的权利义务</w:t>
      </w:r>
    </w:p>
    <w:p w14:paraId="51D584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1.在本合同签订之日起5日内，乙方应派遣保安员到甲方开展工作业务。</w:t>
      </w:r>
    </w:p>
    <w:p w14:paraId="7E4157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2.乙方要严格执行甲方《保安服务方案》的服务标准，坚决维护甲方的安全稳定。</w:t>
      </w:r>
    </w:p>
    <w:p w14:paraId="06F72B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3.乙方要教育督促保安员严格遵守国家的法律、法规，自觉执行甲方各项规章制度并落实本岗位职责。</w:t>
      </w:r>
    </w:p>
    <w:p w14:paraId="7D71E9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4.乙方要确保保安员在甲方领导下工作，认真做好甲方及各类安全防范工作。</w:t>
      </w:r>
    </w:p>
    <w:p w14:paraId="1A07EB6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乙方所聘保安员必须符合谈判文件的《项目需求说明》和谈判文件《服务承诺》。保安员派遣前，必须对保安员政治及家庭背景进行核实，确保无违法犯罪前科，无心理及精神疾病；对保安员进行岗前专业培训；保安员上岗后继续进行必要的教育训练和日常管理</w:t>
      </w:r>
      <w:r>
        <w:rPr>
          <w:rFonts w:hint="eastAsia" w:ascii="宋体" w:hAnsi="宋体" w:eastAsia="宋体" w:cs="宋体"/>
          <w:color w:val="auto"/>
          <w:sz w:val="24"/>
          <w:szCs w:val="24"/>
          <w:highlight w:val="none"/>
          <w:lang w:eastAsia="zh-CN"/>
        </w:rPr>
        <w:t>。</w:t>
      </w:r>
    </w:p>
    <w:p w14:paraId="3C7E64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6、乙方</w:t>
      </w:r>
      <w:r>
        <w:rPr>
          <w:rFonts w:hint="eastAsia" w:ascii="宋体" w:hAnsi="宋体" w:eastAsia="宋体" w:cs="宋体"/>
          <w:color w:val="auto"/>
          <w:sz w:val="24"/>
          <w:szCs w:val="24"/>
          <w:highlight w:val="none"/>
          <w:lang w:eastAsia="zh-CN"/>
        </w:rPr>
        <w:t>所聘的保安员</w:t>
      </w:r>
      <w:r>
        <w:rPr>
          <w:rFonts w:hint="eastAsia" w:ascii="宋体" w:hAnsi="宋体" w:eastAsia="宋体" w:cs="宋体"/>
          <w:color w:val="auto"/>
          <w:sz w:val="24"/>
          <w:szCs w:val="24"/>
          <w:highlight w:val="none"/>
        </w:rPr>
        <w:t>年满20周岁(含)以上，45周岁(含)以下（特殊情况可放宽到60周岁，但不得超过总人数的5%）具有初中(含)以上学历并取得保安员证；具备相关法律法规规定的保安人员的任职条件及合法手续；经过专业培训，持证上岗（保安证</w:t>
      </w:r>
      <w:r>
        <w:rPr>
          <w:rFonts w:hint="eastAsia" w:ascii="宋体" w:hAnsi="宋体" w:eastAsia="宋体" w:cs="宋体"/>
          <w:color w:val="auto"/>
          <w:sz w:val="24"/>
          <w:szCs w:val="24"/>
          <w:highlight w:val="none"/>
          <w:lang w:eastAsia="zh-CN"/>
        </w:rPr>
        <w:t>、消防操作员中级证</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p>
    <w:p w14:paraId="4B729E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.乙方要确保保安人员在工作中遇到甲方员工人身安全及财产受到不法侵害或交通事故、火灾事故时，能挺身而出，及时制止和处理，以减少损失，并向甲方和当地公安机关报告。</w:t>
      </w:r>
    </w:p>
    <w:p w14:paraId="3593A1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.经考核为不称职的保安，乙方应在3天内完成对其进行补训或调换；2次考核为不称职的，乙方则无条件立即调换。</w:t>
      </w:r>
    </w:p>
    <w:p w14:paraId="560883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.乙方自主经营，自负盈亏。承担保安员的工资、福利及其他社会保险等，承担承包期间所发生的债券、债务和安全责任事故、用工意外伤害等事故责任。</w:t>
      </w:r>
    </w:p>
    <w:p w14:paraId="74FEC6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.合同期间，由于乙方管理不善，或因保安员工作失职而造成甲方人身安全事故、财产损失和恶劣影响的，乙方要承担相应的责任，并负责相应的赔偿。</w:t>
      </w:r>
    </w:p>
    <w:p w14:paraId="329CDD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.乙方应制定突发事件处理预案，发生突发事件时应在第一时间赶到现场，采取应对措施处置，并及时向甲方及相关部门报告。</w:t>
      </w:r>
    </w:p>
    <w:p w14:paraId="3B29C5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.乙方在接到甲方整改通知后，应及时组织人员进行整改，并在限期内整改好，同时书面报告甲方，以便甲方复查。</w:t>
      </w:r>
    </w:p>
    <w:p w14:paraId="5CB18B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.乙方在合同期内，应每季度将承包情况书面向甲方汇报，便于甲方了解情况，及时掌握乙方和保安人员工作动态，以利共同合作。</w:t>
      </w:r>
    </w:p>
    <w:p w14:paraId="4B1E15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.乙方要为保安员提供统一工作服装和必要的警械设备以及必要的交通工具等，费用由乙方负责。</w:t>
      </w:r>
    </w:p>
    <w:p w14:paraId="0AF764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.乙方应每季度对甲方保安员集体轮换一次，轮换前需报甲方审定。</w:t>
      </w:r>
    </w:p>
    <w:p w14:paraId="742F45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.乙方必须严格遵守《中华人民共和国民法典》有关规定，保安员与乙方产生的劳动争议与甲方无关。</w:t>
      </w:r>
    </w:p>
    <w:p w14:paraId="090C3F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.合同期内，乙方必须保证自身具备项目书规定的经营资格，派遣的保安员需经专业培训，并取得上岗资格；保安人员的基本情况，需如实向甲方通报。</w:t>
      </w:r>
    </w:p>
    <w:p w14:paraId="6DD14F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.法律、法规、政策规定的其他权利和义务。</w:t>
      </w:r>
    </w:p>
    <w:p w14:paraId="378A3E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19.甲方</w:t>
      </w:r>
      <w:r>
        <w:rPr>
          <w:rFonts w:hint="eastAsia" w:ascii="宋体" w:hAnsi="宋体" w:eastAsia="宋体" w:cs="宋体"/>
          <w:color w:val="auto"/>
          <w:sz w:val="24"/>
          <w:szCs w:val="24"/>
          <w:highlight w:val="none"/>
        </w:rPr>
        <w:t>安排的临时性工作任务。</w:t>
      </w:r>
    </w:p>
    <w:p w14:paraId="656EAC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.人员岗位配置根据各院区实际情况进行调整分配，需服从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的具体安排。</w:t>
      </w:r>
    </w:p>
    <w:p w14:paraId="7C4DD3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.停车收费管理的设施设备维修维护由停车管理方负责。</w:t>
      </w:r>
    </w:p>
    <w:p w14:paraId="3AD46290">
      <w:pPr>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第五条  付款方式</w:t>
      </w:r>
    </w:p>
    <w:p w14:paraId="304A22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月按实际岗位人数及考核情况支付。服务费由采购人在签订合同后、服务期开始按月平均支付服务费给成交供应商，采购方对成交方的服务工作进行考核，将考核结果与支付的服务费用挂钩，当月结束后，在下月月初考核合格后，于当月的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号前支付上月的费用，成交方需出具税务部门认可的发票。供应商必须按月提供为保安员缴纳“五险”的合法票据复印件，如未能提供，采购方将在每月服务费中扣除五险金费用部分，不再支付保安员的五险费用。</w:t>
      </w:r>
    </w:p>
    <w:p w14:paraId="6ABE78C0">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　履约保证金</w:t>
      </w:r>
    </w:p>
    <w:p w14:paraId="35A85433">
      <w:pPr>
        <w:spacing w:line="360" w:lineRule="auto"/>
        <w:ind w:firstLine="480" w:firstLineChars="200"/>
        <w:rPr>
          <w:rFonts w:hint="eastAsia" w:ascii="宋体" w:hAnsi="宋体" w:eastAsia="宋体" w:cs="Courier New"/>
          <w:color w:val="auto"/>
          <w:szCs w:val="21"/>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履约保证金金额：成交金额的5%【根据《防城港市人民政府办公室关于印发防城港市保障中小企业款项支付工作方案的通知》（防政办发[2021]1号）文件精神，如成交供应商为小微企业的，免收履约保证金。根据《防城港市财政局关于进一步发挥政府采购政策功能促进企业发展的通知》（防财采〔2022〕12号）文件精神，如成交供应商为中型企业的，履约保证金金额为成交金额的2%】。</w:t>
      </w:r>
    </w:p>
    <w:p w14:paraId="16FDB06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履约保证金递交方式：乙方在合同签订前以银行转账、支票、汇票、本票或者银行、保险机构出具的保函等非现金方式递交。</w:t>
      </w:r>
    </w:p>
    <w:p w14:paraId="6AD1616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履约保证金退付的方式、时间及条件：履约验收合格完毕，由乙方向履约保证金收取单位提供《政府采购项目合同验收书》及《政府采购项目履约保证金退付意见书》，保证金收取单位在收到合格材料后5个工作日内办理退还手续（不计利息）</w:t>
      </w:r>
    </w:p>
    <w:p w14:paraId="7D5C13A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甲方收取履约保证金的指定账户如下：</w:t>
      </w:r>
    </w:p>
    <w:p w14:paraId="7A749BB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账户名称：防城港市第一人民医院</w:t>
      </w:r>
    </w:p>
    <w:p w14:paraId="2C732A5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开户行：防城港市防城区农村信用合作联社防城信用社   </w:t>
      </w:r>
    </w:p>
    <w:p w14:paraId="7818938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银行账号： 8808012040000375  </w:t>
      </w:r>
    </w:p>
    <w:p w14:paraId="1A201CB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不予退还的情形：签订合同后，如乙方不按双方签订的合同规定履约，则其全部履约保证金不予退还。</w:t>
      </w:r>
    </w:p>
    <w:p w14:paraId="1AD588E6">
      <w:pPr>
        <w:numPr>
          <w:ilvl w:val="0"/>
          <w:numId w:val="0"/>
        </w:num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条  廉洁条款</w:t>
      </w:r>
    </w:p>
    <w:p w14:paraId="7448320C">
      <w:pPr>
        <w:snapToGrid w:val="0"/>
        <w:spacing w:line="360" w:lineRule="auto"/>
        <w:ind w:left="-61" w:leftChars="-29"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1、甲乙双方通力合作共同禁止违反《反不正当竞争法》、《关于禁止商业贿赂行为的暂行规定》等相关法律法规规定的不正当竞争行为。</w:t>
      </w:r>
    </w:p>
    <w:p w14:paraId="3C225580">
      <w:pPr>
        <w:snapToGrid w:val="0"/>
        <w:spacing w:line="360" w:lineRule="auto"/>
        <w:ind w:left="-61" w:leftChars="-29"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2、甲乙双方工作人员不得以私自收费、私自送检等任何方式，实施损害双方或任一方权益的行为。</w:t>
      </w:r>
    </w:p>
    <w:p w14:paraId="2D86CC76">
      <w:pPr>
        <w:snapToGrid w:val="0"/>
        <w:spacing w:line="360" w:lineRule="auto"/>
        <w:ind w:left="-61" w:leftChars="-29"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3、任一方工作人员要求对方给予其任何形式的不正当利益，对方必须及时向工作人员所属方进行投诉，并提供相关证据。</w:t>
      </w:r>
    </w:p>
    <w:p w14:paraId="4EA7F4CC">
      <w:pPr>
        <w:snapToGrid w:val="0"/>
        <w:spacing w:line="360" w:lineRule="auto"/>
        <w:ind w:left="-61" w:leftChars="-29"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4、双方设定专线接受投诉，双方的工作人员在经济活动中行贿或受贿累计额较大，构成违法犯罪的。</w:t>
      </w:r>
    </w:p>
    <w:p w14:paraId="4DEECE4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条　税费</w:t>
      </w:r>
    </w:p>
    <w:p w14:paraId="41AC37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本合同执行中相关的一切税费均由乙方负担，合同另有约定的除外。</w:t>
      </w:r>
    </w:p>
    <w:p w14:paraId="411CE3F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条　违约责任</w:t>
      </w:r>
    </w:p>
    <w:p w14:paraId="21B3351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1、除不可抗力原因外，乙方没有按照合同规定的时间提供服务的，甲方可要求乙方支付违约金。每推迟一天按合同金额的3‰支付违约金，该违约金累计不超过合同金额的10%。超过 15天对方有权解除合同，违约方承担因此给对方造成的经济损失；                                  </w:t>
      </w:r>
    </w:p>
    <w:p w14:paraId="3720860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2、乙方提供的服务如侵犯了第三方合法权益而引发的任何纠纷或者诉讼，均由乙方负责交涉并承担全部责任。</w:t>
      </w:r>
    </w:p>
    <w:p w14:paraId="6AA591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3、甲方延期付货款的，按照全国银行间同业拆借中心1年期贷款市场报价率向乙方支付滞纳金，但滞纳金累计不得超过延期货款额 5% 。</w:t>
      </w:r>
    </w:p>
    <w:p w14:paraId="0F4BBC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5.乙方未按本合同和响应文件中规定的服务承诺提供售后服务的，乙方应按本合同合计金额 5%向甲方支付违约金。</w:t>
      </w:r>
    </w:p>
    <w:p w14:paraId="68FCC22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不可抗力事件处理</w:t>
      </w:r>
    </w:p>
    <w:p w14:paraId="193D8F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4EC942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1EA643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3、不可抗力事件延续一百二十天以上，双方应通过友好协商，确定是否继续履行合同。</w:t>
      </w:r>
    </w:p>
    <w:p w14:paraId="5680646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条  合同争议解决</w:t>
      </w:r>
    </w:p>
    <w:p w14:paraId="6DBA29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1、因服务质量问题发生争议的，应邀请国家认可的质量检测机构进行鉴定。服务符合标准的，鉴定费由甲方承担；服务不符合标准的，鉴定费由乙方承担。</w:t>
      </w:r>
    </w:p>
    <w:p w14:paraId="64A7F49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2、因履行本合同引起的或者与本合同有关的争议，甲乙双方应首先通过友好协商解决，如果协商不能解决，可向甲方所在地有管辖权的人民法院提起诉讼。</w:t>
      </w:r>
    </w:p>
    <w:p w14:paraId="393274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3、诉讼期间，本合同继续履行。</w:t>
      </w:r>
    </w:p>
    <w:p w14:paraId="5AE3A05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  合同生效及其它</w:t>
      </w:r>
    </w:p>
    <w:p w14:paraId="256400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1、合同经双方法定代表人或者授权代表签字并加盖单位公章后生效（委托代理人签字的需后附授权委托书，格式自拟）。</w:t>
      </w:r>
    </w:p>
    <w:p w14:paraId="3AF3E4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2、合同执行中涉及采购资金和采购内容修改或者补充的，须经财政部门审批，并签书面补充协议报财政部门备案，方可作为主合同不可分割的一部分。</w:t>
      </w:r>
    </w:p>
    <w:p w14:paraId="0BD861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44BA6A2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条　合同的变更、终止与转让</w:t>
      </w:r>
    </w:p>
    <w:p w14:paraId="4D72C1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1、除《中华人民共和国政府采购法》第五十条规定的情形外，本合同一经签订，甲乙双方不得擅自变更、中止或者终止。</w:t>
      </w:r>
    </w:p>
    <w:p w14:paraId="1B28EF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2A8B1CD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条　签订本合同依据</w:t>
      </w:r>
    </w:p>
    <w:p w14:paraId="189EB3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14:paraId="2B016A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2、竞标报价表；</w:t>
      </w:r>
    </w:p>
    <w:p w14:paraId="73BC66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3、商务要求偏离表和技术要求偏离表；</w:t>
      </w:r>
    </w:p>
    <w:p w14:paraId="1B3246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4、技术服务方案；</w:t>
      </w:r>
    </w:p>
    <w:p w14:paraId="03EDE7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5、响应文件中的其他相关文件。</w:t>
      </w:r>
    </w:p>
    <w:p w14:paraId="52FE29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6、上述合同文件互相补充和解释。如果合同文件之间存在矛盾或者不一致之处，以上述文件的排列顺序在先者为准。</w:t>
      </w:r>
    </w:p>
    <w:p w14:paraId="41EC6D22">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　</w:t>
      </w:r>
      <w:r>
        <w:rPr>
          <w:rFonts w:hint="eastAsia" w:ascii="宋体" w:hAnsi="宋体" w:eastAsia="宋体" w:cs="宋体"/>
          <w:color w:val="auto"/>
          <w:sz w:val="24"/>
          <w:szCs w:val="24"/>
          <w:highlight w:val="none"/>
        </w:rPr>
        <w:t>本合同一式五份，具有同等法律效力，甲乙双方各两份（可根据需要另增加），采购代理机构各一份。</w:t>
      </w:r>
    </w:p>
    <w:p w14:paraId="56CFC7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本合同甲乙双方签字盖章后生效，自签订之日起七个工作日内，甲方应当将合同副本报同级财政部门备案。</w:t>
      </w:r>
    </w:p>
    <w:p w14:paraId="5887F1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本合同自签订之日起2个工作日内，甲方应当将采购合同在广西壮族自治区财政厅指定的媒体上公告。</w:t>
      </w:r>
    </w:p>
    <w:tbl>
      <w:tblPr>
        <w:tblStyle w:val="21"/>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298"/>
      </w:tblGrid>
      <w:tr w14:paraId="294F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60A9FFE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甲方：（章）防城港市第一人民医院</w:t>
            </w:r>
          </w:p>
          <w:p w14:paraId="206658CF">
            <w:pPr>
              <w:snapToGrid w:val="0"/>
              <w:spacing w:line="360" w:lineRule="auto"/>
              <w:rPr>
                <w:rFonts w:hint="eastAsia" w:ascii="宋体" w:hAnsi="宋体" w:eastAsia="宋体" w:cs="宋体"/>
                <w:color w:val="auto"/>
                <w:sz w:val="24"/>
                <w:szCs w:val="24"/>
                <w:highlight w:val="none"/>
              </w:rPr>
            </w:pPr>
          </w:p>
          <w:p w14:paraId="41C49869">
            <w:pPr>
              <w:snapToGrid w:val="0"/>
              <w:spacing w:line="360" w:lineRule="auto"/>
              <w:jc w:val="both"/>
              <w:rPr>
                <w:rFonts w:hint="eastAsia" w:ascii="宋体" w:hAnsi="宋体" w:eastAsia="宋体" w:cs="宋体"/>
                <w:color w:val="auto"/>
                <w:sz w:val="24"/>
                <w:szCs w:val="24"/>
                <w:highlight w:val="none"/>
              </w:rPr>
            </w:pPr>
          </w:p>
          <w:p w14:paraId="17D0A59F">
            <w:pPr>
              <w:snapToGrid w:val="0"/>
              <w:spacing w:line="360" w:lineRule="auto"/>
              <w:ind w:firstLine="1080" w:firstLineChars="4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3206382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乙方：（章）   </w:t>
            </w:r>
          </w:p>
          <w:p w14:paraId="454A7965">
            <w:pPr>
              <w:snapToGrid w:val="0"/>
              <w:spacing w:line="360" w:lineRule="auto"/>
              <w:rPr>
                <w:rFonts w:hint="eastAsia" w:ascii="宋体" w:hAnsi="宋体" w:eastAsia="宋体" w:cs="宋体"/>
                <w:color w:val="auto"/>
                <w:sz w:val="24"/>
                <w:szCs w:val="24"/>
                <w:highlight w:val="none"/>
              </w:rPr>
            </w:pPr>
          </w:p>
          <w:p w14:paraId="64E4962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8E91820">
            <w:pPr>
              <w:snapToGrid w:val="0"/>
              <w:spacing w:line="360" w:lineRule="auto"/>
              <w:jc w:val="right"/>
              <w:rPr>
                <w:rFonts w:hint="eastAsia" w:ascii="宋体" w:hAnsi="宋体" w:eastAsia="宋体" w:cs="宋体"/>
                <w:color w:val="auto"/>
                <w:sz w:val="24"/>
                <w:szCs w:val="24"/>
                <w:highlight w:val="none"/>
              </w:rPr>
            </w:pPr>
          </w:p>
          <w:p w14:paraId="4F99460E">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171E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5E15268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lang w:eastAsia="zh-CN"/>
              </w:rPr>
              <w:t>防城港市防城区文昌大道52号</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67605A75">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lang w:val="en-US" w:eastAsia="zh-CN"/>
              </w:rPr>
              <w:t xml:space="preserve"> </w:t>
            </w:r>
          </w:p>
        </w:tc>
      </w:tr>
      <w:tr w14:paraId="0854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3CC200E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6DCD9A5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5F9A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167484E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电话：0770-3299038</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1C8FC96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5886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1C7AE27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开户银行：防城港市防城区农村信用合作联社防城信用社   </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0A31D57C">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p>
        </w:tc>
      </w:tr>
      <w:tr w14:paraId="6CC9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7E6FCC8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账号：8808012040000375</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12DAFDA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p>
        </w:tc>
      </w:tr>
      <w:tr w14:paraId="13D1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7F64FA13">
            <w:pPr>
              <w:snapToGrid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538021</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3CB9151A">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 xml:space="preserve"> </w:t>
            </w:r>
          </w:p>
        </w:tc>
      </w:tr>
    </w:tbl>
    <w:p w14:paraId="00D4480F">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6DC96823">
      <w:pPr>
        <w:shd w:val="clear" w:color="auto" w:fill="auto"/>
        <w:spacing w:line="520" w:lineRule="exact"/>
        <w:rPr>
          <w:rFonts w:ascii="宋体" w:hAnsi="宋体"/>
          <w:color w:val="auto"/>
          <w:sz w:val="32"/>
          <w:szCs w:val="32"/>
          <w:highlight w:val="none"/>
        </w:rPr>
      </w:pPr>
      <w:r>
        <w:rPr>
          <w:rFonts w:hint="eastAsia" w:ascii="宋体" w:hAnsi="宋体"/>
          <w:b/>
          <w:color w:val="auto"/>
          <w:sz w:val="30"/>
          <w:szCs w:val="30"/>
          <w:highlight w:val="none"/>
        </w:rPr>
        <w:t>附件1</w:t>
      </w:r>
    </w:p>
    <w:p w14:paraId="78F52A69">
      <w:pPr>
        <w:widowControl/>
        <w:shd w:val="clear" w:color="auto" w:fill="auto"/>
        <w:adjustRightInd w:val="0"/>
        <w:spacing w:line="360" w:lineRule="auto"/>
        <w:ind w:firstLine="562" w:firstLineChars="200"/>
        <w:jc w:val="center"/>
        <w:rPr>
          <w:rFonts w:ascii="宋体" w:hAnsi="宋体"/>
          <w:b/>
          <w:bCs w:val="0"/>
          <w:color w:val="auto"/>
          <w:sz w:val="28"/>
          <w:szCs w:val="28"/>
          <w:highlight w:val="none"/>
        </w:rPr>
      </w:pPr>
      <w:r>
        <w:rPr>
          <w:rFonts w:hint="eastAsia"/>
          <w:b/>
          <w:bCs w:val="0"/>
          <w:color w:val="auto"/>
          <w:sz w:val="28"/>
          <w:szCs w:val="28"/>
          <w:highlight w:val="none"/>
        </w:rPr>
        <w:t>防城港市第一人民医院保安考核标准</w:t>
      </w:r>
    </w:p>
    <w:tbl>
      <w:tblPr>
        <w:tblStyle w:val="2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586"/>
        <w:gridCol w:w="664"/>
        <w:gridCol w:w="3267"/>
        <w:gridCol w:w="822"/>
      </w:tblGrid>
      <w:tr w14:paraId="3478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79" w:type="dxa"/>
            <w:tcBorders>
              <w:top w:val="single" w:color="auto" w:sz="4" w:space="0"/>
              <w:left w:val="single" w:color="auto" w:sz="4" w:space="0"/>
              <w:bottom w:val="single" w:color="auto" w:sz="4" w:space="0"/>
              <w:right w:val="single" w:color="auto" w:sz="4" w:space="0"/>
            </w:tcBorders>
            <w:noWrap w:val="0"/>
            <w:vAlign w:val="center"/>
          </w:tcPr>
          <w:p w14:paraId="7E0B980C">
            <w:pPr>
              <w:shd w:val="clear" w:color="auto" w:fill="auto"/>
              <w:autoSpaceDE w:val="0"/>
              <w:autoSpaceDN w:val="0"/>
              <w:ind w:left="190" w:leftChars="53" w:right="84" w:rightChars="40" w:hanging="79" w:hangingChars="38"/>
              <w:jc w:val="center"/>
              <w:rPr>
                <w:rFonts w:ascii="宋体" w:hAnsi="宋体" w:cs="宋体"/>
                <w:color w:val="auto"/>
                <w:kern w:val="0"/>
                <w:szCs w:val="21"/>
                <w:highlight w:val="none"/>
              </w:rPr>
            </w:pPr>
            <w:r>
              <w:rPr>
                <w:rFonts w:hint="eastAsia" w:ascii="宋体" w:hAnsi="宋体" w:cs="宋体"/>
                <w:color w:val="auto"/>
                <w:kern w:val="0"/>
                <w:szCs w:val="21"/>
                <w:highlight w:val="none"/>
              </w:rPr>
              <w:t>项目</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104FCA33">
            <w:pPr>
              <w:shd w:val="clear" w:color="auto" w:fill="auto"/>
              <w:autoSpaceDE w:val="0"/>
              <w:autoSpaceDN w:val="0"/>
              <w:ind w:left="190" w:leftChars="53" w:right="84" w:rightChars="40" w:hanging="79" w:hangingChars="38"/>
              <w:jc w:val="center"/>
              <w:rPr>
                <w:rFonts w:ascii="宋体" w:hAnsi="宋体" w:cs="宋体"/>
                <w:color w:val="auto"/>
                <w:kern w:val="0"/>
                <w:szCs w:val="21"/>
                <w:highlight w:val="none"/>
              </w:rPr>
            </w:pPr>
            <w:r>
              <w:rPr>
                <w:rFonts w:hint="eastAsia" w:ascii="宋体" w:hAnsi="宋体" w:cs="宋体"/>
                <w:color w:val="auto"/>
                <w:kern w:val="0"/>
                <w:szCs w:val="21"/>
                <w:highlight w:val="none"/>
              </w:rPr>
              <w:t>服务质量标准</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1002DBF">
            <w:pPr>
              <w:shd w:val="clear" w:color="auto" w:fill="auto"/>
              <w:autoSpaceDE w:val="0"/>
              <w:autoSpaceDN w:val="0"/>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1EC0ADE9">
            <w:pPr>
              <w:shd w:val="clear" w:color="auto" w:fill="auto"/>
              <w:autoSpaceDE w:val="0"/>
              <w:autoSpaceDN w:val="0"/>
              <w:ind w:left="99" w:leftChars="47" w:right="84" w:rightChars="40"/>
              <w:jc w:val="center"/>
              <w:rPr>
                <w:rFonts w:ascii="宋体" w:hAnsi="宋体" w:cs="宋体"/>
                <w:color w:val="auto"/>
                <w:kern w:val="0"/>
                <w:szCs w:val="21"/>
                <w:highlight w:val="none"/>
              </w:rPr>
            </w:pPr>
            <w:r>
              <w:rPr>
                <w:rFonts w:hint="eastAsia" w:ascii="宋体" w:hAnsi="宋体" w:cs="宋体"/>
                <w:color w:val="auto"/>
                <w:kern w:val="0"/>
                <w:szCs w:val="21"/>
                <w:highlight w:val="none"/>
              </w:rPr>
              <w:t>监管考评标准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E0ED7FE">
            <w:pPr>
              <w:shd w:val="clear" w:color="auto" w:fill="auto"/>
              <w:autoSpaceDE w:val="0"/>
              <w:autoSpaceDN w:val="0"/>
              <w:ind w:right="84" w:rightChars="40"/>
              <w:jc w:val="center"/>
              <w:rPr>
                <w:rFonts w:ascii="宋体" w:hAnsi="宋体" w:cs="宋体"/>
                <w:color w:val="auto"/>
                <w:kern w:val="0"/>
                <w:szCs w:val="21"/>
                <w:highlight w:val="none"/>
              </w:rPr>
            </w:pPr>
            <w:r>
              <w:rPr>
                <w:rFonts w:hint="eastAsia" w:ascii="宋体" w:hAnsi="宋体" w:cs="宋体"/>
                <w:color w:val="auto"/>
                <w:kern w:val="0"/>
                <w:szCs w:val="21"/>
                <w:highlight w:val="none"/>
              </w:rPr>
              <w:t>扣分</w:t>
            </w:r>
          </w:p>
        </w:tc>
      </w:tr>
      <w:tr w14:paraId="098F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14:paraId="2F174BE8">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治安</w:t>
            </w:r>
          </w:p>
          <w:p w14:paraId="4E68FF98">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管理</w:t>
            </w:r>
          </w:p>
          <w:p w14:paraId="412A8D5F">
            <w:pPr>
              <w:shd w:val="clear" w:color="auto" w:fill="auto"/>
              <w:autoSpaceDE w:val="0"/>
              <w:autoSpaceDN w:val="0"/>
              <w:ind w:left="175" w:leftChars="53" w:right="84" w:rightChars="40" w:hanging="64" w:hangingChars="38"/>
              <w:jc w:val="center"/>
              <w:rPr>
                <w:rFonts w:ascii="宋体" w:hAnsi="宋体" w:cs="宋体"/>
                <w:color w:val="auto"/>
                <w:kern w:val="0"/>
                <w:szCs w:val="21"/>
                <w:highlight w:val="none"/>
              </w:rPr>
            </w:pPr>
            <w:r>
              <w:rPr>
                <w:rFonts w:hint="eastAsia" w:ascii="宋体" w:hAnsi="宋体" w:cs="宋体"/>
                <w:bCs/>
                <w:color w:val="auto"/>
                <w:spacing w:val="-20"/>
                <w:kern w:val="0"/>
                <w:szCs w:val="21"/>
                <w:highlight w:val="none"/>
              </w:rPr>
              <w:t>（50分）</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68C555EE">
            <w:pPr>
              <w:shd w:val="clear" w:color="auto" w:fill="auto"/>
              <w:autoSpaceDE w:val="0"/>
              <w:autoSpaceDN w:val="0"/>
              <w:spacing w:line="340" w:lineRule="exact"/>
              <w:ind w:left="-334" w:leftChars="-159" w:right="69" w:rightChars="33"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1、结合医院特点制订安全防范措施及各项管理制度、规定，突发事件的应急措施、方案，并不断完善。确保医院无重大治安刑事案件和火灾事故发生，保持良好的医疗秩序。</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58108A2">
            <w:pPr>
              <w:shd w:val="clear" w:color="auto" w:fill="auto"/>
              <w:autoSpaceDE w:val="0"/>
              <w:autoSpaceDN w:val="0"/>
              <w:spacing w:line="340" w:lineRule="exact"/>
              <w:ind w:left="27" w:right="33"/>
              <w:jc w:val="center"/>
              <w:rPr>
                <w:color w:val="auto"/>
                <w:szCs w:val="21"/>
                <w:highlight w:val="none"/>
              </w:rPr>
            </w:pPr>
            <w:r>
              <w:rPr>
                <w:rFonts w:hint="eastAsia" w:ascii="宋体" w:hAnsi="宋体" w:cs="宋体"/>
                <w:color w:val="auto"/>
                <w:kern w:val="0"/>
                <w:szCs w:val="21"/>
                <w:highlight w:val="none"/>
              </w:rPr>
              <w:t>6分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77D8CE58">
            <w:pPr>
              <w:shd w:val="clear" w:color="auto" w:fill="auto"/>
              <w:autoSpaceDE w:val="0"/>
              <w:autoSpaceDN w:val="0"/>
              <w:spacing w:line="340" w:lineRule="exact"/>
              <w:ind w:left="82" w:leftChars="39" w:right="69" w:rightChars="33"/>
              <w:rPr>
                <w:rFonts w:ascii="宋体" w:hAnsi="宋体" w:cs="宋体"/>
                <w:color w:val="auto"/>
                <w:kern w:val="0"/>
                <w:szCs w:val="21"/>
                <w:highlight w:val="none"/>
              </w:rPr>
            </w:pPr>
            <w:r>
              <w:rPr>
                <w:rFonts w:hint="eastAsia" w:ascii="宋体" w:hAnsi="宋体" w:cs="宋体"/>
                <w:color w:val="auto"/>
                <w:kern w:val="0"/>
                <w:szCs w:val="21"/>
                <w:highlight w:val="none"/>
              </w:rPr>
              <w:t>制度、措施、方案不健全，每项扣1分，岗位管理不到位每次扣1分，发生有管理责任的重大刑事案件或火灾事故视情节扣1-6分，重大火灾一票否决。</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1E034AD">
            <w:pPr>
              <w:widowControl/>
              <w:shd w:val="clear" w:color="auto" w:fill="auto"/>
              <w:jc w:val="left"/>
              <w:rPr>
                <w:rFonts w:ascii="宋体" w:hAnsi="宋体" w:cs="宋体"/>
                <w:color w:val="auto"/>
                <w:kern w:val="0"/>
                <w:szCs w:val="21"/>
                <w:highlight w:val="none"/>
              </w:rPr>
            </w:pPr>
          </w:p>
          <w:p w14:paraId="15213D9A">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6235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3"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40EFCE24">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70868A3B">
            <w:pPr>
              <w:shd w:val="clear" w:color="auto" w:fill="auto"/>
              <w:autoSpaceDE w:val="0"/>
              <w:autoSpaceDN w:val="0"/>
              <w:spacing w:line="340" w:lineRule="exact"/>
              <w:ind w:left="27" w:right="69" w:rightChars="33"/>
              <w:rPr>
                <w:rFonts w:ascii="宋体" w:hAnsi="宋体" w:cs="宋体"/>
                <w:color w:val="auto"/>
                <w:kern w:val="0"/>
                <w:szCs w:val="21"/>
                <w:highlight w:val="none"/>
              </w:rPr>
            </w:pPr>
            <w:r>
              <w:rPr>
                <w:rFonts w:hint="eastAsia" w:ascii="宋体" w:hAnsi="宋体" w:cs="宋体"/>
                <w:color w:val="auto"/>
                <w:kern w:val="0"/>
                <w:szCs w:val="21"/>
                <w:highlight w:val="none"/>
              </w:rPr>
              <w:t>2、实行24小时保安值班及巡逻制度，每班巡查不少于三次（8小时内）；保安人员熟悉医院的环境，按规定着装和佩带装备，文明值勤，训练有素，机动灵活，言语规范，认真履行职责，不能与医院职工、患者及家属发生无谓冲突。保安人数应按标书要求配备充足。</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0C1DD08B">
            <w:pPr>
              <w:shd w:val="clear" w:color="auto" w:fill="auto"/>
              <w:autoSpaceDE w:val="0"/>
              <w:autoSpaceDN w:val="0"/>
              <w:spacing w:line="340" w:lineRule="exact"/>
              <w:ind w:left="27" w:right="33"/>
              <w:jc w:val="center"/>
              <w:rPr>
                <w:color w:val="auto"/>
                <w:szCs w:val="21"/>
                <w:highlight w:val="none"/>
              </w:rPr>
            </w:pPr>
            <w:r>
              <w:rPr>
                <w:rFonts w:hint="eastAsia" w:ascii="宋体" w:hAnsi="宋体" w:cs="宋体"/>
                <w:color w:val="auto"/>
                <w:kern w:val="0"/>
                <w:szCs w:val="21"/>
                <w:highlight w:val="none"/>
              </w:rPr>
              <w:t>6分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153D556">
            <w:pPr>
              <w:shd w:val="clear" w:color="auto" w:fill="auto"/>
              <w:autoSpaceDE w:val="0"/>
              <w:autoSpaceDN w:val="0"/>
              <w:spacing w:line="340" w:lineRule="exact"/>
              <w:ind w:left="82" w:leftChars="39" w:right="69" w:rightChars="33"/>
              <w:rPr>
                <w:rFonts w:ascii="宋体" w:hAnsi="宋体" w:cs="宋体"/>
                <w:color w:val="auto"/>
                <w:kern w:val="0"/>
                <w:szCs w:val="21"/>
                <w:highlight w:val="none"/>
              </w:rPr>
            </w:pPr>
            <w:r>
              <w:rPr>
                <w:rFonts w:hint="eastAsia" w:ascii="宋体" w:hAnsi="宋体" w:cs="宋体"/>
                <w:color w:val="auto"/>
                <w:kern w:val="0"/>
                <w:szCs w:val="21"/>
                <w:highlight w:val="none"/>
              </w:rPr>
              <w:t>值班及巡逻记录不规范，每次扣1分，着装不整、不规范使用文明用语扣1分。与他人发生冲突，扣1分，并追究责任。凡因为现场无人管理或管理不当，造成设施及建筑物(地面)损坏或人身伤害，一次扣2分。保安未按要求配备，每缺一人扣3</w:t>
            </w:r>
            <w:r>
              <w:rPr>
                <w:rFonts w:hint="eastAsia" w:ascii="宋体" w:hAnsi="宋体" w:cs="宋体"/>
                <w:color w:val="auto"/>
                <w:kern w:val="0"/>
                <w:szCs w:val="21"/>
                <w:highlight w:val="none"/>
                <w:lang w:val="en-US" w:eastAsia="zh-CN"/>
              </w:rPr>
              <w:t>375</w:t>
            </w:r>
            <w:r>
              <w:rPr>
                <w:rFonts w:hint="eastAsia" w:ascii="宋体" w:hAnsi="宋体" w:cs="宋体"/>
                <w:color w:val="auto"/>
                <w:kern w:val="0"/>
                <w:szCs w:val="21"/>
                <w:highlight w:val="none"/>
              </w:rPr>
              <w:t>元/月。</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A61F1FF">
            <w:pPr>
              <w:widowControl/>
              <w:shd w:val="clear" w:color="auto" w:fill="auto"/>
              <w:jc w:val="left"/>
              <w:rPr>
                <w:rFonts w:ascii="宋体" w:hAnsi="宋体" w:cs="宋体"/>
                <w:color w:val="auto"/>
                <w:kern w:val="0"/>
                <w:szCs w:val="21"/>
                <w:highlight w:val="none"/>
              </w:rPr>
            </w:pPr>
          </w:p>
          <w:p w14:paraId="427CF609">
            <w:pPr>
              <w:widowControl/>
              <w:shd w:val="clear" w:color="auto" w:fill="auto"/>
              <w:jc w:val="left"/>
              <w:rPr>
                <w:rFonts w:ascii="宋体" w:hAnsi="宋体" w:cs="宋体"/>
                <w:color w:val="auto"/>
                <w:kern w:val="0"/>
                <w:szCs w:val="21"/>
                <w:highlight w:val="none"/>
              </w:rPr>
            </w:pPr>
          </w:p>
          <w:p w14:paraId="49427E4B">
            <w:pPr>
              <w:widowControl/>
              <w:shd w:val="clear" w:color="auto" w:fill="auto"/>
              <w:jc w:val="left"/>
              <w:rPr>
                <w:rFonts w:ascii="宋体" w:hAnsi="宋体" w:cs="宋体"/>
                <w:color w:val="auto"/>
                <w:kern w:val="0"/>
                <w:szCs w:val="21"/>
                <w:highlight w:val="none"/>
              </w:rPr>
            </w:pPr>
          </w:p>
          <w:p w14:paraId="2CFF14F0">
            <w:pPr>
              <w:widowControl/>
              <w:shd w:val="clear" w:color="auto" w:fill="auto"/>
              <w:jc w:val="left"/>
              <w:rPr>
                <w:rFonts w:ascii="宋体" w:hAnsi="宋体" w:cs="宋体"/>
                <w:color w:val="auto"/>
                <w:kern w:val="0"/>
                <w:szCs w:val="21"/>
                <w:highlight w:val="none"/>
              </w:rPr>
            </w:pPr>
          </w:p>
          <w:p w14:paraId="347A18FD">
            <w:pPr>
              <w:widowControl/>
              <w:shd w:val="clear" w:color="auto" w:fill="auto"/>
              <w:jc w:val="left"/>
              <w:rPr>
                <w:rFonts w:ascii="宋体" w:hAnsi="宋体" w:cs="宋体"/>
                <w:color w:val="auto"/>
                <w:kern w:val="0"/>
                <w:szCs w:val="21"/>
                <w:highlight w:val="none"/>
              </w:rPr>
            </w:pPr>
          </w:p>
          <w:p w14:paraId="24826B59">
            <w:pPr>
              <w:widowControl/>
              <w:shd w:val="clear" w:color="auto" w:fill="auto"/>
              <w:jc w:val="left"/>
              <w:rPr>
                <w:rFonts w:ascii="宋体" w:hAnsi="宋体" w:cs="宋体"/>
                <w:color w:val="auto"/>
                <w:kern w:val="0"/>
                <w:szCs w:val="21"/>
                <w:highlight w:val="none"/>
              </w:rPr>
            </w:pPr>
          </w:p>
          <w:p w14:paraId="46681023">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47E5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5CC77D21">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7E652B2E">
            <w:pPr>
              <w:shd w:val="clear" w:color="auto" w:fill="auto"/>
              <w:autoSpaceDE w:val="0"/>
              <w:autoSpaceDN w:val="0"/>
              <w:spacing w:line="340" w:lineRule="exact"/>
              <w:ind w:left="69" w:right="69" w:rightChars="33"/>
              <w:rPr>
                <w:rFonts w:ascii="宋体" w:hAnsi="宋体" w:cs="宋体"/>
                <w:color w:val="auto"/>
                <w:kern w:val="0"/>
                <w:szCs w:val="21"/>
                <w:highlight w:val="none"/>
              </w:rPr>
            </w:pPr>
            <w:r>
              <w:rPr>
                <w:rFonts w:hint="eastAsia" w:ascii="宋体" w:hAnsi="宋体" w:cs="宋体"/>
                <w:color w:val="auto"/>
                <w:kern w:val="0"/>
                <w:szCs w:val="21"/>
                <w:highlight w:val="none"/>
              </w:rPr>
              <w:t>3、根据疫情防控规定，需要定期开展我院重点人群核酸检测，外包保安人员属于重点岗位工作人员,严格按照规定定期做核酸检测。</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0AB2C684">
            <w:pPr>
              <w:shd w:val="clear" w:color="auto" w:fill="auto"/>
              <w:autoSpaceDE w:val="0"/>
              <w:autoSpaceDN w:val="0"/>
              <w:spacing w:line="340" w:lineRule="exact"/>
              <w:ind w:left="27" w:right="33"/>
              <w:jc w:val="center"/>
              <w:rPr>
                <w:color w:val="auto"/>
                <w:szCs w:val="21"/>
                <w:highlight w:val="none"/>
              </w:rPr>
            </w:pPr>
            <w:r>
              <w:rPr>
                <w:rFonts w:hint="eastAsia" w:ascii="宋体" w:hAnsi="宋体" w:cs="宋体"/>
                <w:color w:val="auto"/>
                <w:kern w:val="0"/>
                <w:szCs w:val="21"/>
                <w:highlight w:val="none"/>
              </w:rPr>
              <w:t>5分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430C64A8">
            <w:pPr>
              <w:shd w:val="clear" w:color="auto" w:fill="auto"/>
              <w:autoSpaceDE w:val="0"/>
              <w:autoSpaceDN w:val="0"/>
              <w:spacing w:line="340" w:lineRule="exact"/>
              <w:ind w:left="82" w:leftChars="39" w:right="69" w:rightChars="33"/>
              <w:rPr>
                <w:rFonts w:ascii="宋体" w:hAnsi="宋体" w:cs="宋体"/>
                <w:color w:val="auto"/>
                <w:kern w:val="0"/>
                <w:szCs w:val="21"/>
                <w:highlight w:val="none"/>
              </w:rPr>
            </w:pPr>
            <w:r>
              <w:rPr>
                <w:rFonts w:hint="eastAsia" w:ascii="宋体" w:hAnsi="宋体" w:cs="宋体"/>
                <w:color w:val="auto"/>
                <w:kern w:val="0"/>
                <w:szCs w:val="21"/>
                <w:highlight w:val="none"/>
              </w:rPr>
              <w:t>不按规定定期做核酸检测的，被通报的一人次，扣1分；造成严重后果的扣2—4分，并视情况进行处理。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737DFBF">
            <w:pPr>
              <w:widowControl/>
              <w:shd w:val="clear" w:color="auto" w:fill="auto"/>
              <w:jc w:val="left"/>
              <w:rPr>
                <w:rFonts w:ascii="宋体" w:hAnsi="宋体" w:cs="宋体"/>
                <w:color w:val="auto"/>
                <w:kern w:val="0"/>
                <w:szCs w:val="21"/>
                <w:highlight w:val="none"/>
              </w:rPr>
            </w:pPr>
          </w:p>
          <w:p w14:paraId="2B7592FD">
            <w:pPr>
              <w:widowControl/>
              <w:shd w:val="clear" w:color="auto" w:fill="auto"/>
              <w:jc w:val="left"/>
              <w:rPr>
                <w:rFonts w:ascii="宋体" w:hAnsi="宋体" w:cs="宋体"/>
                <w:color w:val="auto"/>
                <w:kern w:val="0"/>
                <w:szCs w:val="21"/>
                <w:highlight w:val="none"/>
              </w:rPr>
            </w:pPr>
          </w:p>
          <w:p w14:paraId="194D3DF2">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7D25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30000267">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239D9FB2">
            <w:pPr>
              <w:shd w:val="clear" w:color="auto" w:fill="auto"/>
              <w:autoSpaceDE w:val="0"/>
              <w:autoSpaceDN w:val="0"/>
              <w:spacing w:line="340" w:lineRule="exact"/>
              <w:ind w:right="69" w:rightChars="33"/>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 w:val="18"/>
                <w:szCs w:val="18"/>
                <w:highlight w:val="none"/>
              </w:rPr>
              <w:t>、</w:t>
            </w:r>
            <w:r>
              <w:rPr>
                <w:rFonts w:hint="eastAsia" w:ascii="宋体" w:hAnsi="宋体" w:cs="宋体"/>
                <w:color w:val="auto"/>
                <w:kern w:val="0"/>
                <w:szCs w:val="21"/>
                <w:highlight w:val="none"/>
              </w:rPr>
              <w:t>医院的重点岗位及主要入口要落实保安固定岗位值守，门口体温检测处、预检分诊、急诊科、第一住院楼、第二住院部楼、感染性疾病科病人、陪人疫情管控等重点部位制订相应的安全措施及处理流程，确保发生突发事件处置及时。</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3CCB3B4B">
            <w:pPr>
              <w:shd w:val="clear" w:color="auto" w:fill="auto"/>
              <w:autoSpaceDE w:val="0"/>
              <w:autoSpaceDN w:val="0"/>
              <w:spacing w:line="340" w:lineRule="exact"/>
              <w:ind w:left="27" w:right="33"/>
              <w:jc w:val="center"/>
              <w:rPr>
                <w:color w:val="auto"/>
                <w:szCs w:val="21"/>
                <w:highlight w:val="none"/>
              </w:rPr>
            </w:pPr>
            <w:r>
              <w:rPr>
                <w:rFonts w:hint="eastAsia" w:ascii="宋体" w:hAnsi="宋体" w:cs="宋体"/>
                <w:color w:val="auto"/>
                <w:kern w:val="0"/>
                <w:szCs w:val="21"/>
                <w:highlight w:val="none"/>
              </w:rPr>
              <w:t>6分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0CD1D5D5">
            <w:pPr>
              <w:shd w:val="clear" w:color="auto" w:fill="auto"/>
              <w:autoSpaceDE w:val="0"/>
              <w:autoSpaceDN w:val="0"/>
              <w:spacing w:line="340" w:lineRule="exact"/>
              <w:ind w:left="27" w:right="69" w:rightChars="33"/>
              <w:rPr>
                <w:rFonts w:ascii="宋体" w:hAnsi="宋体" w:cs="宋体"/>
                <w:color w:val="auto"/>
                <w:kern w:val="0"/>
                <w:szCs w:val="21"/>
                <w:highlight w:val="none"/>
              </w:rPr>
            </w:pPr>
            <w:r>
              <w:rPr>
                <w:rFonts w:hint="eastAsia" w:ascii="宋体" w:hAnsi="宋体" w:cs="宋体"/>
                <w:color w:val="auto"/>
                <w:kern w:val="0"/>
                <w:szCs w:val="21"/>
                <w:highlight w:val="none"/>
              </w:rPr>
              <w:t>对特殊的部位执勤保安员严禁脱岗，必须确保</w:t>
            </w:r>
            <w:r>
              <w:rPr>
                <w:rFonts w:ascii="宋体" w:hAnsi="宋体" w:cs="宋体"/>
                <w:color w:val="auto"/>
                <w:kern w:val="0"/>
                <w:szCs w:val="21"/>
                <w:highlight w:val="none"/>
              </w:rPr>
              <w:t>24</w:t>
            </w:r>
            <w:r>
              <w:rPr>
                <w:rFonts w:hint="eastAsia" w:ascii="宋体" w:hAnsi="宋体" w:cs="宋体"/>
                <w:color w:val="auto"/>
                <w:kern w:val="0"/>
                <w:szCs w:val="21"/>
                <w:highlight w:val="none"/>
              </w:rPr>
              <w:t>小时人员在岗在位，因擅离职守扣2分，各门禁严格按疫情管理规定落实，如出现相关管理问题扣2分，被上级检查通报的扣4分，造成后果视情节另行处理，并追究责任。</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B6758F4">
            <w:pPr>
              <w:widowControl/>
              <w:shd w:val="clear" w:color="auto" w:fill="auto"/>
              <w:jc w:val="left"/>
              <w:rPr>
                <w:rFonts w:ascii="宋体" w:hAnsi="宋体" w:cs="宋体"/>
                <w:color w:val="auto"/>
                <w:kern w:val="0"/>
                <w:szCs w:val="21"/>
                <w:highlight w:val="none"/>
              </w:rPr>
            </w:pPr>
          </w:p>
          <w:p w14:paraId="3DF25C87">
            <w:pPr>
              <w:widowControl/>
              <w:shd w:val="clear" w:color="auto" w:fill="auto"/>
              <w:jc w:val="left"/>
              <w:rPr>
                <w:rFonts w:ascii="宋体" w:hAnsi="宋体" w:cs="宋体"/>
                <w:color w:val="auto"/>
                <w:kern w:val="0"/>
                <w:szCs w:val="21"/>
                <w:highlight w:val="none"/>
              </w:rPr>
            </w:pPr>
          </w:p>
          <w:p w14:paraId="0D1598B6">
            <w:pPr>
              <w:widowControl/>
              <w:shd w:val="clear" w:color="auto" w:fill="auto"/>
              <w:jc w:val="left"/>
              <w:rPr>
                <w:rFonts w:ascii="宋体" w:hAnsi="宋体" w:cs="宋体"/>
                <w:color w:val="auto"/>
                <w:kern w:val="0"/>
                <w:szCs w:val="21"/>
                <w:highlight w:val="none"/>
              </w:rPr>
            </w:pPr>
          </w:p>
          <w:p w14:paraId="494CE3CF">
            <w:pPr>
              <w:widowControl/>
              <w:shd w:val="clear" w:color="auto" w:fill="auto"/>
              <w:jc w:val="left"/>
              <w:rPr>
                <w:rFonts w:ascii="宋体" w:hAnsi="宋体" w:cs="宋体"/>
                <w:color w:val="auto"/>
                <w:kern w:val="0"/>
                <w:szCs w:val="21"/>
                <w:highlight w:val="none"/>
              </w:rPr>
            </w:pPr>
          </w:p>
          <w:p w14:paraId="48589D7C">
            <w:pPr>
              <w:widowControl/>
              <w:shd w:val="clear" w:color="auto" w:fill="auto"/>
              <w:jc w:val="left"/>
              <w:rPr>
                <w:rFonts w:ascii="宋体" w:hAnsi="宋体" w:cs="宋体"/>
                <w:color w:val="auto"/>
                <w:kern w:val="0"/>
                <w:szCs w:val="21"/>
                <w:highlight w:val="none"/>
              </w:rPr>
            </w:pPr>
          </w:p>
          <w:p w14:paraId="6FFC87D6">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24CA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3A0A267E">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0614F084">
            <w:pPr>
              <w:shd w:val="clear" w:color="auto" w:fill="auto"/>
              <w:autoSpaceDE w:val="0"/>
              <w:autoSpaceDN w:val="0"/>
              <w:spacing w:line="340" w:lineRule="exact"/>
              <w:ind w:right="69" w:rightChars="33"/>
              <w:rPr>
                <w:rFonts w:ascii="宋体" w:hAnsi="宋体" w:cs="宋体"/>
                <w:color w:val="auto"/>
                <w:kern w:val="0"/>
                <w:szCs w:val="21"/>
                <w:highlight w:val="none"/>
              </w:rPr>
            </w:pPr>
            <w:r>
              <w:rPr>
                <w:rFonts w:hint="eastAsia" w:ascii="宋体" w:hAnsi="宋体" w:cs="宋体"/>
                <w:color w:val="auto"/>
                <w:kern w:val="0"/>
                <w:szCs w:val="21"/>
                <w:highlight w:val="none"/>
              </w:rPr>
              <w:t>5、执行医院的各项安全工作管理规定。对可疑人员要进行检查询问，严禁推销、商贩、发小广告、医托等无关人员进出医院，及时发现报告和解决院区发生的各种突发情况，规范医院的秩序管理，确保正常的就医环境。</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BABFACD">
            <w:pPr>
              <w:shd w:val="clear" w:color="auto" w:fill="auto"/>
              <w:autoSpaceDE w:val="0"/>
              <w:autoSpaceDN w:val="0"/>
              <w:spacing w:line="340" w:lineRule="exact"/>
              <w:ind w:left="33" w:right="33"/>
              <w:jc w:val="center"/>
              <w:rPr>
                <w:color w:val="auto"/>
                <w:szCs w:val="21"/>
                <w:highlight w:val="none"/>
              </w:rPr>
            </w:pPr>
            <w:r>
              <w:rPr>
                <w:rFonts w:hint="eastAsia" w:ascii="宋体" w:hAnsi="宋体" w:cs="宋体"/>
                <w:color w:val="auto"/>
                <w:kern w:val="0"/>
                <w:szCs w:val="21"/>
                <w:highlight w:val="none"/>
              </w:rPr>
              <w:t>5分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43B767E">
            <w:pPr>
              <w:shd w:val="clear" w:color="auto" w:fill="auto"/>
              <w:autoSpaceDE w:val="0"/>
              <w:autoSpaceDN w:val="0"/>
              <w:spacing w:line="340" w:lineRule="exact"/>
              <w:ind w:left="33" w:right="69" w:rightChars="33"/>
              <w:rPr>
                <w:rFonts w:ascii="宋体" w:hAnsi="宋体" w:cs="宋体"/>
                <w:color w:val="auto"/>
                <w:kern w:val="0"/>
                <w:szCs w:val="21"/>
                <w:highlight w:val="none"/>
              </w:rPr>
            </w:pPr>
            <w:r>
              <w:rPr>
                <w:rFonts w:hint="eastAsia" w:ascii="宋体" w:hAnsi="宋体" w:cs="宋体"/>
                <w:color w:val="auto"/>
                <w:kern w:val="0"/>
                <w:szCs w:val="21"/>
                <w:highlight w:val="none"/>
              </w:rPr>
              <w:t>院内有推销、商贩、放小广告、医托等类似无关人员出现，扣1分。发生有责偷盗、抢劫事件扣2-5分，发生突发事件处理不及时，扣2分，造成事故及影响较大的，扣5分,并追究责任。</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2B7D18AC">
            <w:pPr>
              <w:widowControl/>
              <w:shd w:val="clear" w:color="auto" w:fill="auto"/>
              <w:jc w:val="left"/>
              <w:rPr>
                <w:rFonts w:ascii="宋体" w:hAnsi="宋体" w:cs="宋体"/>
                <w:color w:val="auto"/>
                <w:kern w:val="0"/>
                <w:szCs w:val="21"/>
                <w:highlight w:val="none"/>
              </w:rPr>
            </w:pPr>
          </w:p>
          <w:p w14:paraId="69602003">
            <w:pPr>
              <w:widowControl/>
              <w:shd w:val="clear" w:color="auto" w:fill="auto"/>
              <w:jc w:val="left"/>
              <w:rPr>
                <w:rFonts w:ascii="宋体" w:hAnsi="宋体" w:cs="宋体"/>
                <w:color w:val="auto"/>
                <w:kern w:val="0"/>
                <w:szCs w:val="21"/>
                <w:highlight w:val="none"/>
              </w:rPr>
            </w:pPr>
          </w:p>
          <w:p w14:paraId="5954A359">
            <w:pPr>
              <w:widowControl/>
              <w:shd w:val="clear" w:color="auto" w:fill="auto"/>
              <w:jc w:val="left"/>
              <w:rPr>
                <w:rFonts w:ascii="宋体" w:hAnsi="宋体" w:cs="宋体"/>
                <w:color w:val="auto"/>
                <w:kern w:val="0"/>
                <w:szCs w:val="21"/>
                <w:highlight w:val="none"/>
              </w:rPr>
            </w:pPr>
          </w:p>
          <w:p w14:paraId="068B28F5">
            <w:pPr>
              <w:widowControl/>
              <w:shd w:val="clear" w:color="auto" w:fill="auto"/>
              <w:jc w:val="left"/>
              <w:rPr>
                <w:rFonts w:ascii="宋体" w:hAnsi="宋体" w:cs="宋体"/>
                <w:color w:val="auto"/>
                <w:kern w:val="0"/>
                <w:szCs w:val="21"/>
                <w:highlight w:val="none"/>
              </w:rPr>
            </w:pPr>
          </w:p>
          <w:p w14:paraId="1D0DBACA">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09B4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7EA0DC32">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3C5AA3DD">
            <w:pPr>
              <w:shd w:val="clear" w:color="auto" w:fill="auto"/>
              <w:autoSpaceDE w:val="0"/>
              <w:autoSpaceDN w:val="0"/>
              <w:spacing w:line="340" w:lineRule="exact"/>
              <w:ind w:right="69" w:rightChars="33"/>
              <w:rPr>
                <w:rFonts w:ascii="宋体" w:hAnsi="宋体" w:cs="宋体"/>
                <w:color w:val="auto"/>
                <w:kern w:val="0"/>
                <w:szCs w:val="21"/>
                <w:highlight w:val="none"/>
              </w:rPr>
            </w:pPr>
            <w:r>
              <w:rPr>
                <w:rFonts w:hint="eastAsia" w:ascii="宋体" w:hAnsi="宋体" w:cs="宋体"/>
                <w:color w:val="auto"/>
                <w:kern w:val="0"/>
                <w:szCs w:val="21"/>
                <w:highlight w:val="none"/>
              </w:rPr>
              <w:t>6、做好重大活动、会议、接待的保卫工作，建立各级安全警戒方案确保安全稳定，圆满完成院方交代的其它任务。</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0FF3723B">
            <w:pPr>
              <w:shd w:val="clear" w:color="auto" w:fill="auto"/>
              <w:autoSpaceDE w:val="0"/>
              <w:autoSpaceDN w:val="0"/>
              <w:spacing w:line="340" w:lineRule="exact"/>
              <w:ind w:left="33" w:right="33"/>
              <w:jc w:val="center"/>
              <w:rPr>
                <w:rFonts w:ascii="宋体" w:hAnsi="宋体" w:cs="宋体"/>
                <w:color w:val="auto"/>
                <w:kern w:val="0"/>
                <w:szCs w:val="21"/>
                <w:highlight w:val="none"/>
              </w:rPr>
            </w:pPr>
            <w:r>
              <w:rPr>
                <w:rFonts w:hint="eastAsia" w:ascii="宋体" w:hAnsi="宋体" w:cs="宋体"/>
                <w:color w:val="auto"/>
                <w:kern w:val="0"/>
                <w:szCs w:val="21"/>
                <w:highlight w:val="none"/>
              </w:rPr>
              <w:t>6分</w:t>
            </w:r>
          </w:p>
          <w:p w14:paraId="69AC551A">
            <w:pPr>
              <w:shd w:val="clear" w:color="auto" w:fill="auto"/>
              <w:autoSpaceDE w:val="0"/>
              <w:autoSpaceDN w:val="0"/>
              <w:spacing w:line="340" w:lineRule="exact"/>
              <w:ind w:left="33" w:right="33"/>
              <w:jc w:val="center"/>
              <w:rPr>
                <w:color w:val="auto"/>
                <w:szCs w:val="21"/>
                <w:highlight w:val="none"/>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5BD01BA8">
            <w:pPr>
              <w:shd w:val="clear" w:color="auto" w:fill="auto"/>
              <w:autoSpaceDE w:val="0"/>
              <w:autoSpaceDN w:val="0"/>
              <w:spacing w:line="340" w:lineRule="exact"/>
              <w:ind w:left="33" w:right="69" w:rightChars="33"/>
              <w:rPr>
                <w:rFonts w:ascii="宋体" w:hAnsi="宋体" w:cs="宋体"/>
                <w:color w:val="auto"/>
                <w:kern w:val="0"/>
                <w:szCs w:val="21"/>
                <w:highlight w:val="none"/>
              </w:rPr>
            </w:pPr>
            <w:r>
              <w:rPr>
                <w:rFonts w:hint="eastAsia" w:ascii="宋体" w:hAnsi="宋体" w:cs="宋体"/>
                <w:color w:val="auto"/>
                <w:kern w:val="0"/>
                <w:szCs w:val="21"/>
                <w:highlight w:val="none"/>
              </w:rPr>
              <w:t>达不到安全要求，无安全工作方案每次(项)扣1分，造成不良影响扣2分，并视情进行处理。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6A6BC16D">
            <w:pPr>
              <w:widowControl/>
              <w:shd w:val="clear" w:color="auto" w:fill="auto"/>
              <w:jc w:val="left"/>
              <w:rPr>
                <w:rFonts w:ascii="宋体" w:hAnsi="宋体" w:cs="宋体"/>
                <w:color w:val="auto"/>
                <w:kern w:val="0"/>
                <w:szCs w:val="21"/>
                <w:highlight w:val="none"/>
              </w:rPr>
            </w:pPr>
          </w:p>
          <w:p w14:paraId="4459C4A4">
            <w:pPr>
              <w:widowControl/>
              <w:shd w:val="clear" w:color="auto" w:fill="auto"/>
              <w:jc w:val="left"/>
              <w:rPr>
                <w:rFonts w:ascii="宋体" w:hAnsi="宋体" w:cs="宋体"/>
                <w:color w:val="auto"/>
                <w:kern w:val="0"/>
                <w:szCs w:val="21"/>
                <w:highlight w:val="none"/>
              </w:rPr>
            </w:pPr>
          </w:p>
          <w:p w14:paraId="7ABC8F14">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720B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0D24B9E8">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65BF61C2">
            <w:pPr>
              <w:shd w:val="clear" w:color="auto" w:fill="auto"/>
              <w:autoSpaceDE w:val="0"/>
              <w:autoSpaceDN w:val="0"/>
              <w:spacing w:line="340" w:lineRule="exact"/>
              <w:ind w:right="69" w:rightChars="33"/>
              <w:rPr>
                <w:rFonts w:ascii="宋体" w:hAnsi="宋体" w:cs="宋体"/>
                <w:color w:val="auto"/>
                <w:kern w:val="0"/>
                <w:szCs w:val="21"/>
                <w:highlight w:val="none"/>
              </w:rPr>
            </w:pPr>
            <w:r>
              <w:rPr>
                <w:rFonts w:hint="eastAsia" w:ascii="宋体" w:hAnsi="宋体" w:cs="宋体"/>
                <w:color w:val="auto"/>
                <w:kern w:val="0"/>
                <w:szCs w:val="21"/>
                <w:highlight w:val="none"/>
              </w:rPr>
              <w:t>7、定期组织安全教育培训，整改各类隐患，保护医院和病人财产安全和人身安全，加强纠纷处置能力培训和反恐防暴应急演练，及时制止平息纠纷和恐怖袭击事件。</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5EE74100">
            <w:pPr>
              <w:shd w:val="clear" w:color="auto" w:fill="auto"/>
              <w:autoSpaceDE w:val="0"/>
              <w:autoSpaceDN w:val="0"/>
              <w:spacing w:line="340" w:lineRule="exact"/>
              <w:ind w:right="33"/>
              <w:jc w:val="center"/>
              <w:rPr>
                <w:b/>
                <w:bCs/>
                <w:color w:val="auto"/>
                <w:szCs w:val="21"/>
                <w:highlight w:val="none"/>
              </w:rPr>
            </w:pPr>
            <w:r>
              <w:rPr>
                <w:rFonts w:hint="eastAsia" w:ascii="宋体" w:hAnsi="宋体" w:cs="宋体"/>
                <w:color w:val="auto"/>
                <w:kern w:val="0"/>
                <w:szCs w:val="21"/>
                <w:highlight w:val="none"/>
              </w:rPr>
              <w:t>6分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0633D0F5">
            <w:pPr>
              <w:shd w:val="clear" w:color="auto" w:fill="auto"/>
              <w:autoSpaceDE w:val="0"/>
              <w:autoSpaceDN w:val="0"/>
              <w:spacing w:line="340" w:lineRule="exact"/>
              <w:ind w:left="34" w:right="69" w:rightChars="33"/>
              <w:rPr>
                <w:rFonts w:ascii="宋体" w:hAnsi="宋体" w:cs="宋体"/>
                <w:color w:val="auto"/>
                <w:kern w:val="0"/>
                <w:szCs w:val="21"/>
                <w:highlight w:val="none"/>
              </w:rPr>
            </w:pPr>
            <w:r>
              <w:rPr>
                <w:rFonts w:hint="eastAsia" w:ascii="宋体" w:hAnsi="宋体" w:cs="宋体"/>
                <w:color w:val="auto"/>
                <w:kern w:val="0"/>
                <w:szCs w:val="21"/>
                <w:highlight w:val="none"/>
              </w:rPr>
              <w:t>发生打砸、殴打医护人员事件时，保安员没有及时制止，每次扣2-4分，接到与保安责任相关投诉属实，每次扣1分，情况严重的追究责任。发生内部人员自盗、打架斗殴扣4分，并追究领导责任。</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871F224">
            <w:pPr>
              <w:widowControl/>
              <w:shd w:val="clear" w:color="auto" w:fill="auto"/>
              <w:jc w:val="left"/>
              <w:rPr>
                <w:rFonts w:ascii="宋体" w:hAnsi="宋体" w:cs="宋体"/>
                <w:color w:val="auto"/>
                <w:kern w:val="0"/>
                <w:szCs w:val="21"/>
                <w:highlight w:val="none"/>
              </w:rPr>
            </w:pPr>
          </w:p>
          <w:p w14:paraId="1C145BA8">
            <w:pPr>
              <w:widowControl/>
              <w:shd w:val="clear" w:color="auto" w:fill="auto"/>
              <w:jc w:val="left"/>
              <w:rPr>
                <w:rFonts w:ascii="宋体" w:hAnsi="宋体" w:cs="宋体"/>
                <w:color w:val="auto"/>
                <w:kern w:val="0"/>
                <w:szCs w:val="21"/>
                <w:highlight w:val="none"/>
              </w:rPr>
            </w:pPr>
          </w:p>
          <w:p w14:paraId="44FA21A1">
            <w:pPr>
              <w:widowControl/>
              <w:shd w:val="clear" w:color="auto" w:fill="auto"/>
              <w:jc w:val="left"/>
              <w:rPr>
                <w:rFonts w:ascii="宋体" w:hAnsi="宋体" w:cs="宋体"/>
                <w:color w:val="auto"/>
                <w:kern w:val="0"/>
                <w:szCs w:val="21"/>
                <w:highlight w:val="none"/>
              </w:rPr>
            </w:pPr>
          </w:p>
          <w:p w14:paraId="3BFD5278">
            <w:pPr>
              <w:widowControl/>
              <w:shd w:val="clear" w:color="auto" w:fill="auto"/>
              <w:jc w:val="left"/>
              <w:rPr>
                <w:rFonts w:ascii="宋体" w:hAnsi="宋体" w:cs="宋体"/>
                <w:color w:val="auto"/>
                <w:kern w:val="0"/>
                <w:szCs w:val="21"/>
                <w:highlight w:val="none"/>
              </w:rPr>
            </w:pPr>
          </w:p>
          <w:p w14:paraId="3FBC33F5">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0870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5344408F">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0D70FE8A">
            <w:pPr>
              <w:shd w:val="clear" w:color="auto" w:fill="auto"/>
              <w:autoSpaceDE w:val="0"/>
              <w:autoSpaceDN w:val="0"/>
              <w:spacing w:line="340" w:lineRule="exact"/>
              <w:ind w:left="69" w:leftChars="33" w:right="69" w:rightChars="33"/>
              <w:rPr>
                <w:rFonts w:ascii="宋体" w:hAnsi="宋体" w:cs="宋体"/>
                <w:color w:val="auto"/>
                <w:kern w:val="0"/>
                <w:szCs w:val="21"/>
                <w:highlight w:val="none"/>
              </w:rPr>
            </w:pPr>
            <w:r>
              <w:rPr>
                <w:rFonts w:hint="eastAsia" w:ascii="宋体" w:hAnsi="宋体" w:cs="宋体"/>
                <w:color w:val="auto"/>
                <w:kern w:val="0"/>
                <w:szCs w:val="21"/>
                <w:highlight w:val="none"/>
              </w:rPr>
              <w:t>8、督促协助维护保养单位定期开展监控、门禁、一键紧急报警按钮、红外报警器等技防设施检查、维护、清洁工作，确保设施设备性能良好，运行正常。</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4C0D50E">
            <w:pPr>
              <w:shd w:val="clear" w:color="auto" w:fill="auto"/>
              <w:autoSpaceDE w:val="0"/>
              <w:autoSpaceDN w:val="0"/>
              <w:spacing w:line="340" w:lineRule="exact"/>
              <w:ind w:right="33"/>
              <w:jc w:val="center"/>
              <w:rPr>
                <w:b/>
                <w:bCs/>
                <w:color w:val="auto"/>
                <w:szCs w:val="21"/>
                <w:highlight w:val="none"/>
              </w:rPr>
            </w:pPr>
            <w:r>
              <w:rPr>
                <w:rFonts w:hint="eastAsia" w:ascii="宋体" w:hAnsi="宋体" w:cs="宋体"/>
                <w:color w:val="auto"/>
                <w:kern w:val="0"/>
                <w:szCs w:val="21"/>
                <w:highlight w:val="none"/>
              </w:rPr>
              <w:t>5分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1CE7924">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未落实检查制度，发现一次扣2分。发现一处设备故障超过48小时，扣1分。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66C2177F">
            <w:pPr>
              <w:widowControl/>
              <w:shd w:val="clear" w:color="auto" w:fill="auto"/>
              <w:jc w:val="left"/>
              <w:rPr>
                <w:rFonts w:ascii="宋体" w:hAnsi="宋体" w:cs="宋体"/>
                <w:color w:val="auto"/>
                <w:kern w:val="0"/>
                <w:szCs w:val="21"/>
                <w:highlight w:val="none"/>
              </w:rPr>
            </w:pPr>
          </w:p>
          <w:p w14:paraId="53D313E9">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33E3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67C06333">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746A1CE5">
            <w:pPr>
              <w:shd w:val="clear" w:color="auto" w:fill="auto"/>
              <w:autoSpaceDE w:val="0"/>
              <w:autoSpaceDN w:val="0"/>
              <w:spacing w:line="340" w:lineRule="exact"/>
              <w:ind w:left="69" w:leftChars="33" w:right="69" w:rightChars="33"/>
              <w:rPr>
                <w:rFonts w:ascii="宋体" w:hAnsi="宋体" w:cs="宋体"/>
                <w:color w:val="auto"/>
                <w:kern w:val="0"/>
                <w:szCs w:val="21"/>
                <w:highlight w:val="none"/>
              </w:rPr>
            </w:pPr>
            <w:r>
              <w:rPr>
                <w:rFonts w:hint="eastAsia" w:ascii="宋体" w:hAnsi="宋体" w:cs="宋体"/>
                <w:color w:val="auto"/>
                <w:kern w:val="0"/>
                <w:szCs w:val="21"/>
                <w:highlight w:val="none"/>
              </w:rPr>
              <w:t>9、无重大治安案件，一般治安案件每月不超过两起。</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66C411D">
            <w:pPr>
              <w:shd w:val="clear" w:color="auto" w:fill="auto"/>
              <w:autoSpaceDE w:val="0"/>
              <w:autoSpaceDN w:val="0"/>
              <w:spacing w:line="340" w:lineRule="exact"/>
              <w:ind w:right="33"/>
              <w:jc w:val="center"/>
              <w:rPr>
                <w:b/>
                <w:bCs/>
                <w:color w:val="auto"/>
                <w:szCs w:val="21"/>
                <w:highlight w:val="none"/>
              </w:rPr>
            </w:pPr>
            <w:r>
              <w:rPr>
                <w:rFonts w:hint="eastAsia" w:ascii="宋体" w:hAnsi="宋体" w:cs="宋体"/>
                <w:color w:val="auto"/>
                <w:kern w:val="0"/>
                <w:szCs w:val="21"/>
                <w:highlight w:val="none"/>
              </w:rPr>
              <w:t>5分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3C29ED05">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发生重大案件扣5分，一般案件超过一起扣1分。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1A2C711">
            <w:pPr>
              <w:widowControl/>
              <w:shd w:val="clear" w:color="auto" w:fill="auto"/>
              <w:jc w:val="left"/>
              <w:rPr>
                <w:rFonts w:ascii="宋体" w:hAnsi="宋体" w:cs="宋体"/>
                <w:color w:val="auto"/>
                <w:kern w:val="0"/>
                <w:szCs w:val="21"/>
                <w:highlight w:val="none"/>
              </w:rPr>
            </w:pPr>
          </w:p>
          <w:p w14:paraId="09D92359">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2DC5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079" w:type="dxa"/>
            <w:vMerge w:val="restart"/>
            <w:tcBorders>
              <w:top w:val="single" w:color="auto" w:sz="4" w:space="0"/>
              <w:left w:val="single" w:color="auto" w:sz="4" w:space="0"/>
              <w:bottom w:val="single" w:color="auto" w:sz="4" w:space="0"/>
              <w:right w:val="single" w:color="auto" w:sz="4" w:space="0"/>
            </w:tcBorders>
            <w:noWrap w:val="0"/>
            <w:vAlign w:val="top"/>
          </w:tcPr>
          <w:p w14:paraId="5F157902">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p>
          <w:p w14:paraId="759D80C7">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p>
          <w:p w14:paraId="1393F353">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p>
          <w:p w14:paraId="20DA4C13">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交通</w:t>
            </w:r>
          </w:p>
          <w:p w14:paraId="7253DF86">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管理</w:t>
            </w:r>
          </w:p>
          <w:p w14:paraId="4B6D3D2D">
            <w:pPr>
              <w:shd w:val="clear" w:color="auto" w:fill="auto"/>
              <w:autoSpaceDE w:val="0"/>
              <w:autoSpaceDN w:val="0"/>
              <w:ind w:left="175" w:leftChars="53" w:right="84" w:rightChars="40" w:hanging="64" w:hangingChars="38"/>
              <w:jc w:val="center"/>
              <w:rPr>
                <w:rFonts w:ascii="宋体" w:hAnsi="宋体" w:cs="宋体"/>
                <w:color w:val="auto"/>
                <w:kern w:val="0"/>
                <w:szCs w:val="21"/>
                <w:highlight w:val="none"/>
              </w:rPr>
            </w:pPr>
            <w:r>
              <w:rPr>
                <w:rFonts w:hint="eastAsia" w:ascii="宋体" w:hAnsi="宋体" w:cs="宋体"/>
                <w:bCs/>
                <w:color w:val="auto"/>
                <w:spacing w:val="-20"/>
                <w:kern w:val="0"/>
                <w:szCs w:val="21"/>
                <w:highlight w:val="none"/>
              </w:rPr>
              <w:t>（15分）</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2ED5717F">
            <w:pPr>
              <w:shd w:val="clear" w:color="auto" w:fill="auto"/>
              <w:autoSpaceDE w:val="0"/>
              <w:autoSpaceDN w:val="0"/>
              <w:spacing w:line="340" w:lineRule="exact"/>
              <w:ind w:left="71" w:right="65" w:rightChars="31"/>
              <w:jc w:val="left"/>
              <w:rPr>
                <w:rFonts w:ascii="宋体" w:hAnsi="宋体" w:cs="宋体"/>
                <w:color w:val="auto"/>
                <w:kern w:val="0"/>
                <w:szCs w:val="21"/>
                <w:highlight w:val="none"/>
              </w:rPr>
            </w:pPr>
            <w:r>
              <w:rPr>
                <w:rFonts w:hint="eastAsia" w:ascii="宋体" w:hAnsi="宋体" w:cs="宋体"/>
                <w:color w:val="auto"/>
                <w:kern w:val="0"/>
                <w:szCs w:val="21"/>
                <w:highlight w:val="none"/>
              </w:rPr>
              <w:t>1、有专人专岗管理，进出口有专人值班，维护好院内停车秩序；车辆停放整齐，场地整洁，交通畅通。严禁违规停车，发现拥堵及时疏导。有交通突发情况应对预案，处置得力。确保院内停车秩序，维护好院内道路畅通和停车安全。</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5BCE6B4E">
            <w:pPr>
              <w:shd w:val="clear" w:color="auto" w:fill="auto"/>
              <w:autoSpaceDE w:val="0"/>
              <w:autoSpaceDN w:val="0"/>
              <w:spacing w:line="340" w:lineRule="exact"/>
              <w:ind w:right="31"/>
              <w:jc w:val="center"/>
              <w:rPr>
                <w:b/>
                <w:bCs/>
                <w:color w:val="auto"/>
                <w:szCs w:val="21"/>
                <w:highlight w:val="none"/>
              </w:rPr>
            </w:pPr>
            <w:r>
              <w:rPr>
                <w:rFonts w:hint="eastAsia" w:ascii="宋体" w:hAnsi="宋体" w:cs="宋体"/>
                <w:color w:val="auto"/>
                <w:kern w:val="0"/>
                <w:szCs w:val="21"/>
                <w:highlight w:val="none"/>
              </w:rPr>
              <w:t>10分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A7A44CC">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消防通道、急救通道及严禁停车的区段发现停车或乱停乱放每辆次扣0.5分，因交通管理不力造成拥堵及突发情况处置不力每次扣2分，发生有责投诉每起扣1-3分，并追究相应责任。</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937F0B5">
            <w:pPr>
              <w:widowControl/>
              <w:shd w:val="clear" w:color="auto" w:fill="auto"/>
              <w:jc w:val="left"/>
              <w:rPr>
                <w:rFonts w:ascii="宋体" w:hAnsi="宋体" w:cs="宋体"/>
                <w:color w:val="auto"/>
                <w:kern w:val="0"/>
                <w:szCs w:val="21"/>
                <w:highlight w:val="none"/>
              </w:rPr>
            </w:pPr>
          </w:p>
          <w:p w14:paraId="54FDC0AF">
            <w:pPr>
              <w:widowControl/>
              <w:shd w:val="clear" w:color="auto" w:fill="auto"/>
              <w:jc w:val="left"/>
              <w:rPr>
                <w:rFonts w:ascii="宋体" w:hAnsi="宋体" w:cs="宋体"/>
                <w:color w:val="auto"/>
                <w:kern w:val="0"/>
                <w:szCs w:val="21"/>
                <w:highlight w:val="none"/>
              </w:rPr>
            </w:pPr>
          </w:p>
          <w:p w14:paraId="2E556F5E">
            <w:pPr>
              <w:widowControl/>
              <w:shd w:val="clear" w:color="auto" w:fill="auto"/>
              <w:jc w:val="left"/>
              <w:rPr>
                <w:rFonts w:ascii="宋体" w:hAnsi="宋体" w:cs="宋体"/>
                <w:color w:val="auto"/>
                <w:kern w:val="0"/>
                <w:szCs w:val="21"/>
                <w:highlight w:val="none"/>
              </w:rPr>
            </w:pPr>
          </w:p>
          <w:p w14:paraId="55BC4B8A">
            <w:pPr>
              <w:widowControl/>
              <w:shd w:val="clear" w:color="auto" w:fill="auto"/>
              <w:jc w:val="left"/>
              <w:rPr>
                <w:rFonts w:ascii="宋体" w:hAnsi="宋体" w:cs="宋体"/>
                <w:color w:val="auto"/>
                <w:kern w:val="0"/>
                <w:szCs w:val="21"/>
                <w:highlight w:val="none"/>
              </w:rPr>
            </w:pPr>
          </w:p>
          <w:p w14:paraId="7607BCDD">
            <w:pPr>
              <w:widowControl/>
              <w:shd w:val="clear" w:color="auto" w:fill="auto"/>
              <w:jc w:val="left"/>
              <w:rPr>
                <w:rFonts w:ascii="宋体" w:hAnsi="宋体" w:cs="宋体"/>
                <w:color w:val="auto"/>
                <w:kern w:val="0"/>
                <w:szCs w:val="21"/>
                <w:highlight w:val="none"/>
              </w:rPr>
            </w:pPr>
          </w:p>
          <w:p w14:paraId="313C6677">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4EC7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698F7FE8">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6EC2B9E1">
            <w:pPr>
              <w:shd w:val="clear" w:color="auto" w:fill="auto"/>
              <w:autoSpaceDE w:val="0"/>
              <w:autoSpaceDN w:val="0"/>
              <w:spacing w:line="340" w:lineRule="exact"/>
              <w:ind w:left="69" w:right="65" w:rightChars="31"/>
              <w:rPr>
                <w:rFonts w:ascii="宋体" w:hAnsi="宋体" w:cs="宋体"/>
                <w:color w:val="auto"/>
                <w:kern w:val="0"/>
                <w:szCs w:val="21"/>
                <w:highlight w:val="none"/>
              </w:rPr>
            </w:pPr>
            <w:r>
              <w:rPr>
                <w:rFonts w:hint="eastAsia" w:ascii="宋体" w:hAnsi="宋体" w:cs="宋体"/>
                <w:color w:val="auto"/>
                <w:kern w:val="0"/>
                <w:szCs w:val="21"/>
                <w:highlight w:val="none"/>
              </w:rPr>
              <w:t>2、非机动车辆集中停放，管理制度落实，停车场车辆停放整齐，场地整洁，确保安全，严防损坏丢失；加强电瓶车充电安全管理，禁止私拉乱接电源及其他违章用电现象。</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57E3251">
            <w:pPr>
              <w:shd w:val="clear" w:color="auto" w:fill="auto"/>
              <w:autoSpaceDE w:val="0"/>
              <w:autoSpaceDN w:val="0"/>
              <w:spacing w:line="340" w:lineRule="exact"/>
              <w:ind w:right="31"/>
              <w:jc w:val="center"/>
              <w:rPr>
                <w:b/>
                <w:bCs/>
                <w:color w:val="auto"/>
                <w:szCs w:val="21"/>
                <w:highlight w:val="none"/>
              </w:rPr>
            </w:pPr>
            <w:r>
              <w:rPr>
                <w:rFonts w:hint="eastAsia" w:ascii="宋体" w:hAnsi="宋体" w:cs="宋体"/>
                <w:color w:val="auto"/>
                <w:kern w:val="0"/>
                <w:szCs w:val="21"/>
                <w:highlight w:val="none"/>
              </w:rPr>
              <w:t>5分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7F7BDEF1">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停车场车辆停放整齐次序零乱，场地卫生不整洁的每发现一次扣1分，监管不到位的，扣3分，私拉乱接电源现象每起扣2分，并承担由于管理失职造成事故责任。</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027F654">
            <w:pPr>
              <w:widowControl/>
              <w:shd w:val="clear" w:color="auto" w:fill="auto"/>
              <w:jc w:val="left"/>
              <w:rPr>
                <w:rFonts w:ascii="宋体" w:hAnsi="宋体" w:cs="宋体"/>
                <w:color w:val="auto"/>
                <w:kern w:val="0"/>
                <w:szCs w:val="21"/>
                <w:highlight w:val="none"/>
              </w:rPr>
            </w:pPr>
          </w:p>
          <w:p w14:paraId="7A1F9561">
            <w:pPr>
              <w:widowControl/>
              <w:shd w:val="clear" w:color="auto" w:fill="auto"/>
              <w:jc w:val="left"/>
              <w:rPr>
                <w:rFonts w:ascii="宋体" w:hAnsi="宋体" w:cs="宋体"/>
                <w:color w:val="auto"/>
                <w:kern w:val="0"/>
                <w:szCs w:val="21"/>
                <w:highlight w:val="none"/>
              </w:rPr>
            </w:pPr>
          </w:p>
          <w:p w14:paraId="3A954D5A">
            <w:pPr>
              <w:widowControl/>
              <w:shd w:val="clear" w:color="auto" w:fill="auto"/>
              <w:jc w:val="left"/>
              <w:rPr>
                <w:rFonts w:ascii="宋体" w:hAnsi="宋体" w:cs="宋体"/>
                <w:color w:val="auto"/>
                <w:kern w:val="0"/>
                <w:szCs w:val="21"/>
                <w:highlight w:val="none"/>
              </w:rPr>
            </w:pPr>
          </w:p>
          <w:p w14:paraId="3F965DA7">
            <w:pPr>
              <w:widowControl/>
              <w:shd w:val="clear" w:color="auto" w:fill="auto"/>
              <w:jc w:val="left"/>
              <w:rPr>
                <w:rFonts w:ascii="宋体" w:hAnsi="宋体" w:cs="宋体"/>
                <w:color w:val="auto"/>
                <w:kern w:val="0"/>
                <w:szCs w:val="21"/>
                <w:highlight w:val="none"/>
              </w:rPr>
            </w:pPr>
          </w:p>
          <w:p w14:paraId="31B3C6C6">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3F0E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1079" w:type="dxa"/>
            <w:vMerge w:val="restart"/>
            <w:tcBorders>
              <w:top w:val="single" w:color="auto" w:sz="4" w:space="0"/>
              <w:left w:val="single" w:color="auto" w:sz="4" w:space="0"/>
              <w:bottom w:val="single" w:color="auto" w:sz="4" w:space="0"/>
              <w:right w:val="single" w:color="auto" w:sz="4" w:space="0"/>
            </w:tcBorders>
            <w:noWrap w:val="0"/>
            <w:vAlign w:val="top"/>
          </w:tcPr>
          <w:p w14:paraId="44151DD7">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p>
          <w:p w14:paraId="6EF66E82">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p>
          <w:p w14:paraId="5080C281">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消防</w:t>
            </w:r>
          </w:p>
          <w:p w14:paraId="4755C767">
            <w:pPr>
              <w:shd w:val="clear" w:color="auto" w:fill="auto"/>
              <w:autoSpaceDE w:val="0"/>
              <w:autoSpaceDN w:val="0"/>
              <w:ind w:left="190" w:leftChars="53" w:right="84" w:rightChars="40" w:hanging="79" w:hangingChars="38"/>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管理</w:t>
            </w:r>
          </w:p>
          <w:p w14:paraId="63041C1F">
            <w:pPr>
              <w:shd w:val="clear" w:color="auto" w:fill="auto"/>
              <w:autoSpaceDE w:val="0"/>
              <w:autoSpaceDN w:val="0"/>
              <w:ind w:left="167" w:leftChars="53" w:right="84" w:rightChars="40" w:hanging="56" w:hangingChars="38"/>
              <w:jc w:val="center"/>
              <w:rPr>
                <w:rFonts w:ascii="宋体" w:hAnsi="宋体" w:cs="宋体"/>
                <w:color w:val="auto"/>
                <w:kern w:val="0"/>
                <w:szCs w:val="21"/>
                <w:highlight w:val="none"/>
              </w:rPr>
            </w:pPr>
            <w:r>
              <w:rPr>
                <w:rFonts w:hint="eastAsia" w:ascii="宋体" w:hAnsi="宋体" w:cs="宋体"/>
                <w:bCs/>
                <w:color w:val="auto"/>
                <w:spacing w:val="-20"/>
                <w:w w:val="90"/>
                <w:kern w:val="0"/>
                <w:szCs w:val="21"/>
                <w:highlight w:val="none"/>
              </w:rPr>
              <w:t>（ 20分）</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0845531B">
            <w:pPr>
              <w:shd w:val="clear" w:color="auto" w:fill="auto"/>
              <w:autoSpaceDE w:val="0"/>
              <w:autoSpaceDN w:val="0"/>
              <w:spacing w:line="340" w:lineRule="exact"/>
              <w:ind w:left="69" w:right="65" w:rightChars="31"/>
              <w:rPr>
                <w:rFonts w:ascii="宋体" w:hAnsi="宋体" w:cs="宋体"/>
                <w:color w:val="auto"/>
                <w:kern w:val="0"/>
                <w:szCs w:val="21"/>
                <w:highlight w:val="none"/>
              </w:rPr>
            </w:pPr>
            <w:r>
              <w:rPr>
                <w:rFonts w:hint="eastAsia" w:ascii="宋体" w:hAnsi="宋体" w:cs="宋体"/>
                <w:color w:val="auto"/>
                <w:kern w:val="0"/>
                <w:szCs w:val="21"/>
                <w:highlight w:val="none"/>
              </w:rPr>
              <w:t>1、组织开展消防法规及消防知识的宣传教育，明确各区域防火责任人。年度有消防培训计划、演练方案，有落实措施，并建立健全消防档案。配合院方开展各类消防安全培训和演练活动。</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2CEC7F9">
            <w:pPr>
              <w:shd w:val="clear" w:color="auto" w:fill="auto"/>
              <w:autoSpaceDE w:val="0"/>
              <w:autoSpaceDN w:val="0"/>
              <w:spacing w:line="340" w:lineRule="exact"/>
              <w:ind w:right="31"/>
              <w:jc w:val="center"/>
              <w:rPr>
                <w:b/>
                <w:bCs/>
                <w:color w:val="auto"/>
                <w:szCs w:val="21"/>
                <w:highlight w:val="none"/>
              </w:rPr>
            </w:pPr>
            <w:r>
              <w:rPr>
                <w:rFonts w:hint="eastAsia" w:ascii="宋体" w:hAnsi="宋体" w:cs="宋体"/>
                <w:color w:val="auto"/>
                <w:kern w:val="0"/>
                <w:szCs w:val="21"/>
                <w:highlight w:val="none"/>
              </w:rPr>
              <w:t>10分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C480ABD">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责任人不明确，一处扣2分，员工不了解安全防火应知应会，每人次扣1分。消防设施操作不熟练，每人次扣1分，消防培训计划、方案、措施不全，每项扣2分。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3410450">
            <w:pPr>
              <w:widowControl/>
              <w:shd w:val="clear" w:color="auto" w:fill="auto"/>
              <w:jc w:val="left"/>
              <w:rPr>
                <w:rFonts w:ascii="宋体" w:hAnsi="宋体" w:cs="宋体"/>
                <w:color w:val="auto"/>
                <w:kern w:val="0"/>
                <w:szCs w:val="21"/>
                <w:highlight w:val="none"/>
              </w:rPr>
            </w:pPr>
          </w:p>
          <w:p w14:paraId="519FA240">
            <w:pPr>
              <w:widowControl/>
              <w:shd w:val="clear" w:color="auto" w:fill="auto"/>
              <w:jc w:val="left"/>
              <w:rPr>
                <w:rFonts w:ascii="宋体" w:hAnsi="宋体" w:cs="宋体"/>
                <w:color w:val="auto"/>
                <w:kern w:val="0"/>
                <w:szCs w:val="21"/>
                <w:highlight w:val="none"/>
              </w:rPr>
            </w:pPr>
          </w:p>
          <w:p w14:paraId="70C4CE08">
            <w:pPr>
              <w:widowControl/>
              <w:shd w:val="clear" w:color="auto" w:fill="auto"/>
              <w:jc w:val="left"/>
              <w:rPr>
                <w:rFonts w:ascii="宋体" w:hAnsi="宋体" w:cs="宋体"/>
                <w:color w:val="auto"/>
                <w:kern w:val="0"/>
                <w:szCs w:val="21"/>
                <w:highlight w:val="none"/>
              </w:rPr>
            </w:pPr>
          </w:p>
          <w:p w14:paraId="0E842F63">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58C0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528431B7">
            <w:pPr>
              <w:widowControl/>
              <w:shd w:val="clear" w:color="auto" w:fill="auto"/>
              <w:jc w:val="left"/>
              <w:rPr>
                <w:rFonts w:ascii="宋体" w:hAnsi="宋体" w:cs="宋体"/>
                <w:color w:val="auto"/>
                <w:kern w:val="0"/>
                <w:szCs w:val="21"/>
                <w:highlight w:val="none"/>
              </w:rPr>
            </w:pPr>
          </w:p>
        </w:tc>
        <w:tc>
          <w:tcPr>
            <w:tcW w:w="3586" w:type="dxa"/>
            <w:tcBorders>
              <w:top w:val="single" w:color="auto" w:sz="4" w:space="0"/>
              <w:left w:val="single" w:color="auto" w:sz="4" w:space="0"/>
              <w:bottom w:val="single" w:color="auto" w:sz="4" w:space="0"/>
              <w:right w:val="single" w:color="auto" w:sz="4" w:space="0"/>
            </w:tcBorders>
            <w:noWrap w:val="0"/>
            <w:vAlign w:val="center"/>
          </w:tcPr>
          <w:p w14:paraId="14095052">
            <w:pPr>
              <w:shd w:val="clear" w:color="auto" w:fill="auto"/>
              <w:spacing w:line="3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严格执行消防工作管理制度，积极巡查，及时正确处理出现的问题。如实填写工作记录，设备使用情况清楚，工作制度、规定、程序，健全各种险情应急方案，确保现场消防设施正常运行，状态良好。无事故、无火灾。</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60A8BC9C">
            <w:pPr>
              <w:shd w:val="clear" w:color="auto" w:fill="auto"/>
              <w:autoSpaceDE w:val="0"/>
              <w:autoSpaceDN w:val="0"/>
              <w:spacing w:line="340" w:lineRule="exact"/>
              <w:ind w:right="31"/>
              <w:jc w:val="center"/>
              <w:rPr>
                <w:b/>
                <w:bCs/>
                <w:color w:val="auto"/>
                <w:szCs w:val="21"/>
                <w:highlight w:val="none"/>
              </w:rPr>
            </w:pPr>
            <w:r>
              <w:rPr>
                <w:rFonts w:hint="eastAsia" w:ascii="宋体" w:hAnsi="宋体" w:cs="宋体"/>
                <w:color w:val="auto"/>
                <w:kern w:val="0"/>
                <w:szCs w:val="21"/>
                <w:highlight w:val="none"/>
              </w:rPr>
              <w:t>10分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04D3888F">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制度、方案不健全每项扣2分，记录不准确、检查不准时扣2分，未及时发现消防设备缺损、过期，不熟悉应急方案，未按规定履行职责，每次扣2分，造成有责事故扣完分，造成重大火灾事故一票否决，并追究相应法律责任。</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A6DA602">
            <w:pPr>
              <w:widowControl/>
              <w:shd w:val="clear" w:color="auto" w:fill="auto"/>
              <w:jc w:val="left"/>
              <w:rPr>
                <w:rFonts w:ascii="宋体" w:hAnsi="宋体" w:cs="宋体"/>
                <w:color w:val="auto"/>
                <w:kern w:val="0"/>
                <w:szCs w:val="21"/>
                <w:highlight w:val="none"/>
              </w:rPr>
            </w:pPr>
          </w:p>
          <w:p w14:paraId="06B69419">
            <w:pPr>
              <w:widowControl/>
              <w:shd w:val="clear" w:color="auto" w:fill="auto"/>
              <w:jc w:val="left"/>
              <w:rPr>
                <w:rFonts w:ascii="宋体" w:hAnsi="宋体" w:cs="宋体"/>
                <w:color w:val="auto"/>
                <w:kern w:val="0"/>
                <w:szCs w:val="21"/>
                <w:highlight w:val="none"/>
              </w:rPr>
            </w:pPr>
          </w:p>
          <w:p w14:paraId="42AE0CAB">
            <w:pPr>
              <w:widowControl/>
              <w:shd w:val="clear" w:color="auto" w:fill="auto"/>
              <w:jc w:val="left"/>
              <w:rPr>
                <w:rFonts w:ascii="宋体" w:hAnsi="宋体" w:cs="宋体"/>
                <w:color w:val="auto"/>
                <w:kern w:val="0"/>
                <w:szCs w:val="21"/>
                <w:highlight w:val="none"/>
              </w:rPr>
            </w:pPr>
          </w:p>
          <w:p w14:paraId="49000834">
            <w:pPr>
              <w:widowControl/>
              <w:shd w:val="clear" w:color="auto" w:fill="auto"/>
              <w:jc w:val="left"/>
              <w:rPr>
                <w:rFonts w:ascii="宋体" w:hAnsi="宋体" w:cs="宋体"/>
                <w:color w:val="auto"/>
                <w:kern w:val="0"/>
                <w:szCs w:val="21"/>
                <w:highlight w:val="none"/>
              </w:rPr>
            </w:pPr>
          </w:p>
          <w:p w14:paraId="1722E5C8">
            <w:pPr>
              <w:widowControl/>
              <w:shd w:val="clear" w:color="auto" w:fill="auto"/>
              <w:jc w:val="left"/>
              <w:rPr>
                <w:rFonts w:ascii="宋体" w:hAnsi="宋体" w:cs="宋体"/>
                <w:color w:val="auto"/>
                <w:kern w:val="0"/>
                <w:szCs w:val="21"/>
                <w:highlight w:val="none"/>
              </w:rPr>
            </w:pPr>
          </w:p>
          <w:p w14:paraId="1340001D">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3619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079" w:type="dxa"/>
            <w:tcBorders>
              <w:top w:val="single" w:color="auto" w:sz="4" w:space="0"/>
              <w:left w:val="single" w:color="auto" w:sz="4" w:space="0"/>
              <w:bottom w:val="single" w:color="auto" w:sz="4" w:space="0"/>
              <w:right w:val="single" w:color="auto" w:sz="4" w:space="0"/>
            </w:tcBorders>
            <w:noWrap w:val="0"/>
            <w:vAlign w:val="top"/>
          </w:tcPr>
          <w:p w14:paraId="4F40623B">
            <w:pPr>
              <w:shd w:val="clear" w:color="auto" w:fill="auto"/>
              <w:autoSpaceDE w:val="0"/>
              <w:autoSpaceDN w:val="0"/>
              <w:ind w:left="190" w:leftChars="53" w:right="84" w:rightChars="40" w:hanging="79" w:hangingChars="38"/>
              <w:jc w:val="center"/>
              <w:rPr>
                <w:rFonts w:ascii="宋体" w:hAnsi="宋体"/>
                <w:color w:val="auto"/>
                <w:szCs w:val="21"/>
                <w:highlight w:val="none"/>
              </w:rPr>
            </w:pPr>
            <w:r>
              <w:rPr>
                <w:rFonts w:hint="eastAsia" w:ascii="宋体" w:hAnsi="宋体"/>
                <w:color w:val="auto"/>
                <w:szCs w:val="21"/>
                <w:highlight w:val="none"/>
              </w:rPr>
              <w:t>环境</w:t>
            </w:r>
          </w:p>
          <w:p w14:paraId="797280EB">
            <w:pPr>
              <w:shd w:val="clear" w:color="auto" w:fill="auto"/>
              <w:autoSpaceDE w:val="0"/>
              <w:autoSpaceDN w:val="0"/>
              <w:ind w:left="190" w:leftChars="53" w:right="84" w:rightChars="40" w:hanging="79" w:hangingChars="38"/>
              <w:jc w:val="center"/>
              <w:rPr>
                <w:rFonts w:ascii="宋体" w:hAnsi="宋体"/>
                <w:color w:val="auto"/>
                <w:szCs w:val="21"/>
                <w:highlight w:val="none"/>
              </w:rPr>
            </w:pPr>
            <w:r>
              <w:rPr>
                <w:rFonts w:hint="eastAsia" w:ascii="宋体" w:hAnsi="宋体"/>
                <w:color w:val="auto"/>
                <w:szCs w:val="21"/>
                <w:highlight w:val="none"/>
              </w:rPr>
              <w:t>卫生</w:t>
            </w:r>
          </w:p>
          <w:p w14:paraId="3C5E4C74">
            <w:pPr>
              <w:shd w:val="clear" w:color="auto" w:fill="auto"/>
              <w:autoSpaceDE w:val="0"/>
              <w:autoSpaceDN w:val="0"/>
              <w:ind w:left="190" w:leftChars="53" w:right="84" w:rightChars="40" w:hanging="79" w:hangingChars="38"/>
              <w:jc w:val="center"/>
              <w:rPr>
                <w:rFonts w:ascii="宋体" w:hAnsi="宋体" w:cs="宋体"/>
                <w:bCs/>
                <w:color w:val="auto"/>
                <w:w w:val="90"/>
                <w:kern w:val="0"/>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分）</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58F7B1F3">
            <w:pPr>
              <w:shd w:val="clear" w:color="auto" w:fill="auto"/>
              <w:autoSpaceDE w:val="0"/>
              <w:autoSpaceDN w:val="0"/>
              <w:spacing w:line="340" w:lineRule="exact"/>
              <w:ind w:right="84" w:rightChars="40"/>
              <w:jc w:val="left"/>
              <w:rPr>
                <w:rFonts w:ascii="宋体" w:hAnsi="宋体" w:cs="宋体"/>
                <w:color w:val="auto"/>
                <w:kern w:val="0"/>
                <w:szCs w:val="21"/>
                <w:highlight w:val="none"/>
              </w:rPr>
            </w:pPr>
            <w:r>
              <w:rPr>
                <w:rFonts w:hint="eastAsia" w:ascii="宋体" w:hAnsi="宋体"/>
                <w:color w:val="auto"/>
                <w:szCs w:val="21"/>
                <w:highlight w:val="none"/>
              </w:rPr>
              <w:t>随时保持值班区域内外干净、整洁（警务室、保卫科门前及周围）</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5F1339C">
            <w:pPr>
              <w:shd w:val="clear" w:color="auto" w:fill="auto"/>
              <w:autoSpaceDE w:val="0"/>
              <w:autoSpaceDN w:val="0"/>
              <w:spacing w:line="340" w:lineRule="exact"/>
              <w:ind w:right="40"/>
              <w:jc w:val="center"/>
              <w:rPr>
                <w:b/>
                <w:bCs/>
                <w:color w:val="auto"/>
                <w:szCs w:val="21"/>
                <w:highlight w:val="none"/>
              </w:rPr>
            </w:pPr>
            <w:r>
              <w:rPr>
                <w:rFonts w:hint="eastAsia" w:ascii="宋体" w:hAnsi="宋体" w:cs="宋体"/>
                <w:color w:val="auto"/>
                <w:kern w:val="0"/>
                <w:szCs w:val="21"/>
                <w:highlight w:val="none"/>
              </w:rPr>
              <w:t>5分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4E2F263">
            <w:pPr>
              <w:shd w:val="clear" w:color="auto" w:fill="auto"/>
              <w:autoSpaceDE w:val="0"/>
              <w:autoSpaceDN w:val="0"/>
              <w:spacing w:line="340" w:lineRule="exact"/>
              <w:ind w:right="69" w:rightChars="33"/>
              <w:rPr>
                <w:rFonts w:ascii="宋体" w:hAnsi="宋体" w:cs="宋体"/>
                <w:color w:val="auto"/>
                <w:kern w:val="0"/>
                <w:szCs w:val="21"/>
                <w:highlight w:val="none"/>
              </w:rPr>
            </w:pPr>
            <w:r>
              <w:rPr>
                <w:rFonts w:hint="eastAsia" w:ascii="宋体" w:hAnsi="宋体" w:cs="宋体"/>
                <w:color w:val="auto"/>
                <w:kern w:val="0"/>
                <w:szCs w:val="21"/>
                <w:highlight w:val="none"/>
              </w:rPr>
              <w:t>警务室、保卫科内发现有烟头的扣1分，门前及周围值班区域内外卫生不干净、整洁的扣2-4分。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3F04064">
            <w:pPr>
              <w:widowControl/>
              <w:shd w:val="clear" w:color="auto" w:fill="auto"/>
              <w:jc w:val="left"/>
              <w:rPr>
                <w:rFonts w:ascii="宋体" w:hAnsi="宋体" w:cs="宋体"/>
                <w:color w:val="auto"/>
                <w:kern w:val="0"/>
                <w:szCs w:val="21"/>
                <w:highlight w:val="none"/>
              </w:rPr>
            </w:pPr>
          </w:p>
          <w:p w14:paraId="2605BB5B">
            <w:pPr>
              <w:widowControl/>
              <w:shd w:val="clear" w:color="auto" w:fill="auto"/>
              <w:jc w:val="left"/>
              <w:rPr>
                <w:rFonts w:ascii="宋体" w:hAnsi="宋体" w:cs="宋体"/>
                <w:color w:val="auto"/>
                <w:kern w:val="0"/>
                <w:szCs w:val="21"/>
                <w:highlight w:val="none"/>
              </w:rPr>
            </w:pPr>
          </w:p>
          <w:p w14:paraId="747C9EBD">
            <w:pPr>
              <w:widowControl/>
              <w:shd w:val="clear" w:color="auto" w:fill="auto"/>
              <w:jc w:val="left"/>
              <w:rPr>
                <w:rFonts w:ascii="宋体" w:hAnsi="宋体" w:cs="宋体"/>
                <w:color w:val="auto"/>
                <w:kern w:val="0"/>
                <w:szCs w:val="21"/>
                <w:highlight w:val="none"/>
              </w:rPr>
            </w:pPr>
          </w:p>
          <w:p w14:paraId="23F79580">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51E2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079" w:type="dxa"/>
            <w:tcBorders>
              <w:top w:val="single" w:color="auto" w:sz="4" w:space="0"/>
              <w:left w:val="single" w:color="auto" w:sz="4" w:space="0"/>
              <w:bottom w:val="single" w:color="auto" w:sz="4" w:space="0"/>
              <w:right w:val="single" w:color="auto" w:sz="4" w:space="0"/>
            </w:tcBorders>
            <w:noWrap w:val="0"/>
            <w:vAlign w:val="center"/>
          </w:tcPr>
          <w:p w14:paraId="72709762">
            <w:pPr>
              <w:shd w:val="clear" w:color="auto" w:fill="auto"/>
              <w:autoSpaceDE w:val="0"/>
              <w:autoSpaceDN w:val="0"/>
              <w:spacing w:line="400" w:lineRule="exact"/>
              <w:ind w:left="175" w:leftChars="53" w:right="84" w:rightChars="40" w:hanging="64" w:hangingChars="38"/>
              <w:jc w:val="center"/>
              <w:rPr>
                <w:rFonts w:ascii="宋体" w:hAnsi="宋体" w:cs="宋体"/>
                <w:bCs/>
                <w:color w:val="auto"/>
                <w:spacing w:val="-20"/>
                <w:kern w:val="0"/>
                <w:szCs w:val="21"/>
                <w:highlight w:val="none"/>
              </w:rPr>
            </w:pPr>
            <w:r>
              <w:rPr>
                <w:rFonts w:hint="eastAsia" w:ascii="宋体" w:hAnsi="宋体" w:cs="宋体"/>
                <w:bCs/>
                <w:color w:val="auto"/>
                <w:spacing w:val="-20"/>
                <w:kern w:val="0"/>
                <w:szCs w:val="21"/>
                <w:highlight w:val="none"/>
              </w:rPr>
              <w:t>综合满意度</w:t>
            </w:r>
          </w:p>
          <w:p w14:paraId="5F73E28E">
            <w:pPr>
              <w:shd w:val="clear" w:color="auto" w:fill="auto"/>
              <w:autoSpaceDE w:val="0"/>
              <w:autoSpaceDN w:val="0"/>
              <w:spacing w:line="400" w:lineRule="exact"/>
              <w:ind w:left="175" w:leftChars="53" w:right="84" w:rightChars="40" w:hanging="64" w:hangingChars="38"/>
              <w:jc w:val="center"/>
              <w:rPr>
                <w:rFonts w:ascii="宋体" w:hAnsi="宋体" w:cs="宋体"/>
                <w:color w:val="auto"/>
                <w:spacing w:val="-20"/>
                <w:kern w:val="0"/>
                <w:szCs w:val="21"/>
                <w:highlight w:val="none"/>
              </w:rPr>
            </w:pPr>
            <w:r>
              <w:rPr>
                <w:rFonts w:hint="eastAsia" w:ascii="宋体" w:hAnsi="宋体" w:cs="宋体"/>
                <w:bCs/>
                <w:color w:val="auto"/>
                <w:spacing w:val="-20"/>
                <w:kern w:val="0"/>
                <w:szCs w:val="21"/>
                <w:highlight w:val="none"/>
              </w:rPr>
              <w:t>（10分）</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700FB41B">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安保整体服务月平均满意度（行政管理、医护人员、病人或家属）不得低于90%。</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85360C4">
            <w:pPr>
              <w:shd w:val="clear" w:color="auto" w:fill="auto"/>
              <w:autoSpaceDE w:val="0"/>
              <w:autoSpaceDN w:val="0"/>
              <w:spacing w:line="340" w:lineRule="exact"/>
              <w:ind w:right="69" w:rightChars="33"/>
              <w:rPr>
                <w:b/>
                <w:bCs/>
                <w:color w:val="auto"/>
                <w:szCs w:val="21"/>
                <w:highlight w:val="none"/>
              </w:rPr>
            </w:pPr>
            <w:r>
              <w:rPr>
                <w:rFonts w:hint="eastAsia" w:ascii="宋体" w:hAnsi="宋体" w:cs="宋体"/>
                <w:color w:val="auto"/>
                <w:kern w:val="0"/>
                <w:szCs w:val="21"/>
                <w:highlight w:val="none"/>
              </w:rPr>
              <w:t>10分</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05147AE7">
            <w:pPr>
              <w:shd w:val="clear" w:color="auto" w:fill="auto"/>
              <w:autoSpaceDE w:val="0"/>
              <w:autoSpaceDN w:val="0"/>
              <w:spacing w:line="340" w:lineRule="exact"/>
              <w:ind w:left="84" w:leftChars="40" w:right="69" w:rightChars="33"/>
              <w:rPr>
                <w:rFonts w:ascii="宋体" w:hAnsi="宋体" w:cs="宋体"/>
                <w:color w:val="auto"/>
                <w:kern w:val="0"/>
                <w:szCs w:val="21"/>
                <w:highlight w:val="none"/>
              </w:rPr>
            </w:pPr>
            <w:r>
              <w:rPr>
                <w:rFonts w:hint="eastAsia" w:ascii="宋体" w:hAnsi="宋体" w:cs="宋体"/>
                <w:color w:val="auto"/>
                <w:kern w:val="0"/>
                <w:szCs w:val="21"/>
                <w:highlight w:val="none"/>
              </w:rPr>
              <w:t>每月随机测评30人，低于90%，每一个点扣1分,低于80%，每一个点加扣款100元处罚。</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7E1F412">
            <w:pPr>
              <w:widowControl/>
              <w:shd w:val="clear" w:color="auto" w:fill="auto"/>
              <w:jc w:val="left"/>
              <w:rPr>
                <w:rFonts w:ascii="宋体" w:hAnsi="宋体" w:cs="宋体"/>
                <w:color w:val="auto"/>
                <w:kern w:val="0"/>
                <w:szCs w:val="21"/>
                <w:highlight w:val="none"/>
              </w:rPr>
            </w:pPr>
          </w:p>
          <w:p w14:paraId="66C44103">
            <w:pPr>
              <w:shd w:val="clear" w:color="auto" w:fill="auto"/>
              <w:autoSpaceDE w:val="0"/>
              <w:autoSpaceDN w:val="0"/>
              <w:spacing w:line="340" w:lineRule="exact"/>
              <w:ind w:right="69" w:rightChars="33"/>
              <w:rPr>
                <w:rFonts w:ascii="宋体" w:hAnsi="宋体" w:cs="宋体"/>
                <w:color w:val="auto"/>
                <w:kern w:val="0"/>
                <w:szCs w:val="21"/>
                <w:highlight w:val="none"/>
              </w:rPr>
            </w:pPr>
          </w:p>
        </w:tc>
      </w:tr>
      <w:tr w14:paraId="05CC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1079" w:type="dxa"/>
            <w:tcBorders>
              <w:top w:val="single" w:color="auto" w:sz="4" w:space="0"/>
              <w:left w:val="single" w:color="auto" w:sz="4" w:space="0"/>
              <w:bottom w:val="single" w:color="auto" w:sz="4" w:space="0"/>
              <w:right w:val="single" w:color="auto" w:sz="4" w:space="0"/>
            </w:tcBorders>
            <w:noWrap w:val="0"/>
            <w:vAlign w:val="center"/>
          </w:tcPr>
          <w:p w14:paraId="0A140729">
            <w:pPr>
              <w:shd w:val="clear" w:color="auto" w:fill="auto"/>
              <w:spacing w:line="400" w:lineRule="exact"/>
              <w:jc w:val="center"/>
              <w:rPr>
                <w:rFonts w:ascii="宋体" w:hAnsi="宋体"/>
                <w:color w:val="auto"/>
                <w:szCs w:val="21"/>
                <w:highlight w:val="none"/>
              </w:rPr>
            </w:pPr>
            <w:r>
              <w:rPr>
                <w:rFonts w:hint="eastAsia" w:ascii="宋体" w:hAnsi="宋体" w:cs="宋体"/>
                <w:bCs/>
                <w:color w:val="auto"/>
                <w:spacing w:val="-20"/>
                <w:kern w:val="0"/>
                <w:szCs w:val="21"/>
                <w:highlight w:val="none"/>
              </w:rPr>
              <w:t>奖罚标准</w:t>
            </w:r>
          </w:p>
        </w:tc>
        <w:tc>
          <w:tcPr>
            <w:tcW w:w="7517" w:type="dxa"/>
            <w:gridSpan w:val="3"/>
            <w:tcBorders>
              <w:top w:val="single" w:color="auto" w:sz="4" w:space="0"/>
              <w:left w:val="single" w:color="auto" w:sz="4" w:space="0"/>
              <w:bottom w:val="single" w:color="auto" w:sz="4" w:space="0"/>
              <w:right w:val="single" w:color="auto" w:sz="4" w:space="0"/>
            </w:tcBorders>
            <w:noWrap w:val="0"/>
            <w:vAlign w:val="top"/>
          </w:tcPr>
          <w:p w14:paraId="4C52D6F8">
            <w:pPr>
              <w:shd w:val="clear" w:color="auto" w:fill="auto"/>
              <w:spacing w:line="3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14:paraId="74510369">
            <w:pPr>
              <w:shd w:val="clear" w:color="auto" w:fill="auto"/>
              <w:spacing w:line="340" w:lineRule="exact"/>
              <w:jc w:val="left"/>
              <w:rPr>
                <w:rFonts w:ascii="宋体" w:hAnsi="宋体"/>
                <w:color w:val="auto"/>
                <w:szCs w:val="21"/>
                <w:highlight w:val="none"/>
              </w:rPr>
            </w:pPr>
            <w:r>
              <w:rPr>
                <w:rFonts w:hint="eastAsia" w:ascii="宋体" w:hAnsi="宋体" w:cs="宋体"/>
                <w:color w:val="auto"/>
                <w:kern w:val="0"/>
                <w:szCs w:val="21"/>
                <w:highlight w:val="none"/>
              </w:rPr>
              <w:t>1.合计总分100分，</w:t>
            </w:r>
            <w:r>
              <w:rPr>
                <w:rFonts w:hint="eastAsia" w:ascii="宋体" w:hAnsi="宋体"/>
                <w:color w:val="auto"/>
                <w:szCs w:val="21"/>
                <w:highlight w:val="none"/>
              </w:rPr>
              <w:t>在扣分说明中，违规就扣分；不违规，不扣分，不加分；</w:t>
            </w:r>
          </w:p>
          <w:p w14:paraId="7D163742">
            <w:pPr>
              <w:shd w:val="clear" w:color="auto" w:fill="auto"/>
              <w:spacing w:line="340" w:lineRule="exact"/>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月绩效考评采取随时电话抽查、现场查看、抽查、提问等方式进行；</w:t>
            </w:r>
          </w:p>
          <w:p w14:paraId="553C888C">
            <w:pPr>
              <w:shd w:val="clear" w:color="auto" w:fill="auto"/>
              <w:spacing w:line="340" w:lineRule="exact"/>
              <w:jc w:val="left"/>
              <w:rPr>
                <w:rFonts w:ascii="宋体" w:hAnsi="宋体"/>
                <w:color w:val="auto"/>
                <w:szCs w:val="21"/>
                <w:highlight w:val="none"/>
              </w:rPr>
            </w:pPr>
            <w:r>
              <w:rPr>
                <w:rFonts w:ascii="宋体" w:hAnsi="宋体"/>
                <w:color w:val="auto"/>
                <w:szCs w:val="21"/>
                <w:highlight w:val="none"/>
              </w:rPr>
              <w:t>3 .</w:t>
            </w:r>
            <w:r>
              <w:rPr>
                <w:rFonts w:hint="eastAsia" w:ascii="宋体" w:hAnsi="宋体"/>
                <w:color w:val="auto"/>
                <w:szCs w:val="21"/>
                <w:highlight w:val="none"/>
              </w:rPr>
              <w:t>以月为周期，累计每次扣分，次月月初</w:t>
            </w:r>
            <w:r>
              <w:rPr>
                <w:rFonts w:ascii="宋体" w:hAnsi="宋体"/>
                <w:color w:val="auto"/>
                <w:szCs w:val="21"/>
                <w:highlight w:val="none"/>
              </w:rPr>
              <w:t>5</w:t>
            </w:r>
            <w:r>
              <w:rPr>
                <w:rFonts w:hint="eastAsia" w:ascii="宋体" w:hAnsi="宋体"/>
                <w:color w:val="auto"/>
                <w:szCs w:val="21"/>
                <w:highlight w:val="none"/>
              </w:rPr>
              <w:t>日前统计月绩效考评得分，</w:t>
            </w:r>
            <w:r>
              <w:rPr>
                <w:rFonts w:ascii="宋体" w:hAnsi="宋体"/>
                <w:color w:val="auto"/>
                <w:szCs w:val="21"/>
                <w:highlight w:val="none"/>
              </w:rPr>
              <w:t>10</w:t>
            </w:r>
            <w:r>
              <w:rPr>
                <w:rFonts w:hint="eastAsia" w:ascii="宋体" w:hAnsi="宋体"/>
                <w:color w:val="auto"/>
                <w:szCs w:val="21"/>
                <w:highlight w:val="none"/>
              </w:rPr>
              <w:t>日前拨付前月绩效；</w:t>
            </w:r>
          </w:p>
          <w:p w14:paraId="6DB46C4E">
            <w:pPr>
              <w:shd w:val="clear" w:color="auto" w:fill="auto"/>
              <w:spacing w:line="340" w:lineRule="exact"/>
              <w:jc w:val="left"/>
              <w:rPr>
                <w:rFonts w:ascii="宋体" w:hAnsi="宋体" w:cs="宋体"/>
                <w:color w:val="auto"/>
                <w:kern w:val="0"/>
                <w:szCs w:val="21"/>
                <w:highlight w:val="none"/>
              </w:rPr>
            </w:pPr>
            <w:r>
              <w:rPr>
                <w:rFonts w:ascii="宋体" w:hAnsi="宋体"/>
                <w:color w:val="auto"/>
                <w:szCs w:val="21"/>
                <w:highlight w:val="none"/>
              </w:rPr>
              <w:t>4.</w:t>
            </w:r>
            <w:r>
              <w:rPr>
                <w:rFonts w:hint="eastAsia" w:ascii="宋体" w:hAnsi="宋体" w:cs="宋体"/>
                <w:color w:val="auto"/>
                <w:kern w:val="0"/>
                <w:szCs w:val="21"/>
                <w:highlight w:val="none"/>
              </w:rPr>
              <w:t>每月考评，考核得分90分以上不扣服务费，90分（含90分）以下每下降1个百分点扣除200元服务费；80分（含80分）以下每下降1个百分点扣除300元服务费，累计扣除管理费不超过2000元；</w:t>
            </w:r>
          </w:p>
          <w:p w14:paraId="6FB1A5BA">
            <w:pPr>
              <w:shd w:val="clear" w:color="auto" w:fill="auto"/>
              <w:spacing w:line="340" w:lineRule="exact"/>
              <w:jc w:val="left"/>
              <w:rPr>
                <w:rFonts w:ascii="宋体" w:hAnsi="宋体"/>
                <w:color w:val="auto"/>
                <w:szCs w:val="21"/>
                <w:highlight w:val="none"/>
              </w:rPr>
            </w:pPr>
            <w:r>
              <w:rPr>
                <w:rFonts w:hint="eastAsia" w:ascii="宋体" w:hAnsi="宋体" w:cs="宋体"/>
                <w:color w:val="auto"/>
                <w:kern w:val="0"/>
                <w:szCs w:val="21"/>
                <w:highlight w:val="none"/>
              </w:rPr>
              <w:t>5.</w:t>
            </w:r>
            <w:r>
              <w:rPr>
                <w:rFonts w:hint="eastAsia" w:ascii="宋体" w:hAnsi="宋体"/>
                <w:color w:val="auto"/>
                <w:szCs w:val="21"/>
                <w:highlight w:val="none"/>
              </w:rPr>
              <w:t>低于75分当月的月绩效考核为不合格，要求针对存在问题写出整改计划；</w:t>
            </w:r>
            <w:r>
              <w:rPr>
                <w:rFonts w:ascii="宋体" w:hAnsi="宋体"/>
                <w:color w:val="auto"/>
                <w:szCs w:val="21"/>
                <w:highlight w:val="none"/>
              </w:rPr>
              <w:t xml:space="preserve"> </w:t>
            </w:r>
          </w:p>
        </w:tc>
        <w:tc>
          <w:tcPr>
            <w:tcW w:w="822" w:type="dxa"/>
            <w:tcBorders>
              <w:top w:val="single" w:color="auto" w:sz="4" w:space="0"/>
              <w:left w:val="single" w:color="auto" w:sz="4" w:space="0"/>
              <w:bottom w:val="single" w:color="auto" w:sz="4" w:space="0"/>
              <w:right w:val="single" w:color="auto" w:sz="4" w:space="0"/>
            </w:tcBorders>
            <w:noWrap w:val="0"/>
            <w:vAlign w:val="top"/>
          </w:tcPr>
          <w:p w14:paraId="6E00E1C3">
            <w:pPr>
              <w:shd w:val="clear" w:color="auto" w:fill="auto"/>
              <w:spacing w:line="340" w:lineRule="exact"/>
              <w:ind w:firstLine="210" w:firstLineChars="100"/>
              <w:rPr>
                <w:rFonts w:ascii="宋体" w:hAnsi="宋体"/>
                <w:color w:val="auto"/>
                <w:szCs w:val="21"/>
                <w:highlight w:val="none"/>
              </w:rPr>
            </w:pPr>
          </w:p>
        </w:tc>
      </w:tr>
      <w:tr w14:paraId="18D5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418" w:type="dxa"/>
            <w:gridSpan w:val="5"/>
            <w:tcBorders>
              <w:top w:val="single" w:color="auto" w:sz="4" w:space="0"/>
              <w:left w:val="single" w:color="auto" w:sz="4" w:space="0"/>
              <w:bottom w:val="single" w:color="auto" w:sz="4" w:space="0"/>
              <w:right w:val="single" w:color="auto" w:sz="4" w:space="0"/>
            </w:tcBorders>
            <w:noWrap w:val="0"/>
            <w:vAlign w:val="top"/>
          </w:tcPr>
          <w:p w14:paraId="1D54BFA1">
            <w:pPr>
              <w:shd w:val="clear" w:color="auto" w:fill="auto"/>
              <w:rPr>
                <w:rFonts w:ascii="宋体" w:hAnsi="宋体"/>
                <w:color w:val="auto"/>
                <w:szCs w:val="21"/>
                <w:highlight w:val="none"/>
              </w:rPr>
            </w:pPr>
            <w:r>
              <w:rPr>
                <w:rFonts w:hint="eastAsia" w:ascii="宋体" w:hAnsi="宋体"/>
                <w:color w:val="auto"/>
                <w:szCs w:val="21"/>
                <w:highlight w:val="none"/>
              </w:rPr>
              <w:t>本次累计扣分：</w:t>
            </w:r>
          </w:p>
        </w:tc>
      </w:tr>
      <w:tr w14:paraId="57EA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418" w:type="dxa"/>
            <w:gridSpan w:val="5"/>
            <w:tcBorders>
              <w:top w:val="single" w:color="auto" w:sz="4" w:space="0"/>
              <w:left w:val="single" w:color="auto" w:sz="4" w:space="0"/>
              <w:bottom w:val="single" w:color="auto" w:sz="4" w:space="0"/>
              <w:right w:val="single" w:color="auto" w:sz="4" w:space="0"/>
            </w:tcBorders>
            <w:noWrap w:val="0"/>
            <w:vAlign w:val="top"/>
          </w:tcPr>
          <w:p w14:paraId="293D93F8">
            <w:pPr>
              <w:shd w:val="clear" w:color="auto" w:fill="auto"/>
              <w:rPr>
                <w:rFonts w:ascii="宋体" w:hAnsi="宋体"/>
                <w:color w:val="auto"/>
                <w:szCs w:val="21"/>
                <w:highlight w:val="none"/>
              </w:rPr>
            </w:pPr>
            <w:r>
              <w:rPr>
                <w:rFonts w:hint="eastAsia" w:ascii="宋体" w:hAnsi="宋体"/>
                <w:color w:val="auto"/>
                <w:szCs w:val="21"/>
                <w:highlight w:val="none"/>
              </w:rPr>
              <w:t>本月累计扣分：</w:t>
            </w:r>
          </w:p>
        </w:tc>
      </w:tr>
      <w:tr w14:paraId="4867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18" w:type="dxa"/>
            <w:gridSpan w:val="5"/>
            <w:tcBorders>
              <w:top w:val="single" w:color="auto" w:sz="4" w:space="0"/>
              <w:left w:val="single" w:color="auto" w:sz="4" w:space="0"/>
              <w:bottom w:val="single" w:color="auto" w:sz="4" w:space="0"/>
              <w:right w:val="single" w:color="auto" w:sz="4" w:space="0"/>
            </w:tcBorders>
            <w:noWrap w:val="0"/>
            <w:vAlign w:val="top"/>
          </w:tcPr>
          <w:p w14:paraId="02C4CDE1">
            <w:pPr>
              <w:shd w:val="clear" w:color="auto" w:fill="auto"/>
              <w:rPr>
                <w:rFonts w:ascii="宋体" w:hAnsi="宋体"/>
                <w:color w:val="auto"/>
                <w:szCs w:val="21"/>
                <w:highlight w:val="none"/>
              </w:rPr>
            </w:pPr>
            <w:r>
              <w:rPr>
                <w:rFonts w:hint="eastAsia" w:ascii="宋体" w:hAnsi="宋体"/>
                <w:color w:val="auto"/>
                <w:szCs w:val="21"/>
                <w:highlight w:val="none"/>
              </w:rPr>
              <w:t>月考核得分：</w:t>
            </w:r>
          </w:p>
        </w:tc>
      </w:tr>
      <w:tr w14:paraId="38ED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18" w:type="dxa"/>
            <w:gridSpan w:val="5"/>
            <w:tcBorders>
              <w:top w:val="single" w:color="auto" w:sz="4" w:space="0"/>
              <w:left w:val="single" w:color="auto" w:sz="4" w:space="0"/>
              <w:bottom w:val="single" w:color="auto" w:sz="4" w:space="0"/>
              <w:right w:val="single" w:color="auto" w:sz="4" w:space="0"/>
            </w:tcBorders>
            <w:noWrap w:val="0"/>
            <w:vAlign w:val="top"/>
          </w:tcPr>
          <w:p w14:paraId="2A4D157E">
            <w:pPr>
              <w:shd w:val="clear" w:color="auto" w:fill="auto"/>
              <w:rPr>
                <w:rFonts w:ascii="宋体" w:hAnsi="宋体"/>
                <w:color w:val="auto"/>
                <w:szCs w:val="21"/>
                <w:highlight w:val="none"/>
              </w:rPr>
            </w:pPr>
            <w:r>
              <w:rPr>
                <w:rFonts w:hint="eastAsia" w:ascii="宋体" w:hAnsi="宋体"/>
                <w:color w:val="auto"/>
                <w:szCs w:val="21"/>
                <w:highlight w:val="none"/>
              </w:rPr>
              <w:t>上个月存在问题以及整改落实情况：</w:t>
            </w:r>
          </w:p>
          <w:p w14:paraId="50D15ECF">
            <w:pPr>
              <w:shd w:val="clear" w:color="auto" w:fill="auto"/>
              <w:rPr>
                <w:rFonts w:ascii="宋体" w:hAnsi="宋体"/>
                <w:color w:val="auto"/>
                <w:szCs w:val="21"/>
                <w:highlight w:val="none"/>
              </w:rPr>
            </w:pPr>
          </w:p>
          <w:p w14:paraId="72008EE1">
            <w:pPr>
              <w:shd w:val="clear" w:color="auto" w:fill="auto"/>
              <w:rPr>
                <w:rFonts w:ascii="宋体" w:hAnsi="宋体"/>
                <w:color w:val="auto"/>
                <w:szCs w:val="21"/>
                <w:highlight w:val="none"/>
              </w:rPr>
            </w:pPr>
          </w:p>
          <w:p w14:paraId="41DDC01A">
            <w:pPr>
              <w:shd w:val="clear" w:color="auto" w:fill="auto"/>
              <w:rPr>
                <w:rFonts w:ascii="宋体" w:hAnsi="宋体"/>
                <w:color w:val="auto"/>
                <w:szCs w:val="21"/>
                <w:highlight w:val="none"/>
              </w:rPr>
            </w:pPr>
          </w:p>
          <w:p w14:paraId="0E6DBC42">
            <w:pPr>
              <w:shd w:val="clear" w:color="auto" w:fill="auto"/>
              <w:rPr>
                <w:rFonts w:ascii="宋体" w:hAnsi="宋体"/>
                <w:color w:val="auto"/>
                <w:szCs w:val="21"/>
                <w:highlight w:val="none"/>
              </w:rPr>
            </w:pPr>
          </w:p>
          <w:p w14:paraId="44B167D3">
            <w:pPr>
              <w:shd w:val="clear" w:color="auto" w:fill="auto"/>
              <w:rPr>
                <w:rFonts w:ascii="宋体" w:hAnsi="宋体"/>
                <w:color w:val="auto"/>
                <w:szCs w:val="21"/>
                <w:highlight w:val="none"/>
              </w:rPr>
            </w:pPr>
          </w:p>
          <w:p w14:paraId="3A764BA5">
            <w:pPr>
              <w:shd w:val="clear" w:color="auto" w:fill="auto"/>
              <w:rPr>
                <w:rFonts w:ascii="宋体" w:hAnsi="宋体"/>
                <w:color w:val="auto"/>
                <w:szCs w:val="21"/>
                <w:highlight w:val="none"/>
              </w:rPr>
            </w:pPr>
          </w:p>
          <w:p w14:paraId="2A51F13D">
            <w:pPr>
              <w:shd w:val="clear" w:color="auto" w:fill="auto"/>
              <w:rPr>
                <w:rFonts w:ascii="宋体" w:hAnsi="宋体"/>
                <w:color w:val="auto"/>
                <w:szCs w:val="21"/>
                <w:highlight w:val="none"/>
              </w:rPr>
            </w:pPr>
            <w:r>
              <w:rPr>
                <w:rFonts w:hint="eastAsia" w:ascii="宋体" w:hAnsi="宋体"/>
                <w:color w:val="auto"/>
                <w:szCs w:val="21"/>
                <w:highlight w:val="none"/>
              </w:rPr>
              <w:t>本月存在问题：</w:t>
            </w:r>
          </w:p>
          <w:p w14:paraId="03F60E3C">
            <w:pPr>
              <w:shd w:val="clear" w:color="auto" w:fill="auto"/>
              <w:rPr>
                <w:rFonts w:ascii="宋体" w:hAnsi="宋体"/>
                <w:color w:val="auto"/>
                <w:szCs w:val="21"/>
                <w:highlight w:val="none"/>
              </w:rPr>
            </w:pPr>
          </w:p>
          <w:p w14:paraId="0A5E14D1">
            <w:pPr>
              <w:shd w:val="clear" w:color="auto" w:fill="auto"/>
              <w:ind w:left="426"/>
              <w:rPr>
                <w:rFonts w:ascii="宋体" w:hAnsi="宋体"/>
                <w:color w:val="auto"/>
                <w:szCs w:val="21"/>
                <w:highlight w:val="none"/>
              </w:rPr>
            </w:pPr>
          </w:p>
          <w:p w14:paraId="787CDD4E">
            <w:pPr>
              <w:shd w:val="clear" w:color="auto" w:fill="auto"/>
              <w:ind w:left="426"/>
              <w:rPr>
                <w:rFonts w:ascii="宋体" w:hAnsi="宋体"/>
                <w:color w:val="auto"/>
                <w:szCs w:val="21"/>
                <w:highlight w:val="none"/>
              </w:rPr>
            </w:pPr>
          </w:p>
          <w:p w14:paraId="174323A7">
            <w:pPr>
              <w:shd w:val="clear" w:color="auto" w:fill="auto"/>
              <w:ind w:left="426"/>
              <w:rPr>
                <w:rFonts w:ascii="宋体" w:hAnsi="宋体"/>
                <w:color w:val="auto"/>
                <w:szCs w:val="21"/>
                <w:highlight w:val="none"/>
              </w:rPr>
            </w:pPr>
          </w:p>
          <w:p w14:paraId="3E0A5A62">
            <w:pPr>
              <w:shd w:val="clear" w:color="auto" w:fill="auto"/>
              <w:rPr>
                <w:rFonts w:ascii="宋体" w:hAnsi="宋体"/>
                <w:color w:val="auto"/>
                <w:szCs w:val="21"/>
                <w:highlight w:val="none"/>
              </w:rPr>
            </w:pPr>
          </w:p>
          <w:p w14:paraId="19489B5E">
            <w:pPr>
              <w:shd w:val="clear" w:color="auto" w:fill="auto"/>
              <w:rPr>
                <w:rFonts w:ascii="宋体" w:hAnsi="宋体"/>
                <w:color w:val="auto"/>
                <w:szCs w:val="21"/>
                <w:highlight w:val="none"/>
              </w:rPr>
            </w:pPr>
          </w:p>
        </w:tc>
      </w:tr>
      <w:tr w14:paraId="394C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18" w:type="dxa"/>
            <w:gridSpan w:val="5"/>
            <w:tcBorders>
              <w:top w:val="single" w:color="auto" w:sz="4" w:space="0"/>
              <w:left w:val="single" w:color="auto" w:sz="4" w:space="0"/>
              <w:bottom w:val="single" w:color="auto" w:sz="4" w:space="0"/>
              <w:right w:val="single" w:color="auto" w:sz="4" w:space="0"/>
            </w:tcBorders>
            <w:noWrap w:val="0"/>
            <w:vAlign w:val="top"/>
          </w:tcPr>
          <w:p w14:paraId="73ED453E">
            <w:pPr>
              <w:shd w:val="clear" w:color="auto" w:fill="auto"/>
              <w:rPr>
                <w:rFonts w:ascii="宋体" w:hAnsi="宋体"/>
                <w:color w:val="auto"/>
                <w:szCs w:val="21"/>
                <w:highlight w:val="none"/>
              </w:rPr>
            </w:pPr>
          </w:p>
          <w:p w14:paraId="4656D038">
            <w:pPr>
              <w:shd w:val="clear" w:color="auto" w:fill="auto"/>
              <w:rPr>
                <w:rFonts w:ascii="宋体" w:hAnsi="宋体"/>
                <w:color w:val="auto"/>
                <w:szCs w:val="21"/>
                <w:highlight w:val="none"/>
              </w:rPr>
            </w:pPr>
            <w:r>
              <w:rPr>
                <w:rFonts w:hint="eastAsia" w:ascii="宋体" w:hAnsi="宋体"/>
                <w:color w:val="auto"/>
                <w:szCs w:val="21"/>
                <w:highlight w:val="none"/>
              </w:rPr>
              <w:t>整改期限：</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r w14:paraId="7FB8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18" w:type="dxa"/>
            <w:gridSpan w:val="5"/>
            <w:tcBorders>
              <w:top w:val="single" w:color="auto" w:sz="4" w:space="0"/>
              <w:left w:val="single" w:color="auto" w:sz="4" w:space="0"/>
              <w:bottom w:val="single" w:color="auto" w:sz="4" w:space="0"/>
              <w:right w:val="single" w:color="auto" w:sz="4" w:space="0"/>
            </w:tcBorders>
            <w:noWrap w:val="0"/>
            <w:vAlign w:val="top"/>
          </w:tcPr>
          <w:p w14:paraId="6D67BE16">
            <w:pPr>
              <w:shd w:val="clear" w:color="auto" w:fill="auto"/>
              <w:rPr>
                <w:rFonts w:ascii="宋体" w:hAnsi="宋体"/>
                <w:color w:val="auto"/>
                <w:szCs w:val="21"/>
                <w:highlight w:val="none"/>
              </w:rPr>
            </w:pPr>
          </w:p>
          <w:p w14:paraId="3608A2E1">
            <w:pPr>
              <w:shd w:val="clear" w:color="auto" w:fill="auto"/>
              <w:rPr>
                <w:rFonts w:ascii="宋体" w:hAnsi="宋体"/>
                <w:color w:val="auto"/>
                <w:szCs w:val="21"/>
                <w:highlight w:val="none"/>
              </w:rPr>
            </w:pPr>
            <w:r>
              <w:rPr>
                <w:rFonts w:hint="eastAsia" w:ascii="宋体" w:hAnsi="宋体"/>
                <w:color w:val="auto"/>
                <w:szCs w:val="21"/>
                <w:highlight w:val="none"/>
              </w:rPr>
              <w:t>考核小组人员签名：</w:t>
            </w:r>
          </w:p>
          <w:p w14:paraId="7E7DAEE0">
            <w:pPr>
              <w:shd w:val="clear" w:color="auto" w:fill="auto"/>
              <w:ind w:left="426"/>
              <w:rPr>
                <w:rFonts w:ascii="宋体" w:hAnsi="宋体"/>
                <w:color w:val="auto"/>
                <w:szCs w:val="21"/>
                <w:highlight w:val="none"/>
              </w:rPr>
            </w:pPr>
          </w:p>
        </w:tc>
      </w:tr>
      <w:tr w14:paraId="21BC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65" w:type="dxa"/>
            <w:gridSpan w:val="2"/>
            <w:tcBorders>
              <w:top w:val="single" w:color="auto" w:sz="4" w:space="0"/>
              <w:left w:val="single" w:color="auto" w:sz="4" w:space="0"/>
              <w:bottom w:val="single" w:color="auto" w:sz="4" w:space="0"/>
              <w:right w:val="single" w:color="auto" w:sz="4" w:space="0"/>
            </w:tcBorders>
            <w:noWrap w:val="0"/>
            <w:vAlign w:val="top"/>
          </w:tcPr>
          <w:p w14:paraId="67228874">
            <w:pPr>
              <w:shd w:val="clear" w:color="auto" w:fill="auto"/>
              <w:rPr>
                <w:rFonts w:ascii="宋体" w:hAnsi="宋体"/>
                <w:color w:val="auto"/>
                <w:szCs w:val="21"/>
                <w:highlight w:val="none"/>
              </w:rPr>
            </w:pPr>
            <w:r>
              <w:rPr>
                <w:rFonts w:hint="eastAsia" w:ascii="宋体" w:hAnsi="宋体"/>
                <w:color w:val="auto"/>
                <w:szCs w:val="21"/>
                <w:highlight w:val="none"/>
              </w:rPr>
              <w:t>分管院领导签名：</w:t>
            </w:r>
          </w:p>
        </w:tc>
        <w:tc>
          <w:tcPr>
            <w:tcW w:w="4753" w:type="dxa"/>
            <w:gridSpan w:val="3"/>
            <w:tcBorders>
              <w:top w:val="single" w:color="auto" w:sz="4" w:space="0"/>
              <w:left w:val="single" w:color="auto" w:sz="4" w:space="0"/>
              <w:bottom w:val="single" w:color="auto" w:sz="4" w:space="0"/>
              <w:right w:val="single" w:color="auto" w:sz="4" w:space="0"/>
            </w:tcBorders>
            <w:noWrap w:val="0"/>
            <w:vAlign w:val="top"/>
          </w:tcPr>
          <w:p w14:paraId="623085A7">
            <w:pPr>
              <w:shd w:val="clear" w:color="auto" w:fill="auto"/>
              <w:rPr>
                <w:rFonts w:ascii="宋体" w:hAnsi="宋体"/>
                <w:color w:val="auto"/>
                <w:szCs w:val="21"/>
                <w:highlight w:val="none"/>
              </w:rPr>
            </w:pPr>
            <w:r>
              <w:rPr>
                <w:rFonts w:hint="eastAsia" w:ascii="宋体" w:hAnsi="宋体"/>
                <w:color w:val="auto"/>
                <w:szCs w:val="21"/>
                <w:highlight w:val="none"/>
              </w:rPr>
              <w:t>保安公司负责人签名：</w:t>
            </w:r>
          </w:p>
        </w:tc>
      </w:tr>
      <w:tr w14:paraId="5719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65" w:type="dxa"/>
            <w:gridSpan w:val="2"/>
            <w:tcBorders>
              <w:top w:val="single" w:color="auto" w:sz="4" w:space="0"/>
              <w:left w:val="single" w:color="auto" w:sz="4" w:space="0"/>
              <w:bottom w:val="single" w:color="auto" w:sz="4" w:space="0"/>
              <w:right w:val="single" w:color="auto" w:sz="4" w:space="0"/>
            </w:tcBorders>
            <w:noWrap w:val="0"/>
            <w:vAlign w:val="top"/>
          </w:tcPr>
          <w:p w14:paraId="4468F884">
            <w:pPr>
              <w:shd w:val="clear" w:color="auto" w:fill="auto"/>
              <w:ind w:firstLine="2415" w:firstLineChars="1150"/>
              <w:rPr>
                <w:rFonts w:ascii="宋体" w:hAnsi="宋体"/>
                <w:color w:val="auto"/>
                <w:szCs w:val="21"/>
                <w:highlight w:val="none"/>
              </w:rPr>
            </w:pPr>
          </w:p>
          <w:p w14:paraId="55EA9F73">
            <w:pPr>
              <w:shd w:val="clear" w:color="auto" w:fill="auto"/>
              <w:ind w:firstLine="2415" w:firstLineChars="1150"/>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753" w:type="dxa"/>
            <w:gridSpan w:val="3"/>
            <w:tcBorders>
              <w:top w:val="single" w:color="auto" w:sz="4" w:space="0"/>
              <w:left w:val="single" w:color="auto" w:sz="4" w:space="0"/>
              <w:bottom w:val="single" w:color="auto" w:sz="4" w:space="0"/>
              <w:right w:val="single" w:color="auto" w:sz="4" w:space="0"/>
            </w:tcBorders>
            <w:noWrap w:val="0"/>
            <w:vAlign w:val="top"/>
          </w:tcPr>
          <w:p w14:paraId="2E09522B">
            <w:pPr>
              <w:shd w:val="clear" w:color="auto" w:fill="auto"/>
              <w:ind w:firstLine="2940" w:firstLineChars="1400"/>
              <w:jc w:val="left"/>
              <w:rPr>
                <w:rFonts w:ascii="宋体" w:hAnsi="宋体"/>
                <w:color w:val="auto"/>
                <w:szCs w:val="21"/>
                <w:highlight w:val="none"/>
              </w:rPr>
            </w:pPr>
          </w:p>
          <w:p w14:paraId="01F8A6D1">
            <w:pPr>
              <w:shd w:val="clear" w:color="auto" w:fill="auto"/>
              <w:ind w:firstLine="2940" w:firstLineChars="1400"/>
              <w:jc w:val="left"/>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27FEF81C">
      <w:pPr>
        <w:rPr>
          <w:color w:val="auto"/>
          <w:highlight w:val="none"/>
        </w:rPr>
      </w:pPr>
      <w:r>
        <w:rPr>
          <w:color w:val="auto"/>
          <w:highlight w:val="none"/>
        </w:rPr>
        <w:br w:type="page"/>
      </w:r>
    </w:p>
    <w:p w14:paraId="2208E17D">
      <w:pPr>
        <w:shd w:val="clear" w:color="auto" w:fill="auto"/>
        <w:spacing w:line="520" w:lineRule="exact"/>
        <w:rPr>
          <w:rFonts w:hint="eastAsia" w:ascii="宋体" w:hAnsi="宋体" w:eastAsia="宋体" w:cs="Times New Roman"/>
          <w:b/>
          <w:color w:val="auto"/>
          <w:sz w:val="30"/>
          <w:szCs w:val="30"/>
          <w:highlight w:val="none"/>
          <w:lang w:eastAsia="zh-CN"/>
        </w:rPr>
      </w:pPr>
      <w:r>
        <w:rPr>
          <w:rFonts w:hint="eastAsia" w:ascii="宋体" w:hAnsi="宋体" w:eastAsia="宋体" w:cs="Times New Roman"/>
          <w:b/>
          <w:color w:val="auto"/>
          <w:sz w:val="30"/>
          <w:szCs w:val="30"/>
          <w:highlight w:val="none"/>
          <w:lang w:eastAsia="zh-CN"/>
        </w:rPr>
        <w:t>附件</w:t>
      </w:r>
      <w:r>
        <w:rPr>
          <w:rFonts w:hint="eastAsia" w:ascii="宋体" w:hAnsi="宋体" w:eastAsia="宋体" w:cs="Times New Roman"/>
          <w:b/>
          <w:color w:val="auto"/>
          <w:sz w:val="30"/>
          <w:szCs w:val="30"/>
          <w:highlight w:val="none"/>
          <w:lang w:val="en-US" w:eastAsia="zh-CN"/>
        </w:rPr>
        <w:t>2</w:t>
      </w:r>
    </w:p>
    <w:p w14:paraId="490E0E83">
      <w:pPr>
        <w:widowControl w:val="0"/>
        <w:spacing w:before="25" w:after="25" w:line="440" w:lineRule="exact"/>
        <w:jc w:val="center"/>
        <w:rPr>
          <w:rFonts w:hint="eastAsia" w:ascii="宋体" w:hAnsi="宋体" w:eastAsia="宋体" w:cs="方正小标宋简体"/>
          <w:b/>
          <w:bCs w:val="0"/>
          <w:color w:val="auto"/>
          <w:spacing w:val="10"/>
          <w:sz w:val="28"/>
          <w:szCs w:val="28"/>
          <w:highlight w:val="none"/>
          <w:lang w:bidi="ar-SA"/>
        </w:rPr>
      </w:pPr>
      <w:r>
        <w:rPr>
          <w:rFonts w:hint="eastAsia" w:ascii="宋体" w:hAnsi="宋体" w:eastAsia="宋体" w:cs="方正小标宋简体"/>
          <w:b/>
          <w:bCs w:val="0"/>
          <w:color w:val="auto"/>
          <w:spacing w:val="10"/>
          <w:sz w:val="28"/>
          <w:szCs w:val="28"/>
          <w:highlight w:val="none"/>
          <w:lang w:bidi="ar-SA"/>
        </w:rPr>
        <w:t>廉洁诚信协议</w:t>
      </w:r>
    </w:p>
    <w:p w14:paraId="193D5808">
      <w:pPr>
        <w:widowControl w:val="0"/>
        <w:spacing w:before="25" w:after="25" w:line="440" w:lineRule="exact"/>
        <w:ind w:firstLine="460" w:firstLineChars="200"/>
        <w:jc w:val="both"/>
        <w:rPr>
          <w:rFonts w:hint="default" w:ascii="宋体" w:hAnsi="宋体" w:eastAsia="宋体" w:cs="宋体"/>
          <w:bCs/>
          <w:color w:val="auto"/>
          <w:spacing w:val="10"/>
          <w:sz w:val="21"/>
          <w:szCs w:val="21"/>
          <w:highlight w:val="none"/>
          <w:lang w:val="en-US" w:eastAsia="zh-CN" w:bidi="ar-SA"/>
        </w:rPr>
      </w:pPr>
      <w:r>
        <w:rPr>
          <w:rFonts w:hint="eastAsia" w:ascii="宋体" w:hAnsi="宋体" w:eastAsia="宋体" w:cs="宋体"/>
          <w:bCs/>
          <w:color w:val="auto"/>
          <w:spacing w:val="10"/>
          <w:sz w:val="21"/>
          <w:szCs w:val="21"/>
          <w:highlight w:val="none"/>
          <w:lang w:bidi="ar-SA"/>
        </w:rPr>
        <w:t>甲方：</w:t>
      </w:r>
      <w:r>
        <w:rPr>
          <w:rFonts w:hint="eastAsia" w:ascii="宋体" w:hAnsi="宋体" w:eastAsia="宋体" w:cs="宋体"/>
          <w:bCs/>
          <w:color w:val="auto"/>
          <w:spacing w:val="10"/>
          <w:sz w:val="21"/>
          <w:szCs w:val="21"/>
          <w:highlight w:val="none"/>
          <w:u w:val="single"/>
          <w:lang w:eastAsia="zh-CN" w:bidi="ar-SA"/>
        </w:rPr>
        <w:t xml:space="preserve">              </w:t>
      </w:r>
      <w:r>
        <w:rPr>
          <w:rFonts w:hint="eastAsia" w:ascii="宋体" w:hAnsi="宋体" w:eastAsia="宋体" w:cs="宋体"/>
          <w:bCs/>
          <w:color w:val="auto"/>
          <w:spacing w:val="10"/>
          <w:sz w:val="21"/>
          <w:szCs w:val="21"/>
          <w:highlight w:val="none"/>
          <w:u w:val="single"/>
          <w:lang w:val="en-US" w:eastAsia="zh-CN" w:bidi="ar-SA"/>
        </w:rPr>
        <w:t xml:space="preserve">  </w:t>
      </w:r>
    </w:p>
    <w:p w14:paraId="4F7CD5B6">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乙方：</w:t>
      </w:r>
      <w:r>
        <w:rPr>
          <w:rFonts w:hint="eastAsia" w:ascii="宋体" w:hAnsi="宋体" w:eastAsia="宋体" w:cs="宋体"/>
          <w:bCs/>
          <w:color w:val="auto"/>
          <w:spacing w:val="10"/>
          <w:sz w:val="21"/>
          <w:szCs w:val="21"/>
          <w:highlight w:val="none"/>
          <w:u w:val="single"/>
          <w:lang w:eastAsia="zh-CN" w:bidi="ar-SA"/>
        </w:rPr>
        <w:t xml:space="preserve">            </w:t>
      </w:r>
      <w:r>
        <w:rPr>
          <w:rFonts w:hint="eastAsia" w:ascii="宋体" w:hAnsi="宋体" w:eastAsia="宋体" w:cs="宋体"/>
          <w:bCs/>
          <w:color w:val="auto"/>
          <w:spacing w:val="10"/>
          <w:sz w:val="21"/>
          <w:szCs w:val="21"/>
          <w:highlight w:val="none"/>
          <w:u w:val="single"/>
          <w:lang w:val="en-US" w:eastAsia="zh-CN" w:bidi="ar-SA"/>
        </w:rPr>
        <w:t xml:space="preserve">  </w:t>
      </w:r>
      <w:r>
        <w:rPr>
          <w:rFonts w:hint="eastAsia" w:ascii="宋体" w:hAnsi="宋体" w:eastAsia="宋体" w:cs="宋体"/>
          <w:bCs/>
          <w:color w:val="auto"/>
          <w:spacing w:val="10"/>
          <w:sz w:val="21"/>
          <w:szCs w:val="21"/>
          <w:highlight w:val="none"/>
          <w:u w:val="single"/>
          <w:lang w:eastAsia="zh-CN" w:bidi="ar-SA"/>
        </w:rPr>
        <w:t xml:space="preserve">  </w:t>
      </w:r>
    </w:p>
    <w:p w14:paraId="6D40F5E0">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为保障甲方与乙方在业务来往的合法权益，推进甲、乙双方及其工作人员的廉洁诚信建设，使甲、乙双方的业务往来充分体现廉洁、诚信的原则，预防商业贿赂和不正当竞争，甲、乙双方在自愿的基础上签署本协议。</w:t>
      </w:r>
    </w:p>
    <w:p w14:paraId="0F9D547C">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第一条 本协议作为采购合同的附件，经甲、乙双方签署后生效。</w:t>
      </w:r>
    </w:p>
    <w:p w14:paraId="24785211">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本协议所指利害关系人是指评审项目有关工作人员、有关工作人员亲属及其他共同利益关系人。</w:t>
      </w:r>
    </w:p>
    <w:p w14:paraId="6061E61C">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第二条 甲、乙双方应共同遵守下列条款：</w:t>
      </w:r>
    </w:p>
    <w:p w14:paraId="33C61424">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(一)严格遵守国家法律法规，坚持廉洁、诚信的原则，恪守公认的商业道德和职业道德规范，不从事并抵制不廉洁、不诚信行为；</w:t>
      </w:r>
    </w:p>
    <w:p w14:paraId="2767395E">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(二)对各自工作人员开展廉政教育，增强相关人员廉洁自律的意识。</w:t>
      </w:r>
    </w:p>
    <w:p w14:paraId="78FA0DED">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第三条 甲方应遵守下列条款：</w:t>
      </w:r>
    </w:p>
    <w:p w14:paraId="5FB85675">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(一)利害关系人不得接受或以借用等名义占用乙方或乙方工作人员的财物；</w:t>
      </w:r>
    </w:p>
    <w:p w14:paraId="20C1E3C3">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(二)利害关系人不得接受乙方提供的礼品、宴请以及旅游、健身、娱乐等活动安排；</w:t>
      </w:r>
    </w:p>
    <w:p w14:paraId="2083DE58">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(三)利害关系人不得接受乙方提供的礼金和各种有价证券、支付凭证；</w:t>
      </w:r>
    </w:p>
    <w:p w14:paraId="7F9ABF2B">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(四)利害关系人不得要求乙方支付应由本人负担的费用或报销票据；</w:t>
      </w:r>
    </w:p>
    <w:p w14:paraId="66D0716B">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(五)利害关系人不得接受由乙方提供的其他任何可能影响本人公正执行公务的财物或服务；</w:t>
      </w:r>
    </w:p>
    <w:p w14:paraId="482B234F">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第四条 乙方应遵守下列条款：</w:t>
      </w:r>
    </w:p>
    <w:p w14:paraId="3FB24C8A">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（一）不准以任何理由向甲方及其工作人员赠送礼金、有价证券、贵重物品和回扣、好处费、感谢费等。</w:t>
      </w:r>
    </w:p>
    <w:p w14:paraId="120D1AE3">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（二）不准以任何理由为甲方及其工作人员报销应由对方或个人支付的费用。</w:t>
      </w:r>
    </w:p>
    <w:p w14:paraId="798D7764">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（三）不准接受或暗示为甲方或个人装修住房、婚丧嫁娶、配偶子女的工作安排以及出国（境）、旅游等提供方便。</w:t>
      </w:r>
    </w:p>
    <w:p w14:paraId="0D00805F">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eastAsia="zh-CN" w:bidi="ar-SA"/>
        </w:rPr>
      </w:pPr>
      <w:r>
        <w:rPr>
          <w:rFonts w:hint="eastAsia" w:ascii="宋体" w:hAnsi="宋体" w:eastAsia="宋体" w:cs="宋体"/>
          <w:bCs/>
          <w:color w:val="auto"/>
          <w:spacing w:val="10"/>
          <w:sz w:val="21"/>
          <w:szCs w:val="21"/>
          <w:highlight w:val="none"/>
          <w:lang w:bidi="ar-SA"/>
        </w:rPr>
        <w:t>（四）不准以任何理由为甲方或个人组织有可能影响公正执行公务的宴请和健身、娱乐等活动。</w:t>
      </w:r>
    </w:p>
    <w:p w14:paraId="350B02C5">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第五条 违约责任</w:t>
      </w:r>
    </w:p>
    <w:p w14:paraId="642BE22F">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甲、乙双方工作人员如违反本协议规定，由甲、乙双方依据有关规定严肃处理。如乙方违反本协议规定，甲方有权依据相关规定，对乙方进行严肃处理。乙方不廉洁、不诚信行为造成甲方经济损失或有损甲方形象和声誉的，由乙方予以赔偿。</w:t>
      </w:r>
    </w:p>
    <w:p w14:paraId="0CD7F406">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第六条 甲、乙双方的监督检查部门对本廉洁诚信协议的执行情况进行监督检查，接受有关投诉和举报。</w:t>
      </w:r>
    </w:p>
    <w:p w14:paraId="63AA27C6">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170954B7">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第七条 本协议为采购合同附件，与采购合同一并签署。</w:t>
      </w:r>
    </w:p>
    <w:p w14:paraId="60671F77">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第八条 本协议由甲方负责解释。</w:t>
      </w:r>
    </w:p>
    <w:p w14:paraId="68541752">
      <w:pPr>
        <w:widowControl w:val="0"/>
        <w:spacing w:before="25" w:after="25" w:line="440" w:lineRule="exact"/>
        <w:ind w:firstLine="460" w:firstLineChars="200"/>
        <w:jc w:val="both"/>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第九条 监督检查部门举报及投诉渠道。</w:t>
      </w:r>
    </w:p>
    <w:p w14:paraId="76C19170">
      <w:pPr>
        <w:spacing w:line="360" w:lineRule="auto"/>
        <w:ind w:firstLine="460" w:firstLineChars="200"/>
        <w:rPr>
          <w:rFonts w:hint="eastAsia" w:ascii="宋体" w:hAnsi="宋体" w:cs="宋体"/>
          <w:color w:val="auto"/>
          <w:kern w:val="0"/>
          <w:sz w:val="21"/>
          <w:szCs w:val="21"/>
          <w:highlight w:val="none"/>
        </w:rPr>
      </w:pPr>
      <w:r>
        <w:rPr>
          <w:rFonts w:hint="eastAsia" w:ascii="宋体" w:hAnsi="宋体" w:eastAsia="宋体" w:cs="宋体"/>
          <w:bCs/>
          <w:color w:val="auto"/>
          <w:spacing w:val="10"/>
          <w:sz w:val="21"/>
          <w:szCs w:val="21"/>
          <w:highlight w:val="none"/>
          <w:lang w:bidi="ar-SA"/>
        </w:rPr>
        <w:t>名称：</w:t>
      </w:r>
      <w:r>
        <w:rPr>
          <w:rFonts w:hint="eastAsia" w:ascii="宋体" w:hAnsi="宋体" w:cs="宋体"/>
          <w:color w:val="auto"/>
          <w:kern w:val="0"/>
          <w:sz w:val="21"/>
          <w:szCs w:val="21"/>
          <w:highlight w:val="none"/>
        </w:rPr>
        <w:t>防城港市第一人民医院</w:t>
      </w:r>
    </w:p>
    <w:p w14:paraId="2437C87A">
      <w:pPr>
        <w:spacing w:line="360" w:lineRule="auto"/>
        <w:ind w:firstLine="460" w:firstLineChars="200"/>
        <w:rPr>
          <w:rFonts w:hint="eastAsia" w:ascii="宋体" w:hAnsi="宋体" w:eastAsia="宋体" w:cs="宋体"/>
          <w:bCs/>
          <w:color w:val="auto"/>
          <w:spacing w:val="10"/>
          <w:sz w:val="21"/>
          <w:szCs w:val="21"/>
          <w:highlight w:val="none"/>
          <w:lang w:bidi="ar-SA"/>
        </w:rPr>
      </w:pPr>
      <w:r>
        <w:rPr>
          <w:rFonts w:hint="eastAsia" w:ascii="宋体" w:hAnsi="宋体" w:eastAsia="宋体" w:cs="宋体"/>
          <w:bCs/>
          <w:color w:val="auto"/>
          <w:spacing w:val="10"/>
          <w:sz w:val="21"/>
          <w:szCs w:val="21"/>
          <w:highlight w:val="none"/>
          <w:lang w:bidi="ar-SA"/>
        </w:rPr>
        <w:t>地址：广西壮族自治区防城港市防城区文昌大道52号</w:t>
      </w:r>
    </w:p>
    <w:p w14:paraId="527925DD">
      <w:pPr>
        <w:widowControl w:val="0"/>
        <w:spacing w:before="25" w:after="25" w:line="440" w:lineRule="exact"/>
        <w:ind w:firstLine="460" w:firstLineChars="200"/>
        <w:jc w:val="both"/>
        <w:rPr>
          <w:rFonts w:hint="default" w:ascii="宋体" w:hAnsi="宋体" w:eastAsia="宋体" w:cs="宋体"/>
          <w:bCs/>
          <w:color w:val="auto"/>
          <w:spacing w:val="10"/>
          <w:sz w:val="21"/>
          <w:szCs w:val="21"/>
          <w:highlight w:val="none"/>
          <w:lang w:val="en-US" w:eastAsia="zh-CN" w:bidi="ar-SA"/>
        </w:rPr>
      </w:pPr>
      <w:r>
        <w:rPr>
          <w:rFonts w:hint="eastAsia" w:ascii="宋体" w:hAnsi="宋体" w:eastAsia="宋体" w:cs="宋体"/>
          <w:bCs/>
          <w:color w:val="auto"/>
          <w:spacing w:val="10"/>
          <w:sz w:val="21"/>
          <w:szCs w:val="21"/>
          <w:highlight w:val="none"/>
          <w:lang w:bidi="ar-SA"/>
        </w:rPr>
        <w:t>电话：</w:t>
      </w:r>
      <w:r>
        <w:rPr>
          <w:rFonts w:hint="eastAsia" w:ascii="宋体" w:hAnsi="宋体" w:eastAsia="宋体" w:cs="宋体"/>
          <w:bCs/>
          <w:color w:val="auto"/>
          <w:spacing w:val="10"/>
          <w:sz w:val="21"/>
          <w:szCs w:val="21"/>
          <w:highlight w:val="none"/>
          <w:lang w:val="en-US" w:eastAsia="zh-CN" w:bidi="ar-SA"/>
        </w:rPr>
        <w:t>3299006</w:t>
      </w:r>
    </w:p>
    <w:p w14:paraId="361CC91B">
      <w:pPr>
        <w:widowControl w:val="0"/>
        <w:spacing w:before="25" w:after="25" w:line="440" w:lineRule="exact"/>
        <w:ind w:firstLine="460" w:firstLineChars="200"/>
        <w:jc w:val="both"/>
        <w:rPr>
          <w:rFonts w:hint="default" w:ascii="宋体" w:hAnsi="宋体" w:eastAsia="宋体" w:cs="宋体"/>
          <w:bCs/>
          <w:color w:val="auto"/>
          <w:spacing w:val="10"/>
          <w:sz w:val="21"/>
          <w:szCs w:val="21"/>
          <w:highlight w:val="none"/>
          <w:lang w:val="en-US" w:eastAsia="zh-CN" w:bidi="ar-SA"/>
        </w:rPr>
      </w:pPr>
      <w:r>
        <w:rPr>
          <w:rFonts w:hint="eastAsia" w:ascii="宋体" w:hAnsi="宋体" w:eastAsia="宋体" w:cs="宋体"/>
          <w:bCs/>
          <w:color w:val="auto"/>
          <w:spacing w:val="10"/>
          <w:sz w:val="21"/>
          <w:szCs w:val="21"/>
          <w:highlight w:val="none"/>
          <w:lang w:bidi="ar-SA"/>
        </w:rPr>
        <w:t>邮箱：</w:t>
      </w:r>
      <w:r>
        <w:rPr>
          <w:rFonts w:hint="eastAsia" w:ascii="宋体" w:hAnsi="宋体" w:eastAsia="宋体" w:cs="宋体"/>
          <w:bCs/>
          <w:color w:val="auto"/>
          <w:spacing w:val="10"/>
          <w:sz w:val="21"/>
          <w:szCs w:val="21"/>
          <w:highlight w:val="none"/>
          <w:lang w:val="en-US" w:eastAsia="zh-CN" w:bidi="ar-SA"/>
        </w:rPr>
        <w:t>jjjcs625@163.com</w:t>
      </w:r>
    </w:p>
    <w:tbl>
      <w:tblPr>
        <w:tblStyle w:val="21"/>
        <w:tblW w:w="8871" w:type="dxa"/>
        <w:tblInd w:w="2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3"/>
        <w:gridCol w:w="4318"/>
      </w:tblGrid>
      <w:tr w14:paraId="7B585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4553" w:type="dxa"/>
          </w:tcPr>
          <w:p w14:paraId="1D42BA62">
            <w:pPr>
              <w:widowControl w:val="0"/>
              <w:spacing w:before="179" w:after="0" w:line="227" w:lineRule="auto"/>
              <w:ind w:left="231"/>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pacing w:val="4"/>
                <w:kern w:val="2"/>
                <w:sz w:val="21"/>
                <w:szCs w:val="21"/>
                <w:highlight w:val="none"/>
                <w:lang w:eastAsia="zh-CN" w:bidi="ar-SA"/>
              </w:rPr>
              <w:t>甲</w:t>
            </w:r>
            <w:r>
              <w:rPr>
                <w:rFonts w:hint="eastAsia" w:ascii="宋体" w:hAnsi="宋体" w:eastAsia="宋体" w:cs="宋体"/>
                <w:color w:val="auto"/>
                <w:spacing w:val="2"/>
                <w:kern w:val="2"/>
                <w:sz w:val="21"/>
                <w:szCs w:val="21"/>
                <w:highlight w:val="none"/>
                <w:lang w:eastAsia="zh-CN" w:bidi="ar-SA"/>
              </w:rPr>
              <w:t>方(公章)</w:t>
            </w:r>
          </w:p>
        </w:tc>
        <w:tc>
          <w:tcPr>
            <w:tcW w:w="4318" w:type="dxa"/>
          </w:tcPr>
          <w:p w14:paraId="4C2DB83C">
            <w:pPr>
              <w:widowControl w:val="0"/>
              <w:spacing w:before="179" w:after="0" w:line="227" w:lineRule="auto"/>
              <w:ind w:left="225"/>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pacing w:val="6"/>
                <w:kern w:val="2"/>
                <w:sz w:val="21"/>
                <w:szCs w:val="21"/>
                <w:highlight w:val="none"/>
                <w:lang w:eastAsia="zh-CN" w:bidi="ar-SA"/>
              </w:rPr>
              <w:t>乙</w:t>
            </w:r>
            <w:r>
              <w:rPr>
                <w:rFonts w:hint="eastAsia" w:ascii="宋体" w:hAnsi="宋体" w:eastAsia="宋体" w:cs="宋体"/>
                <w:color w:val="auto"/>
                <w:spacing w:val="3"/>
                <w:kern w:val="2"/>
                <w:sz w:val="21"/>
                <w:szCs w:val="21"/>
                <w:highlight w:val="none"/>
                <w:lang w:eastAsia="zh-CN" w:bidi="ar-SA"/>
              </w:rPr>
              <w:t>方(公章)</w:t>
            </w:r>
          </w:p>
        </w:tc>
      </w:tr>
      <w:tr w14:paraId="4D328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4553" w:type="dxa"/>
          </w:tcPr>
          <w:p w14:paraId="74AD0957">
            <w:pPr>
              <w:widowControl w:val="0"/>
              <w:spacing w:after="0" w:line="312" w:lineRule="auto"/>
              <w:jc w:val="both"/>
              <w:rPr>
                <w:rFonts w:hint="eastAsia" w:ascii="宋体" w:hAnsi="宋体" w:eastAsia="宋体" w:cs="宋体"/>
                <w:color w:val="auto"/>
                <w:kern w:val="2"/>
                <w:sz w:val="21"/>
                <w:szCs w:val="21"/>
                <w:highlight w:val="none"/>
                <w:lang w:eastAsia="zh-CN" w:bidi="ar-SA"/>
              </w:rPr>
            </w:pPr>
          </w:p>
          <w:p w14:paraId="73D60741">
            <w:pPr>
              <w:widowControl w:val="0"/>
              <w:spacing w:after="0" w:line="312" w:lineRule="auto"/>
              <w:jc w:val="both"/>
              <w:rPr>
                <w:rFonts w:hint="eastAsia" w:ascii="宋体" w:hAnsi="宋体" w:eastAsia="宋体" w:cs="宋体"/>
                <w:color w:val="auto"/>
                <w:kern w:val="2"/>
                <w:sz w:val="21"/>
                <w:szCs w:val="21"/>
                <w:highlight w:val="none"/>
                <w:lang w:eastAsia="zh-CN" w:bidi="ar-SA"/>
              </w:rPr>
            </w:pPr>
          </w:p>
          <w:p w14:paraId="14161A64">
            <w:pPr>
              <w:widowControl w:val="0"/>
              <w:spacing w:before="65" w:after="0" w:line="228" w:lineRule="auto"/>
              <w:ind w:left="179"/>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pacing w:val="11"/>
                <w:kern w:val="2"/>
                <w:sz w:val="21"/>
                <w:szCs w:val="21"/>
                <w:highlight w:val="none"/>
                <w:lang w:eastAsia="zh-CN" w:bidi="ar-SA"/>
              </w:rPr>
              <w:t>法</w:t>
            </w:r>
            <w:r>
              <w:rPr>
                <w:rFonts w:hint="eastAsia" w:ascii="宋体" w:hAnsi="宋体" w:eastAsia="宋体" w:cs="宋体"/>
                <w:color w:val="auto"/>
                <w:spacing w:val="8"/>
                <w:kern w:val="2"/>
                <w:sz w:val="21"/>
                <w:szCs w:val="21"/>
                <w:highlight w:val="none"/>
                <w:lang w:eastAsia="zh-CN" w:bidi="ar-SA"/>
              </w:rPr>
              <w:t>定代表人：</w:t>
            </w:r>
          </w:p>
        </w:tc>
        <w:tc>
          <w:tcPr>
            <w:tcW w:w="4318" w:type="dxa"/>
          </w:tcPr>
          <w:p w14:paraId="5E766731">
            <w:pPr>
              <w:widowControl w:val="0"/>
              <w:spacing w:after="0" w:line="312" w:lineRule="auto"/>
              <w:jc w:val="both"/>
              <w:rPr>
                <w:rFonts w:hint="eastAsia" w:ascii="宋体" w:hAnsi="宋体" w:eastAsia="宋体" w:cs="宋体"/>
                <w:color w:val="auto"/>
                <w:kern w:val="2"/>
                <w:sz w:val="21"/>
                <w:szCs w:val="21"/>
                <w:highlight w:val="none"/>
                <w:lang w:eastAsia="zh-CN" w:bidi="ar-SA"/>
              </w:rPr>
            </w:pPr>
          </w:p>
          <w:p w14:paraId="3BFF8362">
            <w:pPr>
              <w:widowControl w:val="0"/>
              <w:spacing w:after="0" w:line="312" w:lineRule="auto"/>
              <w:jc w:val="both"/>
              <w:rPr>
                <w:rFonts w:hint="eastAsia" w:ascii="宋体" w:hAnsi="宋体" w:eastAsia="宋体" w:cs="宋体"/>
                <w:color w:val="auto"/>
                <w:kern w:val="2"/>
                <w:sz w:val="21"/>
                <w:szCs w:val="21"/>
                <w:highlight w:val="none"/>
                <w:lang w:eastAsia="zh-CN" w:bidi="ar-SA"/>
              </w:rPr>
            </w:pPr>
          </w:p>
          <w:p w14:paraId="39C78D2C">
            <w:pPr>
              <w:widowControl w:val="0"/>
              <w:spacing w:before="65" w:after="0" w:line="228" w:lineRule="auto"/>
              <w:ind w:left="177"/>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pacing w:val="11"/>
                <w:kern w:val="2"/>
                <w:sz w:val="21"/>
                <w:szCs w:val="21"/>
                <w:highlight w:val="none"/>
                <w:lang w:eastAsia="zh-CN" w:bidi="ar-SA"/>
              </w:rPr>
              <w:t>法</w:t>
            </w:r>
            <w:r>
              <w:rPr>
                <w:rFonts w:hint="eastAsia" w:ascii="宋体" w:hAnsi="宋体" w:eastAsia="宋体" w:cs="宋体"/>
                <w:color w:val="auto"/>
                <w:spacing w:val="8"/>
                <w:kern w:val="2"/>
                <w:sz w:val="21"/>
                <w:szCs w:val="21"/>
                <w:highlight w:val="none"/>
                <w:lang w:eastAsia="zh-CN" w:bidi="ar-SA"/>
              </w:rPr>
              <w:t>定代表人：</w:t>
            </w:r>
          </w:p>
        </w:tc>
      </w:tr>
      <w:tr w14:paraId="43D64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553" w:type="dxa"/>
          </w:tcPr>
          <w:p w14:paraId="61EE7AFC">
            <w:pPr>
              <w:widowControl w:val="0"/>
              <w:spacing w:after="0" w:line="321" w:lineRule="auto"/>
              <w:jc w:val="both"/>
              <w:rPr>
                <w:rFonts w:hint="eastAsia" w:ascii="宋体" w:hAnsi="宋体" w:eastAsia="宋体" w:cs="宋体"/>
                <w:color w:val="auto"/>
                <w:kern w:val="2"/>
                <w:sz w:val="21"/>
                <w:szCs w:val="21"/>
                <w:highlight w:val="none"/>
                <w:lang w:eastAsia="zh-CN" w:bidi="ar-SA"/>
              </w:rPr>
            </w:pPr>
          </w:p>
          <w:p w14:paraId="37B69B3C">
            <w:pPr>
              <w:widowControl w:val="0"/>
              <w:spacing w:before="65" w:after="0" w:line="228" w:lineRule="auto"/>
              <w:ind w:left="214"/>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pacing w:val="-1"/>
                <w:kern w:val="2"/>
                <w:sz w:val="21"/>
                <w:szCs w:val="21"/>
                <w:highlight w:val="none"/>
                <w:lang w:eastAsia="zh-CN" w:bidi="ar-SA"/>
              </w:rPr>
              <w:t>日期：     年  月</w:t>
            </w:r>
            <w:r>
              <w:rPr>
                <w:rFonts w:hint="eastAsia" w:ascii="宋体" w:hAnsi="宋体" w:eastAsia="宋体" w:cs="宋体"/>
                <w:color w:val="auto"/>
                <w:kern w:val="2"/>
                <w:sz w:val="21"/>
                <w:szCs w:val="21"/>
                <w:highlight w:val="none"/>
                <w:lang w:eastAsia="zh-CN" w:bidi="ar-SA"/>
              </w:rPr>
              <w:t xml:space="preserve">  日</w:t>
            </w:r>
          </w:p>
        </w:tc>
        <w:tc>
          <w:tcPr>
            <w:tcW w:w="4318" w:type="dxa"/>
          </w:tcPr>
          <w:p w14:paraId="25D72753">
            <w:pPr>
              <w:widowControl w:val="0"/>
              <w:spacing w:after="0" w:line="321" w:lineRule="auto"/>
              <w:jc w:val="both"/>
              <w:rPr>
                <w:rFonts w:hint="eastAsia" w:ascii="宋体" w:hAnsi="宋体" w:eastAsia="宋体" w:cs="宋体"/>
                <w:color w:val="auto"/>
                <w:kern w:val="2"/>
                <w:sz w:val="21"/>
                <w:szCs w:val="21"/>
                <w:highlight w:val="none"/>
                <w:lang w:eastAsia="zh-CN" w:bidi="ar-SA"/>
              </w:rPr>
            </w:pPr>
          </w:p>
          <w:p w14:paraId="6215AB53">
            <w:pPr>
              <w:widowControl w:val="0"/>
              <w:spacing w:before="65" w:after="0" w:line="228" w:lineRule="auto"/>
              <w:ind w:left="212"/>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pacing w:val="-1"/>
                <w:kern w:val="2"/>
                <w:sz w:val="21"/>
                <w:szCs w:val="21"/>
                <w:highlight w:val="none"/>
                <w:lang w:eastAsia="zh-CN" w:bidi="ar-SA"/>
              </w:rPr>
              <w:t>日期：     年</w:t>
            </w:r>
            <w:r>
              <w:rPr>
                <w:rFonts w:hint="eastAsia" w:ascii="宋体" w:hAnsi="宋体" w:eastAsia="宋体" w:cs="宋体"/>
                <w:color w:val="auto"/>
                <w:kern w:val="2"/>
                <w:sz w:val="21"/>
                <w:szCs w:val="21"/>
                <w:highlight w:val="none"/>
                <w:lang w:eastAsia="zh-CN" w:bidi="ar-SA"/>
              </w:rPr>
              <w:t xml:space="preserve">  月  日</w:t>
            </w:r>
          </w:p>
        </w:tc>
      </w:tr>
    </w:tbl>
    <w:p w14:paraId="1BA23582">
      <w:pPr>
        <w:widowControl w:val="0"/>
        <w:spacing w:after="0" w:line="240" w:lineRule="auto"/>
        <w:jc w:val="both"/>
        <w:rPr>
          <w:rFonts w:hint="eastAsia" w:ascii="宋体" w:hAnsi="宋体" w:eastAsia="宋体" w:cs="宋体"/>
          <w:color w:val="auto"/>
          <w:kern w:val="2"/>
          <w:sz w:val="21"/>
          <w:szCs w:val="21"/>
          <w:highlight w:val="none"/>
          <w:lang w:eastAsia="zh-CN" w:bidi="ar-SA"/>
        </w:rPr>
      </w:pPr>
    </w:p>
    <w:p w14:paraId="19ADDBCD">
      <w:pPr>
        <w:widowControl w:val="0"/>
        <w:spacing w:after="0" w:line="240" w:lineRule="auto"/>
        <w:jc w:val="both"/>
        <w:rPr>
          <w:rFonts w:hint="eastAsia" w:ascii="宋体" w:hAnsi="宋体" w:eastAsia="宋体" w:cs="Times New Roman"/>
          <w:color w:val="auto"/>
          <w:kern w:val="2"/>
          <w:sz w:val="21"/>
          <w:szCs w:val="21"/>
          <w:highlight w:val="none"/>
          <w:lang w:eastAsia="zh-CN" w:bidi="ar-SA"/>
        </w:rPr>
      </w:pPr>
    </w:p>
    <w:p w14:paraId="5D4893DD">
      <w:pPr>
        <w:widowControl w:val="0"/>
        <w:spacing w:after="0" w:line="240" w:lineRule="auto"/>
        <w:jc w:val="both"/>
        <w:rPr>
          <w:rFonts w:hint="eastAsia" w:ascii="宋体" w:hAnsi="宋体" w:eastAsia="宋体" w:cs="Times New Roman"/>
          <w:color w:val="auto"/>
          <w:kern w:val="2"/>
          <w:sz w:val="21"/>
          <w:szCs w:val="21"/>
          <w:highlight w:val="none"/>
          <w:lang w:eastAsia="zh-CN" w:bidi="ar-SA"/>
        </w:rPr>
      </w:pPr>
    </w:p>
    <w:p w14:paraId="431FA920">
      <w:pPr>
        <w:rPr>
          <w:color w:val="auto"/>
          <w:sz w:val="21"/>
          <w:szCs w:val="21"/>
          <w:highlight w:val="none"/>
        </w:rPr>
      </w:pPr>
    </w:p>
    <w:p w14:paraId="65669C5A">
      <w:pPr>
        <w:pStyle w:val="10"/>
        <w:rPr>
          <w:color w:val="auto"/>
          <w:sz w:val="21"/>
          <w:szCs w:val="21"/>
          <w:highlight w:val="none"/>
        </w:rPr>
      </w:pPr>
    </w:p>
    <w:sectPr>
      <w:headerReference r:id="rId13" w:type="first"/>
      <w:footerReference r:id="rId15" w:type="first"/>
      <w:headerReference r:id="rId12" w:type="default"/>
      <w:footerReference r:id="rId14"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E374">
    <w:pPr>
      <w:pStyle w:val="16"/>
      <w:tabs>
        <w:tab w:val="center" w:pos="4439"/>
        <w:tab w:val="clear" w:pos="4153"/>
      </w:tabs>
      <w:jc w:val="both"/>
    </w:pPr>
  </w:p>
  <w:p w14:paraId="1540548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5E0">
    <w:pPr>
      <w:pStyle w:val="16"/>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F7F1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2DF7F1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7B0E">
    <w:pPr>
      <w:pStyle w:val="16"/>
      <w:tabs>
        <w:tab w:val="center" w:pos="4439"/>
        <w:tab w:val="clear" w:pos="4153"/>
      </w:tabs>
      <w:jc w:val="both"/>
    </w:pPr>
  </w:p>
  <w:p w14:paraId="3578A345">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38E0">
    <w:pPr>
      <w:pStyle w:val="16"/>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C0EC3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3C0EC3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51DD">
    <w:pPr>
      <w:pStyle w:val="16"/>
      <w:tabs>
        <w:tab w:val="center" w:pos="4439"/>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E84A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05E84A3">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1601A88C">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6FEA">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A08E6">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43A08E6">
                    <w:pPr>
                      <w:pStyle w:val="16"/>
                    </w:pPr>
                    <w:r>
                      <w:fldChar w:fldCharType="begin"/>
                    </w:r>
                    <w:r>
                      <w:instrText xml:space="preserve"> PAGE  \* MERGEFORMAT </w:instrText>
                    </w:r>
                    <w:r>
                      <w:fldChar w:fldCharType="separate"/>
                    </w:r>
                    <w:r>
                      <w:t>65</w:t>
                    </w:r>
                    <w:r>
                      <w:fldChar w:fldCharType="end"/>
                    </w:r>
                  </w:p>
                </w:txbxContent>
              </v:textbox>
            </v:shape>
          </w:pict>
        </mc:Fallback>
      </mc:AlternateContent>
    </w:r>
  </w:p>
  <w:p w14:paraId="66579748">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F26">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4BD38">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D14BD38">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2513">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55E0">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C6F7">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BF55">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DF3E">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1FB6">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295D0"/>
    <w:multiLevelType w:val="singleLevel"/>
    <w:tmpl w:val="485295D0"/>
    <w:lvl w:ilvl="0" w:tentative="0">
      <w:start w:val="1"/>
      <w:numFmt w:val="decimal"/>
      <w:pStyle w:val="7"/>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84A0A"/>
    <w:rsid w:val="022E51A4"/>
    <w:rsid w:val="05984A0A"/>
    <w:rsid w:val="092D370C"/>
    <w:rsid w:val="0AF47A97"/>
    <w:rsid w:val="0D6F0040"/>
    <w:rsid w:val="0F24110D"/>
    <w:rsid w:val="0FB2312B"/>
    <w:rsid w:val="11125B04"/>
    <w:rsid w:val="11C444E1"/>
    <w:rsid w:val="13531CB7"/>
    <w:rsid w:val="1525173B"/>
    <w:rsid w:val="17E45961"/>
    <w:rsid w:val="1A5F56EF"/>
    <w:rsid w:val="1A807414"/>
    <w:rsid w:val="1F1D2E75"/>
    <w:rsid w:val="277A495D"/>
    <w:rsid w:val="31660CB9"/>
    <w:rsid w:val="331035D3"/>
    <w:rsid w:val="35A478FB"/>
    <w:rsid w:val="3BA448B8"/>
    <w:rsid w:val="3EA11583"/>
    <w:rsid w:val="461C7016"/>
    <w:rsid w:val="49584F34"/>
    <w:rsid w:val="4A817F9B"/>
    <w:rsid w:val="4B8D4CE9"/>
    <w:rsid w:val="4CD528D8"/>
    <w:rsid w:val="4FD66DF6"/>
    <w:rsid w:val="538232D9"/>
    <w:rsid w:val="5C815857"/>
    <w:rsid w:val="5DC170F4"/>
    <w:rsid w:val="665E7BD6"/>
    <w:rsid w:val="67140294"/>
    <w:rsid w:val="6DA40FB7"/>
    <w:rsid w:val="6E3C56AE"/>
    <w:rsid w:val="6F375544"/>
    <w:rsid w:val="6F8C7562"/>
    <w:rsid w:val="719C653B"/>
    <w:rsid w:val="7318627A"/>
    <w:rsid w:val="756F6E13"/>
    <w:rsid w:val="77C253E4"/>
    <w:rsid w:val="77CC6CEC"/>
    <w:rsid w:val="78E36793"/>
    <w:rsid w:val="7B71740C"/>
    <w:rsid w:val="7D641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numPr>
        <w:ilvl w:val="0"/>
        <w:numId w:val="1"/>
      </w:numPr>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kern w:val="0"/>
      <w:sz w:val="20"/>
      <w:szCs w:val="21"/>
    </w:rPr>
  </w:style>
  <w:style w:type="paragraph" w:styleId="15">
    <w:name w:val="Date"/>
    <w:basedOn w:val="1"/>
    <w:next w:val="1"/>
    <w:qFormat/>
    <w:uiPriority w:val="0"/>
    <w:pPr>
      <w:ind w:left="100" w:leftChars="2500"/>
    </w:p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Title"/>
    <w:basedOn w:val="1"/>
    <w:next w:val="1"/>
    <w:qFormat/>
    <w:uiPriority w:val="10"/>
    <w:pPr>
      <w:contextualSpacing/>
    </w:pPr>
    <w:rPr>
      <w:rFonts w:ascii="Cambria" w:hAnsi="Cambria" w:eastAsia="宋体" w:cs="Times New Roman"/>
      <w:spacing w:val="-10"/>
      <w:kern w:val="28"/>
      <w:sz w:val="56"/>
      <w:szCs w:val="56"/>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unhideWhenUsed/>
    <w:qFormat/>
    <w:uiPriority w:val="99"/>
    <w:rPr>
      <w:color w:val="0000FF"/>
      <w:u w:val="single"/>
    </w:rPr>
  </w:style>
  <w:style w:type="paragraph" w:customStyle="1" w:styleId="25">
    <w:name w:val="正文2"/>
    <w:basedOn w:val="1"/>
    <w:qFormat/>
    <w:uiPriority w:val="0"/>
    <w:pPr>
      <w:adjustRightInd w:val="0"/>
      <w:spacing w:before="156" w:line="360" w:lineRule="auto"/>
      <w:ind w:firstLine="510" w:firstLineChars="200"/>
    </w:pPr>
    <w:rPr>
      <w:sz w:val="24"/>
      <w:szCs w:val="20"/>
    </w:rPr>
  </w:style>
  <w:style w:type="character" w:customStyle="1" w:styleId="26">
    <w:name w:val="NormalCharacter"/>
    <w:qFormat/>
    <w:uiPriority w:val="0"/>
    <w:rPr>
      <w:rFonts w:ascii="Times New Roman" w:hAnsi="Times New Roman" w:eastAsia="宋体"/>
    </w:rPr>
  </w:style>
  <w:style w:type="character" w:customStyle="1" w:styleId="27">
    <w:name w:val="font51"/>
    <w:qFormat/>
    <w:uiPriority w:val="0"/>
    <w:rPr>
      <w:rFonts w:hint="eastAsia" w:ascii="宋体" w:hAnsi="宋体" w:eastAsia="宋体" w:cs="宋体"/>
      <w:color w:val="FF0000"/>
      <w:sz w:val="22"/>
      <w:szCs w:val="22"/>
      <w:u w:val="none"/>
    </w:rPr>
  </w:style>
  <w:style w:type="character" w:customStyle="1" w:styleId="28">
    <w:name w:val="font11"/>
    <w:qFormat/>
    <w:uiPriority w:val="0"/>
    <w:rPr>
      <w:rFonts w:hint="eastAsia" w:ascii="宋体" w:hAnsi="宋体" w:eastAsia="宋体" w:cs="宋体"/>
      <w:color w:val="000000"/>
      <w:sz w:val="22"/>
      <w:szCs w:val="22"/>
      <w:u w:val="none"/>
    </w:rPr>
  </w:style>
  <w:style w:type="character" w:customStyle="1" w:styleId="29">
    <w:name w:val="font61"/>
    <w:qFormat/>
    <w:uiPriority w:val="0"/>
    <w:rPr>
      <w:rFonts w:hint="eastAsia" w:ascii="宋体" w:hAnsi="宋体" w:eastAsia="宋体" w:cs="宋体"/>
      <w:color w:val="FF0000"/>
      <w:sz w:val="24"/>
      <w:szCs w:val="24"/>
      <w:u w:val="none"/>
    </w:rPr>
  </w:style>
  <w:style w:type="character" w:customStyle="1" w:styleId="3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12952</Words>
  <Characters>13913</Characters>
  <Lines>0</Lines>
  <Paragraphs>0</Paragraphs>
  <TotalTime>147</TotalTime>
  <ScaleCrop>false</ScaleCrop>
  <LinksUpToDate>false</LinksUpToDate>
  <CharactersWithSpaces>14135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2025-03-28T05:04:00Z</dcterms:created>
  <dc:creator>aaDD</dc:creator>
  <cp:lastModifiedBy>aaDD</cp:lastModifiedBy>
  <dcterms:modified xsi:type="dcterms:W3CDTF">2025-04-11T08:16:56Z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0D8F0E51BEC34A18BC4F24C5DF3BDE32_13</vt:lpwstr>
  </property>
  <property fmtid="{D5CDD505-2E9C-101B-9397-08002B2CF9AE}" pid="4" name="KSOTemplateDocerSaveRecord">
    <vt:lpwstr>eyJoZGlkIjoiYmQwMzVhNzhlZmQzYzJkYzM4NmFlNGYxMmIxNThlMGUiLCJ1c2VySWQiOiIxMTc3NTc3MzIxIn0=</vt:lpwstr>
  </property>
</Properties>
</file>