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B332F">
      <w:pPr>
        <w:spacing w:before="165" w:beforeLines="50" w:line="360" w:lineRule="auto"/>
        <w:jc w:val="center"/>
        <w:rPr>
          <w:rFonts w:hint="eastAsia" w:ascii="宋体" w:hAnsi="宋体" w:eastAsia="宋体" w:cs="宋体"/>
          <w:color w:val="auto"/>
          <w:sz w:val="36"/>
          <w:szCs w:val="36"/>
          <w:highlight w:val="none"/>
        </w:rPr>
      </w:pPr>
      <w:r>
        <w:rPr>
          <w:rStyle w:val="84"/>
          <w:rFonts w:hint="eastAsia" w:ascii="宋体" w:hAnsi="宋体" w:eastAsia="宋体" w:cs="宋体"/>
          <w:b w:val="0"/>
          <w:i w:val="0"/>
          <w:caps w:val="0"/>
          <w:color w:val="auto"/>
          <w:spacing w:val="0"/>
          <w:w w:val="100"/>
          <w:kern w:val="2"/>
          <w:sz w:val="72"/>
          <w:szCs w:val="72"/>
          <w:highlight w:val="none"/>
          <w:lang w:val="en-US" w:eastAsia="zh-CN" w:bidi="ar-SA"/>
        </w:rPr>
        <w:drawing>
          <wp:inline distT="0" distB="0" distL="114300" distR="114300">
            <wp:extent cx="2556510" cy="2078990"/>
            <wp:effectExtent l="0" t="0" r="15240" b="1651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4"/>
                    <a:stretch>
                      <a:fillRect/>
                    </a:stretch>
                  </pic:blipFill>
                  <pic:spPr>
                    <a:xfrm>
                      <a:off x="0" y="0"/>
                      <a:ext cx="2556510" cy="2078990"/>
                    </a:xfrm>
                    <a:prstGeom prst="rect">
                      <a:avLst/>
                    </a:prstGeom>
                    <a:noFill/>
                    <a:ln>
                      <a:noFill/>
                    </a:ln>
                  </pic:spPr>
                </pic:pic>
              </a:graphicData>
            </a:graphic>
          </wp:inline>
        </w:drawing>
      </w:r>
    </w:p>
    <w:p w14:paraId="2E70F689">
      <w:pPr>
        <w:spacing w:before="165" w:beforeLines="50" w:line="360" w:lineRule="auto"/>
        <w:jc w:val="center"/>
        <w:rPr>
          <w:rFonts w:hint="eastAsia" w:ascii="宋体" w:hAnsi="宋体" w:eastAsia="宋体" w:cs="宋体"/>
          <w:color w:val="auto"/>
          <w:sz w:val="36"/>
          <w:szCs w:val="36"/>
          <w:highlight w:val="none"/>
        </w:rPr>
      </w:pPr>
    </w:p>
    <w:p w14:paraId="7E82CAE7">
      <w:pPr>
        <w:snapToGrid w:val="0"/>
        <w:spacing w:before="165" w:beforeLines="50"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竞争性磋商文件</w:t>
      </w:r>
    </w:p>
    <w:p w14:paraId="1DDA8059">
      <w:pPr>
        <w:snapToGrid w:val="0"/>
        <w:spacing w:before="165" w:beforeLines="50" w:line="360" w:lineRule="auto"/>
        <w:jc w:val="center"/>
        <w:rPr>
          <w:rFonts w:hint="eastAsia" w:ascii="宋体" w:hAnsi="宋体" w:eastAsia="宋体" w:cs="宋体"/>
          <w:color w:val="auto"/>
          <w:sz w:val="30"/>
          <w:szCs w:val="72"/>
          <w:highlight w:val="none"/>
        </w:rPr>
      </w:pPr>
      <w:r>
        <w:rPr>
          <w:rFonts w:hint="eastAsia" w:ascii="宋体" w:hAnsi="宋体" w:eastAsia="宋体" w:cs="宋体"/>
          <w:color w:val="auto"/>
          <w:sz w:val="30"/>
          <w:szCs w:val="72"/>
          <w:highlight w:val="none"/>
        </w:rPr>
        <w:t>（全流程电子化评标）</w:t>
      </w:r>
    </w:p>
    <w:p w14:paraId="6DB39858">
      <w:pPr>
        <w:spacing w:before="331" w:beforeLines="100" w:after="165" w:afterLines="50" w:line="360" w:lineRule="auto"/>
        <w:jc w:val="center"/>
        <w:rPr>
          <w:rFonts w:hint="eastAsia" w:ascii="宋体" w:hAnsi="宋体" w:eastAsia="宋体" w:cs="宋体"/>
          <w:color w:val="auto"/>
          <w:szCs w:val="21"/>
          <w:highlight w:val="none"/>
        </w:rPr>
      </w:pPr>
    </w:p>
    <w:p w14:paraId="5D49C790">
      <w:pPr>
        <w:spacing w:line="360" w:lineRule="auto"/>
        <w:rPr>
          <w:rFonts w:hint="eastAsia" w:ascii="宋体" w:hAnsi="宋体" w:eastAsia="宋体" w:cs="宋体"/>
          <w:b/>
          <w:color w:val="auto"/>
          <w:sz w:val="32"/>
          <w:szCs w:val="32"/>
          <w:highlight w:val="none"/>
        </w:rPr>
      </w:pPr>
    </w:p>
    <w:p w14:paraId="5F3251B5">
      <w:pPr>
        <w:spacing w:line="360" w:lineRule="auto"/>
        <w:jc w:val="center"/>
        <w:rPr>
          <w:rFonts w:hint="eastAsia" w:ascii="宋体" w:hAnsi="宋体" w:eastAsia="宋体" w:cs="宋体"/>
          <w:b/>
          <w:color w:val="auto"/>
          <w:sz w:val="32"/>
          <w:szCs w:val="32"/>
          <w:highlight w:val="none"/>
        </w:rPr>
      </w:pPr>
    </w:p>
    <w:p w14:paraId="544B032A">
      <w:pPr>
        <w:keepNext w:val="0"/>
        <w:keepLines w:val="0"/>
        <w:pageBreakBefore w:val="0"/>
        <w:widowControl w:val="0"/>
        <w:kinsoku/>
        <w:wordWrap/>
        <w:overflowPunct/>
        <w:topLinePunct w:val="0"/>
        <w:autoSpaceDE/>
        <w:autoSpaceDN/>
        <w:bidi w:val="0"/>
        <w:adjustRightInd/>
        <w:snapToGrid w:val="0"/>
        <w:spacing w:before="50" w:after="120" w:line="360" w:lineRule="auto"/>
        <w:ind w:right="0" w:rightChars="0" w:firstLine="1205" w:firstLineChars="400"/>
        <w:jc w:val="both"/>
        <w:textAlignment w:val="auto"/>
        <w:rPr>
          <w:rFonts w:hint="eastAsia" w:ascii="宋体" w:hAnsi="宋体" w:eastAsia="宋体" w:cs="宋体"/>
          <w:b/>
          <w:bCs/>
          <w:color w:val="auto"/>
          <w:kern w:val="0"/>
          <w:sz w:val="30"/>
          <w:szCs w:val="30"/>
          <w:highlight w:val="none"/>
          <w:lang w:eastAsia="zh-CN"/>
        </w:rPr>
      </w:pPr>
      <w:r>
        <w:rPr>
          <w:rFonts w:hint="eastAsia" w:ascii="宋体" w:hAnsi="宋体" w:eastAsia="宋体" w:cs="宋体"/>
          <w:b/>
          <w:bCs/>
          <w:color w:val="auto"/>
          <w:kern w:val="0"/>
          <w:sz w:val="30"/>
          <w:szCs w:val="30"/>
          <w:highlight w:val="none"/>
        </w:rPr>
        <w:t>项目名称：</w:t>
      </w:r>
      <w:r>
        <w:rPr>
          <w:rFonts w:hint="eastAsia" w:ascii="宋体" w:hAnsi="宋体" w:cs="宋体"/>
          <w:b/>
          <w:bCs/>
          <w:color w:val="auto"/>
          <w:kern w:val="0"/>
          <w:sz w:val="30"/>
          <w:szCs w:val="30"/>
          <w:highlight w:val="none"/>
          <w:lang w:eastAsia="zh-CN"/>
        </w:rPr>
        <w:t>泵站、堤防护坡清理维护工程（2025年）</w:t>
      </w:r>
    </w:p>
    <w:p w14:paraId="5CF64D24">
      <w:pPr>
        <w:keepNext w:val="0"/>
        <w:keepLines w:val="0"/>
        <w:pageBreakBefore w:val="0"/>
        <w:widowControl w:val="0"/>
        <w:kinsoku/>
        <w:wordWrap/>
        <w:overflowPunct/>
        <w:topLinePunct w:val="0"/>
        <w:autoSpaceDE/>
        <w:autoSpaceDN/>
        <w:bidi w:val="0"/>
        <w:adjustRightInd/>
        <w:snapToGrid w:val="0"/>
        <w:spacing w:before="50" w:after="120" w:line="360" w:lineRule="auto"/>
        <w:ind w:right="0" w:rightChars="0" w:firstLine="1205" w:firstLineChars="400"/>
        <w:jc w:val="both"/>
        <w:textAlignment w:val="auto"/>
        <w:rPr>
          <w:rFonts w:hint="eastAsia" w:ascii="宋体" w:hAnsi="宋体" w:eastAsia="宋体" w:cs="宋体"/>
          <w:b/>
          <w:bCs/>
          <w:color w:val="auto"/>
          <w:kern w:val="0"/>
          <w:sz w:val="30"/>
          <w:szCs w:val="30"/>
          <w:highlight w:val="none"/>
          <w:lang w:eastAsia="zh-CN"/>
        </w:rPr>
      </w:pPr>
      <w:r>
        <w:rPr>
          <w:rFonts w:hint="eastAsia" w:ascii="宋体" w:hAnsi="宋体" w:cs="宋体"/>
          <w:b/>
          <w:bCs/>
          <w:color w:val="auto"/>
          <w:kern w:val="0"/>
          <w:sz w:val="30"/>
          <w:szCs w:val="30"/>
          <w:highlight w:val="none"/>
          <w:lang w:eastAsia="zh-CN"/>
        </w:rPr>
        <w:t>项目编号：LZZC2025-C2-990162-GXJZ</w:t>
      </w:r>
    </w:p>
    <w:p w14:paraId="28104F10">
      <w:pPr>
        <w:keepNext w:val="0"/>
        <w:keepLines w:val="0"/>
        <w:pageBreakBefore w:val="0"/>
        <w:widowControl w:val="0"/>
        <w:kinsoku/>
        <w:wordWrap/>
        <w:overflowPunct/>
        <w:topLinePunct w:val="0"/>
        <w:autoSpaceDE/>
        <w:autoSpaceDN/>
        <w:bidi w:val="0"/>
        <w:adjustRightInd/>
        <w:snapToGrid w:val="0"/>
        <w:spacing w:before="50" w:after="120" w:line="360" w:lineRule="auto"/>
        <w:ind w:right="0" w:rightChars="0" w:firstLine="1205" w:firstLineChars="400"/>
        <w:jc w:val="both"/>
        <w:textAlignment w:val="auto"/>
        <w:rPr>
          <w:rFonts w:hint="eastAsia" w:ascii="宋体" w:hAnsi="宋体" w:eastAsia="宋体" w:cs="宋体"/>
          <w:b/>
          <w:bCs/>
          <w:color w:val="auto"/>
          <w:kern w:val="0"/>
          <w:sz w:val="30"/>
          <w:szCs w:val="30"/>
          <w:highlight w:val="none"/>
          <w:lang w:eastAsia="zh-CN"/>
        </w:rPr>
      </w:pPr>
      <w:r>
        <w:rPr>
          <w:rFonts w:hint="eastAsia" w:ascii="宋体" w:hAnsi="宋体" w:eastAsia="宋体" w:cs="宋体"/>
          <w:b/>
          <w:bCs/>
          <w:color w:val="auto"/>
          <w:kern w:val="0"/>
          <w:sz w:val="30"/>
          <w:szCs w:val="30"/>
          <w:highlight w:val="none"/>
        </w:rPr>
        <w:t>采 购 人：</w:t>
      </w:r>
      <w:r>
        <w:rPr>
          <w:rFonts w:hint="eastAsia" w:ascii="宋体" w:hAnsi="宋体" w:cs="宋体"/>
          <w:b/>
          <w:bCs/>
          <w:color w:val="auto"/>
          <w:kern w:val="0"/>
          <w:sz w:val="30"/>
          <w:szCs w:val="30"/>
          <w:highlight w:val="none"/>
          <w:lang w:eastAsia="zh-CN"/>
        </w:rPr>
        <w:t>柳州市防洪排涝工程管理处</w:t>
      </w:r>
    </w:p>
    <w:p w14:paraId="6AFB2B93">
      <w:pPr>
        <w:keepNext w:val="0"/>
        <w:keepLines w:val="0"/>
        <w:pageBreakBefore w:val="0"/>
        <w:widowControl w:val="0"/>
        <w:kinsoku/>
        <w:wordWrap/>
        <w:overflowPunct/>
        <w:topLinePunct w:val="0"/>
        <w:autoSpaceDE/>
        <w:autoSpaceDN/>
        <w:bidi w:val="0"/>
        <w:adjustRightInd/>
        <w:snapToGrid w:val="0"/>
        <w:spacing w:before="50" w:after="120" w:line="360" w:lineRule="auto"/>
        <w:ind w:right="0" w:rightChars="0" w:firstLine="1205" w:firstLineChars="400"/>
        <w:jc w:val="both"/>
        <w:textAlignment w:val="auto"/>
        <w:rPr>
          <w:rFonts w:hint="eastAsia" w:ascii="宋体" w:hAnsi="宋体" w:eastAsia="宋体" w:cs="宋体"/>
          <w:b/>
          <w:bCs/>
          <w:color w:val="auto"/>
          <w:kern w:val="0"/>
          <w:sz w:val="30"/>
          <w:szCs w:val="30"/>
          <w:highlight w:val="none"/>
          <w:lang w:eastAsia="zh-CN"/>
        </w:rPr>
      </w:pPr>
      <w:r>
        <w:rPr>
          <w:rFonts w:hint="eastAsia" w:ascii="宋体" w:hAnsi="宋体" w:eastAsia="宋体" w:cs="宋体"/>
          <w:b/>
          <w:bCs/>
          <w:color w:val="auto"/>
          <w:kern w:val="0"/>
          <w:sz w:val="30"/>
          <w:szCs w:val="30"/>
          <w:highlight w:val="none"/>
        </w:rPr>
        <w:t>采购代理机构：</w:t>
      </w:r>
      <w:r>
        <w:rPr>
          <w:rFonts w:hint="eastAsia" w:ascii="宋体" w:hAnsi="宋体" w:eastAsia="宋体" w:cs="宋体"/>
          <w:b/>
          <w:bCs/>
          <w:color w:val="auto"/>
          <w:kern w:val="0"/>
          <w:sz w:val="30"/>
          <w:szCs w:val="30"/>
          <w:highlight w:val="none"/>
          <w:lang w:eastAsia="zh-CN"/>
        </w:rPr>
        <w:t>广西景钲工程咨询有限公司</w:t>
      </w:r>
    </w:p>
    <w:p w14:paraId="621CF87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8"/>
          <w:szCs w:val="28"/>
          <w:highlight w:val="none"/>
        </w:rPr>
      </w:pPr>
    </w:p>
    <w:p w14:paraId="3187FA8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Cs w:val="21"/>
          <w:highlight w:val="none"/>
        </w:rPr>
      </w:pPr>
      <w:r>
        <w:rPr>
          <w:rFonts w:hint="eastAsia" w:ascii="宋体" w:hAnsi="宋体" w:cs="宋体"/>
          <w:b/>
          <w:bCs/>
          <w:color w:val="auto"/>
          <w:sz w:val="30"/>
          <w:szCs w:val="30"/>
          <w:highlight w:val="none"/>
          <w:lang w:val="en-US" w:eastAsia="zh-CN"/>
        </w:rPr>
        <w:t>2025</w:t>
      </w:r>
      <w:r>
        <w:rPr>
          <w:rFonts w:hint="eastAsia" w:ascii="宋体" w:hAnsi="宋体" w:eastAsia="宋体" w:cs="宋体"/>
          <w:b/>
          <w:bCs/>
          <w:color w:val="auto"/>
          <w:sz w:val="30"/>
          <w:szCs w:val="30"/>
          <w:highlight w:val="none"/>
          <w:lang w:val="en-US" w:eastAsia="zh-CN"/>
        </w:rPr>
        <w:t>年</w:t>
      </w:r>
      <w:r>
        <w:rPr>
          <w:rFonts w:hint="eastAsia" w:ascii="宋体" w:hAnsi="宋体" w:cs="宋体"/>
          <w:b/>
          <w:bCs/>
          <w:color w:val="auto"/>
          <w:sz w:val="30"/>
          <w:szCs w:val="30"/>
          <w:highlight w:val="none"/>
          <w:lang w:val="en-US" w:eastAsia="zh-CN"/>
        </w:rPr>
        <w:t>4</w:t>
      </w:r>
      <w:r>
        <w:rPr>
          <w:rFonts w:hint="eastAsia" w:ascii="宋体" w:hAnsi="宋体" w:eastAsia="宋体" w:cs="宋体"/>
          <w:b/>
          <w:bCs/>
          <w:color w:val="auto"/>
          <w:sz w:val="30"/>
          <w:szCs w:val="30"/>
          <w:highlight w:val="none"/>
          <w:lang w:val="en-US" w:eastAsia="zh-CN"/>
        </w:rPr>
        <w:t>月</w:t>
      </w:r>
    </w:p>
    <w:p w14:paraId="0E70EC7D">
      <w:pPr>
        <w:snapToGrid w:val="0"/>
        <w:spacing w:before="50" w:after="120" w:line="360" w:lineRule="auto"/>
        <w:ind w:firstLine="1125" w:firstLineChars="393"/>
        <w:rPr>
          <w:rFonts w:hint="eastAsia" w:ascii="宋体" w:hAnsi="宋体" w:eastAsia="宋体" w:cs="宋体"/>
          <w:b/>
          <w:bCs/>
          <w:color w:val="auto"/>
          <w:w w:val="95"/>
          <w:sz w:val="30"/>
          <w:szCs w:val="30"/>
          <w:highlight w:val="none"/>
        </w:rPr>
        <w:sectPr>
          <w:headerReference r:id="rId4" w:type="first"/>
          <w:footerReference r:id="rId6" w:type="first"/>
          <w:headerReference r:id="rId3" w:type="default"/>
          <w:footerReference r:id="rId5" w:type="default"/>
          <w:pgSz w:w="11906" w:h="16838"/>
          <w:pgMar w:top="1440" w:right="1080" w:bottom="1440" w:left="1080" w:header="851" w:footer="992" w:gutter="0"/>
          <w:pgNumType w:start="0"/>
          <w:cols w:space="720" w:num="1"/>
          <w:titlePg/>
          <w:rtlGutter w:val="0"/>
          <w:docGrid w:type="lines" w:linePitch="312" w:charSpace="0"/>
        </w:sectPr>
      </w:pPr>
    </w:p>
    <w:p w14:paraId="67D9B472">
      <w:pPr>
        <w:rPr>
          <w:rFonts w:hint="eastAsia" w:ascii="宋体" w:hAnsi="宋体" w:eastAsia="宋体" w:cs="宋体"/>
          <w:b/>
          <w:color w:val="auto"/>
          <w:sz w:val="44"/>
          <w:szCs w:val="44"/>
          <w:highlight w:val="none"/>
        </w:rPr>
      </w:pPr>
    </w:p>
    <w:p w14:paraId="2CFDC3C4">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2B2D5527">
      <w:pPr>
        <w:spacing w:line="400" w:lineRule="exact"/>
        <w:jc w:val="center"/>
        <w:rPr>
          <w:rFonts w:hint="eastAsia" w:ascii="宋体" w:hAnsi="宋体" w:eastAsia="宋体" w:cs="宋体"/>
          <w:b/>
          <w:color w:val="auto"/>
          <w:sz w:val="44"/>
          <w:szCs w:val="44"/>
          <w:highlight w:val="none"/>
        </w:rPr>
      </w:pPr>
    </w:p>
    <w:p w14:paraId="6A2DBFFD">
      <w:pPr>
        <w:pStyle w:val="22"/>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TOC \o "1-3" \h \z \u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_Toc21228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kern w:val="44"/>
          <w:sz w:val="24"/>
          <w:szCs w:val="24"/>
          <w:highlight w:val="none"/>
        </w:rPr>
        <w:t xml:space="preserve">第一章 </w:t>
      </w:r>
      <w:r>
        <w:rPr>
          <w:rFonts w:hint="eastAsia" w:ascii="宋体" w:hAnsi="宋体" w:cs="宋体"/>
          <w:bCs/>
          <w:color w:val="auto"/>
          <w:kern w:val="44"/>
          <w:sz w:val="24"/>
          <w:szCs w:val="24"/>
          <w:highlight w:val="none"/>
          <w:lang w:val="en-US" w:eastAsia="zh-CN"/>
        </w:rPr>
        <w:t xml:space="preserve"> </w:t>
      </w:r>
      <w:r>
        <w:rPr>
          <w:rFonts w:hint="eastAsia" w:ascii="宋体" w:hAnsi="宋体" w:eastAsia="宋体" w:cs="宋体"/>
          <w:bCs/>
          <w:color w:val="auto"/>
          <w:kern w:val="44"/>
          <w:sz w:val="24"/>
          <w:szCs w:val="24"/>
          <w:highlight w:val="none"/>
        </w:rPr>
        <w:t>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_Toc21228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04D9A9B">
      <w:pPr>
        <w:pStyle w:val="22"/>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_Toc5857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44"/>
          <w:sz w:val="24"/>
          <w:szCs w:val="24"/>
          <w:highlight w:val="none"/>
        </w:rPr>
        <w:t xml:space="preserve">第二章 </w:t>
      </w:r>
      <w:r>
        <w:rPr>
          <w:rFonts w:hint="eastAsia" w:ascii="宋体" w:hAnsi="宋体" w:cs="宋体"/>
          <w:color w:val="auto"/>
          <w:kern w:val="44"/>
          <w:sz w:val="24"/>
          <w:szCs w:val="24"/>
          <w:highlight w:val="none"/>
          <w:lang w:val="en-US" w:eastAsia="zh-CN"/>
        </w:rPr>
        <w:t xml:space="preserve"> </w:t>
      </w:r>
      <w:r>
        <w:rPr>
          <w:rFonts w:hint="eastAsia" w:ascii="宋体" w:hAnsi="宋体" w:eastAsia="宋体" w:cs="宋体"/>
          <w:color w:val="auto"/>
          <w:kern w:val="44"/>
          <w:sz w:val="24"/>
          <w:szCs w:val="24"/>
          <w:highlight w:val="none"/>
        </w:rPr>
        <w:t>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_Toc5857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B54687B">
      <w:pPr>
        <w:pStyle w:val="22"/>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_Toc9125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44"/>
          <w:sz w:val="24"/>
          <w:szCs w:val="24"/>
          <w:highlight w:val="none"/>
        </w:rPr>
        <w:t xml:space="preserve">第三章 </w:t>
      </w:r>
      <w:r>
        <w:rPr>
          <w:rFonts w:hint="eastAsia" w:ascii="宋体" w:hAnsi="宋体" w:cs="宋体"/>
          <w:color w:val="auto"/>
          <w:kern w:val="44"/>
          <w:sz w:val="24"/>
          <w:szCs w:val="24"/>
          <w:highlight w:val="none"/>
          <w:lang w:val="en-US" w:eastAsia="zh-CN"/>
        </w:rPr>
        <w:t xml:space="preserve"> </w:t>
      </w:r>
      <w:r>
        <w:rPr>
          <w:rFonts w:hint="eastAsia" w:ascii="宋体" w:hAnsi="宋体" w:eastAsia="宋体" w:cs="宋体"/>
          <w:color w:val="auto"/>
          <w:kern w:val="44"/>
          <w:sz w:val="24"/>
          <w:szCs w:val="24"/>
          <w:highlight w:val="none"/>
        </w:rPr>
        <w:t>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_Toc9125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4A93DCC">
      <w:pPr>
        <w:pStyle w:val="25"/>
        <w:keepNext w:val="0"/>
        <w:keepLines w:val="0"/>
        <w:pageBreakBefore w:val="0"/>
        <w:widowControl w:val="0"/>
        <w:tabs>
          <w:tab w:val="right" w:leader="dot" w:pos="9638"/>
          <w:tab w:val="clear" w:pos="8296"/>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_Toc15583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第一节 供应商须知前附表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_Toc15583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4E6C0ED">
      <w:pPr>
        <w:pStyle w:val="25"/>
        <w:keepNext w:val="0"/>
        <w:keepLines w:val="0"/>
        <w:pageBreakBefore w:val="0"/>
        <w:widowControl w:val="0"/>
        <w:tabs>
          <w:tab w:val="right" w:leader="dot" w:pos="9638"/>
          <w:tab w:val="clear" w:pos="8296"/>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_Toc5715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第二节 供应商须知正文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_Toc5715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0B1091D">
      <w:pPr>
        <w:pStyle w:val="16"/>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_Toc12165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一、总则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_Toc12165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DB62B04">
      <w:pPr>
        <w:pStyle w:val="16"/>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_Toc29811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二、磋商文件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_Toc29811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5EFD795">
      <w:pPr>
        <w:pStyle w:val="16"/>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_Toc12429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三、响应文件的编制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_Toc12429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28F49F0">
      <w:pPr>
        <w:pStyle w:val="16"/>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_Toc26182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四、评审及磋商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_Toc26182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B6F22A4">
      <w:pPr>
        <w:pStyle w:val="16"/>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_Toc9972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五、成交及合同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_Toc9972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7B00795">
      <w:pPr>
        <w:pStyle w:val="16"/>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_Toc8074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六、验收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_Toc8074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6435880">
      <w:pPr>
        <w:pStyle w:val="16"/>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_Toc9558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七、其他事项</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_Toc9558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D62BA9F">
      <w:pPr>
        <w:pStyle w:val="22"/>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_Toc9978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kern w:val="44"/>
          <w:sz w:val="24"/>
          <w:szCs w:val="24"/>
          <w:highlight w:val="none"/>
        </w:rPr>
        <w:t>第四章  评审程序、评审方法和评审标准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_Toc9978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CB7BDDD">
      <w:pPr>
        <w:pStyle w:val="25"/>
        <w:keepNext w:val="0"/>
        <w:keepLines w:val="0"/>
        <w:pageBreakBefore w:val="0"/>
        <w:widowControl w:val="0"/>
        <w:tabs>
          <w:tab w:val="right" w:leader="dot" w:pos="9638"/>
          <w:tab w:val="clear" w:pos="8296"/>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_Toc994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第一节 评审程序和评审方法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_Toc994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B6189B1">
      <w:pPr>
        <w:pStyle w:val="25"/>
        <w:keepNext w:val="0"/>
        <w:keepLines w:val="0"/>
        <w:pageBreakBefore w:val="0"/>
        <w:widowControl w:val="0"/>
        <w:tabs>
          <w:tab w:val="right" w:leader="dot" w:pos="9638"/>
          <w:tab w:val="clear" w:pos="8296"/>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_Toc14052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第二节 评标报告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_Toc14052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9C9C073">
      <w:pPr>
        <w:pStyle w:val="25"/>
        <w:keepNext w:val="0"/>
        <w:keepLines w:val="0"/>
        <w:pageBreakBefore w:val="0"/>
        <w:widowControl w:val="0"/>
        <w:tabs>
          <w:tab w:val="right" w:leader="dot" w:pos="9638"/>
          <w:tab w:val="clear" w:pos="8296"/>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_Toc13089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第三节 评审过程的保密与录像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_Toc13089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04C87C5">
      <w:pPr>
        <w:pStyle w:val="22"/>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_Toc26450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kern w:val="44"/>
          <w:sz w:val="24"/>
          <w:szCs w:val="24"/>
          <w:highlight w:val="none"/>
        </w:rPr>
        <w:t xml:space="preserve">第五章 </w:t>
      </w:r>
      <w:r>
        <w:rPr>
          <w:rFonts w:hint="eastAsia" w:ascii="宋体" w:hAnsi="宋体" w:cs="宋体"/>
          <w:bCs/>
          <w:color w:val="auto"/>
          <w:kern w:val="44"/>
          <w:sz w:val="24"/>
          <w:szCs w:val="24"/>
          <w:highlight w:val="none"/>
          <w:lang w:val="en-US" w:eastAsia="zh-CN"/>
        </w:rPr>
        <w:t xml:space="preserve"> </w:t>
      </w:r>
      <w:r>
        <w:rPr>
          <w:rFonts w:hint="eastAsia" w:ascii="宋体" w:hAnsi="宋体" w:eastAsia="宋体" w:cs="宋体"/>
          <w:bCs/>
          <w:color w:val="auto"/>
          <w:kern w:val="44"/>
          <w:sz w:val="24"/>
          <w:szCs w:val="24"/>
          <w:highlight w:val="none"/>
        </w:rPr>
        <w:t>响应文件格式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_Toc26450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42811DB">
      <w:pPr>
        <w:pStyle w:val="22"/>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_Toc25338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kern w:val="44"/>
          <w:sz w:val="24"/>
          <w:szCs w:val="24"/>
          <w:highlight w:val="none"/>
        </w:rPr>
        <w:t>第六章  合同文本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_Toc25338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F214955">
      <w:pPr>
        <w:pStyle w:val="22"/>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_Toc3113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val="0"/>
          <w:color w:val="auto"/>
          <w:kern w:val="44"/>
          <w:sz w:val="24"/>
          <w:szCs w:val="24"/>
          <w:highlight w:val="none"/>
        </w:rPr>
        <w:t xml:space="preserve">第七章 </w:t>
      </w:r>
      <w:r>
        <w:rPr>
          <w:rFonts w:hint="eastAsia" w:ascii="宋体" w:hAnsi="宋体" w:cs="宋体"/>
          <w:bCs w:val="0"/>
          <w:color w:val="auto"/>
          <w:kern w:val="44"/>
          <w:sz w:val="24"/>
          <w:szCs w:val="24"/>
          <w:highlight w:val="none"/>
          <w:lang w:val="en-US" w:eastAsia="zh-CN"/>
        </w:rPr>
        <w:t xml:space="preserve"> </w:t>
      </w:r>
      <w:r>
        <w:rPr>
          <w:rFonts w:hint="eastAsia" w:ascii="宋体" w:hAnsi="宋体" w:eastAsia="宋体" w:cs="宋体"/>
          <w:bCs w:val="0"/>
          <w:color w:val="auto"/>
          <w:kern w:val="44"/>
          <w:sz w:val="24"/>
          <w:szCs w:val="24"/>
          <w:highlight w:val="none"/>
        </w:rPr>
        <w:t>质疑、投诉材料格式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_Toc3113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69AEB44">
      <w:pPr>
        <w:pStyle w:val="22"/>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_Toc15064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kern w:val="44"/>
          <w:sz w:val="24"/>
          <w:szCs w:val="24"/>
          <w:highlight w:val="none"/>
          <w:lang w:val="en-US" w:eastAsia="zh-CN" w:bidi="ar-SA"/>
        </w:rPr>
        <w:t xml:space="preserve">第八章 </w:t>
      </w:r>
      <w:r>
        <w:rPr>
          <w:rFonts w:hint="eastAsia" w:ascii="宋体" w:hAnsi="宋体" w:cs="宋体"/>
          <w:bCs/>
          <w:color w:val="auto"/>
          <w:kern w:val="44"/>
          <w:sz w:val="24"/>
          <w:szCs w:val="24"/>
          <w:highlight w:val="none"/>
          <w:lang w:val="en-US" w:eastAsia="zh-CN" w:bidi="ar-SA"/>
        </w:rPr>
        <w:t xml:space="preserve"> </w:t>
      </w:r>
      <w:r>
        <w:rPr>
          <w:rFonts w:hint="eastAsia" w:ascii="宋体" w:hAnsi="宋体" w:eastAsia="宋体" w:cs="宋体"/>
          <w:bCs/>
          <w:color w:val="auto"/>
          <w:kern w:val="44"/>
          <w:sz w:val="24"/>
          <w:szCs w:val="24"/>
          <w:highlight w:val="none"/>
          <w:lang w:val="en-US" w:eastAsia="zh-CN" w:bidi="ar-SA"/>
        </w:rPr>
        <w:t>政府采购合同验收书范本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_Toc15064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3D985D1">
      <w:pPr>
        <w:keepNext w:val="0"/>
        <w:keepLines w:val="0"/>
        <w:pageBreakBefore w:val="0"/>
        <w:widowControl w:val="0"/>
        <w:tabs>
          <w:tab w:val="right" w:leader="dot" w:pos="8296"/>
          <w:tab w:val="right" w:leader="dot" w:pos="8647"/>
        </w:tabs>
        <w:kinsoku/>
        <w:wordWrap/>
        <w:overflowPunct/>
        <w:topLinePunct w:val="0"/>
        <w:autoSpaceDE/>
        <w:autoSpaceDN/>
        <w:bidi w:val="0"/>
        <w:adjustRightInd/>
        <w:snapToGrid w:val="0"/>
        <w:spacing w:line="360" w:lineRule="auto"/>
        <w:ind w:right="231" w:rightChars="11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fldChar w:fldCharType="end"/>
      </w:r>
    </w:p>
    <w:p w14:paraId="7A51CE22">
      <w:pPr>
        <w:spacing w:line="400" w:lineRule="exact"/>
        <w:jc w:val="left"/>
        <w:rPr>
          <w:rFonts w:hint="eastAsia" w:ascii="宋体" w:hAnsi="宋体" w:eastAsia="宋体" w:cs="宋体"/>
          <w:b/>
          <w:color w:val="auto"/>
          <w:sz w:val="32"/>
          <w:szCs w:val="32"/>
          <w:highlight w:val="none"/>
        </w:rPr>
      </w:pPr>
    </w:p>
    <w:p w14:paraId="61CAB792">
      <w:pPr>
        <w:spacing w:line="400" w:lineRule="exact"/>
        <w:rPr>
          <w:rFonts w:hint="eastAsia" w:ascii="宋体" w:hAnsi="宋体" w:eastAsia="宋体" w:cs="宋体"/>
          <w:b/>
          <w:color w:val="auto"/>
          <w:sz w:val="32"/>
          <w:szCs w:val="32"/>
          <w:highlight w:val="none"/>
        </w:rPr>
        <w:sectPr>
          <w:pgSz w:w="11906" w:h="16838"/>
          <w:pgMar w:top="1440" w:right="1080" w:bottom="1440" w:left="1080" w:header="851" w:footer="992" w:gutter="0"/>
          <w:pgNumType w:start="0"/>
          <w:cols w:space="720" w:num="1"/>
          <w:titlePg/>
          <w:rtlGutter w:val="0"/>
          <w:docGrid w:type="lines" w:linePitch="312" w:charSpace="0"/>
        </w:sectPr>
      </w:pPr>
    </w:p>
    <w:p w14:paraId="7D317D75">
      <w:pPr>
        <w:spacing w:line="360" w:lineRule="auto"/>
        <w:ind w:firstLine="643" w:firstLineChars="200"/>
        <w:jc w:val="center"/>
        <w:outlineLvl w:val="0"/>
        <w:rPr>
          <w:rFonts w:hint="eastAsia" w:ascii="宋体" w:hAnsi="宋体" w:eastAsia="宋体" w:cs="宋体"/>
          <w:b/>
          <w:color w:val="auto"/>
          <w:kern w:val="44"/>
          <w:sz w:val="32"/>
          <w:szCs w:val="32"/>
          <w:highlight w:val="none"/>
        </w:rPr>
      </w:pPr>
      <w:bookmarkStart w:id="0" w:name="_Toc21228"/>
      <w:r>
        <w:rPr>
          <w:rFonts w:hint="eastAsia" w:ascii="宋体" w:hAnsi="宋体" w:eastAsia="宋体" w:cs="宋体"/>
          <w:b/>
          <w:color w:val="auto"/>
          <w:kern w:val="44"/>
          <w:sz w:val="32"/>
          <w:szCs w:val="32"/>
          <w:highlight w:val="none"/>
        </w:rPr>
        <w:t xml:space="preserve">第一章 </w:t>
      </w:r>
      <w:r>
        <w:rPr>
          <w:rFonts w:hint="eastAsia" w:ascii="宋体" w:hAnsi="宋体" w:cs="宋体"/>
          <w:b/>
          <w:color w:val="auto"/>
          <w:kern w:val="44"/>
          <w:sz w:val="32"/>
          <w:szCs w:val="32"/>
          <w:highlight w:val="none"/>
          <w:lang w:val="en-US" w:eastAsia="zh-CN"/>
        </w:rPr>
        <w:t xml:space="preserve"> </w:t>
      </w:r>
      <w:r>
        <w:rPr>
          <w:rFonts w:hint="eastAsia" w:ascii="宋体" w:hAnsi="宋体" w:eastAsia="宋体" w:cs="宋体"/>
          <w:b/>
          <w:color w:val="auto"/>
          <w:kern w:val="44"/>
          <w:sz w:val="32"/>
          <w:szCs w:val="32"/>
          <w:highlight w:val="none"/>
        </w:rPr>
        <w:t>竞争性磋商公告</w:t>
      </w:r>
      <w:bookmarkEnd w:id="0"/>
      <w:bookmarkStart w:id="1" w:name="_Toc35393629"/>
      <w:bookmarkStart w:id="2" w:name="_Toc28359012"/>
      <w:bookmarkStart w:id="3" w:name="_Toc44229878"/>
      <w:bookmarkStart w:id="4" w:name="_Toc35393798"/>
      <w:bookmarkStart w:id="5" w:name="_Toc28359089"/>
      <w:bookmarkStart w:id="6" w:name="_Toc28359004"/>
      <w:bookmarkStart w:id="7" w:name="_Toc35393792"/>
      <w:bookmarkStart w:id="8" w:name="_Toc35393623"/>
      <w:bookmarkStart w:id="9" w:name="_Toc28359081"/>
    </w:p>
    <w:p w14:paraId="090BCE3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项目概况</w:t>
      </w:r>
    </w:p>
    <w:p w14:paraId="60E92747">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val="0"/>
        <w:spacing w:line="360" w:lineRule="auto"/>
        <w:ind w:firstLine="550" w:firstLineChars="250"/>
        <w:textAlignment w:val="auto"/>
        <w:rPr>
          <w:rFonts w:hint="eastAsia" w:ascii="宋体" w:hAnsi="宋体" w:eastAsia="宋体" w:cs="宋体"/>
          <w:color w:val="auto"/>
          <w:sz w:val="22"/>
          <w:szCs w:val="22"/>
          <w:highlight w:val="none"/>
          <w:u w:val="single"/>
        </w:rPr>
      </w:pPr>
      <w:r>
        <w:rPr>
          <w:rFonts w:hint="eastAsia" w:ascii="宋体" w:hAnsi="宋体" w:cs="宋体"/>
          <w:color w:val="auto"/>
          <w:sz w:val="22"/>
          <w:szCs w:val="22"/>
          <w:highlight w:val="none"/>
          <w:u w:val="single"/>
          <w:lang w:eastAsia="zh-CN"/>
        </w:rPr>
        <w:t>泵站、堤防护坡清理维护工程（2025年）</w:t>
      </w:r>
      <w:r>
        <w:rPr>
          <w:rFonts w:hint="eastAsia" w:ascii="宋体" w:hAnsi="宋体" w:eastAsia="宋体" w:cs="宋体"/>
          <w:color w:val="auto"/>
          <w:sz w:val="22"/>
          <w:szCs w:val="22"/>
          <w:highlight w:val="none"/>
        </w:rPr>
        <w:t>的潜在供应商应在广西政府采购云平台（https</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//www.gcy.zfcg.gxzf.gov.cn/）获取采购文件</w:t>
      </w:r>
      <w:r>
        <w:rPr>
          <w:rFonts w:hint="eastAsia" w:ascii="宋体" w:hAnsi="宋体" w:eastAsia="宋体" w:cs="宋体"/>
          <w:color w:val="auto"/>
          <w:sz w:val="22"/>
          <w:szCs w:val="22"/>
          <w:highlight w:val="none"/>
          <w:u w:val="none"/>
        </w:rPr>
        <w:t>，并于</w:t>
      </w:r>
      <w:r>
        <w:rPr>
          <w:rFonts w:hint="eastAsia" w:ascii="宋体" w:hAnsi="宋体" w:cs="宋体"/>
          <w:color w:val="auto"/>
          <w:sz w:val="22"/>
          <w:szCs w:val="22"/>
          <w:highlight w:val="none"/>
          <w:u w:val="single"/>
          <w:lang w:val="en-US" w:eastAsia="zh-CN"/>
        </w:rPr>
        <w:t>2025</w:t>
      </w:r>
      <w:r>
        <w:rPr>
          <w:rFonts w:hint="eastAsia" w:ascii="宋体" w:hAnsi="宋体" w:cs="宋体"/>
          <w:color w:val="auto"/>
          <w:sz w:val="22"/>
          <w:szCs w:val="22"/>
          <w:highlight w:val="none"/>
          <w:u w:val="single"/>
          <w:lang w:eastAsia="zh-CN"/>
        </w:rPr>
        <w:t>年</w:t>
      </w:r>
      <w:r>
        <w:rPr>
          <w:rFonts w:hint="eastAsia" w:ascii="宋体" w:hAnsi="宋体" w:cs="宋体"/>
          <w:color w:val="auto"/>
          <w:sz w:val="22"/>
          <w:szCs w:val="22"/>
          <w:highlight w:val="none"/>
          <w:u w:val="single"/>
          <w:lang w:val="en-US" w:eastAsia="zh-CN"/>
        </w:rPr>
        <w:t>5</w:t>
      </w:r>
      <w:r>
        <w:rPr>
          <w:rFonts w:hint="eastAsia" w:ascii="宋体" w:hAnsi="宋体" w:cs="宋体"/>
          <w:color w:val="auto"/>
          <w:sz w:val="22"/>
          <w:szCs w:val="22"/>
          <w:highlight w:val="none"/>
          <w:u w:val="single"/>
          <w:lang w:eastAsia="zh-CN"/>
        </w:rPr>
        <w:t>月</w:t>
      </w:r>
      <w:r>
        <w:rPr>
          <w:rFonts w:hint="eastAsia" w:ascii="宋体" w:hAnsi="宋体" w:cs="宋体"/>
          <w:color w:val="auto"/>
          <w:sz w:val="22"/>
          <w:szCs w:val="22"/>
          <w:highlight w:val="none"/>
          <w:u w:val="single"/>
          <w:lang w:val="en-US" w:eastAsia="zh-CN"/>
        </w:rPr>
        <w:t>6</w:t>
      </w:r>
      <w:r>
        <w:rPr>
          <w:rFonts w:hint="eastAsia" w:ascii="宋体" w:hAnsi="宋体" w:cs="宋体"/>
          <w:color w:val="auto"/>
          <w:sz w:val="22"/>
          <w:szCs w:val="22"/>
          <w:highlight w:val="none"/>
          <w:u w:val="single"/>
          <w:lang w:eastAsia="zh-CN"/>
        </w:rPr>
        <w:t>日</w:t>
      </w:r>
      <w:r>
        <w:rPr>
          <w:rFonts w:hint="eastAsia" w:ascii="宋体" w:hAnsi="宋体" w:eastAsia="宋体" w:cs="宋体"/>
          <w:color w:val="auto"/>
          <w:sz w:val="22"/>
          <w:szCs w:val="22"/>
          <w:highlight w:val="none"/>
          <w:u w:val="single"/>
        </w:rPr>
        <w:t>09</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lang w:val="en-US" w:eastAsia="zh-CN"/>
        </w:rPr>
        <w:t>20</w:t>
      </w:r>
      <w:r>
        <w:rPr>
          <w:rFonts w:hint="eastAsia" w:ascii="宋体" w:hAnsi="宋体" w:eastAsia="宋体" w:cs="宋体"/>
          <w:bCs/>
          <w:color w:val="auto"/>
          <w:sz w:val="22"/>
          <w:szCs w:val="22"/>
          <w:highlight w:val="none"/>
        </w:rPr>
        <w:t>（北京时间）前</w:t>
      </w:r>
      <w:r>
        <w:rPr>
          <w:rFonts w:hint="eastAsia" w:ascii="宋体" w:hAnsi="宋体" w:eastAsia="宋体" w:cs="宋体"/>
          <w:color w:val="auto"/>
          <w:sz w:val="22"/>
          <w:szCs w:val="22"/>
          <w:highlight w:val="none"/>
        </w:rPr>
        <w:t>递交（上传）响应文件。</w:t>
      </w:r>
    </w:p>
    <w:p w14:paraId="38E8EEB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一、项目基本情况</w:t>
      </w:r>
      <w:bookmarkEnd w:id="1"/>
      <w:bookmarkEnd w:id="2"/>
      <w:bookmarkEnd w:id="3"/>
      <w:bookmarkEnd w:id="4"/>
      <w:bookmarkEnd w:id="5"/>
    </w:p>
    <w:p w14:paraId="5E27B06F">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项目编号：LZZC2025-C2-990162-GXJZ</w:t>
      </w:r>
    </w:p>
    <w:p w14:paraId="0D60A195">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rPr>
        <w:t>项目名称：</w:t>
      </w:r>
      <w:r>
        <w:rPr>
          <w:rFonts w:hint="eastAsia" w:ascii="宋体" w:hAnsi="宋体" w:cs="宋体"/>
          <w:color w:val="auto"/>
          <w:sz w:val="22"/>
          <w:szCs w:val="22"/>
          <w:highlight w:val="none"/>
          <w:lang w:eastAsia="zh-CN"/>
        </w:rPr>
        <w:t>泵站、堤防护坡清理维护工程（2025年）</w:t>
      </w:r>
    </w:p>
    <w:p w14:paraId="37E1A796">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采购方式：竞争性磋商</w:t>
      </w:r>
    </w:p>
    <w:p w14:paraId="36D04081">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预算总金额（元）：</w:t>
      </w:r>
      <w:r>
        <w:rPr>
          <w:rFonts w:hint="eastAsia" w:ascii="宋体" w:hAnsi="宋体" w:cs="宋体"/>
          <w:color w:val="auto"/>
          <w:sz w:val="22"/>
          <w:szCs w:val="22"/>
          <w:highlight w:val="none"/>
          <w:lang w:eastAsia="zh-CN"/>
        </w:rPr>
        <w:t>1000000</w:t>
      </w:r>
    </w:p>
    <w:p w14:paraId="0546D8F5">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采购需求：</w:t>
      </w:r>
    </w:p>
    <w:p w14:paraId="358DCE23">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p>
    <w:p w14:paraId="787079F2">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标项名称</w:t>
      </w:r>
      <w:r>
        <w:rPr>
          <w:rFonts w:hint="eastAsia" w:ascii="仿宋" w:hAnsi="仿宋" w:eastAsia="仿宋" w:cs="仿宋"/>
          <w:color w:val="auto"/>
          <w:sz w:val="22"/>
          <w:szCs w:val="22"/>
          <w:highlight w:val="none"/>
          <w:lang w:eastAsia="zh-CN"/>
        </w:rPr>
        <w:t>：泵站、堤防护坡清理维护工程（2025年）</w:t>
      </w:r>
    </w:p>
    <w:p w14:paraId="05C3F22B">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数量：1项</w:t>
      </w:r>
    </w:p>
    <w:p w14:paraId="0F1C48F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预算金额（元）：</w:t>
      </w:r>
      <w:r>
        <w:rPr>
          <w:rFonts w:hint="eastAsia" w:ascii="仿宋" w:hAnsi="仿宋" w:eastAsia="仿宋" w:cs="仿宋"/>
          <w:color w:val="auto"/>
          <w:sz w:val="22"/>
          <w:szCs w:val="22"/>
          <w:highlight w:val="none"/>
          <w:lang w:eastAsia="zh-CN"/>
        </w:rPr>
        <w:t>1000000</w:t>
      </w:r>
    </w:p>
    <w:p w14:paraId="64FD53B0">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简要规格描述或项目基本概况介绍、用途：泵站、堤防护坡清理维护工程，详见“第二章  采购需求”。质量要求：合格；安全要求：无安全事故。</w:t>
      </w:r>
    </w:p>
    <w:p w14:paraId="2E27825B">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最高限价</w:t>
      </w:r>
      <w:r>
        <w:rPr>
          <w:rFonts w:hint="eastAsia" w:ascii="仿宋" w:hAnsi="仿宋" w:eastAsia="仿宋" w:cs="仿宋"/>
          <w:color w:val="auto"/>
          <w:sz w:val="22"/>
          <w:szCs w:val="22"/>
          <w:highlight w:val="none"/>
          <w:lang w:val="en-US" w:eastAsia="zh-CN"/>
        </w:rPr>
        <w:t>(如有)</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975500</w:t>
      </w:r>
    </w:p>
    <w:p w14:paraId="3863F44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合同履行期限：2025年12月31日之前。</w:t>
      </w:r>
    </w:p>
    <w:p w14:paraId="54E5CDD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color w:val="auto"/>
          <w:sz w:val="22"/>
          <w:szCs w:val="22"/>
          <w:highlight w:val="none"/>
          <w:u w:val="none"/>
        </w:rPr>
      </w:pPr>
      <w:r>
        <w:rPr>
          <w:rFonts w:hint="eastAsia" w:ascii="仿宋" w:hAnsi="仿宋" w:eastAsia="仿宋" w:cs="仿宋"/>
          <w:color w:val="auto"/>
          <w:sz w:val="22"/>
          <w:szCs w:val="22"/>
          <w:highlight w:val="none"/>
        </w:rPr>
        <w:t>本标项</w:t>
      </w:r>
      <w:r>
        <w:rPr>
          <w:rFonts w:hint="eastAsia" w:ascii="仿宋" w:hAnsi="仿宋" w:eastAsia="仿宋" w:cs="仿宋"/>
          <w:color w:val="auto"/>
          <w:sz w:val="22"/>
          <w:szCs w:val="22"/>
          <w:highlight w:val="none"/>
          <w:u w:val="none"/>
        </w:rPr>
        <w:t>（否）接受联合体投标</w:t>
      </w:r>
    </w:p>
    <w:p w14:paraId="02E3D7BF">
      <w:pPr>
        <w:pStyle w:val="3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sz w:val="22"/>
          <w:szCs w:val="22"/>
          <w:highlight w:val="none"/>
          <w:lang w:val="en-US" w:eastAsia="zh-CN"/>
        </w:rPr>
      </w:pPr>
      <w:r>
        <w:rPr>
          <w:rFonts w:hint="eastAsia" w:ascii="仿宋" w:hAnsi="仿宋" w:eastAsia="仿宋" w:cs="仿宋"/>
          <w:color w:val="auto"/>
          <w:sz w:val="22"/>
          <w:szCs w:val="22"/>
          <w:highlight w:val="none"/>
          <w:u w:val="none"/>
          <w:lang w:val="en-US" w:eastAsia="zh-CN"/>
        </w:rPr>
        <w:t>备注：本项目为线上电子招标项目，采用远程异地评标，有意向参与本项目的供应商应当做好参与全流程电子招投标交易的充分准备。</w:t>
      </w:r>
    </w:p>
    <w:p w14:paraId="6D689671">
      <w:pPr>
        <w:rPr>
          <w:rFonts w:hint="eastAsia" w:ascii="宋体" w:hAnsi="宋体" w:eastAsia="宋体" w:cs="宋体"/>
          <w:sz w:val="22"/>
          <w:szCs w:val="22"/>
          <w:highlight w:val="none"/>
        </w:rPr>
      </w:pPr>
      <w:bookmarkStart w:id="10" w:name="_Toc35393799"/>
      <w:bookmarkStart w:id="11" w:name="_Toc28359013"/>
      <w:bookmarkStart w:id="12" w:name="_Toc44229879"/>
      <w:bookmarkStart w:id="13" w:name="_Toc28359090"/>
      <w:bookmarkStart w:id="14" w:name="_Toc35393630"/>
    </w:p>
    <w:p w14:paraId="5B3C2E6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Cs/>
          <w:color w:val="auto"/>
          <w:sz w:val="22"/>
          <w:szCs w:val="22"/>
          <w:highlight w:val="none"/>
        </w:rPr>
      </w:pPr>
      <w:r>
        <w:rPr>
          <w:rFonts w:hint="eastAsia" w:ascii="宋体" w:hAnsi="宋体" w:eastAsia="宋体" w:cs="宋体"/>
          <w:b/>
          <w:color w:val="auto"/>
          <w:kern w:val="44"/>
          <w:sz w:val="22"/>
          <w:szCs w:val="22"/>
          <w:highlight w:val="none"/>
        </w:rPr>
        <w:t>二、申请人的资格条件</w:t>
      </w:r>
      <w:bookmarkEnd w:id="10"/>
      <w:bookmarkEnd w:id="11"/>
      <w:bookmarkEnd w:id="12"/>
      <w:bookmarkEnd w:id="13"/>
      <w:bookmarkEnd w:id="14"/>
    </w:p>
    <w:p w14:paraId="6AEB72A1">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1.满足《中华人民共和国政府采购法》第二十二条规定；</w:t>
      </w:r>
    </w:p>
    <w:p w14:paraId="14573270">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2.落实政府采购政策需满足的资格要求：本项目属于专门面向小微企业采购的项目（供应商应为小微企业/监狱企业/残疾人福利性单位，监狱企业、残疾人福利单位视同小型、微型企业)；小微企业须符合本项目采购标的所属行业对应的小微企业划分标准</w:t>
      </w:r>
      <w:r>
        <w:rPr>
          <w:rFonts w:hint="eastAsia" w:ascii="宋体" w:hAnsi="宋体" w:cs="宋体"/>
          <w:color w:val="auto"/>
          <w:sz w:val="22"/>
          <w:szCs w:val="22"/>
          <w:highlight w:val="none"/>
          <w:lang w:val="en-US" w:eastAsia="zh-CN"/>
        </w:rPr>
        <w:t>。</w:t>
      </w:r>
    </w:p>
    <w:p w14:paraId="57679A13">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3.本项目的特定资格要</w:t>
      </w:r>
      <w:bookmarkStart w:id="100" w:name="_GoBack"/>
      <w:bookmarkEnd w:id="100"/>
      <w:r>
        <w:rPr>
          <w:rFonts w:hint="eastAsia" w:ascii="宋体" w:hAnsi="宋体" w:eastAsia="宋体" w:cs="宋体"/>
          <w:color w:val="auto"/>
          <w:sz w:val="22"/>
          <w:szCs w:val="22"/>
          <w:highlight w:val="none"/>
        </w:rPr>
        <w:t>求：(1)供应商应具备有效的水利水电工程施工总承包叁级以上(含叁级)资质</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(2)供应商具有省级或以上建设行政主管部门颁发的建筑施工企业安全生产许可证</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lang w:eastAsia="zh-CN"/>
        </w:rPr>
        <w:t>）拟派项目经理须具备水利水电工程专业贰级及以上注册建造师执业资格</w:t>
      </w:r>
      <w:r>
        <w:rPr>
          <w:rFonts w:hint="eastAsia" w:ascii="宋体" w:hAnsi="宋体" w:eastAsia="宋体" w:cs="宋体"/>
          <w:color w:val="auto"/>
          <w:sz w:val="22"/>
          <w:szCs w:val="22"/>
          <w:highlight w:val="none"/>
        </w:rPr>
        <w:t>。</w:t>
      </w:r>
    </w:p>
    <w:p w14:paraId="02946C4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三、获取竞争性磋商文件</w:t>
      </w:r>
      <w:bookmarkEnd w:id="6"/>
      <w:bookmarkEnd w:id="7"/>
      <w:bookmarkEnd w:id="8"/>
      <w:bookmarkEnd w:id="9"/>
    </w:p>
    <w:p w14:paraId="745C5073">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bookmarkStart w:id="15" w:name="_Toc28359082"/>
      <w:bookmarkStart w:id="16" w:name="_Toc35393793"/>
      <w:bookmarkStart w:id="17" w:name="_Toc28359005"/>
      <w:bookmarkStart w:id="18" w:name="_Toc35393624"/>
      <w:r>
        <w:rPr>
          <w:rFonts w:hint="eastAsia" w:ascii="宋体" w:hAnsi="宋体" w:eastAsia="宋体" w:cs="宋体"/>
          <w:color w:val="auto"/>
          <w:sz w:val="22"/>
          <w:szCs w:val="22"/>
          <w:highlight w:val="none"/>
        </w:rPr>
        <w:t>时间：</w:t>
      </w:r>
      <w:r>
        <w:rPr>
          <w:rFonts w:hint="eastAsia" w:ascii="宋体" w:hAnsi="宋体" w:cs="宋体"/>
          <w:color w:val="auto"/>
          <w:sz w:val="22"/>
          <w:szCs w:val="22"/>
          <w:highlight w:val="none"/>
          <w:u w:val="none"/>
          <w:lang w:val="en-US" w:eastAsia="zh-CN"/>
        </w:rPr>
        <w:t>2025</w:t>
      </w:r>
      <w:r>
        <w:rPr>
          <w:rFonts w:hint="eastAsia" w:ascii="宋体" w:hAnsi="宋体" w:eastAsia="宋体" w:cs="宋体"/>
          <w:color w:val="auto"/>
          <w:sz w:val="22"/>
          <w:szCs w:val="22"/>
          <w:highlight w:val="none"/>
          <w:u w:val="none"/>
        </w:rPr>
        <w:t>年</w:t>
      </w:r>
      <w:r>
        <w:rPr>
          <w:rFonts w:hint="eastAsia" w:ascii="宋体" w:hAnsi="宋体" w:cs="宋体"/>
          <w:color w:val="auto"/>
          <w:sz w:val="22"/>
          <w:szCs w:val="22"/>
          <w:highlight w:val="none"/>
          <w:u w:val="none"/>
          <w:lang w:val="en-US" w:eastAsia="zh-CN"/>
        </w:rPr>
        <w:t>4</w:t>
      </w:r>
      <w:r>
        <w:rPr>
          <w:rFonts w:hint="eastAsia" w:ascii="宋体" w:hAnsi="宋体" w:eastAsia="宋体" w:cs="宋体"/>
          <w:color w:val="auto"/>
          <w:sz w:val="22"/>
          <w:szCs w:val="22"/>
          <w:highlight w:val="none"/>
          <w:u w:val="none"/>
          <w:lang w:val="en-US" w:eastAsia="zh-CN"/>
        </w:rPr>
        <w:t>月</w:t>
      </w:r>
      <w:r>
        <w:rPr>
          <w:rFonts w:hint="eastAsia" w:ascii="宋体" w:hAnsi="宋体" w:cs="宋体"/>
          <w:color w:val="auto"/>
          <w:sz w:val="22"/>
          <w:szCs w:val="22"/>
          <w:highlight w:val="none"/>
          <w:u w:val="none"/>
          <w:lang w:val="en-US" w:eastAsia="zh-CN"/>
        </w:rPr>
        <w:t>18</w:t>
      </w:r>
      <w:r>
        <w:rPr>
          <w:rFonts w:hint="eastAsia" w:ascii="宋体" w:hAnsi="宋体" w:eastAsia="宋体" w:cs="宋体"/>
          <w:color w:val="auto"/>
          <w:sz w:val="22"/>
          <w:szCs w:val="22"/>
          <w:highlight w:val="none"/>
          <w:u w:val="none"/>
        </w:rPr>
        <w:t>日至</w:t>
      </w:r>
      <w:r>
        <w:rPr>
          <w:rFonts w:hint="eastAsia" w:ascii="宋体" w:hAnsi="宋体" w:cs="宋体"/>
          <w:color w:val="auto"/>
          <w:sz w:val="22"/>
          <w:szCs w:val="22"/>
          <w:highlight w:val="none"/>
          <w:u w:val="none"/>
          <w:lang w:val="en-US" w:eastAsia="zh-CN"/>
        </w:rPr>
        <w:t>2025</w:t>
      </w:r>
      <w:r>
        <w:rPr>
          <w:rFonts w:hint="eastAsia" w:ascii="宋体" w:hAnsi="宋体" w:eastAsia="宋体" w:cs="宋体"/>
          <w:color w:val="auto"/>
          <w:sz w:val="22"/>
          <w:szCs w:val="22"/>
          <w:highlight w:val="none"/>
          <w:u w:val="none"/>
        </w:rPr>
        <w:t>年</w:t>
      </w:r>
      <w:r>
        <w:rPr>
          <w:rFonts w:hint="eastAsia" w:ascii="宋体" w:hAnsi="宋体" w:cs="宋体"/>
          <w:color w:val="auto"/>
          <w:sz w:val="22"/>
          <w:szCs w:val="22"/>
          <w:highlight w:val="none"/>
          <w:u w:val="none"/>
          <w:lang w:val="en-US" w:eastAsia="zh-CN"/>
        </w:rPr>
        <w:t>4</w:t>
      </w:r>
      <w:r>
        <w:rPr>
          <w:rFonts w:hint="eastAsia" w:ascii="宋体" w:hAnsi="宋体" w:eastAsia="宋体" w:cs="宋体"/>
          <w:color w:val="auto"/>
          <w:sz w:val="22"/>
          <w:szCs w:val="22"/>
          <w:highlight w:val="none"/>
          <w:u w:val="none"/>
          <w:lang w:val="en-US" w:eastAsia="zh-CN"/>
        </w:rPr>
        <w:t>月</w:t>
      </w:r>
      <w:r>
        <w:rPr>
          <w:rFonts w:hint="eastAsia" w:ascii="宋体" w:hAnsi="宋体" w:cs="宋体"/>
          <w:color w:val="auto"/>
          <w:sz w:val="22"/>
          <w:szCs w:val="22"/>
          <w:highlight w:val="none"/>
          <w:u w:val="none"/>
          <w:lang w:val="en-US" w:eastAsia="zh-CN"/>
        </w:rPr>
        <w:t>25</w:t>
      </w:r>
      <w:r>
        <w:rPr>
          <w:rFonts w:hint="eastAsia" w:ascii="宋体" w:hAnsi="宋体" w:eastAsia="宋体" w:cs="宋体"/>
          <w:color w:val="auto"/>
          <w:sz w:val="22"/>
          <w:szCs w:val="22"/>
          <w:highlight w:val="none"/>
          <w:u w:val="none"/>
        </w:rPr>
        <w:t>日，每天上</w:t>
      </w:r>
      <w:r>
        <w:rPr>
          <w:rFonts w:hint="eastAsia" w:ascii="宋体" w:hAnsi="宋体" w:eastAsia="宋体" w:cs="宋体"/>
          <w:color w:val="auto"/>
          <w:sz w:val="22"/>
          <w:szCs w:val="22"/>
          <w:highlight w:val="none"/>
        </w:rPr>
        <w:t>午00</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00至12</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00，下午12</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00至23</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59（北京时间，法定节假日除外）。</w:t>
      </w:r>
    </w:p>
    <w:p w14:paraId="79971B37">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地点（网址）：广西政府采购云平台线上获取</w:t>
      </w:r>
    </w:p>
    <w:p w14:paraId="4A5ACD56">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b/>
          <w:bCs/>
          <w:color w:val="auto"/>
          <w:sz w:val="22"/>
          <w:szCs w:val="22"/>
          <w:highlight w:val="none"/>
          <w:lang w:val="en-US"/>
        </w:rPr>
      </w:pPr>
      <w:r>
        <w:rPr>
          <w:rFonts w:hint="eastAsia" w:ascii="宋体" w:hAnsi="宋体" w:eastAsia="宋体" w:cs="宋体"/>
          <w:color w:val="auto"/>
          <w:sz w:val="22"/>
          <w:szCs w:val="22"/>
          <w:highlight w:val="none"/>
        </w:rPr>
        <w:t>方式</w:t>
      </w:r>
      <w:r>
        <w:rPr>
          <w:rFonts w:hint="eastAsia" w:ascii="宋体" w:hAnsi="宋体" w:eastAsia="宋体" w:cs="宋体"/>
          <w:color w:val="auto"/>
          <w:sz w:val="22"/>
          <w:szCs w:val="22"/>
          <w:highlight w:val="none"/>
          <w:lang w:eastAsia="zh-CN"/>
        </w:rPr>
        <w:t>：供应商登录广西政府采购云平台https</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//www.gcy.zfcg.gxzf.gov.cn/在线申请获取采购文件（进入“项目采购”应用，在获取采购文件菜单中选择项目，申请获取采购文件）</w:t>
      </w:r>
    </w:p>
    <w:p w14:paraId="52BE505A">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售价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元</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：0</w:t>
      </w:r>
    </w:p>
    <w:p w14:paraId="4E4FF10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四、</w:t>
      </w:r>
      <w:bookmarkEnd w:id="15"/>
      <w:bookmarkEnd w:id="16"/>
      <w:bookmarkEnd w:id="17"/>
      <w:bookmarkEnd w:id="18"/>
      <w:r>
        <w:rPr>
          <w:rFonts w:hint="eastAsia" w:ascii="宋体" w:hAnsi="宋体" w:eastAsia="宋体" w:cs="宋体"/>
          <w:b/>
          <w:bCs/>
          <w:color w:val="auto"/>
          <w:sz w:val="22"/>
          <w:szCs w:val="22"/>
          <w:highlight w:val="none"/>
        </w:rPr>
        <w:t>响应文件提交</w:t>
      </w:r>
    </w:p>
    <w:p w14:paraId="4CBCBBD0">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截止时间：</w:t>
      </w:r>
      <w:r>
        <w:rPr>
          <w:rFonts w:hint="eastAsia" w:ascii="宋体" w:hAnsi="宋体" w:cs="宋体"/>
          <w:color w:val="auto"/>
          <w:kern w:val="0"/>
          <w:sz w:val="22"/>
          <w:szCs w:val="22"/>
          <w:highlight w:val="none"/>
          <w:lang w:val="en-US" w:eastAsia="zh-CN"/>
        </w:rPr>
        <w:t>2025</w:t>
      </w:r>
      <w:r>
        <w:rPr>
          <w:rFonts w:hint="eastAsia" w:ascii="宋体" w:hAnsi="宋体" w:cs="宋体"/>
          <w:color w:val="auto"/>
          <w:kern w:val="0"/>
          <w:sz w:val="22"/>
          <w:szCs w:val="22"/>
          <w:highlight w:val="none"/>
          <w:lang w:eastAsia="zh-CN"/>
        </w:rPr>
        <w:t>年</w:t>
      </w:r>
      <w:r>
        <w:rPr>
          <w:rFonts w:hint="eastAsia" w:ascii="宋体" w:hAnsi="宋体" w:cs="宋体"/>
          <w:color w:val="auto"/>
          <w:kern w:val="0"/>
          <w:sz w:val="22"/>
          <w:szCs w:val="22"/>
          <w:highlight w:val="none"/>
          <w:lang w:val="en-US" w:eastAsia="zh-CN"/>
        </w:rPr>
        <w:t>5</w:t>
      </w:r>
      <w:r>
        <w:rPr>
          <w:rFonts w:hint="eastAsia" w:ascii="宋体" w:hAnsi="宋体" w:cs="宋体"/>
          <w:color w:val="auto"/>
          <w:kern w:val="0"/>
          <w:sz w:val="22"/>
          <w:szCs w:val="22"/>
          <w:highlight w:val="none"/>
          <w:lang w:eastAsia="zh-CN"/>
        </w:rPr>
        <w:t>月</w:t>
      </w:r>
      <w:r>
        <w:rPr>
          <w:rFonts w:hint="eastAsia" w:ascii="宋体" w:hAnsi="宋体" w:cs="宋体"/>
          <w:color w:val="auto"/>
          <w:kern w:val="0"/>
          <w:sz w:val="22"/>
          <w:szCs w:val="22"/>
          <w:highlight w:val="none"/>
          <w:lang w:val="en-US" w:eastAsia="zh-CN"/>
        </w:rPr>
        <w:t>6</w:t>
      </w:r>
      <w:r>
        <w:rPr>
          <w:rFonts w:hint="eastAsia" w:ascii="宋体" w:hAnsi="宋体" w:cs="宋体"/>
          <w:color w:val="auto"/>
          <w:kern w:val="0"/>
          <w:sz w:val="22"/>
          <w:szCs w:val="22"/>
          <w:highlight w:val="none"/>
          <w:lang w:eastAsia="zh-CN"/>
        </w:rPr>
        <w:t>日</w:t>
      </w:r>
      <w:r>
        <w:rPr>
          <w:rFonts w:hint="eastAsia" w:ascii="宋体" w:hAnsi="宋体" w:eastAsia="宋体" w:cs="宋体"/>
          <w:color w:val="auto"/>
          <w:kern w:val="0"/>
          <w:sz w:val="22"/>
          <w:szCs w:val="22"/>
          <w:highlight w:val="none"/>
          <w:lang w:eastAsia="zh-CN"/>
        </w:rPr>
        <w:t>09</w:t>
      </w:r>
      <w:r>
        <w:rPr>
          <w:rFonts w:hint="eastAsia" w:ascii="宋体" w:hAnsi="宋体" w:cs="宋体"/>
          <w:color w:val="auto"/>
          <w:kern w:val="0"/>
          <w:sz w:val="22"/>
          <w:szCs w:val="22"/>
          <w:highlight w:val="none"/>
          <w:lang w:eastAsia="zh-CN"/>
        </w:rPr>
        <w:t>：20</w:t>
      </w:r>
      <w:r>
        <w:rPr>
          <w:rFonts w:hint="eastAsia" w:ascii="宋体" w:hAnsi="宋体" w:eastAsia="宋体" w:cs="宋体"/>
          <w:color w:val="auto"/>
          <w:kern w:val="0"/>
          <w:sz w:val="22"/>
          <w:szCs w:val="22"/>
          <w:highlight w:val="none"/>
          <w:lang w:eastAsia="zh-CN"/>
        </w:rPr>
        <w:t>（北京时间）</w:t>
      </w:r>
    </w:p>
    <w:p w14:paraId="2ADBBFC2">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地点（网址）：请登录广西政府采购云平台投标客户端投标</w:t>
      </w:r>
    </w:p>
    <w:p w14:paraId="5656158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五、响应文件开启</w:t>
      </w:r>
    </w:p>
    <w:p w14:paraId="2684C347">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bCs/>
          <w:color w:val="auto"/>
          <w:sz w:val="22"/>
          <w:szCs w:val="22"/>
          <w:highlight w:val="none"/>
          <w:u w:val="none"/>
        </w:rPr>
      </w:pPr>
      <w:r>
        <w:rPr>
          <w:rFonts w:hint="eastAsia" w:ascii="宋体" w:hAnsi="宋体" w:eastAsia="宋体" w:cs="宋体"/>
          <w:bCs/>
          <w:color w:val="auto"/>
          <w:sz w:val="22"/>
          <w:szCs w:val="22"/>
          <w:highlight w:val="none"/>
          <w:u w:val="none"/>
        </w:rPr>
        <w:t>开启时间：</w:t>
      </w:r>
      <w:r>
        <w:rPr>
          <w:rFonts w:hint="eastAsia" w:ascii="宋体" w:hAnsi="宋体" w:cs="宋体"/>
          <w:bCs/>
          <w:color w:val="auto"/>
          <w:sz w:val="22"/>
          <w:szCs w:val="22"/>
          <w:highlight w:val="none"/>
          <w:u w:val="none"/>
          <w:lang w:val="en-US" w:eastAsia="zh-CN"/>
        </w:rPr>
        <w:t>2025</w:t>
      </w:r>
      <w:r>
        <w:rPr>
          <w:rFonts w:hint="eastAsia" w:ascii="宋体" w:hAnsi="宋体" w:cs="宋体"/>
          <w:bCs/>
          <w:color w:val="auto"/>
          <w:sz w:val="22"/>
          <w:szCs w:val="22"/>
          <w:highlight w:val="none"/>
          <w:u w:val="none"/>
          <w:lang w:eastAsia="zh-CN"/>
        </w:rPr>
        <w:t>年</w:t>
      </w:r>
      <w:r>
        <w:rPr>
          <w:rFonts w:hint="eastAsia" w:ascii="宋体" w:hAnsi="宋体" w:cs="宋体"/>
          <w:bCs/>
          <w:color w:val="auto"/>
          <w:sz w:val="22"/>
          <w:szCs w:val="22"/>
          <w:highlight w:val="none"/>
          <w:u w:val="none"/>
          <w:lang w:val="en-US" w:eastAsia="zh-CN"/>
        </w:rPr>
        <w:t>5</w:t>
      </w:r>
      <w:r>
        <w:rPr>
          <w:rFonts w:hint="eastAsia" w:ascii="宋体" w:hAnsi="宋体" w:cs="宋体"/>
          <w:bCs/>
          <w:color w:val="auto"/>
          <w:sz w:val="22"/>
          <w:szCs w:val="22"/>
          <w:highlight w:val="none"/>
          <w:u w:val="none"/>
          <w:lang w:eastAsia="zh-CN"/>
        </w:rPr>
        <w:t>月</w:t>
      </w:r>
      <w:r>
        <w:rPr>
          <w:rFonts w:hint="eastAsia" w:ascii="宋体" w:hAnsi="宋体" w:cs="宋体"/>
          <w:bCs/>
          <w:color w:val="auto"/>
          <w:sz w:val="22"/>
          <w:szCs w:val="22"/>
          <w:highlight w:val="none"/>
          <w:u w:val="none"/>
          <w:lang w:val="en-US" w:eastAsia="zh-CN"/>
        </w:rPr>
        <w:t>6</w:t>
      </w:r>
      <w:r>
        <w:rPr>
          <w:rFonts w:hint="eastAsia" w:ascii="宋体" w:hAnsi="宋体" w:cs="宋体"/>
          <w:bCs/>
          <w:color w:val="auto"/>
          <w:sz w:val="22"/>
          <w:szCs w:val="22"/>
          <w:highlight w:val="none"/>
          <w:u w:val="none"/>
          <w:lang w:eastAsia="zh-CN"/>
        </w:rPr>
        <w:t>日</w:t>
      </w:r>
      <w:r>
        <w:rPr>
          <w:rFonts w:hint="eastAsia" w:ascii="宋体" w:hAnsi="宋体" w:eastAsia="宋体" w:cs="宋体"/>
          <w:bCs/>
          <w:color w:val="auto"/>
          <w:sz w:val="22"/>
          <w:szCs w:val="22"/>
          <w:highlight w:val="none"/>
          <w:u w:val="none"/>
        </w:rPr>
        <w:t>09</w:t>
      </w:r>
      <w:r>
        <w:rPr>
          <w:rFonts w:hint="eastAsia" w:ascii="宋体" w:hAnsi="宋体" w:cs="宋体"/>
          <w:bCs/>
          <w:color w:val="auto"/>
          <w:sz w:val="22"/>
          <w:szCs w:val="22"/>
          <w:highlight w:val="none"/>
          <w:u w:val="none"/>
          <w:lang w:eastAsia="zh-CN"/>
        </w:rPr>
        <w:t>：20</w:t>
      </w:r>
      <w:r>
        <w:rPr>
          <w:rFonts w:hint="eastAsia" w:ascii="宋体" w:hAnsi="宋体" w:eastAsia="宋体" w:cs="宋体"/>
          <w:spacing w:val="3"/>
          <w:sz w:val="22"/>
          <w:szCs w:val="22"/>
          <w:highlight w:val="none"/>
        </w:rPr>
        <w:t>（北京时间）</w:t>
      </w:r>
    </w:p>
    <w:p w14:paraId="7A99C2F4">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bCs/>
          <w:color w:val="auto"/>
          <w:sz w:val="22"/>
          <w:szCs w:val="22"/>
          <w:highlight w:val="none"/>
          <w:u w:val="none"/>
        </w:rPr>
      </w:pPr>
      <w:r>
        <w:rPr>
          <w:rFonts w:hint="eastAsia" w:ascii="宋体" w:hAnsi="宋体" w:eastAsia="宋体" w:cs="宋体"/>
          <w:bCs/>
          <w:color w:val="auto"/>
          <w:sz w:val="22"/>
          <w:szCs w:val="22"/>
          <w:highlight w:val="none"/>
          <w:u w:val="none"/>
        </w:rPr>
        <w:t>开标地点：请登录广西政府采购云平台投标客户端投标</w:t>
      </w:r>
      <w:r>
        <w:rPr>
          <w:rFonts w:hint="eastAsia" w:ascii="宋体" w:hAnsi="宋体" w:eastAsia="宋体" w:cs="宋体"/>
          <w:spacing w:val="10"/>
          <w:sz w:val="22"/>
          <w:szCs w:val="22"/>
          <w:highlight w:val="none"/>
        </w:rPr>
        <w:t>。</w:t>
      </w:r>
    </w:p>
    <w:p w14:paraId="338EBE2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2"/>
          <w:szCs w:val="22"/>
          <w:highlight w:val="none"/>
        </w:rPr>
      </w:pPr>
      <w:bookmarkStart w:id="19" w:name="_Toc28359007"/>
      <w:bookmarkStart w:id="20" w:name="_Toc28359084"/>
      <w:bookmarkStart w:id="21" w:name="_Toc35393625"/>
      <w:bookmarkStart w:id="22" w:name="_Toc35393794"/>
      <w:r>
        <w:rPr>
          <w:rFonts w:hint="eastAsia" w:ascii="宋体" w:hAnsi="宋体" w:eastAsia="宋体" w:cs="宋体"/>
          <w:b/>
          <w:bCs/>
          <w:color w:val="auto"/>
          <w:sz w:val="22"/>
          <w:szCs w:val="22"/>
          <w:highlight w:val="none"/>
        </w:rPr>
        <w:t>六、公告期限</w:t>
      </w:r>
      <w:bookmarkEnd w:id="19"/>
      <w:bookmarkEnd w:id="20"/>
      <w:bookmarkEnd w:id="21"/>
      <w:bookmarkEnd w:id="22"/>
    </w:p>
    <w:p w14:paraId="40304FD2">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自本公告发布之日起</w:t>
      </w:r>
      <w:r>
        <w:rPr>
          <w:rFonts w:hint="eastAsia" w:ascii="宋体" w:hAnsi="宋体" w:cs="宋体"/>
          <w:color w:val="auto"/>
          <w:kern w:val="0"/>
          <w:sz w:val="22"/>
          <w:szCs w:val="22"/>
          <w:highlight w:val="none"/>
          <w:u w:val="none"/>
          <w:lang w:val="en-US" w:eastAsia="zh-CN"/>
        </w:rPr>
        <w:t>5</w:t>
      </w:r>
      <w:r>
        <w:rPr>
          <w:rFonts w:hint="eastAsia" w:ascii="宋体" w:hAnsi="宋体" w:eastAsia="宋体" w:cs="宋体"/>
          <w:color w:val="auto"/>
          <w:kern w:val="0"/>
          <w:sz w:val="22"/>
          <w:szCs w:val="22"/>
          <w:highlight w:val="none"/>
        </w:rPr>
        <w:t>个工作日。</w:t>
      </w:r>
    </w:p>
    <w:p w14:paraId="1644B0B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2"/>
          <w:szCs w:val="22"/>
          <w:highlight w:val="none"/>
        </w:rPr>
      </w:pPr>
      <w:bookmarkStart w:id="23" w:name="_Toc35393626"/>
      <w:bookmarkStart w:id="24" w:name="_Toc35393795"/>
      <w:r>
        <w:rPr>
          <w:rFonts w:hint="eastAsia" w:ascii="宋体" w:hAnsi="宋体" w:eastAsia="宋体" w:cs="宋体"/>
          <w:b/>
          <w:bCs/>
          <w:color w:val="auto"/>
          <w:sz w:val="22"/>
          <w:szCs w:val="22"/>
          <w:highlight w:val="none"/>
        </w:rPr>
        <w:t>七、其他补充事宜</w:t>
      </w:r>
      <w:bookmarkEnd w:id="23"/>
      <w:bookmarkEnd w:id="24"/>
    </w:p>
    <w:p w14:paraId="4D79DFDC">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磋商</w:t>
      </w:r>
      <w:r>
        <w:rPr>
          <w:rFonts w:hint="eastAsia" w:ascii="宋体" w:hAnsi="宋体" w:eastAsia="宋体" w:cs="宋体"/>
          <w:color w:val="auto"/>
          <w:sz w:val="22"/>
          <w:szCs w:val="22"/>
          <w:highlight w:val="none"/>
        </w:rPr>
        <w:t>保证金：</w:t>
      </w:r>
      <w:r>
        <w:rPr>
          <w:rFonts w:hint="eastAsia" w:ascii="宋体" w:hAnsi="宋体" w:eastAsia="宋体" w:cs="宋体"/>
          <w:color w:val="auto"/>
          <w:sz w:val="22"/>
          <w:szCs w:val="22"/>
          <w:highlight w:val="none"/>
          <w:lang w:val="en-US" w:eastAsia="zh-CN"/>
        </w:rPr>
        <w:t>本项目不收取磋商保证金</w:t>
      </w:r>
      <w:r>
        <w:rPr>
          <w:rFonts w:hint="eastAsia" w:ascii="宋体" w:hAnsi="宋体" w:eastAsia="宋体" w:cs="宋体"/>
          <w:color w:val="auto"/>
          <w:sz w:val="22"/>
          <w:szCs w:val="22"/>
          <w:highlight w:val="none"/>
        </w:rPr>
        <w:t>。</w:t>
      </w:r>
    </w:p>
    <w:p w14:paraId="06F7150B">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lang w:eastAsia="zh-CN"/>
        </w:rPr>
        <w:t>.</w:t>
      </w:r>
      <w:bookmarkStart w:id="25" w:name="_Hlk37429585"/>
      <w:bookmarkStart w:id="26" w:name="_Hlk37429595"/>
      <w:r>
        <w:rPr>
          <w:rFonts w:hint="eastAsia" w:ascii="宋体" w:hAnsi="宋体" w:eastAsia="宋体" w:cs="宋体"/>
          <w:color w:val="auto"/>
          <w:kern w:val="0"/>
          <w:sz w:val="22"/>
          <w:szCs w:val="22"/>
          <w:highlight w:val="none"/>
        </w:rPr>
        <w:t>网上查询地址</w:t>
      </w:r>
      <w:r>
        <w:rPr>
          <w:rFonts w:hint="eastAsia" w:ascii="宋体" w:hAnsi="宋体" w:cs="宋体"/>
          <w:color w:val="auto"/>
          <w:kern w:val="0"/>
          <w:sz w:val="22"/>
          <w:szCs w:val="22"/>
          <w:highlight w:val="none"/>
          <w:lang w:eastAsia="zh-CN"/>
        </w:rPr>
        <w:t>：</w:t>
      </w:r>
      <w:bookmarkEnd w:id="25"/>
      <w:bookmarkEnd w:id="26"/>
      <w:bookmarkStart w:id="27" w:name="_Hlk37429674"/>
      <w:r>
        <w:rPr>
          <w:rFonts w:hint="eastAsia" w:ascii="宋体" w:hAnsi="宋体" w:eastAsia="宋体" w:cs="宋体"/>
          <w:color w:val="auto"/>
          <w:sz w:val="22"/>
          <w:szCs w:val="22"/>
          <w:highlight w:val="none"/>
          <w:lang w:val="en-US" w:eastAsia="zh-CN"/>
        </w:rPr>
        <w:t>中国政府采购网（www.ccgp.gov.cn）、广西政府采购网（zfcg.gxzf.gov.cn）、柳州市政府采购网（zfcg.lzscz.liuzhou.gov.cn）。</w:t>
      </w:r>
    </w:p>
    <w:p w14:paraId="0D92692B">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w:t>
      </w:r>
      <w:r>
        <w:rPr>
          <w:rFonts w:hint="eastAsia" w:ascii="宋体" w:hAnsi="宋体" w:eastAsia="宋体" w:cs="宋体"/>
          <w:color w:val="auto"/>
          <w:kern w:val="0"/>
          <w:sz w:val="22"/>
          <w:szCs w:val="22"/>
          <w:highlight w:val="none"/>
        </w:rPr>
        <w:t>本项目需要落实的政府采购政策</w:t>
      </w:r>
    </w:p>
    <w:p w14:paraId="447E3EDE">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（1）政府采购促进中小企业发展。</w:t>
      </w:r>
    </w:p>
    <w:p w14:paraId="569E9271">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（2）政府采购促进残疾人就业政策。</w:t>
      </w:r>
    </w:p>
    <w:p w14:paraId="3FCF246D">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）政府采购支持监狱企业发展。</w:t>
      </w:r>
      <w:bookmarkEnd w:id="27"/>
    </w:p>
    <w:p w14:paraId="10402318">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lang w:val="en-US" w:eastAsia="zh-CN"/>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702E2F01">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lang w:val="en-US" w:eastAsia="zh-CN"/>
        </w:rPr>
        <w:t>.若对项目采购电子交易系统操作有疑问，可登录“广西政府采购云平台”平台（</w:t>
      </w:r>
      <w:r>
        <w:rPr>
          <w:rFonts w:hint="eastAsia" w:ascii="宋体" w:hAnsi="宋体" w:cs="宋体"/>
          <w:color w:val="auto"/>
          <w:kern w:val="0"/>
          <w:sz w:val="22"/>
          <w:szCs w:val="22"/>
          <w:highlight w:val="none"/>
          <w:lang w:val="en-US" w:eastAsia="zh-CN"/>
        </w:rPr>
        <w:t>https：//www.gcy.zfcg.gxzf.gov.cn/</w:t>
      </w:r>
      <w:r>
        <w:rPr>
          <w:rFonts w:hint="eastAsia" w:ascii="宋体" w:hAnsi="宋体" w:eastAsia="宋体" w:cs="宋体"/>
          <w:color w:val="auto"/>
          <w:kern w:val="0"/>
          <w:sz w:val="22"/>
          <w:szCs w:val="22"/>
          <w:highlight w:val="none"/>
          <w:lang w:val="en-US" w:eastAsia="zh-CN"/>
        </w:rPr>
        <w:t>），点击右侧咨询小采，获取采小蜜智能服务管家帮助，或拨打广西政府采购云平台服务热线95763获取热线服务帮助。</w:t>
      </w:r>
    </w:p>
    <w:p w14:paraId="547088A1">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6</w:t>
      </w:r>
      <w:r>
        <w:rPr>
          <w:rFonts w:hint="eastAsia" w:ascii="宋体" w:hAnsi="宋体" w:eastAsia="宋体" w:cs="宋体"/>
          <w:color w:val="auto"/>
          <w:kern w:val="0"/>
          <w:sz w:val="22"/>
          <w:szCs w:val="22"/>
          <w:highlight w:val="none"/>
          <w:lang w:val="en-US" w:eastAsia="zh-CN"/>
        </w:rPr>
        <w:t>.关于申请人资格要求的其它说明</w:t>
      </w:r>
    </w:p>
    <w:p w14:paraId="0AA3DCC2">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B21CC37">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3E0637E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Cs/>
          <w:color w:val="auto"/>
          <w:sz w:val="22"/>
          <w:szCs w:val="22"/>
          <w:highlight w:val="none"/>
        </w:rPr>
      </w:pPr>
      <w:r>
        <w:rPr>
          <w:rFonts w:hint="eastAsia" w:ascii="宋体" w:hAnsi="宋体" w:eastAsia="宋体" w:cs="宋体"/>
          <w:b/>
          <w:color w:val="auto"/>
          <w:kern w:val="44"/>
          <w:sz w:val="22"/>
          <w:szCs w:val="22"/>
          <w:highlight w:val="none"/>
        </w:rPr>
        <w:t>八、凡对本次采购提出询问，请按以下方式联系</w:t>
      </w:r>
    </w:p>
    <w:p w14:paraId="3BB8A951">
      <w:pPr>
        <w:keepNext w:val="0"/>
        <w:keepLines w:val="0"/>
        <w:pageBreakBefore w:val="0"/>
        <w:widowControl w:val="0"/>
        <w:kinsoku/>
        <w:wordWrap/>
        <w:overflowPunct/>
        <w:topLinePunct w:val="0"/>
        <w:autoSpaceDE/>
        <w:autoSpaceDN/>
        <w:bidi w:val="0"/>
        <w:adjustRightInd/>
        <w:snapToGrid w:val="0"/>
        <w:spacing w:line="360" w:lineRule="auto"/>
        <w:ind w:left="0" w:leftChars="0" w:firstLine="440" w:firstLineChars="200"/>
        <w:jc w:val="left"/>
        <w:textAlignment w:val="auto"/>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1.采购人信息</w:t>
      </w:r>
    </w:p>
    <w:p w14:paraId="37219C7A">
      <w:pPr>
        <w:keepNext w:val="0"/>
        <w:keepLines w:val="0"/>
        <w:pageBreakBefore w:val="0"/>
        <w:widowControl w:val="0"/>
        <w:kinsoku/>
        <w:wordWrap/>
        <w:overflowPunct/>
        <w:topLinePunct w:val="0"/>
        <w:autoSpaceDE/>
        <w:autoSpaceDN/>
        <w:bidi w:val="0"/>
        <w:adjustRightInd/>
        <w:snapToGrid w:val="0"/>
        <w:spacing w:line="360" w:lineRule="auto"/>
        <w:ind w:left="0" w:leftChars="0" w:firstLine="440" w:firstLineChars="200"/>
        <w:jc w:val="left"/>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名称：</w:t>
      </w:r>
      <w:r>
        <w:rPr>
          <w:rFonts w:hint="eastAsia" w:ascii="宋体" w:hAnsi="宋体" w:cs="宋体"/>
          <w:color w:val="auto"/>
          <w:sz w:val="22"/>
          <w:szCs w:val="22"/>
          <w:highlight w:val="none"/>
          <w:u w:val="none"/>
          <w:lang w:eastAsia="zh-CN"/>
        </w:rPr>
        <w:t>柳州市防洪排涝工程管理处</w:t>
      </w:r>
    </w:p>
    <w:p w14:paraId="34034F1E">
      <w:pPr>
        <w:keepNext w:val="0"/>
        <w:keepLines w:val="0"/>
        <w:pageBreakBefore w:val="0"/>
        <w:widowControl w:val="0"/>
        <w:kinsoku/>
        <w:wordWrap/>
        <w:overflowPunct/>
        <w:topLinePunct w:val="0"/>
        <w:autoSpaceDE/>
        <w:autoSpaceDN/>
        <w:bidi w:val="0"/>
        <w:adjustRightInd/>
        <w:snapToGrid w:val="0"/>
        <w:spacing w:line="360" w:lineRule="auto"/>
        <w:ind w:left="0" w:leftChars="0" w:firstLine="440" w:firstLineChars="200"/>
        <w:jc w:val="left"/>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地址：</w:t>
      </w:r>
      <w:r>
        <w:rPr>
          <w:rFonts w:hint="eastAsia" w:ascii="宋体" w:hAnsi="宋体" w:cs="宋体"/>
          <w:color w:val="auto"/>
          <w:sz w:val="22"/>
          <w:szCs w:val="22"/>
          <w:highlight w:val="none"/>
          <w:u w:val="none"/>
          <w:lang w:eastAsia="zh-CN"/>
        </w:rPr>
        <w:t>柳州市柳北区长风路 1-2</w:t>
      </w:r>
    </w:p>
    <w:p w14:paraId="75B2385D">
      <w:pPr>
        <w:keepNext w:val="0"/>
        <w:keepLines w:val="0"/>
        <w:pageBreakBefore w:val="0"/>
        <w:widowControl w:val="0"/>
        <w:kinsoku/>
        <w:wordWrap/>
        <w:overflowPunct/>
        <w:topLinePunct w:val="0"/>
        <w:autoSpaceDE/>
        <w:autoSpaceDN/>
        <w:bidi w:val="0"/>
        <w:adjustRightInd/>
        <w:snapToGrid w:val="0"/>
        <w:spacing w:line="360" w:lineRule="auto"/>
        <w:ind w:left="0" w:leftChars="0" w:firstLine="440" w:firstLineChars="200"/>
        <w:jc w:val="left"/>
        <w:textAlignment w:val="auto"/>
        <w:rPr>
          <w:rFonts w:hint="eastAsia" w:ascii="宋体" w:hAnsi="宋体" w:cs="宋体"/>
          <w:color w:val="auto"/>
          <w:sz w:val="22"/>
          <w:szCs w:val="22"/>
          <w:highlight w:val="none"/>
          <w:u w:val="none"/>
          <w:lang w:eastAsia="zh-CN"/>
        </w:rPr>
      </w:pPr>
      <w:r>
        <w:rPr>
          <w:rFonts w:hint="eastAsia" w:ascii="宋体" w:hAnsi="宋体" w:cs="宋体"/>
          <w:color w:val="auto"/>
          <w:sz w:val="22"/>
          <w:szCs w:val="22"/>
          <w:highlight w:val="none"/>
          <w:u w:val="none"/>
          <w:lang w:eastAsia="zh-CN"/>
        </w:rPr>
        <w:t>项目联系人：黄振球</w:t>
      </w:r>
    </w:p>
    <w:p w14:paraId="71A51A97">
      <w:pPr>
        <w:keepNext w:val="0"/>
        <w:keepLines w:val="0"/>
        <w:pageBreakBefore w:val="0"/>
        <w:widowControl w:val="0"/>
        <w:kinsoku/>
        <w:wordWrap/>
        <w:overflowPunct/>
        <w:topLinePunct w:val="0"/>
        <w:autoSpaceDE/>
        <w:autoSpaceDN/>
        <w:bidi w:val="0"/>
        <w:adjustRightInd/>
        <w:snapToGrid w:val="0"/>
        <w:spacing w:line="360" w:lineRule="auto"/>
        <w:ind w:left="0" w:leftChars="0" w:firstLine="440" w:firstLineChars="200"/>
        <w:jc w:val="left"/>
        <w:textAlignment w:val="auto"/>
        <w:rPr>
          <w:rFonts w:hint="eastAsia"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eastAsia="zh-CN"/>
        </w:rPr>
        <w:t>项目联系方式：0772-2530153</w:t>
      </w:r>
    </w:p>
    <w:p w14:paraId="273B470F">
      <w:pPr>
        <w:keepNext w:val="0"/>
        <w:keepLines w:val="0"/>
        <w:pageBreakBefore w:val="0"/>
        <w:widowControl w:val="0"/>
        <w:kinsoku/>
        <w:wordWrap/>
        <w:overflowPunct/>
        <w:topLinePunct w:val="0"/>
        <w:autoSpaceDE/>
        <w:autoSpaceDN/>
        <w:bidi w:val="0"/>
        <w:adjustRightInd/>
        <w:snapToGrid w:val="0"/>
        <w:spacing w:line="360" w:lineRule="auto"/>
        <w:ind w:left="0" w:leftChars="0" w:firstLine="440" w:firstLineChars="200"/>
        <w:jc w:val="left"/>
        <w:textAlignment w:val="auto"/>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2.采购代理机构信息</w:t>
      </w:r>
    </w:p>
    <w:p w14:paraId="5061B2FD">
      <w:pPr>
        <w:keepNext w:val="0"/>
        <w:keepLines w:val="0"/>
        <w:pageBreakBefore w:val="0"/>
        <w:widowControl w:val="0"/>
        <w:kinsoku/>
        <w:wordWrap/>
        <w:overflowPunct/>
        <w:topLinePunct w:val="0"/>
        <w:autoSpaceDE/>
        <w:autoSpaceDN/>
        <w:bidi w:val="0"/>
        <w:adjustRightInd/>
        <w:snapToGrid w:val="0"/>
        <w:spacing w:line="360" w:lineRule="auto"/>
        <w:ind w:left="0" w:leftChars="0" w:firstLine="440" w:firstLineChars="200"/>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名称：</w:t>
      </w:r>
      <w:r>
        <w:rPr>
          <w:rFonts w:hint="eastAsia" w:ascii="宋体" w:hAnsi="宋体" w:eastAsia="宋体" w:cs="宋体"/>
          <w:color w:val="auto"/>
          <w:sz w:val="22"/>
          <w:szCs w:val="22"/>
          <w:highlight w:val="none"/>
          <w:u w:val="none"/>
          <w:lang w:eastAsia="zh-CN"/>
        </w:rPr>
        <w:t>广西景钲工程咨询有限公司</w:t>
      </w:r>
    </w:p>
    <w:p w14:paraId="47849A3D">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地址：</w:t>
      </w:r>
      <w:r>
        <w:rPr>
          <w:rFonts w:hint="eastAsia" w:ascii="宋体" w:hAnsi="宋体" w:cs="宋体"/>
          <w:color w:val="auto"/>
          <w:sz w:val="22"/>
          <w:szCs w:val="22"/>
          <w:highlight w:val="none"/>
          <w:u w:val="none"/>
          <w:lang w:eastAsia="zh-CN"/>
        </w:rPr>
        <w:t>柳州市静兰路东一巷19号静兰小区综合楼202室</w:t>
      </w:r>
    </w:p>
    <w:p w14:paraId="26A9D91B">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项目联系人：</w:t>
      </w:r>
      <w:r>
        <w:rPr>
          <w:rFonts w:hint="eastAsia" w:ascii="宋体" w:hAnsi="宋体" w:cs="宋体"/>
          <w:color w:val="auto"/>
          <w:sz w:val="22"/>
          <w:szCs w:val="22"/>
          <w:highlight w:val="none"/>
          <w:u w:val="none"/>
          <w:lang w:eastAsia="zh-CN"/>
        </w:rPr>
        <w:t>欧工</w:t>
      </w:r>
    </w:p>
    <w:p w14:paraId="2CCD0C1F">
      <w:pPr>
        <w:keepNext w:val="0"/>
        <w:keepLines w:val="0"/>
        <w:pageBreakBefore w:val="0"/>
        <w:widowControl w:val="0"/>
        <w:kinsoku/>
        <w:wordWrap/>
        <w:overflowPunct/>
        <w:topLinePunct w:val="0"/>
        <w:autoSpaceDE/>
        <w:autoSpaceDN/>
        <w:bidi w:val="0"/>
        <w:adjustRightInd/>
        <w:snapToGrid w:val="0"/>
        <w:spacing w:line="360" w:lineRule="auto"/>
        <w:ind w:left="0" w:leftChars="0" w:firstLine="440" w:firstLineChars="200"/>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项目联系方式：</w:t>
      </w:r>
      <w:r>
        <w:rPr>
          <w:rFonts w:hint="eastAsia" w:ascii="宋体" w:hAnsi="宋体" w:eastAsia="宋体" w:cs="宋体"/>
          <w:color w:val="auto"/>
          <w:sz w:val="22"/>
          <w:szCs w:val="22"/>
          <w:highlight w:val="none"/>
          <w:u w:val="none"/>
          <w:lang w:eastAsia="zh-CN"/>
        </w:rPr>
        <w:t>0772-3601166</w:t>
      </w:r>
    </w:p>
    <w:p w14:paraId="64B81D5B">
      <w:pPr>
        <w:keepNext w:val="0"/>
        <w:keepLines w:val="0"/>
        <w:pageBreakBefore w:val="0"/>
        <w:kinsoku/>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highlight w:val="none"/>
          <w:u w:val="none"/>
        </w:rPr>
      </w:pPr>
    </w:p>
    <w:p w14:paraId="79F4C727">
      <w:pPr>
        <w:spacing w:line="360" w:lineRule="auto"/>
        <w:ind w:firstLine="480" w:firstLineChars="200"/>
        <w:jc w:val="right"/>
        <w:outlineLvl w:val="0"/>
        <w:rPr>
          <w:rFonts w:hint="eastAsia" w:ascii="宋体" w:hAnsi="宋体" w:eastAsia="宋体" w:cs="宋体"/>
          <w:color w:val="auto"/>
          <w:sz w:val="24"/>
          <w:szCs w:val="24"/>
          <w:highlight w:val="none"/>
        </w:rPr>
      </w:pPr>
    </w:p>
    <w:p w14:paraId="3DA3EE51">
      <w:pPr>
        <w:spacing w:line="360" w:lineRule="auto"/>
        <w:ind w:firstLine="480" w:firstLineChars="200"/>
        <w:jc w:val="center"/>
        <w:outlineLvl w:val="0"/>
        <w:rPr>
          <w:rFonts w:hint="eastAsia" w:ascii="宋体" w:hAnsi="宋体" w:eastAsia="宋体" w:cs="宋体"/>
          <w:b/>
          <w:bCs/>
          <w:color w:val="auto"/>
          <w:kern w:val="44"/>
          <w:sz w:val="32"/>
          <w:szCs w:val="32"/>
          <w:highlight w:val="none"/>
        </w:rPr>
      </w:pPr>
      <w:r>
        <w:rPr>
          <w:rFonts w:hint="eastAsia" w:ascii="宋体" w:hAnsi="宋体" w:eastAsia="宋体" w:cs="宋体"/>
          <w:color w:val="auto"/>
          <w:sz w:val="24"/>
          <w:szCs w:val="24"/>
          <w:highlight w:val="none"/>
        </w:rPr>
        <w:br w:type="page"/>
      </w:r>
      <w:bookmarkStart w:id="28" w:name="_Toc5857"/>
      <w:r>
        <w:rPr>
          <w:rFonts w:hint="eastAsia" w:ascii="宋体" w:hAnsi="宋体" w:eastAsia="宋体" w:cs="宋体"/>
          <w:b/>
          <w:color w:val="auto"/>
          <w:kern w:val="44"/>
          <w:sz w:val="32"/>
          <w:szCs w:val="32"/>
          <w:highlight w:val="none"/>
        </w:rPr>
        <w:t xml:space="preserve">第二章 </w:t>
      </w:r>
      <w:r>
        <w:rPr>
          <w:rFonts w:hint="eastAsia" w:ascii="宋体" w:hAnsi="宋体" w:cs="宋体"/>
          <w:b/>
          <w:color w:val="auto"/>
          <w:kern w:val="44"/>
          <w:sz w:val="32"/>
          <w:szCs w:val="32"/>
          <w:highlight w:val="none"/>
          <w:lang w:val="en-US" w:eastAsia="zh-CN"/>
        </w:rPr>
        <w:t xml:space="preserve"> </w:t>
      </w:r>
      <w:r>
        <w:rPr>
          <w:rFonts w:hint="eastAsia" w:ascii="宋体" w:hAnsi="宋体" w:eastAsia="宋体" w:cs="宋体"/>
          <w:b/>
          <w:color w:val="auto"/>
          <w:kern w:val="44"/>
          <w:sz w:val="32"/>
          <w:szCs w:val="32"/>
          <w:highlight w:val="none"/>
        </w:rPr>
        <w:t>采购需求</w:t>
      </w:r>
      <w:bookmarkEnd w:id="28"/>
    </w:p>
    <w:p w14:paraId="2B51186E">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说明：</w:t>
      </w:r>
    </w:p>
    <w:p w14:paraId="55F300D3">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rPr>
        <w:t>本项目需求表中带有“▲”的技术参数或要求为实质性要求，必须满足，竞标响应不得低于该技术指标或要求。</w:t>
      </w:r>
    </w:p>
    <w:p w14:paraId="32701DFE">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rPr>
        <w:t>供应商所竞标货物或服务如国家有强制性要求的按国家规定执行，若执行标准有修改或更新按最新版本执行。</w:t>
      </w:r>
    </w:p>
    <w:p w14:paraId="62F499E1">
      <w:pPr>
        <w:keepNext w:val="0"/>
        <w:keepLines w:val="0"/>
        <w:pageBreakBefore w:val="0"/>
        <w:widowControl w:val="0"/>
        <w:kinsoku/>
        <w:wordWrap/>
        <w:overflowPunct/>
        <w:topLinePunct w:val="0"/>
        <w:autoSpaceDE/>
        <w:autoSpaceDN/>
        <w:bidi w:val="0"/>
        <w:adjustRightInd/>
        <w:snapToGrid w:val="0"/>
        <w:spacing w:line="360" w:lineRule="auto"/>
        <w:ind w:firstLine="440" w:firstLineChars="200"/>
        <w:jc w:val="left"/>
        <w:textAlignment w:val="auto"/>
        <w:rPr>
          <w:rFonts w:hint="eastAsia" w:ascii="宋体" w:hAnsi="宋体" w:eastAsia="宋体" w:cs="宋体"/>
          <w:color w:val="auto"/>
          <w:sz w:val="22"/>
          <w:szCs w:val="22"/>
          <w:highlight w:val="none"/>
        </w:rPr>
      </w:pPr>
      <w:r>
        <w:rPr>
          <w:rFonts w:hint="eastAsia" w:ascii="仿宋" w:hAnsi="仿宋" w:eastAsia="仿宋" w:cs="仿宋"/>
          <w:color w:val="auto"/>
          <w:sz w:val="22"/>
          <w:szCs w:val="22"/>
          <w:highlight w:val="none"/>
        </w:rPr>
        <w:t>3</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rPr>
        <w:t>采购标的对应的中小企业划分标准所属行业：根据《关于印发中小企业划型标准规定的通知》（工信部联企业〔2011〕300号），本次采购标的属于</w:t>
      </w:r>
      <w:r>
        <w:rPr>
          <w:rFonts w:hint="eastAsia" w:ascii="仿宋" w:hAnsi="仿宋" w:eastAsia="仿宋" w:cs="仿宋"/>
          <w:b/>
          <w:bCs/>
          <w:color w:val="auto"/>
          <w:sz w:val="22"/>
          <w:szCs w:val="22"/>
          <w:highlight w:val="none"/>
          <w:u w:val="single"/>
        </w:rPr>
        <w:t>其他未列明行业</w:t>
      </w:r>
    </w:p>
    <w:tbl>
      <w:tblPr>
        <w:tblStyle w:val="31"/>
        <w:tblpPr w:leftFromText="180" w:rightFromText="180" w:vertAnchor="text" w:tblpY="1"/>
        <w:tblOverlap w:val="never"/>
        <w:tblW w:w="10205" w:type="dxa"/>
        <w:tblInd w:w="0" w:type="dxa"/>
        <w:tblLayout w:type="fixed"/>
        <w:tblCellMar>
          <w:top w:w="0" w:type="dxa"/>
          <w:left w:w="108" w:type="dxa"/>
          <w:bottom w:w="0" w:type="dxa"/>
          <w:right w:w="108" w:type="dxa"/>
        </w:tblCellMar>
      </w:tblPr>
      <w:tblGrid>
        <w:gridCol w:w="703"/>
        <w:gridCol w:w="1291"/>
        <w:gridCol w:w="44"/>
        <w:gridCol w:w="680"/>
        <w:gridCol w:w="810"/>
        <w:gridCol w:w="6677"/>
      </w:tblGrid>
      <w:tr w14:paraId="60BB3AA6">
        <w:tblPrEx>
          <w:tblCellMar>
            <w:top w:w="0" w:type="dxa"/>
            <w:left w:w="108" w:type="dxa"/>
            <w:bottom w:w="0" w:type="dxa"/>
            <w:right w:w="108" w:type="dxa"/>
          </w:tblCellMar>
        </w:tblPrEx>
        <w:trPr>
          <w:trHeight w:val="547" w:hRule="atLeast"/>
        </w:trPr>
        <w:tc>
          <w:tcPr>
            <w:tcW w:w="10205" w:type="dxa"/>
            <w:gridSpan w:val="6"/>
            <w:tcBorders>
              <w:top w:val="single" w:color="auto" w:sz="4" w:space="0"/>
              <w:left w:val="single" w:color="auto" w:sz="4" w:space="0"/>
              <w:bottom w:val="single" w:color="auto" w:sz="4" w:space="0"/>
              <w:right w:val="single" w:color="auto" w:sz="4" w:space="0"/>
            </w:tcBorders>
            <w:noWrap w:val="0"/>
            <w:vAlign w:val="center"/>
          </w:tcPr>
          <w:p w14:paraId="14669942">
            <w:pPr>
              <w:keepNext w:val="0"/>
              <w:keepLines w:val="0"/>
              <w:pageBreakBefore w:val="0"/>
              <w:widowControl/>
              <w:kinsoku/>
              <w:overflowPunct/>
              <w:topLinePunct w:val="0"/>
              <w:autoSpaceDE/>
              <w:autoSpaceDN/>
              <w:bidi w:val="0"/>
              <w:adjustRightInd/>
              <w:snapToGrid/>
              <w:spacing w:line="360" w:lineRule="auto"/>
              <w:jc w:val="left"/>
              <w:rPr>
                <w:rFonts w:hint="eastAsia" w:ascii="宋体" w:hAnsi="宋体" w:eastAsia="宋体" w:cs="宋体"/>
                <w:b/>
                <w:bCs/>
                <w:kern w:val="0"/>
                <w:sz w:val="22"/>
                <w:szCs w:val="22"/>
              </w:rPr>
            </w:pPr>
            <w:r>
              <w:rPr>
                <w:rFonts w:hint="eastAsia" w:ascii="宋体" w:hAnsi="宋体" w:eastAsia="宋体" w:cs="宋体"/>
                <w:b/>
                <w:sz w:val="22"/>
                <w:szCs w:val="22"/>
              </w:rPr>
              <w:t>▲</w:t>
            </w:r>
            <w:r>
              <w:rPr>
                <w:rFonts w:hint="eastAsia" w:ascii="宋体" w:hAnsi="宋体" w:eastAsia="宋体" w:cs="宋体"/>
                <w:b/>
                <w:bCs/>
                <w:kern w:val="0"/>
                <w:sz w:val="22"/>
                <w:szCs w:val="22"/>
              </w:rPr>
              <w:t>一、采购项目需求一览表</w:t>
            </w:r>
          </w:p>
        </w:tc>
      </w:tr>
      <w:tr w14:paraId="4F031B63">
        <w:tblPrEx>
          <w:tblCellMar>
            <w:top w:w="0" w:type="dxa"/>
            <w:left w:w="108" w:type="dxa"/>
            <w:bottom w:w="0" w:type="dxa"/>
            <w:right w:w="108" w:type="dxa"/>
          </w:tblCellMar>
        </w:tblPrEx>
        <w:trPr>
          <w:trHeight w:val="412" w:hRule="atLeast"/>
        </w:trPr>
        <w:tc>
          <w:tcPr>
            <w:tcW w:w="703" w:type="dxa"/>
            <w:tcBorders>
              <w:top w:val="single" w:color="auto" w:sz="4" w:space="0"/>
              <w:left w:val="single" w:color="auto" w:sz="4" w:space="0"/>
              <w:bottom w:val="single" w:color="auto" w:sz="4" w:space="0"/>
              <w:right w:val="single" w:color="auto" w:sz="4" w:space="0"/>
            </w:tcBorders>
            <w:noWrap w:val="0"/>
            <w:vAlign w:val="center"/>
          </w:tcPr>
          <w:p w14:paraId="3671443A">
            <w:pPr>
              <w:keepNext w:val="0"/>
              <w:keepLines w:val="0"/>
              <w:pageBreakBefore w:val="0"/>
              <w:widowControl/>
              <w:kinsoku/>
              <w:overflowPunct/>
              <w:topLinePunct w:val="0"/>
              <w:autoSpaceDE/>
              <w:autoSpaceDN/>
              <w:bidi w:val="0"/>
              <w:adjustRightInd/>
              <w:snapToGrid/>
              <w:spacing w:line="360" w:lineRule="auto"/>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序号</w:t>
            </w:r>
          </w:p>
        </w:tc>
        <w:tc>
          <w:tcPr>
            <w:tcW w:w="1291" w:type="dxa"/>
            <w:tcBorders>
              <w:top w:val="single" w:color="auto" w:sz="4" w:space="0"/>
              <w:left w:val="single" w:color="auto" w:sz="4" w:space="0"/>
              <w:bottom w:val="single" w:color="auto" w:sz="4" w:space="0"/>
              <w:right w:val="single" w:color="auto" w:sz="4" w:space="0"/>
            </w:tcBorders>
            <w:noWrap w:val="0"/>
            <w:vAlign w:val="center"/>
          </w:tcPr>
          <w:p w14:paraId="7C55CFB3">
            <w:pPr>
              <w:keepNext w:val="0"/>
              <w:keepLines w:val="0"/>
              <w:pageBreakBefore w:val="0"/>
              <w:widowControl/>
              <w:kinsoku/>
              <w:overflowPunct/>
              <w:topLinePunct w:val="0"/>
              <w:autoSpaceDE/>
              <w:autoSpaceDN/>
              <w:bidi w:val="0"/>
              <w:adjustRightInd/>
              <w:snapToGrid/>
              <w:spacing w:line="360" w:lineRule="auto"/>
              <w:jc w:val="center"/>
              <w:rPr>
                <w:rFonts w:hint="eastAsia" w:ascii="宋体" w:hAnsi="宋体" w:eastAsia="宋体" w:cs="宋体"/>
                <w:b/>
                <w:bCs/>
                <w:kern w:val="0"/>
                <w:sz w:val="22"/>
                <w:szCs w:val="22"/>
              </w:rPr>
            </w:pPr>
            <w:r>
              <w:rPr>
                <w:rFonts w:hint="eastAsia" w:ascii="宋体" w:hAnsi="宋体" w:cs="宋体"/>
                <w:b/>
                <w:bCs/>
                <w:kern w:val="0"/>
                <w:sz w:val="22"/>
                <w:szCs w:val="22"/>
                <w:lang w:val="en-US" w:eastAsia="zh-CN"/>
              </w:rPr>
              <w:t>工程</w:t>
            </w:r>
            <w:r>
              <w:rPr>
                <w:rFonts w:hint="eastAsia" w:ascii="宋体" w:hAnsi="宋体" w:eastAsia="宋体" w:cs="宋体"/>
                <w:b/>
                <w:bCs/>
                <w:kern w:val="0"/>
                <w:sz w:val="22"/>
                <w:szCs w:val="22"/>
              </w:rPr>
              <w:t>名称</w:t>
            </w:r>
          </w:p>
        </w:tc>
        <w:tc>
          <w:tcPr>
            <w:tcW w:w="724" w:type="dxa"/>
            <w:gridSpan w:val="2"/>
            <w:tcBorders>
              <w:top w:val="single" w:color="auto" w:sz="4" w:space="0"/>
              <w:left w:val="single" w:color="auto" w:sz="4" w:space="0"/>
              <w:bottom w:val="single" w:color="auto" w:sz="4" w:space="0"/>
              <w:right w:val="single" w:color="auto" w:sz="4" w:space="0"/>
            </w:tcBorders>
            <w:noWrap w:val="0"/>
            <w:vAlign w:val="center"/>
          </w:tcPr>
          <w:p w14:paraId="1453E47B">
            <w:pPr>
              <w:keepNext w:val="0"/>
              <w:keepLines w:val="0"/>
              <w:pageBreakBefore w:val="0"/>
              <w:widowControl/>
              <w:kinsoku/>
              <w:overflowPunct/>
              <w:topLinePunct w:val="0"/>
              <w:autoSpaceDE/>
              <w:autoSpaceDN/>
              <w:bidi w:val="0"/>
              <w:adjustRightInd/>
              <w:snapToGrid/>
              <w:spacing w:line="360" w:lineRule="auto"/>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数量</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5EB53B0B">
            <w:pPr>
              <w:keepNext w:val="0"/>
              <w:keepLines w:val="0"/>
              <w:pageBreakBefore w:val="0"/>
              <w:widowControl/>
              <w:kinsoku/>
              <w:overflowPunct/>
              <w:topLinePunct w:val="0"/>
              <w:autoSpaceDE/>
              <w:autoSpaceDN/>
              <w:bidi w:val="0"/>
              <w:adjustRightInd/>
              <w:snapToGrid/>
              <w:spacing w:line="360" w:lineRule="auto"/>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单位</w:t>
            </w:r>
          </w:p>
        </w:tc>
        <w:tc>
          <w:tcPr>
            <w:tcW w:w="6677" w:type="dxa"/>
            <w:tcBorders>
              <w:top w:val="single" w:color="auto" w:sz="4" w:space="0"/>
              <w:left w:val="single" w:color="auto" w:sz="4" w:space="0"/>
              <w:bottom w:val="single" w:color="auto" w:sz="4" w:space="0"/>
              <w:right w:val="single" w:color="auto" w:sz="4" w:space="0"/>
            </w:tcBorders>
            <w:noWrap w:val="0"/>
            <w:vAlign w:val="center"/>
          </w:tcPr>
          <w:p w14:paraId="69E2CE4C">
            <w:pPr>
              <w:keepNext w:val="0"/>
              <w:keepLines w:val="0"/>
              <w:pageBreakBefore w:val="0"/>
              <w:widowControl/>
              <w:kinsoku/>
              <w:overflowPunct/>
              <w:topLinePunct w:val="0"/>
              <w:autoSpaceDE/>
              <w:autoSpaceDN/>
              <w:bidi w:val="0"/>
              <w:adjustRightInd/>
              <w:snapToGrid/>
              <w:spacing w:line="360" w:lineRule="auto"/>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技术参数要求</w:t>
            </w:r>
          </w:p>
        </w:tc>
      </w:tr>
      <w:tr w14:paraId="430B33A8">
        <w:tblPrEx>
          <w:tblCellMar>
            <w:top w:w="0" w:type="dxa"/>
            <w:left w:w="108" w:type="dxa"/>
            <w:bottom w:w="0" w:type="dxa"/>
            <w:right w:w="108" w:type="dxa"/>
          </w:tblCellMar>
        </w:tblPrEx>
        <w:trPr>
          <w:trHeight w:val="90" w:hRule="atLeast"/>
        </w:trPr>
        <w:tc>
          <w:tcPr>
            <w:tcW w:w="703" w:type="dxa"/>
            <w:tcBorders>
              <w:top w:val="single" w:color="auto" w:sz="4" w:space="0"/>
              <w:left w:val="single" w:color="auto" w:sz="4" w:space="0"/>
              <w:bottom w:val="single" w:color="auto" w:sz="4" w:space="0"/>
              <w:right w:val="single" w:color="auto" w:sz="4" w:space="0"/>
            </w:tcBorders>
            <w:noWrap w:val="0"/>
            <w:vAlign w:val="center"/>
          </w:tcPr>
          <w:p w14:paraId="52FBFBCF">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2"/>
                <w:szCs w:val="22"/>
              </w:rPr>
            </w:pPr>
            <w:r>
              <w:rPr>
                <w:rFonts w:hint="eastAsia" w:ascii="宋体" w:hAnsi="宋体" w:eastAsia="宋体" w:cs="宋体"/>
                <w:b w:val="0"/>
                <w:bCs w:val="0"/>
                <w:kern w:val="0"/>
                <w:sz w:val="22"/>
                <w:szCs w:val="22"/>
                <w:lang w:bidi="ar"/>
              </w:rPr>
              <w:t>1</w:t>
            </w:r>
          </w:p>
        </w:tc>
        <w:tc>
          <w:tcPr>
            <w:tcW w:w="1291" w:type="dxa"/>
            <w:tcBorders>
              <w:top w:val="single" w:color="auto" w:sz="4" w:space="0"/>
              <w:left w:val="single" w:color="auto" w:sz="4" w:space="0"/>
              <w:bottom w:val="single" w:color="auto" w:sz="4" w:space="0"/>
              <w:right w:val="single" w:color="auto" w:sz="4" w:space="0"/>
            </w:tcBorders>
            <w:noWrap w:val="0"/>
            <w:vAlign w:val="center"/>
          </w:tcPr>
          <w:p w14:paraId="18C11E58">
            <w:pPr>
              <w:pStyle w:val="7"/>
              <w:keepNext w:val="0"/>
              <w:keepLines w:val="0"/>
              <w:pageBreakBefore w:val="0"/>
              <w:widowControl w:val="0"/>
              <w:kinsoku/>
              <w:wordWrap w:val="0"/>
              <w:overflowPunct/>
              <w:topLinePunct w:val="0"/>
              <w:autoSpaceDE/>
              <w:autoSpaceDN/>
              <w:bidi w:val="0"/>
              <w:adjustRightInd/>
              <w:snapToGrid/>
              <w:spacing w:line="360" w:lineRule="auto"/>
              <w:ind w:firstLine="0"/>
              <w:textAlignment w:val="auto"/>
              <w:rPr>
                <w:rFonts w:hint="eastAsia" w:ascii="宋体" w:hAnsi="宋体" w:eastAsia="宋体" w:cs="宋体"/>
                <w:b w:val="0"/>
                <w:bCs w:val="0"/>
                <w:sz w:val="22"/>
                <w:szCs w:val="22"/>
                <w:lang w:bidi="ar"/>
              </w:rPr>
            </w:pPr>
            <w:r>
              <w:rPr>
                <w:rFonts w:hint="eastAsia" w:ascii="宋体" w:hAnsi="宋体" w:eastAsia="宋体" w:cs="宋体"/>
                <w:b w:val="0"/>
                <w:bCs w:val="0"/>
                <w:kern w:val="0"/>
                <w:sz w:val="22"/>
                <w:szCs w:val="22"/>
                <w:lang w:bidi="ar"/>
              </w:rPr>
              <w:t>泵站、堤防护坡清理维护工程(2025年度)</w:t>
            </w:r>
          </w:p>
        </w:tc>
        <w:tc>
          <w:tcPr>
            <w:tcW w:w="724" w:type="dxa"/>
            <w:gridSpan w:val="2"/>
            <w:tcBorders>
              <w:top w:val="single" w:color="auto" w:sz="4" w:space="0"/>
              <w:left w:val="single" w:color="auto" w:sz="4" w:space="0"/>
              <w:bottom w:val="single" w:color="auto" w:sz="4" w:space="0"/>
              <w:right w:val="single" w:color="auto" w:sz="4" w:space="0"/>
            </w:tcBorders>
            <w:noWrap w:val="0"/>
            <w:vAlign w:val="center"/>
          </w:tcPr>
          <w:p w14:paraId="1119D30F">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73D8CA73">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项</w:t>
            </w:r>
          </w:p>
        </w:tc>
        <w:tc>
          <w:tcPr>
            <w:tcW w:w="6677" w:type="dxa"/>
            <w:tcBorders>
              <w:top w:val="single" w:color="auto" w:sz="4" w:space="0"/>
              <w:left w:val="single" w:color="auto" w:sz="4" w:space="0"/>
              <w:bottom w:val="single" w:color="auto" w:sz="4" w:space="0"/>
              <w:right w:val="single" w:color="auto" w:sz="4" w:space="0"/>
            </w:tcBorders>
            <w:noWrap w:val="0"/>
            <w:vAlign w:val="bottom"/>
          </w:tcPr>
          <w:p w14:paraId="1B8368AB">
            <w:pPr>
              <w:pStyle w:val="30"/>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42" w:firstLineChars="200"/>
              <w:jc w:val="left"/>
              <w:textAlignment w:val="auto"/>
              <w:rPr>
                <w:rFonts w:hint="eastAsia" w:ascii="宋体" w:hAnsi="宋体" w:eastAsia="宋体" w:cs="宋体"/>
                <w:b/>
                <w:sz w:val="22"/>
                <w:szCs w:val="22"/>
              </w:rPr>
            </w:pPr>
            <w:r>
              <w:rPr>
                <w:rFonts w:hint="eastAsia" w:ascii="宋体" w:hAnsi="宋体" w:eastAsia="宋体" w:cs="宋体"/>
                <w:b/>
                <w:sz w:val="22"/>
                <w:szCs w:val="22"/>
              </w:rPr>
              <w:t>一、主要内容：</w:t>
            </w:r>
          </w:p>
          <w:p w14:paraId="1972DDE3">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泵站、堤防清理：</w:t>
            </w:r>
          </w:p>
          <w:p w14:paraId="4428228A">
            <w:pPr>
              <w:pStyle w:val="30"/>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40" w:firstLineChars="20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1.</w:t>
            </w:r>
            <w:r>
              <w:rPr>
                <w:rFonts w:hint="eastAsia" w:ascii="宋体" w:hAnsi="宋体" w:eastAsia="宋体" w:cs="宋体"/>
                <w:sz w:val="22"/>
                <w:szCs w:val="22"/>
                <w:lang w:eastAsia="zh-CN"/>
              </w:rPr>
              <w:t>对柳州市柳北区香兰、新江泵站管辖的鹧鸪江堤段的杂树修枝砍伐及杂草割除，按业主要求随时配合将杂树杂草清理干净并做好日常维护。</w:t>
            </w:r>
          </w:p>
          <w:p w14:paraId="58CC3ADF">
            <w:pPr>
              <w:pStyle w:val="30"/>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40" w:firstLineChars="20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r>
              <w:rPr>
                <w:rFonts w:hint="eastAsia" w:ascii="宋体" w:hAnsi="宋体" w:eastAsia="宋体" w:cs="宋体"/>
                <w:sz w:val="22"/>
                <w:szCs w:val="22"/>
                <w:lang w:eastAsia="zh-CN"/>
              </w:rPr>
              <w:t>对柳州市柳北区回龙冲泵站管辖的白沙堤段的杂树修枝砍伐及杂草割除，按业主要求随时配合将杂树杂草清理干净并做好日常维护。</w:t>
            </w:r>
          </w:p>
          <w:p w14:paraId="04939C18">
            <w:pPr>
              <w:pStyle w:val="30"/>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40" w:firstLineChars="20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3.对柳州市柳北区云头溪泵站管辖的白露堤段的</w:t>
            </w:r>
            <w:r>
              <w:rPr>
                <w:rFonts w:hint="eastAsia" w:ascii="宋体" w:hAnsi="宋体" w:eastAsia="宋体" w:cs="宋体"/>
                <w:sz w:val="22"/>
                <w:szCs w:val="22"/>
                <w:lang w:eastAsia="zh-CN"/>
              </w:rPr>
              <w:t>杂树修枝砍伐及杂草割除，按业主要求随时配合将杂树杂草清理干净并做好日常维护。</w:t>
            </w:r>
          </w:p>
          <w:p w14:paraId="282010A7">
            <w:pPr>
              <w:pStyle w:val="30"/>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40" w:firstLineChars="200"/>
              <w:jc w:val="left"/>
              <w:textAlignment w:val="auto"/>
              <w:rPr>
                <w:rFonts w:hint="eastAsia" w:ascii="宋体" w:hAnsi="宋体" w:eastAsia="宋体" w:cs="宋体"/>
                <w:spacing w:val="-4"/>
                <w:kern w:val="2"/>
                <w:sz w:val="22"/>
                <w:szCs w:val="22"/>
                <w:lang w:val="en-US" w:eastAsia="zh-CN" w:bidi="ar-SA"/>
              </w:rPr>
            </w:pPr>
            <w:r>
              <w:rPr>
                <w:rFonts w:hint="eastAsia" w:ascii="宋体" w:hAnsi="宋体" w:eastAsia="宋体" w:cs="宋体"/>
                <w:sz w:val="22"/>
                <w:szCs w:val="22"/>
                <w:lang w:val="en-US" w:eastAsia="zh-CN"/>
              </w:rPr>
              <w:t>4.对</w:t>
            </w:r>
            <w:r>
              <w:rPr>
                <w:rFonts w:hint="eastAsia" w:ascii="宋体" w:hAnsi="宋体" w:eastAsia="宋体" w:cs="宋体"/>
                <w:spacing w:val="-4"/>
                <w:kern w:val="2"/>
                <w:sz w:val="22"/>
                <w:szCs w:val="22"/>
                <w:lang w:val="en-US" w:eastAsia="zh-CN" w:bidi="ar-SA"/>
              </w:rPr>
              <w:t>柳州市柳南区航道、崩冲、水电段、竹鹅溪泵站管辖的河西堤段的</w:t>
            </w:r>
            <w:r>
              <w:rPr>
                <w:rFonts w:hint="eastAsia" w:ascii="宋体" w:hAnsi="宋体" w:eastAsia="宋体" w:cs="宋体"/>
                <w:sz w:val="22"/>
                <w:szCs w:val="22"/>
                <w:lang w:eastAsia="zh-CN"/>
              </w:rPr>
              <w:t>杂树修枝砍伐及杂草割除，按业主要求随时配合将杂树杂草清理干净并做好日常维护。</w:t>
            </w:r>
          </w:p>
          <w:p w14:paraId="328E7853">
            <w:pPr>
              <w:pStyle w:val="30"/>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40" w:firstLineChars="200"/>
              <w:jc w:val="left"/>
              <w:textAlignment w:val="auto"/>
              <w:rPr>
                <w:rFonts w:hint="eastAsia" w:ascii="宋体" w:hAnsi="宋体" w:eastAsia="宋体" w:cs="宋体"/>
                <w:spacing w:val="-4"/>
                <w:kern w:val="2"/>
                <w:sz w:val="22"/>
                <w:szCs w:val="22"/>
                <w:lang w:val="en-US" w:eastAsia="zh-CN" w:bidi="ar-SA"/>
              </w:rPr>
            </w:pPr>
            <w:r>
              <w:rPr>
                <w:rFonts w:hint="eastAsia" w:ascii="宋体" w:hAnsi="宋体" w:eastAsia="宋体" w:cs="宋体"/>
                <w:sz w:val="22"/>
                <w:szCs w:val="22"/>
                <w:lang w:val="en-US" w:eastAsia="zh-CN"/>
              </w:rPr>
              <w:t>5.对</w:t>
            </w:r>
            <w:r>
              <w:rPr>
                <w:rFonts w:hint="eastAsia" w:ascii="宋体" w:hAnsi="宋体" w:eastAsia="宋体" w:cs="宋体"/>
                <w:spacing w:val="-4"/>
                <w:kern w:val="2"/>
                <w:sz w:val="22"/>
                <w:szCs w:val="22"/>
                <w:lang w:val="en-US" w:eastAsia="zh-CN" w:bidi="ar-SA"/>
              </w:rPr>
              <w:t>柳州市城中区静兰下泵站管辖的静兰堤段的</w:t>
            </w:r>
            <w:r>
              <w:rPr>
                <w:rFonts w:hint="eastAsia" w:ascii="宋体" w:hAnsi="宋体" w:eastAsia="宋体" w:cs="宋体"/>
                <w:sz w:val="22"/>
                <w:szCs w:val="22"/>
                <w:lang w:eastAsia="zh-CN"/>
              </w:rPr>
              <w:t>杂树修枝砍伐及杂草割除，按业主要求随时配合将杂树杂草清理干净并做好日常维护。</w:t>
            </w:r>
          </w:p>
          <w:p w14:paraId="45D1AE43">
            <w:pPr>
              <w:pStyle w:val="30"/>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40" w:firstLineChars="200"/>
              <w:jc w:val="left"/>
              <w:textAlignment w:val="auto"/>
              <w:rPr>
                <w:rFonts w:hint="eastAsia" w:ascii="宋体" w:hAnsi="宋体" w:eastAsia="宋体" w:cs="宋体"/>
                <w:spacing w:val="-4"/>
                <w:kern w:val="2"/>
                <w:sz w:val="22"/>
                <w:szCs w:val="22"/>
                <w:lang w:val="en-US" w:eastAsia="zh-CN" w:bidi="ar-SA"/>
              </w:rPr>
            </w:pPr>
            <w:r>
              <w:rPr>
                <w:rFonts w:hint="eastAsia" w:ascii="宋体" w:hAnsi="宋体" w:eastAsia="宋体" w:cs="宋体"/>
                <w:sz w:val="22"/>
                <w:szCs w:val="22"/>
                <w:lang w:val="en-US" w:eastAsia="zh-CN"/>
              </w:rPr>
              <w:t>6.对</w:t>
            </w:r>
            <w:r>
              <w:rPr>
                <w:rFonts w:hint="eastAsia" w:ascii="宋体" w:hAnsi="宋体" w:eastAsia="宋体" w:cs="宋体"/>
                <w:spacing w:val="-4"/>
                <w:kern w:val="2"/>
                <w:sz w:val="22"/>
                <w:szCs w:val="22"/>
                <w:lang w:val="en-US" w:eastAsia="zh-CN" w:bidi="ar-SA"/>
              </w:rPr>
              <w:t>柳州市鱼峰区福利院、冷水冲、莲花泵站管辖的鸡喇堤段的</w:t>
            </w:r>
            <w:r>
              <w:rPr>
                <w:rFonts w:hint="eastAsia" w:ascii="宋体" w:hAnsi="宋体" w:eastAsia="宋体" w:cs="宋体"/>
                <w:sz w:val="22"/>
                <w:szCs w:val="22"/>
                <w:lang w:eastAsia="zh-CN"/>
              </w:rPr>
              <w:t>杂树修枝砍伐及杂草割除，按业主要求随时配合将杂树杂草清理干净并做好日常维护。</w:t>
            </w:r>
          </w:p>
          <w:p w14:paraId="589E1A7A">
            <w:pPr>
              <w:pStyle w:val="30"/>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40" w:firstLineChars="200"/>
              <w:jc w:val="left"/>
              <w:textAlignment w:val="auto"/>
              <w:rPr>
                <w:rFonts w:hint="eastAsia" w:ascii="宋体" w:hAnsi="宋体" w:eastAsia="宋体" w:cs="宋体"/>
                <w:spacing w:val="-4"/>
                <w:kern w:val="2"/>
                <w:sz w:val="22"/>
                <w:szCs w:val="22"/>
                <w:lang w:val="en-US" w:eastAsia="zh-CN" w:bidi="ar-SA"/>
              </w:rPr>
            </w:pPr>
            <w:r>
              <w:rPr>
                <w:rFonts w:hint="eastAsia" w:ascii="宋体" w:hAnsi="宋体" w:eastAsia="宋体" w:cs="宋体"/>
                <w:sz w:val="22"/>
                <w:szCs w:val="22"/>
                <w:lang w:val="en-US" w:eastAsia="zh-CN"/>
              </w:rPr>
              <w:t>7.对</w:t>
            </w:r>
            <w:r>
              <w:rPr>
                <w:rFonts w:hint="eastAsia" w:ascii="宋体" w:hAnsi="宋体" w:eastAsia="宋体" w:cs="宋体"/>
                <w:spacing w:val="-4"/>
                <w:kern w:val="2"/>
                <w:sz w:val="22"/>
                <w:szCs w:val="22"/>
                <w:lang w:val="en-US" w:eastAsia="zh-CN" w:bidi="ar-SA"/>
              </w:rPr>
              <w:t>柳州市鱼峰区大塘、封木、董家、犁头咀泵站管辖的阳和堤段的</w:t>
            </w:r>
            <w:r>
              <w:rPr>
                <w:rFonts w:hint="eastAsia" w:ascii="宋体" w:hAnsi="宋体" w:eastAsia="宋体" w:cs="宋体"/>
                <w:sz w:val="22"/>
                <w:szCs w:val="22"/>
                <w:lang w:eastAsia="zh-CN"/>
              </w:rPr>
              <w:t>杂树修枝砍伐及杂草割除，按业主要求随时配合将杂树杂草清理干净并做好日常维护。</w:t>
            </w:r>
          </w:p>
          <w:p w14:paraId="2189B898">
            <w:pPr>
              <w:pStyle w:val="30"/>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40" w:firstLineChars="200"/>
              <w:jc w:val="left"/>
              <w:textAlignment w:val="auto"/>
              <w:rPr>
                <w:rFonts w:hint="eastAsia" w:ascii="宋体" w:hAnsi="宋体" w:eastAsia="宋体" w:cs="宋体"/>
                <w:spacing w:val="-4"/>
                <w:kern w:val="2"/>
                <w:sz w:val="22"/>
                <w:szCs w:val="22"/>
                <w:lang w:val="en-US" w:eastAsia="zh-CN" w:bidi="ar-SA"/>
              </w:rPr>
            </w:pPr>
            <w:r>
              <w:rPr>
                <w:rFonts w:hint="eastAsia" w:ascii="宋体" w:hAnsi="宋体" w:eastAsia="宋体" w:cs="宋体"/>
                <w:sz w:val="22"/>
                <w:szCs w:val="22"/>
                <w:lang w:val="en-US" w:eastAsia="zh-CN"/>
              </w:rPr>
              <w:t>8.对</w:t>
            </w:r>
            <w:r>
              <w:rPr>
                <w:rFonts w:hint="eastAsia" w:ascii="宋体" w:hAnsi="宋体" w:eastAsia="宋体" w:cs="宋体"/>
                <w:spacing w:val="-4"/>
                <w:kern w:val="2"/>
                <w:sz w:val="22"/>
                <w:szCs w:val="22"/>
                <w:lang w:val="en-US" w:eastAsia="zh-CN" w:bidi="ar-SA"/>
              </w:rPr>
              <w:t>柳州市鱼峰区官塘冲泵站管辖的官塘堤下段的</w:t>
            </w:r>
            <w:r>
              <w:rPr>
                <w:rFonts w:hint="eastAsia" w:ascii="宋体" w:hAnsi="宋体" w:eastAsia="宋体" w:cs="宋体"/>
                <w:sz w:val="22"/>
                <w:szCs w:val="22"/>
                <w:lang w:eastAsia="zh-CN"/>
              </w:rPr>
              <w:t>杂树修枝砍伐及杂草割除，按业主要求随时配合将杂树杂草清理干净并做好日常维护。</w:t>
            </w:r>
          </w:p>
          <w:p w14:paraId="2C391A95">
            <w:pPr>
              <w:pStyle w:val="30"/>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24" w:firstLineChars="200"/>
              <w:jc w:val="left"/>
              <w:textAlignment w:val="auto"/>
              <w:rPr>
                <w:rFonts w:hint="eastAsia" w:ascii="宋体" w:hAnsi="宋体" w:eastAsia="宋体" w:cs="宋体"/>
                <w:spacing w:val="-4"/>
                <w:kern w:val="2"/>
                <w:sz w:val="22"/>
                <w:szCs w:val="22"/>
                <w:lang w:val="en-US" w:eastAsia="zh-CN" w:bidi="ar-SA"/>
              </w:rPr>
            </w:pPr>
            <w:r>
              <w:rPr>
                <w:rFonts w:hint="eastAsia" w:ascii="宋体" w:hAnsi="宋体" w:eastAsia="宋体" w:cs="宋体"/>
                <w:spacing w:val="-4"/>
                <w:kern w:val="2"/>
                <w:sz w:val="22"/>
                <w:szCs w:val="22"/>
                <w:lang w:val="en-US" w:eastAsia="zh-CN" w:bidi="ar-SA"/>
              </w:rPr>
              <w:t>9.对柳州市鱼峰区洛埠沟、莫道江泵站管辖的官塘堤上段的</w:t>
            </w:r>
            <w:r>
              <w:rPr>
                <w:rFonts w:hint="eastAsia" w:ascii="宋体" w:hAnsi="宋体" w:eastAsia="宋体" w:cs="宋体"/>
                <w:sz w:val="22"/>
                <w:szCs w:val="22"/>
                <w:lang w:eastAsia="zh-CN"/>
              </w:rPr>
              <w:t>杂树修枝砍伐及杂草割除，按业主要求随时配合将杂树杂草清理干净并做好日常维护。</w:t>
            </w:r>
          </w:p>
          <w:p w14:paraId="40B3B90A">
            <w:pPr>
              <w:pStyle w:val="30"/>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24" w:firstLineChars="200"/>
              <w:jc w:val="left"/>
              <w:textAlignment w:val="auto"/>
              <w:rPr>
                <w:rFonts w:hint="eastAsia" w:ascii="宋体" w:hAnsi="宋体" w:eastAsia="宋体" w:cs="宋体"/>
                <w:spacing w:val="-4"/>
                <w:kern w:val="2"/>
                <w:sz w:val="22"/>
                <w:szCs w:val="22"/>
                <w:lang w:val="en-US" w:eastAsia="zh-CN" w:bidi="ar-SA"/>
              </w:rPr>
            </w:pPr>
            <w:r>
              <w:rPr>
                <w:rFonts w:hint="eastAsia" w:ascii="宋体" w:hAnsi="宋体" w:eastAsia="宋体" w:cs="宋体"/>
                <w:spacing w:val="-4"/>
                <w:kern w:val="2"/>
                <w:sz w:val="22"/>
                <w:szCs w:val="22"/>
                <w:lang w:val="en-US" w:eastAsia="zh-CN" w:bidi="ar-SA"/>
              </w:rPr>
              <w:t>10.对柳州市雒容镇洛清江护岸平台及护坡的</w:t>
            </w:r>
            <w:r>
              <w:rPr>
                <w:rFonts w:hint="eastAsia" w:ascii="宋体" w:hAnsi="宋体" w:eastAsia="宋体" w:cs="宋体"/>
                <w:sz w:val="22"/>
                <w:szCs w:val="22"/>
                <w:lang w:eastAsia="zh-CN"/>
              </w:rPr>
              <w:t>杂树修枝砍伐及杂草割除，按业主要求随时配合将杂树杂草清理干净并做好日常维护。</w:t>
            </w:r>
          </w:p>
          <w:p w14:paraId="14363D82">
            <w:pPr>
              <w:pStyle w:val="30"/>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42" w:firstLineChars="200"/>
              <w:jc w:val="left"/>
              <w:textAlignment w:val="auto"/>
              <w:rPr>
                <w:rFonts w:hint="eastAsia" w:ascii="宋体" w:hAnsi="宋体" w:eastAsia="宋体" w:cs="宋体"/>
                <w:b/>
                <w:bCs/>
                <w:sz w:val="22"/>
                <w:szCs w:val="22"/>
              </w:rPr>
            </w:pPr>
            <w:r>
              <w:rPr>
                <w:rFonts w:hint="eastAsia" w:ascii="宋体" w:hAnsi="宋体" w:eastAsia="宋体" w:cs="宋体"/>
                <w:b/>
                <w:bCs/>
                <w:sz w:val="22"/>
                <w:szCs w:val="22"/>
              </w:rPr>
              <w:t>二、具体要求：</w:t>
            </w:r>
          </w:p>
          <w:p w14:paraId="63236D6B">
            <w:pPr>
              <w:pStyle w:val="30"/>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24"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pacing w:val="-4"/>
                <w:kern w:val="2"/>
                <w:sz w:val="22"/>
                <w:szCs w:val="22"/>
                <w:lang w:val="en-US" w:eastAsia="zh-CN" w:bidi="ar-SA"/>
              </w:rPr>
              <w:t>1.施工方需时刻保持30名机</w:t>
            </w:r>
            <w:r>
              <w:rPr>
                <w:rFonts w:hint="eastAsia" w:ascii="宋体" w:hAnsi="宋体" w:eastAsia="宋体" w:cs="宋体"/>
                <w:sz w:val="22"/>
                <w:szCs w:val="22"/>
                <w:lang w:val="en-US" w:eastAsia="zh-CN"/>
              </w:rPr>
              <w:t>动人员已应对甲方应急情况的调动。</w:t>
            </w:r>
          </w:p>
          <w:p w14:paraId="30AAAB46">
            <w:pPr>
              <w:pStyle w:val="30"/>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w:t>
            </w:r>
            <w:r>
              <w:rPr>
                <w:rFonts w:hint="eastAsia" w:ascii="宋体" w:hAnsi="宋体" w:eastAsia="宋体" w:cs="宋体"/>
                <w:sz w:val="22"/>
                <w:szCs w:val="22"/>
                <w:lang w:eastAsia="zh-CN"/>
              </w:rPr>
              <w:t>施工方应随时调配</w:t>
            </w:r>
            <w:r>
              <w:rPr>
                <w:rFonts w:hint="eastAsia" w:ascii="宋体" w:hAnsi="宋体" w:eastAsia="宋体" w:cs="宋体"/>
                <w:sz w:val="22"/>
                <w:szCs w:val="22"/>
                <w:lang w:val="en-US" w:eastAsia="zh-CN"/>
              </w:rPr>
              <w:t>10辆小型绿色环保渣土车应对甲方应急情况的调动。</w:t>
            </w:r>
          </w:p>
          <w:p w14:paraId="76AB00FB">
            <w:pPr>
              <w:pStyle w:val="30"/>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3.</w:t>
            </w:r>
            <w:r>
              <w:rPr>
                <w:rFonts w:hint="eastAsia" w:ascii="宋体" w:hAnsi="宋体" w:eastAsia="宋体" w:cs="宋体"/>
                <w:sz w:val="22"/>
                <w:szCs w:val="22"/>
                <w:lang w:eastAsia="zh-CN"/>
              </w:rPr>
              <w:t>泵站、堤防清理项目接到通知后</w:t>
            </w:r>
            <w:r>
              <w:rPr>
                <w:rFonts w:hint="eastAsia" w:ascii="宋体" w:hAnsi="宋体" w:eastAsia="宋体" w:cs="宋体"/>
                <w:sz w:val="22"/>
                <w:szCs w:val="22"/>
                <w:lang w:val="en-US" w:eastAsia="zh-CN"/>
              </w:rPr>
              <w:t>3小时内组织人员进场施工，1天内完成，并通过管辖区域泵站人员确认验收。</w:t>
            </w:r>
          </w:p>
          <w:p w14:paraId="457C09CB">
            <w:pPr>
              <w:pStyle w:val="30"/>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42" w:firstLineChars="200"/>
              <w:jc w:val="left"/>
              <w:textAlignment w:val="auto"/>
              <w:rPr>
                <w:rFonts w:hint="eastAsia" w:ascii="宋体" w:hAnsi="宋体" w:eastAsia="宋体" w:cs="宋体"/>
                <w:b/>
                <w:bCs/>
                <w:sz w:val="22"/>
                <w:szCs w:val="22"/>
                <w:highlight w:val="none"/>
              </w:rPr>
            </w:pPr>
            <w:r>
              <w:rPr>
                <w:rFonts w:hint="eastAsia" w:ascii="宋体" w:hAnsi="宋体" w:eastAsia="宋体" w:cs="宋体"/>
                <w:b/>
                <w:bCs/>
                <w:sz w:val="22"/>
                <w:szCs w:val="22"/>
              </w:rPr>
              <w:t>三、技术需求：</w:t>
            </w:r>
          </w:p>
          <w:p w14:paraId="5ECD8CDA">
            <w:pPr>
              <w:pStyle w:val="30"/>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40" w:firstLineChars="200"/>
              <w:jc w:val="lef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确保产品符合现行国家、建设部（或水利部或其相关部门）颁布现行的有关规程规范以及合同的要求，并通过相关部门或采购方组织的审查与评审（若有）。</w:t>
            </w:r>
          </w:p>
          <w:p w14:paraId="22FEDBA9">
            <w:pPr>
              <w:pStyle w:val="30"/>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42" w:firstLineChars="200"/>
              <w:jc w:val="left"/>
              <w:textAlignment w:val="auto"/>
              <w:rPr>
                <w:rFonts w:hint="eastAsia" w:ascii="宋体" w:hAnsi="宋体" w:eastAsia="宋体" w:cs="宋体"/>
                <w:b/>
                <w:sz w:val="22"/>
                <w:szCs w:val="22"/>
                <w:highlight w:val="none"/>
              </w:rPr>
            </w:pPr>
            <w:r>
              <w:rPr>
                <w:rFonts w:hint="eastAsia" w:ascii="宋体" w:hAnsi="宋体" w:eastAsia="宋体" w:cs="宋体"/>
                <w:b/>
                <w:sz w:val="22"/>
                <w:szCs w:val="22"/>
                <w:highlight w:val="none"/>
              </w:rPr>
              <w:t>四、</w:t>
            </w:r>
            <w:r>
              <w:rPr>
                <w:rFonts w:hint="eastAsia" w:ascii="宋体" w:hAnsi="宋体" w:eastAsia="宋体" w:cs="宋体"/>
                <w:b/>
                <w:sz w:val="22"/>
                <w:szCs w:val="22"/>
                <w:highlight w:val="none"/>
                <w:lang w:val="en-US" w:eastAsia="zh-CN"/>
              </w:rPr>
              <w:t>结算资料</w:t>
            </w:r>
            <w:r>
              <w:rPr>
                <w:rFonts w:hint="eastAsia" w:ascii="宋体" w:hAnsi="宋体" w:eastAsia="宋体" w:cs="宋体"/>
                <w:b/>
                <w:sz w:val="22"/>
                <w:szCs w:val="22"/>
                <w:highlight w:val="none"/>
              </w:rPr>
              <w:t>要求：</w:t>
            </w:r>
          </w:p>
          <w:p w14:paraId="69C54932">
            <w:pPr>
              <w:pStyle w:val="30"/>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40" w:firstLineChars="200"/>
              <w:jc w:val="lef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套纸质版</w:t>
            </w:r>
            <w:r>
              <w:rPr>
                <w:rFonts w:hint="eastAsia" w:ascii="宋体" w:hAnsi="宋体" w:eastAsia="宋体" w:cs="宋体"/>
                <w:sz w:val="22"/>
                <w:szCs w:val="22"/>
                <w:highlight w:val="none"/>
                <w:lang w:val="en-US" w:eastAsia="zh-CN"/>
              </w:rPr>
              <w:t>结算资料</w:t>
            </w:r>
            <w:r>
              <w:rPr>
                <w:rFonts w:hint="eastAsia" w:ascii="宋体" w:hAnsi="宋体" w:eastAsia="宋体" w:cs="宋体"/>
                <w:sz w:val="22"/>
                <w:szCs w:val="22"/>
                <w:highlight w:val="none"/>
              </w:rPr>
              <w:t>。</w:t>
            </w:r>
          </w:p>
          <w:p w14:paraId="7DD14574">
            <w:pPr>
              <w:pStyle w:val="30"/>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40" w:firstLineChars="200"/>
              <w:jc w:val="left"/>
              <w:textAlignment w:val="auto"/>
              <w:rPr>
                <w:rFonts w:hint="eastAsia" w:ascii="宋体" w:hAnsi="宋体" w:eastAsia="宋体" w:cs="宋体"/>
                <w:color w:val="FF0000"/>
                <w:sz w:val="22"/>
                <w:szCs w:val="22"/>
                <w:highlight w:val="none"/>
              </w:rPr>
            </w:pPr>
            <w:r>
              <w:rPr>
                <w:rFonts w:hint="eastAsia" w:ascii="宋体" w:hAnsi="宋体" w:eastAsia="宋体" w:cs="宋体"/>
                <w:sz w:val="22"/>
                <w:szCs w:val="22"/>
                <w:highlight w:val="none"/>
              </w:rPr>
              <w:t>2.PDF电子版</w:t>
            </w:r>
            <w:r>
              <w:rPr>
                <w:rFonts w:hint="eastAsia" w:ascii="宋体" w:hAnsi="宋体" w:eastAsia="宋体" w:cs="宋体"/>
                <w:sz w:val="22"/>
                <w:szCs w:val="22"/>
                <w:highlight w:val="none"/>
                <w:lang w:val="en-US" w:eastAsia="zh-CN"/>
              </w:rPr>
              <w:t>结算资料</w:t>
            </w:r>
            <w:r>
              <w:rPr>
                <w:rFonts w:hint="eastAsia" w:ascii="宋体" w:hAnsi="宋体" w:eastAsia="宋体" w:cs="宋体"/>
                <w:sz w:val="22"/>
                <w:szCs w:val="22"/>
                <w:highlight w:val="none"/>
              </w:rPr>
              <w:t>。</w:t>
            </w:r>
            <w:r>
              <w:rPr>
                <w:rFonts w:hint="eastAsia" w:ascii="宋体" w:hAnsi="宋体" w:eastAsia="宋体" w:cs="宋体"/>
                <w:color w:val="FF0000"/>
                <w:sz w:val="22"/>
                <w:szCs w:val="22"/>
                <w:highlight w:val="none"/>
              </w:rPr>
              <w:t xml:space="preserve"> </w:t>
            </w:r>
          </w:p>
          <w:p w14:paraId="6B8AE387">
            <w:pPr>
              <w:pStyle w:val="30"/>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42" w:firstLineChars="200"/>
              <w:jc w:val="left"/>
              <w:textAlignment w:val="auto"/>
              <w:rPr>
                <w:rFonts w:hint="eastAsia" w:ascii="宋体" w:hAnsi="宋体" w:eastAsia="宋体" w:cs="宋体"/>
                <w:b/>
                <w:sz w:val="22"/>
                <w:szCs w:val="22"/>
                <w:highlight w:val="none"/>
              </w:rPr>
            </w:pPr>
            <w:r>
              <w:rPr>
                <w:rFonts w:hint="eastAsia" w:ascii="宋体" w:hAnsi="宋体" w:eastAsia="宋体" w:cs="宋体"/>
                <w:b/>
                <w:sz w:val="22"/>
                <w:szCs w:val="22"/>
                <w:highlight w:val="none"/>
              </w:rPr>
              <w:t>五、</w:t>
            </w:r>
            <w:r>
              <w:rPr>
                <w:rFonts w:hint="eastAsia" w:ascii="宋体" w:hAnsi="宋体" w:eastAsia="宋体" w:cs="宋体"/>
                <w:b/>
                <w:sz w:val="22"/>
                <w:szCs w:val="22"/>
                <w:highlight w:val="none"/>
                <w:lang w:val="en-US" w:eastAsia="zh-CN"/>
              </w:rPr>
              <w:t>项目完成期限</w:t>
            </w:r>
            <w:r>
              <w:rPr>
                <w:rFonts w:hint="eastAsia" w:ascii="宋体" w:hAnsi="宋体" w:eastAsia="宋体" w:cs="宋体"/>
                <w:b/>
                <w:sz w:val="22"/>
                <w:szCs w:val="22"/>
                <w:highlight w:val="none"/>
              </w:rPr>
              <w:t>：</w:t>
            </w:r>
          </w:p>
          <w:p w14:paraId="04FA3DCC">
            <w:pPr>
              <w:pStyle w:val="30"/>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highlight w:val="none"/>
              </w:rPr>
              <w:t>2025年12月31日之前。</w:t>
            </w:r>
          </w:p>
        </w:tc>
      </w:tr>
      <w:tr w14:paraId="726B034B">
        <w:tblPrEx>
          <w:tblCellMar>
            <w:top w:w="0" w:type="dxa"/>
            <w:left w:w="108" w:type="dxa"/>
            <w:bottom w:w="0" w:type="dxa"/>
            <w:right w:w="108" w:type="dxa"/>
          </w:tblCellMar>
        </w:tblPrEx>
        <w:trPr>
          <w:trHeight w:val="440" w:hRule="atLeast"/>
        </w:trPr>
        <w:tc>
          <w:tcPr>
            <w:tcW w:w="10205" w:type="dxa"/>
            <w:gridSpan w:val="6"/>
            <w:tcBorders>
              <w:top w:val="single" w:color="auto" w:sz="4" w:space="0"/>
              <w:left w:val="single" w:color="auto" w:sz="4" w:space="0"/>
              <w:bottom w:val="single" w:color="auto" w:sz="4" w:space="0"/>
              <w:right w:val="single" w:color="auto" w:sz="4" w:space="0"/>
            </w:tcBorders>
            <w:noWrap w:val="0"/>
            <w:vAlign w:val="center"/>
          </w:tcPr>
          <w:p w14:paraId="6015745A">
            <w:pPr>
              <w:keepNext w:val="0"/>
              <w:keepLines w:val="0"/>
              <w:pageBreakBefore w:val="0"/>
              <w:widowControl/>
              <w:kinsoku/>
              <w:overflowPunct/>
              <w:topLinePunct w:val="0"/>
              <w:autoSpaceDE/>
              <w:autoSpaceDN/>
              <w:bidi w:val="0"/>
              <w:adjustRightInd/>
              <w:snapToGrid/>
              <w:spacing w:line="360" w:lineRule="auto"/>
              <w:jc w:val="left"/>
              <w:rPr>
                <w:rFonts w:hint="eastAsia" w:ascii="宋体" w:hAnsi="宋体" w:eastAsia="宋体" w:cs="宋体"/>
                <w:b/>
                <w:sz w:val="22"/>
                <w:szCs w:val="22"/>
              </w:rPr>
            </w:pPr>
            <w:r>
              <w:rPr>
                <w:rFonts w:hint="eastAsia" w:ascii="宋体" w:hAnsi="宋体" w:eastAsia="宋体" w:cs="宋体"/>
                <w:b/>
                <w:sz w:val="22"/>
                <w:szCs w:val="22"/>
              </w:rPr>
              <w:t>▲二、商务要求</w:t>
            </w:r>
          </w:p>
        </w:tc>
      </w:tr>
      <w:tr w14:paraId="3BB670D1">
        <w:tblPrEx>
          <w:tblCellMar>
            <w:top w:w="0" w:type="dxa"/>
            <w:left w:w="108" w:type="dxa"/>
            <w:bottom w:w="0" w:type="dxa"/>
            <w:right w:w="108" w:type="dxa"/>
          </w:tblCellMar>
        </w:tblPrEx>
        <w:trPr>
          <w:trHeight w:val="20" w:hRule="atLeast"/>
        </w:trPr>
        <w:tc>
          <w:tcPr>
            <w:tcW w:w="2038" w:type="dxa"/>
            <w:gridSpan w:val="3"/>
            <w:tcBorders>
              <w:top w:val="single" w:color="auto" w:sz="4" w:space="0"/>
              <w:left w:val="single" w:color="auto" w:sz="4" w:space="0"/>
              <w:bottom w:val="single" w:color="auto" w:sz="4" w:space="0"/>
              <w:right w:val="single" w:color="auto" w:sz="4" w:space="0"/>
            </w:tcBorders>
            <w:noWrap w:val="0"/>
            <w:vAlign w:val="center"/>
          </w:tcPr>
          <w:p w14:paraId="6152D2C6">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b/>
                <w:bCs/>
                <w:sz w:val="22"/>
                <w:szCs w:val="22"/>
                <w:highlight w:val="none"/>
              </w:rPr>
            </w:pPr>
            <w:r>
              <w:rPr>
                <w:rFonts w:hint="eastAsia" w:ascii="宋体" w:hAnsi="宋体" w:cs="宋体"/>
                <w:b/>
                <w:bCs/>
                <w:sz w:val="22"/>
                <w:szCs w:val="22"/>
                <w:highlight w:val="none"/>
                <w:lang w:val="en-US" w:eastAsia="zh-CN"/>
              </w:rPr>
              <w:t>项目完成期限</w:t>
            </w:r>
            <w:r>
              <w:rPr>
                <w:rFonts w:hint="eastAsia" w:ascii="宋体" w:hAnsi="宋体" w:eastAsia="宋体" w:cs="宋体"/>
                <w:b/>
                <w:bCs/>
                <w:sz w:val="22"/>
                <w:szCs w:val="22"/>
                <w:highlight w:val="none"/>
              </w:rPr>
              <w:t>及地点</w:t>
            </w:r>
          </w:p>
        </w:tc>
        <w:tc>
          <w:tcPr>
            <w:tcW w:w="8167" w:type="dxa"/>
            <w:gridSpan w:val="3"/>
            <w:tcBorders>
              <w:top w:val="single" w:color="auto" w:sz="4" w:space="0"/>
              <w:left w:val="single" w:color="auto" w:sz="4" w:space="0"/>
              <w:bottom w:val="single" w:color="auto" w:sz="4" w:space="0"/>
              <w:right w:val="single" w:color="auto" w:sz="4" w:space="0"/>
            </w:tcBorders>
            <w:noWrap w:val="0"/>
            <w:vAlign w:val="center"/>
          </w:tcPr>
          <w:p w14:paraId="787DB79A">
            <w:pPr>
              <w:keepNext w:val="0"/>
              <w:keepLines w:val="0"/>
              <w:pageBreakBefore w:val="0"/>
              <w:kinsoku/>
              <w:overflowPunct/>
              <w:topLinePunct w:val="0"/>
              <w:autoSpaceDE/>
              <w:autoSpaceDN/>
              <w:bidi w:val="0"/>
              <w:adjustRightInd/>
              <w:snapToGrid/>
              <w:spacing w:line="360" w:lineRule="auto"/>
              <w:rPr>
                <w:rFonts w:hint="eastAsia" w:ascii="宋体" w:hAnsi="宋体" w:eastAsia="宋体" w:cs="宋体"/>
                <w:sz w:val="22"/>
                <w:szCs w:val="22"/>
                <w:highlight w:val="none"/>
                <w:lang w:eastAsia="zh-CN"/>
              </w:rPr>
            </w:pPr>
            <w:r>
              <w:rPr>
                <w:rFonts w:hint="eastAsia" w:ascii="宋体" w:hAnsi="宋体" w:cs="宋体"/>
                <w:b/>
                <w:bCs/>
                <w:sz w:val="22"/>
                <w:szCs w:val="22"/>
                <w:highlight w:val="none"/>
                <w:lang w:val="en-US" w:eastAsia="zh-CN"/>
              </w:rPr>
              <w:t>项目完成期限</w:t>
            </w:r>
            <w:r>
              <w:rPr>
                <w:rFonts w:hint="eastAsia" w:ascii="宋体" w:hAnsi="宋体" w:eastAsia="宋体" w:cs="宋体"/>
                <w:b/>
                <w:sz w:val="22"/>
                <w:szCs w:val="22"/>
                <w:highlight w:val="none"/>
              </w:rPr>
              <w:t>：</w:t>
            </w:r>
            <w:r>
              <w:rPr>
                <w:rFonts w:hint="eastAsia" w:ascii="宋体" w:hAnsi="宋体" w:eastAsia="宋体" w:cs="宋体"/>
                <w:b w:val="0"/>
                <w:bCs/>
                <w:sz w:val="22"/>
                <w:szCs w:val="22"/>
                <w:highlight w:val="none"/>
              </w:rPr>
              <w:t>2025年12月31日之前</w:t>
            </w:r>
            <w:r>
              <w:rPr>
                <w:rFonts w:hint="eastAsia" w:ascii="宋体" w:hAnsi="宋体" w:cs="宋体"/>
                <w:b w:val="0"/>
                <w:bCs/>
                <w:sz w:val="22"/>
                <w:szCs w:val="22"/>
                <w:highlight w:val="none"/>
                <w:lang w:eastAsia="zh-CN"/>
              </w:rPr>
              <w:t>。</w:t>
            </w:r>
          </w:p>
          <w:p w14:paraId="0A97EC41">
            <w:pPr>
              <w:keepNext w:val="0"/>
              <w:keepLines w:val="0"/>
              <w:pageBreakBefore w:val="0"/>
              <w:kinsoku/>
              <w:overflowPunct/>
              <w:topLinePunct w:val="0"/>
              <w:autoSpaceDE/>
              <w:autoSpaceDN/>
              <w:bidi w:val="0"/>
              <w:adjustRightInd/>
              <w:snapToGrid/>
              <w:spacing w:line="360" w:lineRule="auto"/>
              <w:rPr>
                <w:rFonts w:hint="eastAsia" w:ascii="宋体" w:hAnsi="宋体" w:eastAsia="宋体" w:cs="宋体"/>
                <w:sz w:val="22"/>
                <w:szCs w:val="22"/>
                <w:highlight w:val="none"/>
              </w:rPr>
            </w:pPr>
            <w:r>
              <w:rPr>
                <w:rFonts w:hint="eastAsia" w:ascii="宋体" w:hAnsi="宋体" w:eastAsia="宋体" w:cs="宋体"/>
                <w:b/>
                <w:sz w:val="22"/>
                <w:szCs w:val="22"/>
                <w:highlight w:val="none"/>
              </w:rPr>
              <w:t>交付地点：</w:t>
            </w:r>
            <w:r>
              <w:rPr>
                <w:rFonts w:hint="eastAsia" w:ascii="宋体" w:hAnsi="宋体" w:eastAsia="宋体" w:cs="宋体"/>
                <w:spacing w:val="-4"/>
                <w:sz w:val="22"/>
                <w:szCs w:val="22"/>
                <w:highlight w:val="none"/>
                <w:lang w:val="zh-CN"/>
              </w:rPr>
              <w:t>采购人指定地点</w:t>
            </w:r>
            <w:r>
              <w:rPr>
                <w:rFonts w:hint="eastAsia" w:ascii="宋体" w:hAnsi="宋体" w:eastAsia="宋体" w:cs="宋体"/>
                <w:spacing w:val="-4"/>
                <w:sz w:val="22"/>
                <w:szCs w:val="22"/>
                <w:highlight w:val="none"/>
              </w:rPr>
              <w:t>。</w:t>
            </w:r>
          </w:p>
        </w:tc>
      </w:tr>
      <w:tr w14:paraId="04498FA9">
        <w:tblPrEx>
          <w:tblCellMar>
            <w:top w:w="0" w:type="dxa"/>
            <w:left w:w="108" w:type="dxa"/>
            <w:bottom w:w="0" w:type="dxa"/>
            <w:right w:w="108" w:type="dxa"/>
          </w:tblCellMar>
        </w:tblPrEx>
        <w:trPr>
          <w:trHeight w:val="20" w:hRule="atLeast"/>
        </w:trPr>
        <w:tc>
          <w:tcPr>
            <w:tcW w:w="2038" w:type="dxa"/>
            <w:gridSpan w:val="3"/>
            <w:tcBorders>
              <w:top w:val="single" w:color="auto" w:sz="4" w:space="0"/>
              <w:left w:val="single" w:color="auto" w:sz="4" w:space="0"/>
              <w:bottom w:val="single" w:color="auto" w:sz="4" w:space="0"/>
              <w:right w:val="single" w:color="auto" w:sz="4" w:space="0"/>
            </w:tcBorders>
            <w:noWrap w:val="0"/>
            <w:vAlign w:val="center"/>
          </w:tcPr>
          <w:p w14:paraId="06EE13AD">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付款方式</w:t>
            </w:r>
          </w:p>
        </w:tc>
        <w:tc>
          <w:tcPr>
            <w:tcW w:w="8167" w:type="dxa"/>
            <w:gridSpan w:val="3"/>
            <w:tcBorders>
              <w:top w:val="single" w:color="auto" w:sz="4" w:space="0"/>
              <w:left w:val="single" w:color="auto" w:sz="4" w:space="0"/>
              <w:bottom w:val="single" w:color="auto" w:sz="4" w:space="0"/>
              <w:right w:val="single" w:color="auto" w:sz="4" w:space="0"/>
            </w:tcBorders>
            <w:noWrap w:val="0"/>
            <w:vAlign w:val="center"/>
          </w:tcPr>
          <w:p w14:paraId="7C4721EE">
            <w:pPr>
              <w:keepNext w:val="0"/>
              <w:keepLines w:val="0"/>
              <w:pageBreakBefore w:val="0"/>
              <w:widowControl/>
              <w:kinsoku/>
              <w:overflowPunct/>
              <w:topLinePunct w:val="0"/>
              <w:autoSpaceDE/>
              <w:autoSpaceDN/>
              <w:bidi w:val="0"/>
              <w:adjustRightInd/>
              <w:snapToGrid/>
              <w:spacing w:line="360" w:lineRule="auto"/>
              <w:rPr>
                <w:rFonts w:hint="eastAsia" w:ascii="宋体" w:hAnsi="宋体" w:eastAsia="宋体" w:cs="宋体"/>
                <w:color w:val="auto"/>
                <w:spacing w:val="-4"/>
                <w:sz w:val="22"/>
                <w:szCs w:val="22"/>
                <w:lang w:val="zh-CN"/>
              </w:rPr>
            </w:pPr>
            <w:r>
              <w:rPr>
                <w:rFonts w:hint="eastAsia" w:ascii="宋体" w:hAnsi="宋体" w:eastAsia="宋体" w:cs="宋体"/>
                <w:color w:val="auto"/>
                <w:spacing w:val="-4"/>
                <w:sz w:val="22"/>
                <w:szCs w:val="22"/>
                <w:lang w:val="zh-CN"/>
              </w:rPr>
              <w:t>（1）合同签订后，</w:t>
            </w:r>
            <w:r>
              <w:rPr>
                <w:rFonts w:hint="eastAsia" w:ascii="宋体" w:hAnsi="宋体" w:cs="宋体"/>
                <w:color w:val="auto"/>
                <w:spacing w:val="-4"/>
                <w:sz w:val="22"/>
                <w:szCs w:val="22"/>
                <w:lang w:val="en-US" w:eastAsia="zh-CN"/>
              </w:rPr>
              <w:t>采购人支付合同金额的30%给成交人作为预付款。</w:t>
            </w:r>
            <w:r>
              <w:rPr>
                <w:rFonts w:hint="eastAsia" w:ascii="宋体" w:hAnsi="宋体" w:eastAsia="宋体" w:cs="宋体"/>
                <w:color w:val="auto"/>
                <w:spacing w:val="-4"/>
                <w:sz w:val="22"/>
                <w:szCs w:val="22"/>
                <w:lang w:val="en-US" w:eastAsia="zh-CN"/>
              </w:rPr>
              <w:t>采购人</w:t>
            </w:r>
            <w:r>
              <w:rPr>
                <w:rFonts w:hint="eastAsia" w:ascii="宋体" w:hAnsi="宋体" w:eastAsia="宋体" w:cs="宋体"/>
                <w:color w:val="auto"/>
                <w:spacing w:val="-4"/>
                <w:sz w:val="22"/>
                <w:szCs w:val="22"/>
                <w:lang w:val="zh-CN"/>
              </w:rPr>
              <w:t>视工作开展情况及资金到位情况，向</w:t>
            </w:r>
            <w:r>
              <w:rPr>
                <w:rFonts w:hint="eastAsia" w:ascii="宋体" w:hAnsi="宋体" w:eastAsia="宋体" w:cs="宋体"/>
                <w:color w:val="auto"/>
                <w:spacing w:val="-4"/>
                <w:sz w:val="22"/>
                <w:szCs w:val="22"/>
                <w:lang w:val="en-US" w:eastAsia="zh-CN"/>
              </w:rPr>
              <w:t>成交人</w:t>
            </w:r>
            <w:r>
              <w:rPr>
                <w:rFonts w:hint="eastAsia" w:ascii="宋体" w:hAnsi="宋体" w:eastAsia="宋体" w:cs="宋体"/>
                <w:color w:val="auto"/>
                <w:spacing w:val="-4"/>
                <w:sz w:val="22"/>
                <w:szCs w:val="22"/>
                <w:lang w:val="zh-CN"/>
              </w:rPr>
              <w:t>支付合同进度款，不超过合同金额的</w:t>
            </w:r>
            <w:r>
              <w:rPr>
                <w:rFonts w:hint="eastAsia" w:ascii="宋体" w:hAnsi="宋体" w:eastAsia="宋体" w:cs="宋体"/>
                <w:color w:val="auto"/>
                <w:spacing w:val="-4"/>
                <w:sz w:val="22"/>
                <w:szCs w:val="22"/>
              </w:rPr>
              <w:t>8</w:t>
            </w:r>
            <w:r>
              <w:rPr>
                <w:rFonts w:hint="eastAsia" w:ascii="宋体" w:hAnsi="宋体" w:eastAsia="宋体" w:cs="宋体"/>
                <w:color w:val="auto"/>
                <w:spacing w:val="-4"/>
                <w:sz w:val="22"/>
                <w:szCs w:val="22"/>
                <w:lang w:val="zh-CN"/>
              </w:rPr>
              <w:t>0%。</w:t>
            </w:r>
          </w:p>
          <w:p w14:paraId="0943A21C">
            <w:pPr>
              <w:keepNext w:val="0"/>
              <w:keepLines w:val="0"/>
              <w:pageBreakBefore w:val="0"/>
              <w:widowControl/>
              <w:kinsoku/>
              <w:overflowPunct/>
              <w:topLinePunct w:val="0"/>
              <w:autoSpaceDE/>
              <w:autoSpaceDN/>
              <w:bidi w:val="0"/>
              <w:adjustRightInd/>
              <w:snapToGrid/>
              <w:spacing w:line="360" w:lineRule="auto"/>
              <w:rPr>
                <w:rFonts w:hint="eastAsia" w:ascii="宋体" w:hAnsi="宋体" w:eastAsia="宋体" w:cs="宋体"/>
                <w:color w:val="auto"/>
                <w:spacing w:val="-4"/>
                <w:sz w:val="22"/>
                <w:szCs w:val="22"/>
                <w:lang w:val="zh-CN"/>
              </w:rPr>
            </w:pPr>
            <w:r>
              <w:rPr>
                <w:rFonts w:hint="eastAsia" w:ascii="宋体" w:hAnsi="宋体" w:eastAsia="宋体" w:cs="宋体"/>
                <w:color w:val="auto"/>
                <w:spacing w:val="-4"/>
                <w:sz w:val="22"/>
                <w:szCs w:val="22"/>
                <w:lang w:val="zh-CN"/>
              </w:rPr>
              <w:t>（2）完成合同履约验收后并通过柳州市财政评审中心或</w:t>
            </w:r>
            <w:r>
              <w:rPr>
                <w:rFonts w:hint="eastAsia" w:ascii="宋体" w:hAnsi="宋体" w:eastAsia="宋体" w:cs="宋体"/>
                <w:color w:val="auto"/>
                <w:spacing w:val="-4"/>
                <w:sz w:val="22"/>
                <w:szCs w:val="22"/>
                <w:lang w:val="en-US" w:eastAsia="zh-CN"/>
              </w:rPr>
              <w:t>采购人</w:t>
            </w:r>
            <w:r>
              <w:rPr>
                <w:rFonts w:hint="eastAsia" w:ascii="宋体" w:hAnsi="宋体" w:eastAsia="宋体" w:cs="宋体"/>
                <w:color w:val="auto"/>
                <w:spacing w:val="-4"/>
                <w:sz w:val="22"/>
                <w:szCs w:val="22"/>
                <w:lang w:val="zh-CN"/>
              </w:rPr>
              <w:t>结算审核后，</w:t>
            </w:r>
            <w:r>
              <w:rPr>
                <w:rFonts w:hint="eastAsia" w:ascii="宋体" w:hAnsi="宋体" w:eastAsia="宋体" w:cs="宋体"/>
                <w:color w:val="auto"/>
                <w:spacing w:val="-4"/>
                <w:sz w:val="22"/>
                <w:szCs w:val="22"/>
                <w:lang w:val="en-US" w:eastAsia="zh-CN"/>
              </w:rPr>
              <w:t>采购人</w:t>
            </w:r>
            <w:r>
              <w:rPr>
                <w:rFonts w:hint="eastAsia" w:ascii="宋体" w:hAnsi="宋体" w:eastAsia="宋体" w:cs="宋体"/>
                <w:color w:val="auto"/>
                <w:spacing w:val="-4"/>
                <w:sz w:val="22"/>
                <w:szCs w:val="22"/>
                <w:lang w:val="zh-CN"/>
              </w:rPr>
              <w:t>向</w:t>
            </w:r>
            <w:r>
              <w:rPr>
                <w:rFonts w:hint="eastAsia" w:ascii="宋体" w:hAnsi="宋体" w:eastAsia="宋体" w:cs="宋体"/>
                <w:color w:val="auto"/>
                <w:spacing w:val="-4"/>
                <w:sz w:val="22"/>
                <w:szCs w:val="22"/>
                <w:lang w:val="en-US" w:eastAsia="zh-CN"/>
              </w:rPr>
              <w:t>成交人</w:t>
            </w:r>
            <w:r>
              <w:rPr>
                <w:rFonts w:hint="eastAsia" w:ascii="宋体" w:hAnsi="宋体" w:eastAsia="宋体" w:cs="宋体"/>
                <w:color w:val="auto"/>
                <w:spacing w:val="-4"/>
                <w:sz w:val="22"/>
                <w:szCs w:val="22"/>
                <w:lang w:val="zh-CN"/>
              </w:rPr>
              <w:t>支付剩余合同结算价款。</w:t>
            </w:r>
          </w:p>
        </w:tc>
      </w:tr>
      <w:tr w14:paraId="7BCD1A86">
        <w:tblPrEx>
          <w:tblCellMar>
            <w:top w:w="0" w:type="dxa"/>
            <w:left w:w="108" w:type="dxa"/>
            <w:bottom w:w="0" w:type="dxa"/>
            <w:right w:w="108" w:type="dxa"/>
          </w:tblCellMar>
        </w:tblPrEx>
        <w:trPr>
          <w:trHeight w:val="1735" w:hRule="atLeast"/>
        </w:trPr>
        <w:tc>
          <w:tcPr>
            <w:tcW w:w="2038" w:type="dxa"/>
            <w:gridSpan w:val="3"/>
            <w:tcBorders>
              <w:top w:val="single" w:color="auto" w:sz="4" w:space="0"/>
              <w:left w:val="single" w:color="auto" w:sz="4" w:space="0"/>
              <w:bottom w:val="single" w:color="auto" w:sz="4" w:space="0"/>
              <w:right w:val="single" w:color="auto" w:sz="4" w:space="0"/>
            </w:tcBorders>
            <w:noWrap w:val="0"/>
            <w:vAlign w:val="center"/>
          </w:tcPr>
          <w:p w14:paraId="49D96126">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验收标准</w:t>
            </w:r>
          </w:p>
        </w:tc>
        <w:tc>
          <w:tcPr>
            <w:tcW w:w="8167" w:type="dxa"/>
            <w:gridSpan w:val="3"/>
            <w:tcBorders>
              <w:top w:val="single" w:color="auto" w:sz="4" w:space="0"/>
              <w:left w:val="single" w:color="auto" w:sz="4" w:space="0"/>
              <w:bottom w:val="single" w:color="auto" w:sz="4" w:space="0"/>
              <w:right w:val="single" w:color="auto" w:sz="4" w:space="0"/>
            </w:tcBorders>
            <w:noWrap w:val="0"/>
            <w:vAlign w:val="center"/>
          </w:tcPr>
          <w:p w14:paraId="1261E13F">
            <w:pPr>
              <w:keepNext w:val="0"/>
              <w:keepLines w:val="0"/>
              <w:pageBreakBefore w:val="0"/>
              <w:widowControl/>
              <w:kinsoku/>
              <w:overflowPunct/>
              <w:topLinePunct w:val="0"/>
              <w:autoSpaceDE/>
              <w:autoSpaceDN/>
              <w:bidi w:val="0"/>
              <w:adjustRightInd/>
              <w:snapToGrid/>
              <w:spacing w:line="360" w:lineRule="auto"/>
              <w:rPr>
                <w:rFonts w:hint="eastAsia" w:ascii="宋体" w:hAnsi="宋体" w:eastAsia="宋体" w:cs="宋体"/>
                <w:spacing w:val="-4"/>
                <w:sz w:val="22"/>
                <w:szCs w:val="22"/>
                <w:lang w:val="zh-CN"/>
              </w:rPr>
            </w:pPr>
            <w:r>
              <w:rPr>
                <w:rFonts w:hint="eastAsia" w:ascii="宋体" w:hAnsi="宋体" w:eastAsia="宋体" w:cs="宋体"/>
                <w:spacing w:val="-4"/>
                <w:sz w:val="22"/>
                <w:szCs w:val="22"/>
                <w:lang w:val="zh-CN"/>
              </w:rPr>
              <w:t>(1)工程质量必须符合国家或专业的质量检验评定规范标准，满足国家相关规程规范要求并通过验收。</w:t>
            </w:r>
          </w:p>
          <w:p w14:paraId="0AE74B1B">
            <w:pPr>
              <w:keepNext w:val="0"/>
              <w:keepLines w:val="0"/>
              <w:pageBreakBefore w:val="0"/>
              <w:widowControl/>
              <w:kinsoku/>
              <w:overflowPunct/>
              <w:topLinePunct w:val="0"/>
              <w:autoSpaceDE/>
              <w:autoSpaceDN/>
              <w:bidi w:val="0"/>
              <w:adjustRightInd/>
              <w:snapToGrid/>
              <w:spacing w:line="360" w:lineRule="auto"/>
              <w:rPr>
                <w:rFonts w:hint="eastAsia" w:ascii="宋体" w:hAnsi="宋体" w:eastAsia="宋体" w:cs="宋体"/>
                <w:sz w:val="22"/>
                <w:szCs w:val="22"/>
                <w:lang w:val="zh-CN"/>
              </w:rPr>
            </w:pPr>
            <w:r>
              <w:rPr>
                <w:rFonts w:hint="eastAsia" w:ascii="宋体" w:hAnsi="宋体" w:eastAsia="宋体" w:cs="宋体"/>
                <w:spacing w:val="-4"/>
                <w:sz w:val="22"/>
                <w:szCs w:val="22"/>
                <w:lang w:val="zh-CN"/>
              </w:rPr>
              <w:t>(2)</w:t>
            </w:r>
            <w:r>
              <w:rPr>
                <w:rFonts w:hint="eastAsia" w:ascii="宋体" w:hAnsi="宋体" w:eastAsia="宋体" w:cs="宋体"/>
                <w:spacing w:val="-4"/>
                <w:sz w:val="22"/>
                <w:szCs w:val="22"/>
                <w:lang w:val="en-US" w:eastAsia="zh-CN"/>
              </w:rPr>
              <w:t>成交人</w:t>
            </w:r>
            <w:r>
              <w:rPr>
                <w:rFonts w:hint="eastAsia" w:ascii="宋体" w:hAnsi="宋体" w:eastAsia="宋体" w:cs="宋体"/>
                <w:spacing w:val="-4"/>
                <w:sz w:val="22"/>
                <w:szCs w:val="22"/>
                <w:lang w:val="zh-CN"/>
              </w:rPr>
              <w:t>完成的每一处施工项目均需通过</w:t>
            </w:r>
            <w:r>
              <w:rPr>
                <w:rFonts w:hint="eastAsia" w:ascii="宋体" w:hAnsi="宋体" w:eastAsia="宋体" w:cs="宋体"/>
                <w:spacing w:val="-4"/>
                <w:sz w:val="22"/>
                <w:szCs w:val="22"/>
                <w:lang w:val="en-US" w:eastAsia="zh-CN"/>
              </w:rPr>
              <w:t>采购人</w:t>
            </w:r>
            <w:r>
              <w:rPr>
                <w:rFonts w:hint="eastAsia" w:ascii="宋体" w:hAnsi="宋体" w:eastAsia="宋体" w:cs="宋体"/>
                <w:spacing w:val="-4"/>
                <w:sz w:val="22"/>
                <w:szCs w:val="22"/>
                <w:lang w:val="zh-CN"/>
              </w:rPr>
              <w:t>负责该区域管辖的泵站人员确认后才能进行下一步施工。</w:t>
            </w:r>
          </w:p>
        </w:tc>
      </w:tr>
    </w:tbl>
    <w:p w14:paraId="0DB0A3C0">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eastAsia="宋体" w:cs="宋体"/>
          <w:color w:val="auto"/>
          <w:sz w:val="24"/>
          <w:szCs w:val="24"/>
          <w:highlight w:val="none"/>
        </w:rPr>
      </w:pPr>
    </w:p>
    <w:p w14:paraId="1E19DD40">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eastAsia="宋体" w:cs="宋体"/>
          <w:color w:val="auto"/>
          <w:sz w:val="24"/>
          <w:szCs w:val="24"/>
          <w:highlight w:val="none"/>
        </w:rPr>
      </w:pPr>
    </w:p>
    <w:p w14:paraId="62373089">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eastAsia="宋体" w:cs="宋体"/>
          <w:color w:val="auto"/>
          <w:sz w:val="24"/>
          <w:szCs w:val="24"/>
          <w:highlight w:val="none"/>
        </w:rPr>
      </w:pPr>
    </w:p>
    <w:p w14:paraId="5FB889B3">
      <w:pPr>
        <w:keepNext w:val="0"/>
        <w:keepLines w:val="0"/>
        <w:pageBreakBefore w:val="0"/>
        <w:widowControl w:val="0"/>
        <w:kinsoku/>
        <w:wordWrap/>
        <w:overflowPunct/>
        <w:topLinePunct w:val="0"/>
        <w:autoSpaceDE/>
        <w:autoSpaceDN/>
        <w:bidi w:val="0"/>
        <w:adjustRightInd/>
        <w:snapToGrid w:val="0"/>
        <w:spacing w:line="480" w:lineRule="auto"/>
        <w:ind w:firstLine="643" w:firstLineChars="200"/>
        <w:jc w:val="center"/>
        <w:textAlignment w:val="auto"/>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val="en-US" w:eastAsia="zh-CN"/>
        </w:rPr>
        <w:t>工程量清单</w:t>
      </w:r>
    </w:p>
    <w:p w14:paraId="6C1238AC">
      <w:pPr>
        <w:keepNext w:val="0"/>
        <w:keepLines w:val="0"/>
        <w:pageBreakBefore w:val="0"/>
        <w:widowControl w:val="0"/>
        <w:kinsoku/>
        <w:wordWrap/>
        <w:overflowPunct/>
        <w:topLinePunct w:val="0"/>
        <w:autoSpaceDE/>
        <w:autoSpaceDN/>
        <w:bidi w:val="0"/>
        <w:adjustRightInd/>
        <w:snapToGrid w:val="0"/>
        <w:spacing w:line="480" w:lineRule="auto"/>
        <w:ind w:firstLine="643" w:firstLineChars="200"/>
        <w:jc w:val="center"/>
        <w:textAlignment w:val="auto"/>
        <w:rPr>
          <w:rFonts w:hint="eastAsia" w:ascii="宋体" w:hAnsi="宋体" w:eastAsia="宋体" w:cs="宋体"/>
          <w:color w:val="auto"/>
          <w:sz w:val="24"/>
          <w:szCs w:val="24"/>
          <w:highlight w:val="none"/>
        </w:rPr>
      </w:pPr>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lang w:val="en-US" w:eastAsia="zh-CN"/>
        </w:rPr>
        <w:t>工程量清单格式按照</w:t>
      </w:r>
      <w:r>
        <w:rPr>
          <w:rFonts w:hint="eastAsia" w:ascii="宋体" w:hAnsi="宋体" w:eastAsia="宋体" w:cs="宋体"/>
          <w:b/>
          <w:bCs/>
          <w:color w:val="auto"/>
          <w:sz w:val="32"/>
          <w:szCs w:val="32"/>
          <w:highlight w:val="none"/>
        </w:rPr>
        <w:t>“广西政府采购云平台”网上下载</w:t>
      </w:r>
      <w:r>
        <w:rPr>
          <w:rFonts w:hint="eastAsia" w:ascii="宋体" w:hAnsi="宋体" w:cs="宋体"/>
          <w:b/>
          <w:bCs/>
          <w:color w:val="auto"/>
          <w:sz w:val="32"/>
          <w:szCs w:val="32"/>
          <w:highlight w:val="none"/>
          <w:lang w:val="en-US" w:eastAsia="zh-CN"/>
        </w:rPr>
        <w:t>内容</w:t>
      </w:r>
      <w:r>
        <w:rPr>
          <w:rFonts w:hint="eastAsia" w:ascii="宋体" w:hAnsi="宋体" w:cs="宋体"/>
          <w:b/>
          <w:bCs/>
          <w:color w:val="auto"/>
          <w:sz w:val="32"/>
          <w:szCs w:val="32"/>
          <w:highlight w:val="none"/>
          <w:lang w:eastAsia="zh-CN"/>
        </w:rPr>
        <w:t>）</w:t>
      </w:r>
    </w:p>
    <w:p w14:paraId="1D9F7312">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eastAsia="宋体" w:cs="宋体"/>
          <w:color w:val="auto"/>
          <w:sz w:val="24"/>
          <w:szCs w:val="24"/>
          <w:highlight w:val="none"/>
        </w:rPr>
      </w:pPr>
    </w:p>
    <w:p w14:paraId="23478ABF">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eastAsia="宋体" w:cs="宋体"/>
          <w:color w:val="auto"/>
          <w:sz w:val="24"/>
          <w:szCs w:val="24"/>
          <w:highlight w:val="none"/>
        </w:rPr>
      </w:pPr>
    </w:p>
    <w:p w14:paraId="0C5B3566">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eastAsia="宋体" w:cs="宋体"/>
          <w:color w:val="auto"/>
          <w:sz w:val="24"/>
          <w:szCs w:val="24"/>
          <w:highlight w:val="none"/>
        </w:rPr>
      </w:pPr>
    </w:p>
    <w:p w14:paraId="6C0C280B">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eastAsia="宋体" w:cs="宋体"/>
          <w:color w:val="auto"/>
          <w:sz w:val="24"/>
          <w:szCs w:val="24"/>
          <w:highlight w:val="none"/>
        </w:rPr>
      </w:pPr>
    </w:p>
    <w:p w14:paraId="43B62C41">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eastAsia="宋体" w:cs="宋体"/>
          <w:color w:val="auto"/>
          <w:sz w:val="24"/>
          <w:szCs w:val="24"/>
          <w:highlight w:val="none"/>
        </w:rPr>
      </w:pPr>
    </w:p>
    <w:p w14:paraId="4AC15129">
      <w:pPr>
        <w:keepNext/>
        <w:keepLines/>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bCs/>
          <w:color w:val="auto"/>
          <w:kern w:val="44"/>
          <w:sz w:val="24"/>
          <w:szCs w:val="24"/>
          <w:highlight w:val="none"/>
        </w:rPr>
      </w:pPr>
      <w:r>
        <w:rPr>
          <w:rFonts w:hint="eastAsia" w:ascii="宋体" w:hAnsi="宋体" w:eastAsia="宋体" w:cs="宋体"/>
          <w:b/>
          <w:bCs/>
          <w:color w:val="auto"/>
          <w:sz w:val="24"/>
          <w:szCs w:val="24"/>
          <w:highlight w:val="none"/>
        </w:rPr>
        <w:br w:type="page"/>
      </w:r>
      <w:bookmarkStart w:id="29" w:name="_Toc9125"/>
      <w:r>
        <w:rPr>
          <w:rFonts w:hint="eastAsia" w:ascii="宋体" w:hAnsi="宋体" w:eastAsia="宋体" w:cs="宋体"/>
          <w:b/>
          <w:color w:val="auto"/>
          <w:kern w:val="44"/>
          <w:sz w:val="32"/>
          <w:szCs w:val="32"/>
          <w:highlight w:val="none"/>
        </w:rPr>
        <w:t xml:space="preserve">第三章 </w:t>
      </w:r>
      <w:r>
        <w:rPr>
          <w:rFonts w:hint="eastAsia" w:ascii="宋体" w:hAnsi="宋体" w:cs="宋体"/>
          <w:b/>
          <w:color w:val="auto"/>
          <w:kern w:val="44"/>
          <w:sz w:val="32"/>
          <w:szCs w:val="32"/>
          <w:highlight w:val="none"/>
          <w:lang w:val="en-US" w:eastAsia="zh-CN"/>
        </w:rPr>
        <w:t xml:space="preserve"> </w:t>
      </w:r>
      <w:r>
        <w:rPr>
          <w:rFonts w:hint="eastAsia" w:ascii="宋体" w:hAnsi="宋体" w:eastAsia="宋体" w:cs="宋体"/>
          <w:b/>
          <w:color w:val="auto"/>
          <w:kern w:val="44"/>
          <w:sz w:val="32"/>
          <w:szCs w:val="32"/>
          <w:highlight w:val="none"/>
        </w:rPr>
        <w:t>供应商须知</w:t>
      </w:r>
      <w:bookmarkEnd w:id="29"/>
    </w:p>
    <w:p w14:paraId="6D90EEA9">
      <w:pPr>
        <w:keepNext/>
        <w:keepLines/>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Cs/>
          <w:color w:val="auto"/>
          <w:sz w:val="24"/>
          <w:szCs w:val="24"/>
          <w:highlight w:val="none"/>
        </w:rPr>
      </w:pPr>
      <w:bookmarkStart w:id="30" w:name="_Toc15583"/>
      <w:r>
        <w:rPr>
          <w:rFonts w:hint="eastAsia" w:ascii="宋体" w:hAnsi="宋体" w:eastAsia="宋体" w:cs="宋体"/>
          <w:b/>
          <w:bCs w:val="0"/>
          <w:color w:val="auto"/>
          <w:sz w:val="24"/>
          <w:szCs w:val="24"/>
          <w:highlight w:val="none"/>
        </w:rPr>
        <w:t>第一节 供应商须知前附表</w:t>
      </w:r>
      <w:bookmarkEnd w:id="30"/>
    </w:p>
    <w:tbl>
      <w:tblPr>
        <w:tblStyle w:val="31"/>
        <w:tblW w:w="517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3"/>
        <w:gridCol w:w="1333"/>
        <w:gridCol w:w="8027"/>
      </w:tblGrid>
      <w:tr w14:paraId="24BFE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1D48BBA2">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条款号</w:t>
            </w:r>
          </w:p>
        </w:tc>
        <w:tc>
          <w:tcPr>
            <w:tcW w:w="646" w:type="pct"/>
            <w:noWrap w:val="0"/>
            <w:vAlign w:val="center"/>
          </w:tcPr>
          <w:p w14:paraId="4D94FAD1">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条款内容</w:t>
            </w:r>
          </w:p>
        </w:tc>
        <w:tc>
          <w:tcPr>
            <w:tcW w:w="3890" w:type="pct"/>
            <w:noWrap w:val="0"/>
            <w:vAlign w:val="center"/>
          </w:tcPr>
          <w:p w14:paraId="2726104A">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具体要求</w:t>
            </w:r>
          </w:p>
        </w:tc>
      </w:tr>
      <w:tr w14:paraId="7A773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7D2B934D">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w:t>
            </w:r>
          </w:p>
        </w:tc>
        <w:tc>
          <w:tcPr>
            <w:tcW w:w="646" w:type="pct"/>
            <w:noWrap w:val="0"/>
            <w:vAlign w:val="center"/>
          </w:tcPr>
          <w:p w14:paraId="723B9439">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供应商资格条件</w:t>
            </w:r>
          </w:p>
        </w:tc>
        <w:tc>
          <w:tcPr>
            <w:tcW w:w="3890" w:type="pct"/>
            <w:noWrap w:val="0"/>
            <w:vAlign w:val="center"/>
          </w:tcPr>
          <w:p w14:paraId="2DF2D04B">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供应商资格条件要求详见公告。</w:t>
            </w:r>
          </w:p>
        </w:tc>
      </w:tr>
      <w:tr w14:paraId="0C519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19FB613B">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w:t>
            </w:r>
          </w:p>
        </w:tc>
        <w:tc>
          <w:tcPr>
            <w:tcW w:w="646" w:type="pct"/>
            <w:noWrap w:val="0"/>
            <w:vAlign w:val="center"/>
          </w:tcPr>
          <w:p w14:paraId="3E0C96CA">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是否接受联合体竞标</w:t>
            </w:r>
          </w:p>
        </w:tc>
        <w:tc>
          <w:tcPr>
            <w:tcW w:w="3890" w:type="pct"/>
            <w:noWrap w:val="0"/>
            <w:vAlign w:val="center"/>
          </w:tcPr>
          <w:p w14:paraId="33AA33A9">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否。</w:t>
            </w:r>
          </w:p>
        </w:tc>
      </w:tr>
      <w:tr w14:paraId="54A78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37885AA5">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w:t>
            </w:r>
          </w:p>
        </w:tc>
        <w:tc>
          <w:tcPr>
            <w:tcW w:w="646" w:type="pct"/>
            <w:noWrap w:val="0"/>
            <w:vAlign w:val="center"/>
          </w:tcPr>
          <w:p w14:paraId="55DF7D6D">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联合体竞标要求</w:t>
            </w:r>
          </w:p>
        </w:tc>
        <w:tc>
          <w:tcPr>
            <w:tcW w:w="3890" w:type="pct"/>
            <w:noWrap w:val="0"/>
            <w:vAlign w:val="center"/>
          </w:tcPr>
          <w:p w14:paraId="6ABD7B97">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无</w:t>
            </w:r>
          </w:p>
        </w:tc>
      </w:tr>
      <w:tr w14:paraId="67DE8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5DD16734">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w:t>
            </w:r>
          </w:p>
        </w:tc>
        <w:tc>
          <w:tcPr>
            <w:tcW w:w="646" w:type="pct"/>
            <w:noWrap w:val="0"/>
            <w:vAlign w:val="center"/>
          </w:tcPr>
          <w:p w14:paraId="63979B02">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是否允许分包</w:t>
            </w:r>
          </w:p>
        </w:tc>
        <w:tc>
          <w:tcPr>
            <w:tcW w:w="3890" w:type="pct"/>
            <w:noWrap w:val="0"/>
            <w:vAlign w:val="center"/>
          </w:tcPr>
          <w:p w14:paraId="21207E4B">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2" w:char="F052"/>
            </w:r>
            <w:r>
              <w:rPr>
                <w:rFonts w:hint="eastAsia" w:ascii="宋体" w:hAnsi="宋体" w:eastAsia="宋体" w:cs="宋体"/>
                <w:color w:val="auto"/>
                <w:sz w:val="22"/>
                <w:szCs w:val="22"/>
                <w:highlight w:val="none"/>
              </w:rPr>
              <w:t>不允许分包</w:t>
            </w:r>
          </w:p>
          <w:p w14:paraId="6878A4EB">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分包内容：</w:t>
            </w:r>
            <w:r>
              <w:rPr>
                <w:rFonts w:hint="eastAsia" w:ascii="宋体" w:hAnsi="宋体" w:eastAsia="宋体" w:cs="宋体"/>
                <w:color w:val="auto"/>
                <w:sz w:val="22"/>
                <w:szCs w:val="22"/>
                <w:highlight w:val="none"/>
                <w:u w:val="single"/>
              </w:rPr>
              <w:t xml:space="preserve">       /       。</w:t>
            </w:r>
          </w:p>
          <w:p w14:paraId="4EB3632F">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分包金额或者比例：</w:t>
            </w:r>
            <w:r>
              <w:rPr>
                <w:rFonts w:hint="eastAsia" w:ascii="宋体" w:hAnsi="宋体" w:eastAsia="宋体" w:cs="宋体"/>
                <w:color w:val="auto"/>
                <w:sz w:val="22"/>
                <w:szCs w:val="22"/>
                <w:highlight w:val="none"/>
                <w:u w:val="single"/>
              </w:rPr>
              <w:t xml:space="preserve">      /        。</w:t>
            </w:r>
          </w:p>
        </w:tc>
      </w:tr>
      <w:tr w14:paraId="01FDC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2538DAA9">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12.1.1</w:t>
            </w:r>
          </w:p>
        </w:tc>
        <w:tc>
          <w:tcPr>
            <w:tcW w:w="646" w:type="pct"/>
            <w:noWrap w:val="0"/>
            <w:vAlign w:val="center"/>
          </w:tcPr>
          <w:p w14:paraId="2E96604F">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资格证明文件组成</w:t>
            </w:r>
          </w:p>
        </w:tc>
        <w:tc>
          <w:tcPr>
            <w:tcW w:w="3890" w:type="pct"/>
            <w:noWrap w:val="0"/>
            <w:vAlign w:val="center"/>
          </w:tcPr>
          <w:p w14:paraId="0162E5F4">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1.磋商供应商有效的“主体资格证明文件”复印件（如营业执照、事业单位法人证书、执业许可证、自然人身份证等）；</w:t>
            </w:r>
            <w:r>
              <w:rPr>
                <w:rFonts w:hint="eastAsia" w:ascii="宋体" w:hAnsi="宋体" w:eastAsia="宋体" w:cs="宋体"/>
                <w:b/>
                <w:bCs/>
                <w:color w:val="auto"/>
                <w:sz w:val="22"/>
                <w:szCs w:val="22"/>
                <w:highlight w:val="none"/>
              </w:rPr>
              <w:t>（必须提供，否则响应文件按无效响应处理）</w:t>
            </w:r>
          </w:p>
          <w:p w14:paraId="1BE5DA59">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(1)供应商应具备有效的水利水电工程施工总承包叁级以上(含叁级)资质；(2)供应商具有省级或以上建设行政主管部门颁发的建筑施工企业安全生产许可证；（3）拟派项目经理须具备水利水电工程专业贰级及以上注册建造师执业资格</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rPr>
              <w:t>（必须提供，否则响应文件按无效响应处理）</w:t>
            </w:r>
          </w:p>
          <w:p w14:paraId="2346021D">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bCs/>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政府采购供应商资格信用承诺函</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格式后附</w:t>
            </w:r>
            <w:r>
              <w:rPr>
                <w:rFonts w:hint="eastAsia" w:ascii="宋体" w:hAnsi="宋体" w:cs="宋体"/>
                <w:color w:val="auto"/>
                <w:sz w:val="22"/>
                <w:szCs w:val="22"/>
                <w:highlight w:val="none"/>
                <w:lang w:eastAsia="zh-CN"/>
              </w:rPr>
              <w:t>）；</w:t>
            </w:r>
            <w:r>
              <w:rPr>
                <w:rFonts w:hint="eastAsia" w:ascii="宋体" w:hAnsi="宋体" w:eastAsia="宋体" w:cs="宋体"/>
                <w:b/>
                <w:bCs/>
                <w:color w:val="auto"/>
                <w:sz w:val="22"/>
                <w:szCs w:val="22"/>
                <w:highlight w:val="none"/>
              </w:rPr>
              <w:t>（必须提供，否则响应文件按无效响应处理）</w:t>
            </w:r>
          </w:p>
          <w:p w14:paraId="2EF0E718">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.供应商直接控股、管理关系信息表</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格式后附</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rPr>
              <w:t>（必须提供，否则响应文件按无效响应处理）</w:t>
            </w:r>
          </w:p>
          <w:p w14:paraId="49B6147F">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cs="宋体"/>
                <w:i w:val="0"/>
                <w:iCs w:val="0"/>
                <w:color w:val="auto"/>
                <w:sz w:val="22"/>
                <w:szCs w:val="22"/>
                <w:highlight w:val="none"/>
                <w:lang w:val="en-US" w:eastAsia="zh-CN"/>
              </w:rPr>
              <w:t>5</w:t>
            </w:r>
            <w:r>
              <w:rPr>
                <w:rFonts w:hint="eastAsia" w:ascii="宋体" w:hAnsi="宋体" w:eastAsia="宋体" w:cs="宋体"/>
                <w:i w:val="0"/>
                <w:iCs w:val="0"/>
                <w:color w:val="auto"/>
                <w:sz w:val="22"/>
                <w:szCs w:val="22"/>
                <w:highlight w:val="none"/>
                <w:lang w:val="en-US" w:eastAsia="zh-CN"/>
              </w:rPr>
              <w:t>.中小企业声明函（或残疾人福利性单位声明</w:t>
            </w:r>
            <w:r>
              <w:rPr>
                <w:rFonts w:hint="eastAsia" w:ascii="宋体" w:hAnsi="宋体" w:eastAsia="宋体" w:cs="宋体"/>
                <w:i w:val="0"/>
                <w:iCs w:val="0"/>
                <w:color w:val="auto"/>
                <w:sz w:val="22"/>
                <w:szCs w:val="22"/>
                <w:highlight w:val="none"/>
                <w:u w:val="none"/>
                <w:lang w:val="en-US" w:eastAsia="zh-CN"/>
              </w:rPr>
              <w:t>函或监狱企业证明文件）</w:t>
            </w:r>
            <w:r>
              <w:rPr>
                <w:rFonts w:hint="eastAsia" w:ascii="宋体" w:hAnsi="宋体" w:cs="宋体"/>
                <w:i w:val="0"/>
                <w:iCs w:val="0"/>
                <w:color w:val="auto"/>
                <w:sz w:val="22"/>
                <w:szCs w:val="22"/>
                <w:highlight w:val="none"/>
                <w:lang w:eastAsia="zh-CN"/>
              </w:rPr>
              <w:t>（</w:t>
            </w:r>
            <w:r>
              <w:rPr>
                <w:rFonts w:hint="eastAsia" w:ascii="宋体" w:hAnsi="宋体" w:cs="宋体"/>
                <w:i w:val="0"/>
                <w:iCs w:val="0"/>
                <w:color w:val="auto"/>
                <w:sz w:val="22"/>
                <w:szCs w:val="22"/>
                <w:highlight w:val="none"/>
                <w:lang w:val="en-US" w:eastAsia="zh-CN"/>
              </w:rPr>
              <w:t>格式后附</w:t>
            </w:r>
            <w:r>
              <w:rPr>
                <w:rFonts w:hint="eastAsia" w:ascii="宋体" w:hAnsi="宋体" w:cs="宋体"/>
                <w:i w:val="0"/>
                <w:iCs w:val="0"/>
                <w:color w:val="auto"/>
                <w:sz w:val="22"/>
                <w:szCs w:val="22"/>
                <w:highlight w:val="none"/>
                <w:lang w:eastAsia="zh-CN"/>
              </w:rPr>
              <w:t>）</w:t>
            </w:r>
            <w:r>
              <w:rPr>
                <w:rFonts w:hint="eastAsia" w:ascii="宋体" w:hAnsi="宋体" w:eastAsia="宋体" w:cs="宋体"/>
                <w:i w:val="0"/>
                <w:iCs w:val="0"/>
                <w:color w:val="auto"/>
                <w:sz w:val="22"/>
                <w:szCs w:val="22"/>
                <w:highlight w:val="none"/>
                <w:u w:val="none"/>
                <w:lang w:val="en-US" w:eastAsia="zh-CN"/>
              </w:rPr>
              <w:t>；</w:t>
            </w:r>
            <w:r>
              <w:rPr>
                <w:rFonts w:hint="eastAsia" w:ascii="宋体" w:hAnsi="宋体" w:eastAsia="宋体" w:cs="宋体"/>
                <w:b/>
                <w:bCs/>
                <w:i w:val="0"/>
                <w:iCs w:val="0"/>
                <w:color w:val="auto"/>
                <w:sz w:val="22"/>
                <w:szCs w:val="22"/>
                <w:highlight w:val="none"/>
                <w:lang w:val="en-US" w:eastAsia="zh-CN"/>
              </w:rPr>
              <w:t>（必须提供，否则作无效投标处理）</w:t>
            </w:r>
          </w:p>
          <w:p w14:paraId="59E3E221">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bCs/>
                <w:color w:val="auto"/>
                <w:sz w:val="22"/>
                <w:szCs w:val="22"/>
                <w:highlight w:val="none"/>
                <w:lang w:val="en-US" w:eastAsia="zh-CN"/>
              </w:rPr>
            </w:pP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除磋商文件规定必须提供以外，供应商认为需要提供的其他证明材料；</w:t>
            </w:r>
          </w:p>
          <w:p w14:paraId="61FAFF3D">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注：以上标明“必须提供”的材料属于复印件的扫描件的，必须加盖供应商</w:t>
            </w:r>
            <w:r>
              <w:rPr>
                <w:rFonts w:hint="eastAsia" w:ascii="宋体" w:hAnsi="宋体" w:eastAsia="宋体" w:cs="宋体"/>
                <w:b/>
                <w:color w:val="auto"/>
                <w:sz w:val="22"/>
                <w:szCs w:val="22"/>
                <w:highlight w:val="none"/>
                <w:lang w:eastAsia="zh-CN"/>
              </w:rPr>
              <w:t>公章（或电子签章）</w:t>
            </w:r>
            <w:r>
              <w:rPr>
                <w:rFonts w:hint="eastAsia" w:ascii="宋体" w:hAnsi="宋体" w:eastAsia="宋体" w:cs="宋体"/>
                <w:b/>
                <w:color w:val="auto"/>
                <w:sz w:val="22"/>
                <w:szCs w:val="22"/>
                <w:highlight w:val="none"/>
              </w:rPr>
              <w:t>，否则响应文件按无效响应处理。</w:t>
            </w:r>
          </w:p>
        </w:tc>
      </w:tr>
      <w:tr w14:paraId="6157B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vMerge w:val="restart"/>
            <w:noWrap w:val="0"/>
            <w:vAlign w:val="center"/>
          </w:tcPr>
          <w:p w14:paraId="5BF7FA55">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12.1.2</w:t>
            </w:r>
          </w:p>
        </w:tc>
        <w:tc>
          <w:tcPr>
            <w:tcW w:w="646" w:type="pct"/>
            <w:noWrap w:val="0"/>
            <w:vAlign w:val="center"/>
          </w:tcPr>
          <w:p w14:paraId="593ABA2D">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商务文件组成</w:t>
            </w:r>
          </w:p>
        </w:tc>
        <w:tc>
          <w:tcPr>
            <w:tcW w:w="3890" w:type="pct"/>
            <w:noWrap w:val="0"/>
            <w:vAlign w:val="center"/>
          </w:tcPr>
          <w:p w14:paraId="0C0EF68C">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1.无串通竞标行为的承诺函</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格式后附</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rPr>
              <w:t>（必须提供，否则响应文件按无效响应处理）</w:t>
            </w:r>
          </w:p>
          <w:p w14:paraId="1E0B7068">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2.法定代表人身份证明书及法定代表人有效身份证正反面复印件</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格式后附</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rPr>
              <w:t>除自然人竞标外</w:t>
            </w:r>
            <w:r>
              <w:rPr>
                <w:rFonts w:hint="eastAsia" w:ascii="宋体" w:hAnsi="宋体" w:eastAsia="宋体" w:cs="宋体"/>
                <w:b/>
                <w:color w:val="auto"/>
                <w:sz w:val="22"/>
                <w:szCs w:val="22"/>
                <w:highlight w:val="none"/>
              </w:rPr>
              <w:t>必须提供，否则响应文件按无效响应处理</w:t>
            </w:r>
            <w:r>
              <w:rPr>
                <w:rFonts w:hint="eastAsia" w:ascii="宋体" w:hAnsi="宋体" w:eastAsia="宋体" w:cs="宋体"/>
                <w:color w:val="auto"/>
                <w:sz w:val="22"/>
                <w:szCs w:val="22"/>
                <w:highlight w:val="none"/>
              </w:rPr>
              <w:t>）</w:t>
            </w:r>
          </w:p>
          <w:p w14:paraId="03E091E1">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3.法定代表人授权委托书及委托代理人有效身份证正反面复印件</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格式后附</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委托时必须提供，否则响应文件按无效响应处理</w:t>
            </w:r>
            <w:r>
              <w:rPr>
                <w:rFonts w:hint="eastAsia" w:ascii="宋体" w:hAnsi="宋体" w:eastAsia="宋体" w:cs="宋体"/>
                <w:color w:val="auto"/>
                <w:sz w:val="22"/>
                <w:szCs w:val="22"/>
                <w:highlight w:val="none"/>
              </w:rPr>
              <w:t>）</w:t>
            </w:r>
          </w:p>
          <w:p w14:paraId="0C511B10">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.商务条款偏离表</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格式后附</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rPr>
              <w:t>（必须提供，否则响应文件按无效响应处理）</w:t>
            </w:r>
          </w:p>
          <w:p w14:paraId="733E9091">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.竞标人情况介绍；</w:t>
            </w:r>
          </w:p>
          <w:p w14:paraId="3BC2D642">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.供应商认为需要提供的其他有关资料。</w:t>
            </w:r>
          </w:p>
          <w:p w14:paraId="5ADE3CD3">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注：1.法定代表人授权委托书必须由法定代表人及委托代理人签字，并加盖供应商公章</w:t>
            </w:r>
            <w:r>
              <w:rPr>
                <w:rFonts w:hint="eastAsia" w:ascii="宋体" w:hAnsi="宋体" w:eastAsia="宋体" w:cs="宋体"/>
                <w:b/>
                <w:color w:val="auto"/>
                <w:sz w:val="22"/>
                <w:szCs w:val="22"/>
                <w:highlight w:val="none"/>
                <w:lang w:eastAsia="zh-CN"/>
              </w:rPr>
              <w:t>（或电子签章）</w:t>
            </w:r>
            <w:r>
              <w:rPr>
                <w:rFonts w:hint="eastAsia" w:ascii="宋体" w:hAnsi="宋体" w:eastAsia="宋体" w:cs="宋体"/>
                <w:b/>
                <w:color w:val="auto"/>
                <w:sz w:val="22"/>
                <w:szCs w:val="22"/>
                <w:highlight w:val="none"/>
              </w:rPr>
              <w:t>，否则响应文件按无效响应处理。</w:t>
            </w:r>
          </w:p>
          <w:p w14:paraId="58172CDD">
            <w:pPr>
              <w:keepNext w:val="0"/>
              <w:keepLines w:val="0"/>
              <w:pageBreakBefore w:val="0"/>
              <w:widowControl w:val="0"/>
              <w:kinsoku/>
              <w:wordWrap/>
              <w:overflowPunct/>
              <w:topLinePunct w:val="0"/>
              <w:autoSpaceDE/>
              <w:autoSpaceDN/>
              <w:bidi w:val="0"/>
              <w:adjustRightInd/>
              <w:snapToGrid w:val="0"/>
              <w:spacing w:line="360" w:lineRule="auto"/>
              <w:ind w:left="0" w:firstLine="433" w:firstLineChars="196"/>
              <w:jc w:val="both"/>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2.以上标明“必须提供”的材料属于复印件的扫描件的，必须加盖供应商</w:t>
            </w:r>
            <w:r>
              <w:rPr>
                <w:rFonts w:hint="eastAsia" w:ascii="宋体" w:hAnsi="宋体" w:eastAsia="宋体" w:cs="宋体"/>
                <w:b/>
                <w:color w:val="auto"/>
                <w:sz w:val="22"/>
                <w:szCs w:val="22"/>
                <w:highlight w:val="none"/>
                <w:lang w:eastAsia="zh-CN"/>
              </w:rPr>
              <w:t>公章（或电子签章）</w:t>
            </w:r>
            <w:r>
              <w:rPr>
                <w:rFonts w:hint="eastAsia" w:ascii="宋体" w:hAnsi="宋体" w:eastAsia="宋体" w:cs="宋体"/>
                <w:b/>
                <w:color w:val="auto"/>
                <w:sz w:val="22"/>
                <w:szCs w:val="22"/>
                <w:highlight w:val="none"/>
              </w:rPr>
              <w:t>，否则响应文件按无效响应处理。</w:t>
            </w:r>
          </w:p>
        </w:tc>
      </w:tr>
      <w:tr w14:paraId="21ED3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vMerge w:val="continue"/>
            <w:noWrap w:val="0"/>
            <w:vAlign w:val="center"/>
          </w:tcPr>
          <w:p w14:paraId="199E2E0A">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p>
        </w:tc>
        <w:tc>
          <w:tcPr>
            <w:tcW w:w="646" w:type="pct"/>
            <w:noWrap w:val="0"/>
            <w:vAlign w:val="center"/>
          </w:tcPr>
          <w:p w14:paraId="1E1E3ADC">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技术文件组成</w:t>
            </w:r>
          </w:p>
        </w:tc>
        <w:tc>
          <w:tcPr>
            <w:tcW w:w="3890" w:type="pct"/>
            <w:noWrap w:val="0"/>
            <w:vAlign w:val="center"/>
          </w:tcPr>
          <w:p w14:paraId="1B6DB255">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val="en-US" w:eastAsia="zh-CN"/>
              </w:rPr>
              <w:t>技术</w:t>
            </w:r>
            <w:r>
              <w:rPr>
                <w:rFonts w:hint="eastAsia" w:ascii="宋体" w:hAnsi="宋体" w:eastAsia="宋体" w:cs="宋体"/>
                <w:color w:val="auto"/>
                <w:sz w:val="22"/>
                <w:szCs w:val="22"/>
                <w:highlight w:val="none"/>
              </w:rPr>
              <w:t>需求偏离表</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格式后附</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rPr>
              <w:t>（必须提供，否则响应文件按无效响应处理）</w:t>
            </w:r>
          </w:p>
          <w:p w14:paraId="745070E7">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2.服务方案（由竞标人</w:t>
            </w:r>
            <w:r>
              <w:rPr>
                <w:rFonts w:hint="eastAsia" w:ascii="宋体" w:hAnsi="宋体" w:cs="宋体"/>
                <w:color w:val="auto"/>
                <w:sz w:val="22"/>
                <w:szCs w:val="22"/>
                <w:highlight w:val="none"/>
                <w:lang w:val="en-US" w:eastAsia="zh-CN"/>
              </w:rPr>
              <w:t>可</w:t>
            </w:r>
            <w:r>
              <w:rPr>
                <w:rFonts w:hint="eastAsia" w:ascii="宋体" w:hAnsi="宋体" w:eastAsia="宋体" w:cs="宋体"/>
                <w:color w:val="auto"/>
                <w:sz w:val="22"/>
                <w:szCs w:val="22"/>
                <w:highlight w:val="none"/>
              </w:rPr>
              <w:t>根据</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第四章  评标方法及评分标准</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要求编制）；</w:t>
            </w:r>
          </w:p>
          <w:p w14:paraId="16191E1A">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sz w:val="22"/>
                <w:szCs w:val="22"/>
                <w:highlight w:val="none"/>
                <w:lang w:eastAsia="zh-CN"/>
              </w:rPr>
            </w:pPr>
            <w:r>
              <w:rPr>
                <w:rFonts w:hint="eastAsia" w:ascii="宋体" w:hAnsi="宋体" w:eastAsia="宋体" w:cs="宋体"/>
                <w:color w:val="auto"/>
                <w:sz w:val="22"/>
                <w:szCs w:val="22"/>
                <w:highlight w:val="none"/>
              </w:rPr>
              <w:t>3.售后服务方案；</w:t>
            </w:r>
            <w:r>
              <w:rPr>
                <w:rFonts w:hint="eastAsia" w:ascii="宋体" w:hAnsi="宋体" w:eastAsia="宋体" w:cs="宋体"/>
                <w:b/>
                <w:color w:val="auto"/>
                <w:sz w:val="22"/>
                <w:szCs w:val="22"/>
                <w:highlight w:val="none"/>
              </w:rPr>
              <w:t>（必须提供，否则作无效投标处理）</w:t>
            </w:r>
            <w:r>
              <w:rPr>
                <w:rFonts w:hint="eastAsia" w:ascii="宋体" w:hAnsi="宋体" w:eastAsia="宋体" w:cs="宋体"/>
                <w:b/>
                <w:color w:val="auto"/>
                <w:sz w:val="22"/>
                <w:szCs w:val="22"/>
                <w:highlight w:val="none"/>
                <w:lang w:eastAsia="zh-CN"/>
              </w:rPr>
              <w:t>；</w:t>
            </w:r>
          </w:p>
          <w:p w14:paraId="2A400F57">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sz w:val="22"/>
                <w:szCs w:val="22"/>
                <w:highlight w:val="none"/>
                <w:lang w:eastAsia="zh-CN"/>
              </w:rPr>
            </w:pPr>
            <w:r>
              <w:rPr>
                <w:rFonts w:hint="eastAsia" w:ascii="宋体" w:hAnsi="宋体" w:eastAsia="宋体" w:cs="宋体"/>
                <w:b w:val="0"/>
                <w:color w:val="auto"/>
                <w:sz w:val="22"/>
                <w:szCs w:val="22"/>
                <w:highlight w:val="none"/>
                <w:lang w:val="en-US" w:eastAsia="zh-CN"/>
              </w:rPr>
              <w:t>4.</w:t>
            </w:r>
            <w:r>
              <w:rPr>
                <w:rFonts w:hint="eastAsia" w:ascii="宋体" w:hAnsi="宋体" w:eastAsia="宋体" w:cs="宋体"/>
                <w:b w:val="0"/>
                <w:color w:val="auto"/>
                <w:sz w:val="22"/>
                <w:szCs w:val="22"/>
                <w:highlight w:val="none"/>
                <w:lang w:eastAsia="zh-CN"/>
              </w:rPr>
              <w:t>项目实施人员一览表；</w:t>
            </w:r>
            <w:r>
              <w:rPr>
                <w:rFonts w:hint="eastAsia" w:ascii="宋体" w:hAnsi="宋体" w:eastAsia="宋体" w:cs="宋体"/>
                <w:b/>
                <w:color w:val="auto"/>
                <w:sz w:val="22"/>
                <w:szCs w:val="22"/>
                <w:highlight w:val="none"/>
                <w:lang w:eastAsia="zh-CN"/>
              </w:rPr>
              <w:t>（必须提供，否则作无效投标处理）；</w:t>
            </w:r>
          </w:p>
          <w:p w14:paraId="58FD17B8">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5.</w:t>
            </w:r>
            <w:r>
              <w:rPr>
                <w:rFonts w:hint="eastAsia" w:ascii="宋体" w:hAnsi="宋体" w:eastAsia="宋体" w:cs="宋体"/>
                <w:b w:val="0"/>
                <w:bCs w:val="0"/>
                <w:color w:val="auto"/>
                <w:spacing w:val="0"/>
                <w:sz w:val="22"/>
                <w:szCs w:val="22"/>
                <w:highlight w:val="none"/>
                <w:lang w:val="en-US" w:eastAsia="zh-CN"/>
              </w:rPr>
              <w:t>供应商</w:t>
            </w:r>
            <w:r>
              <w:rPr>
                <w:rFonts w:hint="eastAsia" w:ascii="宋体" w:hAnsi="宋体" w:eastAsia="宋体" w:cs="宋体"/>
                <w:b w:val="0"/>
                <w:color w:val="auto"/>
                <w:sz w:val="22"/>
                <w:szCs w:val="22"/>
                <w:highlight w:val="none"/>
                <w:lang w:eastAsia="zh-CN"/>
              </w:rPr>
              <w:t>对本项目的合理化建议和改进措施；</w:t>
            </w:r>
          </w:p>
          <w:p w14:paraId="7E5E8A52">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.供应商认为需要提供的其他有关资料。</w:t>
            </w:r>
          </w:p>
          <w:p w14:paraId="248FC7A7">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注：以上标明“必须提供”的材料属于复印件的扫描件的，必须加盖供应商</w:t>
            </w:r>
            <w:r>
              <w:rPr>
                <w:rFonts w:hint="eastAsia" w:ascii="宋体" w:hAnsi="宋体" w:eastAsia="宋体" w:cs="宋体"/>
                <w:b/>
                <w:color w:val="auto"/>
                <w:sz w:val="22"/>
                <w:szCs w:val="22"/>
                <w:highlight w:val="none"/>
                <w:lang w:eastAsia="zh-CN"/>
              </w:rPr>
              <w:t>公章（或电子签章）</w:t>
            </w:r>
            <w:r>
              <w:rPr>
                <w:rFonts w:hint="eastAsia" w:ascii="宋体" w:hAnsi="宋体" w:eastAsia="宋体" w:cs="宋体"/>
                <w:b/>
                <w:color w:val="auto"/>
                <w:sz w:val="22"/>
                <w:szCs w:val="22"/>
                <w:highlight w:val="none"/>
              </w:rPr>
              <w:t>，否则响应文件按无效响应处理。</w:t>
            </w:r>
          </w:p>
        </w:tc>
      </w:tr>
      <w:tr w14:paraId="437F4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4656EF47">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12.1.2</w:t>
            </w:r>
          </w:p>
        </w:tc>
        <w:tc>
          <w:tcPr>
            <w:tcW w:w="646" w:type="pct"/>
            <w:noWrap w:val="0"/>
            <w:vAlign w:val="center"/>
          </w:tcPr>
          <w:p w14:paraId="23F6C064">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报价文件组成</w:t>
            </w:r>
          </w:p>
        </w:tc>
        <w:tc>
          <w:tcPr>
            <w:tcW w:w="3890" w:type="pct"/>
            <w:noWrap w:val="0"/>
            <w:vAlign w:val="center"/>
          </w:tcPr>
          <w:p w14:paraId="4FF4C66A">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1.响应函</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格式后附</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rPr>
              <w:t>（必须提供，否则响应文件按无效响应处理）</w:t>
            </w:r>
          </w:p>
          <w:p w14:paraId="1D9B4765">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default" w:ascii="宋体" w:hAnsi="宋体" w:cs="宋体"/>
                <w:color w:val="auto"/>
                <w:sz w:val="22"/>
                <w:szCs w:val="22"/>
                <w:highlight w:val="none"/>
                <w:lang w:val="en-US" w:eastAsia="zh-CN"/>
              </w:rPr>
            </w:pPr>
            <w:r>
              <w:rPr>
                <w:rFonts w:hint="eastAsia" w:ascii="宋体" w:hAnsi="宋体" w:eastAsia="宋体" w:cs="宋体"/>
                <w:color w:val="auto"/>
                <w:sz w:val="22"/>
                <w:szCs w:val="22"/>
                <w:highlight w:val="none"/>
              </w:rPr>
              <w:t>2.响应报价表</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格式后附</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rPr>
              <w:t>（必须提供，否则响应文件按无效响应处理）</w:t>
            </w:r>
          </w:p>
          <w:p w14:paraId="44E87039">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3.已标价的工程量清单；</w:t>
            </w:r>
            <w:r>
              <w:rPr>
                <w:rFonts w:hint="eastAsia" w:ascii="宋体" w:hAnsi="宋体" w:cs="宋体"/>
                <w:b/>
                <w:bCs/>
                <w:color w:val="auto"/>
                <w:sz w:val="22"/>
                <w:szCs w:val="22"/>
                <w:highlight w:val="none"/>
                <w:lang w:val="en-US" w:eastAsia="zh-CN"/>
              </w:rPr>
              <w:t>(必须提供，否则响应文件按无效响应处理)</w:t>
            </w:r>
          </w:p>
          <w:p w14:paraId="4254A894">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.供应商针对报价需要说明的其他文件和说明。</w:t>
            </w:r>
          </w:p>
          <w:p w14:paraId="56C8E4BA">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注：以上标明“必须提供”的材料属于复印件的扫描件的，必须加盖供应商</w:t>
            </w:r>
            <w:r>
              <w:rPr>
                <w:rFonts w:hint="eastAsia" w:ascii="宋体" w:hAnsi="宋体" w:eastAsia="宋体" w:cs="宋体"/>
                <w:b/>
                <w:color w:val="auto"/>
                <w:sz w:val="22"/>
                <w:szCs w:val="22"/>
                <w:highlight w:val="none"/>
                <w:lang w:eastAsia="zh-CN"/>
              </w:rPr>
              <w:t>公章（或电子签章）</w:t>
            </w:r>
            <w:r>
              <w:rPr>
                <w:rFonts w:hint="eastAsia" w:ascii="宋体" w:hAnsi="宋体" w:eastAsia="宋体" w:cs="宋体"/>
                <w:b/>
                <w:color w:val="auto"/>
                <w:sz w:val="22"/>
                <w:szCs w:val="22"/>
                <w:highlight w:val="none"/>
              </w:rPr>
              <w:t>，否则响应文件按无效响应处理。</w:t>
            </w:r>
          </w:p>
        </w:tc>
      </w:tr>
      <w:tr w14:paraId="1DD13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62BA2431">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15.2</w:t>
            </w:r>
          </w:p>
        </w:tc>
        <w:tc>
          <w:tcPr>
            <w:tcW w:w="646" w:type="pct"/>
            <w:noWrap w:val="0"/>
            <w:vAlign w:val="center"/>
          </w:tcPr>
          <w:p w14:paraId="14D7D486">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响应报价要求</w:t>
            </w:r>
          </w:p>
        </w:tc>
        <w:tc>
          <w:tcPr>
            <w:tcW w:w="3890" w:type="pct"/>
            <w:noWrap w:val="0"/>
            <w:vAlign w:val="center"/>
          </w:tcPr>
          <w:p w14:paraId="69C646C3">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投标报价是履行合同的最终价格，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p w14:paraId="49DD9B1A">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b/>
                <w:color w:val="auto"/>
                <w:sz w:val="22"/>
                <w:szCs w:val="22"/>
                <w:highlight w:val="none"/>
                <w:lang w:val="en-US" w:eastAsia="zh-CN"/>
              </w:rPr>
              <w:t>本采购文件</w:t>
            </w:r>
            <w:r>
              <w:rPr>
                <w:rFonts w:hint="eastAsia" w:ascii="宋体" w:hAnsi="宋体" w:eastAsia="宋体" w:cs="宋体"/>
                <w:b/>
                <w:color w:val="auto"/>
                <w:sz w:val="22"/>
                <w:szCs w:val="22"/>
                <w:highlight w:val="none"/>
              </w:rPr>
              <w:t>第二章</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采购需求</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另有约定的，从其约定</w:t>
            </w:r>
            <w:r>
              <w:rPr>
                <w:rFonts w:hint="eastAsia" w:ascii="宋体" w:hAnsi="宋体" w:eastAsia="宋体" w:cs="宋体"/>
                <w:b/>
                <w:color w:val="auto"/>
                <w:sz w:val="22"/>
                <w:szCs w:val="22"/>
                <w:highlight w:val="none"/>
                <w:lang w:eastAsia="zh-CN"/>
              </w:rPr>
              <w:t>；响应报价</w:t>
            </w:r>
            <w:r>
              <w:rPr>
                <w:rFonts w:hint="eastAsia" w:ascii="宋体" w:hAnsi="宋体" w:eastAsia="宋体" w:cs="宋体"/>
                <w:b/>
                <w:color w:val="auto"/>
                <w:sz w:val="22"/>
                <w:szCs w:val="22"/>
                <w:highlight w:val="none"/>
                <w:lang w:val="en-US" w:eastAsia="zh-CN"/>
              </w:rPr>
              <w:t>范围如有不完整，</w:t>
            </w:r>
            <w:r>
              <w:rPr>
                <w:rFonts w:hint="eastAsia" w:ascii="宋体" w:hAnsi="宋体" w:eastAsia="宋体" w:cs="宋体"/>
                <w:b/>
                <w:color w:val="auto"/>
                <w:sz w:val="22"/>
                <w:szCs w:val="22"/>
                <w:highlight w:val="none"/>
              </w:rPr>
              <w:t>响应文件按无效响应处理</w:t>
            </w:r>
            <w:r>
              <w:rPr>
                <w:rFonts w:hint="eastAsia" w:ascii="宋体" w:hAnsi="宋体" w:eastAsia="宋体" w:cs="宋体"/>
                <w:b/>
                <w:color w:val="auto"/>
                <w:sz w:val="22"/>
                <w:szCs w:val="22"/>
                <w:highlight w:val="none"/>
                <w:lang w:eastAsia="zh-CN"/>
              </w:rPr>
              <w:t>）</w:t>
            </w:r>
          </w:p>
        </w:tc>
      </w:tr>
      <w:tr w14:paraId="70C91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4F21E349">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16.2</w:t>
            </w:r>
          </w:p>
        </w:tc>
        <w:tc>
          <w:tcPr>
            <w:tcW w:w="646" w:type="pct"/>
            <w:noWrap w:val="0"/>
            <w:vAlign w:val="center"/>
          </w:tcPr>
          <w:p w14:paraId="4219F23B">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竞标有效期</w:t>
            </w:r>
          </w:p>
        </w:tc>
        <w:tc>
          <w:tcPr>
            <w:tcW w:w="3890" w:type="pct"/>
            <w:noWrap w:val="0"/>
            <w:vAlign w:val="center"/>
          </w:tcPr>
          <w:p w14:paraId="284CCFDA">
            <w:pPr>
              <w:keepNext w:val="0"/>
              <w:keepLines w:val="0"/>
              <w:pageBreakBefore w:val="0"/>
              <w:widowControl w:val="0"/>
              <w:tabs>
                <w:tab w:val="left" w:pos="720"/>
                <w:tab w:val="left" w:pos="840"/>
              </w:tabs>
              <w:kinsoku/>
              <w:wordWrap/>
              <w:overflowPunct/>
              <w:topLinePunct w:val="0"/>
              <w:autoSpaceDE/>
              <w:autoSpaceDN/>
              <w:bidi w:val="0"/>
              <w:adjustRightInd/>
              <w:snapToGrid w:val="0"/>
              <w:spacing w:line="360" w:lineRule="auto"/>
              <w:ind w:left="0" w:hanging="297" w:hangingChars="135"/>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自首次响应文件提交截止之日起</w:t>
            </w:r>
            <w:r>
              <w:rPr>
                <w:rFonts w:hint="eastAsia" w:ascii="宋体" w:hAnsi="宋体" w:eastAsia="宋体" w:cs="宋体"/>
                <w:color w:val="auto"/>
                <w:sz w:val="22"/>
                <w:szCs w:val="22"/>
                <w:highlight w:val="none"/>
                <w:u w:val="single"/>
              </w:rPr>
              <w:t xml:space="preserve"> 90 </w:t>
            </w:r>
            <w:r>
              <w:rPr>
                <w:rFonts w:hint="eastAsia" w:ascii="宋体" w:hAnsi="宋体" w:eastAsia="宋体" w:cs="宋体"/>
                <w:color w:val="auto"/>
                <w:sz w:val="22"/>
                <w:szCs w:val="22"/>
                <w:highlight w:val="none"/>
              </w:rPr>
              <w:t>日。</w:t>
            </w:r>
          </w:p>
        </w:tc>
      </w:tr>
      <w:tr w14:paraId="6C175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292F62E0">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17.1</w:t>
            </w:r>
          </w:p>
        </w:tc>
        <w:tc>
          <w:tcPr>
            <w:tcW w:w="646" w:type="pct"/>
            <w:noWrap w:val="0"/>
            <w:vAlign w:val="center"/>
          </w:tcPr>
          <w:p w14:paraId="08868633">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磋商保证金</w:t>
            </w:r>
          </w:p>
        </w:tc>
        <w:tc>
          <w:tcPr>
            <w:tcW w:w="3890" w:type="pct"/>
            <w:noWrap w:val="0"/>
            <w:vAlign w:val="center"/>
          </w:tcPr>
          <w:p w14:paraId="710A3119">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不收取</w:t>
            </w:r>
            <w:r>
              <w:rPr>
                <w:rFonts w:hint="eastAsia" w:ascii="宋体" w:hAnsi="宋体" w:eastAsia="宋体" w:cs="宋体"/>
                <w:color w:val="auto"/>
                <w:sz w:val="22"/>
                <w:szCs w:val="22"/>
                <w:highlight w:val="none"/>
                <w:lang w:val="en-US" w:eastAsia="zh-CN"/>
              </w:rPr>
              <w:t>磋商保证金</w:t>
            </w:r>
            <w:r>
              <w:rPr>
                <w:rFonts w:hint="eastAsia" w:ascii="宋体" w:hAnsi="宋体" w:eastAsia="宋体" w:cs="宋体"/>
                <w:color w:val="auto"/>
                <w:sz w:val="22"/>
                <w:szCs w:val="22"/>
                <w:highlight w:val="none"/>
              </w:rPr>
              <w:t>。</w:t>
            </w:r>
          </w:p>
        </w:tc>
      </w:tr>
      <w:tr w14:paraId="6BC25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vMerge w:val="restart"/>
            <w:noWrap w:val="0"/>
            <w:vAlign w:val="center"/>
          </w:tcPr>
          <w:p w14:paraId="02D250B4">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20.1</w:t>
            </w:r>
          </w:p>
        </w:tc>
        <w:tc>
          <w:tcPr>
            <w:tcW w:w="646" w:type="pct"/>
            <w:noWrap w:val="0"/>
            <w:vAlign w:val="center"/>
          </w:tcPr>
          <w:p w14:paraId="6D3E6225">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首次响应文件提交</w:t>
            </w:r>
            <w:r>
              <w:rPr>
                <w:rFonts w:hint="eastAsia" w:ascii="宋体" w:hAnsi="宋体" w:eastAsia="宋体" w:cs="宋体"/>
                <w:color w:val="auto"/>
                <w:sz w:val="22"/>
                <w:szCs w:val="22"/>
                <w:highlight w:val="none"/>
                <w:lang w:val="en-US" w:eastAsia="zh-CN"/>
              </w:rPr>
              <w:t>截止</w:t>
            </w:r>
            <w:r>
              <w:rPr>
                <w:rFonts w:hint="eastAsia" w:ascii="宋体" w:hAnsi="宋体" w:eastAsia="宋体" w:cs="宋体"/>
                <w:color w:val="auto"/>
                <w:sz w:val="22"/>
                <w:szCs w:val="22"/>
                <w:highlight w:val="none"/>
              </w:rPr>
              <w:t>时间</w:t>
            </w:r>
          </w:p>
        </w:tc>
        <w:tc>
          <w:tcPr>
            <w:tcW w:w="3890" w:type="pct"/>
            <w:noWrap w:val="0"/>
            <w:vAlign w:val="center"/>
          </w:tcPr>
          <w:p w14:paraId="543FDB21">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详见竞争性磋商公告。</w:t>
            </w:r>
          </w:p>
        </w:tc>
      </w:tr>
      <w:tr w14:paraId="08700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vMerge w:val="continue"/>
            <w:noWrap w:val="0"/>
            <w:vAlign w:val="center"/>
          </w:tcPr>
          <w:p w14:paraId="67B09738">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p>
        </w:tc>
        <w:tc>
          <w:tcPr>
            <w:tcW w:w="646" w:type="pct"/>
            <w:noWrap w:val="0"/>
            <w:vAlign w:val="center"/>
          </w:tcPr>
          <w:p w14:paraId="154D37D5">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首次响应文件提交地点</w:t>
            </w:r>
          </w:p>
        </w:tc>
        <w:tc>
          <w:tcPr>
            <w:tcW w:w="3890" w:type="pct"/>
            <w:noWrap w:val="0"/>
            <w:vAlign w:val="center"/>
          </w:tcPr>
          <w:p w14:paraId="78EF60C0">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详见竞争性磋商公告。</w:t>
            </w:r>
          </w:p>
        </w:tc>
      </w:tr>
      <w:tr w14:paraId="61A80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5AF6DE6B">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20.6</w:t>
            </w:r>
          </w:p>
        </w:tc>
        <w:tc>
          <w:tcPr>
            <w:tcW w:w="646" w:type="pct"/>
            <w:noWrap w:val="0"/>
            <w:vAlign w:val="center"/>
          </w:tcPr>
          <w:p w14:paraId="2A7C330B">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备份响应文件</w:t>
            </w:r>
          </w:p>
        </w:tc>
        <w:tc>
          <w:tcPr>
            <w:tcW w:w="3890" w:type="pct"/>
            <w:noWrap w:val="0"/>
            <w:vAlign w:val="center"/>
          </w:tcPr>
          <w:p w14:paraId="22BEECDB">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rPr>
              <w:t>供应商在在线上传加密文件后可以在开标前向代理机构提供加密副本文件（与加密文件同时生成的），当解密时间内供应商由于非人为操作导致无法解密的，可以由代理机构用备份文件进行异常处理</w:t>
            </w:r>
            <w:r>
              <w:rPr>
                <w:rFonts w:hint="eastAsia" w:ascii="宋体" w:hAnsi="宋体" w:eastAsia="宋体" w:cs="宋体"/>
                <w:color w:val="auto"/>
                <w:sz w:val="22"/>
                <w:szCs w:val="22"/>
                <w:highlight w:val="none"/>
              </w:rPr>
              <w:t>。</w:t>
            </w:r>
          </w:p>
        </w:tc>
      </w:tr>
      <w:tr w14:paraId="06691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vMerge w:val="restart"/>
            <w:noWrap w:val="0"/>
            <w:vAlign w:val="center"/>
          </w:tcPr>
          <w:p w14:paraId="7AF0791C">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26.2</w:t>
            </w:r>
          </w:p>
        </w:tc>
        <w:tc>
          <w:tcPr>
            <w:tcW w:w="646" w:type="pct"/>
            <w:noWrap w:val="0"/>
            <w:vAlign w:val="center"/>
          </w:tcPr>
          <w:p w14:paraId="7BA9BAB0">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sz w:val="22"/>
                <w:szCs w:val="22"/>
                <w:highlight w:val="none"/>
              </w:rPr>
            </w:pPr>
            <w:r>
              <w:rPr>
                <w:rFonts w:hint="eastAsia" w:ascii="宋体" w:hAnsi="宋体" w:eastAsia="宋体" w:cs="宋体"/>
                <w:b w:val="0"/>
                <w:bCs/>
                <w:color w:val="auto"/>
                <w:sz w:val="22"/>
                <w:szCs w:val="22"/>
                <w:highlight w:val="none"/>
              </w:rPr>
              <w:t>负偏离要求</w:t>
            </w:r>
          </w:p>
        </w:tc>
        <w:tc>
          <w:tcPr>
            <w:tcW w:w="3890" w:type="pct"/>
            <w:noWrap w:val="0"/>
            <w:vAlign w:val="center"/>
          </w:tcPr>
          <w:p w14:paraId="2B1F0FB7">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商务条款评审中允许负偏离的条款数为 </w:t>
            </w:r>
            <w:r>
              <w:rPr>
                <w:rFonts w:hint="eastAsia" w:ascii="宋体" w:hAnsi="宋体" w:eastAsia="宋体" w:cs="宋体"/>
                <w:b/>
                <w:color w:val="auto"/>
                <w:sz w:val="22"/>
                <w:szCs w:val="22"/>
                <w:highlight w:val="none"/>
                <w:lang w:val="en-US" w:eastAsia="zh-CN"/>
              </w:rPr>
              <w:t>0</w:t>
            </w:r>
            <w:r>
              <w:rPr>
                <w:rFonts w:hint="eastAsia" w:ascii="宋体" w:hAnsi="宋体" w:eastAsia="宋体" w:cs="宋体"/>
                <w:b/>
                <w:color w:val="auto"/>
                <w:sz w:val="22"/>
                <w:szCs w:val="22"/>
                <w:highlight w:val="none"/>
              </w:rPr>
              <w:t xml:space="preserve"> 项</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若超出，</w:t>
            </w:r>
            <w:r>
              <w:rPr>
                <w:rFonts w:hint="eastAsia" w:ascii="宋体" w:hAnsi="宋体" w:eastAsia="宋体" w:cs="宋体"/>
                <w:b/>
                <w:color w:val="auto"/>
                <w:sz w:val="22"/>
                <w:szCs w:val="22"/>
                <w:highlight w:val="none"/>
              </w:rPr>
              <w:t>作无效响应处理。</w:t>
            </w:r>
          </w:p>
          <w:p w14:paraId="30402461">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服务需求评审中允许负偏离的条款数为 </w:t>
            </w:r>
            <w:r>
              <w:rPr>
                <w:rFonts w:hint="eastAsia" w:ascii="宋体" w:hAnsi="宋体" w:cs="宋体"/>
                <w:b/>
                <w:color w:val="auto"/>
                <w:sz w:val="22"/>
                <w:szCs w:val="22"/>
                <w:highlight w:val="none"/>
                <w:lang w:val="en-US" w:eastAsia="zh-CN"/>
              </w:rPr>
              <w:t>0</w:t>
            </w:r>
            <w:r>
              <w:rPr>
                <w:rFonts w:hint="eastAsia" w:ascii="宋体" w:hAnsi="宋体" w:eastAsia="宋体" w:cs="宋体"/>
                <w:b/>
                <w:color w:val="auto"/>
                <w:sz w:val="22"/>
                <w:szCs w:val="22"/>
                <w:highlight w:val="none"/>
              </w:rPr>
              <w:t xml:space="preserve"> 项</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若超出，</w:t>
            </w:r>
            <w:r>
              <w:rPr>
                <w:rFonts w:hint="eastAsia" w:ascii="宋体" w:hAnsi="宋体" w:eastAsia="宋体" w:cs="宋体"/>
                <w:b/>
                <w:color w:val="auto"/>
                <w:sz w:val="22"/>
                <w:szCs w:val="22"/>
                <w:highlight w:val="none"/>
              </w:rPr>
              <w:t>作无效响应处理。</w:t>
            </w:r>
          </w:p>
        </w:tc>
      </w:tr>
      <w:tr w14:paraId="726CF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vMerge w:val="continue"/>
            <w:noWrap w:val="0"/>
            <w:vAlign w:val="center"/>
          </w:tcPr>
          <w:p w14:paraId="7BE2B910">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p>
        </w:tc>
        <w:tc>
          <w:tcPr>
            <w:tcW w:w="646" w:type="pct"/>
            <w:noWrap w:val="0"/>
            <w:vAlign w:val="center"/>
          </w:tcPr>
          <w:p w14:paraId="59CC62B0">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磋商的顺序</w:t>
            </w:r>
          </w:p>
        </w:tc>
        <w:tc>
          <w:tcPr>
            <w:tcW w:w="3890" w:type="pct"/>
            <w:noWrap w:val="0"/>
            <w:vAlign w:val="center"/>
          </w:tcPr>
          <w:p w14:paraId="7D862F69">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2" w:char="00A3"/>
            </w:r>
            <w:r>
              <w:rPr>
                <w:rFonts w:hint="eastAsia" w:ascii="宋体" w:hAnsi="宋体" w:eastAsia="宋体" w:cs="宋体"/>
                <w:color w:val="auto"/>
                <w:sz w:val="22"/>
                <w:szCs w:val="22"/>
                <w:highlight w:val="none"/>
              </w:rPr>
              <w:t>按照提交首次响应文件的顺序，通知磋商时，若某供应商不在通知现场时，该供应商排序到最后磋商，按照签到的顺序由其下一位供应商先参与磋商。</w:t>
            </w:r>
          </w:p>
          <w:p w14:paraId="397CAFD9">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随机排序。</w:t>
            </w:r>
          </w:p>
        </w:tc>
      </w:tr>
      <w:tr w14:paraId="75BD5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2EBFDF8B">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28</w:t>
            </w:r>
          </w:p>
        </w:tc>
        <w:tc>
          <w:tcPr>
            <w:tcW w:w="646" w:type="pct"/>
            <w:noWrap w:val="0"/>
            <w:vAlign w:val="center"/>
          </w:tcPr>
          <w:p w14:paraId="18598135">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履约保证金</w:t>
            </w:r>
          </w:p>
        </w:tc>
        <w:tc>
          <w:tcPr>
            <w:tcW w:w="3890" w:type="pct"/>
            <w:noWrap w:val="0"/>
            <w:vAlign w:val="center"/>
          </w:tcPr>
          <w:p w14:paraId="08AF4CBA">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本项目不收取履约保证金</w:t>
            </w:r>
          </w:p>
        </w:tc>
      </w:tr>
      <w:tr w14:paraId="12184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564D9DD5">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29.5</w:t>
            </w:r>
          </w:p>
        </w:tc>
        <w:tc>
          <w:tcPr>
            <w:tcW w:w="646" w:type="pct"/>
            <w:noWrap w:val="0"/>
            <w:vAlign w:val="center"/>
          </w:tcPr>
          <w:p w14:paraId="67235928">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签订电子采购合同</w:t>
            </w:r>
          </w:p>
        </w:tc>
        <w:tc>
          <w:tcPr>
            <w:tcW w:w="3890" w:type="pct"/>
            <w:noWrap w:val="0"/>
            <w:vAlign w:val="center"/>
          </w:tcPr>
          <w:p w14:paraId="5D19E2F5">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成交供应商领取电子成交通知书后，在规定的日期、时间、地点，由法定代表人或其授权代表与采购人代表签订电子采购合同。</w:t>
            </w:r>
          </w:p>
        </w:tc>
      </w:tr>
      <w:tr w14:paraId="2C4D2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vMerge w:val="restart"/>
            <w:noWrap w:val="0"/>
            <w:vAlign w:val="center"/>
          </w:tcPr>
          <w:p w14:paraId="196D5D21">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31.2</w:t>
            </w:r>
          </w:p>
        </w:tc>
        <w:tc>
          <w:tcPr>
            <w:tcW w:w="646" w:type="pct"/>
            <w:noWrap w:val="0"/>
            <w:vAlign w:val="center"/>
          </w:tcPr>
          <w:p w14:paraId="04224974">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接收质疑函方式</w:t>
            </w:r>
          </w:p>
        </w:tc>
        <w:tc>
          <w:tcPr>
            <w:tcW w:w="3890" w:type="pct"/>
            <w:noWrap w:val="0"/>
            <w:vAlign w:val="center"/>
          </w:tcPr>
          <w:p w14:paraId="1033E62C">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以书面形式</w:t>
            </w:r>
          </w:p>
        </w:tc>
      </w:tr>
      <w:tr w14:paraId="09464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vMerge w:val="continue"/>
            <w:noWrap w:val="0"/>
            <w:vAlign w:val="center"/>
          </w:tcPr>
          <w:p w14:paraId="77B14668">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p>
        </w:tc>
        <w:tc>
          <w:tcPr>
            <w:tcW w:w="646" w:type="pct"/>
            <w:noWrap w:val="0"/>
            <w:vAlign w:val="center"/>
          </w:tcPr>
          <w:p w14:paraId="14B97DCA">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质疑联系部门及联系方式</w:t>
            </w:r>
          </w:p>
        </w:tc>
        <w:tc>
          <w:tcPr>
            <w:tcW w:w="3890" w:type="pct"/>
            <w:noWrap w:val="0"/>
            <w:vAlign w:val="center"/>
          </w:tcPr>
          <w:p w14:paraId="3FB2BFC7">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lang w:eastAsia="zh-CN"/>
              </w:rPr>
              <w:t>广西景钲工程咨询有限公司</w:t>
            </w:r>
          </w:p>
          <w:p w14:paraId="15BD91AC">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联系电话：</w:t>
            </w:r>
            <w:r>
              <w:rPr>
                <w:rFonts w:hint="eastAsia" w:ascii="宋体" w:hAnsi="宋体" w:eastAsia="宋体" w:cs="宋体"/>
                <w:color w:val="auto"/>
                <w:sz w:val="22"/>
                <w:szCs w:val="22"/>
                <w:highlight w:val="none"/>
                <w:u w:val="none"/>
                <w:lang w:eastAsia="zh-CN"/>
              </w:rPr>
              <w:t>0772-3601166</w:t>
            </w:r>
          </w:p>
          <w:p w14:paraId="2D6DD124">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none"/>
              </w:rPr>
              <w:t>通讯地址：</w:t>
            </w:r>
            <w:r>
              <w:rPr>
                <w:rFonts w:hint="eastAsia" w:ascii="宋体" w:hAnsi="宋体" w:cs="宋体"/>
                <w:color w:val="auto"/>
                <w:sz w:val="22"/>
                <w:szCs w:val="22"/>
                <w:highlight w:val="none"/>
                <w:u w:val="none"/>
                <w:lang w:eastAsia="zh-CN"/>
              </w:rPr>
              <w:t>柳州市静兰路东一巷19号静兰小区综合楼202室</w:t>
            </w:r>
          </w:p>
        </w:tc>
      </w:tr>
      <w:tr w14:paraId="1D0A1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vMerge w:val="continue"/>
            <w:noWrap w:val="0"/>
            <w:vAlign w:val="center"/>
          </w:tcPr>
          <w:p w14:paraId="29FBBFAF">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p>
        </w:tc>
        <w:tc>
          <w:tcPr>
            <w:tcW w:w="646" w:type="pct"/>
            <w:noWrap w:val="0"/>
            <w:vAlign w:val="center"/>
          </w:tcPr>
          <w:p w14:paraId="20F95B0C">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现场提交质疑办理业务时间</w:t>
            </w:r>
          </w:p>
        </w:tc>
        <w:tc>
          <w:tcPr>
            <w:tcW w:w="3890" w:type="pct"/>
            <w:noWrap w:val="0"/>
            <w:vAlign w:val="center"/>
          </w:tcPr>
          <w:p w14:paraId="6F14E490">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质疑期内每个工作日</w:t>
            </w:r>
            <w:r>
              <w:rPr>
                <w:rFonts w:hint="eastAsia" w:ascii="宋体" w:hAnsi="宋体" w:eastAsia="宋体" w:cs="宋体"/>
                <w:color w:val="auto"/>
                <w:sz w:val="22"/>
                <w:szCs w:val="22"/>
                <w:highlight w:val="none"/>
                <w:u w:val="single"/>
              </w:rPr>
              <w:t>0</w:t>
            </w:r>
            <w:r>
              <w:rPr>
                <w:rFonts w:hint="eastAsia" w:ascii="宋体" w:hAnsi="宋体" w:eastAsia="宋体" w:cs="宋体"/>
                <w:color w:val="auto"/>
                <w:sz w:val="22"/>
                <w:szCs w:val="22"/>
                <w:highlight w:val="none"/>
                <w:u w:val="single"/>
                <w:lang w:val="en-US" w:eastAsia="zh-CN"/>
              </w:rPr>
              <w:t>9</w:t>
            </w:r>
            <w:r>
              <w:rPr>
                <w:rFonts w:hint="eastAsia" w:ascii="宋体" w:hAnsi="宋体" w:eastAsia="宋体" w:cs="宋体"/>
                <w:color w:val="auto"/>
                <w:sz w:val="22"/>
                <w:szCs w:val="22"/>
                <w:highlight w:val="none"/>
              </w:rPr>
              <w:t>时</w:t>
            </w:r>
            <w:r>
              <w:rPr>
                <w:rFonts w:hint="eastAsia" w:ascii="宋体" w:hAnsi="宋体" w:eastAsia="宋体" w:cs="宋体"/>
                <w:color w:val="auto"/>
                <w:sz w:val="22"/>
                <w:szCs w:val="22"/>
                <w:highlight w:val="none"/>
                <w:u w:val="single"/>
              </w:rPr>
              <w:t>00</w:t>
            </w:r>
            <w:r>
              <w:rPr>
                <w:rFonts w:hint="eastAsia" w:ascii="宋体" w:hAnsi="宋体" w:eastAsia="宋体" w:cs="宋体"/>
                <w:color w:val="auto"/>
                <w:sz w:val="22"/>
                <w:szCs w:val="22"/>
                <w:highlight w:val="none"/>
              </w:rPr>
              <w:t>分到</w:t>
            </w:r>
            <w:r>
              <w:rPr>
                <w:rFonts w:hint="eastAsia" w:ascii="宋体" w:hAnsi="宋体" w:eastAsia="宋体" w:cs="宋体"/>
                <w:color w:val="auto"/>
                <w:sz w:val="22"/>
                <w:szCs w:val="22"/>
                <w:highlight w:val="none"/>
                <w:u w:val="single"/>
              </w:rPr>
              <w:t>12</w:t>
            </w:r>
            <w:r>
              <w:rPr>
                <w:rFonts w:hint="eastAsia" w:ascii="宋体" w:hAnsi="宋体" w:eastAsia="宋体" w:cs="宋体"/>
                <w:color w:val="auto"/>
                <w:sz w:val="22"/>
                <w:szCs w:val="22"/>
                <w:highlight w:val="none"/>
              </w:rPr>
              <w:t>时</w:t>
            </w:r>
            <w:r>
              <w:rPr>
                <w:rFonts w:hint="eastAsia" w:ascii="宋体" w:hAnsi="宋体" w:eastAsia="宋体" w:cs="宋体"/>
                <w:color w:val="auto"/>
                <w:sz w:val="22"/>
                <w:szCs w:val="22"/>
                <w:highlight w:val="none"/>
                <w:u w:val="single"/>
              </w:rPr>
              <w:t>00</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u w:val="single"/>
              </w:rPr>
              <w:t>15</w:t>
            </w:r>
            <w:r>
              <w:rPr>
                <w:rFonts w:hint="eastAsia" w:ascii="宋体" w:hAnsi="宋体" w:eastAsia="宋体" w:cs="宋体"/>
                <w:color w:val="auto"/>
                <w:sz w:val="22"/>
                <w:szCs w:val="22"/>
                <w:highlight w:val="none"/>
              </w:rPr>
              <w:t>时</w:t>
            </w:r>
            <w:r>
              <w:rPr>
                <w:rFonts w:hint="eastAsia" w:ascii="宋体" w:hAnsi="宋体" w:eastAsia="宋体" w:cs="宋体"/>
                <w:color w:val="auto"/>
                <w:sz w:val="22"/>
                <w:szCs w:val="22"/>
                <w:highlight w:val="none"/>
                <w:u w:val="single"/>
              </w:rPr>
              <w:t>00</w:t>
            </w:r>
            <w:r>
              <w:rPr>
                <w:rFonts w:hint="eastAsia" w:ascii="宋体" w:hAnsi="宋体" w:eastAsia="宋体" w:cs="宋体"/>
                <w:color w:val="auto"/>
                <w:sz w:val="22"/>
                <w:szCs w:val="22"/>
                <w:highlight w:val="none"/>
              </w:rPr>
              <w:t>分到</w:t>
            </w:r>
            <w:r>
              <w:rPr>
                <w:rFonts w:hint="eastAsia" w:ascii="宋体" w:hAnsi="宋体" w:eastAsia="宋体" w:cs="宋体"/>
                <w:color w:val="auto"/>
                <w:sz w:val="22"/>
                <w:szCs w:val="22"/>
                <w:highlight w:val="none"/>
                <w:u w:val="single"/>
              </w:rPr>
              <w:t>18</w:t>
            </w:r>
            <w:r>
              <w:rPr>
                <w:rFonts w:hint="eastAsia" w:ascii="宋体" w:hAnsi="宋体" w:eastAsia="宋体" w:cs="宋体"/>
                <w:color w:val="auto"/>
                <w:sz w:val="22"/>
                <w:szCs w:val="22"/>
                <w:highlight w:val="none"/>
              </w:rPr>
              <w:t>时</w:t>
            </w:r>
            <w:r>
              <w:rPr>
                <w:rFonts w:hint="eastAsia" w:ascii="宋体" w:hAnsi="宋体" w:eastAsia="宋体" w:cs="宋体"/>
                <w:color w:val="auto"/>
                <w:sz w:val="22"/>
                <w:szCs w:val="22"/>
                <w:highlight w:val="none"/>
                <w:u w:val="single"/>
              </w:rPr>
              <w:t>00</w:t>
            </w:r>
            <w:r>
              <w:rPr>
                <w:rFonts w:hint="eastAsia" w:ascii="宋体" w:hAnsi="宋体" w:eastAsia="宋体" w:cs="宋体"/>
                <w:color w:val="auto"/>
                <w:sz w:val="22"/>
                <w:szCs w:val="22"/>
                <w:highlight w:val="none"/>
              </w:rPr>
              <w:t>分</w:t>
            </w:r>
          </w:p>
        </w:tc>
      </w:tr>
      <w:tr w14:paraId="53C90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462" w:type="pct"/>
            <w:noWrap w:val="0"/>
            <w:vAlign w:val="center"/>
          </w:tcPr>
          <w:p w14:paraId="3520187D">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31.6</w:t>
            </w:r>
          </w:p>
        </w:tc>
        <w:tc>
          <w:tcPr>
            <w:tcW w:w="646" w:type="pct"/>
            <w:noWrap w:val="0"/>
            <w:vAlign w:val="center"/>
          </w:tcPr>
          <w:p w14:paraId="19A58FAD">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受理投诉方式</w:t>
            </w:r>
          </w:p>
        </w:tc>
        <w:tc>
          <w:tcPr>
            <w:tcW w:w="3890" w:type="pct"/>
            <w:noWrap w:val="0"/>
            <w:vAlign w:val="center"/>
          </w:tcPr>
          <w:p w14:paraId="160AC7FA">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1、受理方式：纸质方式受理，投诉书正、副本（经过质疑的事项才可投诉）。</w:t>
            </w:r>
          </w:p>
          <w:p w14:paraId="0EC131EB">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受理单位：</w:t>
            </w:r>
            <w:r>
              <w:rPr>
                <w:rFonts w:hint="eastAsia" w:ascii="宋体" w:hAnsi="宋体" w:cs="宋体"/>
                <w:color w:val="auto"/>
                <w:sz w:val="22"/>
                <w:szCs w:val="22"/>
                <w:highlight w:val="none"/>
                <w:lang w:val="en-US" w:eastAsia="zh-CN"/>
              </w:rPr>
              <w:t>柳州市财政局</w:t>
            </w:r>
          </w:p>
        </w:tc>
      </w:tr>
      <w:tr w14:paraId="32540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49D112AA">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w:t>
            </w:r>
          </w:p>
        </w:tc>
        <w:tc>
          <w:tcPr>
            <w:tcW w:w="646" w:type="pct"/>
            <w:noWrap w:val="0"/>
            <w:vAlign w:val="center"/>
          </w:tcPr>
          <w:p w14:paraId="7179CD1C">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采购代理费</w:t>
            </w:r>
          </w:p>
        </w:tc>
        <w:tc>
          <w:tcPr>
            <w:tcW w:w="3890" w:type="pct"/>
            <w:noWrap w:val="0"/>
            <w:vAlign w:val="center"/>
          </w:tcPr>
          <w:p w14:paraId="236FB981">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 是否收取采购代理费：</w:t>
            </w:r>
          </w:p>
          <w:p w14:paraId="4C58ACB9">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sym w:font="Wingdings 2" w:char="F052"/>
            </w:r>
            <w:r>
              <w:rPr>
                <w:rFonts w:hint="eastAsia" w:ascii="宋体" w:hAnsi="宋体" w:eastAsia="宋体" w:cs="宋体"/>
                <w:color w:val="auto"/>
                <w:kern w:val="0"/>
                <w:sz w:val="22"/>
                <w:szCs w:val="22"/>
                <w:highlight w:val="none"/>
              </w:rPr>
              <w:t>是    □ 否</w:t>
            </w:r>
          </w:p>
          <w:p w14:paraId="5A14F732">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2.采购代理费支付方式：</w:t>
            </w:r>
          </w:p>
          <w:p w14:paraId="4AC34A08">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sym w:font="Wingdings 2" w:char="F052"/>
            </w:r>
            <w:r>
              <w:rPr>
                <w:rFonts w:hint="eastAsia" w:ascii="宋体" w:hAnsi="宋体" w:eastAsia="宋体" w:cs="宋体"/>
                <w:color w:val="auto"/>
                <w:kern w:val="0"/>
                <w:sz w:val="22"/>
                <w:szCs w:val="22"/>
                <w:highlight w:val="none"/>
              </w:rPr>
              <w:t>本项目代理服务费由</w:t>
            </w:r>
            <w:r>
              <w:rPr>
                <w:rFonts w:hint="eastAsia" w:ascii="宋体" w:hAnsi="宋体" w:eastAsia="宋体" w:cs="宋体"/>
                <w:color w:val="auto"/>
                <w:kern w:val="0"/>
                <w:sz w:val="22"/>
                <w:szCs w:val="22"/>
                <w:highlight w:val="none"/>
                <w:u w:val="single"/>
              </w:rPr>
              <w:t>成交供应商</w:t>
            </w:r>
            <w:r>
              <w:rPr>
                <w:rFonts w:hint="eastAsia" w:ascii="宋体" w:hAnsi="宋体" w:eastAsia="宋体" w:cs="宋体"/>
                <w:color w:val="auto"/>
                <w:kern w:val="0"/>
                <w:sz w:val="22"/>
                <w:szCs w:val="22"/>
                <w:highlight w:val="none"/>
              </w:rPr>
              <w:t>领取成交通知书前，一次性向采购代理机构支付。</w:t>
            </w:r>
          </w:p>
          <w:p w14:paraId="79DD0604">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□采购人支付。</w:t>
            </w:r>
          </w:p>
          <w:p w14:paraId="60D6B795">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3.采购代理费收取标准：</w:t>
            </w:r>
          </w:p>
          <w:p w14:paraId="5B31B7E1">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sym w:font="Wingdings 2" w:char="F052"/>
            </w:r>
            <w:r>
              <w:rPr>
                <w:rFonts w:hint="eastAsia" w:ascii="宋体" w:hAnsi="宋体" w:eastAsia="宋体" w:cs="宋体"/>
                <w:color w:val="auto"/>
                <w:kern w:val="0"/>
                <w:sz w:val="22"/>
                <w:szCs w:val="22"/>
                <w:highlight w:val="none"/>
              </w:rPr>
              <w:t>以分标（</w:t>
            </w:r>
            <w:r>
              <w:rPr>
                <w:rFonts w:hint="eastAsia" w:ascii="宋体" w:hAnsi="宋体" w:eastAsia="宋体" w:cs="宋体"/>
                <w:color w:val="auto"/>
                <w:kern w:val="0"/>
                <w:sz w:val="22"/>
                <w:szCs w:val="22"/>
                <w:highlight w:val="none"/>
              </w:rPr>
              <w:sym w:font="Wingdings 2" w:char="0052"/>
            </w:r>
            <w:r>
              <w:rPr>
                <w:rFonts w:hint="eastAsia" w:ascii="宋体" w:hAnsi="宋体" w:eastAsia="宋体" w:cs="宋体"/>
                <w:color w:val="auto"/>
                <w:kern w:val="0"/>
                <w:sz w:val="22"/>
                <w:szCs w:val="22"/>
                <w:highlight w:val="none"/>
              </w:rPr>
              <w:t>成交金额/</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采购预算/□暂定成交金额/□其他</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）为计费额，按</w:t>
            </w:r>
            <w:r>
              <w:rPr>
                <w:rFonts w:hint="eastAsia" w:ascii="宋体" w:hAnsi="宋体" w:eastAsia="宋体" w:cs="宋体"/>
                <w:color w:val="auto"/>
                <w:kern w:val="0"/>
                <w:sz w:val="22"/>
                <w:szCs w:val="22"/>
                <w:highlight w:val="none"/>
                <w:u w:val="single"/>
              </w:rPr>
              <w:t>服务类</w:t>
            </w:r>
            <w:r>
              <w:rPr>
                <w:rFonts w:hint="eastAsia" w:ascii="宋体" w:hAnsi="宋体" w:eastAsia="宋体" w:cs="宋体"/>
                <w:color w:val="auto"/>
                <w:kern w:val="0"/>
                <w:sz w:val="22"/>
                <w:szCs w:val="22"/>
                <w:highlight w:val="none"/>
              </w:rPr>
              <w:t>采用差额定率累进法计算出收费基准价格，采购代理收费以（</w:t>
            </w:r>
            <w:r>
              <w:rPr>
                <w:rFonts w:hint="eastAsia" w:ascii="宋体" w:hAnsi="宋体" w:eastAsia="宋体" w:cs="宋体"/>
                <w:color w:val="auto"/>
                <w:kern w:val="0"/>
                <w:sz w:val="22"/>
                <w:szCs w:val="22"/>
                <w:highlight w:val="none"/>
              </w:rPr>
              <w:sym w:font="Wingdings 2" w:char="0052"/>
            </w:r>
            <w:r>
              <w:rPr>
                <w:rFonts w:hint="eastAsia" w:ascii="宋体" w:hAnsi="宋体" w:eastAsia="宋体" w:cs="宋体"/>
                <w:color w:val="auto"/>
                <w:kern w:val="0"/>
                <w:sz w:val="22"/>
                <w:szCs w:val="22"/>
                <w:highlight w:val="none"/>
              </w:rPr>
              <w:t>收费基准价格/</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收费基准价格下浮</w:t>
            </w:r>
            <w:r>
              <w:rPr>
                <w:rFonts w:hint="eastAsia" w:ascii="宋体" w:hAnsi="宋体" w:eastAsia="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/□收费基准价格上浮</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）收取。</w:t>
            </w:r>
          </w:p>
          <w:p w14:paraId="684FAFBA">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kern w:val="0"/>
                <w:sz w:val="22"/>
                <w:szCs w:val="22"/>
                <w:highlight w:val="none"/>
                <w:u w:val="none"/>
              </w:rPr>
            </w:pP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固定采购代理收费</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u w:val="single"/>
              </w:rPr>
              <w:t xml:space="preserve"> 。</w:t>
            </w:r>
          </w:p>
        </w:tc>
      </w:tr>
      <w:tr w14:paraId="4D703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04DB3819">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34.1</w:t>
            </w:r>
          </w:p>
        </w:tc>
        <w:tc>
          <w:tcPr>
            <w:tcW w:w="646" w:type="pct"/>
            <w:noWrap w:val="0"/>
            <w:vAlign w:val="center"/>
          </w:tcPr>
          <w:p w14:paraId="4CB35085">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解释</w:t>
            </w:r>
          </w:p>
        </w:tc>
        <w:tc>
          <w:tcPr>
            <w:tcW w:w="3890" w:type="pct"/>
            <w:noWrap w:val="0"/>
            <w:vAlign w:val="center"/>
          </w:tcPr>
          <w:p w14:paraId="72597545">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解释权：</w:t>
            </w:r>
            <w:r>
              <w:rPr>
                <w:rFonts w:hint="eastAsia" w:ascii="宋体" w:hAnsi="宋体" w:eastAsia="宋体" w:cs="宋体"/>
                <w:color w:val="auto"/>
                <w:kern w:val="0"/>
                <w:sz w:val="22"/>
                <w:szCs w:val="22"/>
                <w:highlight w:val="none"/>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color w:val="auto"/>
                <w:kern w:val="0"/>
                <w:sz w:val="22"/>
                <w:szCs w:val="22"/>
                <w:highlight w:val="none"/>
              </w:rPr>
              <w:t>由采购人或者采购代理机构负责解释。</w:t>
            </w:r>
          </w:p>
          <w:p w14:paraId="58CACDB7">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b/>
                <w:color w:val="auto"/>
                <w:kern w:val="0"/>
                <w:sz w:val="22"/>
                <w:szCs w:val="22"/>
                <w:highlight w:val="none"/>
              </w:rPr>
              <w:t>法律责任：</w:t>
            </w:r>
            <w:r>
              <w:rPr>
                <w:rFonts w:hint="eastAsia" w:ascii="宋体" w:hAnsi="宋体" w:eastAsia="宋体" w:cs="宋体"/>
                <w:color w:val="auto"/>
                <w:kern w:val="0"/>
                <w:sz w:val="22"/>
                <w:szCs w:val="22"/>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17C32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36472E55">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34.2</w:t>
            </w:r>
          </w:p>
        </w:tc>
        <w:tc>
          <w:tcPr>
            <w:tcW w:w="646" w:type="pct"/>
            <w:noWrap w:val="0"/>
            <w:vAlign w:val="center"/>
          </w:tcPr>
          <w:p w14:paraId="6CEA5F3D">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w:t>
            </w:r>
          </w:p>
        </w:tc>
        <w:tc>
          <w:tcPr>
            <w:tcW w:w="3890" w:type="pct"/>
            <w:noWrap w:val="0"/>
            <w:vAlign w:val="center"/>
          </w:tcPr>
          <w:p w14:paraId="004821FA">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2F960CDA">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2692A1C">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5E61E7D7">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4.自然人竞标的，磋商文件规定盖公章处由自然人摁手指指印。</w:t>
            </w:r>
          </w:p>
          <w:p w14:paraId="4E199766">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5.本磋商文件所称的“以上”“以下”“以内”“届满”，包括本数；所称的“不满”“超过”“以外”，不包括本数。</w:t>
            </w:r>
          </w:p>
        </w:tc>
      </w:tr>
    </w:tbl>
    <w:p w14:paraId="5E970354">
      <w:pPr>
        <w:keepNext/>
        <w:keepLines/>
        <w:spacing w:before="260" w:after="260" w:line="420" w:lineRule="exact"/>
        <w:jc w:val="center"/>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br w:type="page"/>
      </w:r>
      <w:bookmarkStart w:id="31" w:name="_Toc5715"/>
      <w:r>
        <w:rPr>
          <w:rFonts w:hint="eastAsia" w:ascii="宋体" w:hAnsi="宋体" w:eastAsia="宋体" w:cs="宋体"/>
          <w:b/>
          <w:bCs w:val="0"/>
          <w:color w:val="auto"/>
          <w:sz w:val="24"/>
          <w:szCs w:val="24"/>
          <w:highlight w:val="none"/>
        </w:rPr>
        <w:t>第二节 供应商须知正文</w:t>
      </w:r>
      <w:bookmarkEnd w:id="31"/>
    </w:p>
    <w:p w14:paraId="2C8E7B50">
      <w:pPr>
        <w:keepNext/>
        <w:keepLines/>
        <w:pageBreakBefore w:val="0"/>
        <w:widowControl w:val="0"/>
        <w:kinsoku/>
        <w:wordWrap/>
        <w:overflowPunct/>
        <w:topLinePunct w:val="0"/>
        <w:autoSpaceDE/>
        <w:autoSpaceDN/>
        <w:bidi w:val="0"/>
        <w:adjustRightInd/>
        <w:snapToGrid/>
        <w:spacing w:line="360" w:lineRule="auto"/>
        <w:ind w:firstLine="482" w:firstLineChars="200"/>
        <w:outlineLvl w:val="2"/>
        <w:rPr>
          <w:rFonts w:hint="eastAsia" w:asciiTheme="minorEastAsia" w:hAnsiTheme="minorEastAsia" w:eastAsiaTheme="minorEastAsia" w:cstheme="minorEastAsia"/>
          <w:bCs/>
          <w:color w:val="auto"/>
          <w:sz w:val="22"/>
          <w:szCs w:val="22"/>
          <w:highlight w:val="none"/>
        </w:rPr>
      </w:pPr>
      <w:bookmarkStart w:id="32" w:name="_Toc12165"/>
      <w:r>
        <w:rPr>
          <w:rFonts w:hint="eastAsia" w:asciiTheme="minorEastAsia" w:hAnsiTheme="minorEastAsia" w:eastAsiaTheme="minorEastAsia" w:cstheme="minorEastAsia"/>
          <w:b/>
          <w:bCs w:val="0"/>
          <w:color w:val="auto"/>
          <w:sz w:val="24"/>
          <w:szCs w:val="24"/>
          <w:highlight w:val="none"/>
        </w:rPr>
        <w:t>一、总则</w:t>
      </w:r>
      <w:bookmarkEnd w:id="32"/>
    </w:p>
    <w:p w14:paraId="7E15DD53">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1.适用范围</w:t>
      </w:r>
    </w:p>
    <w:p w14:paraId="565CFB85">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1855B70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w:t>
      </w:r>
      <w:r>
        <w:rPr>
          <w:rFonts w:hint="eastAsia" w:asciiTheme="minorEastAsia" w:hAnsiTheme="minorEastAsia" w:eastAsiaTheme="minorEastAsia" w:cstheme="minorEastAsia"/>
          <w:color w:val="auto"/>
          <w:spacing w:val="-6"/>
          <w:sz w:val="22"/>
          <w:szCs w:val="22"/>
          <w:highlight w:val="none"/>
        </w:rPr>
        <w:t>本竞争性磋商文件（以下简称磋商文件）适用于本项目的所有采购程序和环节（法律、法规另有规定的，从其规定）。</w:t>
      </w:r>
    </w:p>
    <w:p w14:paraId="3171AE2C">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2.定义</w:t>
      </w:r>
    </w:p>
    <w:p w14:paraId="3413610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2.1“采购人”是指依法进行政府采购的国家机关、事业单位、团体组织。</w:t>
      </w:r>
    </w:p>
    <w:p w14:paraId="13508420">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u w:val="single"/>
        </w:rPr>
      </w:pPr>
      <w:r>
        <w:rPr>
          <w:rFonts w:hint="eastAsia" w:asciiTheme="minorEastAsia" w:hAnsiTheme="minorEastAsia" w:eastAsiaTheme="minorEastAsia" w:cstheme="minorEastAsia"/>
          <w:color w:val="auto"/>
          <w:sz w:val="22"/>
          <w:szCs w:val="22"/>
          <w:highlight w:val="none"/>
        </w:rPr>
        <w:t>2.2“采购代理机构”是指政府采购集中采购机构和集中采购机构以外的采购代理机构。</w:t>
      </w:r>
    </w:p>
    <w:p w14:paraId="4BAB5C88">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2.3“供应商”是指向采购人提供货物、工程或者服务的法人、其他组织或者自然人。</w:t>
      </w:r>
    </w:p>
    <w:p w14:paraId="5CD7197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2.4“服务”是指除货物和工程以外的其他政府采购对象。</w:t>
      </w:r>
    </w:p>
    <w:p w14:paraId="5787C46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2.5“竞标”是指供应商按照本项目竞争性磋商公告或者邀请函规定的方式获取磋商文件、提交响应文件并希望获得标的的行为。</w:t>
      </w:r>
    </w:p>
    <w:p w14:paraId="43565C3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2.6“响应文件”</w:t>
      </w:r>
      <w:r>
        <w:rPr>
          <w:rFonts w:hint="eastAsia" w:asciiTheme="minorEastAsia" w:hAnsiTheme="minorEastAsia" w:eastAsiaTheme="minorEastAsia" w:cstheme="minorEastAsia"/>
          <w:color w:val="auto"/>
          <w:spacing w:val="-6"/>
          <w:sz w:val="22"/>
          <w:szCs w:val="22"/>
          <w:highlight w:val="none"/>
        </w:rPr>
        <w:t>是指：供应商根据本磋商文件要求，编制包含资格证明、报价商务技术等所有内容的文件。</w:t>
      </w:r>
    </w:p>
    <w:p w14:paraId="5E59E201">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2.7“实质性要求”是指磋商文件中已经指明不满足则响应文件按无效响应处理的条款，或者不能负偏离的条款，或者采购需求中带“</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”的条款。</w:t>
      </w:r>
    </w:p>
    <w:p w14:paraId="0C45CF44">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2.8“正偏离”，是指响应文件对磋商文件“采购需求”中有关条款作出的响应优于条款要求并有利于采购人的情形。</w:t>
      </w:r>
    </w:p>
    <w:p w14:paraId="173D36F0">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2.9“负偏离”，是指响应文件对磋商文件“采购需求”中有关条款作出的响应不满足条款要求，导致采购人要求不能得到满足的情形。</w:t>
      </w:r>
    </w:p>
    <w:p w14:paraId="3D21D27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2.10“允许负偏离的条款”是指采购需求中的不属于“实质性要求”的条款。</w:t>
      </w:r>
    </w:p>
    <w:p w14:paraId="45FD00D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2.11“书面形式”是指合同书、信件和数据电文（包括电报、电传、传真、电子数据交换和电子邮件）等可以有形地表现所载内容的形式。</w:t>
      </w:r>
    </w:p>
    <w:p w14:paraId="648C823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2.12“首次报价”是指供应商提交的首次响应文件中的报价。</w:t>
      </w:r>
    </w:p>
    <w:p w14:paraId="45780BC5">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2.13“评审报价”是指供应商提交的最后报价并经修正（如有）和政策功能价格扣除（如有）后的价格。</w:t>
      </w:r>
    </w:p>
    <w:p w14:paraId="7D6BD8BB">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3.供应商的资格条件</w:t>
      </w:r>
    </w:p>
    <w:p w14:paraId="7E3C1D79">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供应商的资格条件详见“供应商须知前附表”。</w:t>
      </w:r>
    </w:p>
    <w:p w14:paraId="13B992E0">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4.磋商费用</w:t>
      </w:r>
    </w:p>
    <w:p w14:paraId="63211EA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供应商应承担参与本次采购活动有关的所有费用，包括但不限于、勘查现场、编制和提交响应文件、参加磋商与应答、签订合同等，不论竞标结果如何，均应自行承担。</w:t>
      </w:r>
    </w:p>
    <w:p w14:paraId="137EFA69">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5.联合体竞标</w:t>
      </w:r>
    </w:p>
    <w:p w14:paraId="393725E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5.1本项目是否接受联合体竞标，详见“供应商须知前附表”。</w:t>
      </w:r>
    </w:p>
    <w:p w14:paraId="773C2969">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5.2如接受联合体竞标，联合体竞标要求详见“供应商须知前附表”。</w:t>
      </w:r>
    </w:p>
    <w:p w14:paraId="2EC34FB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color w:val="auto"/>
          <w:sz w:val="22"/>
          <w:szCs w:val="22"/>
          <w:highlight w:val="none"/>
        </w:rPr>
        <w:t>5.3</w:t>
      </w:r>
      <w:r>
        <w:rPr>
          <w:rFonts w:hint="eastAsia" w:asciiTheme="minorEastAsia" w:hAnsiTheme="minorEastAsia" w:eastAsiaTheme="minorEastAsia" w:cstheme="minorEastAsia"/>
          <w:bCs/>
          <w:color w:val="auto"/>
          <w:sz w:val="22"/>
          <w:szCs w:val="22"/>
          <w:highlight w:val="none"/>
        </w:rPr>
        <w:t>根据</w:t>
      </w:r>
      <w:r>
        <w:rPr>
          <w:rFonts w:hint="eastAsia" w:asciiTheme="minorEastAsia" w:hAnsiTheme="minorEastAsia" w:eastAsiaTheme="minorEastAsia" w:cstheme="minorEastAsia"/>
          <w:bCs/>
          <w:color w:val="auto"/>
          <w:sz w:val="22"/>
          <w:szCs w:val="22"/>
          <w:highlight w:val="none"/>
          <w:lang w:eastAsia="zh-CN"/>
        </w:rPr>
        <w:t>《政府采购促进中小企业发展管理办法》</w:t>
      </w:r>
      <w:r>
        <w:rPr>
          <w:rFonts w:hint="eastAsia" w:asciiTheme="minorEastAsia" w:hAnsiTheme="minorEastAsia" w:eastAsiaTheme="minorEastAsia" w:cstheme="minorEastAsia"/>
          <w:bCs/>
          <w:color w:val="auto"/>
          <w:sz w:val="22"/>
          <w:szCs w:val="22"/>
          <w:highlight w:val="none"/>
        </w:rPr>
        <w:t>（财库[2020]46号）第九条规定，</w:t>
      </w:r>
      <w:r>
        <w:rPr>
          <w:rFonts w:hint="eastAsia" w:asciiTheme="minorEastAsia" w:hAnsiTheme="minorEastAsia" w:eastAsiaTheme="minorEastAsia" w:cstheme="minorEastAsia"/>
          <w:bCs/>
          <w:color w:val="auto"/>
          <w:sz w:val="22"/>
          <w:szCs w:val="22"/>
          <w:highlight w:val="none"/>
          <w:lang w:val="en-US" w:eastAsia="zh-CN"/>
        </w:rPr>
        <w:t>结合</w:t>
      </w:r>
      <w:r>
        <w:rPr>
          <w:rFonts w:hint="eastAsia" w:asciiTheme="minorEastAsia" w:hAnsiTheme="minorEastAsia" w:eastAsiaTheme="minorEastAsia" w:cstheme="minorEastAsia"/>
          <w:color w:val="auto"/>
          <w:sz w:val="22"/>
          <w:szCs w:val="22"/>
          <w:highlight w:val="none"/>
          <w:lang w:eastAsia="zh-CN"/>
        </w:rPr>
        <w:t>《关于进一步加大政府采购支持中小企业力度的通知》（</w:t>
      </w:r>
      <w:r>
        <w:rPr>
          <w:rFonts w:hint="eastAsia" w:asciiTheme="minorEastAsia" w:hAnsiTheme="minorEastAsia" w:eastAsiaTheme="minorEastAsia" w:cstheme="minorEastAsia"/>
          <w:color w:val="auto"/>
          <w:sz w:val="22"/>
          <w:szCs w:val="22"/>
          <w:highlight w:val="none"/>
        </w:rPr>
        <w:t>财库〔2022〕19号</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的要求</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 xml:space="preserve">接受大中型企业与小微企业组成联合体的采购项目，对于联合协议约定小微企业的合同份额占到合同总金额 30%以上的，采购人、采购代理机构应当对联合体的报价给予 </w:t>
      </w:r>
      <w:r>
        <w:rPr>
          <w:rFonts w:hint="eastAsia" w:asciiTheme="minorEastAsia" w:hAnsiTheme="minorEastAsia" w:eastAsiaTheme="minorEastAsia" w:cstheme="minorEastAsia"/>
          <w:bCs/>
          <w:color w:val="auto"/>
          <w:sz w:val="22"/>
          <w:szCs w:val="22"/>
          <w:highlight w:val="none"/>
          <w:lang w:val="en-US" w:eastAsia="zh-CN"/>
        </w:rPr>
        <w:t>4</w:t>
      </w:r>
      <w:r>
        <w:rPr>
          <w:rFonts w:hint="eastAsia" w:asciiTheme="minorEastAsia" w:hAnsiTheme="minorEastAsia" w:eastAsiaTheme="minorEastAsia" w:cstheme="minorEastAsia"/>
          <w:bCs/>
          <w:color w:val="auto"/>
          <w:sz w:val="22"/>
          <w:szCs w:val="22"/>
          <w:highlight w:val="none"/>
        </w:rPr>
        <w:t>%-</w:t>
      </w:r>
      <w:r>
        <w:rPr>
          <w:rFonts w:hint="eastAsia" w:asciiTheme="minorEastAsia" w:hAnsiTheme="minorEastAsia" w:eastAsiaTheme="minorEastAsia" w:cstheme="minorEastAsia"/>
          <w:bCs/>
          <w:color w:val="auto"/>
          <w:sz w:val="22"/>
          <w:szCs w:val="22"/>
          <w:highlight w:val="none"/>
          <w:lang w:val="en-US" w:eastAsia="zh-CN"/>
        </w:rPr>
        <w:t>6</w:t>
      </w:r>
      <w:r>
        <w:rPr>
          <w:rFonts w:hint="eastAsia" w:asciiTheme="minorEastAsia" w:hAnsiTheme="minorEastAsia" w:eastAsiaTheme="minorEastAsia" w:cstheme="minorEastAsia"/>
          <w:bCs/>
          <w:color w:val="auto"/>
          <w:sz w:val="22"/>
          <w:szCs w:val="22"/>
          <w:highlight w:val="none"/>
        </w:rPr>
        <w:t>%（工程项目为 1%—2%）的扣除，用扣除后的价格参加评审。组成联合体的小微企业与联合体内其他企业、分包企业之间存在直接控股、管理关系的，不享受价格扣除优惠政策。</w:t>
      </w:r>
    </w:p>
    <w:p w14:paraId="79CC438E">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6.转包与分包</w:t>
      </w:r>
    </w:p>
    <w:p w14:paraId="2AB5497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6.1本项目是否允许分包详见“供应商须知前附表”，本项目不允许违法分包。</w:t>
      </w:r>
    </w:p>
    <w:p w14:paraId="2FCCAF8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6.2</w:t>
      </w:r>
      <w:r>
        <w:rPr>
          <w:rFonts w:hint="eastAsia" w:asciiTheme="minorEastAsia" w:hAnsiTheme="minorEastAsia" w:eastAsiaTheme="minorEastAsia" w:cstheme="minorEastAsia"/>
          <w:bCs/>
          <w:color w:val="auto"/>
          <w:sz w:val="22"/>
          <w:szCs w:val="22"/>
          <w:highlight w:val="none"/>
        </w:rPr>
        <w:t>根据</w:t>
      </w:r>
      <w:r>
        <w:rPr>
          <w:rFonts w:hint="eastAsia" w:asciiTheme="minorEastAsia" w:hAnsiTheme="minorEastAsia" w:eastAsiaTheme="minorEastAsia" w:cstheme="minorEastAsia"/>
          <w:bCs/>
          <w:color w:val="auto"/>
          <w:sz w:val="22"/>
          <w:szCs w:val="22"/>
          <w:highlight w:val="none"/>
          <w:lang w:eastAsia="zh-CN"/>
        </w:rPr>
        <w:t>《政府采购促进中小企业发展管理办法》</w:t>
      </w:r>
      <w:r>
        <w:rPr>
          <w:rFonts w:hint="eastAsia" w:asciiTheme="minorEastAsia" w:hAnsiTheme="minorEastAsia" w:eastAsiaTheme="minorEastAsia" w:cstheme="minorEastAsia"/>
          <w:bCs/>
          <w:color w:val="auto"/>
          <w:sz w:val="22"/>
          <w:szCs w:val="22"/>
          <w:highlight w:val="none"/>
        </w:rPr>
        <w:t>（财库[2020]46号）第九条规定，</w:t>
      </w:r>
      <w:r>
        <w:rPr>
          <w:rFonts w:hint="eastAsia" w:asciiTheme="minorEastAsia" w:hAnsiTheme="minorEastAsia" w:eastAsiaTheme="minorEastAsia" w:cstheme="minorEastAsia"/>
          <w:bCs/>
          <w:color w:val="auto"/>
          <w:sz w:val="22"/>
          <w:szCs w:val="22"/>
          <w:highlight w:val="none"/>
          <w:lang w:val="en-US" w:eastAsia="zh-CN"/>
        </w:rPr>
        <w:t>结合</w:t>
      </w:r>
      <w:r>
        <w:rPr>
          <w:rFonts w:hint="eastAsia" w:asciiTheme="minorEastAsia" w:hAnsiTheme="minorEastAsia" w:eastAsiaTheme="minorEastAsia" w:cstheme="minorEastAsia"/>
          <w:color w:val="auto"/>
          <w:sz w:val="22"/>
          <w:szCs w:val="22"/>
          <w:highlight w:val="none"/>
          <w:lang w:eastAsia="zh-CN"/>
        </w:rPr>
        <w:t>《关于进一步加大政府采购支持中小企业力度的通知》（</w:t>
      </w:r>
      <w:r>
        <w:rPr>
          <w:rFonts w:hint="eastAsia" w:asciiTheme="minorEastAsia" w:hAnsiTheme="minorEastAsia" w:eastAsiaTheme="minorEastAsia" w:cstheme="minorEastAsia"/>
          <w:color w:val="auto"/>
          <w:sz w:val="22"/>
          <w:szCs w:val="22"/>
          <w:highlight w:val="none"/>
        </w:rPr>
        <w:t>财库〔2022〕19号</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的要求</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允许大中型企业向一家或者多家小微企业分包的采购项目，对于分包意向协议约定小微企业的合同份额占到合同总金额 30%以上的，采购人、采购代理机构应当对大中型企业的报价给予</w:t>
      </w:r>
      <w:r>
        <w:rPr>
          <w:rFonts w:hint="eastAsia" w:asciiTheme="minorEastAsia" w:hAnsiTheme="minorEastAsia" w:eastAsiaTheme="minorEastAsia" w:cstheme="minorEastAsia"/>
          <w:bCs/>
          <w:color w:val="auto"/>
          <w:sz w:val="22"/>
          <w:szCs w:val="22"/>
          <w:highlight w:val="none"/>
          <w:lang w:val="en-US" w:eastAsia="zh-CN"/>
        </w:rPr>
        <w:t>4</w:t>
      </w:r>
      <w:r>
        <w:rPr>
          <w:rFonts w:hint="eastAsia" w:asciiTheme="minorEastAsia" w:hAnsiTheme="minorEastAsia" w:eastAsiaTheme="minorEastAsia" w:cstheme="minorEastAsia"/>
          <w:bCs/>
          <w:color w:val="auto"/>
          <w:sz w:val="22"/>
          <w:szCs w:val="22"/>
          <w:highlight w:val="none"/>
        </w:rPr>
        <w:t>%-</w:t>
      </w:r>
      <w:r>
        <w:rPr>
          <w:rFonts w:hint="eastAsia" w:asciiTheme="minorEastAsia" w:hAnsiTheme="minorEastAsia" w:eastAsiaTheme="minorEastAsia" w:cstheme="minorEastAsia"/>
          <w:bCs/>
          <w:color w:val="auto"/>
          <w:sz w:val="22"/>
          <w:szCs w:val="22"/>
          <w:highlight w:val="none"/>
          <w:lang w:val="en-US" w:eastAsia="zh-CN"/>
        </w:rPr>
        <w:t>6</w:t>
      </w:r>
      <w:r>
        <w:rPr>
          <w:rFonts w:hint="eastAsia" w:asciiTheme="minorEastAsia" w:hAnsiTheme="minorEastAsia" w:eastAsiaTheme="minorEastAsia" w:cstheme="minorEastAsia"/>
          <w:bCs/>
          <w:color w:val="auto"/>
          <w:sz w:val="22"/>
          <w:szCs w:val="22"/>
          <w:highlight w:val="none"/>
        </w:rPr>
        <w:t>%的扣除，用扣除后的价格参加评审。接受分包的小微企业与分包企业之间存在直接控股、管理关系的，不享受价格扣除优惠政策。</w:t>
      </w:r>
    </w:p>
    <w:p w14:paraId="2A5ABE53">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bookmarkStart w:id="33" w:name="_Toc254970532"/>
      <w:bookmarkStart w:id="34" w:name="_Toc254970673"/>
      <w:r>
        <w:rPr>
          <w:rFonts w:hint="eastAsia" w:asciiTheme="minorEastAsia" w:hAnsiTheme="minorEastAsia" w:eastAsiaTheme="minorEastAsia" w:cstheme="minorEastAsia"/>
          <w:b/>
          <w:bCs/>
          <w:color w:val="auto"/>
          <w:sz w:val="22"/>
          <w:szCs w:val="22"/>
          <w:highlight w:val="none"/>
        </w:rPr>
        <w:t>7.特别说明</w:t>
      </w:r>
      <w:bookmarkEnd w:id="33"/>
      <w:bookmarkEnd w:id="34"/>
    </w:p>
    <w:p w14:paraId="278ED0F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bookmarkStart w:id="35" w:name="_8.1提供相同品牌产品且通过资格审查、符合性审查的不同投标人参加同一合"/>
      <w:bookmarkEnd w:id="35"/>
      <w:r>
        <w:rPr>
          <w:rFonts w:hint="eastAsia" w:asciiTheme="minorEastAsia" w:hAnsiTheme="minorEastAsia" w:eastAsiaTheme="minorEastAsia" w:cstheme="minorEastAsia"/>
          <w:color w:val="auto"/>
          <w:sz w:val="22"/>
          <w:szCs w:val="22"/>
          <w:highlight w:val="none"/>
        </w:rPr>
        <w:t>7.1</w:t>
      </w:r>
      <w:bookmarkStart w:id="36" w:name="_Hlk65832145"/>
      <w:r>
        <w:rPr>
          <w:rFonts w:hint="eastAsia" w:asciiTheme="minorEastAsia" w:hAnsiTheme="minorEastAsia" w:eastAsiaTheme="minorEastAsia" w:cstheme="minorEastAsia"/>
          <w:color w:val="auto"/>
          <w:sz w:val="22"/>
          <w:szCs w:val="22"/>
          <w:highlight w:val="none"/>
        </w:rPr>
        <w:t>如果本磋商文件要求提供供应商或制造商的资格、信誉、荣誉、业绩与企业认证等材料的，资格、信誉、荣誉、业绩与企业认证等必须为供应商或者制造商所拥有或自身获得。</w:t>
      </w:r>
    </w:p>
    <w:bookmarkEnd w:id="36"/>
    <w:p w14:paraId="6001CE2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7.2供应商应仔细阅读磋商文件的所有内容，按照磋商文件的要求提交响应文件，并对所提供的全部资料的真实性承担法律责任。</w:t>
      </w:r>
    </w:p>
    <w:p w14:paraId="03883C6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7.3供应商在竞标活动中提供任何疑似虚假材料，将报监管部门查处；签订合同后发现的，成交供应商须依照《</w:t>
      </w:r>
      <w:r>
        <w:rPr>
          <w:rFonts w:hint="eastAsia" w:asciiTheme="minorEastAsia" w:hAnsiTheme="minorEastAsia" w:eastAsiaTheme="minorEastAsia" w:cstheme="minorEastAsia"/>
          <w:color w:val="auto"/>
          <w:sz w:val="22"/>
          <w:szCs w:val="22"/>
          <w:highlight w:val="none"/>
          <w:lang w:eastAsia="zh-CN"/>
        </w:rPr>
        <w:t>中华人民共和国民法典</w:t>
      </w:r>
      <w:r>
        <w:rPr>
          <w:rFonts w:hint="eastAsia" w:asciiTheme="minorEastAsia" w:hAnsiTheme="minorEastAsia" w:eastAsiaTheme="minorEastAsia" w:cstheme="minorEastAsia"/>
          <w:color w:val="auto"/>
          <w:sz w:val="22"/>
          <w:szCs w:val="22"/>
          <w:highlight w:val="none"/>
        </w:rPr>
        <w:t>》规定赔偿采购人，且民事赔偿并不免除违法供应商的行政与刑事责任。</w:t>
      </w:r>
    </w:p>
    <w:p w14:paraId="14257EA5">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7.4在政府采购活动中，采购人员及相关人员与供应商有下列利害关系之一的，应当回避：</w:t>
      </w:r>
    </w:p>
    <w:p w14:paraId="0E28361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（1）参加采购活动前3年内与供应商存在劳动关系；</w:t>
      </w:r>
    </w:p>
    <w:p w14:paraId="0F4023AC">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（2）参加采购活动前3年内担任供应商的董事、监事；</w:t>
      </w:r>
    </w:p>
    <w:p w14:paraId="7C48CAF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（3）参加采购活动前3年内是供应商的控股股东或者实际控制人；</w:t>
      </w:r>
    </w:p>
    <w:p w14:paraId="62D772B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（4）与供应商的法定代表人或者负责人有夫妻、直系血亲、三代以内旁系血亲或者近姻亲关系；</w:t>
      </w:r>
    </w:p>
    <w:p w14:paraId="1805D279">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（5）与供应商有其他可能影响政府采购活动公平、公正进行的关系。</w:t>
      </w:r>
    </w:p>
    <w:p w14:paraId="3AD1CA75">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A4B3335">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7.5有下列情形之一的视为供应商相互串通竞标，响应文件将被视为无效：</w:t>
      </w:r>
    </w:p>
    <w:p w14:paraId="5CD9D3F4">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（1）不同供应商的响应文件由同一单位或者个人编制；或者不同供应商报名的IP地址一致的；或者编制响应文件硬件设备CPU编号、硬盘编号、网卡地址一致的情况。</w:t>
      </w:r>
    </w:p>
    <w:p w14:paraId="23B01740">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（2）不同供应商委托同一单位或者个人办理竞标事宜；</w:t>
      </w:r>
    </w:p>
    <w:p w14:paraId="6286D569">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（3）不同的供应商的响应文件载明的项目管理员为同一个人；</w:t>
      </w:r>
    </w:p>
    <w:p w14:paraId="70799959">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（4）不同供应商的响应文件异常一致或者报价呈规律性差异；</w:t>
      </w:r>
    </w:p>
    <w:p w14:paraId="6EA6AF8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（5）不同供应商的响应文件相互混装；</w:t>
      </w:r>
    </w:p>
    <w:p w14:paraId="6264AE10">
      <w:pPr>
        <w:pageBreakBefore w:val="0"/>
        <w:widowControl w:val="0"/>
        <w:tabs>
          <w:tab w:val="left" w:pos="6931"/>
        </w:tabs>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（6）不同供应商的磋商保证金从同一单位或者个人账户转出。</w:t>
      </w:r>
      <w:r>
        <w:rPr>
          <w:rFonts w:hint="eastAsia" w:asciiTheme="minorEastAsia" w:hAnsiTheme="minorEastAsia" w:eastAsiaTheme="minorEastAsia" w:cstheme="minorEastAsia"/>
          <w:color w:val="auto"/>
          <w:sz w:val="22"/>
          <w:szCs w:val="22"/>
          <w:highlight w:val="none"/>
        </w:rPr>
        <w:tab/>
      </w:r>
    </w:p>
    <w:p w14:paraId="2FFDE959">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7.6供应商有下列情形之一的，属于恶意串通行为，将报同级监督管理部门：</w:t>
      </w:r>
    </w:p>
    <w:p w14:paraId="27F271B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（1）供应商直接或者间接从采购人或者采购代理机构处获得其他供应商的相关信息并修改其响应文件；</w:t>
      </w:r>
    </w:p>
    <w:p w14:paraId="1E4AD36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（2）供应商按照采购人或者采购代理机构的授意撤换、修改响应文件；</w:t>
      </w:r>
    </w:p>
    <w:p w14:paraId="24AE415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（3）供应商之间协商报价、技术方案等响应文件或者响应文件的实质性内容；</w:t>
      </w:r>
    </w:p>
    <w:p w14:paraId="128D789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（4）属于同一集团、协会、商会等组织成员的供应商按照该组织要求协同参加政府采购活动；</w:t>
      </w:r>
    </w:p>
    <w:p w14:paraId="73F5BB90">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（5）供应商之间事先约定一致抬高或者压低报价，或者在政府采购活动中事先约定轮流以高价位或者低价位成交，或者事先约定由某一特定供应商成交，然后再参加竞标；</w:t>
      </w:r>
    </w:p>
    <w:p w14:paraId="77836891">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（6）供应商之间商定部分供应商放弃参加政府采购活动或者放弃成交；</w:t>
      </w:r>
    </w:p>
    <w:p w14:paraId="12BEABA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（7）供应商与采购人或者采购代理机构之间、供应商相互之间，为谋求特定供应商成交或者排斥其他供应商的其他串通行为。</w:t>
      </w:r>
    </w:p>
    <w:p w14:paraId="44C33546">
      <w:pPr>
        <w:keepNext/>
        <w:keepLines/>
        <w:pageBreakBefore w:val="0"/>
        <w:widowControl w:val="0"/>
        <w:kinsoku/>
        <w:wordWrap/>
        <w:overflowPunct/>
        <w:topLinePunct w:val="0"/>
        <w:autoSpaceDE/>
        <w:autoSpaceDN/>
        <w:bidi w:val="0"/>
        <w:adjustRightInd/>
        <w:snapToGrid/>
        <w:spacing w:line="360" w:lineRule="auto"/>
        <w:ind w:firstLine="482" w:firstLineChars="200"/>
        <w:outlineLvl w:val="2"/>
        <w:rPr>
          <w:rFonts w:hint="eastAsia" w:asciiTheme="minorEastAsia" w:hAnsiTheme="minorEastAsia" w:eastAsiaTheme="minorEastAsia" w:cstheme="minorEastAsia"/>
          <w:color w:val="auto"/>
          <w:sz w:val="22"/>
          <w:szCs w:val="22"/>
          <w:highlight w:val="none"/>
        </w:rPr>
      </w:pPr>
      <w:bookmarkStart w:id="37" w:name="_Toc29811"/>
      <w:bookmarkStart w:id="38" w:name="_Toc254970534"/>
      <w:bookmarkStart w:id="39" w:name="_Toc254970675"/>
      <w:r>
        <w:rPr>
          <w:rFonts w:hint="eastAsia" w:asciiTheme="minorEastAsia" w:hAnsiTheme="minorEastAsia" w:eastAsiaTheme="minorEastAsia" w:cstheme="minorEastAsia"/>
          <w:b/>
          <w:bCs/>
          <w:color w:val="auto"/>
          <w:sz w:val="24"/>
          <w:szCs w:val="24"/>
          <w:highlight w:val="none"/>
        </w:rPr>
        <w:t>二、磋商文件</w:t>
      </w:r>
      <w:bookmarkEnd w:id="37"/>
      <w:bookmarkEnd w:id="38"/>
      <w:bookmarkEnd w:id="39"/>
    </w:p>
    <w:p w14:paraId="0EFDD9AF">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8.磋商文件的构成</w:t>
      </w:r>
    </w:p>
    <w:p w14:paraId="797086A1">
      <w:pPr>
        <w:pageBreakBefore w:val="0"/>
        <w:widowControl w:val="0"/>
        <w:kinsoku/>
        <w:wordWrap/>
        <w:overflowPunct/>
        <w:topLinePunct w:val="0"/>
        <w:autoSpaceDE/>
        <w:autoSpaceDN/>
        <w:bidi w:val="0"/>
        <w:adjustRightInd/>
        <w:snapToGrid/>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第一章 竞争性磋商公告；</w:t>
      </w:r>
    </w:p>
    <w:p w14:paraId="55F909F8">
      <w:pPr>
        <w:pageBreakBefore w:val="0"/>
        <w:widowControl w:val="0"/>
        <w:kinsoku/>
        <w:wordWrap/>
        <w:overflowPunct/>
        <w:topLinePunct w:val="0"/>
        <w:autoSpaceDE/>
        <w:autoSpaceDN/>
        <w:bidi w:val="0"/>
        <w:adjustRightInd/>
        <w:snapToGrid/>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第二章 采购需求；</w:t>
      </w:r>
    </w:p>
    <w:p w14:paraId="713B96EE">
      <w:pPr>
        <w:pageBreakBefore w:val="0"/>
        <w:widowControl w:val="0"/>
        <w:kinsoku/>
        <w:wordWrap/>
        <w:overflowPunct/>
        <w:topLinePunct w:val="0"/>
        <w:autoSpaceDE/>
        <w:autoSpaceDN/>
        <w:bidi w:val="0"/>
        <w:adjustRightInd/>
        <w:snapToGrid/>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第三章 供应商须知； </w:t>
      </w:r>
    </w:p>
    <w:p w14:paraId="5976F7E8">
      <w:pPr>
        <w:pageBreakBefore w:val="0"/>
        <w:widowControl w:val="0"/>
        <w:kinsoku/>
        <w:wordWrap/>
        <w:overflowPunct/>
        <w:topLinePunct w:val="0"/>
        <w:autoSpaceDE/>
        <w:autoSpaceDN/>
        <w:bidi w:val="0"/>
        <w:adjustRightInd/>
        <w:snapToGrid/>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第四章 评审程序、评审方法和评审标准；</w:t>
      </w:r>
    </w:p>
    <w:p w14:paraId="0DF01CDA">
      <w:pPr>
        <w:pageBreakBefore w:val="0"/>
        <w:widowControl w:val="0"/>
        <w:kinsoku/>
        <w:wordWrap/>
        <w:overflowPunct/>
        <w:topLinePunct w:val="0"/>
        <w:autoSpaceDE/>
        <w:autoSpaceDN/>
        <w:bidi w:val="0"/>
        <w:adjustRightInd/>
        <w:snapToGrid/>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第五章 响应文件格式；</w:t>
      </w:r>
    </w:p>
    <w:p w14:paraId="1E6102E0">
      <w:pPr>
        <w:pageBreakBefore w:val="0"/>
        <w:widowControl w:val="0"/>
        <w:kinsoku/>
        <w:wordWrap/>
        <w:overflowPunct/>
        <w:topLinePunct w:val="0"/>
        <w:autoSpaceDE/>
        <w:autoSpaceDN/>
        <w:bidi w:val="0"/>
        <w:adjustRightInd/>
        <w:snapToGrid/>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第六章 合同文本；</w:t>
      </w:r>
    </w:p>
    <w:p w14:paraId="4409BBAD">
      <w:pPr>
        <w:pageBreakBefore w:val="0"/>
        <w:widowControl w:val="0"/>
        <w:kinsoku/>
        <w:wordWrap/>
        <w:overflowPunct/>
        <w:topLinePunct w:val="0"/>
        <w:autoSpaceDE/>
        <w:autoSpaceDN/>
        <w:bidi w:val="0"/>
        <w:adjustRightInd/>
        <w:snapToGrid/>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第七章 质疑、投诉材料格式。</w:t>
      </w:r>
    </w:p>
    <w:p w14:paraId="29912C55">
      <w:pPr>
        <w:pStyle w:val="30"/>
        <w:pageBreakBefore w:val="0"/>
        <w:widowControl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第八章 政府采购合同验收书范本</w:t>
      </w:r>
    </w:p>
    <w:p w14:paraId="3F2C4FF4">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9.供应商的询问</w:t>
      </w:r>
    </w:p>
    <w:p w14:paraId="0262EB0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55E1FE69">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10.磋商文件的澄清和修改</w:t>
      </w:r>
    </w:p>
    <w:p w14:paraId="45A2867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0981FE8C">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2A697EB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53EC2C5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10.4</w:t>
      </w:r>
      <w:r>
        <w:rPr>
          <w:rFonts w:hint="eastAsia" w:asciiTheme="minorEastAsia" w:hAnsiTheme="minorEastAsia" w:eastAsiaTheme="minorEastAsia" w:cstheme="minorEastAsia"/>
          <w:color w:val="auto"/>
          <w:sz w:val="22"/>
          <w:szCs w:val="22"/>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145AF53D">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10.5采购人和采购代理机构可以视采购具体情况，变更提交首次响应文件截止时间和</w:t>
      </w:r>
      <w:r>
        <w:rPr>
          <w:rFonts w:hint="eastAsia" w:asciiTheme="minorEastAsia" w:hAnsiTheme="minorEastAsia" w:eastAsiaTheme="minorEastAsia" w:cstheme="minorEastAsia"/>
          <w:color w:val="auto"/>
          <w:sz w:val="22"/>
          <w:szCs w:val="22"/>
          <w:highlight w:val="none"/>
          <w:lang w:val="en-US" w:eastAsia="zh-CN"/>
        </w:rPr>
        <w:t>磋商</w:t>
      </w:r>
      <w:r>
        <w:rPr>
          <w:rFonts w:hint="eastAsia" w:asciiTheme="minorEastAsia" w:hAnsiTheme="minorEastAsia" w:eastAsiaTheme="minorEastAsia" w:cstheme="minorEastAsia"/>
          <w:color w:val="auto"/>
          <w:sz w:val="22"/>
          <w:szCs w:val="22"/>
          <w:highlight w:val="none"/>
        </w:rPr>
        <w:t>时间，将变更时间将在“采购文件公告”中“七、其他补充事宜</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sz w:val="22"/>
          <w:szCs w:val="22"/>
          <w:highlight w:val="none"/>
        </w:rPr>
        <w:t>网上查询地址”规定的政府采购信息发布媒体上发布更正公告。</w:t>
      </w:r>
    </w:p>
    <w:p w14:paraId="1B19FB7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b/>
          <w:color w:val="auto"/>
          <w:kern w:val="0"/>
          <w:sz w:val="22"/>
          <w:szCs w:val="22"/>
          <w:highlight w:val="none"/>
        </w:rPr>
        <w:t>响应文件未按磋商文件的澄清、修改的内容编制，又不符合实质性要求的，其响应文件作无效处理。</w:t>
      </w:r>
    </w:p>
    <w:p w14:paraId="5F284936">
      <w:pPr>
        <w:keepNext/>
        <w:keepLines/>
        <w:pageBreakBefore w:val="0"/>
        <w:widowControl w:val="0"/>
        <w:kinsoku/>
        <w:wordWrap/>
        <w:overflowPunct/>
        <w:topLinePunct w:val="0"/>
        <w:autoSpaceDE/>
        <w:autoSpaceDN/>
        <w:bidi w:val="0"/>
        <w:adjustRightInd/>
        <w:snapToGrid/>
        <w:spacing w:line="360" w:lineRule="auto"/>
        <w:ind w:firstLine="482" w:firstLineChars="200"/>
        <w:outlineLvl w:val="2"/>
        <w:rPr>
          <w:rFonts w:hint="eastAsia" w:asciiTheme="minorEastAsia" w:hAnsiTheme="minorEastAsia" w:eastAsiaTheme="minorEastAsia" w:cstheme="minorEastAsia"/>
          <w:color w:val="auto"/>
          <w:sz w:val="22"/>
          <w:szCs w:val="22"/>
          <w:highlight w:val="none"/>
        </w:rPr>
      </w:pPr>
      <w:bookmarkStart w:id="40" w:name="_Toc12429"/>
      <w:r>
        <w:rPr>
          <w:rFonts w:hint="eastAsia" w:asciiTheme="minorEastAsia" w:hAnsiTheme="minorEastAsia" w:eastAsiaTheme="minorEastAsia" w:cstheme="minorEastAsia"/>
          <w:b/>
          <w:bCs/>
          <w:color w:val="auto"/>
          <w:sz w:val="24"/>
          <w:szCs w:val="24"/>
          <w:highlight w:val="none"/>
        </w:rPr>
        <w:t>三、响应文件的编制</w:t>
      </w:r>
      <w:bookmarkEnd w:id="40"/>
    </w:p>
    <w:p w14:paraId="2A656E38">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11.响应文件的编制原则</w:t>
      </w:r>
    </w:p>
    <w:p w14:paraId="6931D0D4">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供应商必须按照磋商文件的要求编制响应文件，并对其提交的响应文件的真实性、合法性承担法律责任。响应文件必须对磋商文件作出实质性响应。</w:t>
      </w:r>
    </w:p>
    <w:p w14:paraId="457BF228">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12.响应文件的组成</w:t>
      </w:r>
    </w:p>
    <w:p w14:paraId="703ECF9D">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12.1响应文件由资格证明文件、报价文件、商务技术文件三部分组成。</w:t>
      </w:r>
    </w:p>
    <w:p w14:paraId="557B874F">
      <w:pPr>
        <w:pageBreakBefore w:val="0"/>
        <w:widowControl w:val="0"/>
        <w:kinsoku/>
        <w:wordWrap/>
        <w:overflowPunct/>
        <w:topLinePunct w:val="0"/>
        <w:autoSpaceDE/>
        <w:autoSpaceDN/>
        <w:bidi w:val="0"/>
        <w:adjustRightInd/>
        <w:snapToGrid/>
        <w:spacing w:line="360" w:lineRule="auto"/>
        <w:ind w:left="420" w:leftChars="200"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12.1.1资格证明文件：详见须知前附表</w:t>
      </w:r>
    </w:p>
    <w:p w14:paraId="5FF09C91">
      <w:pPr>
        <w:pageBreakBefore w:val="0"/>
        <w:widowControl w:val="0"/>
        <w:kinsoku/>
        <w:wordWrap/>
        <w:overflowPunct/>
        <w:topLinePunct w:val="0"/>
        <w:autoSpaceDE/>
        <w:autoSpaceDN/>
        <w:bidi w:val="0"/>
        <w:adjustRightInd/>
        <w:snapToGrid/>
        <w:spacing w:line="360" w:lineRule="auto"/>
        <w:ind w:left="420" w:leftChars="200"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12.1.2商务技术文件：详见须知前附表</w:t>
      </w:r>
    </w:p>
    <w:p w14:paraId="35ECFCB3">
      <w:pPr>
        <w:pageBreakBefore w:val="0"/>
        <w:widowControl w:val="0"/>
        <w:kinsoku/>
        <w:wordWrap/>
        <w:overflowPunct/>
        <w:topLinePunct w:val="0"/>
        <w:autoSpaceDE/>
        <w:autoSpaceDN/>
        <w:bidi w:val="0"/>
        <w:adjustRightInd/>
        <w:snapToGrid/>
        <w:spacing w:line="360" w:lineRule="auto"/>
        <w:ind w:left="420" w:leftChars="200"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12.1.3报价文件：详见须知前附表</w:t>
      </w:r>
    </w:p>
    <w:p w14:paraId="66BDF7F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12.2响应文件电子版：详见须知前附表</w:t>
      </w:r>
    </w:p>
    <w:p w14:paraId="1A8343CF">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13.计量单位</w:t>
      </w:r>
    </w:p>
    <w:p w14:paraId="73FBBFD8">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磋商文件已有明确规定的，使用磋商文件规定的计量单位；磋商文件没有规定的，应采用中华人民共和国法定计量单位，货币种类为人民币，否则视同未响应。</w:t>
      </w:r>
    </w:p>
    <w:p w14:paraId="02E0934A">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14.竞标的风险</w:t>
      </w:r>
    </w:p>
    <w:p w14:paraId="0131AFF4">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供应商没有按照磋商文件要求提供全部资料，或者供应商没有对磋商文件在各方面作出实质性响应可能导致其响应无效，是供应商应当考虑的风险。</w:t>
      </w:r>
    </w:p>
    <w:p w14:paraId="74103D93">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15.响应报价要求和构成</w:t>
      </w:r>
    </w:p>
    <w:p w14:paraId="557AF87F">
      <w:pPr>
        <w:pageBreakBefore w:val="0"/>
        <w:widowControl w:val="0"/>
        <w:tabs>
          <w:tab w:val="left" w:pos="2492"/>
        </w:tabs>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15.1响应报价应按“第五章 响应文件格式”中“响应报价表”格式填写。</w:t>
      </w:r>
    </w:p>
    <w:p w14:paraId="3CE4BA21">
      <w:pPr>
        <w:pageBreakBefore w:val="0"/>
        <w:widowControl w:val="0"/>
        <w:tabs>
          <w:tab w:val="left" w:pos="2492"/>
        </w:tabs>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15.2响应报价的价格构成见“供应商须知前附表”。</w:t>
      </w:r>
    </w:p>
    <w:p w14:paraId="6A5F26D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15.3响应报价要求</w:t>
      </w:r>
    </w:p>
    <w:p w14:paraId="5008A0E4">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15.3.1供应商的响应报价应符合以下要求，否则响应文件按无效响应处理：</w:t>
      </w:r>
    </w:p>
    <w:p w14:paraId="74A3D57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（1）供应商必须就“采购需求”中所竞标的全部内容分别作完整唯一总价报价，不得存在漏项报价；</w:t>
      </w:r>
    </w:p>
    <w:p w14:paraId="0C202A7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（2）供应商必须就所竞标</w:t>
      </w:r>
      <w:r>
        <w:rPr>
          <w:rFonts w:hint="eastAsia" w:asciiTheme="minorEastAsia" w:hAnsiTheme="minorEastAsia" w:eastAsiaTheme="minorEastAsia" w:cstheme="minorEastAsia"/>
          <w:color w:val="auto"/>
          <w:sz w:val="22"/>
          <w:szCs w:val="22"/>
          <w:highlight w:val="none"/>
          <w:lang w:val="en-US" w:eastAsia="zh-CN"/>
        </w:rPr>
        <w:t>的</w:t>
      </w:r>
      <w:r>
        <w:rPr>
          <w:rFonts w:hint="eastAsia" w:asciiTheme="minorEastAsia" w:hAnsiTheme="minorEastAsia" w:eastAsiaTheme="minorEastAsia" w:cstheme="minorEastAsia"/>
          <w:color w:val="auto"/>
          <w:sz w:val="22"/>
          <w:szCs w:val="22"/>
          <w:highlight w:val="none"/>
        </w:rPr>
        <w:t>内容作唯一报价。</w:t>
      </w:r>
    </w:p>
    <w:p w14:paraId="74AEA05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15.3.2响应报价（包含首次报价、最后报价）超过所竞标规定的采购预算金额或者最高限价的，其响应文件将作无效处理。</w:t>
      </w:r>
    </w:p>
    <w:p w14:paraId="0B7C808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15.3.3</w:t>
      </w:r>
      <w:bookmarkStart w:id="41" w:name="_Hlk42592874"/>
      <w:r>
        <w:rPr>
          <w:rFonts w:hint="eastAsia" w:asciiTheme="minorEastAsia" w:hAnsiTheme="minorEastAsia" w:eastAsiaTheme="minorEastAsia" w:cstheme="minorEastAsia"/>
          <w:color w:val="auto"/>
          <w:sz w:val="22"/>
          <w:szCs w:val="22"/>
          <w:highlight w:val="none"/>
        </w:rPr>
        <w:t>响应报价（包含首次报价、最后报价）超过分项采购预算金额或者最高限价的，其响应文件将作无效处理。</w:t>
      </w:r>
    </w:p>
    <w:bookmarkEnd w:id="41"/>
    <w:p w14:paraId="29B44B97">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16.竞标有效期</w:t>
      </w:r>
    </w:p>
    <w:p w14:paraId="3F02CAA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16.1竞标有效期是指为保证采购人有足够的时间在提交响应文件后完成评审、确定成交供应商、合同签订等工作而要求供应商提交的响应文件在一定时间内保持有效的期限。</w:t>
      </w:r>
    </w:p>
    <w:p w14:paraId="2EB7492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16.2 竞标有效期应由供应商按“供应商须知前附表”规定的期限作出响应。</w:t>
      </w:r>
    </w:p>
    <w:p w14:paraId="3971B4F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16.3供应商的响应文件在竞标有效期内均保持有效。</w:t>
      </w:r>
    </w:p>
    <w:p w14:paraId="6156C269">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17.磋商保证金</w:t>
      </w:r>
    </w:p>
    <w:p w14:paraId="671F153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bCs/>
          <w:color w:val="auto"/>
          <w:sz w:val="22"/>
          <w:szCs w:val="22"/>
          <w:highlight w:val="none"/>
          <w:lang w:eastAsia="zh-CN"/>
        </w:rPr>
      </w:pPr>
      <w:r>
        <w:rPr>
          <w:rFonts w:hint="eastAsia" w:asciiTheme="minorEastAsia" w:hAnsiTheme="minorEastAsia" w:eastAsiaTheme="minorEastAsia" w:cstheme="minorEastAsia"/>
          <w:bCs/>
          <w:color w:val="auto"/>
          <w:sz w:val="22"/>
          <w:szCs w:val="22"/>
          <w:highlight w:val="none"/>
          <w:lang w:eastAsia="zh-CN"/>
        </w:rPr>
        <w:t>17.1提交</w:t>
      </w:r>
      <w:r>
        <w:rPr>
          <w:rFonts w:hint="eastAsia" w:asciiTheme="minorEastAsia" w:hAnsiTheme="minorEastAsia" w:eastAsiaTheme="minorEastAsia" w:cstheme="minorEastAsia"/>
          <w:bCs/>
          <w:color w:val="auto"/>
          <w:sz w:val="22"/>
          <w:szCs w:val="22"/>
          <w:highlight w:val="none"/>
          <w:lang w:val="en-US" w:eastAsia="zh-CN"/>
        </w:rPr>
        <w:t>磋商</w:t>
      </w:r>
      <w:r>
        <w:rPr>
          <w:rFonts w:hint="eastAsia" w:asciiTheme="minorEastAsia" w:hAnsiTheme="minorEastAsia" w:eastAsiaTheme="minorEastAsia" w:cstheme="minorEastAsia"/>
          <w:bCs/>
          <w:color w:val="auto"/>
          <w:sz w:val="22"/>
          <w:szCs w:val="22"/>
          <w:highlight w:val="none"/>
          <w:lang w:eastAsia="zh-CN"/>
        </w:rPr>
        <w:t>保证金的要求详见采购文件“供应商须知前附表”。</w:t>
      </w:r>
    </w:p>
    <w:p w14:paraId="33164B2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bCs/>
          <w:color w:val="auto"/>
          <w:sz w:val="22"/>
          <w:szCs w:val="22"/>
          <w:highlight w:val="none"/>
          <w:lang w:eastAsia="zh-CN"/>
        </w:rPr>
      </w:pPr>
      <w:r>
        <w:rPr>
          <w:rFonts w:hint="eastAsia" w:asciiTheme="minorEastAsia" w:hAnsiTheme="minorEastAsia" w:eastAsiaTheme="minorEastAsia" w:cstheme="minorEastAsia"/>
          <w:bCs/>
          <w:color w:val="auto"/>
          <w:sz w:val="22"/>
          <w:szCs w:val="22"/>
          <w:highlight w:val="none"/>
          <w:lang w:eastAsia="zh-CN"/>
        </w:rPr>
        <w:t>17.2</w:t>
      </w:r>
      <w:r>
        <w:rPr>
          <w:rFonts w:hint="eastAsia" w:asciiTheme="minorEastAsia" w:hAnsiTheme="minorEastAsia" w:eastAsiaTheme="minorEastAsia" w:cstheme="minorEastAsia"/>
          <w:bCs/>
          <w:color w:val="auto"/>
          <w:sz w:val="22"/>
          <w:szCs w:val="22"/>
          <w:highlight w:val="none"/>
          <w:lang w:val="en-US" w:eastAsia="zh-CN"/>
        </w:rPr>
        <w:t>磋商</w:t>
      </w:r>
      <w:r>
        <w:rPr>
          <w:rFonts w:hint="eastAsia" w:asciiTheme="minorEastAsia" w:hAnsiTheme="minorEastAsia" w:eastAsiaTheme="minorEastAsia" w:cstheme="minorEastAsia"/>
          <w:bCs/>
          <w:color w:val="auto"/>
          <w:sz w:val="22"/>
          <w:szCs w:val="22"/>
          <w:highlight w:val="none"/>
          <w:lang w:eastAsia="zh-CN"/>
        </w:rPr>
        <w:t>保证金退还：除采购文件规定不予退还保证金的情形外，未成交供应商的</w:t>
      </w:r>
      <w:r>
        <w:rPr>
          <w:rFonts w:hint="eastAsia" w:asciiTheme="minorEastAsia" w:hAnsiTheme="minorEastAsia" w:eastAsiaTheme="minorEastAsia" w:cstheme="minorEastAsia"/>
          <w:bCs/>
          <w:color w:val="auto"/>
          <w:sz w:val="22"/>
          <w:szCs w:val="22"/>
          <w:highlight w:val="none"/>
          <w:lang w:val="en-US" w:eastAsia="zh-CN"/>
        </w:rPr>
        <w:t>磋商</w:t>
      </w:r>
      <w:r>
        <w:rPr>
          <w:rFonts w:hint="eastAsia" w:asciiTheme="minorEastAsia" w:hAnsiTheme="minorEastAsia" w:eastAsiaTheme="minorEastAsia" w:cstheme="minorEastAsia"/>
          <w:bCs/>
          <w:color w:val="auto"/>
          <w:sz w:val="22"/>
          <w:szCs w:val="22"/>
          <w:highlight w:val="none"/>
          <w:lang w:eastAsia="zh-CN"/>
        </w:rPr>
        <w:t>保证金在成交通知书发出后</w:t>
      </w:r>
      <w:r>
        <w:rPr>
          <w:rFonts w:hint="eastAsia" w:asciiTheme="minorEastAsia" w:hAnsiTheme="minorEastAsia" w:eastAsiaTheme="minorEastAsia" w:cstheme="minorEastAsia"/>
          <w:bCs/>
          <w:color w:val="auto"/>
          <w:sz w:val="22"/>
          <w:szCs w:val="22"/>
          <w:highlight w:val="none"/>
          <w:lang w:val="en-US" w:eastAsia="zh-CN"/>
        </w:rPr>
        <w:t>五</w:t>
      </w:r>
      <w:r>
        <w:rPr>
          <w:rFonts w:hint="eastAsia" w:asciiTheme="minorEastAsia" w:hAnsiTheme="minorEastAsia" w:eastAsiaTheme="minorEastAsia" w:cstheme="minorEastAsia"/>
          <w:bCs/>
          <w:color w:val="auto"/>
          <w:sz w:val="22"/>
          <w:szCs w:val="22"/>
          <w:highlight w:val="none"/>
          <w:lang w:eastAsia="zh-CN"/>
        </w:rPr>
        <w:t>个工作日内退还，成交供应商的</w:t>
      </w:r>
      <w:r>
        <w:rPr>
          <w:rFonts w:hint="eastAsia" w:asciiTheme="minorEastAsia" w:hAnsiTheme="minorEastAsia" w:eastAsiaTheme="minorEastAsia" w:cstheme="minorEastAsia"/>
          <w:bCs/>
          <w:color w:val="auto"/>
          <w:sz w:val="22"/>
          <w:szCs w:val="22"/>
          <w:highlight w:val="none"/>
          <w:lang w:val="en-US" w:eastAsia="zh-CN"/>
        </w:rPr>
        <w:t>磋商</w:t>
      </w:r>
      <w:r>
        <w:rPr>
          <w:rFonts w:hint="eastAsia" w:asciiTheme="minorEastAsia" w:hAnsiTheme="minorEastAsia" w:eastAsiaTheme="minorEastAsia" w:cstheme="minorEastAsia"/>
          <w:bCs/>
          <w:color w:val="auto"/>
          <w:sz w:val="22"/>
          <w:szCs w:val="22"/>
          <w:highlight w:val="none"/>
          <w:lang w:eastAsia="zh-CN"/>
        </w:rPr>
        <w:t>保证金在与采购人签订合同后</w:t>
      </w:r>
      <w:r>
        <w:rPr>
          <w:rFonts w:hint="eastAsia" w:asciiTheme="minorEastAsia" w:hAnsiTheme="minorEastAsia" w:eastAsiaTheme="minorEastAsia" w:cstheme="minorEastAsia"/>
          <w:bCs/>
          <w:color w:val="auto"/>
          <w:sz w:val="22"/>
          <w:szCs w:val="22"/>
          <w:highlight w:val="none"/>
          <w:lang w:val="en-US" w:eastAsia="zh-CN"/>
        </w:rPr>
        <w:t>五</w:t>
      </w:r>
      <w:r>
        <w:rPr>
          <w:rFonts w:hint="eastAsia" w:asciiTheme="minorEastAsia" w:hAnsiTheme="minorEastAsia" w:eastAsiaTheme="minorEastAsia" w:cstheme="minorEastAsia"/>
          <w:bCs/>
          <w:color w:val="auto"/>
          <w:sz w:val="22"/>
          <w:szCs w:val="22"/>
          <w:highlight w:val="none"/>
          <w:lang w:eastAsia="zh-CN"/>
        </w:rPr>
        <w:t>个工作日内退还。[支票、汇票、本票形式</w:t>
      </w:r>
      <w:r>
        <w:rPr>
          <w:rFonts w:hint="eastAsia" w:asciiTheme="minorEastAsia" w:hAnsiTheme="minorEastAsia" w:eastAsiaTheme="minorEastAsia" w:cstheme="minorEastAsia"/>
          <w:bCs/>
          <w:color w:val="auto"/>
          <w:sz w:val="22"/>
          <w:szCs w:val="22"/>
          <w:highlight w:val="none"/>
          <w:lang w:val="en-US" w:eastAsia="zh-CN"/>
        </w:rPr>
        <w:t>磋商</w:t>
      </w:r>
      <w:r>
        <w:rPr>
          <w:rFonts w:hint="eastAsia" w:asciiTheme="minorEastAsia" w:hAnsiTheme="minorEastAsia" w:eastAsiaTheme="minorEastAsia" w:cstheme="minorEastAsia"/>
          <w:bCs/>
          <w:color w:val="auto"/>
          <w:sz w:val="22"/>
          <w:szCs w:val="22"/>
          <w:highlight w:val="none"/>
          <w:lang w:eastAsia="zh-CN"/>
        </w:rPr>
        <w:t>保证金的退还方式：</w:t>
      </w:r>
      <w:r>
        <w:rPr>
          <w:rFonts w:hint="eastAsia" w:asciiTheme="minorEastAsia" w:hAnsiTheme="minorEastAsia" w:eastAsiaTheme="minorEastAsia" w:cstheme="minorEastAsia"/>
          <w:bCs/>
          <w:color w:val="auto"/>
          <w:sz w:val="22"/>
          <w:szCs w:val="22"/>
          <w:highlight w:val="none"/>
          <w:lang w:val="en-US" w:eastAsia="zh-CN"/>
        </w:rPr>
        <w:t>供应商</w:t>
      </w:r>
      <w:r>
        <w:rPr>
          <w:rFonts w:hint="eastAsia" w:asciiTheme="minorEastAsia" w:hAnsiTheme="minorEastAsia" w:eastAsiaTheme="minorEastAsia" w:cstheme="minorEastAsia"/>
          <w:bCs/>
          <w:color w:val="auto"/>
          <w:sz w:val="22"/>
          <w:szCs w:val="22"/>
          <w:highlight w:val="none"/>
          <w:lang w:eastAsia="zh-CN"/>
        </w:rPr>
        <w:t>应在自接到采购代理机构通知日起（成交通知书发出当日通知未成交供应商；与采购人签订合同当日通知成交供应商）的</w:t>
      </w:r>
      <w:r>
        <w:rPr>
          <w:rFonts w:hint="eastAsia" w:asciiTheme="minorEastAsia" w:hAnsiTheme="minorEastAsia" w:eastAsiaTheme="minorEastAsia" w:cstheme="minorEastAsia"/>
          <w:bCs/>
          <w:color w:val="auto"/>
          <w:sz w:val="22"/>
          <w:szCs w:val="22"/>
          <w:highlight w:val="none"/>
          <w:lang w:val="en-US" w:eastAsia="zh-CN"/>
        </w:rPr>
        <w:t>五</w:t>
      </w:r>
      <w:r>
        <w:rPr>
          <w:rFonts w:hint="eastAsia" w:asciiTheme="minorEastAsia" w:hAnsiTheme="minorEastAsia" w:eastAsiaTheme="minorEastAsia" w:cstheme="minorEastAsia"/>
          <w:bCs/>
          <w:color w:val="auto"/>
          <w:sz w:val="22"/>
          <w:szCs w:val="22"/>
          <w:highlight w:val="none"/>
          <w:lang w:eastAsia="zh-CN"/>
        </w:rPr>
        <w:t>个工作日内自行前往采购代理机构处领取原件。</w:t>
      </w:r>
      <w:r>
        <w:rPr>
          <w:rFonts w:hint="eastAsia" w:asciiTheme="minorEastAsia" w:hAnsiTheme="minorEastAsia" w:eastAsiaTheme="minorEastAsia" w:cstheme="minorEastAsia"/>
          <w:bCs/>
          <w:color w:val="auto"/>
          <w:sz w:val="22"/>
          <w:szCs w:val="22"/>
          <w:highlight w:val="none"/>
          <w:lang w:val="en-US" w:eastAsia="zh-CN"/>
        </w:rPr>
        <w:t>供应商</w:t>
      </w:r>
      <w:r>
        <w:rPr>
          <w:rFonts w:hint="eastAsia" w:asciiTheme="minorEastAsia" w:hAnsiTheme="minorEastAsia" w:eastAsiaTheme="minorEastAsia" w:cstheme="minorEastAsia"/>
          <w:bCs/>
          <w:color w:val="auto"/>
          <w:sz w:val="22"/>
          <w:szCs w:val="22"/>
          <w:highlight w:val="none"/>
          <w:lang w:eastAsia="zh-CN"/>
        </w:rPr>
        <w:t>因自身原因逾期领取所造成的后果由</w:t>
      </w:r>
      <w:r>
        <w:rPr>
          <w:rFonts w:hint="eastAsia" w:asciiTheme="minorEastAsia" w:hAnsiTheme="minorEastAsia" w:eastAsiaTheme="minorEastAsia" w:cstheme="minorEastAsia"/>
          <w:bCs/>
          <w:color w:val="auto"/>
          <w:sz w:val="22"/>
          <w:szCs w:val="22"/>
          <w:highlight w:val="none"/>
          <w:lang w:val="en-US" w:eastAsia="zh-CN"/>
        </w:rPr>
        <w:t>供应商</w:t>
      </w:r>
      <w:r>
        <w:rPr>
          <w:rFonts w:hint="eastAsia" w:asciiTheme="minorEastAsia" w:hAnsiTheme="minorEastAsia" w:eastAsiaTheme="minorEastAsia" w:cstheme="minorEastAsia"/>
          <w:bCs/>
          <w:color w:val="auto"/>
          <w:sz w:val="22"/>
          <w:szCs w:val="22"/>
          <w:highlight w:val="none"/>
          <w:lang w:eastAsia="zh-CN"/>
        </w:rPr>
        <w:t>自行承担。]</w:t>
      </w:r>
    </w:p>
    <w:p w14:paraId="232CA95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17.3磋商保证金不计息。</w:t>
      </w:r>
    </w:p>
    <w:p w14:paraId="325AA59D">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 xml:space="preserve">17.4供应商有下列情形之一的，磋商保证金将不予退还： </w:t>
      </w:r>
    </w:p>
    <w:p w14:paraId="124E574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（1）供应商在提交响应文件截止时间后撤回响应文件的；</w:t>
      </w:r>
    </w:p>
    <w:p w14:paraId="010E9B1C">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（2）供应商在响应文件中提供虚假材料的；</w:t>
      </w:r>
    </w:p>
    <w:p w14:paraId="749EE478">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（3）除因不可抗力或者磋商文件认可的情形以外，成交供应商不与采购人签订合同的；</w:t>
      </w:r>
    </w:p>
    <w:p w14:paraId="5979C26C">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（4）供应商与采购人、其他供应商或者采购代理机构恶意串通的；</w:t>
      </w:r>
    </w:p>
    <w:p w14:paraId="7B7AFCD1">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（5）磋商文件规定的其他情形。</w:t>
      </w:r>
    </w:p>
    <w:p w14:paraId="2D8F629D">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18.响应文件编制的要求</w:t>
      </w:r>
    </w:p>
    <w:p w14:paraId="1D0E91B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由此引发的后果由供应商承担。</w:t>
      </w:r>
    </w:p>
    <w:p w14:paraId="7ACA23C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18.2响应文件应按资格证明、报价分别编制，商务技术文件合并编制，本磋商只接受电子版响应文件，要求见本章“12.2响应文件电子版要求”。</w:t>
      </w:r>
    </w:p>
    <w:p w14:paraId="2532306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18.</w:t>
      </w:r>
      <w:bookmarkStart w:id="42" w:name="_Hlk65832699"/>
      <w:r>
        <w:rPr>
          <w:rFonts w:hint="eastAsia" w:asciiTheme="minorEastAsia" w:hAnsiTheme="minorEastAsia" w:eastAsiaTheme="minorEastAsia" w:cstheme="minorEastAsia"/>
          <w:color w:val="auto"/>
          <w:sz w:val="22"/>
          <w:szCs w:val="22"/>
          <w:highlight w:val="none"/>
        </w:rPr>
        <w:t>3响应文件须由供应商在</w:t>
      </w:r>
      <w:r>
        <w:rPr>
          <w:rFonts w:hint="eastAsia" w:asciiTheme="minorEastAsia" w:hAnsiTheme="minorEastAsia" w:eastAsiaTheme="minorEastAsia" w:cstheme="minorEastAsia"/>
          <w:color w:val="auto"/>
          <w:kern w:val="0"/>
          <w:sz w:val="22"/>
          <w:szCs w:val="22"/>
          <w:highlight w:val="none"/>
          <w:lang w:val="zh-CN"/>
        </w:rPr>
        <w:t>“</w:t>
      </w:r>
      <w:r>
        <w:rPr>
          <w:rFonts w:hint="eastAsia" w:asciiTheme="minorEastAsia" w:hAnsiTheme="minorEastAsia" w:eastAsiaTheme="minorEastAsia" w:cstheme="minorEastAsia"/>
          <w:color w:val="auto"/>
          <w:sz w:val="22"/>
          <w:szCs w:val="22"/>
          <w:highlight w:val="none"/>
        </w:rPr>
        <w:t>第五章 响应文件格式</w:t>
      </w:r>
      <w:r>
        <w:rPr>
          <w:rFonts w:hint="eastAsia" w:asciiTheme="minorEastAsia" w:hAnsiTheme="minorEastAsia" w:eastAsiaTheme="minorEastAsia" w:cstheme="minorEastAsia"/>
          <w:color w:val="auto"/>
          <w:kern w:val="0"/>
          <w:sz w:val="22"/>
          <w:szCs w:val="22"/>
          <w:highlight w:val="none"/>
          <w:lang w:val="zh-CN"/>
        </w:rPr>
        <w:t>”</w:t>
      </w:r>
      <w:r>
        <w:rPr>
          <w:rFonts w:hint="eastAsia" w:asciiTheme="minorEastAsia" w:hAnsiTheme="minorEastAsia" w:eastAsiaTheme="minorEastAsia" w:cstheme="minorEastAsia"/>
          <w:color w:val="auto"/>
          <w:sz w:val="22"/>
          <w:szCs w:val="22"/>
          <w:highlight w:val="none"/>
        </w:rPr>
        <w:t>规定位置进行签署、盖章</w:t>
      </w:r>
      <w:bookmarkEnd w:id="42"/>
      <w:r>
        <w:rPr>
          <w:rFonts w:hint="eastAsia" w:asciiTheme="minorEastAsia" w:hAnsiTheme="minorEastAsia" w:eastAsiaTheme="minorEastAsia" w:cstheme="minorEastAsia"/>
          <w:color w:val="auto"/>
          <w:sz w:val="22"/>
          <w:szCs w:val="22"/>
          <w:highlight w:val="none"/>
        </w:rPr>
        <w:t>，否则其响应文件按无效响应处理。骑缝盖公章不视为在规定位置盖章。</w:t>
      </w:r>
    </w:p>
    <w:p w14:paraId="6CAEEFC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18.4响应文件中标注的供应商名称应与营业执照（事业单位法人证书、执业许可证、自然人身份证）及电子公章一致，否则其响应文件按无效响应处理。</w:t>
      </w:r>
    </w:p>
    <w:p w14:paraId="00B7A44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18.5响应文件应避免涂改、行间插字或者删除，否则其响应文件按无效响应处理。</w:t>
      </w:r>
    </w:p>
    <w:p w14:paraId="0F7F97D1">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19.响应文件的密封和标记</w:t>
      </w:r>
    </w:p>
    <w:p w14:paraId="37C75FB8">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19.1供应商进行电子交易应安装客户端软件—“广西政府采购云平台电子交易客户端”，并按照磋商文件和电子交易平台的要求编制并加密响应文件。供应商未按规定加密的响应文件，电子交易平台将拒收并提示。</w:t>
      </w:r>
    </w:p>
    <w:p w14:paraId="7EEB90B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19.2使用“广西政府采购云平台电子交易客户端”需要提前申领CA数字证书，申领流程见该项目采购公告附件。</w:t>
      </w:r>
    </w:p>
    <w:p w14:paraId="237C0919">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4830D3BB">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20.响应文件的提交</w:t>
      </w:r>
    </w:p>
    <w:p w14:paraId="30B7ACB5">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20.1供应商必须在“供应商须知前附表”规定的时间和地点提交响应文件。</w:t>
      </w:r>
    </w:p>
    <w:p w14:paraId="0A41783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20.2 在响应文件提交截止时间以后，不能补充、修改响应文件。</w:t>
      </w:r>
    </w:p>
    <w:p w14:paraId="2B802BB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20.3 在提交“最后报价”后，供应商不能退出</w:t>
      </w:r>
      <w:r>
        <w:rPr>
          <w:rFonts w:hint="eastAsia" w:asciiTheme="minorEastAsia" w:hAnsiTheme="minorEastAsia" w:eastAsiaTheme="minorEastAsia" w:cstheme="minorEastAsia"/>
          <w:color w:val="auto"/>
          <w:sz w:val="22"/>
          <w:szCs w:val="22"/>
          <w:highlight w:val="none"/>
          <w:lang w:val="en-US" w:eastAsia="zh-CN"/>
        </w:rPr>
        <w:t>磋商</w:t>
      </w:r>
      <w:r>
        <w:rPr>
          <w:rFonts w:hint="eastAsia" w:asciiTheme="minorEastAsia" w:hAnsiTheme="minorEastAsia" w:eastAsiaTheme="minorEastAsia" w:cstheme="minorEastAsia"/>
          <w:color w:val="auto"/>
          <w:sz w:val="22"/>
          <w:szCs w:val="22"/>
          <w:highlight w:val="none"/>
        </w:rPr>
        <w:t>。</w:t>
      </w:r>
    </w:p>
    <w:p w14:paraId="4C301C5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3F3994B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20.5 采购机构不可视情况延长提交响应文件的截止时间。</w:t>
      </w:r>
    </w:p>
    <w:p w14:paraId="53AE5870">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20.6备份响应文件。</w:t>
      </w:r>
      <w:r>
        <w:rPr>
          <w:rFonts w:hint="eastAsia" w:asciiTheme="minorEastAsia" w:hAnsiTheme="minorEastAsia" w:eastAsiaTheme="minorEastAsia" w:cstheme="minorEastAsia"/>
          <w:bCs/>
          <w:color w:val="auto"/>
          <w:sz w:val="22"/>
          <w:szCs w:val="22"/>
          <w:highlight w:val="none"/>
        </w:rPr>
        <w:t>详见在“供应商须知前附表”。</w:t>
      </w:r>
    </w:p>
    <w:p w14:paraId="76EDFBB9">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21.首次响应文件的补充、修改与撤回</w:t>
      </w:r>
    </w:p>
    <w:p w14:paraId="74A9EA10">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0AFAFA48">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bookmarkStart w:id="43" w:name="_Hlk45702405"/>
      <w:r>
        <w:rPr>
          <w:rFonts w:hint="eastAsia" w:asciiTheme="minorEastAsia" w:hAnsiTheme="minorEastAsia" w:eastAsiaTheme="minorEastAsia" w:cstheme="minorEastAsia"/>
          <w:b/>
          <w:bCs/>
          <w:color w:val="auto"/>
          <w:sz w:val="22"/>
          <w:szCs w:val="22"/>
          <w:highlight w:val="none"/>
        </w:rPr>
        <w:t>22.首次响应文件的退回</w:t>
      </w:r>
    </w:p>
    <w:p w14:paraId="6ADDD09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在首次响应文件提交截止时间止提交响应文件的供应商不足3家时电子响应文件由代理机构在“</w:t>
      </w:r>
      <w:r>
        <w:rPr>
          <w:rFonts w:hint="eastAsia" w:asciiTheme="minorEastAsia" w:hAnsiTheme="minorEastAsia" w:eastAsiaTheme="minorEastAsia" w:cstheme="minorEastAsia"/>
          <w:color w:val="auto"/>
          <w:sz w:val="22"/>
          <w:szCs w:val="22"/>
          <w:highlight w:val="none"/>
          <w:lang w:eastAsia="zh-CN"/>
        </w:rPr>
        <w:t>广西政府采购云平台</w:t>
      </w:r>
      <w:r>
        <w:rPr>
          <w:rFonts w:hint="eastAsia" w:asciiTheme="minorEastAsia" w:hAnsiTheme="minorEastAsia" w:eastAsiaTheme="minorEastAsia" w:cstheme="minorEastAsia"/>
          <w:color w:val="auto"/>
          <w:sz w:val="22"/>
          <w:szCs w:val="22"/>
          <w:highlight w:val="none"/>
        </w:rPr>
        <w:t>”平台操作退回，除此之外采购人和采购代理机构对已提交的电子响应文件概不退回。</w:t>
      </w:r>
    </w:p>
    <w:p w14:paraId="4EE973A6">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23.截止时间后的撤回</w:t>
      </w:r>
    </w:p>
    <w:bookmarkEnd w:id="43"/>
    <w:p w14:paraId="2FF9175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供应商在首次响应文件提交截止时间后向采购人、采购代理机构书面申请撤回响应文件的，将根据本须知正文17.4的规定不予退还其磋商保证金。</w:t>
      </w:r>
    </w:p>
    <w:p w14:paraId="3D55E220">
      <w:pPr>
        <w:keepNext/>
        <w:keepLines/>
        <w:pageBreakBefore w:val="0"/>
        <w:widowControl w:val="0"/>
        <w:kinsoku/>
        <w:wordWrap/>
        <w:overflowPunct/>
        <w:topLinePunct w:val="0"/>
        <w:autoSpaceDE/>
        <w:autoSpaceDN/>
        <w:bidi w:val="0"/>
        <w:adjustRightInd/>
        <w:snapToGrid/>
        <w:spacing w:line="360" w:lineRule="auto"/>
        <w:ind w:firstLine="482" w:firstLineChars="200"/>
        <w:outlineLvl w:val="2"/>
        <w:rPr>
          <w:rFonts w:hint="eastAsia" w:asciiTheme="minorEastAsia" w:hAnsiTheme="minorEastAsia" w:eastAsiaTheme="minorEastAsia" w:cstheme="minorEastAsia"/>
          <w:color w:val="auto"/>
          <w:sz w:val="22"/>
          <w:szCs w:val="22"/>
          <w:highlight w:val="none"/>
        </w:rPr>
      </w:pPr>
      <w:bookmarkStart w:id="44" w:name="_Toc26182"/>
      <w:r>
        <w:rPr>
          <w:rFonts w:hint="eastAsia" w:asciiTheme="minorEastAsia" w:hAnsiTheme="minorEastAsia" w:eastAsiaTheme="minorEastAsia" w:cstheme="minorEastAsia"/>
          <w:b/>
          <w:bCs/>
          <w:color w:val="auto"/>
          <w:sz w:val="24"/>
          <w:szCs w:val="24"/>
          <w:highlight w:val="none"/>
        </w:rPr>
        <w:t>四、评审及磋商</w:t>
      </w:r>
      <w:bookmarkEnd w:id="44"/>
    </w:p>
    <w:p w14:paraId="4636F997">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24.磋商小组成立</w:t>
      </w:r>
    </w:p>
    <w:p w14:paraId="7CF65434">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38DD526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59C8ECA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24.3</w:t>
      </w:r>
      <w:r>
        <w:rPr>
          <w:rFonts w:hint="eastAsia" w:asciiTheme="minorEastAsia" w:hAnsiTheme="minorEastAsia" w:eastAsiaTheme="minorEastAsia" w:cstheme="minorEastAsia"/>
          <w:color w:val="auto"/>
          <w:sz w:val="22"/>
          <w:szCs w:val="22"/>
          <w:highlight w:val="none"/>
        </w:rPr>
        <w:t>本项目磋商小组由评审专家</w:t>
      </w:r>
      <w:r>
        <w:rPr>
          <w:rFonts w:hint="eastAsia" w:asciiTheme="minorEastAsia" w:hAnsiTheme="minorEastAsia" w:eastAsiaTheme="minorEastAsia" w:cstheme="minorEastAsia"/>
          <w:color w:val="auto"/>
          <w:sz w:val="22"/>
          <w:szCs w:val="22"/>
          <w:highlight w:val="none"/>
          <w:u w:val="single"/>
          <w:lang w:val="en-US" w:eastAsia="zh-CN"/>
        </w:rPr>
        <w:t xml:space="preserve"> </w:t>
      </w:r>
      <w:r>
        <w:rPr>
          <w:rFonts w:hint="eastAsia" w:asciiTheme="minorEastAsia" w:hAnsiTheme="minorEastAsia" w:eastAsiaTheme="minorEastAsia" w:cstheme="minorEastAsia"/>
          <w:color w:val="auto"/>
          <w:sz w:val="22"/>
          <w:szCs w:val="22"/>
          <w:highlight w:val="none"/>
          <w:u w:val="single"/>
        </w:rPr>
        <w:t xml:space="preserve"> 2</w:t>
      </w:r>
      <w:r>
        <w:rPr>
          <w:rFonts w:hint="eastAsia" w:asciiTheme="minorEastAsia" w:hAnsiTheme="minorEastAsia" w:eastAsiaTheme="minorEastAsia" w:cstheme="minorEastAsia"/>
          <w:color w:val="auto"/>
          <w:sz w:val="22"/>
          <w:szCs w:val="22"/>
          <w:highlight w:val="none"/>
          <w:u w:val="single"/>
          <w:lang w:val="en-US" w:eastAsia="zh-CN"/>
        </w:rPr>
        <w:t xml:space="preserve">  </w:t>
      </w:r>
      <w:r>
        <w:rPr>
          <w:rFonts w:hint="eastAsia" w:asciiTheme="minorEastAsia" w:hAnsiTheme="minorEastAsia" w:eastAsiaTheme="minorEastAsia" w:cstheme="minorEastAsia"/>
          <w:color w:val="auto"/>
          <w:sz w:val="22"/>
          <w:szCs w:val="22"/>
          <w:highlight w:val="none"/>
        </w:rPr>
        <w:t>人和采购人代表</w:t>
      </w:r>
      <w:r>
        <w:rPr>
          <w:rFonts w:hint="eastAsia" w:asciiTheme="minorEastAsia" w:hAnsiTheme="minorEastAsia" w:eastAsiaTheme="minorEastAsia" w:cstheme="minorEastAsia"/>
          <w:color w:val="auto"/>
          <w:sz w:val="22"/>
          <w:szCs w:val="22"/>
          <w:highlight w:val="none"/>
          <w:u w:val="single"/>
          <w:lang w:val="en-US" w:eastAsia="zh-CN"/>
        </w:rPr>
        <w:t xml:space="preserve"> </w:t>
      </w:r>
      <w:r>
        <w:rPr>
          <w:rFonts w:hint="eastAsia" w:asciiTheme="minorEastAsia" w:hAnsiTheme="minorEastAsia" w:eastAsiaTheme="minorEastAsia" w:cstheme="minorEastAsia"/>
          <w:color w:val="auto"/>
          <w:sz w:val="22"/>
          <w:szCs w:val="22"/>
          <w:highlight w:val="none"/>
          <w:u w:val="single"/>
        </w:rPr>
        <w:t xml:space="preserve"> 1 </w:t>
      </w:r>
      <w:r>
        <w:rPr>
          <w:rFonts w:hint="eastAsia" w:asciiTheme="minorEastAsia" w:hAnsiTheme="minorEastAsia" w:eastAsiaTheme="minorEastAsia" w:cstheme="minorEastAsia"/>
          <w:color w:val="auto"/>
          <w:sz w:val="22"/>
          <w:szCs w:val="22"/>
          <w:highlight w:val="none"/>
          <w:u w:val="single"/>
          <w:lang w:val="en-US" w:eastAsia="zh-CN"/>
        </w:rPr>
        <w:t xml:space="preserve"> </w:t>
      </w:r>
      <w:r>
        <w:rPr>
          <w:rFonts w:hint="eastAsia" w:asciiTheme="minorEastAsia" w:hAnsiTheme="minorEastAsia" w:eastAsiaTheme="minorEastAsia" w:cstheme="minorEastAsia"/>
          <w:color w:val="auto"/>
          <w:sz w:val="22"/>
          <w:szCs w:val="22"/>
          <w:highlight w:val="none"/>
        </w:rPr>
        <w:t>人，共</w:t>
      </w:r>
      <w:r>
        <w:rPr>
          <w:rFonts w:hint="eastAsia" w:asciiTheme="minorEastAsia" w:hAnsiTheme="minorEastAsia" w:eastAsiaTheme="minorEastAsia" w:cstheme="minorEastAsia"/>
          <w:color w:val="auto"/>
          <w:sz w:val="22"/>
          <w:szCs w:val="22"/>
          <w:highlight w:val="none"/>
          <w:u w:val="single"/>
          <w:lang w:val="en-US" w:eastAsia="zh-CN"/>
        </w:rPr>
        <w:t xml:space="preserve"> </w:t>
      </w:r>
      <w:r>
        <w:rPr>
          <w:rFonts w:hint="eastAsia" w:asciiTheme="minorEastAsia" w:hAnsiTheme="minorEastAsia" w:eastAsiaTheme="minorEastAsia" w:cstheme="minorEastAsia"/>
          <w:color w:val="auto"/>
          <w:sz w:val="22"/>
          <w:szCs w:val="22"/>
          <w:highlight w:val="none"/>
          <w:u w:val="single"/>
        </w:rPr>
        <w:t xml:space="preserve"> 3</w:t>
      </w:r>
      <w:r>
        <w:rPr>
          <w:rFonts w:hint="eastAsia" w:asciiTheme="minorEastAsia" w:hAnsiTheme="minorEastAsia" w:eastAsiaTheme="minorEastAsia" w:cstheme="minorEastAsia"/>
          <w:color w:val="auto"/>
          <w:sz w:val="22"/>
          <w:szCs w:val="22"/>
          <w:highlight w:val="none"/>
          <w:u w:val="single"/>
          <w:lang w:val="en-US" w:eastAsia="zh-CN"/>
        </w:rPr>
        <w:t xml:space="preserve">  </w:t>
      </w:r>
      <w:r>
        <w:rPr>
          <w:rFonts w:hint="eastAsia" w:asciiTheme="minorEastAsia" w:hAnsiTheme="minorEastAsia" w:eastAsiaTheme="minorEastAsia" w:cstheme="minorEastAsia"/>
          <w:color w:val="auto"/>
          <w:sz w:val="22"/>
          <w:szCs w:val="22"/>
          <w:highlight w:val="none"/>
        </w:rPr>
        <w:t>人组成。</w:t>
      </w:r>
    </w:p>
    <w:p w14:paraId="39DCD1F3">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25.首次响应文件的开启</w:t>
      </w:r>
    </w:p>
    <w:p w14:paraId="62717D8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25.1首次响应文件由磋商小组或者采购代理机构在“供应商须知前附表”规定的时间开启。</w:t>
      </w:r>
    </w:p>
    <w:p w14:paraId="7EAAB14D">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Cs/>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 xml:space="preserve">25.2 </w:t>
      </w:r>
      <w:r>
        <w:rPr>
          <w:rFonts w:hint="eastAsia" w:asciiTheme="minorEastAsia" w:hAnsiTheme="minorEastAsia" w:eastAsiaTheme="minorEastAsia" w:cstheme="minorEastAsia"/>
          <w:bCs/>
          <w:color w:val="auto"/>
          <w:kern w:val="0"/>
          <w:sz w:val="22"/>
          <w:szCs w:val="22"/>
          <w:highlight w:val="none"/>
        </w:rPr>
        <w:t>响应文件解密</w:t>
      </w:r>
    </w:p>
    <w:p w14:paraId="3A050DC5">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bCs/>
          <w:color w:val="auto"/>
          <w:kern w:val="0"/>
          <w:sz w:val="22"/>
          <w:szCs w:val="22"/>
          <w:highlight w:val="none"/>
        </w:rPr>
        <w:t>采购代理机构将在“供应商须知前附表”规定的时</w:t>
      </w:r>
      <w:r>
        <w:rPr>
          <w:rFonts w:hint="eastAsia" w:asciiTheme="minorEastAsia" w:hAnsiTheme="minorEastAsia" w:eastAsiaTheme="minorEastAsia" w:cstheme="minorEastAsia"/>
          <w:color w:val="auto"/>
          <w:kern w:val="0"/>
          <w:sz w:val="22"/>
          <w:szCs w:val="22"/>
          <w:highlight w:val="none"/>
        </w:rPr>
        <w:t>间通过电子交易平台组织响应文件开启，采购机构依托电子交易平台发起开始解密指令，供应商的法定代表人或其委托代理人</w:t>
      </w:r>
      <w:r>
        <w:rPr>
          <w:rFonts w:hint="eastAsia" w:asciiTheme="minorEastAsia" w:hAnsiTheme="minorEastAsia" w:eastAsiaTheme="minorEastAsia" w:cstheme="minorEastAsia"/>
          <w:b/>
          <w:color w:val="auto"/>
          <w:kern w:val="0"/>
          <w:sz w:val="22"/>
          <w:szCs w:val="22"/>
          <w:highlight w:val="none"/>
        </w:rPr>
        <w:t>须携带加密时所用的CA锁按平台提示和采购文件的规定登录到“</w:t>
      </w:r>
      <w:r>
        <w:rPr>
          <w:rFonts w:hint="eastAsia" w:asciiTheme="minorEastAsia" w:hAnsiTheme="minorEastAsia" w:eastAsiaTheme="minorEastAsia" w:cstheme="minorEastAsia"/>
          <w:b/>
          <w:color w:val="auto"/>
          <w:kern w:val="0"/>
          <w:sz w:val="22"/>
          <w:szCs w:val="22"/>
          <w:highlight w:val="none"/>
          <w:lang w:eastAsia="zh-CN"/>
        </w:rPr>
        <w:t>广西政府采购云平台</w:t>
      </w:r>
      <w:r>
        <w:rPr>
          <w:rFonts w:hint="eastAsia" w:asciiTheme="minorEastAsia" w:hAnsiTheme="minorEastAsia" w:eastAsiaTheme="minorEastAsia" w:cstheme="minorEastAsia"/>
          <w:b/>
          <w:color w:val="auto"/>
          <w:kern w:val="0"/>
          <w:sz w:val="22"/>
          <w:szCs w:val="22"/>
          <w:highlight w:val="none"/>
        </w:rPr>
        <w:t>”平台电子开标大厅签到并在发起解密指令之时起30分钟内完成对电子响应文件在线解密</w:t>
      </w:r>
      <w:r>
        <w:rPr>
          <w:rFonts w:hint="eastAsia" w:asciiTheme="minorEastAsia" w:hAnsiTheme="minorEastAsia" w:eastAsiaTheme="minorEastAsia" w:cstheme="minorEastAsia"/>
          <w:color w:val="auto"/>
          <w:kern w:val="0"/>
          <w:sz w:val="22"/>
          <w:szCs w:val="22"/>
          <w:highlight w:val="none"/>
        </w:rPr>
        <w:t>。发起解密指令之时起5分钟内供应商还未进行解密的，代理机构要通知供应商，供应商没预留联系方式或预留联系方式无效，导致代理机构无法联系到供应商进行解密的，</w:t>
      </w:r>
      <w:r>
        <w:rPr>
          <w:rFonts w:hint="eastAsia" w:asciiTheme="minorEastAsia" w:hAnsiTheme="minorEastAsia" w:eastAsiaTheme="minorEastAsia" w:cstheme="minorEastAsia"/>
          <w:b/>
          <w:color w:val="auto"/>
          <w:kern w:val="0"/>
          <w:sz w:val="22"/>
          <w:szCs w:val="22"/>
          <w:highlight w:val="none"/>
        </w:rPr>
        <w:t>视为响应文件无效。</w:t>
      </w:r>
      <w:r>
        <w:rPr>
          <w:rFonts w:hint="eastAsia" w:asciiTheme="minorEastAsia" w:hAnsiTheme="minorEastAsia" w:eastAsiaTheme="minorEastAsia" w:cstheme="minorEastAsia"/>
          <w:color w:val="auto"/>
          <w:kern w:val="0"/>
          <w:sz w:val="22"/>
          <w:szCs w:val="22"/>
          <w:highlight w:val="none"/>
        </w:rPr>
        <w:t>（解密</w:t>
      </w:r>
      <w:r>
        <w:rPr>
          <w:rFonts w:hint="eastAsia" w:asciiTheme="minorEastAsia" w:hAnsiTheme="minorEastAsia" w:eastAsiaTheme="minorEastAsia" w:cstheme="minorEastAsia"/>
          <w:bCs/>
          <w:color w:val="auto"/>
          <w:kern w:val="0"/>
          <w:sz w:val="22"/>
          <w:szCs w:val="22"/>
          <w:highlight w:val="none"/>
        </w:rPr>
        <w:t>异常情况处理：详见本章</w:t>
      </w:r>
      <w:r>
        <w:rPr>
          <w:rFonts w:hint="eastAsia" w:asciiTheme="minorEastAsia" w:hAnsiTheme="minorEastAsia" w:eastAsiaTheme="minorEastAsia" w:cstheme="minorEastAsia"/>
          <w:color w:val="auto"/>
          <w:kern w:val="0"/>
          <w:sz w:val="22"/>
          <w:szCs w:val="22"/>
          <w:highlight w:val="none"/>
        </w:rPr>
        <w:t>26.</w:t>
      </w:r>
      <w:r>
        <w:rPr>
          <w:rFonts w:hint="eastAsia" w:asciiTheme="minorEastAsia" w:hAnsiTheme="minorEastAsia" w:eastAsiaTheme="minorEastAsia" w:cstheme="minorEastAsia"/>
          <w:color w:val="auto"/>
          <w:kern w:val="0"/>
          <w:sz w:val="22"/>
          <w:szCs w:val="22"/>
          <w:highlight w:val="none"/>
          <w:lang w:val="en-US" w:eastAsia="zh-CN"/>
        </w:rPr>
        <w:t>4</w:t>
      </w:r>
      <w:r>
        <w:rPr>
          <w:rFonts w:hint="eastAsia" w:asciiTheme="minorEastAsia" w:hAnsiTheme="minorEastAsia" w:eastAsiaTheme="minorEastAsia" w:cstheme="minorEastAsia"/>
          <w:color w:val="auto"/>
          <w:kern w:val="0"/>
          <w:sz w:val="22"/>
          <w:szCs w:val="22"/>
          <w:highlight w:val="none"/>
        </w:rPr>
        <w:t xml:space="preserve"> 电子交易活动的中止。）</w:t>
      </w:r>
    </w:p>
    <w:p w14:paraId="7894EEA0">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如</w:t>
      </w:r>
      <w:r>
        <w:rPr>
          <w:rFonts w:hint="eastAsia" w:asciiTheme="minorEastAsia" w:hAnsiTheme="minorEastAsia" w:eastAsiaTheme="minorEastAsia" w:cstheme="minorEastAsia"/>
          <w:bCs/>
          <w:color w:val="auto"/>
          <w:kern w:val="0"/>
          <w:sz w:val="22"/>
          <w:szCs w:val="22"/>
          <w:highlight w:val="none"/>
        </w:rPr>
        <w:t>供应商成功解密响应文件，但未在“</w:t>
      </w:r>
      <w:r>
        <w:rPr>
          <w:rFonts w:hint="eastAsia" w:asciiTheme="minorEastAsia" w:hAnsiTheme="minorEastAsia" w:eastAsiaTheme="minorEastAsia" w:cstheme="minorEastAsia"/>
          <w:bCs/>
          <w:color w:val="auto"/>
          <w:kern w:val="0"/>
          <w:sz w:val="22"/>
          <w:szCs w:val="22"/>
          <w:highlight w:val="none"/>
          <w:lang w:eastAsia="zh-CN"/>
        </w:rPr>
        <w:t>广西政府采购云平台</w:t>
      </w:r>
      <w:r>
        <w:rPr>
          <w:rFonts w:hint="eastAsia" w:asciiTheme="minorEastAsia" w:hAnsiTheme="minorEastAsia" w:eastAsiaTheme="minorEastAsia" w:cstheme="minorEastAsia"/>
          <w:bCs/>
          <w:color w:val="auto"/>
          <w:kern w:val="0"/>
          <w:sz w:val="22"/>
          <w:szCs w:val="22"/>
          <w:highlight w:val="none"/>
        </w:rPr>
        <w:t>”电子开标大厅参加</w:t>
      </w:r>
      <w:r>
        <w:rPr>
          <w:rFonts w:hint="eastAsia" w:asciiTheme="minorEastAsia" w:hAnsiTheme="minorEastAsia" w:eastAsiaTheme="minorEastAsia" w:cstheme="minorEastAsia"/>
          <w:bCs/>
          <w:color w:val="auto"/>
          <w:kern w:val="0"/>
          <w:sz w:val="22"/>
          <w:szCs w:val="22"/>
          <w:highlight w:val="none"/>
          <w:lang w:eastAsia="zh-CN"/>
        </w:rPr>
        <w:t>磋商</w:t>
      </w:r>
      <w:r>
        <w:rPr>
          <w:rFonts w:hint="eastAsia" w:asciiTheme="minorEastAsia" w:hAnsiTheme="minorEastAsia" w:eastAsiaTheme="minorEastAsia" w:cstheme="minorEastAsia"/>
          <w:bCs/>
          <w:color w:val="auto"/>
          <w:kern w:val="0"/>
          <w:sz w:val="22"/>
          <w:szCs w:val="22"/>
          <w:highlight w:val="none"/>
        </w:rPr>
        <w:t>的，视同认可</w:t>
      </w:r>
      <w:r>
        <w:rPr>
          <w:rFonts w:hint="eastAsia" w:asciiTheme="minorEastAsia" w:hAnsiTheme="minorEastAsia" w:eastAsiaTheme="minorEastAsia" w:cstheme="minorEastAsia"/>
          <w:bCs/>
          <w:color w:val="auto"/>
          <w:kern w:val="0"/>
          <w:sz w:val="22"/>
          <w:szCs w:val="22"/>
          <w:highlight w:val="none"/>
          <w:lang w:eastAsia="zh-CN"/>
        </w:rPr>
        <w:t>磋商</w:t>
      </w:r>
      <w:r>
        <w:rPr>
          <w:rFonts w:hint="eastAsia" w:asciiTheme="minorEastAsia" w:hAnsiTheme="minorEastAsia" w:eastAsiaTheme="minorEastAsia" w:cstheme="minorEastAsia"/>
          <w:bCs/>
          <w:color w:val="auto"/>
          <w:kern w:val="0"/>
          <w:sz w:val="22"/>
          <w:szCs w:val="22"/>
          <w:highlight w:val="none"/>
        </w:rPr>
        <w:t>过程和结果，</w:t>
      </w:r>
      <w:r>
        <w:rPr>
          <w:rFonts w:hint="eastAsia" w:asciiTheme="minorEastAsia" w:hAnsiTheme="minorEastAsia" w:eastAsiaTheme="minorEastAsia" w:cstheme="minorEastAsia"/>
          <w:color w:val="auto"/>
          <w:kern w:val="0"/>
          <w:sz w:val="22"/>
          <w:szCs w:val="22"/>
          <w:highlight w:val="none"/>
        </w:rPr>
        <w:t>由此产生的后果由供应商自行负责。参与</w:t>
      </w:r>
      <w:r>
        <w:rPr>
          <w:rFonts w:hint="eastAsia" w:asciiTheme="minorEastAsia" w:hAnsiTheme="minorEastAsia" w:eastAsiaTheme="minorEastAsia" w:cstheme="minorEastAsia"/>
          <w:color w:val="auto"/>
          <w:kern w:val="0"/>
          <w:sz w:val="22"/>
          <w:szCs w:val="22"/>
          <w:highlight w:val="none"/>
          <w:lang w:eastAsia="zh-CN"/>
        </w:rPr>
        <w:t>磋商</w:t>
      </w:r>
      <w:r>
        <w:rPr>
          <w:rFonts w:hint="eastAsia" w:asciiTheme="minorEastAsia" w:hAnsiTheme="minorEastAsia" w:eastAsiaTheme="minorEastAsia" w:cstheme="minorEastAsia"/>
          <w:color w:val="auto"/>
          <w:kern w:val="0"/>
          <w:sz w:val="22"/>
          <w:szCs w:val="22"/>
          <w:highlight w:val="none"/>
        </w:rPr>
        <w:t>的供应商不足3家的，不得</w:t>
      </w:r>
      <w:r>
        <w:rPr>
          <w:rFonts w:hint="eastAsia" w:asciiTheme="minorEastAsia" w:hAnsiTheme="minorEastAsia" w:eastAsiaTheme="minorEastAsia" w:cstheme="minorEastAsia"/>
          <w:color w:val="auto"/>
          <w:kern w:val="0"/>
          <w:sz w:val="22"/>
          <w:szCs w:val="22"/>
          <w:highlight w:val="none"/>
          <w:lang w:eastAsia="zh-CN"/>
        </w:rPr>
        <w:t>磋商</w:t>
      </w:r>
      <w:r>
        <w:rPr>
          <w:rFonts w:hint="eastAsia" w:asciiTheme="minorEastAsia" w:hAnsiTheme="minorEastAsia" w:eastAsiaTheme="minorEastAsia" w:cstheme="minorEastAsia"/>
          <w:color w:val="auto"/>
          <w:kern w:val="0"/>
          <w:sz w:val="22"/>
          <w:szCs w:val="22"/>
          <w:highlight w:val="none"/>
        </w:rPr>
        <w:t>。</w:t>
      </w:r>
    </w:p>
    <w:p w14:paraId="7D5EE49B">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26.评审程序、评审方法和评审标准</w:t>
      </w:r>
    </w:p>
    <w:p w14:paraId="0E17484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26.1磋商小组按照“第四章 评审程序、评审方法和评审标准”规定的方法、评审因素、标准和程序对响应文件进行评审。</w:t>
      </w:r>
    </w:p>
    <w:p w14:paraId="7D1E63ED">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26.2磋商文件内容违反国家有关强制性规定的，磋商小组应当停止评审并向采购人或者采购代理机构说明情况，并在评审报告中书面体现。</w:t>
      </w:r>
    </w:p>
    <w:p w14:paraId="2F604BB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26.</w:t>
      </w:r>
      <w:r>
        <w:rPr>
          <w:rFonts w:hint="eastAsia" w:asciiTheme="minorEastAsia" w:hAnsiTheme="minorEastAsia" w:eastAsiaTheme="minorEastAsia" w:cstheme="minorEastAsia"/>
          <w:color w:val="auto"/>
          <w:sz w:val="22"/>
          <w:szCs w:val="22"/>
          <w:highlight w:val="none"/>
          <w:lang w:val="en-US" w:eastAsia="zh-CN"/>
        </w:rPr>
        <w:t>3</w:t>
      </w:r>
      <w:r>
        <w:rPr>
          <w:rFonts w:hint="eastAsia" w:asciiTheme="minorEastAsia" w:hAnsiTheme="minorEastAsia" w:eastAsiaTheme="minorEastAsia" w:cstheme="minorEastAsia"/>
          <w:color w:val="auto"/>
          <w:sz w:val="22"/>
          <w:szCs w:val="22"/>
          <w:highlight w:val="none"/>
        </w:rPr>
        <w:t>采购需求负偏离要求及磋商顺序详见“供应商须知前附表”。</w:t>
      </w:r>
    </w:p>
    <w:p w14:paraId="6DA65471">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26.</w:t>
      </w:r>
      <w:r>
        <w:rPr>
          <w:rFonts w:hint="eastAsia" w:asciiTheme="minorEastAsia" w:hAnsiTheme="minorEastAsia" w:eastAsiaTheme="minorEastAsia" w:cstheme="minorEastAsia"/>
          <w:color w:val="auto"/>
          <w:sz w:val="22"/>
          <w:szCs w:val="22"/>
          <w:highlight w:val="none"/>
          <w:lang w:val="en-US" w:eastAsia="zh-CN"/>
        </w:rPr>
        <w:t>4</w:t>
      </w:r>
      <w:r>
        <w:rPr>
          <w:rFonts w:hint="eastAsia" w:asciiTheme="minorEastAsia" w:hAnsiTheme="minorEastAsia" w:eastAsiaTheme="minorEastAsia" w:cstheme="minorEastAsia"/>
          <w:color w:val="auto"/>
          <w:sz w:val="22"/>
          <w:szCs w:val="22"/>
          <w:highlight w:val="none"/>
        </w:rPr>
        <w:t>电子交易活动的中止。采购过程中出现以下情形，导致电子交易平台无法正常运行，或者无法保证电子交易的公平、公正和安全时，采购机构可中止电子交易活动：</w:t>
      </w:r>
    </w:p>
    <w:p w14:paraId="5050048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（1）电子交易平台发生故障而无法登录访问的； </w:t>
      </w:r>
    </w:p>
    <w:p w14:paraId="0950DC1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（2）电子交易平台应用或数据库出现错误，不能进行正常操作的；</w:t>
      </w:r>
    </w:p>
    <w:p w14:paraId="3D8AB31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（3）电子交易平台发现严重安全漏洞，有潜在泄密危险的；</w:t>
      </w:r>
    </w:p>
    <w:p w14:paraId="257AE65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（4）病毒发作导致不能进行正常操作的； </w:t>
      </w:r>
    </w:p>
    <w:p w14:paraId="3E6F8E3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rPr>
        <w:t>）其他无法保证电子交易的公平、公正和安全的情况。</w:t>
      </w:r>
    </w:p>
    <w:p w14:paraId="0402E634">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26.</w:t>
      </w: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2A793EF7">
      <w:pPr>
        <w:keepNext/>
        <w:keepLines/>
        <w:pageBreakBefore w:val="0"/>
        <w:widowControl w:val="0"/>
        <w:kinsoku/>
        <w:wordWrap/>
        <w:overflowPunct/>
        <w:topLinePunct w:val="0"/>
        <w:autoSpaceDE/>
        <w:autoSpaceDN/>
        <w:bidi w:val="0"/>
        <w:adjustRightInd/>
        <w:snapToGrid/>
        <w:spacing w:line="360" w:lineRule="auto"/>
        <w:ind w:firstLine="482" w:firstLineChars="200"/>
        <w:outlineLvl w:val="2"/>
        <w:rPr>
          <w:rFonts w:hint="eastAsia" w:asciiTheme="minorEastAsia" w:hAnsiTheme="minorEastAsia" w:eastAsiaTheme="minorEastAsia" w:cstheme="minorEastAsia"/>
          <w:color w:val="auto"/>
          <w:sz w:val="22"/>
          <w:szCs w:val="22"/>
          <w:highlight w:val="none"/>
        </w:rPr>
      </w:pPr>
      <w:bookmarkStart w:id="45" w:name="_Toc9972"/>
      <w:r>
        <w:rPr>
          <w:rFonts w:hint="eastAsia" w:asciiTheme="minorEastAsia" w:hAnsiTheme="minorEastAsia" w:eastAsiaTheme="minorEastAsia" w:cstheme="minorEastAsia"/>
          <w:b/>
          <w:bCs/>
          <w:color w:val="auto"/>
          <w:sz w:val="24"/>
          <w:szCs w:val="24"/>
          <w:highlight w:val="none"/>
        </w:rPr>
        <w:t>五、成交及合同</w:t>
      </w:r>
      <w:bookmarkEnd w:id="45"/>
    </w:p>
    <w:p w14:paraId="60D71D4A">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27.确定成交供应商及结果公告</w:t>
      </w:r>
    </w:p>
    <w:p w14:paraId="1B5E168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27.1确定成交供应商。</w:t>
      </w:r>
      <w:r>
        <w:rPr>
          <w:rFonts w:hint="eastAsia" w:asciiTheme="minorEastAsia" w:hAnsiTheme="minorEastAsia" w:eastAsiaTheme="minorEastAsia" w:cstheme="minorEastAsia"/>
          <w:color w:val="auto"/>
          <w:kern w:val="0"/>
          <w:sz w:val="22"/>
          <w:szCs w:val="22"/>
          <w:highlight w:val="none"/>
          <w:u w:val="single"/>
        </w:rPr>
        <w:t>由采购人</w:t>
      </w:r>
      <w:r>
        <w:rPr>
          <w:rFonts w:hint="eastAsia" w:asciiTheme="minorEastAsia" w:hAnsiTheme="minorEastAsia" w:eastAsiaTheme="minorEastAsia" w:cstheme="minorEastAsia"/>
          <w:color w:val="auto"/>
          <w:kern w:val="0"/>
          <w:sz w:val="22"/>
          <w:szCs w:val="22"/>
          <w:highlight w:val="none"/>
          <w:u w:val="single"/>
          <w:lang w:val="en-US" w:eastAsia="zh-CN"/>
        </w:rPr>
        <w:t>根据</w:t>
      </w:r>
      <w:r>
        <w:rPr>
          <w:rFonts w:hint="eastAsia" w:asciiTheme="minorEastAsia" w:hAnsiTheme="minorEastAsia" w:eastAsiaTheme="minorEastAsia" w:cstheme="minorEastAsia"/>
          <w:color w:val="auto"/>
          <w:sz w:val="22"/>
          <w:szCs w:val="22"/>
          <w:highlight w:val="none"/>
          <w:u w:val="single"/>
        </w:rPr>
        <w:t>评审报告</w:t>
      </w:r>
      <w:r>
        <w:rPr>
          <w:rFonts w:hint="eastAsia" w:asciiTheme="minorEastAsia" w:hAnsiTheme="minorEastAsia" w:eastAsiaTheme="minorEastAsia" w:cstheme="minorEastAsia"/>
          <w:color w:val="auto"/>
          <w:sz w:val="22"/>
          <w:szCs w:val="22"/>
          <w:highlight w:val="none"/>
          <w:u w:val="single"/>
          <w:lang w:val="en-US" w:eastAsia="zh-CN"/>
        </w:rPr>
        <w:t>确认</w:t>
      </w:r>
      <w:r>
        <w:rPr>
          <w:rFonts w:hint="eastAsia" w:asciiTheme="minorEastAsia" w:hAnsiTheme="minorEastAsia" w:eastAsiaTheme="minorEastAsia" w:cstheme="minorEastAsia"/>
          <w:color w:val="auto"/>
          <w:sz w:val="22"/>
          <w:szCs w:val="22"/>
          <w:highlight w:val="none"/>
          <w:u w:val="single"/>
        </w:rPr>
        <w:t>成交供应商。</w:t>
      </w:r>
    </w:p>
    <w:p w14:paraId="10ADF7F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27.2成交通知及成交结果公告。</w:t>
      </w:r>
      <w:r>
        <w:rPr>
          <w:rFonts w:hint="eastAsia" w:asciiTheme="minorEastAsia" w:hAnsiTheme="minorEastAsia" w:eastAsiaTheme="minorEastAsia" w:cstheme="minorEastAsia"/>
          <w:color w:val="auto"/>
          <w:kern w:val="0"/>
          <w:sz w:val="22"/>
          <w:szCs w:val="22"/>
          <w:highlight w:val="none"/>
        </w:rPr>
        <w:t>成交</w:t>
      </w:r>
      <w:r>
        <w:rPr>
          <w:rFonts w:hint="eastAsia" w:asciiTheme="minorEastAsia" w:hAnsiTheme="minorEastAsia" w:eastAsiaTheme="minorEastAsia" w:cstheme="minorEastAsia"/>
          <w:color w:val="auto"/>
          <w:sz w:val="22"/>
          <w:szCs w:val="22"/>
          <w:highlight w:val="none"/>
        </w:rPr>
        <w:t>供应商确定后2个工作日内，在省级以上财政部门指定的媒体上公</w:t>
      </w:r>
      <w:r>
        <w:rPr>
          <w:rFonts w:hint="eastAsia" w:asciiTheme="minorEastAsia" w:hAnsiTheme="minorEastAsia" w:eastAsiaTheme="minorEastAsia" w:cstheme="minorEastAsia"/>
          <w:color w:val="auto"/>
          <w:kern w:val="0"/>
          <w:sz w:val="22"/>
          <w:szCs w:val="22"/>
          <w:highlight w:val="none"/>
        </w:rPr>
        <w:t>告成交结果（成交通知及成交结果公告应使用</w:t>
      </w:r>
      <w:r>
        <w:rPr>
          <w:rFonts w:hint="eastAsia" w:asciiTheme="minorEastAsia" w:hAnsiTheme="minorEastAsia" w:eastAsiaTheme="minorEastAsia" w:cstheme="minorEastAsia"/>
          <w:color w:val="auto"/>
          <w:kern w:val="0"/>
          <w:sz w:val="22"/>
          <w:szCs w:val="22"/>
          <w:highlight w:val="none"/>
          <w:lang w:val="en-US" w:eastAsia="zh-CN"/>
        </w:rPr>
        <w:t>相应</w:t>
      </w:r>
      <w:r>
        <w:rPr>
          <w:rFonts w:hint="eastAsia" w:asciiTheme="minorEastAsia" w:hAnsiTheme="minorEastAsia" w:eastAsiaTheme="minorEastAsia" w:cstheme="minorEastAsia"/>
          <w:color w:val="auto"/>
          <w:kern w:val="0"/>
          <w:sz w:val="22"/>
          <w:szCs w:val="22"/>
          <w:highlight w:val="none"/>
        </w:rPr>
        <w:t>模板进行公告，公告内容除包含《政府采购公告和公示信息格式规范（2020年版）》要求内容外，还应包含采购人专门面向中小企业预留份额情况及成交供应商评审价格、优惠率等内容），</w:t>
      </w:r>
      <w:r>
        <w:rPr>
          <w:rFonts w:hint="eastAsia" w:asciiTheme="minorEastAsia" w:hAnsiTheme="minorEastAsia" w:eastAsiaTheme="minorEastAsia" w:cstheme="minorEastAsia"/>
          <w:color w:val="auto"/>
          <w:sz w:val="22"/>
          <w:szCs w:val="22"/>
          <w:highlight w:val="none"/>
        </w:rPr>
        <w:t>同时向成交供应商发出成交通知书，成交通知书规定签订合同的时间不得超过25日。</w:t>
      </w:r>
    </w:p>
    <w:p w14:paraId="5287560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27.3采购人或者采购代理机构发出成交通知书前，应当对成交供应商信用进行查询核实，对列入失信被执行人、重大税收违法</w:t>
      </w:r>
      <w:r>
        <w:rPr>
          <w:rFonts w:hint="eastAsia" w:asciiTheme="minorEastAsia" w:hAnsiTheme="minorEastAsia" w:eastAsiaTheme="minorEastAsia" w:cstheme="minorEastAsia"/>
          <w:color w:val="auto"/>
          <w:sz w:val="22"/>
          <w:szCs w:val="22"/>
          <w:highlight w:val="none"/>
          <w:lang w:val="en-US" w:eastAsia="zh-CN"/>
        </w:rPr>
        <w:t>失信主体</w:t>
      </w:r>
      <w:r>
        <w:rPr>
          <w:rFonts w:hint="eastAsia" w:asciiTheme="minorEastAsia" w:hAnsiTheme="minorEastAsia" w:eastAsiaTheme="minorEastAsia" w:cstheme="minorEastAsia"/>
          <w:color w:val="auto"/>
          <w:sz w:val="22"/>
          <w:szCs w:val="22"/>
          <w:highlight w:val="none"/>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681976E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38EAAE0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Cs/>
          <w:color w:val="auto"/>
          <w:sz w:val="22"/>
          <w:szCs w:val="22"/>
          <w:highlight w:val="none"/>
        </w:rPr>
        <w:t>27.5</w:t>
      </w:r>
      <w:r>
        <w:rPr>
          <w:rFonts w:hint="eastAsia" w:asciiTheme="minorEastAsia" w:hAnsiTheme="minorEastAsia" w:eastAsiaTheme="minorEastAsia" w:cstheme="minorEastAsia"/>
          <w:color w:val="auto"/>
          <w:sz w:val="22"/>
          <w:szCs w:val="22"/>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3C28CCC3">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28.履约保证金</w:t>
      </w:r>
    </w:p>
    <w:p w14:paraId="6440BEE0">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color w:val="auto"/>
          <w:sz w:val="22"/>
          <w:szCs w:val="22"/>
          <w:highlight w:val="none"/>
        </w:rPr>
        <w:t>详见“供应商须知前附表”</w:t>
      </w:r>
    </w:p>
    <w:p w14:paraId="6CABC69F">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29.签订合同</w:t>
      </w:r>
    </w:p>
    <w:p w14:paraId="36B25DCC">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Theme="minorEastAsia" w:hAnsiTheme="minorEastAsia" w:eastAsiaTheme="minorEastAsia" w:cstheme="minorEastAsia"/>
          <w:color w:val="auto"/>
          <w:kern w:val="0"/>
          <w:sz w:val="22"/>
          <w:szCs w:val="22"/>
          <w:highlight w:val="none"/>
          <w:lang w:val="zh-CN"/>
        </w:rPr>
        <w:t>如成交供应商为联合体的，由联合体成员各方法定代表人或其授权代表与采购人代表签订合同。</w:t>
      </w:r>
    </w:p>
    <w:p w14:paraId="4B38C6D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7A125BA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6D8311D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29.4如签订合同并生效后，供应商无故拒绝或延期，除按照合同条款处理外，列入不良行为记录，并给予通报。</w:t>
      </w:r>
    </w:p>
    <w:p w14:paraId="58775F28">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29.5采购合同由采购人与成交供应商根据磋商文件、响应文件等内容通过政府采购电子交易平台在线签订，自动备案，在线签订须携带的材料见“供应商须知前附表”。</w:t>
      </w:r>
    </w:p>
    <w:p w14:paraId="6628846D">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30.政府采购合同公告</w:t>
      </w:r>
    </w:p>
    <w:p w14:paraId="69F8C7A0">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5CEEF257">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31.询问、质疑和投诉</w:t>
      </w:r>
    </w:p>
    <w:p w14:paraId="395847F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31.1供应商对政府采购活动事项有疑问的，可以向采购人、采购代理机构提出询问，采购人或者采购代理机构应当在3个工作日内对供应商依法提出的询问作出答复。</w:t>
      </w:r>
    </w:p>
    <w:p w14:paraId="32B3B7E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color w:val="auto"/>
          <w:sz w:val="22"/>
          <w:szCs w:val="22"/>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Theme="minorEastAsia" w:hAnsiTheme="minorEastAsia" w:eastAsiaTheme="minorEastAsia" w:cstheme="minorEastAsia"/>
          <w:color w:val="auto"/>
          <w:sz w:val="22"/>
          <w:szCs w:val="22"/>
          <w:highlight w:val="none"/>
          <w:shd w:val="clear" w:color="auto" w:fill="FFFFFF"/>
        </w:rPr>
        <w:t>接收质疑函的方式、联系部门、联系电话和通讯地址等信息详见</w:t>
      </w:r>
      <w:r>
        <w:rPr>
          <w:rFonts w:hint="eastAsia" w:asciiTheme="minorEastAsia" w:hAnsiTheme="minorEastAsia" w:eastAsiaTheme="minorEastAsia" w:cstheme="minorEastAsia"/>
          <w:color w:val="auto"/>
          <w:sz w:val="22"/>
          <w:szCs w:val="22"/>
          <w:highlight w:val="none"/>
        </w:rPr>
        <w:t>“供应商须知前附表”。</w:t>
      </w:r>
      <w:r>
        <w:rPr>
          <w:rFonts w:hint="eastAsia" w:asciiTheme="minorEastAsia" w:hAnsiTheme="minorEastAsia" w:eastAsiaTheme="minorEastAsia" w:cstheme="minorEastAsia"/>
          <w:b/>
          <w:color w:val="auto"/>
          <w:sz w:val="22"/>
          <w:szCs w:val="22"/>
          <w:highlight w:val="none"/>
        </w:rPr>
        <w:t>具体质疑起算时间及处理方式如下：</w:t>
      </w:r>
    </w:p>
    <w:p w14:paraId="49A4A80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（1）潜在供应商依法获取采购文件后，认为采购文件使自己的权益受到损害的，应当在竞争性磋商采购文件公告期限届满之日起7个工作日内提出质疑。</w:t>
      </w:r>
      <w:r>
        <w:rPr>
          <w:rFonts w:hint="eastAsia" w:asciiTheme="minorEastAsia" w:hAnsiTheme="minorEastAsia" w:eastAsiaTheme="minorEastAsia" w:cstheme="minorEastAsia"/>
          <w:color w:val="auto"/>
          <w:sz w:val="22"/>
          <w:szCs w:val="22"/>
          <w:highlight w:val="none"/>
        </w:rPr>
        <w:t>委托代理协议无特殊约定的，</w:t>
      </w:r>
      <w:r>
        <w:rPr>
          <w:rFonts w:hint="eastAsia" w:asciiTheme="minorEastAsia" w:hAnsiTheme="minorEastAsia" w:eastAsiaTheme="minorEastAsia" w:cstheme="minorEastAsia"/>
          <w:bCs/>
          <w:color w:val="auto"/>
          <w:sz w:val="22"/>
          <w:szCs w:val="22"/>
          <w:highlight w:val="none"/>
        </w:rPr>
        <w:t>对竞争性磋商文件中采购需求（含资格要求、采购预算和评分办法）的质疑由采购人受理并负责答复；对竞争性磋商文件中的采购执行程序的质疑由采购代理机构受理并负责答复。</w:t>
      </w:r>
    </w:p>
    <w:p w14:paraId="518B8C98">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2B89D8F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（3）供应商认为成交结果使自己的权益受到损害的，应当在成交结果公告期限届满之日起7个工作日内提出质疑，由采购人受理并负责答复。</w:t>
      </w:r>
    </w:p>
    <w:p w14:paraId="40F9E03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03D3DB2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31.4供应商提出质疑应当提交质疑函和必要的证明材料，针对同一采购程序环节的质疑必须在法定质疑期内一次性提出。质疑函应当包括下列内容</w:t>
      </w:r>
      <w:r>
        <w:rPr>
          <w:rFonts w:hint="eastAsia" w:asciiTheme="minorEastAsia" w:hAnsiTheme="minorEastAsia" w:eastAsiaTheme="minorEastAsia" w:cstheme="minorEastAsia"/>
          <w:bCs/>
          <w:color w:val="auto"/>
          <w:sz w:val="22"/>
          <w:szCs w:val="22"/>
          <w:highlight w:val="none"/>
        </w:rPr>
        <w:t>（质疑函格式后附）</w:t>
      </w:r>
      <w:r>
        <w:rPr>
          <w:rFonts w:hint="eastAsia" w:asciiTheme="minorEastAsia" w:hAnsiTheme="minorEastAsia" w:eastAsiaTheme="minorEastAsia" w:cstheme="minorEastAsia"/>
          <w:color w:val="auto"/>
          <w:sz w:val="22"/>
          <w:szCs w:val="22"/>
          <w:highlight w:val="none"/>
        </w:rPr>
        <w:t>：</w:t>
      </w:r>
    </w:p>
    <w:p w14:paraId="10EE708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（1）供应商的姓名或者名称、地址、邮编、联系人及联系电话；</w:t>
      </w:r>
    </w:p>
    <w:p w14:paraId="5E0CA454">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（2）质疑项目的名称、编号；</w:t>
      </w:r>
    </w:p>
    <w:p w14:paraId="4455418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（3）具体、明确的质疑事项和与质疑事项相关的请求；</w:t>
      </w:r>
    </w:p>
    <w:p w14:paraId="7B1A4A3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（4）事实依据；</w:t>
      </w:r>
    </w:p>
    <w:p w14:paraId="30CC19FD">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（5）必要的法律依据；</w:t>
      </w:r>
    </w:p>
    <w:p w14:paraId="6AF8634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（6）提出质疑的日期。</w:t>
      </w:r>
    </w:p>
    <w:p w14:paraId="3D9F447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供应商为自然人的，应当由本人签字；供应商为法人或者其他组织的，应当由法定代表人、主要负责人，或者其委托代理人签字或者盖章，并加盖公章。</w:t>
      </w:r>
    </w:p>
    <w:p w14:paraId="30157B6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31.5采购人、采购代理机构认为供应商质疑不成立，或者成立但未对成交结果构成影响的，继续开展采购活动；认为供应商质疑成立且影响或者可能影响成交结果的，按照下列情况处理：</w:t>
      </w:r>
    </w:p>
    <w:p w14:paraId="05BCCB1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（一）对采购文件提出的质疑，依法通过澄清或者修改可以继续开展采购活动的，澄清或者修改采购文件后继续开展采购活动；否则应当修改采购文件后重新开展采购活动。</w:t>
      </w:r>
    </w:p>
    <w:p w14:paraId="04C5BAC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（二）对采购过程或者成交结果提出的质疑，合格供应商符合法定数量时，可以从合格的成交候选人中另行确定成交供应商的，应当依法另行确定成交供应商；否则应当重新开展采购活动。</w:t>
      </w:r>
    </w:p>
    <w:p w14:paraId="2E9C9C11">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质疑答复导致成交结果改变的，采购人或者采购代理机构应当将有关情况书面报告本级财政部门。</w:t>
      </w:r>
    </w:p>
    <w:p w14:paraId="645E88E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46" w:name="_Toc80205930"/>
    </w:p>
    <w:p w14:paraId="6DF13EF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31.7</w:t>
      </w:r>
      <w:r>
        <w:rPr>
          <w:rFonts w:hint="eastAsia" w:asciiTheme="minorEastAsia" w:hAnsiTheme="minorEastAsia" w:eastAsiaTheme="minorEastAsia" w:cstheme="minorEastAsia"/>
          <w:color w:val="auto"/>
          <w:sz w:val="22"/>
          <w:szCs w:val="22"/>
          <w:highlight w:val="none"/>
        </w:rPr>
        <w:t>供应商应明确知悉投诉可能产生的后果并承担相应的责任：</w:t>
      </w:r>
    </w:p>
    <w:p w14:paraId="7C05A314">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按照《政府采购质疑和投诉办法》（中华人民共和国财政部令第94号）第三十七条：投诉人在全国范围12个月内三次以上投诉查无实据的，由财政部门列入不良行为记录名单。</w:t>
      </w:r>
    </w:p>
    <w:p w14:paraId="32612E6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投诉人有下列行为之一的，属于虚假、恶意投诉，由财政部门列入不良行为记录名单，禁止其1至3年内参加政府采购活动：</w:t>
      </w:r>
    </w:p>
    <w:p w14:paraId="3A234F4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（一）捏造事实</w:t>
      </w:r>
      <w:r>
        <w:rPr>
          <w:rFonts w:hint="eastAsia" w:asciiTheme="minorEastAsia" w:hAnsiTheme="minorEastAsia" w:eastAsiaTheme="minorEastAsia" w:cstheme="minorEastAsia"/>
          <w:color w:val="auto"/>
          <w:sz w:val="22"/>
          <w:szCs w:val="22"/>
          <w:highlight w:val="none"/>
          <w:lang w:eastAsia="zh-CN"/>
        </w:rPr>
        <w:t>；</w:t>
      </w:r>
    </w:p>
    <w:p w14:paraId="0A27D74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（二）提供虚假材料</w:t>
      </w:r>
      <w:r>
        <w:rPr>
          <w:rFonts w:hint="eastAsia" w:asciiTheme="minorEastAsia" w:hAnsiTheme="minorEastAsia" w:eastAsiaTheme="minorEastAsia" w:cstheme="minorEastAsia"/>
          <w:color w:val="auto"/>
          <w:sz w:val="22"/>
          <w:szCs w:val="22"/>
          <w:highlight w:val="none"/>
          <w:lang w:eastAsia="zh-CN"/>
        </w:rPr>
        <w:t>；</w:t>
      </w:r>
    </w:p>
    <w:p w14:paraId="3955EB41">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eastAsia="zh-CN"/>
        </w:rPr>
        <w:t>（三）</w:t>
      </w:r>
      <w:r>
        <w:rPr>
          <w:rFonts w:hint="eastAsia" w:asciiTheme="minorEastAsia" w:hAnsiTheme="minorEastAsia" w:eastAsiaTheme="minorEastAsia" w:cstheme="minorEastAsia"/>
          <w:color w:val="auto"/>
          <w:sz w:val="22"/>
          <w:szCs w:val="22"/>
          <w:highlight w:val="none"/>
        </w:rPr>
        <w:t>以非法手段取得证明材料。证据来源的合法性存在明显疑问，投诉人无法证明其取得方式合法的，视为以非法手段取得证明材料。</w:t>
      </w:r>
    </w:p>
    <w:p w14:paraId="596E037B">
      <w:pPr>
        <w:keepNext/>
        <w:keepLines/>
        <w:pageBreakBefore w:val="0"/>
        <w:widowControl w:val="0"/>
        <w:kinsoku/>
        <w:wordWrap/>
        <w:overflowPunct/>
        <w:topLinePunct w:val="0"/>
        <w:autoSpaceDE/>
        <w:autoSpaceDN/>
        <w:bidi w:val="0"/>
        <w:adjustRightInd/>
        <w:snapToGrid/>
        <w:spacing w:line="360" w:lineRule="auto"/>
        <w:ind w:firstLine="482" w:firstLineChars="200"/>
        <w:outlineLvl w:val="2"/>
        <w:rPr>
          <w:rFonts w:hint="eastAsia" w:asciiTheme="minorEastAsia" w:hAnsiTheme="minorEastAsia" w:eastAsiaTheme="minorEastAsia" w:cstheme="minorEastAsia"/>
          <w:color w:val="auto"/>
          <w:sz w:val="22"/>
          <w:szCs w:val="22"/>
          <w:highlight w:val="none"/>
        </w:rPr>
      </w:pPr>
      <w:bookmarkStart w:id="47" w:name="_Toc8074"/>
      <w:r>
        <w:rPr>
          <w:rFonts w:hint="eastAsia" w:asciiTheme="minorEastAsia" w:hAnsiTheme="minorEastAsia" w:eastAsiaTheme="minorEastAsia" w:cstheme="minorEastAsia"/>
          <w:b/>
          <w:bCs/>
          <w:color w:val="auto"/>
          <w:sz w:val="24"/>
          <w:szCs w:val="24"/>
          <w:highlight w:val="none"/>
        </w:rPr>
        <w:t>六、验收</w:t>
      </w:r>
      <w:bookmarkEnd w:id="46"/>
      <w:bookmarkEnd w:id="47"/>
    </w:p>
    <w:p w14:paraId="7565A481">
      <w:pPr>
        <w:pageBreakBefore w:val="0"/>
        <w:widowControl w:val="0"/>
        <w:tabs>
          <w:tab w:val="left" w:pos="0"/>
        </w:tabs>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32.验收</w:t>
      </w:r>
    </w:p>
    <w:p w14:paraId="3BE892AA">
      <w:pPr>
        <w:pageBreakBefore w:val="0"/>
        <w:widowControl w:val="0"/>
        <w:tabs>
          <w:tab w:val="left" w:pos="0"/>
        </w:tabs>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799A702">
      <w:pPr>
        <w:pageBreakBefore w:val="0"/>
        <w:widowControl w:val="0"/>
        <w:tabs>
          <w:tab w:val="left" w:pos="0"/>
        </w:tabs>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32.2采购人可以邀请参加本项目的其他供应商或者第三方机构参与验收。参与验收的供应商或者第三方机构的意见作为验收书的参考资料一并存档。</w:t>
      </w:r>
    </w:p>
    <w:p w14:paraId="472C3D37">
      <w:pPr>
        <w:pageBreakBefore w:val="0"/>
        <w:widowControl w:val="0"/>
        <w:tabs>
          <w:tab w:val="left" w:pos="0"/>
        </w:tabs>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6DD688D">
      <w:pPr>
        <w:pageBreakBefore w:val="0"/>
        <w:widowControl w:val="0"/>
        <w:tabs>
          <w:tab w:val="left" w:pos="0"/>
        </w:tabs>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9A4EA73">
      <w:pPr>
        <w:keepNext/>
        <w:keepLines/>
        <w:pageBreakBefore w:val="0"/>
        <w:widowControl w:val="0"/>
        <w:kinsoku/>
        <w:wordWrap/>
        <w:overflowPunct/>
        <w:topLinePunct w:val="0"/>
        <w:autoSpaceDE/>
        <w:autoSpaceDN/>
        <w:bidi w:val="0"/>
        <w:adjustRightInd/>
        <w:snapToGrid/>
        <w:spacing w:line="360" w:lineRule="auto"/>
        <w:ind w:firstLine="482" w:firstLineChars="200"/>
        <w:outlineLvl w:val="2"/>
        <w:rPr>
          <w:rFonts w:hint="eastAsia" w:asciiTheme="minorEastAsia" w:hAnsiTheme="minorEastAsia" w:eastAsiaTheme="minorEastAsia" w:cstheme="minorEastAsia"/>
          <w:color w:val="auto"/>
          <w:sz w:val="22"/>
          <w:szCs w:val="22"/>
          <w:highlight w:val="none"/>
        </w:rPr>
      </w:pPr>
      <w:bookmarkStart w:id="48" w:name="_Toc9558"/>
      <w:r>
        <w:rPr>
          <w:rFonts w:hint="eastAsia" w:asciiTheme="minorEastAsia" w:hAnsiTheme="minorEastAsia" w:eastAsiaTheme="minorEastAsia" w:cstheme="minorEastAsia"/>
          <w:b/>
          <w:bCs/>
          <w:color w:val="auto"/>
          <w:sz w:val="24"/>
          <w:szCs w:val="24"/>
          <w:highlight w:val="none"/>
        </w:rPr>
        <w:t>七、其他事项</w:t>
      </w:r>
      <w:bookmarkEnd w:id="48"/>
    </w:p>
    <w:p w14:paraId="7C993638">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33.代理服务费</w:t>
      </w:r>
    </w:p>
    <w:p w14:paraId="5FD9543F">
      <w:pPr>
        <w:pageBreakBefore w:val="0"/>
        <w:widowControl w:val="0"/>
        <w:tabs>
          <w:tab w:val="left" w:pos="2835"/>
        </w:tabs>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代理服务收费标准详见“供应商须知前附表”。</w:t>
      </w:r>
    </w:p>
    <w:p w14:paraId="73319C04">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34.需要补充的其他内容</w:t>
      </w:r>
    </w:p>
    <w:p w14:paraId="55395890">
      <w:pPr>
        <w:pageBreakBefore w:val="0"/>
        <w:widowControl w:val="0"/>
        <w:kinsoku/>
        <w:wordWrap/>
        <w:overflowPunct/>
        <w:topLinePunct w:val="0"/>
        <w:autoSpaceDE/>
        <w:autoSpaceDN/>
        <w:bidi w:val="0"/>
        <w:adjustRightInd/>
        <w:snapToGrid/>
        <w:spacing w:line="360" w:lineRule="auto"/>
        <w:ind w:firstLine="440" w:firstLineChars="200"/>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34.1本磋商文件解释规则详见“供应商须知前附表”。</w:t>
      </w:r>
    </w:p>
    <w:p w14:paraId="76925220">
      <w:pPr>
        <w:pageBreakBefore w:val="0"/>
        <w:widowControl w:val="0"/>
        <w:kinsoku/>
        <w:wordWrap/>
        <w:overflowPunct/>
        <w:topLinePunct w:val="0"/>
        <w:autoSpaceDE/>
        <w:autoSpaceDN/>
        <w:bidi w:val="0"/>
        <w:adjustRightInd/>
        <w:snapToGrid/>
        <w:spacing w:line="360" w:lineRule="auto"/>
        <w:ind w:firstLine="440" w:firstLineChars="200"/>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34.2其他事项详见“供应商须知前附表”。</w:t>
      </w:r>
    </w:p>
    <w:p w14:paraId="2AC0F6F5">
      <w:pPr>
        <w:pageBreakBefore w:val="0"/>
        <w:widowControl w:val="0"/>
        <w:kinsoku/>
        <w:wordWrap/>
        <w:overflowPunct/>
        <w:topLinePunct w:val="0"/>
        <w:autoSpaceDE/>
        <w:autoSpaceDN/>
        <w:bidi w:val="0"/>
        <w:adjustRightInd/>
        <w:snapToGrid/>
        <w:spacing w:line="360" w:lineRule="auto"/>
        <w:ind w:firstLine="440" w:firstLineChars="200"/>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Theme="minorEastAsia" w:hAnsiTheme="minorEastAsia" w:eastAsiaTheme="minorEastAsia" w:cstheme="minorEastAsia"/>
          <w:color w:val="auto"/>
          <w:kern w:val="0"/>
          <w:sz w:val="22"/>
          <w:szCs w:val="22"/>
          <w:highlight w:val="none"/>
        </w:rPr>
        <w:t>服务由中小企业承接，即提供服务的人员为中小企业依照《中华人民共和国劳动合同法》订立劳动合同的从业人员，不对其中涉及的货物的制造商和工程承建商作出要求的</w:t>
      </w:r>
      <w:r>
        <w:rPr>
          <w:rFonts w:hint="eastAsia" w:asciiTheme="minorEastAsia" w:hAnsiTheme="minorEastAsia" w:eastAsiaTheme="minorEastAsia" w:cstheme="minorEastAsia"/>
          <w:color w:val="auto"/>
          <w:sz w:val="22"/>
          <w:szCs w:val="22"/>
          <w:highlight w:val="none"/>
        </w:rPr>
        <w:t>，享受本文件规定的中小企业扶持政策。</w:t>
      </w:r>
    </w:p>
    <w:p w14:paraId="123EBB86">
      <w:pPr>
        <w:pageBreakBefore w:val="0"/>
        <w:widowControl w:val="0"/>
        <w:kinsoku/>
        <w:wordWrap/>
        <w:overflowPunct/>
        <w:topLinePunct w:val="0"/>
        <w:autoSpaceDE/>
        <w:autoSpaceDN/>
        <w:bidi w:val="0"/>
        <w:adjustRightInd/>
        <w:snapToGrid/>
        <w:spacing w:line="360" w:lineRule="auto"/>
        <w:ind w:firstLine="440" w:firstLineChars="200"/>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以联合体形式参加政府采购活动，联合体各方均为中小企业的，联合体视同中小企业。其中，联合体各方均为小微企业的，联合体视同小微企业。</w:t>
      </w:r>
    </w:p>
    <w:p w14:paraId="10613244">
      <w:pPr>
        <w:pageBreakBefore w:val="0"/>
        <w:widowControl w:val="0"/>
        <w:kinsoku/>
        <w:wordWrap/>
        <w:overflowPunct/>
        <w:topLinePunct w:val="0"/>
        <w:autoSpaceDE/>
        <w:autoSpaceDN/>
        <w:bidi w:val="0"/>
        <w:adjustRightInd/>
        <w:snapToGrid/>
        <w:spacing w:line="360" w:lineRule="auto"/>
        <w:ind w:firstLine="440" w:firstLineChars="200"/>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依据本文件规定享受扶持政策获得政府采购合同的，小微企业不得将合同分包给大中型企业，中型企业不得将合同分包给大型企业。</w:t>
      </w:r>
    </w:p>
    <w:p w14:paraId="7E8136AF">
      <w:pPr>
        <w:spacing w:line="360" w:lineRule="auto"/>
        <w:jc w:val="center"/>
        <w:textAlignment w:val="center"/>
        <w:outlineLvl w:val="0"/>
        <w:rPr>
          <w:rFonts w:hint="eastAsia" w:ascii="宋体" w:hAnsi="宋体" w:eastAsia="宋体" w:cs="宋体"/>
          <w:b/>
          <w:bCs/>
          <w:color w:val="auto"/>
          <w:kern w:val="44"/>
          <w:sz w:val="24"/>
          <w:szCs w:val="24"/>
          <w:highlight w:val="none"/>
        </w:rPr>
      </w:pPr>
      <w:r>
        <w:rPr>
          <w:rFonts w:hint="eastAsia" w:ascii="宋体" w:hAnsi="宋体" w:eastAsia="宋体" w:cs="宋体"/>
          <w:b/>
          <w:color w:val="auto"/>
          <w:kern w:val="0"/>
          <w:sz w:val="24"/>
          <w:szCs w:val="24"/>
          <w:highlight w:val="none"/>
        </w:rPr>
        <w:br w:type="page"/>
      </w:r>
      <w:bookmarkStart w:id="49" w:name="_Toc9978"/>
      <w:r>
        <w:rPr>
          <w:rFonts w:hint="eastAsia" w:ascii="宋体" w:hAnsi="宋体" w:eastAsia="宋体" w:cs="宋体"/>
          <w:b/>
          <w:color w:val="auto"/>
          <w:kern w:val="44"/>
          <w:sz w:val="32"/>
          <w:szCs w:val="32"/>
          <w:highlight w:val="none"/>
        </w:rPr>
        <w:t>第四章  评标方法及评分标准</w:t>
      </w:r>
    </w:p>
    <w:p w14:paraId="73C3B057">
      <w:pPr>
        <w:keepNext/>
        <w:keepLines/>
        <w:spacing w:before="260" w:after="260" w:line="416" w:lineRule="auto"/>
        <w:jc w:val="center"/>
        <w:outlineLvl w:val="1"/>
        <w:rPr>
          <w:rFonts w:hint="eastAsia" w:ascii="宋体" w:hAnsi="宋体" w:eastAsia="宋体" w:cs="宋体"/>
          <w:bCs/>
          <w:color w:val="auto"/>
          <w:sz w:val="32"/>
          <w:szCs w:val="32"/>
          <w:highlight w:val="none"/>
        </w:rPr>
      </w:pPr>
      <w:bookmarkStart w:id="50" w:name="_Toc994"/>
      <w:r>
        <w:rPr>
          <w:rFonts w:hint="eastAsia" w:ascii="宋体" w:hAnsi="宋体" w:eastAsia="宋体" w:cs="宋体"/>
          <w:bCs/>
          <w:color w:val="auto"/>
          <w:sz w:val="32"/>
          <w:szCs w:val="32"/>
          <w:highlight w:val="none"/>
        </w:rPr>
        <w:t>第一节 评审程序和评审方法</w:t>
      </w:r>
      <w:bookmarkEnd w:id="50"/>
    </w:p>
    <w:p w14:paraId="35A5689C">
      <w:pPr>
        <w:keepNext w:val="0"/>
        <w:keepLines w:val="0"/>
        <w:pageBreakBefore w:val="0"/>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1.确认磋商文件</w:t>
      </w:r>
    </w:p>
    <w:p w14:paraId="06CA0523">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由磋商小组确认磋商文件。</w:t>
      </w:r>
    </w:p>
    <w:p w14:paraId="4D241893">
      <w:pPr>
        <w:keepNext w:val="0"/>
        <w:keepLines w:val="0"/>
        <w:pageBreakBefore w:val="0"/>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2.资格审查</w:t>
      </w:r>
    </w:p>
    <w:p w14:paraId="13425AFF">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2.1响应文件开启后，磋商小组依法对供应商的资格证明文件进行审查。</w:t>
      </w:r>
    </w:p>
    <w:p w14:paraId="51C5B803">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注：采购人代表或者采购代理机构在资格审查结束前，对供应商进行信用查询。</w:t>
      </w:r>
    </w:p>
    <w:p w14:paraId="6C7348DD">
      <w:pPr>
        <w:keepNext w:val="0"/>
        <w:keepLines w:val="0"/>
        <w:pageBreakBefore w:val="0"/>
        <w:kinsoku/>
        <w:wordWrap/>
        <w:overflowPunct/>
        <w:topLinePunct w:val="0"/>
        <w:autoSpaceDE/>
        <w:autoSpaceDN/>
        <w:bidi w:val="0"/>
        <w:adjustRightInd/>
        <w:snapToGrid/>
        <w:spacing w:line="360" w:lineRule="auto"/>
        <w:ind w:firstLine="440" w:firstLineChars="200"/>
        <w:jc w:val="lef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（1）查询渠道：“</w:t>
      </w:r>
      <w:r>
        <w:rPr>
          <w:rFonts w:hint="eastAsia" w:asciiTheme="minorEastAsia" w:hAnsiTheme="minorEastAsia" w:eastAsiaTheme="minorEastAsia" w:cstheme="minorEastAsia"/>
          <w:color w:val="auto"/>
          <w:sz w:val="22"/>
          <w:szCs w:val="22"/>
          <w:highlight w:val="none"/>
          <w:lang w:eastAsia="zh-CN"/>
        </w:rPr>
        <w:t>广西政府采购云平台</w:t>
      </w:r>
      <w:r>
        <w:rPr>
          <w:rFonts w:hint="eastAsia" w:asciiTheme="minorEastAsia" w:hAnsiTheme="minorEastAsia" w:eastAsiaTheme="minorEastAsia" w:cstheme="minorEastAsia"/>
          <w:color w:val="auto"/>
          <w:sz w:val="22"/>
          <w:szCs w:val="22"/>
          <w:highlight w:val="none"/>
        </w:rPr>
        <w:t>”平台“信用中国”网站(</w:t>
      </w:r>
      <w:r>
        <w:rPr>
          <w:rFonts w:hint="eastAsia" w:asciiTheme="minorEastAsia" w:hAnsiTheme="minorEastAsia" w:eastAsiaTheme="minorEastAsia" w:cstheme="minorEastAsia"/>
          <w:color w:val="auto"/>
          <w:sz w:val="22"/>
          <w:szCs w:val="22"/>
          <w:highlight w:val="none"/>
        </w:rPr>
        <w:fldChar w:fldCharType="begin"/>
      </w:r>
      <w:r>
        <w:rPr>
          <w:rFonts w:hint="eastAsia" w:asciiTheme="minorEastAsia" w:hAnsiTheme="minorEastAsia" w:eastAsiaTheme="minorEastAsia" w:cstheme="minorEastAsia"/>
          <w:color w:val="auto"/>
          <w:sz w:val="22"/>
          <w:szCs w:val="22"/>
          <w:highlight w:val="none"/>
        </w:rPr>
        <w:instrText xml:space="preserve"> HYPERLINK "http://www.creditchina.gov.cn" </w:instrText>
      </w:r>
      <w:r>
        <w:rPr>
          <w:rFonts w:hint="eastAsia" w:asciiTheme="minorEastAsia" w:hAnsiTheme="minorEastAsia" w:eastAsiaTheme="minorEastAsia" w:cstheme="minorEastAsia"/>
          <w:color w:val="auto"/>
          <w:sz w:val="22"/>
          <w:szCs w:val="22"/>
          <w:highlight w:val="none"/>
        </w:rPr>
        <w:fldChar w:fldCharType="separate"/>
      </w:r>
      <w:r>
        <w:rPr>
          <w:rFonts w:hint="eastAsia" w:asciiTheme="minorEastAsia" w:hAnsiTheme="minorEastAsia" w:eastAsiaTheme="minorEastAsia" w:cstheme="minorEastAsia"/>
          <w:color w:val="auto"/>
          <w:sz w:val="22"/>
          <w:szCs w:val="22"/>
          <w:highlight w:val="none"/>
          <w:u w:val="single"/>
        </w:rPr>
        <w:t>www.creditchina.gov.cn</w:t>
      </w:r>
      <w:r>
        <w:rPr>
          <w:rFonts w:hint="eastAsia" w:asciiTheme="minorEastAsia" w:hAnsiTheme="minorEastAsia" w:eastAsiaTheme="minorEastAsia" w:cstheme="minorEastAsia"/>
          <w:color w:val="auto"/>
          <w:sz w:val="22"/>
          <w:szCs w:val="22"/>
          <w:highlight w:val="none"/>
          <w:u w:val="single"/>
        </w:rPr>
        <w:fldChar w:fldCharType="end"/>
      </w:r>
      <w:r>
        <w:rPr>
          <w:rFonts w:hint="eastAsia" w:asciiTheme="minorEastAsia" w:hAnsiTheme="minorEastAsia" w:eastAsiaTheme="minorEastAsia" w:cstheme="minorEastAsia"/>
          <w:color w:val="auto"/>
          <w:sz w:val="22"/>
          <w:szCs w:val="22"/>
          <w:highlight w:val="none"/>
        </w:rPr>
        <w:t>)、中国政府采购网(</w:t>
      </w:r>
      <w:r>
        <w:rPr>
          <w:rFonts w:hint="eastAsia" w:asciiTheme="minorEastAsia" w:hAnsiTheme="minorEastAsia" w:eastAsiaTheme="minorEastAsia" w:cstheme="minorEastAsia"/>
          <w:color w:val="auto"/>
          <w:sz w:val="22"/>
          <w:szCs w:val="22"/>
          <w:highlight w:val="none"/>
        </w:rPr>
        <w:fldChar w:fldCharType="begin"/>
      </w:r>
      <w:r>
        <w:rPr>
          <w:rFonts w:hint="eastAsia" w:asciiTheme="minorEastAsia" w:hAnsiTheme="minorEastAsia" w:eastAsiaTheme="minorEastAsia" w:cstheme="minorEastAsia"/>
          <w:color w:val="auto"/>
          <w:sz w:val="22"/>
          <w:szCs w:val="22"/>
          <w:highlight w:val="none"/>
        </w:rPr>
        <w:instrText xml:space="preserve"> HYPERLINK "http://www.ccgp.gov.cn" </w:instrText>
      </w:r>
      <w:r>
        <w:rPr>
          <w:rFonts w:hint="eastAsia" w:asciiTheme="minorEastAsia" w:hAnsiTheme="minorEastAsia" w:eastAsiaTheme="minorEastAsia" w:cstheme="minorEastAsia"/>
          <w:color w:val="auto"/>
          <w:sz w:val="22"/>
          <w:szCs w:val="22"/>
          <w:highlight w:val="none"/>
        </w:rPr>
        <w:fldChar w:fldCharType="separate"/>
      </w:r>
      <w:r>
        <w:rPr>
          <w:rFonts w:hint="eastAsia" w:asciiTheme="minorEastAsia" w:hAnsiTheme="minorEastAsia" w:eastAsiaTheme="minorEastAsia" w:cstheme="minorEastAsia"/>
          <w:color w:val="auto"/>
          <w:sz w:val="22"/>
          <w:szCs w:val="22"/>
          <w:highlight w:val="none"/>
          <w:u w:val="single"/>
        </w:rPr>
        <w:t>www.ccgp.gov.cn</w:t>
      </w:r>
      <w:r>
        <w:rPr>
          <w:rFonts w:hint="eastAsia" w:asciiTheme="minorEastAsia" w:hAnsiTheme="minorEastAsia" w:eastAsiaTheme="minorEastAsia" w:cstheme="minorEastAsia"/>
          <w:color w:val="auto"/>
          <w:sz w:val="22"/>
          <w:szCs w:val="22"/>
          <w:highlight w:val="none"/>
          <w:u w:val="single"/>
        </w:rPr>
        <w:fldChar w:fldCharType="end"/>
      </w:r>
      <w:r>
        <w:rPr>
          <w:rFonts w:hint="eastAsia" w:asciiTheme="minorEastAsia" w:hAnsiTheme="minorEastAsia" w:eastAsiaTheme="minorEastAsia" w:cstheme="minorEastAsia"/>
          <w:color w:val="auto"/>
          <w:sz w:val="22"/>
          <w:szCs w:val="22"/>
          <w:highlight w:val="none"/>
        </w:rPr>
        <w:t>)链接入口。</w:t>
      </w:r>
    </w:p>
    <w:p w14:paraId="5A56903F">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（2）信用查询截止时点：资格审查结束前。</w:t>
      </w:r>
    </w:p>
    <w:p w14:paraId="17D5D34E">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查询记录和证据留存方式：在查询网站中直接打印查询记录，截图另存为电子文档作为评审资料保存。</w:t>
      </w:r>
    </w:p>
    <w:p w14:paraId="4836D98A">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（3）信用信息使用规则：对在“信用中国”网站(www.creditchina.gov.cn)、中国政府采购网(www.ccgp.gov.cn)被列入失信被执行人、重大税收违法</w:t>
      </w:r>
      <w:r>
        <w:rPr>
          <w:rFonts w:hint="eastAsia" w:asciiTheme="minorEastAsia" w:hAnsiTheme="minorEastAsia" w:eastAsiaTheme="minorEastAsia" w:cstheme="minorEastAsia"/>
          <w:color w:val="auto"/>
          <w:sz w:val="22"/>
          <w:szCs w:val="22"/>
          <w:highlight w:val="none"/>
          <w:lang w:val="en-US" w:eastAsia="zh-CN"/>
        </w:rPr>
        <w:t>失信主体</w:t>
      </w:r>
      <w:r>
        <w:rPr>
          <w:rFonts w:hint="eastAsia" w:asciiTheme="minorEastAsia" w:hAnsiTheme="minorEastAsia" w:eastAsiaTheme="minorEastAsia" w:cstheme="minorEastAsia"/>
          <w:color w:val="auto"/>
          <w:sz w:val="22"/>
          <w:szCs w:val="22"/>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06CA69F">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2.2资格审查标准为本磋商文件中载明对供应商资格要求的条件。资格审查采用合格制，凡符合磋商文件规定的供应商资格要求的响应文件均通过资格审查。</w:t>
      </w:r>
    </w:p>
    <w:p w14:paraId="649A8F56">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2.3供应商有下列情形之一的，资格审查不通过，其响应文件按无效响应处理：</w:t>
      </w:r>
    </w:p>
    <w:p w14:paraId="77B21448">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（1）不具备磋商文件中规定的资格要求的；</w:t>
      </w:r>
    </w:p>
    <w:p w14:paraId="6AB45389">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（2）响应文件未提供任一项“供应商须知前附表”资格证明文件规定的“必须提供”的文件资料的；</w:t>
      </w:r>
    </w:p>
    <w:p w14:paraId="5A925DEB">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（3）响应文件提供的资格证明文件出现任一项不符合“供应商须知前附表”资格证明文件规定的“必须提供”的文件资料要求或者无效的。</w:t>
      </w:r>
    </w:p>
    <w:p w14:paraId="7269E18A">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bookmarkStart w:id="51" w:name="_Hlk68601553"/>
      <w:r>
        <w:rPr>
          <w:rFonts w:hint="eastAsia" w:asciiTheme="minorEastAsia" w:hAnsiTheme="minorEastAsia" w:eastAsiaTheme="minorEastAsia" w:cstheme="minorEastAsia"/>
          <w:color w:val="auto"/>
          <w:sz w:val="22"/>
          <w:szCs w:val="22"/>
          <w:highlight w:val="none"/>
        </w:rPr>
        <w:t>（4）同一合同项下的不同供应商，单位负责人为同一人或者存在直接控股、管理关系的；为本项目提供过整体设计、规范编制或者项目管理、监理、检测等服务的。</w:t>
      </w:r>
      <w:bookmarkEnd w:id="51"/>
    </w:p>
    <w:p w14:paraId="6D78D825">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2.4通过资格审查的合格供应商不足3家的，不得进入符合性审查环节，采购人或者采购代理机构应当重新开展采购活动。</w:t>
      </w:r>
    </w:p>
    <w:p w14:paraId="305E2C39">
      <w:pPr>
        <w:keepNext w:val="0"/>
        <w:keepLines w:val="0"/>
        <w:pageBreakBefore w:val="0"/>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3.符合性审查</w:t>
      </w:r>
    </w:p>
    <w:p w14:paraId="7590D6FA">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3.1由磋商小组对通过资格审查的合格供应商的响应文件的响应报价、商务、技术等实质性要求进行符合性审查，以确定其是否满足磋商文件的实质性要求。</w:t>
      </w:r>
    </w:p>
    <w:p w14:paraId="3390F02E">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D489EC0">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sz w:val="22"/>
          <w:szCs w:val="22"/>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Theme="minorEastAsia" w:hAnsiTheme="minorEastAsia" w:eastAsiaTheme="minorEastAsia" w:cstheme="minorEastAsia"/>
          <w:color w:val="auto"/>
          <w:spacing w:val="-6"/>
          <w:sz w:val="22"/>
          <w:szCs w:val="22"/>
          <w:highlight w:val="none"/>
        </w:rPr>
        <w:t>。供应商为自然人的，必须由本人签字并附身份证明。</w:t>
      </w:r>
    </w:p>
    <w:p w14:paraId="18C815D6">
      <w:pPr>
        <w:keepNext w:val="0"/>
        <w:keepLines w:val="0"/>
        <w:pageBreakBefore w:val="0"/>
        <w:kinsoku/>
        <w:wordWrap/>
        <w:overflowPunct/>
        <w:topLinePunct w:val="0"/>
        <w:autoSpaceDE/>
        <w:autoSpaceDN/>
        <w:bidi w:val="0"/>
        <w:adjustRightInd/>
        <w:snapToGrid/>
        <w:spacing w:line="360" w:lineRule="auto"/>
        <w:ind w:firstLine="416"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6"/>
          <w:sz w:val="22"/>
          <w:szCs w:val="22"/>
          <w:highlight w:val="none"/>
        </w:rPr>
        <w:t>3.4</w:t>
      </w:r>
      <w:r>
        <w:rPr>
          <w:rFonts w:hint="eastAsia" w:asciiTheme="minorEastAsia" w:hAnsiTheme="minorEastAsia" w:eastAsiaTheme="minorEastAsia" w:cstheme="minorEastAsia"/>
          <w:color w:val="auto"/>
          <w:sz w:val="22"/>
          <w:szCs w:val="22"/>
          <w:highlight w:val="none"/>
        </w:rPr>
        <w:t xml:space="preserve">首次响应文件报价出现前后不一致的，按照下列规定修正： </w:t>
      </w:r>
    </w:p>
    <w:p w14:paraId="267CCC46">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（1）响应文件中报价表内容与响应文件中相应内容不一致的，以报价表为准；</w:t>
      </w:r>
    </w:p>
    <w:p w14:paraId="633F3052">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（2）大写金额和小写金额不一致的，以大写金额为准；</w:t>
      </w:r>
    </w:p>
    <w:p w14:paraId="5437422D">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（3）单价金额小数点或者百分比有明显错位的，以报价表的总价为准，并修改单价；</w:t>
      </w:r>
    </w:p>
    <w:p w14:paraId="48CC63D2">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（4）总价金额与按单价汇总金额不一致的，以单价金额计算结果为准。</w:t>
      </w:r>
    </w:p>
    <w:p w14:paraId="4695A673">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同时出现两种以上不一致的，按照以上（1）-（4）规定的顺序逐条进行修正。修正后的报价经供应商确认后产生约束力，供应商不确认的，其响应文件按无效响应处理。</w:t>
      </w:r>
    </w:p>
    <w:p w14:paraId="6C1734E1">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3.5商务技术、报价评审</w:t>
      </w:r>
    </w:p>
    <w:p w14:paraId="5B371E55">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在评审时，如发现下列情形之一的，将被视为响应文件无效处理：</w:t>
      </w:r>
    </w:p>
    <w:p w14:paraId="5BC0C9C3">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（1）商务技术评审</w:t>
      </w:r>
    </w:p>
    <w:p w14:paraId="6B3EF757">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1）响应文件未按磋商文件要求签署、盖章；</w:t>
      </w:r>
    </w:p>
    <w:p w14:paraId="5CFA5D42">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2）委托代理人未能出具有效身份证明或者出具的身份证明与授权委托书中的信息不符；</w:t>
      </w:r>
    </w:p>
    <w:p w14:paraId="03D7B753">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w:t>
      </w:r>
    </w:p>
    <w:p w14:paraId="194BE64E">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4）商务条款中标“</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”的条款发生负偏离的或者允许负偏离的条款数超过“供应商须知前附表”规定项数的或者标明实质性的要求发生负偏离；</w:t>
      </w:r>
    </w:p>
    <w:p w14:paraId="00684C23">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5）未对竞标有效期作出响应或者响应文件承诺的竞标有效期不满足磋商文件要求；</w:t>
      </w:r>
    </w:p>
    <w:p w14:paraId="25488B3B">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6）响应文件的实质性内容未使用中文表述、使用计量单位不符合磋商文件要求；</w:t>
      </w:r>
    </w:p>
    <w:p w14:paraId="115366F1">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7）响应文件中的文件资料因填写不齐全或者内容虚假或者出现其他情形而导致被磋商小组认定无效；</w:t>
      </w:r>
    </w:p>
    <w:p w14:paraId="38470D8F">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8）响应文件含有采购人不能接受的附加条件；</w:t>
      </w:r>
    </w:p>
    <w:p w14:paraId="0AEE9FE8">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9）属于“供应商须知正文”第7.5条情形；</w:t>
      </w:r>
    </w:p>
    <w:p w14:paraId="2FFDD44B">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10）技术需求允许负偏离的条款数超过“供应商须知前附表”规定项数；</w:t>
      </w:r>
    </w:p>
    <w:p w14:paraId="07080AAF">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11）虚假竞标，或者出现其他情形而导致被磋商小组认定无效；</w:t>
      </w:r>
    </w:p>
    <w:p w14:paraId="48694502">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12）竞标技术方案不明确，磋商文件未允许但响应文件中存在一个或者一个以上备选（替代）竞标方案；</w:t>
      </w:r>
    </w:p>
    <w:p w14:paraId="3F9B2B5E">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13）响应文件标注的项目名称或者项目编号与竞争性磋商文件标注的项目名称或者项目编号不一致的；</w:t>
      </w:r>
    </w:p>
    <w:p w14:paraId="2B7719DD">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14）未响应磋商文件实质性要求；</w:t>
      </w:r>
    </w:p>
    <w:p w14:paraId="773D74BE">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15）法律、法规和磋商文件规定的其他无效情形。</w:t>
      </w:r>
    </w:p>
    <w:p w14:paraId="71627E28">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（2）报价评审</w:t>
      </w:r>
    </w:p>
    <w:p w14:paraId="6984E325">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1）响应文件未提供“供应商须知前附表”报价文件中规定的“响应报价表”；</w:t>
      </w:r>
    </w:p>
    <w:p w14:paraId="525A2D37">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2）未采用人民币报价或者未按照磋商文件标明的币种报价；</w:t>
      </w:r>
    </w:p>
    <w:p w14:paraId="281BB6EE">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3）供应商未就所竞标</w:t>
      </w:r>
      <w:r>
        <w:rPr>
          <w:rFonts w:hint="eastAsia" w:asciiTheme="minorEastAsia" w:hAnsiTheme="minorEastAsia" w:eastAsiaTheme="minorEastAsia" w:cstheme="minorEastAsia"/>
          <w:color w:val="auto"/>
          <w:sz w:val="22"/>
          <w:szCs w:val="22"/>
          <w:highlight w:val="none"/>
          <w:lang w:val="en-US" w:eastAsia="zh-CN"/>
        </w:rPr>
        <w:t>内容</w:t>
      </w:r>
      <w:r>
        <w:rPr>
          <w:rFonts w:hint="eastAsia" w:asciiTheme="minorEastAsia" w:hAnsiTheme="minorEastAsia" w:eastAsiaTheme="minorEastAsia" w:cstheme="minorEastAsia"/>
          <w:color w:val="auto"/>
          <w:sz w:val="22"/>
          <w:szCs w:val="22"/>
          <w:highlight w:val="none"/>
        </w:rPr>
        <w:t>进行报价或者存在漏项报价；供应商未就所竞标单项内容作唯一报价；供应商未就所竞标的全部内容作唯一总价报价；供应商响应文件中存在有选择、有条件报价的（磋商文件允许有备选方案或者其他约定的除外）；</w:t>
      </w:r>
    </w:p>
    <w:p w14:paraId="0BE16D3F">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响应报价（包含首次报价、最后报价）超过所竞标规定的采购预算金额或者最高限价的（如本项目公布了最高限价）；响应报价（包含首次报价、最后报价）超过磋商文件分项采购预算金额或者最高限价的（如本项目公布了最高限价）；</w:t>
      </w:r>
    </w:p>
    <w:p w14:paraId="1AE7D7B2">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修正后的报价，供应商不确认的；或者经供应商确认修正后的响应报价（包含首次报价、最后报价）超过所竞标规定的采购预算金额或者最高限价（如本项目公布了最高限价）；或者经供应商确认修正后响应报价（包含首次报价、最后报价）超过磋商文件分项采购预算金额或者最高限价的（如本项目公布了最高限价）。</w:t>
      </w:r>
    </w:p>
    <w:p w14:paraId="2473ACD8">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6）响应文件响应的标的数量及单位与竞争性磋商采购文件要求实质性不一致的。</w:t>
      </w:r>
    </w:p>
    <w:p w14:paraId="3DA13AFD">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1F0F2A4B">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1796ED2B">
      <w:pPr>
        <w:keepNext w:val="0"/>
        <w:keepLines w:val="0"/>
        <w:pageBreakBefore w:val="0"/>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4.磋商程序</w:t>
      </w:r>
    </w:p>
    <w:p w14:paraId="6624C8FA">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4.1磋商小组按照“供应商须知前附表”确定的</w:t>
      </w:r>
      <w:r>
        <w:rPr>
          <w:rFonts w:hint="eastAsia" w:asciiTheme="minorEastAsia" w:hAnsiTheme="minorEastAsia" w:eastAsiaTheme="minorEastAsia" w:cstheme="minorEastAsia"/>
          <w:color w:val="auto"/>
          <w:sz w:val="22"/>
          <w:szCs w:val="22"/>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60AAC937">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5E698808">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4.3对磋商文件作出的实质性变动是磋商文件的有效组成部分，由磋商小组及时以电子澄清函形式同时通知所有参加磋商的供应商。</w:t>
      </w:r>
    </w:p>
    <w:p w14:paraId="7B3336CD">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15FBC26A">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4.5磋商中，</w:t>
      </w:r>
      <w:r>
        <w:rPr>
          <w:rFonts w:hint="eastAsia" w:asciiTheme="minorEastAsia" w:hAnsiTheme="minorEastAsia" w:eastAsiaTheme="minorEastAsia" w:cstheme="minorEastAsia"/>
          <w:color w:val="auto"/>
          <w:spacing w:val="-6"/>
          <w:sz w:val="22"/>
          <w:szCs w:val="22"/>
          <w:highlight w:val="none"/>
        </w:rPr>
        <w:t>磋商的任何一方不得透露与磋商有关的其他供应商的技术资料、价格和其他信息。</w:t>
      </w:r>
    </w:p>
    <w:p w14:paraId="468C28D5">
      <w:pPr>
        <w:keepNext w:val="0"/>
        <w:keepLines w:val="0"/>
        <w:pageBreakBefore w:val="0"/>
        <w:widowControl/>
        <w:tabs>
          <w:tab w:val="left" w:pos="540"/>
        </w:tabs>
        <w:kinsoku/>
        <w:wordWrap/>
        <w:overflowPunct/>
        <w:topLinePunct w:val="0"/>
        <w:autoSpaceDE/>
        <w:autoSpaceDN/>
        <w:bidi w:val="0"/>
        <w:adjustRightInd/>
        <w:snapToGrid/>
        <w:spacing w:line="360" w:lineRule="auto"/>
        <w:ind w:firstLine="440" w:firstLineChars="200"/>
        <w:jc w:val="left"/>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color w:val="auto"/>
          <w:sz w:val="22"/>
          <w:szCs w:val="22"/>
          <w:highlight w:val="none"/>
        </w:rPr>
        <w:t>4.6磋商小组应对磋商过程和重要磋商内容进行记录，作为评标报告一部分，磋商小组在记录上签字确认。</w:t>
      </w:r>
      <w:r>
        <w:rPr>
          <w:rFonts w:hint="eastAsia" w:asciiTheme="minorEastAsia" w:hAnsiTheme="minorEastAsia" w:eastAsiaTheme="minorEastAsia" w:cstheme="minorEastAsia"/>
          <w:b/>
          <w:color w:val="auto"/>
          <w:sz w:val="22"/>
          <w:szCs w:val="22"/>
          <w:highlight w:val="none"/>
        </w:rPr>
        <w:t>主要内容包括：</w:t>
      </w:r>
    </w:p>
    <w:p w14:paraId="7A220231">
      <w:pPr>
        <w:keepNext w:val="0"/>
        <w:keepLines w:val="0"/>
        <w:pageBreakBefore w:val="0"/>
        <w:kinsoku/>
        <w:wordWrap/>
        <w:overflowPunct/>
        <w:topLinePunct w:val="0"/>
        <w:autoSpaceDE/>
        <w:autoSpaceDN/>
        <w:bidi w:val="0"/>
        <w:adjustRightInd/>
        <w:snapToGrid/>
        <w:spacing w:line="360" w:lineRule="auto"/>
        <w:ind w:firstLine="416" w:firstLineChars="200"/>
        <w:textAlignment w:val="auto"/>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spacing w:val="-6"/>
          <w:sz w:val="22"/>
          <w:szCs w:val="22"/>
          <w:highlight w:val="none"/>
        </w:rPr>
        <w:t>（1）按照相关规定进行公示的，公示情况说明；</w:t>
      </w:r>
    </w:p>
    <w:p w14:paraId="1E32ECBB">
      <w:pPr>
        <w:keepNext w:val="0"/>
        <w:keepLines w:val="0"/>
        <w:pageBreakBefore w:val="0"/>
        <w:kinsoku/>
        <w:wordWrap/>
        <w:overflowPunct/>
        <w:topLinePunct w:val="0"/>
        <w:autoSpaceDE/>
        <w:autoSpaceDN/>
        <w:bidi w:val="0"/>
        <w:adjustRightInd/>
        <w:snapToGrid/>
        <w:spacing w:line="360" w:lineRule="auto"/>
        <w:ind w:firstLine="416" w:firstLineChars="200"/>
        <w:textAlignment w:val="auto"/>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spacing w:val="-6"/>
          <w:sz w:val="22"/>
          <w:szCs w:val="22"/>
          <w:highlight w:val="none"/>
        </w:rPr>
        <w:t>（2）磋商日期和地点，磋商人员名单；</w:t>
      </w:r>
    </w:p>
    <w:p w14:paraId="5662F32A">
      <w:pPr>
        <w:keepNext w:val="0"/>
        <w:keepLines w:val="0"/>
        <w:pageBreakBefore w:val="0"/>
        <w:kinsoku/>
        <w:wordWrap/>
        <w:overflowPunct/>
        <w:topLinePunct w:val="0"/>
        <w:autoSpaceDE/>
        <w:autoSpaceDN/>
        <w:bidi w:val="0"/>
        <w:adjustRightInd/>
        <w:snapToGrid/>
        <w:spacing w:line="360" w:lineRule="auto"/>
        <w:ind w:firstLine="416" w:firstLineChars="200"/>
        <w:textAlignment w:val="auto"/>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spacing w:val="-6"/>
          <w:sz w:val="22"/>
          <w:szCs w:val="22"/>
          <w:highlight w:val="none"/>
        </w:rPr>
        <w:t>（3）合同主要条款及价格商定情况。</w:t>
      </w:r>
    </w:p>
    <w:p w14:paraId="76F4E8C5">
      <w:pPr>
        <w:keepNext w:val="0"/>
        <w:keepLines w:val="0"/>
        <w:pageBreakBefore w:val="0"/>
        <w:widowControl/>
        <w:tabs>
          <w:tab w:val="left" w:pos="540"/>
        </w:tabs>
        <w:kinsoku/>
        <w:wordWrap/>
        <w:overflowPunct/>
        <w:topLinePunct w:val="0"/>
        <w:autoSpaceDE/>
        <w:autoSpaceDN/>
        <w:bidi w:val="0"/>
        <w:adjustRightInd/>
        <w:snapToGrid/>
        <w:spacing w:line="360" w:lineRule="auto"/>
        <w:ind w:firstLine="440" w:firstLineChars="200"/>
        <w:jc w:val="lef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4.7磋商过程中重新提交的响应文件，供应商可以在开启前补充、修改。</w:t>
      </w:r>
    </w:p>
    <w:p w14:paraId="38081259">
      <w:pPr>
        <w:keepNext w:val="0"/>
        <w:keepLines w:val="0"/>
        <w:pageBreakBefore w:val="0"/>
        <w:tabs>
          <w:tab w:val="left" w:pos="2835"/>
        </w:tabs>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4.8对磋商过程提交的响应文件进行有效性、完整性和响应程度审查，通过审查的合格供应商不足3家的，采购人或者采购代理机构应当重新开展采购活动。</w:t>
      </w:r>
    </w:p>
    <w:p w14:paraId="383F87A1">
      <w:pPr>
        <w:keepNext w:val="0"/>
        <w:keepLines w:val="0"/>
        <w:pageBreakBefore w:val="0"/>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z w:val="22"/>
          <w:szCs w:val="22"/>
          <w:highlight w:val="none"/>
        </w:rPr>
        <w:t>5.最后报价</w:t>
      </w:r>
    </w:p>
    <w:p w14:paraId="0F7A4E72">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753EC7D2">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5.2磋商文件不能详细列明采购标的的技术、</w:t>
      </w:r>
      <w:r>
        <w:rPr>
          <w:rFonts w:hint="eastAsia" w:asciiTheme="minorEastAsia" w:hAnsiTheme="minorEastAsia" w:eastAsiaTheme="minorEastAsia" w:cstheme="minorEastAsia"/>
          <w:color w:val="auto"/>
          <w:sz w:val="22"/>
          <w:szCs w:val="22"/>
          <w:highlight w:val="none"/>
          <w:lang w:val="en-US" w:eastAsia="zh-CN"/>
        </w:rPr>
        <w:t>服务</w:t>
      </w:r>
      <w:r>
        <w:rPr>
          <w:rFonts w:hint="eastAsia" w:asciiTheme="minorEastAsia" w:hAnsiTheme="minorEastAsia" w:eastAsiaTheme="minorEastAsia" w:cstheme="minorEastAsia"/>
          <w:color w:val="auto"/>
          <w:sz w:val="22"/>
          <w:szCs w:val="22"/>
          <w:highlight w:val="none"/>
        </w:rPr>
        <w:t>要求，需经磋商由供应商提供最后设计方案或者解决方案的，磋商结束后，由磋商小组按照少数服从多数的原则投票推荐3家以上供应商的设计方案或者解决方案，并要求其在规定时间内密封提交最后报价。</w:t>
      </w:r>
    </w:p>
    <w:p w14:paraId="261422B9">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5.3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2F6B03A7">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5.4已经提交响应文件的供应商，在提交最后报价之前，可以根据磋商情况退出磋商，退出磋商的供应商的响应文件按无效响应处理。</w:t>
      </w:r>
    </w:p>
    <w:p w14:paraId="3DC552A9">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5.5供应商未在规定时间内提交最后报价的，视同退出磋商。</w:t>
      </w:r>
    </w:p>
    <w:p w14:paraId="45E25644">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5.6磋商小组收齐最后报价后统一开启，磋商小组对最后报价进行有效性、完整性和响应程度的审查。</w:t>
      </w:r>
    </w:p>
    <w:p w14:paraId="26AD0AC3">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5.7最终响应文件的报价出现前后不一致的，按照本章第3.4条的规定修正。 </w:t>
      </w:r>
    </w:p>
    <w:p w14:paraId="01A18431">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5.8修正后的最终报价出现下列情形的，按无效响应处理：</w:t>
      </w:r>
    </w:p>
    <w:p w14:paraId="24C77047">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（1）供应商不确认的（全流程电子化评标采取在线确认）；</w:t>
      </w:r>
    </w:p>
    <w:p w14:paraId="04A23512">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（2）经供应商确认修正后的响应报价（包含首次报价、最后报价）超过所竞标规定的采购预算金额或者最高限价的（如本项目公布了最高限价）；</w:t>
      </w:r>
    </w:p>
    <w:p w14:paraId="51E9BDAB">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（3）经供应商确认修正后的响应报价（包含首次报价、最后报价）超过分项采购预算金额或者最高限价的（如本项目公布了最高限价）。</w:t>
      </w:r>
    </w:p>
    <w:p w14:paraId="75310850">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5.9经供应商确认修正后的最后报价作为评审及签订合同的依据。</w:t>
      </w:r>
    </w:p>
    <w:p w14:paraId="6A5D0987">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5.10供应商出现最后报价按无效响应处理或者响应文件按无效处理时，磋商小组应当告知有关供应商。</w:t>
      </w:r>
    </w:p>
    <w:p w14:paraId="5293084D">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5.11最后报价结束后，磋商小组不得再与供应商进行任何形式的商谈。</w:t>
      </w:r>
    </w:p>
    <w:p w14:paraId="5E1F6D36">
      <w:pPr>
        <w:keepNext w:val="0"/>
        <w:keepLines w:val="0"/>
        <w:pageBreakBefore w:val="0"/>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6.比较与评价</w:t>
      </w:r>
    </w:p>
    <w:p w14:paraId="170AAA9B">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6.1评审方法：综合评分法。</w:t>
      </w:r>
    </w:p>
    <w:p w14:paraId="0E1BA9F8">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6.2经磋商确定最终采购需求和提交最后报价的供应商后，由磋商小组采用综合评分法对提交最后报价的供应商的响应文件和最后报价进行综合评分。</w:t>
      </w:r>
    </w:p>
    <w:p w14:paraId="2A482892">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6.3评审时，磋商小组各成员应当独立对每个有效响应的文件进行评价、打分，然后汇总每个供应商每项评分因素的得分。</w:t>
      </w:r>
    </w:p>
    <w:p w14:paraId="26F6D964">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7645669E">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）磋商小组按照磋商文件中规定的评审标准计算各供应商的报价得分。项目评审过程中，不得去掉最后报价中的最高报价和最低报价。</w:t>
      </w:r>
    </w:p>
    <w:p w14:paraId="5EE307F9">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val="en-US" w:eastAsia="zh-CN"/>
        </w:rPr>
        <w:t>3</w:t>
      </w:r>
      <w:r>
        <w:rPr>
          <w:rFonts w:hint="eastAsia" w:asciiTheme="minorEastAsia" w:hAnsiTheme="minorEastAsia" w:eastAsiaTheme="minorEastAsia" w:cstheme="minorEastAsia"/>
          <w:color w:val="auto"/>
          <w:sz w:val="22"/>
          <w:szCs w:val="22"/>
          <w:highlight w:val="none"/>
        </w:rPr>
        <w:t>）各供应商的得分为磋商小组所有成员的有效评分的算术平均数。</w:t>
      </w:r>
    </w:p>
    <w:p w14:paraId="68B80869">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6.4评审价为供应商的最后报价进行政策性扣除后的价格，评审价只是作为评审时使用。最终成交供应商的成交金额等于最后报价（如有修正，以确认修正后的最后报价为准）。</w:t>
      </w:r>
    </w:p>
    <w:p w14:paraId="4458A474">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sz w:val="22"/>
          <w:szCs w:val="22"/>
          <w:highlight w:val="none"/>
        </w:rPr>
        <w:t>6.5由磋商小组根据综合评分情况，按照评审得分由高到低顺序推荐3名以上成交候选供应商，并编写评</w:t>
      </w:r>
      <w:r>
        <w:rPr>
          <w:rFonts w:hint="eastAsia" w:asciiTheme="minorEastAsia" w:hAnsiTheme="minorEastAsia" w:eastAsiaTheme="minorEastAsia" w:cstheme="minorEastAsia"/>
          <w:color w:val="auto"/>
          <w:kern w:val="0"/>
          <w:sz w:val="22"/>
          <w:szCs w:val="22"/>
          <w:highlight w:val="none"/>
        </w:rPr>
        <w:t>审报告。符合本章第4.3条情形的，可以推荐2家成交候选供应商。评审得分相同的，按照最后报价由低到高的顺序推荐。评审得分且最后报价相同的，按照技术指标优劣顺序推荐。</w:t>
      </w:r>
    </w:p>
    <w:p w14:paraId="17ECC3A1">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AC42CFD">
      <w:pPr>
        <w:keepNext w:val="0"/>
        <w:keepLines w:val="0"/>
        <w:pageBreakBefore w:val="0"/>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7.评审复核</w:t>
      </w:r>
    </w:p>
    <w:p w14:paraId="4A1A545F">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7.1评审报告签署前，评审委员会要对评审结果进行复核，复核意见要体现在评审报告中。</w:t>
      </w:r>
    </w:p>
    <w:p w14:paraId="2C47E944">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05C652A3">
      <w:pPr>
        <w:keepNext w:val="0"/>
        <w:keepLines w:val="0"/>
        <w:pageBreakBefore w:val="0"/>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lang w:val="en-US" w:eastAsia="zh-CN"/>
        </w:rPr>
        <w:t>8</w:t>
      </w:r>
      <w:r>
        <w:rPr>
          <w:rFonts w:hint="eastAsia" w:asciiTheme="minorEastAsia" w:hAnsiTheme="minorEastAsia" w:eastAsiaTheme="minorEastAsia" w:cstheme="minorEastAsia"/>
          <w:b/>
          <w:bCs/>
          <w:color w:val="auto"/>
          <w:sz w:val="22"/>
          <w:szCs w:val="22"/>
          <w:highlight w:val="none"/>
        </w:rPr>
        <w:t>.评审标准</w:t>
      </w:r>
    </w:p>
    <w:p w14:paraId="19846A68">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Cs/>
          <w:color w:val="auto"/>
          <w:szCs w:val="21"/>
          <w:highlight w:val="none"/>
        </w:rPr>
      </w:pPr>
      <w:r>
        <w:rPr>
          <w:rFonts w:hint="eastAsia" w:asciiTheme="minorEastAsia" w:hAnsiTheme="minorEastAsia" w:eastAsiaTheme="minorEastAsia" w:cstheme="minorEastAsia"/>
          <w:b w:val="0"/>
          <w:bCs/>
          <w:color w:val="auto"/>
          <w:sz w:val="22"/>
          <w:szCs w:val="22"/>
          <w:highlight w:val="none"/>
          <w:lang w:val="en-US" w:eastAsia="zh-CN"/>
        </w:rPr>
        <w:t>8</w:t>
      </w:r>
      <w:r>
        <w:rPr>
          <w:rFonts w:hint="eastAsia" w:asciiTheme="minorEastAsia" w:hAnsiTheme="minorEastAsia" w:eastAsiaTheme="minorEastAsia" w:cstheme="minorEastAsia"/>
          <w:b w:val="0"/>
          <w:bCs/>
          <w:color w:val="auto"/>
          <w:sz w:val="22"/>
          <w:szCs w:val="22"/>
          <w:highlight w:val="none"/>
        </w:rPr>
        <w:t>.</w:t>
      </w:r>
      <w:r>
        <w:rPr>
          <w:rFonts w:hint="eastAsia" w:asciiTheme="minorEastAsia" w:hAnsiTheme="minorEastAsia" w:eastAsiaTheme="minorEastAsia" w:cstheme="minorEastAsia"/>
          <w:bCs/>
          <w:color w:val="auto"/>
          <w:sz w:val="22"/>
          <w:szCs w:val="22"/>
          <w:highlight w:val="none"/>
        </w:rPr>
        <w:t>1评审依据：磋商小组将以磋商响应文件为评审依据，对供应商的报价、技术、商务等方面内容按百分制打分。（计分方法按四舍五入取至百分位）</w:t>
      </w:r>
    </w:p>
    <w:bookmarkEnd w:id="49"/>
    <w:tbl>
      <w:tblPr>
        <w:tblStyle w:val="3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01"/>
        <w:gridCol w:w="6521"/>
        <w:gridCol w:w="709"/>
      </w:tblGrid>
      <w:tr w14:paraId="30B0A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noWrap w:val="0"/>
            <w:vAlign w:val="center"/>
          </w:tcPr>
          <w:p w14:paraId="4215A3EE">
            <w:pPr>
              <w:keepNext w:val="0"/>
              <w:keepLines w:val="0"/>
              <w:pageBreakBefore w:val="0"/>
              <w:kinsoku/>
              <w:wordWrap/>
              <w:overflowPunct/>
              <w:topLinePunct w:val="0"/>
              <w:autoSpaceDE/>
              <w:autoSpaceDN/>
              <w:bidi w:val="0"/>
              <w:adjustRightInd/>
              <w:snapToGrid/>
              <w:spacing w:line="360" w:lineRule="auto"/>
              <w:ind w:left="0" w:leftChars="0" w:right="0" w:rightChars="0"/>
              <w:rPr>
                <w:rFonts w:hint="eastAsia" w:ascii="宋体" w:hAnsi="宋体"/>
                <w:color w:val="auto"/>
                <w:szCs w:val="21"/>
                <w:highlight w:val="none"/>
              </w:rPr>
            </w:pPr>
            <w:bookmarkStart w:id="52" w:name="_Toc80205935"/>
            <w:bookmarkStart w:id="53" w:name="_Toc91258508"/>
            <w:r>
              <w:rPr>
                <w:rFonts w:hint="eastAsia" w:ascii="宋体" w:hAnsi="宋体"/>
                <w:color w:val="auto"/>
                <w:szCs w:val="21"/>
                <w:highlight w:val="none"/>
              </w:rPr>
              <w:br w:type="page"/>
            </w:r>
            <w:r>
              <w:rPr>
                <w:rFonts w:hint="eastAsia" w:ascii="宋体" w:hAnsi="宋体"/>
                <w:color w:val="auto"/>
                <w:szCs w:val="21"/>
                <w:highlight w:val="none"/>
              </w:rPr>
              <w:t>序号</w:t>
            </w:r>
          </w:p>
        </w:tc>
        <w:tc>
          <w:tcPr>
            <w:tcW w:w="1701" w:type="dxa"/>
            <w:noWrap w:val="0"/>
            <w:vAlign w:val="center"/>
          </w:tcPr>
          <w:p w14:paraId="4C44F1A5">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rPr>
                <w:rFonts w:hint="eastAsia" w:ascii="宋体" w:hAnsi="宋体"/>
                <w:color w:val="auto"/>
                <w:szCs w:val="21"/>
                <w:highlight w:val="none"/>
              </w:rPr>
            </w:pPr>
            <w:r>
              <w:rPr>
                <w:rFonts w:hint="eastAsia" w:ascii="宋体" w:hAnsi="宋体"/>
                <w:color w:val="auto"/>
                <w:szCs w:val="21"/>
                <w:highlight w:val="none"/>
              </w:rPr>
              <w:t>评审因素</w:t>
            </w:r>
          </w:p>
        </w:tc>
        <w:tc>
          <w:tcPr>
            <w:tcW w:w="6521" w:type="dxa"/>
            <w:noWrap w:val="0"/>
            <w:vAlign w:val="center"/>
          </w:tcPr>
          <w:p w14:paraId="21B9D19B">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rPr>
                <w:rFonts w:hint="eastAsia" w:ascii="宋体" w:hAnsi="宋体"/>
                <w:color w:val="auto"/>
                <w:szCs w:val="21"/>
                <w:highlight w:val="none"/>
              </w:rPr>
            </w:pPr>
            <w:r>
              <w:rPr>
                <w:rFonts w:hint="eastAsia" w:ascii="宋体" w:hAnsi="宋体"/>
                <w:color w:val="auto"/>
                <w:szCs w:val="21"/>
                <w:highlight w:val="none"/>
              </w:rPr>
              <w:t>评审因素具体内容</w:t>
            </w:r>
          </w:p>
        </w:tc>
        <w:tc>
          <w:tcPr>
            <w:tcW w:w="709" w:type="dxa"/>
            <w:noWrap w:val="0"/>
            <w:vAlign w:val="center"/>
          </w:tcPr>
          <w:p w14:paraId="28AAEDDF">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rPr>
                <w:rFonts w:hint="eastAsia" w:ascii="宋体" w:hAnsi="宋体"/>
                <w:color w:val="auto"/>
                <w:szCs w:val="21"/>
                <w:highlight w:val="none"/>
              </w:rPr>
            </w:pPr>
            <w:r>
              <w:rPr>
                <w:rFonts w:hint="eastAsia" w:ascii="宋体" w:hAnsi="宋体"/>
                <w:color w:val="auto"/>
                <w:szCs w:val="21"/>
                <w:highlight w:val="none"/>
              </w:rPr>
              <w:t>分值</w:t>
            </w:r>
          </w:p>
        </w:tc>
      </w:tr>
      <w:tr w14:paraId="3F68B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675" w:type="dxa"/>
            <w:noWrap w:val="0"/>
            <w:vAlign w:val="center"/>
          </w:tcPr>
          <w:p w14:paraId="4DE7E266">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rPr>
                <w:rFonts w:hint="eastAsia" w:ascii="宋体" w:hAnsi="宋体"/>
                <w:color w:val="auto"/>
                <w:szCs w:val="21"/>
                <w:highlight w:val="none"/>
              </w:rPr>
            </w:pPr>
            <w:r>
              <w:rPr>
                <w:rFonts w:hint="eastAsia" w:ascii="宋体" w:hAnsi="宋体"/>
                <w:color w:val="auto"/>
                <w:szCs w:val="21"/>
                <w:highlight w:val="none"/>
              </w:rPr>
              <w:t>1</w:t>
            </w:r>
          </w:p>
        </w:tc>
        <w:tc>
          <w:tcPr>
            <w:tcW w:w="1701" w:type="dxa"/>
            <w:noWrap w:val="0"/>
            <w:vAlign w:val="center"/>
          </w:tcPr>
          <w:p w14:paraId="02B04F7D">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rPr>
                <w:rFonts w:hint="eastAsia" w:ascii="宋体" w:hAnsi="宋体"/>
                <w:color w:val="auto"/>
                <w:szCs w:val="21"/>
                <w:highlight w:val="none"/>
              </w:rPr>
            </w:pPr>
            <w:r>
              <w:rPr>
                <w:rFonts w:hint="eastAsia" w:ascii="宋体" w:hAnsi="宋体"/>
                <w:color w:val="auto"/>
                <w:szCs w:val="21"/>
                <w:highlight w:val="none"/>
              </w:rPr>
              <w:t>价格分</w:t>
            </w:r>
          </w:p>
        </w:tc>
        <w:tc>
          <w:tcPr>
            <w:tcW w:w="6521" w:type="dxa"/>
            <w:noWrap w:val="0"/>
            <w:vAlign w:val="center"/>
          </w:tcPr>
          <w:p w14:paraId="4E35ABDA">
            <w:pPr>
              <w:pStyle w:val="91"/>
              <w:keepNext w:val="0"/>
              <w:keepLines w:val="0"/>
              <w:pageBreakBefore w:val="0"/>
              <w:kinsoku/>
              <w:wordWrap/>
              <w:overflowPunct/>
              <w:topLinePunct w:val="0"/>
              <w:autoSpaceDE/>
              <w:autoSpaceDN/>
              <w:bidi w:val="0"/>
              <w:adjustRightInd/>
              <w:snapToGrid/>
              <w:spacing w:line="360" w:lineRule="auto"/>
              <w:ind w:left="0" w:leftChars="0" w:right="0" w:rightChars="0"/>
              <w:rPr>
                <w:rFonts w:cs="黑体"/>
                <w:i w:val="0"/>
                <w:iCs w:val="0"/>
                <w:color w:val="auto"/>
                <w:kern w:val="2"/>
                <w:highlight w:val="none"/>
              </w:rPr>
            </w:pPr>
            <w:r>
              <w:rPr>
                <w:rFonts w:hint="eastAsia" w:cs="黑体"/>
                <w:i w:val="0"/>
                <w:iCs w:val="0"/>
                <w:color w:val="auto"/>
                <w:kern w:val="2"/>
                <w:highlight w:val="none"/>
              </w:rPr>
              <w:t>（1）因本项属于专门面向</w:t>
            </w:r>
            <w:r>
              <w:rPr>
                <w:rFonts w:hint="eastAsia" w:cs="黑体"/>
                <w:i w:val="0"/>
                <w:iCs w:val="0"/>
                <w:color w:val="auto"/>
                <w:kern w:val="2"/>
                <w:highlight w:val="none"/>
                <w:lang w:val="en-US" w:eastAsia="zh-CN"/>
              </w:rPr>
              <w:t>小微</w:t>
            </w:r>
            <w:r>
              <w:rPr>
                <w:rFonts w:hint="eastAsia" w:cs="黑体"/>
                <w:i w:val="0"/>
                <w:iCs w:val="0"/>
                <w:color w:val="auto"/>
                <w:kern w:val="2"/>
                <w:highlight w:val="none"/>
              </w:rPr>
              <w:t>企业采购，不享受价格扣除优惠政策。评审价为供应商的最后报价，最终成交供应商的成交金额等于最后报价（如有修正，以确认修正后的最后报价为准）。</w:t>
            </w:r>
          </w:p>
          <w:p w14:paraId="6052827B">
            <w:pPr>
              <w:pStyle w:val="91"/>
              <w:keepNext w:val="0"/>
              <w:keepLines w:val="0"/>
              <w:pageBreakBefore w:val="0"/>
              <w:kinsoku/>
              <w:wordWrap/>
              <w:overflowPunct/>
              <w:topLinePunct w:val="0"/>
              <w:autoSpaceDE/>
              <w:autoSpaceDN/>
              <w:bidi w:val="0"/>
              <w:adjustRightInd/>
              <w:snapToGrid/>
              <w:spacing w:line="360" w:lineRule="auto"/>
              <w:ind w:left="0" w:leftChars="0" w:right="0" w:rightChars="0"/>
              <w:rPr>
                <w:rFonts w:hint="eastAsia" w:cs="黑体"/>
                <w:i w:val="0"/>
                <w:iCs w:val="0"/>
                <w:color w:val="auto"/>
                <w:kern w:val="2"/>
                <w:highlight w:val="none"/>
              </w:rPr>
            </w:pPr>
            <w:r>
              <w:rPr>
                <w:rFonts w:hint="eastAsia" w:cs="黑体"/>
                <w:i w:val="0"/>
                <w:iCs w:val="0"/>
                <w:color w:val="auto"/>
                <w:kern w:val="2"/>
                <w:highlight w:val="none"/>
              </w:rPr>
              <w:t>（2）以进入比较与评价环节的最低的评审价为基准价，基准价得分为</w:t>
            </w:r>
            <w:r>
              <w:rPr>
                <w:rFonts w:hint="eastAsia" w:cs="黑体"/>
                <w:i w:val="0"/>
                <w:iCs w:val="0"/>
                <w:color w:val="auto"/>
                <w:kern w:val="2"/>
                <w:highlight w:val="none"/>
                <w:lang w:val="en-US" w:eastAsia="zh-CN"/>
              </w:rPr>
              <w:t>10</w:t>
            </w:r>
            <w:r>
              <w:rPr>
                <w:rFonts w:hint="eastAsia" w:cs="黑体"/>
                <w:i w:val="0"/>
                <w:iCs w:val="0"/>
                <w:color w:val="auto"/>
                <w:kern w:val="2"/>
                <w:highlight w:val="none"/>
              </w:rPr>
              <w:t>分。</w:t>
            </w:r>
          </w:p>
          <w:p w14:paraId="3E86E8EB">
            <w:pPr>
              <w:pStyle w:val="91"/>
              <w:keepNext w:val="0"/>
              <w:keepLines w:val="0"/>
              <w:pageBreakBefore w:val="0"/>
              <w:kinsoku/>
              <w:wordWrap/>
              <w:overflowPunct/>
              <w:topLinePunct w:val="0"/>
              <w:autoSpaceDE/>
              <w:autoSpaceDN/>
              <w:bidi w:val="0"/>
              <w:adjustRightInd/>
              <w:snapToGrid/>
              <w:spacing w:line="360" w:lineRule="auto"/>
              <w:ind w:left="0" w:leftChars="0" w:right="0" w:rightChars="0"/>
              <w:rPr>
                <w:rFonts w:hint="eastAsia" w:ascii="宋体" w:hAnsi="宋体" w:cs="黑体"/>
                <w:color w:val="auto"/>
                <w:highlight w:val="none"/>
              </w:rPr>
            </w:pPr>
            <w:r>
              <w:rPr>
                <w:rFonts w:hint="eastAsia" w:cs="黑体"/>
                <w:color w:val="auto"/>
                <w:kern w:val="2"/>
                <w:highlight w:val="none"/>
              </w:rPr>
              <w:t>（3）价格分计算公式：</w:t>
            </w:r>
            <w:r>
              <w:rPr>
                <w:rFonts w:hint="eastAsia" w:ascii="宋体" w:hAnsi="宋体" w:cs="黑体"/>
                <w:color w:val="auto"/>
                <w:kern w:val="2"/>
                <w:highlight w:val="none"/>
              </w:rPr>
              <w:t>报价得分=（基准价/最后报价）×</w:t>
            </w:r>
            <w:r>
              <w:rPr>
                <w:rFonts w:hint="eastAsia" w:cs="黑体"/>
                <w:color w:val="auto"/>
                <w:kern w:val="2"/>
                <w:highlight w:val="none"/>
                <w:lang w:val="en-US" w:eastAsia="zh-CN"/>
              </w:rPr>
              <w:t>30</w:t>
            </w:r>
            <w:r>
              <w:rPr>
                <w:rFonts w:hint="eastAsia" w:ascii="宋体" w:hAnsi="宋体" w:cs="黑体"/>
                <w:color w:val="auto"/>
                <w:kern w:val="2"/>
                <w:highlight w:val="none"/>
              </w:rPr>
              <w:t>分</w:t>
            </w:r>
          </w:p>
        </w:tc>
        <w:tc>
          <w:tcPr>
            <w:tcW w:w="709" w:type="dxa"/>
            <w:noWrap w:val="0"/>
            <w:vAlign w:val="center"/>
          </w:tcPr>
          <w:p w14:paraId="3E00E1F7">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rPr>
                <w:rFonts w:hint="eastAsia" w:ascii="宋体" w:hAnsi="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分</w:t>
            </w:r>
          </w:p>
        </w:tc>
      </w:tr>
      <w:tr w14:paraId="5978C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675" w:type="dxa"/>
            <w:noWrap w:val="0"/>
            <w:vAlign w:val="center"/>
          </w:tcPr>
          <w:p w14:paraId="5CD70855">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rPr>
                <w:rFonts w:hint="eastAsia" w:ascii="宋体" w:hAnsi="宋体"/>
                <w:color w:val="auto"/>
                <w:szCs w:val="21"/>
                <w:highlight w:val="none"/>
              </w:rPr>
            </w:pPr>
            <w:r>
              <w:rPr>
                <w:rFonts w:hint="eastAsia" w:ascii="宋体" w:hAnsi="宋体"/>
                <w:color w:val="auto"/>
                <w:szCs w:val="21"/>
                <w:highlight w:val="none"/>
              </w:rPr>
              <w:t>2</w:t>
            </w:r>
          </w:p>
        </w:tc>
        <w:tc>
          <w:tcPr>
            <w:tcW w:w="1701" w:type="dxa"/>
            <w:noWrap w:val="0"/>
            <w:vAlign w:val="center"/>
          </w:tcPr>
          <w:p w14:paraId="6AD8708E">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rPr>
                <w:rFonts w:hint="eastAsia" w:ascii="宋体" w:hAnsi="宋体"/>
                <w:color w:val="auto"/>
                <w:szCs w:val="21"/>
                <w:highlight w:val="none"/>
              </w:rPr>
            </w:pPr>
            <w:r>
              <w:rPr>
                <w:rFonts w:hint="eastAsia" w:ascii="宋体" w:hAnsi="宋体"/>
                <w:color w:val="auto"/>
                <w:szCs w:val="21"/>
                <w:highlight w:val="none"/>
              </w:rPr>
              <w:t>技术分（主观分）</w:t>
            </w:r>
          </w:p>
          <w:p w14:paraId="35960689">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rPr>
                <w:rFonts w:ascii="宋体" w:hAnsi="宋体"/>
                <w:color w:val="auto"/>
                <w:szCs w:val="21"/>
                <w:highlight w:val="none"/>
              </w:rPr>
            </w:pPr>
            <w:r>
              <w:rPr>
                <w:rFonts w:hint="eastAsia" w:ascii="宋体" w:hAnsi="宋体"/>
                <w:color w:val="auto"/>
                <w:szCs w:val="21"/>
                <w:highlight w:val="none"/>
              </w:rPr>
              <w:t>(满分</w:t>
            </w:r>
            <w:r>
              <w:rPr>
                <w:rFonts w:hint="eastAsia" w:ascii="宋体" w:hAnsi="宋体"/>
                <w:color w:val="auto"/>
                <w:szCs w:val="21"/>
                <w:highlight w:val="none"/>
                <w:lang w:val="en-US" w:eastAsia="zh-CN"/>
              </w:rPr>
              <w:t>60</w:t>
            </w:r>
            <w:r>
              <w:rPr>
                <w:rFonts w:hint="eastAsia" w:ascii="宋体" w:hAnsi="宋体"/>
                <w:color w:val="auto"/>
                <w:szCs w:val="21"/>
                <w:highlight w:val="none"/>
              </w:rPr>
              <w:t>分）</w:t>
            </w:r>
          </w:p>
        </w:tc>
        <w:tc>
          <w:tcPr>
            <w:tcW w:w="7230" w:type="dxa"/>
            <w:gridSpan w:val="2"/>
            <w:noWrap w:val="0"/>
            <w:vAlign w:val="center"/>
          </w:tcPr>
          <w:p w14:paraId="6C1656EF">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rPr>
                <w:rFonts w:hint="eastAsia" w:ascii="宋体" w:hAnsi="宋体"/>
                <w:color w:val="auto"/>
                <w:szCs w:val="21"/>
                <w:highlight w:val="none"/>
              </w:rPr>
            </w:pPr>
            <w:r>
              <w:rPr>
                <w:rFonts w:hint="eastAsia" w:ascii="宋体" w:hAnsi="宋体"/>
                <w:color w:val="auto"/>
                <w:szCs w:val="21"/>
                <w:highlight w:val="none"/>
              </w:rPr>
              <w:t>评审因素</w:t>
            </w:r>
          </w:p>
        </w:tc>
      </w:tr>
      <w:tr w14:paraId="223A1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noWrap w:val="0"/>
            <w:vAlign w:val="center"/>
          </w:tcPr>
          <w:p w14:paraId="4EDA232C">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baseline"/>
              <w:rPr>
                <w:rFonts w:hint="eastAsia" w:ascii="宋体" w:hAnsi="宋体"/>
                <w:color w:val="auto"/>
                <w:szCs w:val="21"/>
                <w:highlight w:val="none"/>
              </w:rPr>
            </w:pPr>
            <w:r>
              <w:rPr>
                <w:rFonts w:hint="eastAsia" w:ascii="宋体" w:hAnsi="宋体"/>
                <w:color w:val="auto"/>
                <w:szCs w:val="21"/>
                <w:highlight w:val="none"/>
              </w:rPr>
              <w:t>2.1</w:t>
            </w:r>
          </w:p>
        </w:tc>
        <w:tc>
          <w:tcPr>
            <w:tcW w:w="1701" w:type="dxa"/>
            <w:noWrap w:val="0"/>
            <w:vAlign w:val="center"/>
          </w:tcPr>
          <w:p w14:paraId="6703137C">
            <w:pPr>
              <w:keepNext w:val="0"/>
              <w:keepLines w:val="0"/>
              <w:pageBreakBefore w:val="0"/>
              <w:kinsoku/>
              <w:wordWrap/>
              <w:overflowPunct/>
              <w:topLinePunct w:val="0"/>
              <w:autoSpaceDE/>
              <w:autoSpaceDN/>
              <w:bidi w:val="0"/>
              <w:adjustRightInd/>
              <w:snapToGrid/>
              <w:spacing w:line="360" w:lineRule="auto"/>
              <w:ind w:left="0" w:leftChars="0" w:right="0" w:rightChars="0"/>
              <w:rPr>
                <w:rFonts w:hint="eastAsia" w:ascii="宋体" w:hAnsi="宋体"/>
                <w:color w:val="auto"/>
                <w:szCs w:val="21"/>
                <w:highlight w:val="none"/>
              </w:rPr>
            </w:pPr>
            <w:r>
              <w:rPr>
                <w:rFonts w:hint="eastAsia" w:ascii="宋体" w:hAnsi="宋体"/>
                <w:color w:val="auto"/>
                <w:szCs w:val="21"/>
                <w:highlight w:val="none"/>
              </w:rPr>
              <w:t>实施进度计划和各阶段进度的保证措施</w:t>
            </w:r>
          </w:p>
        </w:tc>
        <w:tc>
          <w:tcPr>
            <w:tcW w:w="6521" w:type="dxa"/>
            <w:noWrap w:val="0"/>
            <w:vAlign w:val="center"/>
          </w:tcPr>
          <w:p w14:paraId="1D9ED70B">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评委将根据供应商的实施进度计划和各阶段进度的保证措施进行打分。未提供</w:t>
            </w:r>
            <w:r>
              <w:rPr>
                <w:rFonts w:hint="eastAsia" w:ascii="宋体" w:hAnsi="宋体"/>
                <w:color w:val="auto"/>
                <w:szCs w:val="21"/>
                <w:highlight w:val="none"/>
                <w:lang w:val="en-US" w:eastAsia="zh-CN"/>
              </w:rPr>
              <w:t>评分</w:t>
            </w:r>
            <w:r>
              <w:rPr>
                <w:rFonts w:hint="eastAsia" w:ascii="宋体" w:hAnsi="宋体"/>
                <w:color w:val="auto"/>
                <w:szCs w:val="21"/>
                <w:highlight w:val="none"/>
              </w:rPr>
              <w:t>内容，或内容不满足项目需求的</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不得分。</w:t>
            </w:r>
          </w:p>
          <w:p w14:paraId="75F4A271">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rPr>
                <w:rFonts w:hint="eastAsia" w:ascii="宋体" w:hAnsi="宋体"/>
                <w:color w:val="auto"/>
                <w:szCs w:val="21"/>
                <w:highlight w:val="none"/>
              </w:rPr>
            </w:pPr>
            <w:r>
              <w:rPr>
                <w:rFonts w:hint="eastAsia" w:ascii="宋体" w:hAnsi="宋体"/>
                <w:color w:val="auto"/>
                <w:szCs w:val="21"/>
                <w:highlight w:val="none"/>
              </w:rPr>
              <w:t>一档(</w:t>
            </w:r>
            <w:r>
              <w:rPr>
                <w:rFonts w:hint="eastAsia" w:ascii="宋体" w:hAnsi="宋体"/>
                <w:color w:val="auto"/>
                <w:szCs w:val="21"/>
                <w:highlight w:val="none"/>
                <w:lang w:val="en-US" w:eastAsia="zh-CN"/>
              </w:rPr>
              <w:t>11</w:t>
            </w:r>
            <w:r>
              <w:rPr>
                <w:rFonts w:hint="eastAsia" w:ascii="宋体" w:hAnsi="宋体"/>
                <w:color w:val="auto"/>
                <w:szCs w:val="21"/>
                <w:highlight w:val="none"/>
              </w:rPr>
              <w:t>.0分)</w:t>
            </w:r>
            <w:r>
              <w:rPr>
                <w:rFonts w:hint="eastAsia" w:ascii="宋体" w:hAnsi="宋体"/>
                <w:color w:val="auto"/>
                <w:szCs w:val="21"/>
                <w:highlight w:val="none"/>
                <w:lang w:eastAsia="zh-CN"/>
              </w:rPr>
              <w:t>：</w:t>
            </w:r>
            <w:r>
              <w:rPr>
                <w:rFonts w:hint="eastAsia" w:ascii="宋体" w:hAnsi="宋体"/>
                <w:color w:val="auto"/>
                <w:szCs w:val="21"/>
                <w:highlight w:val="none"/>
              </w:rPr>
              <w:t>清理维护关键线路清晰、准确、完整，计划编制合理、可行，关键节点的控制措施有力、合理、可行，进度违约责任承诺具体。</w:t>
            </w:r>
          </w:p>
          <w:p w14:paraId="26DFAA8A">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rPr>
                <w:rFonts w:hint="eastAsia" w:ascii="宋体" w:hAnsi="宋体"/>
                <w:color w:val="auto"/>
                <w:szCs w:val="21"/>
                <w:highlight w:val="none"/>
              </w:rPr>
            </w:pPr>
            <w:r>
              <w:rPr>
                <w:rFonts w:hint="eastAsia" w:ascii="宋体" w:hAnsi="宋体"/>
                <w:color w:val="auto"/>
                <w:szCs w:val="21"/>
                <w:highlight w:val="none"/>
              </w:rPr>
              <w:t>二档(</w:t>
            </w:r>
            <w:r>
              <w:rPr>
                <w:rFonts w:hint="eastAsia" w:ascii="宋体" w:hAnsi="宋体"/>
                <w:color w:val="auto"/>
                <w:szCs w:val="21"/>
                <w:highlight w:val="none"/>
                <w:lang w:val="en-US" w:eastAsia="zh-CN"/>
              </w:rPr>
              <w:t>7</w:t>
            </w:r>
            <w:r>
              <w:rPr>
                <w:rFonts w:hint="eastAsia" w:ascii="宋体" w:hAnsi="宋体"/>
                <w:color w:val="auto"/>
                <w:szCs w:val="21"/>
                <w:highlight w:val="none"/>
              </w:rPr>
              <w:t>.0分)</w:t>
            </w:r>
            <w:r>
              <w:rPr>
                <w:rFonts w:hint="eastAsia" w:ascii="宋体" w:hAnsi="宋体"/>
                <w:color w:val="auto"/>
                <w:szCs w:val="21"/>
                <w:highlight w:val="none"/>
                <w:lang w:eastAsia="zh-CN"/>
              </w:rPr>
              <w:t>：</w:t>
            </w:r>
            <w:r>
              <w:rPr>
                <w:rFonts w:hint="eastAsia" w:ascii="宋体" w:hAnsi="宋体"/>
                <w:color w:val="auto"/>
                <w:szCs w:val="21"/>
                <w:highlight w:val="none"/>
              </w:rPr>
              <w:t>清理维护关键线路基本准确，计划编制基本合理，关键节点的控制措施基本可行，进度违约责任承诺具体。</w:t>
            </w:r>
          </w:p>
          <w:p w14:paraId="1DEA675B">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rPr>
                <w:rFonts w:hint="eastAsia" w:ascii="宋体" w:hAnsi="宋体"/>
                <w:color w:val="auto"/>
                <w:szCs w:val="21"/>
                <w:highlight w:val="none"/>
              </w:rPr>
            </w:pPr>
            <w:r>
              <w:rPr>
                <w:rFonts w:hint="eastAsia" w:ascii="宋体" w:hAnsi="宋体"/>
                <w:color w:val="auto"/>
                <w:szCs w:val="21"/>
                <w:highlight w:val="none"/>
              </w:rPr>
              <w:t>三档(3.0分)</w:t>
            </w:r>
            <w:r>
              <w:rPr>
                <w:rFonts w:hint="eastAsia" w:ascii="宋体" w:hAnsi="宋体"/>
                <w:color w:val="auto"/>
                <w:szCs w:val="21"/>
                <w:highlight w:val="none"/>
                <w:lang w:eastAsia="zh-CN"/>
              </w:rPr>
              <w:t>：</w:t>
            </w:r>
            <w:r>
              <w:rPr>
                <w:rFonts w:hint="eastAsia" w:ascii="宋体" w:hAnsi="宋体"/>
                <w:color w:val="auto"/>
                <w:szCs w:val="21"/>
                <w:highlight w:val="none"/>
              </w:rPr>
              <w:t>清理维护关键线路不准确，计划编制不合理，关键节点控制不可行，没有违约责任承诺。</w:t>
            </w:r>
          </w:p>
        </w:tc>
        <w:tc>
          <w:tcPr>
            <w:tcW w:w="709" w:type="dxa"/>
            <w:noWrap w:val="0"/>
            <w:vAlign w:val="center"/>
          </w:tcPr>
          <w:p w14:paraId="4AAA24AD">
            <w:pPr>
              <w:keepNext w:val="0"/>
              <w:keepLines w:val="0"/>
              <w:pageBreakBefore w:val="0"/>
              <w:kinsoku/>
              <w:wordWrap/>
              <w:overflowPunct/>
              <w:topLinePunct w:val="0"/>
              <w:autoSpaceDE/>
              <w:autoSpaceDN/>
              <w:bidi w:val="0"/>
              <w:adjustRightInd/>
              <w:snapToGrid/>
              <w:spacing w:line="360" w:lineRule="auto"/>
              <w:ind w:left="0" w:leftChars="0" w:right="0" w:rightChars="0"/>
              <w:jc w:val="center"/>
              <w:rPr>
                <w:rFonts w:hint="eastAsia" w:ascii="宋体" w:hAnsi="宋体"/>
                <w:color w:val="auto"/>
                <w:szCs w:val="21"/>
                <w:highlight w:val="none"/>
              </w:rPr>
            </w:pPr>
            <w:r>
              <w:rPr>
                <w:rFonts w:hint="eastAsia" w:ascii="宋体" w:hAnsi="宋体"/>
                <w:color w:val="auto"/>
                <w:szCs w:val="21"/>
                <w:highlight w:val="none"/>
                <w:lang w:val="en-US" w:eastAsia="zh-CN"/>
              </w:rPr>
              <w:t>11</w:t>
            </w:r>
            <w:r>
              <w:rPr>
                <w:rFonts w:hint="eastAsia" w:ascii="宋体" w:hAnsi="宋体"/>
                <w:color w:val="auto"/>
                <w:szCs w:val="21"/>
                <w:highlight w:val="none"/>
              </w:rPr>
              <w:t>分</w:t>
            </w:r>
          </w:p>
        </w:tc>
      </w:tr>
      <w:tr w14:paraId="7F3EC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noWrap w:val="0"/>
            <w:vAlign w:val="center"/>
          </w:tcPr>
          <w:p w14:paraId="6FCC8626">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baseline"/>
              <w:rPr>
                <w:rFonts w:hint="eastAsia" w:ascii="宋体" w:hAnsi="宋体"/>
                <w:color w:val="auto"/>
                <w:szCs w:val="21"/>
                <w:highlight w:val="none"/>
              </w:rPr>
            </w:pPr>
            <w:r>
              <w:rPr>
                <w:rFonts w:hint="eastAsia" w:ascii="宋体" w:hAnsi="宋体"/>
                <w:color w:val="auto"/>
                <w:szCs w:val="21"/>
                <w:highlight w:val="none"/>
              </w:rPr>
              <w:t>2.2</w:t>
            </w:r>
          </w:p>
        </w:tc>
        <w:tc>
          <w:tcPr>
            <w:tcW w:w="1701" w:type="dxa"/>
            <w:noWrap w:val="0"/>
            <w:vAlign w:val="center"/>
          </w:tcPr>
          <w:p w14:paraId="07B421EB">
            <w:pPr>
              <w:keepNext w:val="0"/>
              <w:keepLines w:val="0"/>
              <w:pageBreakBefore w:val="0"/>
              <w:kinsoku/>
              <w:wordWrap/>
              <w:overflowPunct/>
              <w:topLinePunct w:val="0"/>
              <w:autoSpaceDE/>
              <w:autoSpaceDN/>
              <w:bidi w:val="0"/>
              <w:adjustRightInd/>
              <w:snapToGrid/>
              <w:spacing w:line="360" w:lineRule="auto"/>
              <w:ind w:left="0" w:leftChars="0" w:right="0" w:rightChars="0"/>
              <w:jc w:val="center"/>
              <w:rPr>
                <w:rFonts w:hint="eastAsia" w:ascii="宋体" w:hAnsi="宋体"/>
                <w:color w:val="auto"/>
                <w:szCs w:val="21"/>
                <w:highlight w:val="none"/>
              </w:rPr>
            </w:pPr>
            <w:r>
              <w:rPr>
                <w:rFonts w:hint="eastAsia" w:ascii="宋体" w:hAnsi="宋体"/>
                <w:color w:val="auto"/>
                <w:szCs w:val="21"/>
                <w:highlight w:val="none"/>
              </w:rPr>
              <w:t>主要清理维护项目的服务方案及方法与技术措施</w:t>
            </w:r>
          </w:p>
        </w:tc>
        <w:tc>
          <w:tcPr>
            <w:tcW w:w="6521" w:type="dxa"/>
            <w:noWrap w:val="0"/>
            <w:vAlign w:val="center"/>
          </w:tcPr>
          <w:p w14:paraId="2FB9A4E7">
            <w:pPr>
              <w:keepNext w:val="0"/>
              <w:keepLines w:val="0"/>
              <w:pageBreakBefore w:val="0"/>
              <w:kinsoku/>
              <w:wordWrap/>
              <w:overflowPunct/>
              <w:topLinePunct w:val="0"/>
              <w:autoSpaceDE/>
              <w:autoSpaceDN/>
              <w:bidi w:val="0"/>
              <w:adjustRightInd/>
              <w:snapToGrid/>
              <w:spacing w:line="360" w:lineRule="auto"/>
              <w:ind w:left="0" w:leftChars="0" w:right="0" w:rightChars="0" w:firstLine="315" w:firstLineChars="150"/>
              <w:rPr>
                <w:rFonts w:hint="eastAsia" w:ascii="宋体" w:hAnsi="宋体"/>
                <w:color w:val="auto"/>
                <w:szCs w:val="21"/>
                <w:highlight w:val="none"/>
              </w:rPr>
            </w:pPr>
            <w:r>
              <w:rPr>
                <w:rFonts w:hint="eastAsia" w:ascii="宋体" w:hAnsi="宋体"/>
                <w:color w:val="auto"/>
                <w:szCs w:val="21"/>
                <w:highlight w:val="none"/>
              </w:rPr>
              <w:t>评委将根据供应商的主要清理维护项目的服务方案及方法与技术措施进行打分。未提供</w:t>
            </w:r>
            <w:r>
              <w:rPr>
                <w:rFonts w:hint="eastAsia" w:ascii="宋体" w:hAnsi="宋体"/>
                <w:color w:val="auto"/>
                <w:szCs w:val="21"/>
                <w:highlight w:val="none"/>
                <w:lang w:val="en-US" w:eastAsia="zh-CN"/>
              </w:rPr>
              <w:t>评分</w:t>
            </w:r>
            <w:r>
              <w:rPr>
                <w:rFonts w:hint="eastAsia" w:ascii="宋体" w:hAnsi="宋体"/>
                <w:color w:val="auto"/>
                <w:szCs w:val="21"/>
                <w:highlight w:val="none"/>
              </w:rPr>
              <w:t>内容，或内容不满足项目需求的</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不得分。</w:t>
            </w:r>
          </w:p>
          <w:p w14:paraId="006493D4">
            <w:pPr>
              <w:keepNext w:val="0"/>
              <w:keepLines w:val="0"/>
              <w:pageBreakBefore w:val="0"/>
              <w:kinsoku/>
              <w:wordWrap/>
              <w:overflowPunct/>
              <w:topLinePunct w:val="0"/>
              <w:autoSpaceDE/>
              <w:autoSpaceDN/>
              <w:bidi w:val="0"/>
              <w:adjustRightInd/>
              <w:snapToGrid/>
              <w:spacing w:line="360" w:lineRule="auto"/>
              <w:ind w:left="0" w:leftChars="0" w:right="0" w:rightChars="0" w:firstLine="315" w:firstLineChars="150"/>
              <w:rPr>
                <w:rFonts w:hint="eastAsia" w:ascii="宋体" w:hAnsi="宋体"/>
                <w:color w:val="auto"/>
                <w:szCs w:val="21"/>
                <w:highlight w:val="none"/>
              </w:rPr>
            </w:pPr>
            <w:r>
              <w:rPr>
                <w:rFonts w:hint="eastAsia" w:ascii="宋体" w:hAnsi="宋体"/>
                <w:color w:val="auto"/>
                <w:szCs w:val="21"/>
                <w:highlight w:val="none"/>
              </w:rPr>
              <w:t>一档(9.0分)</w:t>
            </w:r>
            <w:r>
              <w:rPr>
                <w:rFonts w:hint="eastAsia" w:ascii="宋体" w:hAnsi="宋体"/>
                <w:color w:val="auto"/>
                <w:szCs w:val="21"/>
                <w:highlight w:val="none"/>
                <w:lang w:eastAsia="zh-CN"/>
              </w:rPr>
              <w:t>：</w:t>
            </w:r>
            <w:r>
              <w:rPr>
                <w:rFonts w:hint="eastAsia" w:ascii="宋体" w:hAnsi="宋体"/>
                <w:color w:val="auto"/>
                <w:szCs w:val="21"/>
                <w:highlight w:val="none"/>
              </w:rPr>
              <w:t>对项目关键技术、工艺有深入的表述对重点、难点有先进合理的施工措施并有可行的安全措施，解决方案完整、经济、安全、切实可行，措施得力。</w:t>
            </w:r>
          </w:p>
          <w:p w14:paraId="675F9015">
            <w:pPr>
              <w:keepNext w:val="0"/>
              <w:keepLines w:val="0"/>
              <w:pageBreakBefore w:val="0"/>
              <w:kinsoku/>
              <w:wordWrap/>
              <w:overflowPunct/>
              <w:topLinePunct w:val="0"/>
              <w:autoSpaceDE/>
              <w:autoSpaceDN/>
              <w:bidi w:val="0"/>
              <w:adjustRightInd/>
              <w:snapToGrid/>
              <w:spacing w:line="360" w:lineRule="auto"/>
              <w:ind w:left="0" w:leftChars="0" w:right="0" w:rightChars="0" w:firstLine="315" w:firstLineChars="150"/>
              <w:rPr>
                <w:rFonts w:hint="eastAsia" w:ascii="宋体" w:hAnsi="宋体"/>
                <w:color w:val="auto"/>
                <w:szCs w:val="21"/>
                <w:highlight w:val="none"/>
              </w:rPr>
            </w:pPr>
            <w:r>
              <w:rPr>
                <w:rFonts w:hint="eastAsia" w:ascii="宋体" w:hAnsi="宋体"/>
                <w:color w:val="auto"/>
                <w:szCs w:val="21"/>
                <w:highlight w:val="none"/>
              </w:rPr>
              <w:t>二档(6.0分)</w:t>
            </w:r>
            <w:r>
              <w:rPr>
                <w:rFonts w:hint="eastAsia" w:ascii="宋体" w:hAnsi="宋体"/>
                <w:color w:val="auto"/>
                <w:szCs w:val="21"/>
                <w:highlight w:val="none"/>
                <w:lang w:eastAsia="zh-CN"/>
              </w:rPr>
              <w:t>：</w:t>
            </w:r>
            <w:r>
              <w:rPr>
                <w:rFonts w:hint="eastAsia" w:ascii="宋体" w:hAnsi="宋体"/>
                <w:color w:val="auto"/>
                <w:szCs w:val="21"/>
                <w:highlight w:val="none"/>
              </w:rPr>
              <w:t>对项目关键技术有一定理解，对重点、难点有关键，解决方案基本可行。</w:t>
            </w:r>
          </w:p>
          <w:p w14:paraId="2E30F4A7">
            <w:pPr>
              <w:keepNext w:val="0"/>
              <w:keepLines w:val="0"/>
              <w:pageBreakBefore w:val="0"/>
              <w:kinsoku/>
              <w:wordWrap/>
              <w:overflowPunct/>
              <w:topLinePunct w:val="0"/>
              <w:autoSpaceDE/>
              <w:autoSpaceDN/>
              <w:bidi w:val="0"/>
              <w:adjustRightInd/>
              <w:snapToGrid/>
              <w:spacing w:line="360" w:lineRule="auto"/>
              <w:ind w:left="0" w:leftChars="0" w:right="0" w:rightChars="0" w:firstLine="315" w:firstLineChars="150"/>
              <w:rPr>
                <w:rFonts w:hint="eastAsia" w:ascii="宋体" w:hAnsi="宋体"/>
                <w:color w:val="auto"/>
                <w:szCs w:val="21"/>
                <w:highlight w:val="none"/>
              </w:rPr>
            </w:pPr>
            <w:r>
              <w:rPr>
                <w:rFonts w:hint="eastAsia" w:ascii="宋体" w:hAnsi="宋体"/>
                <w:color w:val="auto"/>
                <w:szCs w:val="21"/>
                <w:highlight w:val="none"/>
              </w:rPr>
              <w:t>三档(3.0分)</w:t>
            </w:r>
            <w:r>
              <w:rPr>
                <w:rFonts w:hint="eastAsia" w:ascii="宋体" w:hAnsi="宋体"/>
                <w:color w:val="auto"/>
                <w:szCs w:val="21"/>
                <w:highlight w:val="none"/>
                <w:lang w:eastAsia="zh-CN"/>
              </w:rPr>
              <w:t>：</w:t>
            </w:r>
            <w:r>
              <w:rPr>
                <w:rFonts w:hint="eastAsia" w:ascii="宋体" w:hAnsi="宋体"/>
                <w:color w:val="auto"/>
                <w:szCs w:val="21"/>
                <w:highlight w:val="none"/>
              </w:rPr>
              <w:t>对项目关键技术有表述，对重点、难点有建议，解决方案不可行。</w:t>
            </w:r>
          </w:p>
        </w:tc>
        <w:tc>
          <w:tcPr>
            <w:tcW w:w="709" w:type="dxa"/>
            <w:noWrap w:val="0"/>
            <w:vAlign w:val="center"/>
          </w:tcPr>
          <w:p w14:paraId="0BE4724C">
            <w:pPr>
              <w:keepNext w:val="0"/>
              <w:keepLines w:val="0"/>
              <w:pageBreakBefore w:val="0"/>
              <w:kinsoku/>
              <w:wordWrap/>
              <w:overflowPunct/>
              <w:topLinePunct w:val="0"/>
              <w:autoSpaceDE/>
              <w:autoSpaceDN/>
              <w:bidi w:val="0"/>
              <w:adjustRightInd/>
              <w:snapToGrid/>
              <w:spacing w:line="360" w:lineRule="auto"/>
              <w:ind w:left="0" w:leftChars="0" w:right="0" w:rightChars="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9分</w:t>
            </w:r>
          </w:p>
        </w:tc>
      </w:tr>
      <w:tr w14:paraId="17CBB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noWrap w:val="0"/>
            <w:vAlign w:val="center"/>
          </w:tcPr>
          <w:p w14:paraId="2AAB9B30">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baseline"/>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2.3</w:t>
            </w:r>
          </w:p>
        </w:tc>
        <w:tc>
          <w:tcPr>
            <w:tcW w:w="1701" w:type="dxa"/>
            <w:noWrap w:val="0"/>
            <w:vAlign w:val="center"/>
          </w:tcPr>
          <w:p w14:paraId="0DF092B8">
            <w:pPr>
              <w:keepNext w:val="0"/>
              <w:keepLines w:val="0"/>
              <w:pageBreakBefore w:val="0"/>
              <w:kinsoku/>
              <w:wordWrap/>
              <w:overflowPunct/>
              <w:topLinePunct w:val="0"/>
              <w:autoSpaceDE/>
              <w:autoSpaceDN/>
              <w:bidi w:val="0"/>
              <w:adjustRightInd/>
              <w:snapToGrid/>
              <w:spacing w:line="360" w:lineRule="auto"/>
              <w:ind w:left="0" w:leftChars="0" w:right="0" w:rightChars="0"/>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服务质量管理体系及保证措施</w:t>
            </w:r>
          </w:p>
        </w:tc>
        <w:tc>
          <w:tcPr>
            <w:tcW w:w="6521" w:type="dxa"/>
            <w:noWrap w:val="0"/>
            <w:vAlign w:val="center"/>
          </w:tcPr>
          <w:p w14:paraId="35DE7437">
            <w:pPr>
              <w:keepNext w:val="0"/>
              <w:keepLines w:val="0"/>
              <w:pageBreakBefore w:val="0"/>
              <w:kinsoku/>
              <w:wordWrap/>
              <w:overflowPunct/>
              <w:topLinePunct w:val="0"/>
              <w:autoSpaceDE/>
              <w:autoSpaceDN/>
              <w:bidi w:val="0"/>
              <w:adjustRightInd/>
              <w:snapToGrid/>
              <w:spacing w:line="360" w:lineRule="auto"/>
              <w:ind w:left="0" w:leftChars="0" w:right="0" w:rightChars="0" w:firstLine="315" w:firstLineChars="150"/>
              <w:rPr>
                <w:rFonts w:hint="eastAsia" w:ascii="宋体" w:hAnsi="宋体"/>
                <w:color w:val="auto"/>
                <w:szCs w:val="21"/>
                <w:highlight w:val="none"/>
                <w:lang w:val="en-US" w:eastAsia="zh-CN"/>
              </w:rPr>
            </w:pPr>
            <w:r>
              <w:rPr>
                <w:rFonts w:hint="eastAsia" w:ascii="宋体" w:hAnsi="宋体"/>
                <w:color w:val="auto"/>
                <w:szCs w:val="21"/>
                <w:highlight w:val="none"/>
              </w:rPr>
              <w:t>评委将根据供应商的</w:t>
            </w:r>
            <w:r>
              <w:rPr>
                <w:rFonts w:hint="eastAsia" w:ascii="宋体" w:hAnsi="宋体"/>
                <w:color w:val="auto"/>
                <w:szCs w:val="21"/>
                <w:highlight w:val="none"/>
                <w:lang w:val="en-US" w:eastAsia="zh-CN"/>
              </w:rPr>
              <w:t>服务质量管理体系及保证措施</w:t>
            </w:r>
            <w:r>
              <w:rPr>
                <w:rFonts w:hint="eastAsia" w:ascii="宋体" w:hAnsi="宋体"/>
                <w:color w:val="auto"/>
                <w:szCs w:val="21"/>
                <w:highlight w:val="none"/>
              </w:rPr>
              <w:t>进行打分。未提供</w:t>
            </w:r>
            <w:r>
              <w:rPr>
                <w:rFonts w:hint="eastAsia" w:ascii="宋体" w:hAnsi="宋体"/>
                <w:color w:val="auto"/>
                <w:szCs w:val="21"/>
                <w:highlight w:val="none"/>
                <w:lang w:val="en-US" w:eastAsia="zh-CN"/>
              </w:rPr>
              <w:t>评分</w:t>
            </w:r>
            <w:r>
              <w:rPr>
                <w:rFonts w:hint="eastAsia" w:ascii="宋体" w:hAnsi="宋体"/>
                <w:color w:val="auto"/>
                <w:szCs w:val="21"/>
                <w:highlight w:val="none"/>
              </w:rPr>
              <w:t>内容，或内容不满足项目需求的</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不得分。</w:t>
            </w:r>
          </w:p>
          <w:p w14:paraId="0FDA56F6">
            <w:pPr>
              <w:keepNext w:val="0"/>
              <w:keepLines w:val="0"/>
              <w:pageBreakBefore w:val="0"/>
              <w:kinsoku/>
              <w:wordWrap/>
              <w:overflowPunct/>
              <w:topLinePunct w:val="0"/>
              <w:autoSpaceDE/>
              <w:autoSpaceDN/>
              <w:bidi w:val="0"/>
              <w:adjustRightInd/>
              <w:snapToGrid/>
              <w:spacing w:line="360" w:lineRule="auto"/>
              <w:ind w:left="0" w:leftChars="0" w:right="0" w:rightChars="0" w:firstLine="315" w:firstLineChars="15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一档(12.0分)：编制的清理维护各分部分项服务的主要实施方法完善、合理、满足项目的实际服务要求。针对项目实际提出先进、可行、具体的保证措施，质量保证承诺具体。</w:t>
            </w:r>
          </w:p>
          <w:p w14:paraId="09F11E79">
            <w:pPr>
              <w:keepNext w:val="0"/>
              <w:keepLines w:val="0"/>
              <w:pageBreakBefore w:val="0"/>
              <w:kinsoku/>
              <w:wordWrap/>
              <w:overflowPunct/>
              <w:topLinePunct w:val="0"/>
              <w:autoSpaceDE/>
              <w:autoSpaceDN/>
              <w:bidi w:val="0"/>
              <w:adjustRightInd/>
              <w:snapToGrid/>
              <w:spacing w:line="360" w:lineRule="auto"/>
              <w:ind w:left="0" w:leftChars="0" w:right="0" w:rightChars="0" w:firstLine="315" w:firstLineChars="15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二档(8.0分)：编制的清理维护各分部分项服务的主要实施方法基本完善、基本满足项目的实际服务要求。针对项目实际提出可行、具体的保证措施，满足磋商文件的质量要求。</w:t>
            </w:r>
          </w:p>
          <w:p w14:paraId="2FB09F74">
            <w:pPr>
              <w:keepNext w:val="0"/>
              <w:keepLines w:val="0"/>
              <w:pageBreakBefore w:val="0"/>
              <w:kinsoku/>
              <w:wordWrap/>
              <w:overflowPunct/>
              <w:topLinePunct w:val="0"/>
              <w:autoSpaceDE/>
              <w:autoSpaceDN/>
              <w:bidi w:val="0"/>
              <w:adjustRightInd/>
              <w:snapToGrid/>
              <w:spacing w:line="360" w:lineRule="auto"/>
              <w:ind w:left="0" w:leftChars="0" w:right="0" w:rightChars="0" w:firstLine="315" w:firstLineChars="15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三档(4.0分)：编制的清理维护各分部分项服务的主要实施方法不完善、不满足项目的实际服务要求。质量保证措施不具体。</w:t>
            </w:r>
          </w:p>
        </w:tc>
        <w:tc>
          <w:tcPr>
            <w:tcW w:w="709" w:type="dxa"/>
            <w:noWrap w:val="0"/>
            <w:vAlign w:val="center"/>
          </w:tcPr>
          <w:p w14:paraId="0252D0A6">
            <w:pPr>
              <w:keepNext w:val="0"/>
              <w:keepLines w:val="0"/>
              <w:pageBreakBefore w:val="0"/>
              <w:kinsoku/>
              <w:wordWrap/>
              <w:overflowPunct/>
              <w:topLinePunct w:val="0"/>
              <w:autoSpaceDE/>
              <w:autoSpaceDN/>
              <w:bidi w:val="0"/>
              <w:adjustRightInd/>
              <w:snapToGrid/>
              <w:spacing w:line="360" w:lineRule="auto"/>
              <w:ind w:left="0" w:leftChars="0" w:right="0" w:rightChars="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12分</w:t>
            </w:r>
          </w:p>
        </w:tc>
      </w:tr>
      <w:tr w14:paraId="4EE1C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noWrap w:val="0"/>
            <w:vAlign w:val="center"/>
          </w:tcPr>
          <w:p w14:paraId="04D036F1">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baseline"/>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2.4</w:t>
            </w:r>
          </w:p>
        </w:tc>
        <w:tc>
          <w:tcPr>
            <w:tcW w:w="1701" w:type="dxa"/>
            <w:noWrap w:val="0"/>
            <w:vAlign w:val="center"/>
          </w:tcPr>
          <w:p w14:paraId="39EB1477">
            <w:pPr>
              <w:keepNext w:val="0"/>
              <w:keepLines w:val="0"/>
              <w:pageBreakBefore w:val="0"/>
              <w:kinsoku/>
              <w:wordWrap/>
              <w:overflowPunct/>
              <w:topLinePunct w:val="0"/>
              <w:autoSpaceDE/>
              <w:autoSpaceDN/>
              <w:bidi w:val="0"/>
              <w:adjustRightInd/>
              <w:snapToGrid/>
              <w:spacing w:line="360" w:lineRule="auto"/>
              <w:ind w:left="0" w:leftChars="0" w:right="0" w:rightChars="0"/>
              <w:jc w:val="center"/>
              <w:rPr>
                <w:rFonts w:hint="eastAsia" w:ascii="宋体" w:hAnsi="宋体"/>
                <w:color w:val="auto"/>
                <w:szCs w:val="21"/>
                <w:highlight w:val="none"/>
              </w:rPr>
            </w:pPr>
            <w:r>
              <w:rPr>
                <w:rFonts w:hint="eastAsia" w:ascii="宋体" w:hAnsi="宋体"/>
                <w:color w:val="auto"/>
                <w:szCs w:val="21"/>
                <w:highlight w:val="none"/>
                <w:lang w:val="en-US" w:eastAsia="zh-CN"/>
              </w:rPr>
              <w:t>服务人员投入计划</w:t>
            </w:r>
          </w:p>
        </w:tc>
        <w:tc>
          <w:tcPr>
            <w:tcW w:w="6521" w:type="dxa"/>
            <w:noWrap w:val="0"/>
            <w:vAlign w:val="center"/>
          </w:tcPr>
          <w:p w14:paraId="404A7FAA">
            <w:pPr>
              <w:keepNext w:val="0"/>
              <w:keepLines w:val="0"/>
              <w:pageBreakBefore w:val="0"/>
              <w:kinsoku/>
              <w:wordWrap/>
              <w:overflowPunct/>
              <w:topLinePunct w:val="0"/>
              <w:autoSpaceDE/>
              <w:autoSpaceDN/>
              <w:bidi w:val="0"/>
              <w:adjustRightInd/>
              <w:snapToGrid/>
              <w:spacing w:line="360" w:lineRule="auto"/>
              <w:ind w:left="0" w:leftChars="0" w:right="0" w:rightChars="0" w:firstLine="315" w:firstLineChars="150"/>
              <w:rPr>
                <w:rFonts w:hint="eastAsia" w:ascii="宋体" w:hAnsi="宋体"/>
                <w:color w:val="auto"/>
                <w:szCs w:val="21"/>
                <w:highlight w:val="none"/>
                <w:lang w:val="en-US" w:eastAsia="zh-CN"/>
              </w:rPr>
            </w:pPr>
            <w:r>
              <w:rPr>
                <w:rFonts w:hint="eastAsia" w:ascii="宋体" w:hAnsi="宋体"/>
                <w:color w:val="auto"/>
                <w:szCs w:val="21"/>
                <w:highlight w:val="none"/>
              </w:rPr>
              <w:t>评委将根据供应商的</w:t>
            </w:r>
            <w:r>
              <w:rPr>
                <w:rFonts w:hint="eastAsia" w:ascii="宋体" w:hAnsi="宋体"/>
                <w:color w:val="auto"/>
                <w:szCs w:val="21"/>
                <w:highlight w:val="none"/>
                <w:lang w:val="en-US" w:eastAsia="zh-CN"/>
              </w:rPr>
              <w:t>服务人员投入计划</w:t>
            </w:r>
            <w:r>
              <w:rPr>
                <w:rFonts w:hint="eastAsia" w:ascii="宋体" w:hAnsi="宋体"/>
                <w:color w:val="auto"/>
                <w:szCs w:val="21"/>
                <w:highlight w:val="none"/>
              </w:rPr>
              <w:t>进行打分。未提供</w:t>
            </w:r>
            <w:r>
              <w:rPr>
                <w:rFonts w:hint="eastAsia" w:ascii="宋体" w:hAnsi="宋体"/>
                <w:color w:val="auto"/>
                <w:szCs w:val="21"/>
                <w:highlight w:val="none"/>
                <w:lang w:val="en-US" w:eastAsia="zh-CN"/>
              </w:rPr>
              <w:t>评分</w:t>
            </w:r>
            <w:r>
              <w:rPr>
                <w:rFonts w:hint="eastAsia" w:ascii="宋体" w:hAnsi="宋体"/>
                <w:color w:val="auto"/>
                <w:szCs w:val="21"/>
                <w:highlight w:val="none"/>
              </w:rPr>
              <w:t>内容，或内容不满足项目需求的</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不得分。</w:t>
            </w:r>
          </w:p>
          <w:p w14:paraId="266BB2DC">
            <w:pPr>
              <w:keepNext w:val="0"/>
              <w:keepLines w:val="0"/>
              <w:pageBreakBefore w:val="0"/>
              <w:kinsoku/>
              <w:wordWrap/>
              <w:overflowPunct/>
              <w:topLinePunct w:val="0"/>
              <w:autoSpaceDE/>
              <w:autoSpaceDN/>
              <w:bidi w:val="0"/>
              <w:adjustRightInd/>
              <w:snapToGrid/>
              <w:spacing w:line="360" w:lineRule="auto"/>
              <w:ind w:left="0" w:leftChars="0" w:right="0" w:rightChars="0" w:firstLine="315" w:firstLineChars="15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一档(12.0分)：投入计划与进度计划呼应，较好满足施工需要，调配投入计划合理、准确。</w:t>
            </w:r>
          </w:p>
          <w:p w14:paraId="5E3925F9">
            <w:pPr>
              <w:keepNext w:val="0"/>
              <w:keepLines w:val="0"/>
              <w:pageBreakBefore w:val="0"/>
              <w:kinsoku/>
              <w:wordWrap/>
              <w:overflowPunct/>
              <w:topLinePunct w:val="0"/>
              <w:autoSpaceDE/>
              <w:autoSpaceDN/>
              <w:bidi w:val="0"/>
              <w:adjustRightInd/>
              <w:snapToGrid/>
              <w:spacing w:line="360" w:lineRule="auto"/>
              <w:ind w:left="0" w:leftChars="0" w:right="0" w:rightChars="0" w:firstLine="315" w:firstLineChars="15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二档(8.0分)：投入计划与进度计划呼应，基本满足施工需要，调配投入计划基本合理、准确。</w:t>
            </w:r>
          </w:p>
          <w:p w14:paraId="16443A03">
            <w:pPr>
              <w:keepNext w:val="0"/>
              <w:keepLines w:val="0"/>
              <w:pageBreakBefore w:val="0"/>
              <w:kinsoku/>
              <w:wordWrap/>
              <w:overflowPunct/>
              <w:topLinePunct w:val="0"/>
              <w:autoSpaceDE/>
              <w:autoSpaceDN/>
              <w:bidi w:val="0"/>
              <w:adjustRightInd/>
              <w:snapToGrid/>
              <w:spacing w:line="360" w:lineRule="auto"/>
              <w:ind w:left="0" w:leftChars="0" w:right="0" w:rightChars="0" w:firstLine="315" w:firstLineChars="15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三档(4.0分)：投入计划与进度计划不呼应，不能满足施工需要。</w:t>
            </w:r>
          </w:p>
        </w:tc>
        <w:tc>
          <w:tcPr>
            <w:tcW w:w="709" w:type="dxa"/>
            <w:noWrap w:val="0"/>
            <w:vAlign w:val="center"/>
          </w:tcPr>
          <w:p w14:paraId="6DBE6EF8">
            <w:pPr>
              <w:keepNext w:val="0"/>
              <w:keepLines w:val="0"/>
              <w:pageBreakBefore w:val="0"/>
              <w:kinsoku/>
              <w:wordWrap/>
              <w:overflowPunct/>
              <w:topLinePunct w:val="0"/>
              <w:autoSpaceDE/>
              <w:autoSpaceDN/>
              <w:bidi w:val="0"/>
              <w:adjustRightInd/>
              <w:snapToGrid/>
              <w:spacing w:line="360" w:lineRule="auto"/>
              <w:ind w:left="0" w:leftChars="0" w:right="0" w:rightChars="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12分</w:t>
            </w:r>
          </w:p>
        </w:tc>
      </w:tr>
      <w:tr w14:paraId="685B2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noWrap w:val="0"/>
            <w:vAlign w:val="center"/>
          </w:tcPr>
          <w:p w14:paraId="3A753847">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baseline"/>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2.5</w:t>
            </w:r>
          </w:p>
        </w:tc>
        <w:tc>
          <w:tcPr>
            <w:tcW w:w="1701" w:type="dxa"/>
            <w:noWrap w:val="0"/>
            <w:vAlign w:val="center"/>
          </w:tcPr>
          <w:p w14:paraId="62145C24">
            <w:pPr>
              <w:keepNext w:val="0"/>
              <w:keepLines w:val="0"/>
              <w:pageBreakBefore w:val="0"/>
              <w:kinsoku/>
              <w:wordWrap/>
              <w:overflowPunct/>
              <w:topLinePunct w:val="0"/>
              <w:autoSpaceDE/>
              <w:autoSpaceDN/>
              <w:bidi w:val="0"/>
              <w:adjustRightInd/>
              <w:snapToGrid/>
              <w:spacing w:line="360" w:lineRule="auto"/>
              <w:ind w:left="0" w:leftChars="0" w:right="0" w:rightChars="0"/>
              <w:jc w:val="center"/>
              <w:rPr>
                <w:rFonts w:hint="eastAsia" w:ascii="宋体" w:hAnsi="宋体"/>
                <w:color w:val="auto"/>
                <w:szCs w:val="21"/>
                <w:highlight w:val="none"/>
              </w:rPr>
            </w:pPr>
            <w:r>
              <w:rPr>
                <w:rFonts w:hint="eastAsia" w:ascii="宋体" w:hAnsi="宋体"/>
                <w:color w:val="auto"/>
                <w:szCs w:val="21"/>
                <w:highlight w:val="none"/>
              </w:rPr>
              <w:t>拟投入本项目的主要机械设备</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材料</w:t>
            </w:r>
            <w:r>
              <w:rPr>
                <w:rFonts w:hint="eastAsia" w:ascii="宋体" w:hAnsi="宋体"/>
                <w:color w:val="auto"/>
                <w:szCs w:val="21"/>
                <w:highlight w:val="none"/>
              </w:rPr>
              <w:t>情况及进场计划</w:t>
            </w:r>
          </w:p>
        </w:tc>
        <w:tc>
          <w:tcPr>
            <w:tcW w:w="6521" w:type="dxa"/>
            <w:noWrap w:val="0"/>
            <w:vAlign w:val="center"/>
          </w:tcPr>
          <w:p w14:paraId="6094C964">
            <w:pPr>
              <w:keepNext w:val="0"/>
              <w:keepLines w:val="0"/>
              <w:pageBreakBefore w:val="0"/>
              <w:kinsoku/>
              <w:wordWrap/>
              <w:overflowPunct/>
              <w:topLinePunct w:val="0"/>
              <w:autoSpaceDE/>
              <w:autoSpaceDN/>
              <w:bidi w:val="0"/>
              <w:adjustRightInd/>
              <w:snapToGrid/>
              <w:spacing w:line="360" w:lineRule="auto"/>
              <w:ind w:left="0" w:leftChars="0" w:right="0" w:rightChars="0" w:firstLine="315" w:firstLineChars="150"/>
              <w:rPr>
                <w:rFonts w:hint="eastAsia" w:ascii="宋体" w:hAnsi="宋体"/>
                <w:color w:val="auto"/>
                <w:szCs w:val="21"/>
                <w:highlight w:val="none"/>
                <w:lang w:val="en-US" w:eastAsia="zh-CN"/>
              </w:rPr>
            </w:pPr>
            <w:r>
              <w:rPr>
                <w:rFonts w:hint="eastAsia" w:ascii="宋体" w:hAnsi="宋体"/>
                <w:color w:val="auto"/>
                <w:szCs w:val="21"/>
                <w:highlight w:val="none"/>
              </w:rPr>
              <w:t>评委将根据供应商的拟投入本项目的主要机械设备情况及进场计划进行打分。未提供</w:t>
            </w:r>
            <w:r>
              <w:rPr>
                <w:rFonts w:hint="eastAsia" w:ascii="宋体" w:hAnsi="宋体"/>
                <w:color w:val="auto"/>
                <w:szCs w:val="21"/>
                <w:highlight w:val="none"/>
                <w:lang w:val="en-US" w:eastAsia="zh-CN"/>
              </w:rPr>
              <w:t>评分</w:t>
            </w:r>
            <w:r>
              <w:rPr>
                <w:rFonts w:hint="eastAsia" w:ascii="宋体" w:hAnsi="宋体"/>
                <w:color w:val="auto"/>
                <w:szCs w:val="21"/>
                <w:highlight w:val="none"/>
              </w:rPr>
              <w:t>内容，或内容不满足项目需求的</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不得分。</w:t>
            </w:r>
          </w:p>
          <w:p w14:paraId="751D4BE3">
            <w:pPr>
              <w:keepNext w:val="0"/>
              <w:keepLines w:val="0"/>
              <w:pageBreakBefore w:val="0"/>
              <w:kinsoku/>
              <w:wordWrap/>
              <w:overflowPunct/>
              <w:topLinePunct w:val="0"/>
              <w:autoSpaceDE/>
              <w:autoSpaceDN/>
              <w:bidi w:val="0"/>
              <w:adjustRightInd/>
              <w:snapToGrid/>
              <w:spacing w:line="360" w:lineRule="auto"/>
              <w:ind w:left="0" w:leftChars="0" w:right="0" w:rightChars="0" w:firstLine="315" w:firstLineChars="15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一档(12.0分)：投入的服务机械、设备、机具有详细的组织计划且计划周密，设备数量、选型配置、进场时间安排合理，满足施工需要。</w:t>
            </w:r>
          </w:p>
          <w:p w14:paraId="6EAF01A4">
            <w:pPr>
              <w:keepNext w:val="0"/>
              <w:keepLines w:val="0"/>
              <w:pageBreakBefore w:val="0"/>
              <w:kinsoku/>
              <w:wordWrap/>
              <w:overflowPunct/>
              <w:topLinePunct w:val="0"/>
              <w:autoSpaceDE/>
              <w:autoSpaceDN/>
              <w:bidi w:val="0"/>
              <w:adjustRightInd/>
              <w:snapToGrid/>
              <w:spacing w:line="360" w:lineRule="auto"/>
              <w:ind w:left="0" w:leftChars="0" w:right="0" w:rightChars="0" w:firstLine="315" w:firstLineChars="15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二档(8.0分)：投入的服务机械、设备、机具有组织计划设备数量、选型配置、进场时间安排较合理，基本满足施工需要。</w:t>
            </w:r>
          </w:p>
          <w:p w14:paraId="7FFB1E6E">
            <w:pPr>
              <w:keepNext w:val="0"/>
              <w:keepLines w:val="0"/>
              <w:pageBreakBefore w:val="0"/>
              <w:kinsoku/>
              <w:wordWrap/>
              <w:overflowPunct/>
              <w:topLinePunct w:val="0"/>
              <w:autoSpaceDE/>
              <w:autoSpaceDN/>
              <w:bidi w:val="0"/>
              <w:adjustRightInd/>
              <w:snapToGrid/>
              <w:spacing w:line="360" w:lineRule="auto"/>
              <w:ind w:left="0" w:leftChars="0" w:right="0" w:rightChars="0" w:firstLine="315" w:firstLineChars="15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三档(4.0分)：投入的服务机械、设备、机具没有组织计划，设备数量、选型配置、进场时间安排不合理，不满足施工需要。</w:t>
            </w:r>
          </w:p>
        </w:tc>
        <w:tc>
          <w:tcPr>
            <w:tcW w:w="709" w:type="dxa"/>
            <w:noWrap w:val="0"/>
            <w:vAlign w:val="center"/>
          </w:tcPr>
          <w:p w14:paraId="01D82503">
            <w:pPr>
              <w:keepNext w:val="0"/>
              <w:keepLines w:val="0"/>
              <w:pageBreakBefore w:val="0"/>
              <w:kinsoku/>
              <w:wordWrap/>
              <w:overflowPunct/>
              <w:topLinePunct w:val="0"/>
              <w:autoSpaceDE/>
              <w:autoSpaceDN/>
              <w:bidi w:val="0"/>
              <w:adjustRightInd/>
              <w:snapToGrid/>
              <w:spacing w:line="360" w:lineRule="auto"/>
              <w:ind w:left="0" w:leftChars="0" w:right="0" w:rightChars="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12分</w:t>
            </w:r>
          </w:p>
        </w:tc>
      </w:tr>
      <w:tr w14:paraId="48ADE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noWrap w:val="0"/>
            <w:vAlign w:val="center"/>
          </w:tcPr>
          <w:p w14:paraId="0AF621BC">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baseline"/>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2.6</w:t>
            </w:r>
          </w:p>
        </w:tc>
        <w:tc>
          <w:tcPr>
            <w:tcW w:w="1701" w:type="dxa"/>
            <w:noWrap w:val="0"/>
            <w:vAlign w:val="center"/>
          </w:tcPr>
          <w:p w14:paraId="61F5A137">
            <w:pPr>
              <w:keepNext w:val="0"/>
              <w:keepLines w:val="0"/>
              <w:pageBreakBefore w:val="0"/>
              <w:kinsoku/>
              <w:wordWrap/>
              <w:overflowPunct/>
              <w:topLinePunct w:val="0"/>
              <w:autoSpaceDE/>
              <w:autoSpaceDN/>
              <w:bidi w:val="0"/>
              <w:adjustRightInd/>
              <w:snapToGrid/>
              <w:spacing w:line="360" w:lineRule="auto"/>
              <w:ind w:left="0" w:leftChars="0" w:right="0" w:rightChars="0"/>
              <w:jc w:val="center"/>
              <w:rPr>
                <w:rFonts w:hint="eastAsia" w:ascii="宋体" w:hAnsi="宋体"/>
                <w:color w:val="auto"/>
                <w:szCs w:val="21"/>
                <w:highlight w:val="none"/>
              </w:rPr>
            </w:pPr>
            <w:r>
              <w:rPr>
                <w:rFonts w:hint="eastAsia" w:ascii="宋体" w:hAnsi="宋体"/>
                <w:color w:val="auto"/>
                <w:szCs w:val="21"/>
                <w:highlight w:val="none"/>
                <w:lang w:val="en-US" w:eastAsia="zh-CN"/>
              </w:rPr>
              <w:t>安全文明施工的技术组织措施</w:t>
            </w:r>
          </w:p>
        </w:tc>
        <w:tc>
          <w:tcPr>
            <w:tcW w:w="6521" w:type="dxa"/>
            <w:noWrap w:val="0"/>
            <w:vAlign w:val="center"/>
          </w:tcPr>
          <w:p w14:paraId="52EDEE51">
            <w:pPr>
              <w:keepNext w:val="0"/>
              <w:keepLines w:val="0"/>
              <w:pageBreakBefore w:val="0"/>
              <w:kinsoku/>
              <w:wordWrap/>
              <w:overflowPunct/>
              <w:topLinePunct w:val="0"/>
              <w:autoSpaceDE/>
              <w:autoSpaceDN/>
              <w:bidi w:val="0"/>
              <w:adjustRightInd/>
              <w:snapToGrid/>
              <w:spacing w:line="360" w:lineRule="auto"/>
              <w:ind w:left="0" w:leftChars="0" w:right="0" w:rightChars="0" w:firstLine="315" w:firstLineChars="150"/>
              <w:rPr>
                <w:rFonts w:hint="eastAsia" w:ascii="宋体" w:hAnsi="宋体"/>
                <w:color w:val="auto"/>
                <w:szCs w:val="21"/>
                <w:highlight w:val="none"/>
                <w:lang w:val="en-US" w:eastAsia="zh-CN"/>
              </w:rPr>
            </w:pPr>
            <w:r>
              <w:rPr>
                <w:rFonts w:hint="eastAsia" w:ascii="宋体" w:hAnsi="宋体"/>
                <w:color w:val="auto"/>
                <w:szCs w:val="21"/>
                <w:highlight w:val="none"/>
              </w:rPr>
              <w:t>评委将根据供应商的安全文明施工的技术组织措施进行打分。未提供</w:t>
            </w:r>
            <w:r>
              <w:rPr>
                <w:rFonts w:hint="eastAsia" w:ascii="宋体" w:hAnsi="宋体"/>
                <w:color w:val="auto"/>
                <w:szCs w:val="21"/>
                <w:highlight w:val="none"/>
                <w:lang w:val="en-US" w:eastAsia="zh-CN"/>
              </w:rPr>
              <w:t>评分</w:t>
            </w:r>
            <w:r>
              <w:rPr>
                <w:rFonts w:hint="eastAsia" w:ascii="宋体" w:hAnsi="宋体"/>
                <w:color w:val="auto"/>
                <w:szCs w:val="21"/>
                <w:highlight w:val="none"/>
              </w:rPr>
              <w:t>内容，或内容不满足项目需求的</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不得分。</w:t>
            </w:r>
          </w:p>
          <w:p w14:paraId="6B40DF4D">
            <w:pPr>
              <w:keepNext w:val="0"/>
              <w:keepLines w:val="0"/>
              <w:pageBreakBefore w:val="0"/>
              <w:kinsoku/>
              <w:wordWrap/>
              <w:overflowPunct/>
              <w:topLinePunct w:val="0"/>
              <w:autoSpaceDE/>
              <w:autoSpaceDN/>
              <w:bidi w:val="0"/>
              <w:adjustRightInd/>
              <w:snapToGrid/>
              <w:spacing w:line="360" w:lineRule="auto"/>
              <w:ind w:left="0" w:leftChars="0" w:right="0" w:rightChars="0" w:firstLine="315" w:firstLineChars="15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一档(9.0分)：针对项目实际情况，有先进、具体、完整、可行的实施措施，采用规范正确、清晰的安全文明措施</w:t>
            </w:r>
          </w:p>
          <w:p w14:paraId="0D64C6BD">
            <w:pPr>
              <w:keepNext w:val="0"/>
              <w:keepLines w:val="0"/>
              <w:pageBreakBefore w:val="0"/>
              <w:kinsoku/>
              <w:wordWrap/>
              <w:overflowPunct/>
              <w:topLinePunct w:val="0"/>
              <w:autoSpaceDE/>
              <w:autoSpaceDN/>
              <w:bidi w:val="0"/>
              <w:adjustRightInd/>
              <w:snapToGrid/>
              <w:spacing w:line="360" w:lineRule="auto"/>
              <w:ind w:left="0" w:leftChars="0" w:right="0" w:rightChars="0" w:firstLine="315" w:firstLineChars="15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二档(6.0分)：有基本合理的安全文明措施，采用规范正确。</w:t>
            </w:r>
          </w:p>
          <w:p w14:paraId="3496203E">
            <w:pPr>
              <w:keepNext w:val="0"/>
              <w:keepLines w:val="0"/>
              <w:pageBreakBefore w:val="0"/>
              <w:kinsoku/>
              <w:wordWrap/>
              <w:overflowPunct/>
              <w:topLinePunct w:val="0"/>
              <w:autoSpaceDE/>
              <w:autoSpaceDN/>
              <w:bidi w:val="0"/>
              <w:adjustRightInd/>
              <w:snapToGrid/>
              <w:spacing w:line="360" w:lineRule="auto"/>
              <w:ind w:left="0" w:leftChars="0" w:right="0" w:rightChars="0" w:firstLine="315" w:firstLineChars="15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三档(3.0分)：安全文明措施不得力，采用规范不正确。</w:t>
            </w:r>
          </w:p>
        </w:tc>
        <w:tc>
          <w:tcPr>
            <w:tcW w:w="709" w:type="dxa"/>
            <w:noWrap w:val="0"/>
            <w:vAlign w:val="center"/>
          </w:tcPr>
          <w:p w14:paraId="00245800">
            <w:pPr>
              <w:keepNext w:val="0"/>
              <w:keepLines w:val="0"/>
              <w:pageBreakBefore w:val="0"/>
              <w:kinsoku/>
              <w:wordWrap/>
              <w:overflowPunct/>
              <w:topLinePunct w:val="0"/>
              <w:autoSpaceDE/>
              <w:autoSpaceDN/>
              <w:bidi w:val="0"/>
              <w:adjustRightInd/>
              <w:snapToGrid/>
              <w:spacing w:line="360" w:lineRule="auto"/>
              <w:ind w:left="0" w:leftChars="0" w:right="0" w:rightChars="0"/>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9分</w:t>
            </w:r>
          </w:p>
        </w:tc>
      </w:tr>
      <w:tr w14:paraId="4707B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noWrap w:val="0"/>
            <w:vAlign w:val="center"/>
          </w:tcPr>
          <w:p w14:paraId="51269972">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rPr>
                <w:rFonts w:hint="eastAsia" w:ascii="宋体" w:hAnsi="宋体"/>
                <w:color w:val="auto"/>
                <w:szCs w:val="21"/>
                <w:highlight w:val="none"/>
              </w:rPr>
            </w:pPr>
            <w:r>
              <w:rPr>
                <w:rFonts w:hint="eastAsia" w:ascii="宋体" w:hAnsi="宋体"/>
                <w:color w:val="auto"/>
                <w:szCs w:val="21"/>
                <w:highlight w:val="none"/>
              </w:rPr>
              <w:t>3</w:t>
            </w:r>
          </w:p>
        </w:tc>
        <w:tc>
          <w:tcPr>
            <w:tcW w:w="1701" w:type="dxa"/>
            <w:noWrap w:val="0"/>
            <w:vAlign w:val="center"/>
          </w:tcPr>
          <w:p w14:paraId="33D4C6A6">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rPr>
                <w:rFonts w:ascii="宋体" w:hAnsi="宋体"/>
                <w:color w:val="auto"/>
                <w:szCs w:val="21"/>
                <w:highlight w:val="none"/>
              </w:rPr>
            </w:pPr>
            <w:r>
              <w:rPr>
                <w:rFonts w:hint="eastAsia" w:ascii="宋体" w:hAnsi="宋体"/>
                <w:color w:val="auto"/>
                <w:szCs w:val="21"/>
                <w:highlight w:val="none"/>
              </w:rPr>
              <w:t>商务分（客观分）（满分</w:t>
            </w:r>
            <w:r>
              <w:rPr>
                <w:rFonts w:hint="eastAsia" w:ascii="宋体" w:hAnsi="宋体"/>
                <w:color w:val="auto"/>
                <w:szCs w:val="21"/>
                <w:highlight w:val="none"/>
                <w:lang w:val="en-US" w:eastAsia="zh-CN"/>
              </w:rPr>
              <w:t>5</w:t>
            </w:r>
            <w:r>
              <w:rPr>
                <w:rFonts w:hint="eastAsia" w:ascii="宋体" w:hAnsi="宋体"/>
                <w:color w:val="auto"/>
                <w:szCs w:val="21"/>
                <w:highlight w:val="none"/>
              </w:rPr>
              <w:t>分）</w:t>
            </w:r>
          </w:p>
        </w:tc>
        <w:tc>
          <w:tcPr>
            <w:tcW w:w="7230" w:type="dxa"/>
            <w:gridSpan w:val="2"/>
            <w:noWrap w:val="0"/>
            <w:vAlign w:val="center"/>
          </w:tcPr>
          <w:p w14:paraId="19718109">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rPr>
                <w:rFonts w:hint="eastAsia" w:ascii="宋体" w:hAnsi="宋体"/>
                <w:color w:val="auto"/>
                <w:szCs w:val="21"/>
                <w:highlight w:val="none"/>
              </w:rPr>
            </w:pPr>
            <w:r>
              <w:rPr>
                <w:rFonts w:hint="eastAsia" w:ascii="宋体" w:hAnsi="宋体"/>
                <w:color w:val="auto"/>
                <w:szCs w:val="21"/>
                <w:highlight w:val="none"/>
              </w:rPr>
              <w:t>评审因素</w:t>
            </w:r>
          </w:p>
        </w:tc>
      </w:tr>
      <w:tr w14:paraId="11DB3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noWrap w:val="0"/>
            <w:vAlign w:val="center"/>
          </w:tcPr>
          <w:p w14:paraId="6F4B650A">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3.</w:t>
            </w:r>
            <w:r>
              <w:rPr>
                <w:rFonts w:hint="eastAsia" w:ascii="宋体" w:hAnsi="宋体"/>
                <w:color w:val="auto"/>
                <w:szCs w:val="21"/>
                <w:highlight w:val="none"/>
                <w:lang w:val="en-US" w:eastAsia="zh-CN"/>
              </w:rPr>
              <w:t>1</w:t>
            </w:r>
          </w:p>
        </w:tc>
        <w:tc>
          <w:tcPr>
            <w:tcW w:w="1701" w:type="dxa"/>
            <w:noWrap w:val="0"/>
            <w:vAlign w:val="center"/>
          </w:tcPr>
          <w:p w14:paraId="134339B0">
            <w:pPr>
              <w:keepNext w:val="0"/>
              <w:keepLines w:val="0"/>
              <w:pageBreakBefore w:val="0"/>
              <w:kinsoku/>
              <w:wordWrap/>
              <w:overflowPunct/>
              <w:topLinePunct w:val="0"/>
              <w:autoSpaceDE/>
              <w:autoSpaceDN/>
              <w:bidi w:val="0"/>
              <w:adjustRightInd/>
              <w:snapToGrid/>
              <w:spacing w:line="360" w:lineRule="auto"/>
              <w:ind w:left="0" w:leftChars="0" w:right="0" w:rightChars="0"/>
              <w:jc w:val="center"/>
              <w:rPr>
                <w:rFonts w:ascii="宋体" w:hAnsi="宋体"/>
                <w:color w:val="auto"/>
                <w:szCs w:val="21"/>
                <w:highlight w:val="none"/>
              </w:rPr>
            </w:pPr>
            <w:r>
              <w:rPr>
                <w:rFonts w:hint="eastAsia" w:ascii="宋体" w:hAnsi="宋体"/>
                <w:color w:val="auto"/>
                <w:szCs w:val="21"/>
                <w:highlight w:val="none"/>
              </w:rPr>
              <w:t>业绩</w:t>
            </w:r>
          </w:p>
        </w:tc>
        <w:tc>
          <w:tcPr>
            <w:tcW w:w="6521" w:type="dxa"/>
            <w:noWrap w:val="0"/>
            <w:vAlign w:val="center"/>
          </w:tcPr>
          <w:p w14:paraId="7262A474">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rPr>
                <w:rFonts w:ascii="宋体" w:hAnsi="宋体"/>
                <w:color w:val="auto"/>
                <w:szCs w:val="21"/>
                <w:highlight w:val="none"/>
              </w:rPr>
            </w:pPr>
            <w:r>
              <w:rPr>
                <w:rFonts w:hint="eastAsia" w:ascii="宋体" w:hAnsi="宋体"/>
                <w:color w:val="auto"/>
                <w:szCs w:val="21"/>
                <w:highlight w:val="none"/>
              </w:rPr>
              <w:t>供应商自20</w:t>
            </w:r>
            <w:r>
              <w:rPr>
                <w:rFonts w:hint="eastAsia" w:ascii="宋体" w:hAnsi="宋体"/>
                <w:color w:val="auto"/>
                <w:szCs w:val="21"/>
                <w:highlight w:val="none"/>
                <w:lang w:val="en-US" w:eastAsia="zh-CN"/>
              </w:rPr>
              <w:t>22</w:t>
            </w:r>
            <w:r>
              <w:rPr>
                <w:rFonts w:hint="eastAsia" w:ascii="宋体" w:hAnsi="宋体"/>
                <w:color w:val="auto"/>
                <w:szCs w:val="21"/>
                <w:highlight w:val="none"/>
              </w:rPr>
              <w:t>年1月1日以来同类</w:t>
            </w:r>
            <w:r>
              <w:rPr>
                <w:rFonts w:hint="eastAsia" w:ascii="宋体" w:hAnsi="宋体"/>
                <w:color w:val="auto"/>
                <w:szCs w:val="21"/>
                <w:highlight w:val="none"/>
                <w:lang w:val="en-US" w:eastAsia="zh-CN"/>
              </w:rPr>
              <w:t>业绩的</w:t>
            </w:r>
            <w:r>
              <w:rPr>
                <w:rFonts w:hint="eastAsia" w:ascii="宋体" w:hAnsi="宋体"/>
                <w:color w:val="auto"/>
                <w:szCs w:val="21"/>
                <w:highlight w:val="none"/>
              </w:rPr>
              <w:t>，每项得</w:t>
            </w:r>
            <w:r>
              <w:rPr>
                <w:rFonts w:hint="eastAsia" w:ascii="宋体" w:hAnsi="宋体"/>
                <w:color w:val="auto"/>
                <w:szCs w:val="21"/>
                <w:highlight w:val="none"/>
                <w:lang w:val="en-US" w:eastAsia="zh-CN"/>
              </w:rPr>
              <w:t>1</w:t>
            </w:r>
            <w:r>
              <w:rPr>
                <w:rFonts w:hint="eastAsia" w:ascii="宋体" w:hAnsi="宋体"/>
                <w:color w:val="auto"/>
                <w:szCs w:val="21"/>
                <w:highlight w:val="none"/>
              </w:rPr>
              <w:t>分，满分</w:t>
            </w:r>
            <w:r>
              <w:rPr>
                <w:rFonts w:hint="eastAsia" w:ascii="宋体" w:hAnsi="宋体"/>
                <w:color w:val="auto"/>
                <w:szCs w:val="21"/>
                <w:highlight w:val="none"/>
                <w:lang w:val="en-US" w:eastAsia="zh-CN"/>
              </w:rPr>
              <w:t>5</w:t>
            </w:r>
            <w:r>
              <w:rPr>
                <w:rFonts w:hint="eastAsia" w:ascii="宋体" w:hAnsi="宋体"/>
                <w:color w:val="auto"/>
                <w:szCs w:val="21"/>
                <w:highlight w:val="none"/>
              </w:rPr>
              <w:t>分</w:t>
            </w:r>
            <w:r>
              <w:rPr>
                <w:rFonts w:hint="eastAsia" w:ascii="宋体" w:hAnsi="宋体"/>
                <w:color w:val="auto"/>
                <w:szCs w:val="21"/>
                <w:highlight w:val="none"/>
                <w:lang w:eastAsia="zh-CN"/>
              </w:rPr>
              <w:t>。</w:t>
            </w:r>
            <w:r>
              <w:rPr>
                <w:rFonts w:hint="eastAsia" w:ascii="宋体" w:hAnsi="宋体"/>
                <w:b/>
                <w:bCs/>
                <w:color w:val="auto"/>
                <w:szCs w:val="21"/>
                <w:highlight w:val="none"/>
              </w:rPr>
              <w:t>（注：需在响应文件中提供有效合同扫描件，并加盖供应商CA电子签章，否则不予计分）</w:t>
            </w:r>
          </w:p>
        </w:tc>
        <w:tc>
          <w:tcPr>
            <w:tcW w:w="709" w:type="dxa"/>
            <w:noWrap w:val="0"/>
            <w:vAlign w:val="center"/>
          </w:tcPr>
          <w:p w14:paraId="12F65A19">
            <w:pPr>
              <w:pStyle w:val="93"/>
              <w:keepNext w:val="0"/>
              <w:keepLines w:val="0"/>
              <w:pageBreakBefore w:val="0"/>
              <w:kinsoku/>
              <w:wordWrap/>
              <w:overflowPunct/>
              <w:topLinePunct w:val="0"/>
              <w:autoSpaceDE/>
              <w:autoSpaceDN/>
              <w:bidi w:val="0"/>
              <w:adjustRightInd/>
              <w:snapToGrid/>
              <w:spacing w:line="360" w:lineRule="auto"/>
              <w:ind w:left="0" w:leftChars="0" w:right="0" w:rightChars="0"/>
              <w:jc w:val="center"/>
              <w:rPr>
                <w:rFonts w:hint="default" w:hAnsi="宋体" w:cs="黑体"/>
                <w:color w:val="auto"/>
                <w:kern w:val="2"/>
                <w:sz w:val="21"/>
                <w:highlight w:val="none"/>
              </w:rPr>
            </w:pPr>
            <w:r>
              <w:rPr>
                <w:rFonts w:hint="eastAsia" w:hAnsi="宋体" w:cs="黑体"/>
                <w:color w:val="auto"/>
                <w:kern w:val="2"/>
                <w:sz w:val="21"/>
                <w:highlight w:val="none"/>
                <w:lang w:val="en-US" w:eastAsia="zh-CN"/>
              </w:rPr>
              <w:t>5</w:t>
            </w:r>
            <w:r>
              <w:rPr>
                <w:rFonts w:hAnsi="宋体" w:cs="黑体"/>
                <w:color w:val="auto"/>
                <w:kern w:val="2"/>
                <w:sz w:val="21"/>
                <w:highlight w:val="none"/>
              </w:rPr>
              <w:t>分</w:t>
            </w:r>
          </w:p>
        </w:tc>
      </w:tr>
      <w:tr w14:paraId="270F7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97" w:type="dxa"/>
            <w:gridSpan w:val="3"/>
            <w:noWrap w:val="0"/>
            <w:vAlign w:val="center"/>
          </w:tcPr>
          <w:p w14:paraId="1FF3ECDF">
            <w:pPr>
              <w:pStyle w:val="93"/>
              <w:keepNext w:val="0"/>
              <w:keepLines w:val="0"/>
              <w:pageBreakBefore w:val="0"/>
              <w:kinsoku/>
              <w:wordWrap/>
              <w:overflowPunct/>
              <w:topLinePunct w:val="0"/>
              <w:autoSpaceDE/>
              <w:autoSpaceDN/>
              <w:bidi w:val="0"/>
              <w:adjustRightInd/>
              <w:snapToGrid/>
              <w:spacing w:line="360" w:lineRule="auto"/>
              <w:ind w:left="0" w:leftChars="0" w:right="0" w:rightChars="0"/>
              <w:jc w:val="left"/>
              <w:rPr>
                <w:rFonts w:hAnsi="宋体" w:cs="黑体"/>
                <w:color w:val="auto"/>
                <w:kern w:val="2"/>
                <w:sz w:val="21"/>
                <w:highlight w:val="none"/>
              </w:rPr>
            </w:pPr>
            <w:r>
              <w:rPr>
                <w:rFonts w:hAnsi="宋体" w:cs="黑体"/>
                <w:color w:val="auto"/>
                <w:kern w:val="2"/>
                <w:sz w:val="21"/>
                <w:highlight w:val="none"/>
              </w:rPr>
              <w:t>总得分＝1＋2＋3</w:t>
            </w:r>
          </w:p>
        </w:tc>
        <w:tc>
          <w:tcPr>
            <w:tcW w:w="709" w:type="dxa"/>
            <w:noWrap w:val="0"/>
            <w:vAlign w:val="center"/>
          </w:tcPr>
          <w:p w14:paraId="63D12A9E">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left"/>
              <w:rPr>
                <w:rFonts w:hint="eastAsia" w:ascii="宋体" w:hAnsi="宋体"/>
                <w:color w:val="auto"/>
                <w:szCs w:val="21"/>
                <w:highlight w:val="none"/>
              </w:rPr>
            </w:pPr>
          </w:p>
        </w:tc>
      </w:tr>
    </w:tbl>
    <w:p w14:paraId="2212FC81">
      <w:pPr>
        <w:spacing w:line="360" w:lineRule="auto"/>
        <w:ind w:firstLine="440" w:firstLineChars="20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rPr>
        <w:t>8.2商务技术评审因素为客观评分项的，应在评分项目或评分标准中予以标注为“客观分”。对供应商的客观评分项目，各评审专家评分应当一致。</w:t>
      </w:r>
    </w:p>
    <w:p w14:paraId="1A538B36">
      <w:pPr>
        <w:spacing w:line="360" w:lineRule="auto"/>
        <w:ind w:firstLine="440" w:firstLineChars="20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8</w:t>
      </w:r>
      <w:r>
        <w:rPr>
          <w:rFonts w:hint="eastAsia" w:ascii="宋体" w:hAnsi="宋体" w:eastAsia="宋体" w:cs="宋体"/>
          <w:color w:val="auto"/>
          <w:sz w:val="22"/>
          <w:szCs w:val="28"/>
          <w:highlight w:val="none"/>
        </w:rPr>
        <w:t>.</w:t>
      </w:r>
      <w:r>
        <w:rPr>
          <w:rFonts w:hint="eastAsia" w:ascii="宋体" w:hAnsi="宋体" w:eastAsia="宋体" w:cs="宋体"/>
          <w:color w:val="auto"/>
          <w:sz w:val="22"/>
          <w:szCs w:val="28"/>
          <w:highlight w:val="none"/>
          <w:lang w:val="en-US" w:eastAsia="zh-CN"/>
        </w:rPr>
        <w:t>3</w:t>
      </w:r>
      <w:r>
        <w:rPr>
          <w:rFonts w:hint="eastAsia" w:ascii="宋体" w:hAnsi="宋体" w:eastAsia="宋体" w:cs="宋体"/>
          <w:color w:val="auto"/>
          <w:sz w:val="22"/>
          <w:szCs w:val="28"/>
          <w:highlight w:val="none"/>
        </w:rPr>
        <w:t>.终止竞争性磋商采购活动</w:t>
      </w:r>
    </w:p>
    <w:p w14:paraId="504D542A">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sz w:val="22"/>
          <w:szCs w:val="28"/>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1FD0A7AF">
      <w:pPr>
        <w:keepNext/>
        <w:keepLines/>
        <w:spacing w:line="360" w:lineRule="auto"/>
        <w:jc w:val="center"/>
        <w:outlineLvl w:val="1"/>
        <w:rPr>
          <w:rFonts w:hint="eastAsia" w:ascii="宋体" w:hAnsi="宋体" w:eastAsia="宋体" w:cs="宋体"/>
          <w:bCs/>
          <w:color w:val="auto"/>
          <w:sz w:val="32"/>
          <w:szCs w:val="32"/>
          <w:highlight w:val="none"/>
        </w:rPr>
      </w:pPr>
      <w:bookmarkStart w:id="54" w:name="_Toc14052"/>
      <w:r>
        <w:rPr>
          <w:rFonts w:hint="eastAsia" w:ascii="宋体" w:hAnsi="宋体" w:eastAsia="宋体" w:cs="宋体"/>
          <w:bCs/>
          <w:color w:val="auto"/>
          <w:sz w:val="32"/>
          <w:szCs w:val="32"/>
          <w:highlight w:val="none"/>
        </w:rPr>
        <w:t>第二节 评标报告</w:t>
      </w:r>
      <w:bookmarkEnd w:id="52"/>
      <w:bookmarkEnd w:id="54"/>
    </w:p>
    <w:p w14:paraId="5783D11C">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1.成交标准</w:t>
      </w:r>
    </w:p>
    <w:p w14:paraId="64DCF2D2">
      <w:pPr>
        <w:spacing w:line="360" w:lineRule="auto"/>
        <w:ind w:firstLine="440" w:firstLineChars="200"/>
        <w:rPr>
          <w:rFonts w:hint="eastAsia" w:ascii="宋体" w:hAnsi="宋体" w:eastAsia="宋体" w:cs="宋体"/>
          <w:bCs/>
          <w:color w:val="auto"/>
          <w:szCs w:val="21"/>
          <w:highlight w:val="none"/>
        </w:rPr>
      </w:pPr>
      <w:r>
        <w:rPr>
          <w:rFonts w:hint="eastAsia" w:ascii="宋体" w:hAnsi="宋体" w:eastAsia="宋体" w:cs="宋体"/>
          <w:bCs/>
          <w:color w:val="auto"/>
          <w:sz w:val="22"/>
          <w:szCs w:val="22"/>
          <w:highlight w:val="none"/>
        </w:rPr>
        <w:t>由磋商小组根据综合评分情况，按照评审得分由高到低顺序推荐3名以上成交候选供应商</w:t>
      </w:r>
      <w:r>
        <w:rPr>
          <w:rFonts w:hint="eastAsia" w:ascii="宋体" w:hAnsi="宋体" w:eastAsia="宋体" w:cs="宋体"/>
          <w:color w:val="auto"/>
          <w:sz w:val="22"/>
          <w:szCs w:val="28"/>
          <w:highlight w:val="none"/>
          <w:lang w:eastAsia="zh-CN"/>
        </w:rPr>
        <w:t>，</w:t>
      </w:r>
      <w:r>
        <w:rPr>
          <w:rFonts w:hint="eastAsia" w:ascii="宋体" w:hAnsi="宋体" w:eastAsia="宋体" w:cs="宋体"/>
          <w:color w:val="auto"/>
          <w:sz w:val="22"/>
          <w:szCs w:val="28"/>
          <w:highlight w:val="none"/>
        </w:rPr>
        <w:t>并在线编写电子评审报告</w:t>
      </w:r>
      <w:r>
        <w:rPr>
          <w:rFonts w:hint="eastAsia" w:ascii="宋体" w:hAnsi="宋体" w:eastAsia="宋体" w:cs="宋体"/>
          <w:bCs/>
          <w:color w:val="auto"/>
          <w:sz w:val="22"/>
          <w:szCs w:val="22"/>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w:t>
      </w:r>
      <w:r>
        <w:rPr>
          <w:rFonts w:hint="eastAsia" w:ascii="宋体" w:hAnsi="宋体" w:cs="宋体"/>
          <w:bCs/>
          <w:color w:val="auto"/>
          <w:sz w:val="22"/>
          <w:szCs w:val="22"/>
          <w:highlight w:val="none"/>
          <w:lang w:val="en-US" w:eastAsia="zh-CN"/>
        </w:rPr>
        <w:t>商务</w:t>
      </w:r>
      <w:r>
        <w:rPr>
          <w:rFonts w:hint="eastAsia" w:ascii="宋体" w:hAnsi="宋体" w:eastAsia="宋体" w:cs="宋体"/>
          <w:bCs/>
          <w:color w:val="auto"/>
          <w:sz w:val="22"/>
          <w:szCs w:val="22"/>
          <w:highlight w:val="none"/>
        </w:rPr>
        <w:t>分由高到低排序）。评审得分、最后报价（不计算价格折扣）、技术得分、</w:t>
      </w:r>
      <w:r>
        <w:rPr>
          <w:rFonts w:hint="eastAsia" w:ascii="宋体" w:hAnsi="宋体" w:cs="宋体"/>
          <w:bCs/>
          <w:color w:val="auto"/>
          <w:sz w:val="22"/>
          <w:szCs w:val="22"/>
          <w:highlight w:val="none"/>
          <w:lang w:val="en-US" w:eastAsia="zh-CN"/>
        </w:rPr>
        <w:t>商务</w:t>
      </w:r>
      <w:r>
        <w:rPr>
          <w:rFonts w:hint="eastAsia" w:ascii="宋体" w:hAnsi="宋体" w:eastAsia="宋体" w:cs="宋体"/>
          <w:bCs/>
          <w:color w:val="auto"/>
          <w:sz w:val="22"/>
          <w:szCs w:val="22"/>
          <w:highlight w:val="none"/>
        </w:rPr>
        <w:t>分均相同的，由磋商小组随机抽取推荐。</w:t>
      </w:r>
    </w:p>
    <w:p w14:paraId="1ED34715">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2.评标争议事项处理</w:t>
      </w:r>
    </w:p>
    <w:p w14:paraId="209090DB">
      <w:pPr>
        <w:adjustRightInd w:val="0"/>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sz w:val="22"/>
          <w:szCs w:val="28"/>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69055A38">
      <w:pPr>
        <w:adjustRightInd w:val="0"/>
        <w:spacing w:line="360" w:lineRule="auto"/>
        <w:ind w:firstLine="420" w:firstLineChars="200"/>
        <w:rPr>
          <w:rFonts w:hint="eastAsia" w:ascii="宋体" w:hAnsi="宋体" w:eastAsia="宋体" w:cs="宋体"/>
          <w:color w:val="auto"/>
          <w:highlight w:val="none"/>
        </w:rPr>
      </w:pPr>
    </w:p>
    <w:p w14:paraId="367C7DD1">
      <w:pPr>
        <w:keepNext/>
        <w:keepLines/>
        <w:spacing w:line="360" w:lineRule="auto"/>
        <w:jc w:val="center"/>
        <w:outlineLvl w:val="1"/>
        <w:rPr>
          <w:rFonts w:hint="eastAsia" w:ascii="宋体" w:hAnsi="宋体" w:eastAsia="宋体" w:cs="宋体"/>
          <w:bCs/>
          <w:color w:val="auto"/>
          <w:sz w:val="32"/>
          <w:szCs w:val="32"/>
          <w:highlight w:val="none"/>
        </w:rPr>
      </w:pPr>
      <w:bookmarkStart w:id="55" w:name="_Toc13089"/>
      <w:bookmarkStart w:id="56" w:name="_Toc80205936"/>
      <w:r>
        <w:rPr>
          <w:rFonts w:hint="eastAsia" w:ascii="宋体" w:hAnsi="宋体" w:eastAsia="宋体" w:cs="宋体"/>
          <w:bCs/>
          <w:color w:val="auto"/>
          <w:sz w:val="32"/>
          <w:szCs w:val="32"/>
          <w:highlight w:val="none"/>
        </w:rPr>
        <w:t>第三节 评审过程的保密与录像</w:t>
      </w:r>
      <w:bookmarkEnd w:id="55"/>
      <w:bookmarkEnd w:id="56"/>
    </w:p>
    <w:p w14:paraId="14E17667">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1.保密</w:t>
      </w:r>
    </w:p>
    <w:p w14:paraId="7EA943C6">
      <w:pPr>
        <w:widowControl/>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73F0FA8F">
      <w:pPr>
        <w:adjustRightIn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2.录音录像</w:t>
      </w:r>
    </w:p>
    <w:p w14:paraId="7CDFFB89">
      <w:pPr>
        <w:adjustRightInd w:val="0"/>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sz w:val="22"/>
          <w:szCs w:val="22"/>
          <w:highlight w:val="none"/>
        </w:rPr>
        <w:t>采购代理机构对评审工作现场及操作屏幕进行全过程录音录像，录音录像资料作为采购项目文件随其他文件一并存档。</w:t>
      </w:r>
    </w:p>
    <w:p w14:paraId="0AE11B85">
      <w:pPr>
        <w:rPr>
          <w:rFonts w:hint="eastAsia"/>
          <w:highlight w:val="none"/>
        </w:rPr>
      </w:pPr>
      <w:r>
        <w:rPr>
          <w:rFonts w:hint="eastAsia" w:ascii="宋体" w:hAnsi="宋体" w:eastAsia="宋体" w:cs="宋体"/>
          <w:bCs/>
          <w:color w:val="auto"/>
          <w:kern w:val="2"/>
          <w:szCs w:val="24"/>
          <w:highlight w:val="none"/>
          <w:lang w:val="en-US" w:eastAsia="zh-CN" w:bidi="ar-SA"/>
        </w:rPr>
        <w:br w:type="page"/>
      </w:r>
      <w:bookmarkEnd w:id="53"/>
    </w:p>
    <w:p w14:paraId="6F79E01A">
      <w:pPr>
        <w:keepNext/>
        <w:keepLines/>
        <w:numPr>
          <w:ilvl w:val="0"/>
          <w:numId w:val="1"/>
        </w:numPr>
        <w:spacing w:before="340" w:after="330" w:line="578" w:lineRule="auto"/>
        <w:jc w:val="center"/>
        <w:outlineLvl w:val="0"/>
        <w:rPr>
          <w:rFonts w:hint="eastAsia" w:ascii="宋体" w:hAnsi="宋体" w:eastAsia="宋体" w:cs="宋体"/>
          <w:b/>
          <w:bCs/>
          <w:color w:val="auto"/>
          <w:kern w:val="44"/>
          <w:sz w:val="32"/>
          <w:szCs w:val="32"/>
          <w:highlight w:val="none"/>
        </w:rPr>
      </w:pPr>
      <w:bookmarkStart w:id="57" w:name="_Toc26450"/>
      <w:r>
        <w:rPr>
          <w:rFonts w:hint="eastAsia" w:ascii="宋体" w:hAnsi="宋体" w:eastAsia="宋体" w:cs="宋体"/>
          <w:b/>
          <w:bCs/>
          <w:color w:val="auto"/>
          <w:kern w:val="44"/>
          <w:sz w:val="32"/>
          <w:szCs w:val="32"/>
          <w:highlight w:val="none"/>
        </w:rPr>
        <w:t>响应文件格式</w:t>
      </w:r>
      <w:bookmarkEnd w:id="57"/>
    </w:p>
    <w:p w14:paraId="4DDEDD7E">
      <w:pPr>
        <w:keepNext/>
        <w:keepLines/>
        <w:spacing w:before="260" w:after="260" w:line="416" w:lineRule="auto"/>
        <w:jc w:val="center"/>
        <w:outlineLvl w:val="1"/>
        <w:rPr>
          <w:rFonts w:hint="eastAsia" w:ascii="宋体" w:hAnsi="宋体" w:eastAsia="宋体" w:cs="宋体"/>
          <w:bCs/>
          <w:color w:val="auto"/>
          <w:sz w:val="32"/>
          <w:szCs w:val="32"/>
          <w:highlight w:val="none"/>
        </w:rPr>
      </w:pPr>
      <w:r>
        <w:rPr>
          <w:rFonts w:hint="eastAsia" w:ascii="宋体" w:hAnsi="宋体" w:eastAsia="宋体" w:cs="宋体"/>
          <w:b/>
          <w:bCs w:val="0"/>
          <w:color w:val="auto"/>
          <w:sz w:val="32"/>
          <w:szCs w:val="32"/>
          <w:highlight w:val="none"/>
        </w:rPr>
        <w:t>响应文件封面格式</w:t>
      </w:r>
    </w:p>
    <w:p w14:paraId="08D782A5">
      <w:pPr>
        <w:shd w:val="clear" w:color="auto" w:fill="auto"/>
        <w:snapToGrid w:val="0"/>
        <w:spacing w:before="158" w:beforeLines="50" w:after="50"/>
        <w:jc w:val="right"/>
        <w:rPr>
          <w:rFonts w:hint="eastAsia" w:ascii="宋体" w:hAnsi="宋体" w:eastAsia="宋体" w:cs="宋体"/>
          <w:bCs/>
          <w:color w:val="000000"/>
          <w:sz w:val="32"/>
          <w:szCs w:val="20"/>
          <w:highlight w:val="none"/>
        </w:rPr>
      </w:pPr>
      <w:r>
        <w:rPr>
          <w:rFonts w:hint="eastAsia" w:ascii="宋体" w:hAnsi="宋体" w:eastAsia="宋体" w:cs="宋体"/>
          <w:bCs/>
          <w:color w:val="000000"/>
          <w:sz w:val="24"/>
          <w:szCs w:val="32"/>
          <w:highlight w:val="none"/>
        </w:rPr>
        <w:t>全流程电子文件</w:t>
      </w:r>
    </w:p>
    <w:p w14:paraId="39A8E5B8">
      <w:pPr>
        <w:shd w:val="clear" w:color="auto" w:fill="auto"/>
        <w:snapToGrid w:val="0"/>
        <w:spacing w:before="158" w:beforeLines="50" w:after="50"/>
        <w:rPr>
          <w:rFonts w:hint="eastAsia" w:ascii="宋体" w:hAnsi="宋体" w:eastAsia="宋体" w:cs="宋体"/>
          <w:color w:val="000000"/>
          <w:sz w:val="24"/>
          <w:szCs w:val="20"/>
          <w:highlight w:val="none"/>
        </w:rPr>
      </w:pPr>
    </w:p>
    <w:p w14:paraId="6C3F52F9">
      <w:pPr>
        <w:shd w:val="clear" w:color="auto" w:fill="auto"/>
        <w:snapToGrid w:val="0"/>
        <w:spacing w:before="158" w:beforeLines="50" w:after="50"/>
        <w:rPr>
          <w:rFonts w:hint="eastAsia" w:ascii="宋体" w:hAnsi="宋体" w:eastAsia="宋体" w:cs="宋体"/>
          <w:color w:val="000000"/>
          <w:sz w:val="24"/>
          <w:szCs w:val="20"/>
          <w:highlight w:val="none"/>
        </w:rPr>
      </w:pPr>
    </w:p>
    <w:p w14:paraId="068FAD7E">
      <w:pPr>
        <w:shd w:val="clear" w:color="auto" w:fill="auto"/>
        <w:snapToGrid w:val="0"/>
        <w:spacing w:before="158" w:beforeLines="50" w:after="50"/>
        <w:rPr>
          <w:rFonts w:hint="eastAsia" w:ascii="宋体" w:hAnsi="宋体" w:eastAsia="宋体" w:cs="宋体"/>
          <w:color w:val="000000"/>
          <w:sz w:val="24"/>
          <w:szCs w:val="20"/>
          <w:highlight w:val="none"/>
        </w:rPr>
      </w:pPr>
    </w:p>
    <w:p w14:paraId="4985E1A5">
      <w:pPr>
        <w:shd w:val="clear" w:color="auto" w:fill="auto"/>
        <w:snapToGrid w:val="0"/>
        <w:spacing w:before="158" w:beforeLines="50" w:after="50"/>
        <w:rPr>
          <w:rFonts w:hint="eastAsia" w:ascii="宋体" w:hAnsi="宋体" w:eastAsia="宋体" w:cs="宋体"/>
          <w:color w:val="000000"/>
          <w:sz w:val="24"/>
          <w:szCs w:val="20"/>
          <w:highlight w:val="none"/>
        </w:rPr>
      </w:pPr>
    </w:p>
    <w:p w14:paraId="6DF757CE">
      <w:pPr>
        <w:shd w:val="clear" w:color="auto" w:fill="auto"/>
        <w:snapToGrid w:val="0"/>
        <w:spacing w:before="158" w:beforeLines="50" w:after="50"/>
        <w:rPr>
          <w:rFonts w:hint="eastAsia" w:ascii="宋体" w:hAnsi="宋体" w:eastAsia="宋体" w:cs="宋体"/>
          <w:color w:val="000000"/>
          <w:sz w:val="24"/>
          <w:szCs w:val="20"/>
          <w:highlight w:val="none"/>
        </w:rPr>
      </w:pPr>
    </w:p>
    <w:p w14:paraId="271B9F88">
      <w:pPr>
        <w:shd w:val="clear" w:color="auto" w:fill="auto"/>
        <w:snapToGrid w:val="0"/>
        <w:spacing w:before="158" w:beforeLines="50" w:after="50"/>
        <w:jc w:val="center"/>
        <w:rPr>
          <w:rFonts w:hint="eastAsia" w:ascii="宋体" w:hAnsi="宋体" w:eastAsia="宋体" w:cs="宋体"/>
          <w:bCs/>
          <w:color w:val="000000"/>
          <w:sz w:val="44"/>
          <w:szCs w:val="44"/>
          <w:highlight w:val="none"/>
        </w:rPr>
      </w:pPr>
      <w:r>
        <w:rPr>
          <w:rFonts w:hint="eastAsia" w:ascii="宋体" w:hAnsi="宋体" w:eastAsia="宋体" w:cs="宋体"/>
          <w:bCs/>
          <w:color w:val="000000"/>
          <w:sz w:val="44"/>
          <w:szCs w:val="44"/>
          <w:highlight w:val="none"/>
        </w:rPr>
        <w:t>资格证明文件\商务技术文件\报价文件</w:t>
      </w:r>
    </w:p>
    <w:p w14:paraId="322F71D7">
      <w:pPr>
        <w:snapToGrid w:val="0"/>
        <w:spacing w:before="120" w:beforeLines="50" w:after="50"/>
        <w:rPr>
          <w:rFonts w:hint="eastAsia" w:ascii="宋体" w:hAnsi="宋体" w:eastAsia="宋体" w:cs="宋体"/>
          <w:bCs/>
          <w:color w:val="auto"/>
          <w:sz w:val="24"/>
          <w:szCs w:val="20"/>
          <w:highlight w:val="none"/>
        </w:rPr>
      </w:pPr>
    </w:p>
    <w:p w14:paraId="38EE5158">
      <w:pPr>
        <w:snapToGrid w:val="0"/>
        <w:spacing w:before="120" w:beforeLines="50" w:after="50"/>
        <w:rPr>
          <w:rFonts w:hint="eastAsia" w:ascii="宋体" w:hAnsi="宋体" w:eastAsia="宋体" w:cs="宋体"/>
          <w:bCs/>
          <w:color w:val="auto"/>
          <w:sz w:val="24"/>
          <w:szCs w:val="20"/>
          <w:highlight w:val="none"/>
        </w:rPr>
      </w:pPr>
    </w:p>
    <w:p w14:paraId="70C2DA2E">
      <w:pPr>
        <w:snapToGrid w:val="0"/>
        <w:spacing w:before="120" w:beforeLines="50" w:after="50"/>
        <w:rPr>
          <w:rFonts w:hint="eastAsia" w:ascii="宋体" w:hAnsi="宋体" w:eastAsia="宋体" w:cs="宋体"/>
          <w:bCs/>
          <w:color w:val="auto"/>
          <w:sz w:val="32"/>
          <w:szCs w:val="32"/>
          <w:highlight w:val="none"/>
        </w:rPr>
      </w:pPr>
    </w:p>
    <w:p w14:paraId="54FF41A6">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5BB69FDE">
      <w:pPr>
        <w:snapToGrid w:val="0"/>
        <w:spacing w:before="120" w:beforeLines="50" w:after="50"/>
        <w:ind w:firstLine="480" w:firstLineChars="150"/>
        <w:rPr>
          <w:rFonts w:hint="eastAsia" w:ascii="宋体" w:hAnsi="宋体" w:eastAsia="宋体" w:cs="宋体"/>
          <w:bCs/>
          <w:color w:val="auto"/>
          <w:sz w:val="32"/>
          <w:szCs w:val="32"/>
          <w:highlight w:val="none"/>
        </w:rPr>
      </w:pPr>
    </w:p>
    <w:p w14:paraId="59F45DC8">
      <w:pPr>
        <w:snapToGrid w:val="0"/>
        <w:spacing w:before="120" w:beforeLines="50" w:after="50"/>
        <w:ind w:firstLine="640" w:firstLineChars="200"/>
        <w:rPr>
          <w:rFonts w:hint="eastAsia" w:ascii="宋体" w:hAnsi="宋体" w:eastAsia="宋体" w:cs="宋体"/>
          <w:bCs/>
          <w:color w:val="000000"/>
          <w:sz w:val="32"/>
          <w:szCs w:val="32"/>
          <w:highlight w:val="none"/>
        </w:rPr>
      </w:pPr>
      <w:r>
        <w:rPr>
          <w:rFonts w:hint="eastAsia" w:ascii="宋体" w:hAnsi="宋体" w:eastAsia="宋体" w:cs="宋体"/>
          <w:bCs/>
          <w:color w:val="auto"/>
          <w:sz w:val="32"/>
          <w:szCs w:val="32"/>
          <w:highlight w:val="none"/>
        </w:rPr>
        <w:t>项目编号：</w:t>
      </w:r>
    </w:p>
    <w:p w14:paraId="36FC9EDE">
      <w:pPr>
        <w:snapToGrid w:val="0"/>
        <w:spacing w:before="120" w:beforeLines="50" w:after="50"/>
        <w:rPr>
          <w:rFonts w:hint="eastAsia" w:ascii="宋体" w:hAnsi="宋体" w:eastAsia="宋体" w:cs="宋体"/>
          <w:bCs/>
          <w:color w:val="auto"/>
          <w:sz w:val="32"/>
          <w:szCs w:val="32"/>
          <w:highlight w:val="none"/>
        </w:rPr>
      </w:pPr>
    </w:p>
    <w:p w14:paraId="2298AEC7">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7C02DD34">
      <w:pPr>
        <w:snapToGrid w:val="0"/>
        <w:spacing w:before="120" w:beforeLines="50" w:after="50"/>
        <w:rPr>
          <w:rFonts w:hint="eastAsia" w:ascii="宋体" w:hAnsi="宋体" w:eastAsia="宋体" w:cs="宋体"/>
          <w:bCs/>
          <w:color w:val="auto"/>
          <w:sz w:val="32"/>
          <w:szCs w:val="32"/>
          <w:highlight w:val="none"/>
        </w:rPr>
      </w:pPr>
    </w:p>
    <w:p w14:paraId="49AEDE97">
      <w:pPr>
        <w:snapToGrid w:val="0"/>
        <w:spacing w:before="120" w:beforeLines="50" w:after="50"/>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29889E86">
      <w:pPr>
        <w:snapToGrid w:val="0"/>
        <w:spacing w:before="120" w:beforeLines="50" w:after="50"/>
        <w:ind w:firstLine="5440" w:firstLineChars="1700"/>
        <w:jc w:val="center"/>
        <w:rPr>
          <w:rFonts w:hint="eastAsia" w:ascii="宋体" w:hAnsi="宋体" w:eastAsia="宋体" w:cs="宋体"/>
          <w:bCs/>
          <w:color w:val="auto"/>
          <w:sz w:val="32"/>
          <w:szCs w:val="32"/>
          <w:highlight w:val="none"/>
        </w:rPr>
      </w:pPr>
    </w:p>
    <w:p w14:paraId="4E8991A5">
      <w:pPr>
        <w:snapToGrid w:val="0"/>
        <w:spacing w:before="120" w:beforeLines="50" w:after="50"/>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469C72CF">
      <w:pPr>
        <w:rPr>
          <w:rFonts w:hint="eastAsia" w:ascii="宋体" w:hAnsi="宋体" w:eastAsia="宋体" w:cs="宋体"/>
          <w:b/>
          <w:bCs w:val="0"/>
          <w:caps w:val="0"/>
          <w:smallCaps w:val="0"/>
          <w:color w:val="auto"/>
          <w:spacing w:val="0"/>
          <w:kern w:val="2"/>
          <w:sz w:val="30"/>
          <w:szCs w:val="30"/>
          <w:highlight w:val="none"/>
          <w:lang w:val="en-US" w:eastAsia="zh-CN"/>
        </w:rPr>
      </w:pPr>
      <w:r>
        <w:rPr>
          <w:rFonts w:hint="eastAsia" w:ascii="宋体" w:hAnsi="宋体" w:eastAsia="宋体" w:cs="宋体"/>
          <w:color w:val="auto"/>
          <w:highlight w:val="none"/>
        </w:rPr>
        <w:br w:type="page"/>
      </w:r>
    </w:p>
    <w:p w14:paraId="0B274B1C">
      <w:pPr>
        <w:shd w:val="clear" w:color="auto" w:fill="auto"/>
        <w:snapToGrid w:val="0"/>
        <w:spacing w:line="360" w:lineRule="auto"/>
        <w:ind w:right="480"/>
        <w:jc w:val="center"/>
        <w:rPr>
          <w:rFonts w:hint="eastAsia" w:ascii="宋体" w:hAnsi="宋体" w:eastAsia="宋体" w:cs="宋体"/>
          <w:b/>
          <w:color w:val="auto"/>
          <w:kern w:val="2"/>
          <w:sz w:val="30"/>
          <w:szCs w:val="30"/>
          <w:highlight w:val="none"/>
          <w:lang w:eastAsia="zh-CN"/>
        </w:rPr>
      </w:pPr>
      <w:r>
        <w:rPr>
          <w:rFonts w:hint="eastAsia" w:ascii="宋体" w:hAnsi="宋体" w:cs="宋体"/>
          <w:b/>
          <w:color w:val="auto"/>
          <w:sz w:val="30"/>
          <w:szCs w:val="30"/>
          <w:highlight w:val="none"/>
          <w:lang w:eastAsia="zh-CN"/>
        </w:rPr>
        <w:t>政府采购供应商资格信用承诺函</w:t>
      </w:r>
    </w:p>
    <w:p w14:paraId="7F98A186">
      <w:pPr>
        <w:snapToGrid w:val="0"/>
        <w:spacing w:line="360" w:lineRule="auto"/>
        <w:ind w:firstLine="480" w:firstLineChars="200"/>
        <w:rPr>
          <w:rFonts w:hint="eastAsia" w:ascii="宋体" w:hAnsi="宋体" w:eastAsia="宋体" w:cs="宋体"/>
          <w:color w:val="auto"/>
          <w:sz w:val="24"/>
          <w:highlight w:val="none"/>
        </w:rPr>
      </w:pPr>
    </w:p>
    <w:p w14:paraId="38E1F59A">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致：</w:t>
      </w:r>
      <w:r>
        <w:rPr>
          <w:rFonts w:hint="eastAsia" w:ascii="宋体" w:hAnsi="宋体" w:cs="宋体"/>
          <w:color w:val="auto"/>
          <w:spacing w:val="6"/>
          <w:sz w:val="24"/>
          <w:highlight w:val="none"/>
          <w:u w:val="single"/>
          <w:lang w:val="en-US" w:eastAsia="zh-CN"/>
        </w:rPr>
        <w:t>柳州市防洪排涝工程管理处</w:t>
      </w:r>
      <w:r>
        <w:rPr>
          <w:rFonts w:hint="eastAsia" w:ascii="宋体" w:hAnsi="宋体" w:eastAsia="宋体" w:cs="宋体"/>
          <w:color w:val="auto"/>
          <w:spacing w:val="6"/>
          <w:sz w:val="24"/>
          <w:highlight w:val="none"/>
          <w:u w:val="single"/>
        </w:rPr>
        <w:t>、</w:t>
      </w:r>
      <w:r>
        <w:rPr>
          <w:rFonts w:hint="eastAsia" w:ascii="宋体" w:hAnsi="宋体" w:eastAsia="宋体" w:cs="宋体"/>
          <w:color w:val="auto"/>
          <w:spacing w:val="6"/>
          <w:sz w:val="24"/>
          <w:highlight w:val="none"/>
          <w:u w:val="single"/>
          <w:lang w:eastAsia="zh-CN"/>
        </w:rPr>
        <w:t>广西景钲工程咨询有限公司</w:t>
      </w:r>
      <w:r>
        <w:rPr>
          <w:rFonts w:hint="eastAsia" w:ascii="宋体" w:hAnsi="宋体" w:eastAsia="宋体" w:cs="宋体"/>
          <w:color w:val="auto"/>
          <w:spacing w:val="6"/>
          <w:sz w:val="24"/>
          <w:highlight w:val="none"/>
        </w:rPr>
        <w:t>：</w:t>
      </w:r>
    </w:p>
    <w:p w14:paraId="398DEF46">
      <w:pPr>
        <w:keepNext w:val="0"/>
        <w:keepLines w:val="0"/>
        <w:pageBreakBefore w:val="0"/>
        <w:widowControl w:val="0"/>
        <w:kinsoku/>
        <w:wordWrap/>
        <w:overflowPunct/>
        <w:topLinePunct w:val="0"/>
        <w:autoSpaceDE w:val="0"/>
        <w:autoSpaceDN w:val="0"/>
        <w:bidi w:val="0"/>
        <w:adjustRightInd w:val="0"/>
        <w:snapToGrid/>
        <w:spacing w:line="360" w:lineRule="auto"/>
        <w:ind w:left="239" w:leftChars="114" w:firstLine="514" w:firstLineChars="204"/>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我方自愿参加</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rPr>
        <w:t>项目（</w:t>
      </w:r>
      <w:r>
        <w:rPr>
          <w:rFonts w:hint="eastAsia" w:ascii="宋体" w:hAnsi="宋体" w:cs="宋体"/>
          <w:color w:val="auto"/>
          <w:spacing w:val="6"/>
          <w:sz w:val="24"/>
          <w:highlight w:val="none"/>
          <w:lang w:eastAsia="zh-CN"/>
        </w:rPr>
        <w:t>项目编号：</w:t>
      </w:r>
      <w:r>
        <w:rPr>
          <w:rFonts w:hint="eastAsia" w:ascii="宋体" w:hAnsi="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 xml:space="preserve">）的政府采购活动，并郑重承诺我方符合《中华人民共和国政府采购法》第二十二条规定的条件： </w:t>
      </w:r>
    </w:p>
    <w:p w14:paraId="52D36DFA">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（一）具有独立承担民事责任的能力； </w:t>
      </w:r>
    </w:p>
    <w:p w14:paraId="2673C84F">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（二）具有良好的商业信誉和健全的财务会计制度； </w:t>
      </w:r>
    </w:p>
    <w:p w14:paraId="2A0979D7">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（三）具有履行合同所必需的设备和专业技术能力； </w:t>
      </w:r>
    </w:p>
    <w:p w14:paraId="7D730027">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（四）有依法缴纳税收和社会保障资金的良好记录； </w:t>
      </w:r>
    </w:p>
    <w:p w14:paraId="3F8F27A1">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（五）参加政府采购活动前三年内，在经营活动中没有重大违法记录； </w:t>
      </w:r>
    </w:p>
    <w:p w14:paraId="733BD62A">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（六）法律、行政法规规定的其他条件。 </w:t>
      </w:r>
    </w:p>
    <w:p w14:paraId="2A10E116">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我方保证上述承诺事项的真实性，如有弄虚作假或其他违法违规行为，愿意承担一切法律责任，并承担因此所造成的一切损失。 </w:t>
      </w:r>
    </w:p>
    <w:p w14:paraId="2C2A982D">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pacing w:val="6"/>
          <w:sz w:val="24"/>
          <w:highlight w:val="none"/>
        </w:rPr>
      </w:pPr>
      <w:r>
        <w:rPr>
          <w:rFonts w:hint="eastAsia" w:ascii="宋体" w:hAnsi="宋体" w:eastAsia="宋体" w:cs="宋体"/>
          <w:b w:val="0"/>
          <w:bCs w:val="0"/>
          <w:color w:val="auto"/>
          <w:spacing w:val="6"/>
          <w:sz w:val="24"/>
          <w:highlight w:val="none"/>
        </w:rPr>
        <w:t>特此声明！</w:t>
      </w:r>
      <w:r>
        <w:rPr>
          <w:rFonts w:hint="eastAsia" w:ascii="宋体" w:hAnsi="宋体" w:eastAsia="宋体" w:cs="宋体"/>
          <w:color w:val="auto"/>
          <w:spacing w:val="6"/>
          <w:sz w:val="24"/>
          <w:highlight w:val="none"/>
        </w:rPr>
        <w:t xml:space="preserve"> </w:t>
      </w:r>
    </w:p>
    <w:p w14:paraId="627E5C4D">
      <w:pPr>
        <w:spacing w:line="300" w:lineRule="auto"/>
        <w:rPr>
          <w:rFonts w:hint="eastAsia" w:ascii="宋体" w:hAnsi="宋体" w:eastAsia="宋体" w:cs="宋体"/>
          <w:color w:val="auto"/>
          <w:szCs w:val="21"/>
          <w:highlight w:val="none"/>
        </w:rPr>
      </w:pPr>
    </w:p>
    <w:p w14:paraId="59E5A50C">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711300B">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76E3D823">
      <w:pPr>
        <w:jc w:val="center"/>
        <w:rPr>
          <w:rFonts w:hint="eastAsia" w:ascii="宋体" w:hAnsi="宋体" w:eastAsia="宋体" w:cs="宋体"/>
          <w:b/>
          <w:bCs/>
          <w:color w:val="auto"/>
          <w:sz w:val="36"/>
          <w:szCs w:val="36"/>
          <w:highlight w:val="none"/>
          <w:lang w:val="en"/>
        </w:rPr>
      </w:pPr>
    </w:p>
    <w:p w14:paraId="767872F1">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r>
        <w:rPr>
          <w:rFonts w:hint="eastAsia" w:ascii="宋体" w:hAnsi="宋体" w:eastAsia="宋体" w:cs="宋体"/>
          <w:b/>
          <w:bCs w:val="0"/>
          <w:color w:val="auto"/>
          <w:sz w:val="30"/>
          <w:szCs w:val="30"/>
          <w:highlight w:val="none"/>
          <w:lang w:val="en-US" w:eastAsia="zh-CN"/>
        </w:rPr>
        <w:t>供应商</w:t>
      </w:r>
      <w:r>
        <w:rPr>
          <w:rFonts w:hint="eastAsia" w:ascii="宋体" w:hAnsi="宋体" w:eastAsia="宋体" w:cs="宋体"/>
          <w:b/>
          <w:bCs w:val="0"/>
          <w:color w:val="auto"/>
          <w:sz w:val="30"/>
          <w:szCs w:val="30"/>
          <w:highlight w:val="none"/>
          <w:lang w:val="en-US"/>
        </w:rPr>
        <w:t>直接控股</w:t>
      </w:r>
      <w:r>
        <w:rPr>
          <w:rFonts w:hint="eastAsia" w:ascii="宋体" w:hAnsi="宋体" w:eastAsia="宋体" w:cs="宋体"/>
          <w:b/>
          <w:bCs w:val="0"/>
          <w:color w:val="auto"/>
          <w:sz w:val="30"/>
          <w:szCs w:val="30"/>
          <w:highlight w:val="none"/>
          <w:lang w:val="en"/>
        </w:rPr>
        <w:t>、管理关系信息表</w:t>
      </w:r>
    </w:p>
    <w:p w14:paraId="053EF766">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1、</w:t>
      </w:r>
      <w:r>
        <w:rPr>
          <w:rFonts w:hint="eastAsia" w:ascii="宋体" w:hAnsi="宋体" w:eastAsia="宋体" w:cs="宋体"/>
          <w:b/>
          <w:color w:val="auto"/>
          <w:kern w:val="0"/>
          <w:sz w:val="32"/>
          <w:szCs w:val="32"/>
          <w:highlight w:val="none"/>
          <w:lang w:eastAsia="zh-CN"/>
        </w:rPr>
        <w:t>供应商</w:t>
      </w:r>
      <w:r>
        <w:rPr>
          <w:rFonts w:hint="eastAsia" w:ascii="宋体" w:hAnsi="宋体" w:eastAsia="宋体" w:cs="宋体"/>
          <w:b/>
          <w:color w:val="auto"/>
          <w:kern w:val="0"/>
          <w:sz w:val="32"/>
          <w:szCs w:val="32"/>
          <w:highlight w:val="none"/>
        </w:rPr>
        <w:t>直接控股股东信息表</w:t>
      </w:r>
    </w:p>
    <w:tbl>
      <w:tblPr>
        <w:tblStyle w:val="31"/>
        <w:tblW w:w="0" w:type="auto"/>
        <w:jc w:val="center"/>
        <w:shd w:val="clear" w:color="auto" w:fill="FBFBFB"/>
        <w:tblLayout w:type="fixed"/>
        <w:tblCellMar>
          <w:top w:w="0" w:type="dxa"/>
          <w:left w:w="0" w:type="dxa"/>
          <w:bottom w:w="0" w:type="dxa"/>
          <w:right w:w="0" w:type="dxa"/>
        </w:tblCellMar>
      </w:tblPr>
      <w:tblGrid>
        <w:gridCol w:w="828"/>
        <w:gridCol w:w="2269"/>
        <w:gridCol w:w="1239"/>
        <w:gridCol w:w="4256"/>
        <w:gridCol w:w="1128"/>
      </w:tblGrid>
      <w:tr w14:paraId="62D8B05F">
        <w:tblPrEx>
          <w:shd w:val="clear" w:color="auto" w:fill="FBFBFB"/>
          <w:tblCellMar>
            <w:top w:w="0" w:type="dxa"/>
            <w:left w:w="0" w:type="dxa"/>
            <w:bottom w:w="0" w:type="dxa"/>
            <w:right w:w="0" w:type="dxa"/>
          </w:tblCellMar>
        </w:tblPrEx>
        <w:trPr>
          <w:trHeight w:val="454" w:hRule="atLeast"/>
          <w:tblHeader/>
          <w:jc w:val="cent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8B57ABC">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529E58B">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3D713F9">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4256"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061D5FF">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11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6F5B50F">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0172285C">
        <w:tblPrEx>
          <w:shd w:val="clear" w:color="auto" w:fill="FBFBFB"/>
          <w:tblCellMar>
            <w:top w:w="0" w:type="dxa"/>
            <w:left w:w="0" w:type="dxa"/>
            <w:bottom w:w="0" w:type="dxa"/>
            <w:right w:w="0" w:type="dxa"/>
          </w:tblCellMar>
        </w:tblPrEx>
        <w:trPr>
          <w:trHeight w:val="454"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509F2FD">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5C918B7">
            <w:pPr>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8743082">
            <w:pPr>
              <w:jc w:val="center"/>
              <w:rPr>
                <w:rFonts w:hint="eastAsia" w:ascii="宋体" w:hAnsi="宋体" w:eastAsia="宋体" w:cs="宋体"/>
                <w:color w:val="auto"/>
                <w:kern w:val="0"/>
                <w:sz w:val="24"/>
                <w:highlight w:val="none"/>
              </w:rPr>
            </w:pPr>
          </w:p>
        </w:tc>
        <w:tc>
          <w:tcPr>
            <w:tcW w:w="425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1B13B03">
            <w:pPr>
              <w:jc w:val="center"/>
              <w:rPr>
                <w:rFonts w:hint="eastAsia" w:ascii="宋体" w:hAnsi="宋体" w:eastAsia="宋体" w:cs="宋体"/>
                <w:color w:val="auto"/>
                <w:kern w:val="0"/>
                <w:sz w:val="24"/>
                <w:highlight w:val="none"/>
              </w:rPr>
            </w:pPr>
          </w:p>
        </w:tc>
        <w:tc>
          <w:tcPr>
            <w:tcW w:w="11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555CEE7">
            <w:pPr>
              <w:jc w:val="center"/>
              <w:rPr>
                <w:rFonts w:hint="eastAsia" w:ascii="宋体" w:hAnsi="宋体" w:eastAsia="宋体" w:cs="宋体"/>
                <w:color w:val="auto"/>
                <w:kern w:val="0"/>
                <w:sz w:val="24"/>
                <w:highlight w:val="none"/>
              </w:rPr>
            </w:pPr>
          </w:p>
        </w:tc>
      </w:tr>
      <w:tr w14:paraId="0B7D3CBC">
        <w:tblPrEx>
          <w:shd w:val="clear" w:color="auto" w:fill="FBFBFB"/>
          <w:tblCellMar>
            <w:top w:w="0" w:type="dxa"/>
            <w:left w:w="0" w:type="dxa"/>
            <w:bottom w:w="0" w:type="dxa"/>
            <w:right w:w="0" w:type="dxa"/>
          </w:tblCellMar>
        </w:tblPrEx>
        <w:trPr>
          <w:trHeight w:val="454"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6916F2A">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7C9969">
            <w:pPr>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383F4BA">
            <w:pPr>
              <w:jc w:val="center"/>
              <w:rPr>
                <w:rFonts w:hint="eastAsia" w:ascii="宋体" w:hAnsi="宋体" w:eastAsia="宋体" w:cs="宋体"/>
                <w:color w:val="auto"/>
                <w:kern w:val="0"/>
                <w:sz w:val="24"/>
                <w:highlight w:val="none"/>
              </w:rPr>
            </w:pPr>
          </w:p>
        </w:tc>
        <w:tc>
          <w:tcPr>
            <w:tcW w:w="425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32A367A">
            <w:pPr>
              <w:jc w:val="center"/>
              <w:rPr>
                <w:rFonts w:hint="eastAsia" w:ascii="宋体" w:hAnsi="宋体" w:eastAsia="宋体" w:cs="宋体"/>
                <w:color w:val="auto"/>
                <w:kern w:val="0"/>
                <w:sz w:val="24"/>
                <w:highlight w:val="none"/>
              </w:rPr>
            </w:pPr>
          </w:p>
        </w:tc>
        <w:tc>
          <w:tcPr>
            <w:tcW w:w="11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E45FD49">
            <w:pPr>
              <w:jc w:val="center"/>
              <w:rPr>
                <w:rFonts w:hint="eastAsia" w:ascii="宋体" w:hAnsi="宋体" w:eastAsia="宋体" w:cs="宋体"/>
                <w:color w:val="auto"/>
                <w:kern w:val="0"/>
                <w:sz w:val="24"/>
                <w:highlight w:val="none"/>
              </w:rPr>
            </w:pPr>
          </w:p>
        </w:tc>
      </w:tr>
      <w:tr w14:paraId="3592D636">
        <w:tblPrEx>
          <w:shd w:val="clear" w:color="auto" w:fill="FBFBFB"/>
          <w:tblCellMar>
            <w:top w:w="0" w:type="dxa"/>
            <w:left w:w="0" w:type="dxa"/>
            <w:bottom w:w="0" w:type="dxa"/>
            <w:right w:w="0" w:type="dxa"/>
          </w:tblCellMar>
        </w:tblPrEx>
        <w:trPr>
          <w:trHeight w:val="454"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E65D1FA">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3FBB88E">
            <w:pPr>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7DA3488">
            <w:pPr>
              <w:jc w:val="center"/>
              <w:rPr>
                <w:rFonts w:hint="eastAsia" w:ascii="宋体" w:hAnsi="宋体" w:eastAsia="宋体" w:cs="宋体"/>
                <w:color w:val="auto"/>
                <w:kern w:val="0"/>
                <w:sz w:val="24"/>
                <w:highlight w:val="none"/>
              </w:rPr>
            </w:pPr>
          </w:p>
        </w:tc>
        <w:tc>
          <w:tcPr>
            <w:tcW w:w="425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D7B7C97">
            <w:pPr>
              <w:jc w:val="center"/>
              <w:rPr>
                <w:rFonts w:hint="eastAsia" w:ascii="宋体" w:hAnsi="宋体" w:eastAsia="宋体" w:cs="宋体"/>
                <w:color w:val="auto"/>
                <w:kern w:val="0"/>
                <w:sz w:val="24"/>
                <w:highlight w:val="none"/>
              </w:rPr>
            </w:pPr>
          </w:p>
        </w:tc>
        <w:tc>
          <w:tcPr>
            <w:tcW w:w="11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D88B260">
            <w:pPr>
              <w:jc w:val="center"/>
              <w:rPr>
                <w:rFonts w:hint="eastAsia" w:ascii="宋体" w:hAnsi="宋体" w:eastAsia="宋体" w:cs="宋体"/>
                <w:color w:val="auto"/>
                <w:kern w:val="0"/>
                <w:sz w:val="24"/>
                <w:highlight w:val="none"/>
              </w:rPr>
            </w:pPr>
          </w:p>
        </w:tc>
      </w:tr>
    </w:tbl>
    <w:p w14:paraId="2A6CE973">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6198886A">
      <w:pPr>
        <w:snapToGrid w:val="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BF02B07">
      <w:pPr>
        <w:snapToGrid w:val="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2.本表所指的控股关系仅限于直接控股关系，不包括间接的控股关系。公司实际控制人与公司之间的关系不属于本表所指的直接控股关系。</w:t>
      </w:r>
    </w:p>
    <w:p w14:paraId="19451168">
      <w:pPr>
        <w:snapToGrid w:val="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3.供应商不存在直接控股股东的，则填“无”。</w:t>
      </w:r>
    </w:p>
    <w:p w14:paraId="2F6AA67A">
      <w:pPr>
        <w:spacing w:line="300" w:lineRule="auto"/>
        <w:rPr>
          <w:rFonts w:hint="eastAsia" w:ascii="宋体" w:hAnsi="宋体" w:eastAsia="宋体" w:cs="宋体"/>
          <w:color w:val="auto"/>
          <w:szCs w:val="21"/>
          <w:highlight w:val="none"/>
        </w:rPr>
      </w:pPr>
    </w:p>
    <w:p w14:paraId="07EB5099">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E2271E2">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3B2AB5C">
      <w:pPr>
        <w:snapToGrid w:val="0"/>
        <w:jc w:val="center"/>
        <w:rPr>
          <w:rFonts w:hint="eastAsia" w:ascii="宋体" w:hAnsi="宋体" w:eastAsia="宋体" w:cs="宋体"/>
          <w:b/>
          <w:color w:val="auto"/>
          <w:sz w:val="28"/>
          <w:szCs w:val="28"/>
          <w:highlight w:val="none"/>
        </w:rPr>
      </w:pPr>
    </w:p>
    <w:p w14:paraId="3157BF81">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2、</w:t>
      </w:r>
      <w:r>
        <w:rPr>
          <w:rFonts w:hint="eastAsia" w:ascii="宋体" w:hAnsi="宋体" w:eastAsia="宋体" w:cs="宋体"/>
          <w:b/>
          <w:color w:val="auto"/>
          <w:kern w:val="0"/>
          <w:sz w:val="32"/>
          <w:szCs w:val="32"/>
          <w:highlight w:val="none"/>
          <w:lang w:eastAsia="zh-CN"/>
        </w:rPr>
        <w:t>供应商</w:t>
      </w:r>
      <w:r>
        <w:rPr>
          <w:rFonts w:hint="eastAsia" w:ascii="宋体" w:hAnsi="宋体" w:eastAsia="宋体" w:cs="宋体"/>
          <w:b/>
          <w:color w:val="auto"/>
          <w:kern w:val="0"/>
          <w:sz w:val="32"/>
          <w:szCs w:val="32"/>
          <w:highlight w:val="none"/>
        </w:rPr>
        <w:t>直接管理关系信息表</w:t>
      </w:r>
    </w:p>
    <w:tbl>
      <w:tblPr>
        <w:tblStyle w:val="31"/>
        <w:tblW w:w="0" w:type="auto"/>
        <w:jc w:val="center"/>
        <w:shd w:val="clear" w:color="auto" w:fill="FBFBFB"/>
        <w:tblLayout w:type="fixed"/>
        <w:tblCellMar>
          <w:top w:w="0" w:type="dxa"/>
          <w:left w:w="0" w:type="dxa"/>
          <w:bottom w:w="0" w:type="dxa"/>
          <w:right w:w="0" w:type="dxa"/>
        </w:tblCellMar>
      </w:tblPr>
      <w:tblGrid>
        <w:gridCol w:w="1005"/>
        <w:gridCol w:w="2659"/>
        <w:gridCol w:w="3924"/>
        <w:gridCol w:w="2226"/>
      </w:tblGrid>
      <w:tr w14:paraId="7CA7BD4E">
        <w:tblPrEx>
          <w:shd w:val="clear" w:color="auto" w:fill="FBFBFB"/>
          <w:tblCellMar>
            <w:top w:w="0" w:type="dxa"/>
            <w:left w:w="0" w:type="dxa"/>
            <w:bottom w:w="0" w:type="dxa"/>
            <w:right w:w="0" w:type="dxa"/>
          </w:tblCellMar>
        </w:tblPrEx>
        <w:trPr>
          <w:trHeight w:val="454" w:hRule="atLeast"/>
          <w:tblHeader/>
          <w:jc w:val="cent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F02DD2A">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EA3638F">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5F05640">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2226"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BBC5C15">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2E10DC24">
        <w:tblPrEx>
          <w:shd w:val="clear" w:color="auto" w:fill="FBFBFB"/>
          <w:tblCellMar>
            <w:top w:w="0" w:type="dxa"/>
            <w:left w:w="0" w:type="dxa"/>
            <w:bottom w:w="0" w:type="dxa"/>
            <w:right w:w="0"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8E2F776">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905F7E6">
            <w:pPr>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F089F24">
            <w:pPr>
              <w:jc w:val="center"/>
              <w:rPr>
                <w:rFonts w:hint="eastAsia" w:ascii="宋体" w:hAnsi="宋体" w:eastAsia="宋体" w:cs="宋体"/>
                <w:color w:val="auto"/>
                <w:kern w:val="0"/>
                <w:sz w:val="24"/>
                <w:highlight w:val="none"/>
              </w:rPr>
            </w:pPr>
          </w:p>
        </w:tc>
        <w:tc>
          <w:tcPr>
            <w:tcW w:w="222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B77920B">
            <w:pPr>
              <w:jc w:val="center"/>
              <w:rPr>
                <w:rFonts w:hint="eastAsia" w:ascii="宋体" w:hAnsi="宋体" w:eastAsia="宋体" w:cs="宋体"/>
                <w:color w:val="auto"/>
                <w:kern w:val="0"/>
                <w:sz w:val="24"/>
                <w:highlight w:val="none"/>
              </w:rPr>
            </w:pPr>
          </w:p>
        </w:tc>
      </w:tr>
      <w:tr w14:paraId="4D6A9851">
        <w:tblPrEx>
          <w:shd w:val="clear" w:color="auto" w:fill="FBFBFB"/>
          <w:tblCellMar>
            <w:top w:w="0" w:type="dxa"/>
            <w:left w:w="0" w:type="dxa"/>
            <w:bottom w:w="0" w:type="dxa"/>
            <w:right w:w="0"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9758730">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B035B90">
            <w:pPr>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F278FEA">
            <w:pPr>
              <w:jc w:val="center"/>
              <w:rPr>
                <w:rFonts w:hint="eastAsia" w:ascii="宋体" w:hAnsi="宋体" w:eastAsia="宋体" w:cs="宋体"/>
                <w:color w:val="auto"/>
                <w:kern w:val="0"/>
                <w:sz w:val="24"/>
                <w:highlight w:val="none"/>
              </w:rPr>
            </w:pPr>
          </w:p>
        </w:tc>
        <w:tc>
          <w:tcPr>
            <w:tcW w:w="222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84EA73D">
            <w:pPr>
              <w:jc w:val="center"/>
              <w:rPr>
                <w:rFonts w:hint="eastAsia" w:ascii="宋体" w:hAnsi="宋体" w:eastAsia="宋体" w:cs="宋体"/>
                <w:color w:val="auto"/>
                <w:kern w:val="0"/>
                <w:sz w:val="24"/>
                <w:highlight w:val="none"/>
              </w:rPr>
            </w:pPr>
          </w:p>
        </w:tc>
      </w:tr>
      <w:tr w14:paraId="4243023A">
        <w:tblPrEx>
          <w:shd w:val="clear" w:color="auto" w:fill="FBFBFB"/>
          <w:tblCellMar>
            <w:top w:w="0" w:type="dxa"/>
            <w:left w:w="0" w:type="dxa"/>
            <w:bottom w:w="0" w:type="dxa"/>
            <w:right w:w="0"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180F333">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D7AA8A7">
            <w:pPr>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B49A2F1">
            <w:pPr>
              <w:jc w:val="center"/>
              <w:rPr>
                <w:rFonts w:hint="eastAsia" w:ascii="宋体" w:hAnsi="宋体" w:eastAsia="宋体" w:cs="宋体"/>
                <w:color w:val="auto"/>
                <w:kern w:val="0"/>
                <w:sz w:val="24"/>
                <w:highlight w:val="none"/>
              </w:rPr>
            </w:pPr>
          </w:p>
        </w:tc>
        <w:tc>
          <w:tcPr>
            <w:tcW w:w="222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57E8ABF">
            <w:pPr>
              <w:jc w:val="center"/>
              <w:rPr>
                <w:rFonts w:hint="eastAsia" w:ascii="宋体" w:hAnsi="宋体" w:eastAsia="宋体" w:cs="宋体"/>
                <w:color w:val="auto"/>
                <w:kern w:val="0"/>
                <w:sz w:val="24"/>
                <w:highlight w:val="none"/>
              </w:rPr>
            </w:pPr>
          </w:p>
        </w:tc>
      </w:tr>
    </w:tbl>
    <w:p w14:paraId="40FDBBE4">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0DD0EE68">
      <w:pPr>
        <w:snapToGrid w:val="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1.管理关系：是指不具有出资持股关系的其他单位之间存在的管理与被管理关系，如一些上下级关系的事业单位和团体组织。</w:t>
      </w:r>
    </w:p>
    <w:p w14:paraId="11A490A7">
      <w:pPr>
        <w:snapToGrid w:val="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2.本表所指的管理关系仅限于直接管理关系，不包括间接的管理关系。</w:t>
      </w:r>
    </w:p>
    <w:p w14:paraId="3F9ED200">
      <w:pPr>
        <w:snapToGrid w:val="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3.供应商不存在直接管理关系的，则填“无”。</w:t>
      </w:r>
    </w:p>
    <w:p w14:paraId="791A2778">
      <w:pPr>
        <w:spacing w:line="300" w:lineRule="auto"/>
        <w:rPr>
          <w:rFonts w:hint="eastAsia" w:ascii="宋体" w:hAnsi="宋体" w:eastAsia="宋体" w:cs="宋体"/>
          <w:color w:val="auto"/>
          <w:szCs w:val="21"/>
          <w:highlight w:val="none"/>
        </w:rPr>
      </w:pPr>
    </w:p>
    <w:p w14:paraId="6FDD1B93">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13C4F34">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BEC5F2F">
      <w:pP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br w:type="page"/>
      </w:r>
    </w:p>
    <w:p w14:paraId="6172282F">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44"/>
          <w:szCs w:val="44"/>
          <w:highlight w:val="none"/>
        </w:rPr>
      </w:pPr>
      <w:r>
        <w:rPr>
          <w:rFonts w:hint="eastAsia" w:ascii="宋体" w:hAnsi="宋体" w:eastAsia="宋体" w:cs="宋体"/>
          <w:b/>
          <w:bCs/>
          <w:color w:val="auto"/>
          <w:sz w:val="30"/>
          <w:szCs w:val="30"/>
          <w:highlight w:val="none"/>
        </w:rPr>
        <w:t>中小企业声明函（</w:t>
      </w:r>
      <w:r>
        <w:rPr>
          <w:rFonts w:hint="eastAsia" w:ascii="宋体" w:hAnsi="宋体" w:cs="宋体"/>
          <w:b/>
          <w:bCs/>
          <w:color w:val="auto"/>
          <w:sz w:val="30"/>
          <w:szCs w:val="30"/>
          <w:highlight w:val="none"/>
          <w:lang w:val="en-US" w:eastAsia="zh-CN"/>
        </w:rPr>
        <w:t>工程</w:t>
      </w:r>
      <w:r>
        <w:rPr>
          <w:rFonts w:hint="eastAsia" w:ascii="宋体" w:hAnsi="宋体" w:eastAsia="宋体" w:cs="宋体"/>
          <w:b/>
          <w:bCs/>
          <w:color w:val="auto"/>
          <w:sz w:val="30"/>
          <w:szCs w:val="30"/>
          <w:highlight w:val="none"/>
        </w:rPr>
        <w:t>）</w:t>
      </w:r>
    </w:p>
    <w:p w14:paraId="45269B93">
      <w:pPr>
        <w:spacing w:line="360" w:lineRule="auto"/>
        <w:ind w:left="-426" w:right="142" w:firstLine="6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highlight w:val="none"/>
          <w:u w:val="single"/>
        </w:rPr>
        <w:t>（单位名称）</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采购活动，工程的施工单位全部为符合政策要求的中小企业。相关企业（含联合体中的中小企业、签订分包意向协议的中小企业）的具体情况如下：</w:t>
      </w:r>
    </w:p>
    <w:p w14:paraId="54A43F07">
      <w:pPr>
        <w:keepNext w:val="0"/>
        <w:keepLines w:val="0"/>
        <w:pageBreakBefore w:val="0"/>
        <w:widowControl w:val="0"/>
        <w:tabs>
          <w:tab w:val="left" w:pos="1384"/>
          <w:tab w:val="left" w:pos="4562"/>
          <w:tab w:val="left" w:pos="6803"/>
        </w:tabs>
        <w:kinsoku/>
        <w:wordWrap/>
        <w:overflowPunct/>
        <w:topLinePunct w:val="0"/>
        <w:autoSpaceDE/>
        <w:autoSpaceDN/>
        <w:bidi w:val="0"/>
        <w:adjustRightInd/>
        <w:snapToGrid/>
        <w:spacing w:before="13" w:line="360" w:lineRule="auto"/>
        <w:ind w:right="142" w:firstLine="686" w:firstLineChars="28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承建</w:t>
      </w:r>
      <w:r>
        <w:rPr>
          <w:rFonts w:hint="eastAsia" w:ascii="宋体" w:hAnsi="宋体" w:eastAsia="宋体" w:cs="宋体"/>
          <w:color w:val="auto"/>
          <w:sz w:val="24"/>
          <w:szCs w:val="24"/>
          <w:highlight w:val="none"/>
        </w:rPr>
        <w:t>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7CC98E0D">
      <w:pPr>
        <w:keepNext w:val="0"/>
        <w:keepLines w:val="0"/>
        <w:pageBreakBefore w:val="0"/>
        <w:widowControl w:val="0"/>
        <w:tabs>
          <w:tab w:val="left" w:pos="1065"/>
          <w:tab w:val="left" w:pos="4262"/>
          <w:tab w:val="left" w:pos="6477"/>
        </w:tabs>
        <w:kinsoku/>
        <w:wordWrap/>
        <w:overflowPunct/>
        <w:topLinePunct w:val="0"/>
        <w:autoSpaceDE/>
        <w:autoSpaceDN/>
        <w:bidi w:val="0"/>
        <w:adjustRightInd/>
        <w:snapToGrid/>
        <w:spacing w:before="20" w:line="360" w:lineRule="auto"/>
        <w:ind w:right="84" w:firstLine="686" w:firstLineChars="286"/>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承建</w:t>
      </w:r>
      <w:r>
        <w:rPr>
          <w:rFonts w:hint="eastAsia" w:ascii="宋体" w:hAnsi="宋体" w:eastAsia="宋体" w:cs="宋体"/>
          <w:color w:val="auto"/>
          <w:sz w:val="24"/>
          <w:szCs w:val="24"/>
          <w:highlight w:val="none"/>
        </w:rPr>
        <w:t>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06D33790">
      <w:pPr>
        <w:keepNext w:val="0"/>
        <w:keepLines w:val="0"/>
        <w:pageBreakBefore w:val="0"/>
        <w:widowControl w:val="0"/>
        <w:tabs>
          <w:tab w:val="left" w:pos="1065"/>
          <w:tab w:val="left" w:pos="4262"/>
          <w:tab w:val="left" w:pos="6477"/>
        </w:tabs>
        <w:kinsoku/>
        <w:wordWrap/>
        <w:overflowPunct/>
        <w:topLinePunct w:val="0"/>
        <w:autoSpaceDE/>
        <w:autoSpaceDN/>
        <w:bidi w:val="0"/>
        <w:adjustRightInd/>
        <w:snapToGrid/>
        <w:spacing w:before="20" w:line="360" w:lineRule="auto"/>
        <w:ind w:right="84" w:firstLine="686" w:firstLineChars="286"/>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 xml:space="preserve">…… </w:t>
      </w:r>
    </w:p>
    <w:p w14:paraId="381D1127">
      <w:pPr>
        <w:spacing w:line="360" w:lineRule="auto"/>
        <w:ind w:left="-405" w:leftChars="-193" w:right="142" w:firstLine="453" w:firstLineChars="189"/>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11346CDF">
      <w:pPr>
        <w:spacing w:line="360" w:lineRule="auto"/>
        <w:ind w:left="-426" w:right="142" w:firstLine="567"/>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4120F8B9">
      <w:pPr>
        <w:spacing w:line="360" w:lineRule="auto"/>
        <w:ind w:left="3960" w:right="1808"/>
        <w:contextualSpacing/>
        <w:rPr>
          <w:rFonts w:hint="eastAsia" w:ascii="宋体" w:hAnsi="宋体" w:eastAsia="宋体" w:cs="宋体"/>
          <w:color w:val="auto"/>
          <w:sz w:val="24"/>
          <w:highlight w:val="none"/>
        </w:rPr>
      </w:pPr>
    </w:p>
    <w:p w14:paraId="1F3B399C">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FFF3985">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4755DC33">
      <w:pPr>
        <w:spacing w:line="360" w:lineRule="auto"/>
        <w:ind w:left="3960" w:right="1808"/>
        <w:contextualSpacing/>
        <w:rPr>
          <w:rFonts w:hint="eastAsia" w:ascii="宋体" w:hAnsi="宋体" w:eastAsia="宋体" w:cs="宋体"/>
          <w:color w:val="auto"/>
          <w:highlight w:val="none"/>
        </w:rPr>
      </w:pPr>
    </w:p>
    <w:p w14:paraId="0282FA27">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05229A78">
      <w:pPr>
        <w:spacing w:line="528" w:lineRule="exact"/>
        <w:jc w:val="center"/>
        <w:rPr>
          <w:rFonts w:hint="eastAsia" w:ascii="宋体" w:hAnsi="宋体" w:eastAsia="宋体" w:cs="宋体"/>
          <w:color w:val="auto"/>
          <w:sz w:val="32"/>
          <w:szCs w:val="32"/>
          <w:highlight w:val="none"/>
        </w:rPr>
      </w:pPr>
      <w:r>
        <w:rPr>
          <w:rFonts w:hint="eastAsia" w:ascii="宋体" w:hAnsi="宋体" w:eastAsia="宋体" w:cs="宋体"/>
          <w:color w:val="auto"/>
          <w:kern w:val="0"/>
          <w:sz w:val="24"/>
          <w:highlight w:val="none"/>
          <w:lang w:val="zh-CN"/>
        </w:rPr>
        <w:br w:type="page"/>
      </w:r>
      <w:r>
        <w:rPr>
          <w:rFonts w:hint="eastAsia" w:ascii="宋体" w:hAnsi="宋体" w:eastAsia="宋体" w:cs="宋体"/>
          <w:b/>
          <w:bCs/>
          <w:color w:val="auto"/>
          <w:sz w:val="30"/>
          <w:szCs w:val="30"/>
          <w:highlight w:val="none"/>
        </w:rPr>
        <w:t>中小微企业划型标准</w:t>
      </w:r>
    </w:p>
    <w:tbl>
      <w:tblPr>
        <w:tblStyle w:val="31"/>
        <w:tblW w:w="9536" w:type="dxa"/>
        <w:jc w:val="center"/>
        <w:tblLayout w:type="fixed"/>
        <w:tblCellMar>
          <w:top w:w="0" w:type="dxa"/>
          <w:left w:w="108" w:type="dxa"/>
          <w:bottom w:w="0" w:type="dxa"/>
          <w:right w:w="108" w:type="dxa"/>
        </w:tblCellMar>
      </w:tblPr>
      <w:tblGrid>
        <w:gridCol w:w="1550"/>
        <w:gridCol w:w="1915"/>
        <w:gridCol w:w="961"/>
        <w:gridCol w:w="2071"/>
        <w:gridCol w:w="1836"/>
        <w:gridCol w:w="1203"/>
      </w:tblGrid>
      <w:tr w14:paraId="3E0A7A19">
        <w:tblPrEx>
          <w:tblCellMar>
            <w:top w:w="0" w:type="dxa"/>
            <w:left w:w="108" w:type="dxa"/>
            <w:bottom w:w="0" w:type="dxa"/>
            <w:right w:w="108" w:type="dxa"/>
          </w:tblCellMar>
        </w:tblPrEx>
        <w:trPr>
          <w:trHeight w:val="742" w:hRule="atLeast"/>
          <w:jc w:val="center"/>
        </w:trPr>
        <w:tc>
          <w:tcPr>
            <w:tcW w:w="1550" w:type="dxa"/>
            <w:tcBorders>
              <w:top w:val="single" w:color="auto" w:sz="4" w:space="0"/>
              <w:left w:val="single" w:color="auto" w:sz="4" w:space="0"/>
              <w:bottom w:val="single" w:color="auto" w:sz="4" w:space="0"/>
              <w:right w:val="single" w:color="auto" w:sz="4" w:space="0"/>
            </w:tcBorders>
            <w:noWrap w:val="0"/>
            <w:vAlign w:val="center"/>
          </w:tcPr>
          <w:p w14:paraId="71DC306A">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行业名称</w:t>
            </w:r>
          </w:p>
        </w:tc>
        <w:tc>
          <w:tcPr>
            <w:tcW w:w="1915" w:type="dxa"/>
            <w:tcBorders>
              <w:top w:val="single" w:color="auto" w:sz="4" w:space="0"/>
              <w:left w:val="nil"/>
              <w:bottom w:val="single" w:color="auto" w:sz="4" w:space="0"/>
              <w:right w:val="single" w:color="auto" w:sz="4" w:space="0"/>
            </w:tcBorders>
            <w:noWrap w:val="0"/>
            <w:vAlign w:val="center"/>
          </w:tcPr>
          <w:p w14:paraId="3875C4F1">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指标名称</w:t>
            </w:r>
          </w:p>
        </w:tc>
        <w:tc>
          <w:tcPr>
            <w:tcW w:w="961" w:type="dxa"/>
            <w:tcBorders>
              <w:top w:val="single" w:color="auto" w:sz="4" w:space="0"/>
              <w:left w:val="nil"/>
              <w:bottom w:val="single" w:color="auto" w:sz="4" w:space="0"/>
              <w:right w:val="single" w:color="auto" w:sz="4" w:space="0"/>
            </w:tcBorders>
            <w:noWrap w:val="0"/>
            <w:vAlign w:val="center"/>
          </w:tcPr>
          <w:p w14:paraId="05283DFA">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计量单位</w:t>
            </w:r>
          </w:p>
        </w:tc>
        <w:tc>
          <w:tcPr>
            <w:tcW w:w="2071" w:type="dxa"/>
            <w:tcBorders>
              <w:top w:val="single" w:color="auto" w:sz="4" w:space="0"/>
              <w:left w:val="nil"/>
              <w:bottom w:val="single" w:color="auto" w:sz="4" w:space="0"/>
              <w:right w:val="single" w:color="auto" w:sz="4" w:space="0"/>
            </w:tcBorders>
            <w:noWrap w:val="0"/>
            <w:vAlign w:val="center"/>
          </w:tcPr>
          <w:p w14:paraId="6FA1F636">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中型</w:t>
            </w:r>
          </w:p>
        </w:tc>
        <w:tc>
          <w:tcPr>
            <w:tcW w:w="1836" w:type="dxa"/>
            <w:tcBorders>
              <w:top w:val="single" w:color="auto" w:sz="4" w:space="0"/>
              <w:left w:val="nil"/>
              <w:bottom w:val="single" w:color="auto" w:sz="4" w:space="0"/>
              <w:right w:val="single" w:color="auto" w:sz="4" w:space="0"/>
            </w:tcBorders>
            <w:noWrap w:val="0"/>
            <w:vAlign w:val="center"/>
          </w:tcPr>
          <w:p w14:paraId="5B05BB8A">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小型</w:t>
            </w:r>
          </w:p>
        </w:tc>
        <w:tc>
          <w:tcPr>
            <w:tcW w:w="1203" w:type="dxa"/>
            <w:tcBorders>
              <w:top w:val="single" w:color="auto" w:sz="4" w:space="0"/>
              <w:left w:val="nil"/>
              <w:bottom w:val="single" w:color="auto" w:sz="4" w:space="0"/>
              <w:right w:val="single" w:color="auto" w:sz="4" w:space="0"/>
            </w:tcBorders>
            <w:noWrap w:val="0"/>
            <w:vAlign w:val="center"/>
          </w:tcPr>
          <w:p w14:paraId="6CC752FE">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微型</w:t>
            </w:r>
          </w:p>
        </w:tc>
      </w:tr>
      <w:tr w14:paraId="5BC88A1E">
        <w:tblPrEx>
          <w:tblCellMar>
            <w:top w:w="0" w:type="dxa"/>
            <w:left w:w="108" w:type="dxa"/>
            <w:bottom w:w="0" w:type="dxa"/>
            <w:right w:w="108" w:type="dxa"/>
          </w:tblCellMar>
        </w:tblPrEx>
        <w:trPr>
          <w:trHeight w:val="337" w:hRule="atLeast"/>
          <w:jc w:val="center"/>
        </w:trPr>
        <w:tc>
          <w:tcPr>
            <w:tcW w:w="1550" w:type="dxa"/>
            <w:tcBorders>
              <w:top w:val="nil"/>
              <w:left w:val="single" w:color="auto" w:sz="4" w:space="0"/>
              <w:bottom w:val="single" w:color="auto" w:sz="4" w:space="0"/>
              <w:right w:val="single" w:color="auto" w:sz="4" w:space="0"/>
            </w:tcBorders>
            <w:noWrap w:val="0"/>
            <w:vAlign w:val="center"/>
          </w:tcPr>
          <w:p w14:paraId="0FE9290E">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农、林、牧、渔</w:t>
            </w:r>
          </w:p>
        </w:tc>
        <w:tc>
          <w:tcPr>
            <w:tcW w:w="1915" w:type="dxa"/>
            <w:tcBorders>
              <w:top w:val="nil"/>
              <w:left w:val="nil"/>
              <w:bottom w:val="single" w:color="auto" w:sz="4" w:space="0"/>
              <w:right w:val="single" w:color="auto" w:sz="4" w:space="0"/>
            </w:tcBorders>
            <w:noWrap w:val="0"/>
            <w:vAlign w:val="center"/>
          </w:tcPr>
          <w:p w14:paraId="2ABACDF3">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1B4E55E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7EC4611D">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500≤Y＜20000</w:t>
            </w:r>
          </w:p>
        </w:tc>
        <w:tc>
          <w:tcPr>
            <w:tcW w:w="1836" w:type="dxa"/>
            <w:tcBorders>
              <w:top w:val="nil"/>
              <w:left w:val="nil"/>
              <w:bottom w:val="single" w:color="auto" w:sz="4" w:space="0"/>
              <w:right w:val="single" w:color="auto" w:sz="4" w:space="0"/>
            </w:tcBorders>
            <w:noWrap w:val="0"/>
            <w:vAlign w:val="center"/>
          </w:tcPr>
          <w:p w14:paraId="2295960A">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50≤Y＜500</w:t>
            </w:r>
          </w:p>
        </w:tc>
        <w:tc>
          <w:tcPr>
            <w:tcW w:w="1203" w:type="dxa"/>
            <w:tcBorders>
              <w:top w:val="nil"/>
              <w:left w:val="nil"/>
              <w:bottom w:val="single" w:color="auto" w:sz="4" w:space="0"/>
              <w:right w:val="single" w:color="auto" w:sz="4" w:space="0"/>
            </w:tcBorders>
            <w:noWrap w:val="0"/>
            <w:vAlign w:val="center"/>
          </w:tcPr>
          <w:p w14:paraId="22B1D788">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Y＜50</w:t>
            </w:r>
          </w:p>
        </w:tc>
      </w:tr>
      <w:tr w14:paraId="5C49AA9E">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289D8E5D">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工业</w:t>
            </w:r>
          </w:p>
        </w:tc>
        <w:tc>
          <w:tcPr>
            <w:tcW w:w="1915" w:type="dxa"/>
            <w:tcBorders>
              <w:top w:val="nil"/>
              <w:left w:val="nil"/>
              <w:bottom w:val="single" w:color="auto" w:sz="4" w:space="0"/>
              <w:right w:val="single" w:color="auto" w:sz="4" w:space="0"/>
            </w:tcBorders>
            <w:noWrap w:val="0"/>
            <w:vAlign w:val="center"/>
          </w:tcPr>
          <w:p w14:paraId="115DE316">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12DD83A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708CE18B">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836" w:type="dxa"/>
            <w:tcBorders>
              <w:top w:val="nil"/>
              <w:left w:val="nil"/>
              <w:bottom w:val="single" w:color="auto" w:sz="4" w:space="0"/>
              <w:right w:val="single" w:color="auto" w:sz="4" w:space="0"/>
            </w:tcBorders>
            <w:noWrap w:val="0"/>
            <w:vAlign w:val="center"/>
          </w:tcPr>
          <w:p w14:paraId="419A85D9">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20≤X＜300</w:t>
            </w:r>
          </w:p>
        </w:tc>
        <w:tc>
          <w:tcPr>
            <w:tcW w:w="1203" w:type="dxa"/>
            <w:tcBorders>
              <w:top w:val="nil"/>
              <w:left w:val="nil"/>
              <w:bottom w:val="single" w:color="auto" w:sz="4" w:space="0"/>
              <w:right w:val="single" w:color="auto" w:sz="4" w:space="0"/>
            </w:tcBorders>
            <w:noWrap w:val="0"/>
            <w:vAlign w:val="center"/>
          </w:tcPr>
          <w:p w14:paraId="163E03C3">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64ABEF55">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0997EACC">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004861E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5BDA894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02C68D2B">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2000≤Y＜40000</w:t>
            </w:r>
          </w:p>
        </w:tc>
        <w:tc>
          <w:tcPr>
            <w:tcW w:w="1836" w:type="dxa"/>
            <w:tcBorders>
              <w:top w:val="nil"/>
              <w:left w:val="nil"/>
              <w:bottom w:val="single" w:color="auto" w:sz="4" w:space="0"/>
              <w:right w:val="single" w:color="auto" w:sz="4" w:space="0"/>
            </w:tcBorders>
            <w:noWrap w:val="0"/>
            <w:vAlign w:val="center"/>
          </w:tcPr>
          <w:p w14:paraId="28BEBF89">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300≤Y＜2000</w:t>
            </w:r>
          </w:p>
        </w:tc>
        <w:tc>
          <w:tcPr>
            <w:tcW w:w="1203" w:type="dxa"/>
            <w:tcBorders>
              <w:top w:val="nil"/>
              <w:left w:val="nil"/>
              <w:bottom w:val="single" w:color="auto" w:sz="4" w:space="0"/>
              <w:right w:val="single" w:color="auto" w:sz="4" w:space="0"/>
            </w:tcBorders>
            <w:noWrap w:val="0"/>
            <w:vAlign w:val="center"/>
          </w:tcPr>
          <w:p w14:paraId="6BC57372">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Y＜300</w:t>
            </w:r>
          </w:p>
        </w:tc>
      </w:tr>
      <w:tr w14:paraId="652B5D2C">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02789933">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建筑业</w:t>
            </w:r>
          </w:p>
        </w:tc>
        <w:tc>
          <w:tcPr>
            <w:tcW w:w="1915" w:type="dxa"/>
            <w:tcBorders>
              <w:top w:val="nil"/>
              <w:left w:val="nil"/>
              <w:bottom w:val="single" w:color="auto" w:sz="4" w:space="0"/>
              <w:right w:val="single" w:color="auto" w:sz="4" w:space="0"/>
            </w:tcBorders>
            <w:noWrap w:val="0"/>
            <w:vAlign w:val="center"/>
          </w:tcPr>
          <w:p w14:paraId="5B8BDA4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2A2AD32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22E5A85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6000≤Y＜80000</w:t>
            </w:r>
          </w:p>
        </w:tc>
        <w:tc>
          <w:tcPr>
            <w:tcW w:w="1836" w:type="dxa"/>
            <w:tcBorders>
              <w:top w:val="nil"/>
              <w:left w:val="nil"/>
              <w:bottom w:val="single" w:color="auto" w:sz="4" w:space="0"/>
              <w:right w:val="single" w:color="auto" w:sz="4" w:space="0"/>
            </w:tcBorders>
            <w:noWrap w:val="0"/>
            <w:vAlign w:val="center"/>
          </w:tcPr>
          <w:p w14:paraId="1131D24A">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300≤Y＜6000</w:t>
            </w:r>
          </w:p>
        </w:tc>
        <w:tc>
          <w:tcPr>
            <w:tcW w:w="1203" w:type="dxa"/>
            <w:tcBorders>
              <w:top w:val="nil"/>
              <w:left w:val="nil"/>
              <w:bottom w:val="single" w:color="auto" w:sz="4" w:space="0"/>
              <w:right w:val="single" w:color="auto" w:sz="4" w:space="0"/>
            </w:tcBorders>
            <w:noWrap w:val="0"/>
            <w:vAlign w:val="center"/>
          </w:tcPr>
          <w:p w14:paraId="328F735E">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Y＜300</w:t>
            </w:r>
          </w:p>
        </w:tc>
      </w:tr>
      <w:tr w14:paraId="0B6F1879">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7DB1E5C9">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76D27DFD">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资产总额（Z）</w:t>
            </w:r>
          </w:p>
        </w:tc>
        <w:tc>
          <w:tcPr>
            <w:tcW w:w="961" w:type="dxa"/>
            <w:tcBorders>
              <w:top w:val="nil"/>
              <w:left w:val="nil"/>
              <w:bottom w:val="single" w:color="auto" w:sz="4" w:space="0"/>
              <w:right w:val="single" w:color="auto" w:sz="4" w:space="0"/>
            </w:tcBorders>
            <w:noWrap w:val="0"/>
            <w:vAlign w:val="center"/>
          </w:tcPr>
          <w:p w14:paraId="4FD9145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7A6DB62B">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5000≤Z＜80000</w:t>
            </w:r>
          </w:p>
        </w:tc>
        <w:tc>
          <w:tcPr>
            <w:tcW w:w="1836" w:type="dxa"/>
            <w:tcBorders>
              <w:top w:val="nil"/>
              <w:left w:val="nil"/>
              <w:bottom w:val="single" w:color="auto" w:sz="4" w:space="0"/>
              <w:right w:val="single" w:color="auto" w:sz="4" w:space="0"/>
            </w:tcBorders>
            <w:noWrap w:val="0"/>
            <w:vAlign w:val="center"/>
          </w:tcPr>
          <w:p w14:paraId="66A8F063">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300≤Z＜5000</w:t>
            </w:r>
          </w:p>
        </w:tc>
        <w:tc>
          <w:tcPr>
            <w:tcW w:w="1203" w:type="dxa"/>
            <w:tcBorders>
              <w:top w:val="nil"/>
              <w:left w:val="nil"/>
              <w:bottom w:val="single" w:color="auto" w:sz="4" w:space="0"/>
              <w:right w:val="single" w:color="auto" w:sz="4" w:space="0"/>
            </w:tcBorders>
            <w:noWrap w:val="0"/>
            <w:vAlign w:val="center"/>
          </w:tcPr>
          <w:p w14:paraId="611DD9A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Z＜300</w:t>
            </w:r>
          </w:p>
        </w:tc>
      </w:tr>
      <w:tr w14:paraId="24FBCD53">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5E1503EB">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批发业</w:t>
            </w:r>
          </w:p>
        </w:tc>
        <w:tc>
          <w:tcPr>
            <w:tcW w:w="1915" w:type="dxa"/>
            <w:tcBorders>
              <w:top w:val="nil"/>
              <w:left w:val="nil"/>
              <w:bottom w:val="single" w:color="auto" w:sz="4" w:space="0"/>
              <w:right w:val="single" w:color="auto" w:sz="4" w:space="0"/>
            </w:tcBorders>
            <w:noWrap w:val="0"/>
            <w:vAlign w:val="center"/>
          </w:tcPr>
          <w:p w14:paraId="18B581E9">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2684E07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2A8B2C99">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20≤X＜200</w:t>
            </w:r>
          </w:p>
        </w:tc>
        <w:tc>
          <w:tcPr>
            <w:tcW w:w="1836" w:type="dxa"/>
            <w:tcBorders>
              <w:top w:val="nil"/>
              <w:left w:val="nil"/>
              <w:bottom w:val="single" w:color="auto" w:sz="4" w:space="0"/>
              <w:right w:val="single" w:color="auto" w:sz="4" w:space="0"/>
            </w:tcBorders>
            <w:noWrap w:val="0"/>
            <w:vAlign w:val="center"/>
          </w:tcPr>
          <w:p w14:paraId="45483D19">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5≤X＜20</w:t>
            </w:r>
          </w:p>
        </w:tc>
        <w:tc>
          <w:tcPr>
            <w:tcW w:w="1203" w:type="dxa"/>
            <w:tcBorders>
              <w:top w:val="nil"/>
              <w:left w:val="nil"/>
              <w:bottom w:val="single" w:color="auto" w:sz="4" w:space="0"/>
              <w:right w:val="single" w:color="auto" w:sz="4" w:space="0"/>
            </w:tcBorders>
            <w:noWrap w:val="0"/>
            <w:vAlign w:val="center"/>
          </w:tcPr>
          <w:p w14:paraId="5AE7235F">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X＜5</w:t>
            </w:r>
          </w:p>
        </w:tc>
      </w:tr>
      <w:tr w14:paraId="4DEA072B">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0A23CC67">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62343D6E">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3493AC6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025E8840">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5000≤Y＜40000</w:t>
            </w:r>
          </w:p>
        </w:tc>
        <w:tc>
          <w:tcPr>
            <w:tcW w:w="1836" w:type="dxa"/>
            <w:tcBorders>
              <w:top w:val="nil"/>
              <w:left w:val="nil"/>
              <w:bottom w:val="single" w:color="auto" w:sz="4" w:space="0"/>
              <w:right w:val="single" w:color="auto" w:sz="4" w:space="0"/>
            </w:tcBorders>
            <w:noWrap w:val="0"/>
            <w:vAlign w:val="center"/>
          </w:tcPr>
          <w:p w14:paraId="1B6191BE">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1000≤Y＜5000</w:t>
            </w:r>
          </w:p>
        </w:tc>
        <w:tc>
          <w:tcPr>
            <w:tcW w:w="1203" w:type="dxa"/>
            <w:tcBorders>
              <w:top w:val="nil"/>
              <w:left w:val="nil"/>
              <w:bottom w:val="single" w:color="auto" w:sz="4" w:space="0"/>
              <w:right w:val="single" w:color="auto" w:sz="4" w:space="0"/>
            </w:tcBorders>
            <w:noWrap w:val="0"/>
            <w:vAlign w:val="center"/>
          </w:tcPr>
          <w:p w14:paraId="655FB8C2">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Y＜1000</w:t>
            </w:r>
          </w:p>
        </w:tc>
      </w:tr>
      <w:tr w14:paraId="110D3400">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6BA9A5E6">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零售业</w:t>
            </w:r>
          </w:p>
        </w:tc>
        <w:tc>
          <w:tcPr>
            <w:tcW w:w="1915" w:type="dxa"/>
            <w:tcBorders>
              <w:top w:val="nil"/>
              <w:left w:val="nil"/>
              <w:bottom w:val="single" w:color="auto" w:sz="4" w:space="0"/>
              <w:right w:val="single" w:color="auto" w:sz="4" w:space="0"/>
            </w:tcBorders>
            <w:noWrap w:val="0"/>
            <w:vAlign w:val="center"/>
          </w:tcPr>
          <w:p w14:paraId="33EED1B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293B149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2AA8C9D3">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50≤X＜300</w:t>
            </w:r>
          </w:p>
        </w:tc>
        <w:tc>
          <w:tcPr>
            <w:tcW w:w="1836" w:type="dxa"/>
            <w:tcBorders>
              <w:top w:val="nil"/>
              <w:left w:val="nil"/>
              <w:bottom w:val="single" w:color="auto" w:sz="4" w:space="0"/>
              <w:right w:val="single" w:color="auto" w:sz="4" w:space="0"/>
            </w:tcBorders>
            <w:noWrap w:val="0"/>
            <w:vAlign w:val="center"/>
          </w:tcPr>
          <w:p w14:paraId="414AD12A">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10≤X＜50</w:t>
            </w:r>
          </w:p>
        </w:tc>
        <w:tc>
          <w:tcPr>
            <w:tcW w:w="1203" w:type="dxa"/>
            <w:tcBorders>
              <w:top w:val="nil"/>
              <w:left w:val="nil"/>
              <w:bottom w:val="single" w:color="auto" w:sz="4" w:space="0"/>
              <w:right w:val="single" w:color="auto" w:sz="4" w:space="0"/>
            </w:tcBorders>
            <w:noWrap w:val="0"/>
            <w:vAlign w:val="center"/>
          </w:tcPr>
          <w:p w14:paraId="1FB30F29">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3174FC1F">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0DBD6D5D">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3FBF490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2C18036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41894D7A">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500≤Y＜20000</w:t>
            </w:r>
          </w:p>
        </w:tc>
        <w:tc>
          <w:tcPr>
            <w:tcW w:w="1836" w:type="dxa"/>
            <w:tcBorders>
              <w:top w:val="nil"/>
              <w:left w:val="nil"/>
              <w:bottom w:val="single" w:color="auto" w:sz="4" w:space="0"/>
              <w:right w:val="single" w:color="auto" w:sz="4" w:space="0"/>
            </w:tcBorders>
            <w:noWrap w:val="0"/>
            <w:vAlign w:val="center"/>
          </w:tcPr>
          <w:p w14:paraId="48A8F5EF">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100≤Y＜500</w:t>
            </w:r>
          </w:p>
        </w:tc>
        <w:tc>
          <w:tcPr>
            <w:tcW w:w="1203" w:type="dxa"/>
            <w:tcBorders>
              <w:top w:val="nil"/>
              <w:left w:val="nil"/>
              <w:bottom w:val="single" w:color="auto" w:sz="4" w:space="0"/>
              <w:right w:val="single" w:color="auto" w:sz="4" w:space="0"/>
            </w:tcBorders>
            <w:noWrap w:val="0"/>
            <w:vAlign w:val="center"/>
          </w:tcPr>
          <w:p w14:paraId="7E266AAE">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358483FD">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4413ADFF">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交通运输业</w:t>
            </w:r>
          </w:p>
        </w:tc>
        <w:tc>
          <w:tcPr>
            <w:tcW w:w="1915" w:type="dxa"/>
            <w:tcBorders>
              <w:top w:val="nil"/>
              <w:left w:val="nil"/>
              <w:bottom w:val="single" w:color="auto" w:sz="4" w:space="0"/>
              <w:right w:val="single" w:color="auto" w:sz="4" w:space="0"/>
            </w:tcBorders>
            <w:noWrap w:val="0"/>
            <w:vAlign w:val="center"/>
          </w:tcPr>
          <w:p w14:paraId="593D1874">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1777A54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00ECAC49">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836" w:type="dxa"/>
            <w:tcBorders>
              <w:top w:val="nil"/>
              <w:left w:val="nil"/>
              <w:bottom w:val="single" w:color="auto" w:sz="4" w:space="0"/>
              <w:right w:val="single" w:color="auto" w:sz="4" w:space="0"/>
            </w:tcBorders>
            <w:noWrap w:val="0"/>
            <w:vAlign w:val="center"/>
          </w:tcPr>
          <w:p w14:paraId="6F56B3E1">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20≤X＜300</w:t>
            </w:r>
          </w:p>
        </w:tc>
        <w:tc>
          <w:tcPr>
            <w:tcW w:w="1203" w:type="dxa"/>
            <w:tcBorders>
              <w:top w:val="nil"/>
              <w:left w:val="nil"/>
              <w:bottom w:val="single" w:color="auto" w:sz="4" w:space="0"/>
              <w:right w:val="single" w:color="auto" w:sz="4" w:space="0"/>
            </w:tcBorders>
            <w:noWrap w:val="0"/>
            <w:vAlign w:val="center"/>
          </w:tcPr>
          <w:p w14:paraId="5A722B8A">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47631C15">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4E930228">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11C14E09">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70E9DCE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06802DD1">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3000≤Y＜30000</w:t>
            </w:r>
          </w:p>
        </w:tc>
        <w:tc>
          <w:tcPr>
            <w:tcW w:w="1836" w:type="dxa"/>
            <w:tcBorders>
              <w:top w:val="nil"/>
              <w:left w:val="nil"/>
              <w:bottom w:val="single" w:color="auto" w:sz="4" w:space="0"/>
              <w:right w:val="single" w:color="auto" w:sz="4" w:space="0"/>
            </w:tcBorders>
            <w:noWrap w:val="0"/>
            <w:vAlign w:val="center"/>
          </w:tcPr>
          <w:p w14:paraId="7BFBC0F0">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200≤Y＜3000</w:t>
            </w:r>
          </w:p>
        </w:tc>
        <w:tc>
          <w:tcPr>
            <w:tcW w:w="1203" w:type="dxa"/>
            <w:tcBorders>
              <w:top w:val="nil"/>
              <w:left w:val="nil"/>
              <w:bottom w:val="single" w:color="auto" w:sz="4" w:space="0"/>
              <w:right w:val="single" w:color="auto" w:sz="4" w:space="0"/>
            </w:tcBorders>
            <w:noWrap w:val="0"/>
            <w:vAlign w:val="center"/>
          </w:tcPr>
          <w:p w14:paraId="4D2F8926">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Y＜200</w:t>
            </w:r>
          </w:p>
        </w:tc>
      </w:tr>
      <w:tr w14:paraId="6B2E185B">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3BD0B0B4">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仓储业</w:t>
            </w:r>
          </w:p>
        </w:tc>
        <w:tc>
          <w:tcPr>
            <w:tcW w:w="1915" w:type="dxa"/>
            <w:tcBorders>
              <w:top w:val="nil"/>
              <w:left w:val="nil"/>
              <w:bottom w:val="single" w:color="auto" w:sz="4" w:space="0"/>
              <w:right w:val="single" w:color="auto" w:sz="4" w:space="0"/>
            </w:tcBorders>
            <w:noWrap w:val="0"/>
            <w:vAlign w:val="center"/>
          </w:tcPr>
          <w:p w14:paraId="22D5A0F3">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78D71EA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2D3784FB">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100≤X＜200</w:t>
            </w:r>
          </w:p>
        </w:tc>
        <w:tc>
          <w:tcPr>
            <w:tcW w:w="1836" w:type="dxa"/>
            <w:tcBorders>
              <w:top w:val="nil"/>
              <w:left w:val="nil"/>
              <w:bottom w:val="single" w:color="auto" w:sz="4" w:space="0"/>
              <w:right w:val="single" w:color="auto" w:sz="4" w:space="0"/>
            </w:tcBorders>
            <w:noWrap w:val="0"/>
            <w:vAlign w:val="center"/>
          </w:tcPr>
          <w:p w14:paraId="72E036AA">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20≤X＜100</w:t>
            </w:r>
          </w:p>
        </w:tc>
        <w:tc>
          <w:tcPr>
            <w:tcW w:w="1203" w:type="dxa"/>
            <w:tcBorders>
              <w:top w:val="nil"/>
              <w:left w:val="nil"/>
              <w:bottom w:val="single" w:color="auto" w:sz="4" w:space="0"/>
              <w:right w:val="single" w:color="auto" w:sz="4" w:space="0"/>
            </w:tcBorders>
            <w:noWrap w:val="0"/>
            <w:vAlign w:val="center"/>
          </w:tcPr>
          <w:p w14:paraId="0862717D">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0E6BA9C8">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4628915A">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1C8A2276">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2F01924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163060C1">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1000≤Y＜30000</w:t>
            </w:r>
          </w:p>
        </w:tc>
        <w:tc>
          <w:tcPr>
            <w:tcW w:w="1836" w:type="dxa"/>
            <w:tcBorders>
              <w:top w:val="nil"/>
              <w:left w:val="nil"/>
              <w:bottom w:val="single" w:color="auto" w:sz="4" w:space="0"/>
              <w:right w:val="single" w:color="auto" w:sz="4" w:space="0"/>
            </w:tcBorders>
            <w:noWrap w:val="0"/>
            <w:vAlign w:val="center"/>
          </w:tcPr>
          <w:p w14:paraId="2D50258E">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100≤Y＜1000</w:t>
            </w:r>
          </w:p>
        </w:tc>
        <w:tc>
          <w:tcPr>
            <w:tcW w:w="1203" w:type="dxa"/>
            <w:tcBorders>
              <w:top w:val="nil"/>
              <w:left w:val="nil"/>
              <w:bottom w:val="single" w:color="auto" w:sz="4" w:space="0"/>
              <w:right w:val="single" w:color="auto" w:sz="4" w:space="0"/>
            </w:tcBorders>
            <w:noWrap w:val="0"/>
            <w:vAlign w:val="center"/>
          </w:tcPr>
          <w:p w14:paraId="386C226C">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597E7293">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0306D665">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邮政业</w:t>
            </w:r>
          </w:p>
        </w:tc>
        <w:tc>
          <w:tcPr>
            <w:tcW w:w="1915" w:type="dxa"/>
            <w:tcBorders>
              <w:top w:val="nil"/>
              <w:left w:val="nil"/>
              <w:bottom w:val="single" w:color="auto" w:sz="4" w:space="0"/>
              <w:right w:val="single" w:color="auto" w:sz="4" w:space="0"/>
            </w:tcBorders>
            <w:noWrap w:val="0"/>
            <w:vAlign w:val="center"/>
          </w:tcPr>
          <w:p w14:paraId="40276F5F">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623F135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193920B1">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836" w:type="dxa"/>
            <w:tcBorders>
              <w:top w:val="nil"/>
              <w:left w:val="nil"/>
              <w:bottom w:val="single" w:color="auto" w:sz="4" w:space="0"/>
              <w:right w:val="single" w:color="auto" w:sz="4" w:space="0"/>
            </w:tcBorders>
            <w:noWrap w:val="0"/>
            <w:vAlign w:val="center"/>
          </w:tcPr>
          <w:p w14:paraId="362D4B3B">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20≤X＜300</w:t>
            </w:r>
          </w:p>
        </w:tc>
        <w:tc>
          <w:tcPr>
            <w:tcW w:w="1203" w:type="dxa"/>
            <w:tcBorders>
              <w:top w:val="nil"/>
              <w:left w:val="nil"/>
              <w:bottom w:val="single" w:color="auto" w:sz="4" w:space="0"/>
              <w:right w:val="single" w:color="auto" w:sz="4" w:space="0"/>
            </w:tcBorders>
            <w:noWrap w:val="0"/>
            <w:vAlign w:val="center"/>
          </w:tcPr>
          <w:p w14:paraId="65E74B3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67FC0E09">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66856D19">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454159FC">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12A97C8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249C690C">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2000≤Y＜30000</w:t>
            </w:r>
          </w:p>
        </w:tc>
        <w:tc>
          <w:tcPr>
            <w:tcW w:w="1836" w:type="dxa"/>
            <w:tcBorders>
              <w:top w:val="nil"/>
              <w:left w:val="nil"/>
              <w:bottom w:val="single" w:color="auto" w:sz="4" w:space="0"/>
              <w:right w:val="single" w:color="auto" w:sz="4" w:space="0"/>
            </w:tcBorders>
            <w:noWrap w:val="0"/>
            <w:vAlign w:val="center"/>
          </w:tcPr>
          <w:p w14:paraId="215395EC">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100≤Y＜2000</w:t>
            </w:r>
          </w:p>
        </w:tc>
        <w:tc>
          <w:tcPr>
            <w:tcW w:w="1203" w:type="dxa"/>
            <w:tcBorders>
              <w:top w:val="nil"/>
              <w:left w:val="nil"/>
              <w:bottom w:val="single" w:color="auto" w:sz="4" w:space="0"/>
              <w:right w:val="single" w:color="auto" w:sz="4" w:space="0"/>
            </w:tcBorders>
            <w:noWrap w:val="0"/>
            <w:vAlign w:val="center"/>
          </w:tcPr>
          <w:p w14:paraId="6977671E">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64C1FB37">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2F0FF812">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住宿业</w:t>
            </w:r>
          </w:p>
        </w:tc>
        <w:tc>
          <w:tcPr>
            <w:tcW w:w="1915" w:type="dxa"/>
            <w:tcBorders>
              <w:top w:val="nil"/>
              <w:left w:val="nil"/>
              <w:bottom w:val="single" w:color="auto" w:sz="4" w:space="0"/>
              <w:right w:val="single" w:color="auto" w:sz="4" w:space="0"/>
            </w:tcBorders>
            <w:noWrap w:val="0"/>
            <w:vAlign w:val="center"/>
          </w:tcPr>
          <w:p w14:paraId="461BE67C">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1A0E8D3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7AECF584">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836" w:type="dxa"/>
            <w:tcBorders>
              <w:top w:val="nil"/>
              <w:left w:val="nil"/>
              <w:bottom w:val="single" w:color="auto" w:sz="4" w:space="0"/>
              <w:right w:val="single" w:color="auto" w:sz="4" w:space="0"/>
            </w:tcBorders>
            <w:noWrap w:val="0"/>
            <w:vAlign w:val="center"/>
          </w:tcPr>
          <w:p w14:paraId="64E6CAF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203" w:type="dxa"/>
            <w:tcBorders>
              <w:top w:val="nil"/>
              <w:left w:val="nil"/>
              <w:bottom w:val="single" w:color="auto" w:sz="4" w:space="0"/>
              <w:right w:val="single" w:color="auto" w:sz="4" w:space="0"/>
            </w:tcBorders>
            <w:noWrap w:val="0"/>
            <w:vAlign w:val="center"/>
          </w:tcPr>
          <w:p w14:paraId="4412EC8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75199628">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30193B50">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3A1B2CB5">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3F5C7BB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3B4D1826">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2000≤Y＜10000</w:t>
            </w:r>
          </w:p>
        </w:tc>
        <w:tc>
          <w:tcPr>
            <w:tcW w:w="1836" w:type="dxa"/>
            <w:tcBorders>
              <w:top w:val="nil"/>
              <w:left w:val="nil"/>
              <w:bottom w:val="single" w:color="auto" w:sz="4" w:space="0"/>
              <w:right w:val="single" w:color="auto" w:sz="4" w:space="0"/>
            </w:tcBorders>
            <w:noWrap w:val="0"/>
            <w:vAlign w:val="center"/>
          </w:tcPr>
          <w:p w14:paraId="1C77334B">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100≤Y＜2000</w:t>
            </w:r>
          </w:p>
        </w:tc>
        <w:tc>
          <w:tcPr>
            <w:tcW w:w="1203" w:type="dxa"/>
            <w:tcBorders>
              <w:top w:val="nil"/>
              <w:left w:val="nil"/>
              <w:bottom w:val="single" w:color="auto" w:sz="4" w:space="0"/>
              <w:right w:val="single" w:color="auto" w:sz="4" w:space="0"/>
            </w:tcBorders>
            <w:noWrap w:val="0"/>
            <w:vAlign w:val="center"/>
          </w:tcPr>
          <w:p w14:paraId="607682FF">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0BD4B8F6">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40832019">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餐饮业</w:t>
            </w:r>
          </w:p>
        </w:tc>
        <w:tc>
          <w:tcPr>
            <w:tcW w:w="1915" w:type="dxa"/>
            <w:tcBorders>
              <w:top w:val="nil"/>
              <w:left w:val="nil"/>
              <w:bottom w:val="single" w:color="auto" w:sz="4" w:space="0"/>
              <w:right w:val="single" w:color="auto" w:sz="4" w:space="0"/>
            </w:tcBorders>
            <w:noWrap w:val="0"/>
            <w:vAlign w:val="center"/>
          </w:tcPr>
          <w:p w14:paraId="60A9AB8A">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13AA3EF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71D8FCB6">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836" w:type="dxa"/>
            <w:tcBorders>
              <w:top w:val="nil"/>
              <w:left w:val="nil"/>
              <w:bottom w:val="single" w:color="auto" w:sz="4" w:space="0"/>
              <w:right w:val="single" w:color="auto" w:sz="4" w:space="0"/>
            </w:tcBorders>
            <w:noWrap w:val="0"/>
            <w:vAlign w:val="center"/>
          </w:tcPr>
          <w:p w14:paraId="27B58A6B">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203" w:type="dxa"/>
            <w:tcBorders>
              <w:top w:val="nil"/>
              <w:left w:val="nil"/>
              <w:bottom w:val="single" w:color="auto" w:sz="4" w:space="0"/>
              <w:right w:val="single" w:color="auto" w:sz="4" w:space="0"/>
            </w:tcBorders>
            <w:noWrap w:val="0"/>
            <w:vAlign w:val="center"/>
          </w:tcPr>
          <w:p w14:paraId="7E61E432">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23306884">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47B47229">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55DDC5ED">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2FDE89C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26E2E5E2">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2000≤Y＜10000</w:t>
            </w:r>
          </w:p>
        </w:tc>
        <w:tc>
          <w:tcPr>
            <w:tcW w:w="1836" w:type="dxa"/>
            <w:tcBorders>
              <w:top w:val="nil"/>
              <w:left w:val="nil"/>
              <w:bottom w:val="single" w:color="auto" w:sz="4" w:space="0"/>
              <w:right w:val="single" w:color="auto" w:sz="4" w:space="0"/>
            </w:tcBorders>
            <w:noWrap w:val="0"/>
            <w:vAlign w:val="center"/>
          </w:tcPr>
          <w:p w14:paraId="6B70977C">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100≤Y＜2000</w:t>
            </w:r>
          </w:p>
        </w:tc>
        <w:tc>
          <w:tcPr>
            <w:tcW w:w="1203" w:type="dxa"/>
            <w:tcBorders>
              <w:top w:val="nil"/>
              <w:left w:val="nil"/>
              <w:bottom w:val="single" w:color="auto" w:sz="4" w:space="0"/>
              <w:right w:val="single" w:color="auto" w:sz="4" w:space="0"/>
            </w:tcBorders>
            <w:noWrap w:val="0"/>
            <w:vAlign w:val="center"/>
          </w:tcPr>
          <w:p w14:paraId="5666DC3A">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0F371A2C">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24A05E99">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信息传输业</w:t>
            </w:r>
          </w:p>
        </w:tc>
        <w:tc>
          <w:tcPr>
            <w:tcW w:w="1915" w:type="dxa"/>
            <w:tcBorders>
              <w:top w:val="nil"/>
              <w:left w:val="nil"/>
              <w:bottom w:val="single" w:color="auto" w:sz="4" w:space="0"/>
              <w:right w:val="single" w:color="auto" w:sz="4" w:space="0"/>
            </w:tcBorders>
            <w:noWrap w:val="0"/>
            <w:vAlign w:val="center"/>
          </w:tcPr>
          <w:p w14:paraId="3D44F89F">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4640BB0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6FD31EF3">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100≤X＜2000</w:t>
            </w:r>
          </w:p>
        </w:tc>
        <w:tc>
          <w:tcPr>
            <w:tcW w:w="1836" w:type="dxa"/>
            <w:tcBorders>
              <w:top w:val="nil"/>
              <w:left w:val="nil"/>
              <w:bottom w:val="single" w:color="auto" w:sz="4" w:space="0"/>
              <w:right w:val="single" w:color="auto" w:sz="4" w:space="0"/>
            </w:tcBorders>
            <w:noWrap w:val="0"/>
            <w:vAlign w:val="center"/>
          </w:tcPr>
          <w:p w14:paraId="79356FE0">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203" w:type="dxa"/>
            <w:tcBorders>
              <w:top w:val="nil"/>
              <w:left w:val="nil"/>
              <w:bottom w:val="single" w:color="auto" w:sz="4" w:space="0"/>
              <w:right w:val="single" w:color="auto" w:sz="4" w:space="0"/>
            </w:tcBorders>
            <w:noWrap w:val="0"/>
            <w:vAlign w:val="center"/>
          </w:tcPr>
          <w:p w14:paraId="1558816D">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47541AD2">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61E0426D">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53DD8499">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6F44474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4D0BD9B1">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1000≤Y＜100000</w:t>
            </w:r>
          </w:p>
        </w:tc>
        <w:tc>
          <w:tcPr>
            <w:tcW w:w="1836" w:type="dxa"/>
            <w:tcBorders>
              <w:top w:val="nil"/>
              <w:left w:val="nil"/>
              <w:bottom w:val="single" w:color="auto" w:sz="4" w:space="0"/>
              <w:right w:val="single" w:color="auto" w:sz="4" w:space="0"/>
            </w:tcBorders>
            <w:noWrap w:val="0"/>
            <w:vAlign w:val="center"/>
          </w:tcPr>
          <w:p w14:paraId="724DBD4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100≤Y＜1000</w:t>
            </w:r>
          </w:p>
        </w:tc>
        <w:tc>
          <w:tcPr>
            <w:tcW w:w="1203" w:type="dxa"/>
            <w:tcBorders>
              <w:top w:val="nil"/>
              <w:left w:val="nil"/>
              <w:bottom w:val="single" w:color="auto" w:sz="4" w:space="0"/>
              <w:right w:val="single" w:color="auto" w:sz="4" w:space="0"/>
            </w:tcBorders>
            <w:noWrap w:val="0"/>
            <w:vAlign w:val="center"/>
          </w:tcPr>
          <w:p w14:paraId="6A728136">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05C9865C">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0B61BFF1">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软件和信息技术服务业</w:t>
            </w:r>
          </w:p>
        </w:tc>
        <w:tc>
          <w:tcPr>
            <w:tcW w:w="1915" w:type="dxa"/>
            <w:tcBorders>
              <w:top w:val="nil"/>
              <w:left w:val="nil"/>
              <w:bottom w:val="single" w:color="auto" w:sz="4" w:space="0"/>
              <w:right w:val="single" w:color="auto" w:sz="4" w:space="0"/>
            </w:tcBorders>
            <w:noWrap w:val="0"/>
            <w:vAlign w:val="center"/>
          </w:tcPr>
          <w:p w14:paraId="6E646CD5">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255F8B1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0D79804C">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836" w:type="dxa"/>
            <w:tcBorders>
              <w:top w:val="nil"/>
              <w:left w:val="nil"/>
              <w:bottom w:val="single" w:color="auto" w:sz="4" w:space="0"/>
              <w:right w:val="single" w:color="auto" w:sz="4" w:space="0"/>
            </w:tcBorders>
            <w:noWrap w:val="0"/>
            <w:vAlign w:val="center"/>
          </w:tcPr>
          <w:p w14:paraId="097BD841">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203" w:type="dxa"/>
            <w:tcBorders>
              <w:top w:val="nil"/>
              <w:left w:val="nil"/>
              <w:bottom w:val="single" w:color="auto" w:sz="4" w:space="0"/>
              <w:right w:val="single" w:color="auto" w:sz="4" w:space="0"/>
            </w:tcBorders>
            <w:noWrap w:val="0"/>
            <w:vAlign w:val="center"/>
          </w:tcPr>
          <w:p w14:paraId="7DCB1B70">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1CC6F2E6">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452E0126">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7F6D6842">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5585592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07733AB8">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1000≤Y＜10000</w:t>
            </w:r>
          </w:p>
        </w:tc>
        <w:tc>
          <w:tcPr>
            <w:tcW w:w="1836" w:type="dxa"/>
            <w:tcBorders>
              <w:top w:val="nil"/>
              <w:left w:val="nil"/>
              <w:bottom w:val="single" w:color="auto" w:sz="4" w:space="0"/>
              <w:right w:val="single" w:color="auto" w:sz="4" w:space="0"/>
            </w:tcBorders>
            <w:noWrap w:val="0"/>
            <w:vAlign w:val="center"/>
          </w:tcPr>
          <w:p w14:paraId="26E528EB">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50≤Y＜1000</w:t>
            </w:r>
          </w:p>
        </w:tc>
        <w:tc>
          <w:tcPr>
            <w:tcW w:w="1203" w:type="dxa"/>
            <w:tcBorders>
              <w:top w:val="nil"/>
              <w:left w:val="nil"/>
              <w:bottom w:val="single" w:color="auto" w:sz="4" w:space="0"/>
              <w:right w:val="single" w:color="auto" w:sz="4" w:space="0"/>
            </w:tcBorders>
            <w:noWrap w:val="0"/>
            <w:vAlign w:val="center"/>
          </w:tcPr>
          <w:p w14:paraId="6B3EEF7A">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Y＜50</w:t>
            </w:r>
          </w:p>
        </w:tc>
      </w:tr>
      <w:tr w14:paraId="6980BC9A">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5563C7EF">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房地产开发经营</w:t>
            </w:r>
          </w:p>
        </w:tc>
        <w:tc>
          <w:tcPr>
            <w:tcW w:w="1915" w:type="dxa"/>
            <w:tcBorders>
              <w:top w:val="nil"/>
              <w:left w:val="nil"/>
              <w:bottom w:val="single" w:color="auto" w:sz="4" w:space="0"/>
              <w:right w:val="single" w:color="auto" w:sz="4" w:space="0"/>
            </w:tcBorders>
            <w:noWrap w:val="0"/>
            <w:vAlign w:val="center"/>
          </w:tcPr>
          <w:p w14:paraId="50CD31D6">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6CA5B58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13B4BD34">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1000≤Y＜200000</w:t>
            </w:r>
          </w:p>
        </w:tc>
        <w:tc>
          <w:tcPr>
            <w:tcW w:w="1836" w:type="dxa"/>
            <w:tcBorders>
              <w:top w:val="nil"/>
              <w:left w:val="nil"/>
              <w:bottom w:val="single" w:color="auto" w:sz="4" w:space="0"/>
              <w:right w:val="single" w:color="auto" w:sz="4" w:space="0"/>
            </w:tcBorders>
            <w:noWrap w:val="0"/>
            <w:vAlign w:val="center"/>
          </w:tcPr>
          <w:p w14:paraId="1562A0DC">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100≤X＜1000</w:t>
            </w:r>
          </w:p>
        </w:tc>
        <w:tc>
          <w:tcPr>
            <w:tcW w:w="1203" w:type="dxa"/>
            <w:tcBorders>
              <w:top w:val="nil"/>
              <w:left w:val="nil"/>
              <w:bottom w:val="single" w:color="auto" w:sz="4" w:space="0"/>
              <w:right w:val="single" w:color="auto" w:sz="4" w:space="0"/>
            </w:tcBorders>
            <w:noWrap w:val="0"/>
            <w:vAlign w:val="center"/>
          </w:tcPr>
          <w:p w14:paraId="26BA1A93">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X＜100</w:t>
            </w:r>
          </w:p>
        </w:tc>
      </w:tr>
      <w:tr w14:paraId="4EAA679D">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6D94A82C">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6B57AFA1">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资产总额（Z）</w:t>
            </w:r>
          </w:p>
        </w:tc>
        <w:tc>
          <w:tcPr>
            <w:tcW w:w="961" w:type="dxa"/>
            <w:tcBorders>
              <w:top w:val="nil"/>
              <w:left w:val="nil"/>
              <w:bottom w:val="single" w:color="auto" w:sz="4" w:space="0"/>
              <w:right w:val="single" w:color="auto" w:sz="4" w:space="0"/>
            </w:tcBorders>
            <w:noWrap w:val="0"/>
            <w:vAlign w:val="center"/>
          </w:tcPr>
          <w:p w14:paraId="5FF42C1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2887CAF4">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5000≤Z＜10000</w:t>
            </w:r>
          </w:p>
        </w:tc>
        <w:tc>
          <w:tcPr>
            <w:tcW w:w="1836" w:type="dxa"/>
            <w:tcBorders>
              <w:top w:val="nil"/>
              <w:left w:val="nil"/>
              <w:bottom w:val="single" w:color="auto" w:sz="4" w:space="0"/>
              <w:right w:val="single" w:color="auto" w:sz="4" w:space="0"/>
            </w:tcBorders>
            <w:noWrap w:val="0"/>
            <w:vAlign w:val="center"/>
          </w:tcPr>
          <w:p w14:paraId="03A720C1">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2000≤Y＜5000</w:t>
            </w:r>
          </w:p>
        </w:tc>
        <w:tc>
          <w:tcPr>
            <w:tcW w:w="1203" w:type="dxa"/>
            <w:tcBorders>
              <w:top w:val="nil"/>
              <w:left w:val="nil"/>
              <w:bottom w:val="single" w:color="auto" w:sz="4" w:space="0"/>
              <w:right w:val="single" w:color="auto" w:sz="4" w:space="0"/>
            </w:tcBorders>
            <w:noWrap w:val="0"/>
            <w:vAlign w:val="center"/>
          </w:tcPr>
          <w:p w14:paraId="659B713E">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Y＜2000</w:t>
            </w:r>
          </w:p>
        </w:tc>
      </w:tr>
      <w:tr w14:paraId="01253B9B">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79AE492A">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物业管理</w:t>
            </w:r>
          </w:p>
        </w:tc>
        <w:tc>
          <w:tcPr>
            <w:tcW w:w="1915" w:type="dxa"/>
            <w:tcBorders>
              <w:top w:val="nil"/>
              <w:left w:val="nil"/>
              <w:bottom w:val="single" w:color="auto" w:sz="4" w:space="0"/>
              <w:right w:val="single" w:color="auto" w:sz="4" w:space="0"/>
            </w:tcBorders>
            <w:noWrap w:val="0"/>
            <w:vAlign w:val="center"/>
          </w:tcPr>
          <w:p w14:paraId="65E2553A">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4BB48FB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3968CD79">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836" w:type="dxa"/>
            <w:tcBorders>
              <w:top w:val="nil"/>
              <w:left w:val="nil"/>
              <w:bottom w:val="single" w:color="auto" w:sz="4" w:space="0"/>
              <w:right w:val="single" w:color="auto" w:sz="4" w:space="0"/>
            </w:tcBorders>
            <w:noWrap w:val="0"/>
            <w:vAlign w:val="center"/>
          </w:tcPr>
          <w:p w14:paraId="636764B1">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203" w:type="dxa"/>
            <w:tcBorders>
              <w:top w:val="nil"/>
              <w:left w:val="nil"/>
              <w:bottom w:val="single" w:color="auto" w:sz="4" w:space="0"/>
              <w:right w:val="single" w:color="auto" w:sz="4" w:space="0"/>
            </w:tcBorders>
            <w:noWrap w:val="0"/>
            <w:vAlign w:val="center"/>
          </w:tcPr>
          <w:p w14:paraId="7D92AFB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X＜100</w:t>
            </w:r>
          </w:p>
        </w:tc>
      </w:tr>
      <w:tr w14:paraId="5D722870">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65DE5B18">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605E9AB0">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4FFFA5F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5E9CCED5">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1000≤Y＜5000</w:t>
            </w:r>
          </w:p>
        </w:tc>
        <w:tc>
          <w:tcPr>
            <w:tcW w:w="1836" w:type="dxa"/>
            <w:tcBorders>
              <w:top w:val="nil"/>
              <w:left w:val="nil"/>
              <w:bottom w:val="single" w:color="auto" w:sz="4" w:space="0"/>
              <w:right w:val="single" w:color="auto" w:sz="4" w:space="0"/>
            </w:tcBorders>
            <w:noWrap w:val="0"/>
            <w:vAlign w:val="center"/>
          </w:tcPr>
          <w:p w14:paraId="080CEC99">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500≤Y＜1000</w:t>
            </w:r>
          </w:p>
        </w:tc>
        <w:tc>
          <w:tcPr>
            <w:tcW w:w="1203" w:type="dxa"/>
            <w:tcBorders>
              <w:top w:val="nil"/>
              <w:left w:val="nil"/>
              <w:bottom w:val="single" w:color="auto" w:sz="4" w:space="0"/>
              <w:right w:val="single" w:color="auto" w:sz="4" w:space="0"/>
            </w:tcBorders>
            <w:noWrap w:val="0"/>
            <w:vAlign w:val="center"/>
          </w:tcPr>
          <w:p w14:paraId="7396E558">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Y＜500</w:t>
            </w:r>
          </w:p>
        </w:tc>
      </w:tr>
      <w:tr w14:paraId="7971DCD7">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3FC14EF7">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租赁和商务服务业</w:t>
            </w:r>
          </w:p>
        </w:tc>
        <w:tc>
          <w:tcPr>
            <w:tcW w:w="1915" w:type="dxa"/>
            <w:tcBorders>
              <w:top w:val="nil"/>
              <w:left w:val="nil"/>
              <w:bottom w:val="single" w:color="auto" w:sz="4" w:space="0"/>
              <w:right w:val="single" w:color="auto" w:sz="4" w:space="0"/>
            </w:tcBorders>
            <w:noWrap w:val="0"/>
            <w:vAlign w:val="center"/>
          </w:tcPr>
          <w:p w14:paraId="0CD9C665">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25E704C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6B01BC2A">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836" w:type="dxa"/>
            <w:tcBorders>
              <w:top w:val="nil"/>
              <w:left w:val="nil"/>
              <w:bottom w:val="single" w:color="auto" w:sz="4" w:space="0"/>
              <w:right w:val="single" w:color="auto" w:sz="4" w:space="0"/>
            </w:tcBorders>
            <w:noWrap w:val="0"/>
            <w:vAlign w:val="center"/>
          </w:tcPr>
          <w:p w14:paraId="0C85C38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203" w:type="dxa"/>
            <w:tcBorders>
              <w:top w:val="nil"/>
              <w:left w:val="nil"/>
              <w:bottom w:val="single" w:color="auto" w:sz="4" w:space="0"/>
              <w:right w:val="single" w:color="auto" w:sz="4" w:space="0"/>
            </w:tcBorders>
            <w:noWrap w:val="0"/>
            <w:vAlign w:val="center"/>
          </w:tcPr>
          <w:p w14:paraId="3453EAB4">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04DAA300">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32E36543">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6D76343C">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资产总额（Z）</w:t>
            </w:r>
          </w:p>
        </w:tc>
        <w:tc>
          <w:tcPr>
            <w:tcW w:w="961" w:type="dxa"/>
            <w:tcBorders>
              <w:top w:val="nil"/>
              <w:left w:val="nil"/>
              <w:bottom w:val="single" w:color="auto" w:sz="4" w:space="0"/>
              <w:right w:val="single" w:color="auto" w:sz="4" w:space="0"/>
            </w:tcBorders>
            <w:noWrap w:val="0"/>
            <w:vAlign w:val="center"/>
          </w:tcPr>
          <w:p w14:paraId="4F26ECD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358A0AF4">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8000≤Z＜120000</w:t>
            </w:r>
          </w:p>
        </w:tc>
        <w:tc>
          <w:tcPr>
            <w:tcW w:w="1836" w:type="dxa"/>
            <w:tcBorders>
              <w:top w:val="nil"/>
              <w:left w:val="nil"/>
              <w:bottom w:val="single" w:color="auto" w:sz="4" w:space="0"/>
              <w:right w:val="single" w:color="auto" w:sz="4" w:space="0"/>
            </w:tcBorders>
            <w:noWrap w:val="0"/>
            <w:vAlign w:val="center"/>
          </w:tcPr>
          <w:p w14:paraId="4D823641">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100≤Z＜8000</w:t>
            </w:r>
          </w:p>
        </w:tc>
        <w:tc>
          <w:tcPr>
            <w:tcW w:w="1203" w:type="dxa"/>
            <w:tcBorders>
              <w:top w:val="nil"/>
              <w:left w:val="nil"/>
              <w:bottom w:val="single" w:color="auto" w:sz="4" w:space="0"/>
              <w:right w:val="single" w:color="auto" w:sz="4" w:space="0"/>
            </w:tcBorders>
            <w:noWrap w:val="0"/>
            <w:vAlign w:val="center"/>
          </w:tcPr>
          <w:p w14:paraId="7076779D">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4FBF288A">
        <w:tblPrEx>
          <w:tblCellMar>
            <w:top w:w="0" w:type="dxa"/>
            <w:left w:w="108" w:type="dxa"/>
            <w:bottom w:w="0" w:type="dxa"/>
            <w:right w:w="108" w:type="dxa"/>
          </w:tblCellMar>
        </w:tblPrEx>
        <w:trPr>
          <w:trHeight w:val="359" w:hRule="atLeast"/>
          <w:jc w:val="center"/>
        </w:trPr>
        <w:tc>
          <w:tcPr>
            <w:tcW w:w="1550" w:type="dxa"/>
            <w:tcBorders>
              <w:top w:val="nil"/>
              <w:left w:val="single" w:color="auto" w:sz="4" w:space="0"/>
              <w:bottom w:val="single" w:color="auto" w:sz="4" w:space="0"/>
              <w:right w:val="single" w:color="auto" w:sz="4" w:space="0"/>
            </w:tcBorders>
            <w:noWrap w:val="0"/>
            <w:vAlign w:val="center"/>
          </w:tcPr>
          <w:p w14:paraId="6230C637">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其他未列明行业</w:t>
            </w:r>
          </w:p>
        </w:tc>
        <w:tc>
          <w:tcPr>
            <w:tcW w:w="1915" w:type="dxa"/>
            <w:tcBorders>
              <w:top w:val="nil"/>
              <w:left w:val="nil"/>
              <w:bottom w:val="single" w:color="auto" w:sz="4" w:space="0"/>
              <w:right w:val="single" w:color="auto" w:sz="4" w:space="0"/>
            </w:tcBorders>
            <w:noWrap w:val="0"/>
            <w:vAlign w:val="center"/>
          </w:tcPr>
          <w:p w14:paraId="15B36F1F">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77304B6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6028CB73">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836" w:type="dxa"/>
            <w:tcBorders>
              <w:top w:val="nil"/>
              <w:left w:val="nil"/>
              <w:bottom w:val="single" w:color="auto" w:sz="4" w:space="0"/>
              <w:right w:val="single" w:color="auto" w:sz="4" w:space="0"/>
            </w:tcBorders>
            <w:noWrap w:val="0"/>
            <w:vAlign w:val="center"/>
          </w:tcPr>
          <w:p w14:paraId="204F2B21">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203" w:type="dxa"/>
            <w:tcBorders>
              <w:top w:val="nil"/>
              <w:left w:val="nil"/>
              <w:bottom w:val="single" w:color="auto" w:sz="4" w:space="0"/>
              <w:right w:val="single" w:color="auto" w:sz="4" w:space="0"/>
            </w:tcBorders>
            <w:noWrap w:val="0"/>
            <w:vAlign w:val="center"/>
          </w:tcPr>
          <w:p w14:paraId="5656FA20">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bl>
    <w:p w14:paraId="22EAD57D">
      <w:pPr>
        <w:spacing w:line="5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72103CF8">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kern w:val="2"/>
          <w:sz w:val="24"/>
          <w:highlight w:val="none"/>
          <w:lang w:val="zh-CN"/>
        </w:rPr>
        <w:br w:type="page"/>
      </w:r>
      <w:r>
        <w:rPr>
          <w:rFonts w:hint="eastAsia" w:ascii="宋体" w:hAnsi="宋体" w:eastAsia="宋体" w:cs="宋体"/>
          <w:b/>
          <w:bCs/>
          <w:color w:val="auto"/>
          <w:sz w:val="30"/>
          <w:szCs w:val="30"/>
          <w:highlight w:val="none"/>
        </w:rPr>
        <w:t>残疾人福利性单位声明函</w:t>
      </w:r>
    </w:p>
    <w:p w14:paraId="1B028CE5">
      <w:pPr>
        <w:spacing w:line="520" w:lineRule="exact"/>
        <w:rPr>
          <w:rFonts w:hint="eastAsia" w:ascii="宋体" w:hAnsi="宋体" w:eastAsia="宋体" w:cs="宋体"/>
          <w:color w:val="auto"/>
          <w:sz w:val="32"/>
          <w:szCs w:val="32"/>
          <w:highlight w:val="none"/>
        </w:rPr>
      </w:pPr>
    </w:p>
    <w:p w14:paraId="15ECC5C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项目采购活动由本单位提供服务。</w:t>
      </w:r>
    </w:p>
    <w:p w14:paraId="4D6CFB0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303B99CC">
      <w:pPr>
        <w:spacing w:line="360" w:lineRule="auto"/>
        <w:contextualSpacing/>
        <w:rPr>
          <w:rFonts w:hint="eastAsia" w:ascii="宋体" w:hAnsi="宋体" w:eastAsia="宋体" w:cs="宋体"/>
          <w:color w:val="auto"/>
          <w:sz w:val="24"/>
          <w:highlight w:val="none"/>
        </w:rPr>
      </w:pPr>
    </w:p>
    <w:p w14:paraId="2544E732">
      <w:pPr>
        <w:spacing w:line="360" w:lineRule="auto"/>
        <w:contextualSpacing/>
        <w:rPr>
          <w:rFonts w:hint="eastAsia" w:ascii="宋体" w:hAnsi="宋体" w:eastAsia="宋体" w:cs="宋体"/>
          <w:color w:val="auto"/>
          <w:sz w:val="24"/>
          <w:highlight w:val="none"/>
        </w:rPr>
      </w:pPr>
    </w:p>
    <w:p w14:paraId="24D9C30E">
      <w:pPr>
        <w:spacing w:line="360" w:lineRule="auto"/>
        <w:contextualSpacing/>
        <w:rPr>
          <w:rFonts w:hint="eastAsia" w:ascii="宋体" w:hAnsi="宋体" w:eastAsia="宋体" w:cs="宋体"/>
          <w:color w:val="auto"/>
          <w:sz w:val="24"/>
          <w:highlight w:val="none"/>
        </w:rPr>
      </w:pPr>
    </w:p>
    <w:p w14:paraId="0341ADEF">
      <w:pPr>
        <w:spacing w:line="360" w:lineRule="auto"/>
        <w:ind w:firstLine="2400" w:firstLineChars="10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供应商名称（电子签章）：</w:t>
      </w:r>
    </w:p>
    <w:p w14:paraId="1BC18C9C">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594A0500">
      <w:pPr>
        <w:spacing w:line="360" w:lineRule="auto"/>
        <w:contextualSpacing/>
        <w:rPr>
          <w:rFonts w:hint="eastAsia" w:ascii="宋体" w:hAnsi="宋体" w:eastAsia="宋体" w:cs="宋体"/>
          <w:color w:val="auto"/>
          <w:sz w:val="24"/>
          <w:highlight w:val="none"/>
        </w:rPr>
      </w:pPr>
    </w:p>
    <w:p w14:paraId="5267FC05">
      <w:pPr>
        <w:spacing w:line="360" w:lineRule="auto"/>
        <w:contextualSpacing/>
        <w:rPr>
          <w:rFonts w:hint="eastAsia" w:ascii="宋体" w:hAnsi="宋体" w:eastAsia="宋体" w:cs="宋体"/>
          <w:color w:val="auto"/>
          <w:sz w:val="24"/>
          <w:highlight w:val="none"/>
        </w:rPr>
      </w:pPr>
    </w:p>
    <w:p w14:paraId="71D04940">
      <w:pPr>
        <w:spacing w:line="360" w:lineRule="auto"/>
        <w:contextualSpacing/>
        <w:rPr>
          <w:rFonts w:hint="eastAsia" w:ascii="宋体" w:hAnsi="宋体" w:eastAsia="宋体" w:cs="宋体"/>
          <w:color w:val="auto"/>
          <w:sz w:val="24"/>
          <w:highlight w:val="none"/>
        </w:rPr>
      </w:pPr>
    </w:p>
    <w:p w14:paraId="70E63E2F">
      <w:pPr>
        <w:keepNext w:val="0"/>
        <w:keepLines w:val="0"/>
        <w:pageBreakBefore w:val="0"/>
        <w:widowControl w:val="0"/>
        <w:kinsoku/>
        <w:wordWrap/>
        <w:overflowPunct/>
        <w:topLinePunct w:val="0"/>
        <w:autoSpaceDE w:val="0"/>
        <w:autoSpaceDN w:val="0"/>
        <w:bidi w:val="0"/>
        <w:adjustRightInd/>
        <w:snapToGrid w:val="0"/>
        <w:spacing w:line="300" w:lineRule="auto"/>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746A2C97">
      <w:pPr>
        <w:pStyle w:val="12"/>
        <w:rPr>
          <w:rFonts w:hint="eastAsia" w:ascii="宋体" w:hAnsi="宋体" w:eastAsia="宋体" w:cs="宋体"/>
          <w:color w:val="auto"/>
          <w:kern w:val="0"/>
          <w:sz w:val="24"/>
          <w:highlight w:val="none"/>
          <w:lang w:val="zh-CN"/>
        </w:rPr>
      </w:pPr>
    </w:p>
    <w:p w14:paraId="40A27358">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1408F70A">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502AF47A">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7828B121">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7278C4CC">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0B7163A9">
      <w:pPr>
        <w:rPr>
          <w:rFonts w:hint="eastAsia" w:ascii="宋体" w:hAnsi="宋体" w:eastAsia="宋体" w:cs="宋体"/>
          <w:b/>
          <w:bCs w:val="0"/>
          <w:caps w:val="0"/>
          <w:smallCaps w:val="0"/>
          <w:color w:val="auto"/>
          <w:spacing w:val="0"/>
          <w:kern w:val="2"/>
          <w:sz w:val="30"/>
          <w:szCs w:val="30"/>
          <w:highlight w:val="none"/>
          <w:lang w:val="en-US" w:eastAsia="zh-CN"/>
        </w:rPr>
      </w:pPr>
      <w:r>
        <w:rPr>
          <w:rFonts w:hint="eastAsia" w:ascii="宋体" w:hAnsi="宋体" w:eastAsia="宋体" w:cs="宋体"/>
          <w:b/>
          <w:bCs w:val="0"/>
          <w:caps w:val="0"/>
          <w:smallCaps w:val="0"/>
          <w:color w:val="auto"/>
          <w:spacing w:val="0"/>
          <w:kern w:val="2"/>
          <w:sz w:val="30"/>
          <w:szCs w:val="30"/>
          <w:highlight w:val="none"/>
          <w:lang w:val="en-US" w:eastAsia="zh-CN"/>
        </w:rPr>
        <w:br w:type="page"/>
      </w:r>
    </w:p>
    <w:p w14:paraId="028B0EFB">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0"/>
          <w:szCs w:val="30"/>
          <w:highlight w:val="none"/>
        </w:rPr>
        <w:t>无串通竞标行为的承诺函</w:t>
      </w:r>
    </w:p>
    <w:p w14:paraId="1D69746B">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613D927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1.不同供应商的响应文件由同一单位或者个人编制；或者不同供应商报名的IP地址一致的；或者编制响应文件硬件设备CPU编号、硬盘编号、网卡地址一致的情况。 </w:t>
      </w:r>
    </w:p>
    <w:p w14:paraId="1294E66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26FDC05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3.不同供应商的响应文件载明的项目管理员为同一个人；</w:t>
      </w:r>
    </w:p>
    <w:p w14:paraId="582F5AC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同供应商的响应文件异常一致或者响应报价呈规律性差异；</w:t>
      </w:r>
    </w:p>
    <w:p w14:paraId="6BCEA37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69A7B05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6.不同供应商的磋商保证金从同一单位或者个人账户转出。</w:t>
      </w:r>
    </w:p>
    <w:p w14:paraId="1035887A">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10332FB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229AB6A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1D7486F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2D55896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456B895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528978B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43A2252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33AEEBB9">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以上情形一经核查属实，接受政府采购监管部门对我方认定存在围标串标行为，我方愿意承担一切后果，并不再寻求任何旨在减轻或者免除法律责任的辩解。</w:t>
      </w:r>
    </w:p>
    <w:p w14:paraId="3A69DFED">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C7B9CF0">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 xml:space="preserve">日期：  年  月   日  </w:t>
      </w:r>
      <w:r>
        <w:rPr>
          <w:rFonts w:hint="eastAsia" w:ascii="宋体" w:hAnsi="宋体" w:eastAsia="宋体" w:cs="宋体"/>
          <w:b/>
          <w:bCs w:val="0"/>
          <w:color w:val="auto"/>
          <w:sz w:val="30"/>
          <w:szCs w:val="30"/>
          <w:highlight w:val="none"/>
        </w:rPr>
        <w:br w:type="page"/>
      </w:r>
    </w:p>
    <w:p w14:paraId="7F4A3049">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b/>
          <w:bCs w:val="0"/>
          <w:color w:val="auto"/>
          <w:sz w:val="30"/>
          <w:szCs w:val="30"/>
          <w:highlight w:val="none"/>
        </w:rPr>
        <w:t>法定代表人证明书</w:t>
      </w:r>
    </w:p>
    <w:p w14:paraId="5897AE98">
      <w:pPr>
        <w:spacing w:line="360" w:lineRule="auto"/>
        <w:ind w:left="540"/>
        <w:contextualSpacing/>
        <w:rPr>
          <w:rFonts w:hint="eastAsia" w:ascii="宋体" w:hAnsi="宋体" w:eastAsia="宋体" w:cs="宋体"/>
          <w:color w:val="auto"/>
          <w:sz w:val="32"/>
          <w:szCs w:val="32"/>
          <w:highlight w:val="none"/>
        </w:rPr>
      </w:pPr>
    </w:p>
    <w:p w14:paraId="3872CDD9">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386B31F1">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5579DFB6">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227DA5EC">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43FBBEFA">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3E7D05A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53EB73A7">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2176BA62">
      <w:pPr>
        <w:spacing w:line="360" w:lineRule="auto"/>
        <w:ind w:left="540"/>
        <w:contextualSpacing/>
        <w:rPr>
          <w:rFonts w:hint="eastAsia" w:ascii="宋体" w:hAnsi="宋体" w:eastAsia="宋体" w:cs="宋体"/>
          <w:color w:val="auto"/>
          <w:sz w:val="24"/>
          <w:highlight w:val="none"/>
        </w:rPr>
      </w:pPr>
    </w:p>
    <w:p w14:paraId="086A82AE">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tbl>
      <w:tblPr>
        <w:tblStyle w:val="31"/>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0"/>
      </w:tblGrid>
      <w:tr w14:paraId="0904C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7" w:hRule="atLeast"/>
        </w:trPr>
        <w:tc>
          <w:tcPr>
            <w:tcW w:w="9480" w:type="dxa"/>
            <w:noWrap w:val="0"/>
            <w:vAlign w:val="top"/>
          </w:tcPr>
          <w:p w14:paraId="4B5856AE">
            <w:pPr>
              <w:spacing w:line="360" w:lineRule="auto"/>
              <w:rPr>
                <w:rFonts w:hint="eastAsia" w:ascii="宋体" w:hAnsi="宋体" w:eastAsia="宋体" w:cs="宋体"/>
                <w:b/>
                <w:color w:val="auto"/>
                <w:sz w:val="24"/>
                <w:highlight w:val="none"/>
              </w:rPr>
            </w:pPr>
          </w:p>
          <w:p w14:paraId="4E5E438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法定代表身份证复印件粘帖处（正、反面）</w:t>
            </w:r>
          </w:p>
        </w:tc>
      </w:tr>
    </w:tbl>
    <w:p w14:paraId="7B3BDBC9">
      <w:pPr>
        <w:spacing w:line="360" w:lineRule="auto"/>
        <w:ind w:left="540"/>
        <w:contextualSpacing/>
        <w:rPr>
          <w:rFonts w:hint="eastAsia" w:ascii="宋体" w:hAnsi="宋体" w:eastAsia="宋体" w:cs="宋体"/>
          <w:color w:val="auto"/>
          <w:sz w:val="24"/>
          <w:highlight w:val="none"/>
        </w:rPr>
      </w:pPr>
    </w:p>
    <w:p w14:paraId="48B1E73C">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p>
    <w:p w14:paraId="4CB52E92">
      <w:pPr>
        <w:autoSpaceDE w:val="0"/>
        <w:autoSpaceDN w:val="0"/>
        <w:spacing w:line="360" w:lineRule="auto"/>
        <w:ind w:firstLine="5280" w:firstLineChars="2200"/>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供应商名称（电子签章）：</w:t>
      </w:r>
      <w:r>
        <w:rPr>
          <w:rFonts w:hint="eastAsia" w:ascii="宋体" w:hAnsi="宋体" w:cs="宋体"/>
          <w:color w:val="auto"/>
          <w:kern w:val="0"/>
          <w:sz w:val="24"/>
          <w:highlight w:val="none"/>
          <w:u w:val="single"/>
          <w:lang w:val="en-US" w:eastAsia="zh-CN"/>
        </w:rPr>
        <w:t xml:space="preserve">         </w:t>
      </w:r>
    </w:p>
    <w:p w14:paraId="30488841">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9939179">
      <w:pPr>
        <w:spacing w:line="360" w:lineRule="auto"/>
        <w:contextualSpacing/>
        <w:jc w:val="left"/>
        <w:rPr>
          <w:rFonts w:hint="eastAsia" w:ascii="宋体" w:hAnsi="宋体" w:eastAsia="宋体" w:cs="宋体"/>
          <w:color w:val="auto"/>
          <w:sz w:val="24"/>
          <w:highlight w:val="none"/>
        </w:rPr>
      </w:pPr>
    </w:p>
    <w:p w14:paraId="555E30C1">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6B23098">
      <w:pPr>
        <w:numPr>
          <w:ilvl w:val="0"/>
          <w:numId w:val="0"/>
        </w:numPr>
        <w:spacing w:line="360" w:lineRule="auto"/>
        <w:ind w:firstLine="480" w:firstLineChars="200"/>
        <w:contextualSpacing/>
        <w:jc w:val="left"/>
        <w:rPr>
          <w:rFonts w:hint="eastAsia" w:ascii="宋体" w:hAnsi="宋体" w:eastAsia="宋体" w:cs="宋体"/>
          <w:color w:val="auto"/>
          <w:sz w:val="24"/>
          <w:highlight w:val="none"/>
          <w:lang w:val="en-US" w:eastAsia="zh-CN"/>
        </w:rPr>
      </w:pPr>
    </w:p>
    <w:p w14:paraId="413B6750">
      <w:pPr>
        <w:spacing w:line="520" w:lineRule="exact"/>
        <w:jc w:val="center"/>
        <w:rPr>
          <w:rFonts w:hint="eastAsia" w:ascii="宋体" w:hAnsi="宋体" w:eastAsia="宋体" w:cs="宋体"/>
          <w:b/>
          <w:color w:val="auto"/>
          <w:kern w:val="2"/>
          <w:sz w:val="30"/>
          <w:szCs w:val="30"/>
          <w:highlight w:val="none"/>
          <w:lang w:val="en-US" w:eastAsia="zh-CN"/>
        </w:rPr>
      </w:pPr>
    </w:p>
    <w:p w14:paraId="0AB382DA">
      <w:pP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br w:type="page"/>
      </w:r>
    </w:p>
    <w:p w14:paraId="69D78F4A">
      <w:pPr>
        <w:keepNext w:val="0"/>
        <w:keepLines w:val="0"/>
        <w:pageBreakBefore w:val="0"/>
        <w:widowControl w:val="0"/>
        <w:kinsoku/>
        <w:wordWrap/>
        <w:overflowPunct/>
        <w:topLinePunct w:val="0"/>
        <w:autoSpaceDE/>
        <w:autoSpaceDN/>
        <w:bidi w:val="0"/>
        <w:adjustRightInd/>
        <w:snapToGrid/>
        <w:spacing w:line="520" w:lineRule="exact"/>
        <w:ind w:firstLine="0"/>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授权委托书</w:t>
      </w:r>
    </w:p>
    <w:p w14:paraId="1A6FE563">
      <w:pPr>
        <w:keepNext w:val="0"/>
        <w:keepLines w:val="0"/>
        <w:pageBreakBefore w:val="0"/>
        <w:widowControl w:val="0"/>
        <w:kinsoku/>
        <w:wordWrap/>
        <w:overflowPunct/>
        <w:topLinePunct w:val="0"/>
        <w:autoSpaceDE/>
        <w:autoSpaceDN/>
        <w:bidi w:val="0"/>
        <w:adjustRightInd/>
        <w:snapToGrid/>
        <w:spacing w:line="520" w:lineRule="exact"/>
        <w:ind w:firstLine="0"/>
        <w:jc w:val="center"/>
        <w:textAlignment w:val="auto"/>
        <w:rPr>
          <w:rFonts w:hint="eastAsia" w:ascii="宋体" w:hAnsi="宋体" w:eastAsia="宋体" w:cs="宋体"/>
          <w:color w:val="auto"/>
          <w:sz w:val="44"/>
          <w:szCs w:val="44"/>
          <w:highlight w:val="none"/>
        </w:rPr>
      </w:pPr>
      <w:r>
        <w:rPr>
          <w:rFonts w:hint="eastAsia" w:ascii="宋体" w:hAnsi="宋体" w:eastAsia="宋体" w:cs="宋体"/>
          <w:b/>
          <w:bCs/>
          <w:color w:val="auto"/>
          <w:sz w:val="30"/>
          <w:szCs w:val="30"/>
          <w:highlight w:val="none"/>
        </w:rPr>
        <w:t>（如有委托时）</w:t>
      </w:r>
    </w:p>
    <w:p w14:paraId="501FB0C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53B270A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1BC7935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407940B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63A7101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16FDD51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附：法定代表人身份证明书及委托代理人有效身份证正反面复印件</w:t>
      </w:r>
    </w:p>
    <w:p w14:paraId="7F0700B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3A862E5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法定代表人（签字或盖章）：</w:t>
      </w:r>
      <w:r>
        <w:rPr>
          <w:rFonts w:hint="eastAsia" w:ascii="宋体" w:hAnsi="宋体" w:eastAsia="宋体" w:cs="宋体"/>
          <w:color w:val="auto"/>
          <w:sz w:val="24"/>
          <w:highlight w:val="none"/>
          <w:u w:val="single"/>
        </w:rPr>
        <w:t xml:space="preserve">                    </w:t>
      </w:r>
    </w:p>
    <w:p w14:paraId="2B652FB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委托代理人身份证号码：</w:t>
      </w:r>
      <w:r>
        <w:rPr>
          <w:rFonts w:hint="eastAsia" w:ascii="宋体" w:hAnsi="宋体" w:eastAsia="宋体" w:cs="宋体"/>
          <w:color w:val="auto"/>
          <w:sz w:val="24"/>
          <w:highlight w:val="none"/>
          <w:u w:val="single"/>
        </w:rPr>
        <w:t xml:space="preserve">                              </w:t>
      </w:r>
    </w:p>
    <w:tbl>
      <w:tblPr>
        <w:tblStyle w:val="32"/>
        <w:tblW w:w="9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0"/>
      </w:tblGrid>
      <w:tr w14:paraId="44CD0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9880" w:type="dxa"/>
            <w:noWrap w:val="0"/>
            <w:vAlign w:val="top"/>
          </w:tcPr>
          <w:p w14:paraId="0191173B">
            <w:pPr>
              <w:autoSpaceDE w:val="0"/>
              <w:autoSpaceDN w:val="0"/>
              <w:spacing w:line="360" w:lineRule="auto"/>
              <w:rPr>
                <w:rFonts w:hint="eastAsia" w:ascii="宋体" w:hAnsi="宋体" w:eastAsia="宋体" w:cs="宋体"/>
                <w:b/>
                <w:bCs/>
                <w:color w:val="auto"/>
                <w:sz w:val="24"/>
                <w:highlight w:val="none"/>
                <w:vertAlign w:val="baseline"/>
              </w:rPr>
            </w:pPr>
            <w:r>
              <w:rPr>
                <w:rFonts w:hint="eastAsia" w:ascii="宋体" w:hAnsi="宋体" w:eastAsia="宋体" w:cs="宋体"/>
                <w:b/>
                <w:color w:val="auto"/>
                <w:sz w:val="24"/>
                <w:highlight w:val="none"/>
              </w:rPr>
              <w:t>委托代理人有效身份证正反面复印件粘帖处（正、反面）</w:t>
            </w:r>
          </w:p>
        </w:tc>
      </w:tr>
    </w:tbl>
    <w:p w14:paraId="3896B42F">
      <w:pPr>
        <w:autoSpaceDE w:val="0"/>
        <w:autoSpaceDN w:val="0"/>
        <w:spacing w:line="360" w:lineRule="auto"/>
        <w:ind w:left="4365" w:leftChars="1850" w:hanging="480" w:hangingChars="200"/>
        <w:rPr>
          <w:rFonts w:hint="eastAsia" w:ascii="宋体" w:hAnsi="宋体" w:eastAsia="宋体" w:cs="宋体"/>
          <w:color w:val="auto"/>
          <w:sz w:val="24"/>
          <w:highlight w:val="none"/>
        </w:rPr>
      </w:pPr>
    </w:p>
    <w:p w14:paraId="6A6403E3">
      <w:pPr>
        <w:autoSpaceDE w:val="0"/>
        <w:autoSpaceDN w:val="0"/>
        <w:spacing w:line="360" w:lineRule="auto"/>
        <w:ind w:left="4365" w:leftChars="1850" w:hanging="480" w:hangingChars="200"/>
        <w:rPr>
          <w:rFonts w:hint="default" w:ascii="宋体" w:hAnsi="宋体" w:eastAsia="宋体" w:cs="宋体"/>
          <w:color w:val="auto"/>
          <w:kern w:val="0"/>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供应商名称（电子签章）：</w:t>
      </w:r>
      <w:r>
        <w:rPr>
          <w:rFonts w:hint="eastAsia" w:ascii="宋体" w:hAnsi="宋体" w:cs="宋体"/>
          <w:color w:val="auto"/>
          <w:kern w:val="0"/>
          <w:sz w:val="24"/>
          <w:highlight w:val="none"/>
          <w:u w:val="single"/>
          <w:lang w:val="en-US" w:eastAsia="zh-CN"/>
        </w:rPr>
        <w:t xml:space="preserve">              </w:t>
      </w:r>
    </w:p>
    <w:p w14:paraId="1E1C2ECD">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15B41CDE">
      <w:pPr>
        <w:spacing w:line="360" w:lineRule="auto"/>
        <w:rPr>
          <w:rFonts w:hint="eastAsia" w:ascii="宋体" w:hAnsi="宋体" w:eastAsia="宋体" w:cs="宋体"/>
          <w:color w:val="auto"/>
          <w:sz w:val="24"/>
          <w:highlight w:val="none"/>
        </w:rPr>
      </w:pPr>
    </w:p>
    <w:p w14:paraId="070FB1C4">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注：1.法定代表人必须在授权委托书上亲笔签字或盖章，委托代理人必须在授权委托书上亲笔签字，</w:t>
      </w:r>
      <w:r>
        <w:rPr>
          <w:rFonts w:hint="eastAsia" w:ascii="宋体" w:hAnsi="宋体" w:eastAsia="宋体" w:cs="宋体"/>
          <w:b/>
          <w:color w:val="auto"/>
          <w:sz w:val="22"/>
          <w:szCs w:val="22"/>
          <w:highlight w:val="none"/>
        </w:rPr>
        <w:t>否则其响应文件按无效响应处理。</w:t>
      </w:r>
    </w:p>
    <w:p w14:paraId="65FFD7F1">
      <w:pPr>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120D4A9">
      <w:pPr>
        <w:spacing w:line="360" w:lineRule="auto"/>
        <w:ind w:firstLine="440" w:firstLineChars="200"/>
        <w:jc w:val="left"/>
        <w:rPr>
          <w:rFonts w:hint="eastAsia" w:ascii="宋体" w:hAnsi="宋体" w:eastAsia="宋体" w:cs="宋体"/>
          <w:color w:val="auto"/>
          <w:sz w:val="24"/>
          <w:highlight w:val="none"/>
        </w:rPr>
      </w:pPr>
      <w:r>
        <w:rPr>
          <w:rFonts w:hint="eastAsia" w:ascii="宋体" w:hAnsi="宋体" w:eastAsia="宋体" w:cs="宋体"/>
          <w:color w:val="auto"/>
          <w:sz w:val="22"/>
          <w:szCs w:val="22"/>
          <w:highlight w:val="none"/>
        </w:rPr>
        <w:t>3.法人、其他组织竞标时“我方”是指“我单位”，自然人竞标时“我方”是指“本人”。</w:t>
      </w:r>
    </w:p>
    <w:p w14:paraId="5B7EDA45">
      <w:pPr>
        <w:autoSpaceDE w:val="0"/>
        <w:autoSpaceDN w:val="0"/>
        <w:spacing w:line="360" w:lineRule="auto"/>
        <w:ind w:firstLine="6144" w:firstLineChars="2550"/>
        <w:rPr>
          <w:rFonts w:hint="eastAsia" w:ascii="宋体" w:hAnsi="宋体" w:eastAsia="宋体" w:cs="宋体"/>
          <w:b/>
          <w:bCs/>
          <w:color w:val="auto"/>
          <w:sz w:val="24"/>
          <w:highlight w:val="none"/>
        </w:rPr>
      </w:pPr>
    </w:p>
    <w:p w14:paraId="435753B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36"/>
          <w:szCs w:val="36"/>
          <w:highlight w:val="none"/>
          <w:lang w:val="en"/>
        </w:rPr>
      </w:pPr>
      <w:r>
        <w:rPr>
          <w:rFonts w:hint="eastAsia" w:ascii="宋体" w:hAnsi="宋体" w:eastAsia="宋体" w:cs="宋体"/>
          <w:b/>
          <w:bCs/>
          <w:color w:val="auto"/>
          <w:sz w:val="36"/>
          <w:szCs w:val="36"/>
          <w:highlight w:val="none"/>
          <w:lang w:val="en"/>
        </w:rPr>
        <w:br w:type="page"/>
      </w:r>
      <w:r>
        <w:rPr>
          <w:rFonts w:hint="eastAsia" w:ascii="宋体" w:hAnsi="宋体" w:eastAsia="宋体" w:cs="宋体"/>
          <w:b/>
          <w:bCs/>
          <w:color w:val="auto"/>
          <w:sz w:val="30"/>
          <w:szCs w:val="30"/>
          <w:highlight w:val="none"/>
          <w:lang w:val="en"/>
        </w:rPr>
        <w:t>商务条款偏离表</w:t>
      </w:r>
    </w:p>
    <w:p w14:paraId="0D23FB66">
      <w:pPr>
        <w:jc w:val="center"/>
        <w:rPr>
          <w:rFonts w:hint="eastAsia" w:ascii="宋体" w:hAnsi="宋体" w:eastAsia="宋体" w:cs="宋体"/>
          <w:b/>
          <w:bCs/>
          <w:color w:val="auto"/>
          <w:sz w:val="28"/>
          <w:szCs w:val="28"/>
          <w:highlight w:val="none"/>
        </w:rPr>
      </w:pPr>
    </w:p>
    <w:p w14:paraId="03B7AF69">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single"/>
        </w:rPr>
        <w:t xml:space="preserve">                 </w:t>
      </w:r>
    </w:p>
    <w:p w14:paraId="450B05D8">
      <w:pPr>
        <w:spacing w:line="360" w:lineRule="auto"/>
        <w:contextualSpacing/>
        <w:rPr>
          <w:rFonts w:hint="default" w:ascii="宋体" w:hAnsi="宋体" w:eastAsia="宋体" w:cs="宋体"/>
          <w:color w:val="auto"/>
          <w:sz w:val="24"/>
          <w:highlight w:val="none"/>
          <w:u w:val="single"/>
          <w:lang w:val="en-US"/>
        </w:rPr>
      </w:pPr>
      <w:r>
        <w:rPr>
          <w:rFonts w:hint="eastAsia" w:ascii="宋体" w:hAnsi="宋体" w:eastAsia="宋体" w:cs="宋体"/>
          <w:color w:val="auto"/>
          <w:sz w:val="24"/>
          <w:highlight w:val="none"/>
        </w:rPr>
        <w:t>采购</w:t>
      </w:r>
      <w:r>
        <w:rPr>
          <w:rFonts w:hint="eastAsia" w:ascii="宋体" w:hAnsi="宋体" w:cs="宋体"/>
          <w:color w:val="auto"/>
          <w:sz w:val="24"/>
          <w:highlight w:val="none"/>
          <w:lang w:eastAsia="zh-CN"/>
        </w:rPr>
        <w:t>项目编号：</w:t>
      </w:r>
      <w:r>
        <w:rPr>
          <w:rFonts w:hint="eastAsia" w:ascii="宋体" w:hAnsi="宋体" w:cs="宋体"/>
          <w:color w:val="auto"/>
          <w:sz w:val="24"/>
          <w:highlight w:val="none"/>
          <w:u w:val="single"/>
          <w:lang w:val="en-US" w:eastAsia="zh-CN"/>
        </w:rPr>
        <w:t xml:space="preserve">                 </w:t>
      </w:r>
    </w:p>
    <w:p w14:paraId="5885D37A">
      <w:pPr>
        <w:spacing w:line="360" w:lineRule="auto"/>
        <w:contextualSpacing/>
        <w:rPr>
          <w:rFonts w:hint="eastAsia" w:ascii="宋体" w:hAnsi="宋体" w:eastAsia="宋体" w:cs="宋体"/>
          <w:color w:val="auto"/>
          <w:sz w:val="24"/>
          <w:highlight w:val="none"/>
          <w:u w:val="single"/>
        </w:rPr>
      </w:pPr>
    </w:p>
    <w:tbl>
      <w:tblPr>
        <w:tblStyle w:val="31"/>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6BD647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bottom w:val="single" w:color="auto" w:sz="4" w:space="0"/>
              <w:right w:val="single" w:color="auto" w:sz="4" w:space="0"/>
            </w:tcBorders>
            <w:vAlign w:val="center"/>
          </w:tcPr>
          <w:p w14:paraId="7FAFF3C7">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611488AB">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磋商文件商务条款要求</w:t>
            </w:r>
          </w:p>
        </w:tc>
        <w:tc>
          <w:tcPr>
            <w:tcW w:w="2350" w:type="dxa"/>
            <w:tcBorders>
              <w:top w:val="single" w:color="auto" w:sz="4" w:space="0"/>
              <w:left w:val="single" w:color="auto" w:sz="4" w:space="0"/>
              <w:bottom w:val="single" w:color="auto" w:sz="4" w:space="0"/>
              <w:right w:val="single" w:color="auto" w:sz="4" w:space="0"/>
            </w:tcBorders>
            <w:vAlign w:val="center"/>
          </w:tcPr>
          <w:p w14:paraId="41138046">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供应商的响应</w:t>
            </w:r>
          </w:p>
        </w:tc>
        <w:tc>
          <w:tcPr>
            <w:tcW w:w="2112" w:type="dxa"/>
            <w:tcBorders>
              <w:top w:val="single" w:color="auto" w:sz="4" w:space="0"/>
              <w:left w:val="single" w:color="auto" w:sz="4" w:space="0"/>
              <w:bottom w:val="single" w:color="auto" w:sz="4" w:space="0"/>
            </w:tcBorders>
            <w:vAlign w:val="center"/>
          </w:tcPr>
          <w:p w14:paraId="165CDF2E">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偏离说明</w:t>
            </w:r>
          </w:p>
        </w:tc>
      </w:tr>
      <w:tr w14:paraId="7C1AA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bottom w:val="single" w:color="auto" w:sz="4" w:space="0"/>
              <w:right w:val="single" w:color="auto" w:sz="4" w:space="0"/>
            </w:tcBorders>
            <w:vAlign w:val="center"/>
          </w:tcPr>
          <w:p w14:paraId="3632C2AA">
            <w:pPr>
              <w:spacing w:line="360" w:lineRule="auto"/>
              <w:contextualSpacing/>
              <w:jc w:val="center"/>
              <w:rPr>
                <w:rFonts w:hint="default" w:ascii="宋体" w:hAnsi="宋体" w:eastAsia="宋体" w:cs="宋体"/>
                <w:color w:val="auto"/>
                <w:sz w:val="24"/>
                <w:highlight w:val="none"/>
                <w:lang w:val="en-US" w:eastAsia="zh-CN"/>
              </w:rPr>
            </w:pPr>
          </w:p>
        </w:tc>
        <w:tc>
          <w:tcPr>
            <w:tcW w:w="2668" w:type="dxa"/>
            <w:tcBorders>
              <w:top w:val="single" w:color="auto" w:sz="4" w:space="0"/>
              <w:left w:val="single" w:color="auto" w:sz="4" w:space="0"/>
              <w:bottom w:val="single" w:color="auto" w:sz="4" w:space="0"/>
              <w:right w:val="single" w:color="auto" w:sz="4" w:space="0"/>
            </w:tcBorders>
            <w:vAlign w:val="center"/>
          </w:tcPr>
          <w:p w14:paraId="3B002061">
            <w:pPr>
              <w:spacing w:line="360" w:lineRule="auto"/>
              <w:contextualSpacing/>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2C49D794">
            <w:pPr>
              <w:spacing w:line="360" w:lineRule="auto"/>
              <w:contextualSpacing/>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65C9B1FA">
            <w:pPr>
              <w:spacing w:line="360" w:lineRule="auto"/>
              <w:contextualSpacing/>
              <w:jc w:val="center"/>
              <w:rPr>
                <w:rFonts w:ascii="宋体" w:hAnsi="宋体" w:cs="宋体"/>
                <w:color w:val="auto"/>
                <w:sz w:val="24"/>
                <w:highlight w:val="none"/>
              </w:rPr>
            </w:pPr>
          </w:p>
        </w:tc>
      </w:tr>
      <w:tr w14:paraId="1F1829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bottom w:val="single" w:color="auto" w:sz="4" w:space="0"/>
              <w:right w:val="single" w:color="auto" w:sz="4" w:space="0"/>
            </w:tcBorders>
            <w:vAlign w:val="center"/>
          </w:tcPr>
          <w:p w14:paraId="5FB9C930">
            <w:pPr>
              <w:spacing w:line="360" w:lineRule="auto"/>
              <w:contextualSpacing/>
              <w:jc w:val="center"/>
              <w:rPr>
                <w:rFonts w:ascii="宋体" w:hAnsi="宋体" w:cs="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61208F13">
            <w:pPr>
              <w:spacing w:line="360" w:lineRule="auto"/>
              <w:contextualSpacing/>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0DBF63BC">
            <w:pPr>
              <w:spacing w:line="360" w:lineRule="auto"/>
              <w:ind w:left="43"/>
              <w:contextualSpacing/>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200B0805">
            <w:pPr>
              <w:spacing w:line="360" w:lineRule="auto"/>
              <w:ind w:left="43"/>
              <w:contextualSpacing/>
              <w:jc w:val="center"/>
              <w:rPr>
                <w:rFonts w:ascii="宋体" w:hAnsi="宋体" w:cs="宋体"/>
                <w:color w:val="auto"/>
                <w:sz w:val="24"/>
                <w:highlight w:val="none"/>
              </w:rPr>
            </w:pPr>
          </w:p>
        </w:tc>
      </w:tr>
      <w:tr w14:paraId="32D9F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178" w:type="dxa"/>
            <w:tcBorders>
              <w:top w:val="single" w:color="auto" w:sz="4" w:space="0"/>
              <w:bottom w:val="single" w:color="auto" w:sz="4" w:space="0"/>
              <w:right w:val="single" w:color="auto" w:sz="4" w:space="0"/>
            </w:tcBorders>
            <w:vAlign w:val="center"/>
          </w:tcPr>
          <w:p w14:paraId="493708F9">
            <w:pPr>
              <w:spacing w:line="360" w:lineRule="auto"/>
              <w:contextualSpacing/>
              <w:jc w:val="center"/>
              <w:rPr>
                <w:rFonts w:hint="default" w:ascii="宋体" w:hAnsi="宋体" w:eastAsia="宋体" w:cs="宋体"/>
                <w:color w:val="auto"/>
                <w:sz w:val="24"/>
                <w:highlight w:val="none"/>
                <w:lang w:val="en-US" w:eastAsia="zh-CN"/>
              </w:rPr>
            </w:pPr>
          </w:p>
        </w:tc>
        <w:tc>
          <w:tcPr>
            <w:tcW w:w="2668" w:type="dxa"/>
            <w:tcBorders>
              <w:top w:val="single" w:color="auto" w:sz="4" w:space="0"/>
              <w:left w:val="single" w:color="auto" w:sz="4" w:space="0"/>
              <w:bottom w:val="single" w:color="auto" w:sz="4" w:space="0"/>
              <w:right w:val="single" w:color="auto" w:sz="4" w:space="0"/>
            </w:tcBorders>
            <w:vAlign w:val="center"/>
          </w:tcPr>
          <w:p w14:paraId="66D25E1B">
            <w:pPr>
              <w:spacing w:line="360" w:lineRule="auto"/>
              <w:contextualSpacing/>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1686A4F9">
            <w:pPr>
              <w:spacing w:line="360" w:lineRule="auto"/>
              <w:contextualSpacing/>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24CC7F05">
            <w:pPr>
              <w:spacing w:line="360" w:lineRule="auto"/>
              <w:contextualSpacing/>
              <w:jc w:val="center"/>
              <w:rPr>
                <w:rFonts w:ascii="宋体" w:hAnsi="宋体" w:cs="宋体"/>
                <w:color w:val="auto"/>
                <w:sz w:val="24"/>
                <w:highlight w:val="none"/>
              </w:rPr>
            </w:pPr>
          </w:p>
        </w:tc>
      </w:tr>
      <w:tr w14:paraId="39CAB6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bottom w:val="single" w:color="auto" w:sz="4" w:space="0"/>
              <w:right w:val="single" w:color="auto" w:sz="4" w:space="0"/>
            </w:tcBorders>
            <w:vAlign w:val="center"/>
          </w:tcPr>
          <w:p w14:paraId="156694CB">
            <w:pPr>
              <w:spacing w:line="360" w:lineRule="auto"/>
              <w:contextualSpacing/>
              <w:jc w:val="center"/>
              <w:rPr>
                <w:rFonts w:hint="default" w:ascii="宋体" w:hAnsi="宋体" w:eastAsia="宋体" w:cs="宋体"/>
                <w:color w:val="auto"/>
                <w:sz w:val="24"/>
                <w:highlight w:val="none"/>
                <w:lang w:val="en-US" w:eastAsia="zh-CN"/>
              </w:rPr>
            </w:pPr>
          </w:p>
        </w:tc>
        <w:tc>
          <w:tcPr>
            <w:tcW w:w="2668" w:type="dxa"/>
            <w:tcBorders>
              <w:top w:val="single" w:color="auto" w:sz="4" w:space="0"/>
              <w:left w:val="single" w:color="auto" w:sz="4" w:space="0"/>
              <w:bottom w:val="single" w:color="auto" w:sz="4" w:space="0"/>
              <w:right w:val="single" w:color="auto" w:sz="4" w:space="0"/>
            </w:tcBorders>
            <w:vAlign w:val="center"/>
          </w:tcPr>
          <w:p w14:paraId="23392E28">
            <w:pPr>
              <w:spacing w:line="360" w:lineRule="auto"/>
              <w:contextualSpacing/>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758575DE">
            <w:pPr>
              <w:spacing w:line="360" w:lineRule="auto"/>
              <w:contextualSpacing/>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661899FB">
            <w:pPr>
              <w:spacing w:line="360" w:lineRule="auto"/>
              <w:contextualSpacing/>
              <w:jc w:val="center"/>
              <w:rPr>
                <w:rFonts w:ascii="宋体" w:hAnsi="宋体" w:cs="宋体"/>
                <w:color w:val="auto"/>
                <w:sz w:val="24"/>
                <w:highlight w:val="none"/>
              </w:rPr>
            </w:pPr>
          </w:p>
        </w:tc>
      </w:tr>
      <w:tr w14:paraId="7D181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bottom w:val="single" w:color="auto" w:sz="4" w:space="0"/>
              <w:right w:val="single" w:color="auto" w:sz="4" w:space="0"/>
            </w:tcBorders>
            <w:vAlign w:val="center"/>
          </w:tcPr>
          <w:p w14:paraId="7F18E314">
            <w:pPr>
              <w:spacing w:line="360" w:lineRule="auto"/>
              <w:contextualSpacing/>
              <w:jc w:val="center"/>
              <w:rPr>
                <w:rFonts w:ascii="宋体" w:hAnsi="宋体" w:cs="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31D5682F">
            <w:pPr>
              <w:spacing w:line="360" w:lineRule="auto"/>
              <w:contextualSpacing/>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15D7DE74">
            <w:pPr>
              <w:spacing w:line="360" w:lineRule="auto"/>
              <w:contextualSpacing/>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0FA3C726">
            <w:pPr>
              <w:spacing w:line="360" w:lineRule="auto"/>
              <w:contextualSpacing/>
              <w:jc w:val="center"/>
              <w:rPr>
                <w:rFonts w:ascii="宋体" w:hAnsi="宋体" w:cs="宋体"/>
                <w:color w:val="auto"/>
                <w:sz w:val="24"/>
                <w:highlight w:val="none"/>
              </w:rPr>
            </w:pPr>
          </w:p>
        </w:tc>
      </w:tr>
    </w:tbl>
    <w:p w14:paraId="04F350DD">
      <w:pPr>
        <w:spacing w:line="400" w:lineRule="exact"/>
        <w:contextualSpacing/>
        <w:rPr>
          <w:rFonts w:hint="eastAsia" w:ascii="宋体" w:hAnsi="宋体" w:eastAsia="宋体" w:cs="宋体"/>
          <w:color w:val="auto"/>
          <w:kern w:val="0"/>
          <w:sz w:val="24"/>
          <w:highlight w:val="none"/>
        </w:rPr>
      </w:pPr>
    </w:p>
    <w:p w14:paraId="37052325">
      <w:pPr>
        <w:spacing w:line="400" w:lineRule="exact"/>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7656BEDC">
      <w:pPr>
        <w:spacing w:line="400" w:lineRule="exact"/>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1.说明：应对照磋商文件“第二章 采购需求”中的</w:t>
      </w:r>
      <w:r>
        <w:rPr>
          <w:rFonts w:hint="eastAsia" w:ascii="宋体" w:hAnsi="宋体" w:cs="宋体"/>
          <w:color w:val="auto"/>
          <w:kern w:val="0"/>
          <w:sz w:val="24"/>
          <w:highlight w:val="none"/>
          <w:lang w:eastAsia="zh-CN"/>
        </w:rPr>
        <w:t>“</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lang w:val="en-US" w:eastAsia="zh-CN"/>
        </w:rPr>
        <w:t>二</w:t>
      </w:r>
      <w:r>
        <w:rPr>
          <w:rFonts w:hint="eastAsia" w:ascii="宋体" w:hAnsi="宋体" w:cs="宋体"/>
          <w:b/>
          <w:bCs/>
          <w:color w:val="auto"/>
          <w:kern w:val="0"/>
          <w:sz w:val="24"/>
          <w:highlight w:val="none"/>
          <w:lang w:eastAsia="zh-CN"/>
        </w:rPr>
        <w:t>、商务要求</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逐条作出明确响应，并作出偏离说明。</w:t>
      </w:r>
    </w:p>
    <w:p w14:paraId="4C917632">
      <w:pPr>
        <w:spacing w:line="400" w:lineRule="exact"/>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供应商应根据自身的承诺，对照磋商文件要求，在“偏离说明”中注明“正偏离”、“负偏离”或者“无偏离”。既不属于“正偏离”也不属于“负偏离”即为“无偏离”。当响应文件的商务内容低于竞争性磋商采购文件要求时，竞标人应当如实写明“负偏离”，否则视为虚假应标</w:t>
      </w:r>
    </w:p>
    <w:p w14:paraId="688E0E29">
      <w:pPr>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3.表格内容均需按要求填写，不得留空，否则按竞标无效处理。</w:t>
      </w:r>
    </w:p>
    <w:p w14:paraId="26603051">
      <w:pPr>
        <w:spacing w:line="360" w:lineRule="auto"/>
        <w:ind w:firstLine="3840" w:firstLineChars="1600"/>
        <w:rPr>
          <w:rFonts w:hint="eastAsia" w:ascii="宋体" w:hAnsi="宋体" w:eastAsia="宋体" w:cs="宋体"/>
          <w:color w:val="auto"/>
          <w:kern w:val="0"/>
          <w:sz w:val="24"/>
          <w:highlight w:val="none"/>
        </w:rPr>
      </w:pPr>
    </w:p>
    <w:p w14:paraId="146CA18D">
      <w:pPr>
        <w:spacing w:line="360" w:lineRule="auto"/>
        <w:ind w:firstLine="3840" w:firstLineChars="1600"/>
        <w:rPr>
          <w:rFonts w:hint="default" w:ascii="宋体" w:hAnsi="宋体" w:eastAsia="宋体" w:cs="宋体"/>
          <w:color w:val="auto"/>
          <w:sz w:val="24"/>
          <w:highlight w:val="none"/>
          <w:lang w:val="en-US" w:eastAsia="zh-CN"/>
        </w:rPr>
      </w:pPr>
      <w:r>
        <w:rPr>
          <w:rFonts w:hint="eastAsia" w:ascii="宋体" w:hAnsi="宋体" w:eastAsia="宋体" w:cs="宋体"/>
          <w:color w:val="auto"/>
          <w:kern w:val="0"/>
          <w:sz w:val="24"/>
          <w:highlight w:val="none"/>
        </w:rPr>
        <w:t>供应商名称（电子签章）：</w:t>
      </w:r>
      <w:r>
        <w:rPr>
          <w:rFonts w:hint="eastAsia" w:ascii="宋体" w:hAnsi="宋体" w:cs="宋体"/>
          <w:color w:val="auto"/>
          <w:kern w:val="0"/>
          <w:sz w:val="24"/>
          <w:highlight w:val="none"/>
          <w:u w:val="single"/>
          <w:lang w:val="en-US" w:eastAsia="zh-CN"/>
        </w:rPr>
        <w:t xml:space="preserve">                 </w:t>
      </w:r>
    </w:p>
    <w:p w14:paraId="59166403">
      <w:pPr>
        <w:spacing w:line="360" w:lineRule="auto"/>
        <w:contextualSpacing/>
        <w:jc w:val="center"/>
        <w:rPr>
          <w:rFonts w:hint="eastAsia" w:ascii="宋体" w:hAnsi="宋体" w:eastAsia="宋体" w:cs="宋体"/>
          <w:color w:val="auto"/>
          <w:sz w:val="32"/>
          <w:szCs w:val="32"/>
          <w:highlight w:val="none"/>
        </w:rPr>
      </w:pPr>
      <w:r>
        <w:rPr>
          <w:rFonts w:hint="eastAsia" w:ascii="宋体" w:hAnsi="宋体" w:eastAsia="宋体" w:cs="宋体"/>
          <w:color w:val="auto"/>
          <w:kern w:val="0"/>
          <w:sz w:val="24"/>
          <w:highlight w:val="none"/>
          <w:lang w:val="zh-CN"/>
        </w:rPr>
        <w:t xml:space="preserve">                                                   日期：  年  月   日</w:t>
      </w:r>
    </w:p>
    <w:p w14:paraId="392F310D">
      <w:pPr>
        <w:autoSpaceDE w:val="0"/>
        <w:autoSpaceDN w:val="0"/>
        <w:spacing w:line="360" w:lineRule="auto"/>
        <w:ind w:firstLine="6144" w:firstLineChars="2550"/>
        <w:rPr>
          <w:rFonts w:hint="eastAsia" w:ascii="宋体" w:hAnsi="宋体" w:eastAsia="宋体" w:cs="宋体"/>
          <w:b/>
          <w:bCs/>
          <w:color w:val="auto"/>
          <w:sz w:val="24"/>
          <w:highlight w:val="none"/>
        </w:rPr>
      </w:pPr>
    </w:p>
    <w:p w14:paraId="572BF9F4">
      <w:pPr>
        <w:pStyle w:val="30"/>
        <w:jc w:val="center"/>
        <w:rPr>
          <w:rFonts w:hint="eastAsia" w:ascii="宋体" w:hAnsi="宋体" w:eastAsia="宋体" w:cs="宋体"/>
          <w:b/>
          <w:bCs w:val="0"/>
          <w:caps w:val="0"/>
          <w:smallCaps w:val="0"/>
          <w:color w:val="auto"/>
          <w:spacing w:val="0"/>
          <w:kern w:val="2"/>
          <w:sz w:val="30"/>
          <w:szCs w:val="30"/>
          <w:highlight w:val="none"/>
          <w:lang w:val="en-US" w:eastAsia="zh-CN"/>
        </w:rPr>
      </w:pPr>
      <w:r>
        <w:rPr>
          <w:rFonts w:hint="eastAsia" w:ascii="宋体" w:hAnsi="宋体" w:eastAsia="宋体" w:cs="宋体"/>
          <w:b/>
          <w:bCs/>
          <w:color w:val="auto"/>
          <w:sz w:val="30"/>
          <w:szCs w:val="30"/>
          <w:highlight w:val="none"/>
          <w:lang w:val="en-US" w:eastAsia="zh-CN"/>
        </w:rPr>
        <w:br w:type="page"/>
      </w:r>
    </w:p>
    <w:p w14:paraId="67DC10F2">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宋体" w:hAnsi="宋体" w:eastAsia="宋体" w:cs="宋体"/>
          <w:b/>
          <w:bCs/>
          <w:color w:val="auto"/>
          <w:sz w:val="30"/>
          <w:szCs w:val="30"/>
          <w:highlight w:val="none"/>
        </w:rPr>
      </w:pPr>
      <w:r>
        <w:rPr>
          <w:rFonts w:hint="eastAsia" w:ascii="宋体" w:hAnsi="宋体" w:cs="宋体"/>
          <w:b/>
          <w:bCs/>
          <w:color w:val="auto"/>
          <w:sz w:val="30"/>
          <w:szCs w:val="30"/>
          <w:highlight w:val="none"/>
          <w:lang w:val="en-US" w:eastAsia="zh-CN"/>
        </w:rPr>
        <w:t>技术</w:t>
      </w:r>
      <w:r>
        <w:rPr>
          <w:rFonts w:hint="eastAsia" w:ascii="宋体" w:hAnsi="宋体" w:eastAsia="宋体" w:cs="宋体"/>
          <w:b/>
          <w:bCs/>
          <w:color w:val="auto"/>
          <w:sz w:val="30"/>
          <w:szCs w:val="30"/>
          <w:highlight w:val="none"/>
        </w:rPr>
        <w:t>需求偏离表</w:t>
      </w:r>
    </w:p>
    <w:p w14:paraId="697975B9">
      <w:pPr>
        <w:spacing w:line="360" w:lineRule="auto"/>
        <w:contextualSpacing/>
        <w:rPr>
          <w:rFonts w:hint="eastAsia" w:ascii="宋体" w:hAnsi="宋体" w:eastAsia="宋体" w:cs="宋体"/>
          <w:color w:val="auto"/>
          <w:kern w:val="0"/>
          <w:sz w:val="24"/>
          <w:highlight w:val="none"/>
        </w:rPr>
      </w:pPr>
    </w:p>
    <w:tbl>
      <w:tblPr>
        <w:tblStyle w:val="31"/>
        <w:tblW w:w="931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7"/>
        <w:gridCol w:w="900"/>
        <w:gridCol w:w="2989"/>
        <w:gridCol w:w="2690"/>
        <w:gridCol w:w="1467"/>
      </w:tblGrid>
      <w:tr w14:paraId="33DCAC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20" w:hRule="atLeast"/>
          <w:jc w:val="center"/>
        </w:trPr>
        <w:tc>
          <w:tcPr>
            <w:tcW w:w="1267" w:type="dxa"/>
            <w:tcBorders>
              <w:top w:val="single" w:color="auto" w:sz="4" w:space="0"/>
            </w:tcBorders>
            <w:vAlign w:val="center"/>
          </w:tcPr>
          <w:p w14:paraId="5D6CF1A2">
            <w:pPr>
              <w:pStyle w:val="13"/>
              <w:spacing w:line="360" w:lineRule="auto"/>
              <w:ind w:firstLine="0" w:firstLineChars="0"/>
              <w:contextualSpacing/>
              <w:jc w:val="center"/>
              <w:rPr>
                <w:rFonts w:ascii="宋体" w:hAnsi="宋体" w:eastAsia="宋体" w:cs="宋体"/>
                <w:color w:val="auto"/>
                <w:kern w:val="2"/>
                <w:sz w:val="24"/>
                <w:szCs w:val="24"/>
                <w:highlight w:val="none"/>
              </w:rPr>
            </w:pPr>
            <w:bookmarkStart w:id="58" w:name="_Toc254970588"/>
            <w:bookmarkStart w:id="59" w:name="_Toc297193185"/>
            <w:bookmarkStart w:id="60" w:name="_Toc173211900"/>
            <w:bookmarkStart w:id="61" w:name="_Toc301781611"/>
            <w:bookmarkStart w:id="62" w:name="_Toc173066401"/>
            <w:bookmarkStart w:id="63" w:name="_Toc254970729"/>
            <w:bookmarkStart w:id="64" w:name="_Toc295404981"/>
            <w:bookmarkStart w:id="65" w:name="_Toc373333689"/>
            <w:bookmarkStart w:id="66" w:name="_Toc383699906"/>
            <w:r>
              <w:rPr>
                <w:rFonts w:hint="eastAsia" w:ascii="宋体" w:hAnsi="宋体" w:eastAsia="宋体" w:cs="宋体"/>
                <w:color w:val="auto"/>
                <w:kern w:val="2"/>
                <w:sz w:val="24"/>
                <w:szCs w:val="24"/>
                <w:highlight w:val="none"/>
              </w:rPr>
              <w:t>序号</w:t>
            </w:r>
            <w:bookmarkEnd w:id="58"/>
            <w:bookmarkEnd w:id="59"/>
            <w:bookmarkEnd w:id="60"/>
            <w:bookmarkEnd w:id="61"/>
            <w:bookmarkEnd w:id="62"/>
            <w:bookmarkEnd w:id="63"/>
            <w:bookmarkEnd w:id="64"/>
            <w:bookmarkEnd w:id="65"/>
            <w:bookmarkEnd w:id="66"/>
          </w:p>
        </w:tc>
        <w:tc>
          <w:tcPr>
            <w:tcW w:w="900" w:type="dxa"/>
            <w:tcBorders>
              <w:top w:val="single" w:color="auto" w:sz="4" w:space="0"/>
              <w:right w:val="single" w:color="auto" w:sz="4" w:space="0"/>
            </w:tcBorders>
            <w:vAlign w:val="center"/>
          </w:tcPr>
          <w:p w14:paraId="60045F49">
            <w:pPr>
              <w:pStyle w:val="13"/>
              <w:spacing w:line="360" w:lineRule="auto"/>
              <w:ind w:firstLine="0" w:firstLineChars="0"/>
              <w:contextualSpacing/>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w:t>
            </w:r>
          </w:p>
        </w:tc>
        <w:tc>
          <w:tcPr>
            <w:tcW w:w="2989" w:type="dxa"/>
            <w:tcBorders>
              <w:top w:val="single" w:color="auto" w:sz="4" w:space="0"/>
              <w:left w:val="single" w:color="auto" w:sz="4" w:space="0"/>
            </w:tcBorders>
            <w:vAlign w:val="center"/>
          </w:tcPr>
          <w:p w14:paraId="0BF499FC">
            <w:pPr>
              <w:pStyle w:val="13"/>
              <w:spacing w:line="360" w:lineRule="auto"/>
              <w:ind w:firstLine="0" w:firstLineChars="0"/>
              <w:contextualSpacing/>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磋商文件</w:t>
            </w:r>
            <w:r>
              <w:rPr>
                <w:rFonts w:hint="eastAsia" w:ascii="宋体" w:hAnsi="宋体" w:eastAsia="宋体" w:cs="宋体"/>
                <w:color w:val="auto"/>
                <w:kern w:val="2"/>
                <w:sz w:val="24"/>
                <w:szCs w:val="24"/>
                <w:highlight w:val="none"/>
                <w:lang w:val="en-US" w:eastAsia="zh-CN"/>
              </w:rPr>
              <w:t>技术要求</w:t>
            </w:r>
          </w:p>
        </w:tc>
        <w:tc>
          <w:tcPr>
            <w:tcW w:w="2690" w:type="dxa"/>
            <w:tcBorders>
              <w:top w:val="single" w:color="auto" w:sz="4" w:space="0"/>
            </w:tcBorders>
            <w:vAlign w:val="center"/>
          </w:tcPr>
          <w:p w14:paraId="6B63EDC0">
            <w:pPr>
              <w:pStyle w:val="13"/>
              <w:spacing w:line="360" w:lineRule="auto"/>
              <w:ind w:firstLine="0" w:firstLineChars="0"/>
              <w:contextualSpacing/>
              <w:jc w:val="center"/>
              <w:rPr>
                <w:rFonts w:ascii="宋体" w:hAnsi="宋体" w:eastAsia="宋体" w:cs="宋体"/>
                <w:color w:val="auto"/>
                <w:kern w:val="2"/>
                <w:sz w:val="24"/>
                <w:szCs w:val="24"/>
                <w:highlight w:val="none"/>
              </w:rPr>
            </w:pPr>
            <w:bookmarkStart w:id="67" w:name="_Toc373333691"/>
            <w:bookmarkStart w:id="68" w:name="_Toc173066403"/>
            <w:bookmarkStart w:id="69" w:name="_Toc383699908"/>
            <w:bookmarkStart w:id="70" w:name="_Toc173211902"/>
            <w:bookmarkStart w:id="71" w:name="_Toc301781613"/>
            <w:bookmarkStart w:id="72" w:name="_Toc254970590"/>
            <w:bookmarkStart w:id="73" w:name="_Toc295404983"/>
            <w:bookmarkStart w:id="74" w:name="_Toc297193187"/>
            <w:bookmarkStart w:id="75" w:name="_Toc254970731"/>
            <w:r>
              <w:rPr>
                <w:rFonts w:hint="eastAsia" w:ascii="宋体" w:hAnsi="宋体" w:eastAsia="宋体" w:cs="宋体"/>
                <w:color w:val="auto"/>
                <w:kern w:val="2"/>
                <w:sz w:val="24"/>
                <w:szCs w:val="24"/>
                <w:highlight w:val="none"/>
              </w:rPr>
              <w:t>竞标响应</w:t>
            </w:r>
            <w:bookmarkEnd w:id="67"/>
            <w:bookmarkEnd w:id="68"/>
            <w:bookmarkEnd w:id="69"/>
            <w:bookmarkEnd w:id="70"/>
            <w:bookmarkEnd w:id="71"/>
            <w:bookmarkEnd w:id="72"/>
            <w:bookmarkEnd w:id="73"/>
            <w:bookmarkEnd w:id="74"/>
            <w:bookmarkEnd w:id="75"/>
          </w:p>
        </w:tc>
        <w:tc>
          <w:tcPr>
            <w:tcW w:w="1467" w:type="dxa"/>
            <w:tcBorders>
              <w:top w:val="single" w:color="auto" w:sz="4" w:space="0"/>
            </w:tcBorders>
            <w:vAlign w:val="center"/>
          </w:tcPr>
          <w:p w14:paraId="7A94799C">
            <w:pPr>
              <w:pStyle w:val="13"/>
              <w:spacing w:line="360" w:lineRule="auto"/>
              <w:ind w:firstLine="0" w:firstLineChars="0"/>
              <w:contextualSpacing/>
              <w:jc w:val="center"/>
              <w:rPr>
                <w:rFonts w:ascii="宋体" w:hAnsi="宋体" w:eastAsia="宋体" w:cs="宋体"/>
                <w:color w:val="auto"/>
                <w:kern w:val="2"/>
                <w:sz w:val="24"/>
                <w:szCs w:val="24"/>
                <w:highlight w:val="none"/>
              </w:rPr>
            </w:pPr>
            <w:bookmarkStart w:id="76" w:name="_Toc254970732"/>
            <w:bookmarkStart w:id="77" w:name="_Toc254970591"/>
            <w:bookmarkStart w:id="78" w:name="_Toc383699909"/>
            <w:bookmarkStart w:id="79" w:name="_Toc173211903"/>
            <w:bookmarkStart w:id="80" w:name="_Toc301781614"/>
            <w:bookmarkStart w:id="81" w:name="_Toc295404984"/>
            <w:bookmarkStart w:id="82" w:name="_Toc173066404"/>
            <w:bookmarkStart w:id="83" w:name="_Toc373333692"/>
            <w:bookmarkStart w:id="84" w:name="_Toc297193188"/>
            <w:r>
              <w:rPr>
                <w:rFonts w:hint="eastAsia" w:ascii="宋体" w:hAnsi="宋体" w:eastAsia="宋体" w:cs="宋体"/>
                <w:color w:val="auto"/>
                <w:kern w:val="2"/>
                <w:sz w:val="24"/>
                <w:szCs w:val="24"/>
                <w:highlight w:val="none"/>
              </w:rPr>
              <w:t>偏离</w:t>
            </w:r>
            <w:bookmarkEnd w:id="76"/>
            <w:bookmarkEnd w:id="77"/>
            <w:bookmarkEnd w:id="78"/>
            <w:bookmarkEnd w:id="79"/>
            <w:bookmarkEnd w:id="80"/>
            <w:bookmarkEnd w:id="81"/>
            <w:bookmarkEnd w:id="82"/>
            <w:bookmarkEnd w:id="83"/>
            <w:bookmarkEnd w:id="84"/>
            <w:bookmarkStart w:id="85" w:name="_Toc254970592"/>
            <w:bookmarkStart w:id="86" w:name="_Toc254970733"/>
            <w:bookmarkStart w:id="87" w:name="_Toc373333693"/>
            <w:bookmarkStart w:id="88" w:name="_Toc173211904"/>
            <w:bookmarkStart w:id="89" w:name="_Toc301781615"/>
            <w:bookmarkStart w:id="90" w:name="_Toc297193189"/>
            <w:bookmarkStart w:id="91" w:name="_Toc295404985"/>
            <w:bookmarkStart w:id="92" w:name="_Toc383699910"/>
            <w:bookmarkStart w:id="93" w:name="_Toc173066405"/>
            <w:r>
              <w:rPr>
                <w:rFonts w:hint="eastAsia" w:ascii="宋体" w:hAnsi="宋体" w:eastAsia="宋体" w:cs="宋体"/>
                <w:color w:val="auto"/>
                <w:kern w:val="2"/>
                <w:sz w:val="24"/>
                <w:szCs w:val="24"/>
                <w:highlight w:val="none"/>
              </w:rPr>
              <w:t>说明</w:t>
            </w:r>
            <w:bookmarkEnd w:id="85"/>
            <w:bookmarkEnd w:id="86"/>
            <w:bookmarkEnd w:id="87"/>
            <w:bookmarkEnd w:id="88"/>
            <w:bookmarkEnd w:id="89"/>
            <w:bookmarkEnd w:id="90"/>
            <w:bookmarkEnd w:id="91"/>
            <w:bookmarkEnd w:id="92"/>
            <w:bookmarkEnd w:id="93"/>
          </w:p>
        </w:tc>
      </w:tr>
      <w:tr w14:paraId="128C87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67" w:type="dxa"/>
            <w:vAlign w:val="center"/>
          </w:tcPr>
          <w:p w14:paraId="58DB5554">
            <w:pPr>
              <w:pStyle w:val="13"/>
              <w:spacing w:line="360" w:lineRule="auto"/>
              <w:ind w:firstLine="0" w:firstLineChars="0"/>
              <w:contextualSpacing/>
              <w:jc w:val="left"/>
              <w:rPr>
                <w:rFonts w:hint="default" w:ascii="宋体" w:hAnsi="宋体" w:eastAsia="宋体" w:cs="宋体"/>
                <w:color w:val="auto"/>
                <w:kern w:val="2"/>
                <w:sz w:val="24"/>
                <w:szCs w:val="24"/>
                <w:highlight w:val="none"/>
                <w:lang w:val="en-US" w:eastAsia="zh-CN"/>
              </w:rPr>
            </w:pPr>
          </w:p>
        </w:tc>
        <w:tc>
          <w:tcPr>
            <w:tcW w:w="900" w:type="dxa"/>
            <w:tcBorders>
              <w:right w:val="single" w:color="auto" w:sz="4" w:space="0"/>
            </w:tcBorders>
            <w:vAlign w:val="center"/>
          </w:tcPr>
          <w:p w14:paraId="2D7227DF">
            <w:pPr>
              <w:pStyle w:val="13"/>
              <w:spacing w:line="360" w:lineRule="auto"/>
              <w:ind w:firstLine="0" w:firstLineChars="0"/>
              <w:contextualSpacing/>
              <w:jc w:val="center"/>
              <w:rPr>
                <w:rFonts w:ascii="宋体" w:hAnsi="宋体" w:eastAsia="宋体" w:cs="宋体"/>
                <w:color w:val="auto"/>
                <w:kern w:val="2"/>
                <w:sz w:val="24"/>
                <w:szCs w:val="24"/>
                <w:highlight w:val="none"/>
              </w:rPr>
            </w:pPr>
          </w:p>
        </w:tc>
        <w:tc>
          <w:tcPr>
            <w:tcW w:w="2989" w:type="dxa"/>
            <w:tcBorders>
              <w:left w:val="single" w:color="auto" w:sz="4" w:space="0"/>
            </w:tcBorders>
            <w:vAlign w:val="center"/>
          </w:tcPr>
          <w:p w14:paraId="61AC9CF4">
            <w:pPr>
              <w:pStyle w:val="13"/>
              <w:spacing w:line="360" w:lineRule="auto"/>
              <w:ind w:firstLine="0" w:firstLineChars="0"/>
              <w:contextualSpacing/>
              <w:jc w:val="center"/>
              <w:rPr>
                <w:rFonts w:ascii="宋体" w:hAnsi="宋体" w:eastAsia="宋体" w:cs="宋体"/>
                <w:color w:val="auto"/>
                <w:kern w:val="2"/>
                <w:sz w:val="24"/>
                <w:szCs w:val="24"/>
                <w:highlight w:val="none"/>
              </w:rPr>
            </w:pPr>
          </w:p>
        </w:tc>
        <w:tc>
          <w:tcPr>
            <w:tcW w:w="2690" w:type="dxa"/>
            <w:vAlign w:val="center"/>
          </w:tcPr>
          <w:p w14:paraId="4E06597C">
            <w:pPr>
              <w:pStyle w:val="13"/>
              <w:spacing w:line="360" w:lineRule="auto"/>
              <w:ind w:firstLine="0" w:firstLineChars="0"/>
              <w:contextualSpacing/>
              <w:jc w:val="center"/>
              <w:rPr>
                <w:rFonts w:ascii="宋体" w:hAnsi="宋体" w:eastAsia="宋体" w:cs="宋体"/>
                <w:color w:val="auto"/>
                <w:kern w:val="2"/>
                <w:sz w:val="24"/>
                <w:szCs w:val="24"/>
                <w:highlight w:val="none"/>
              </w:rPr>
            </w:pPr>
          </w:p>
        </w:tc>
        <w:tc>
          <w:tcPr>
            <w:tcW w:w="1467" w:type="dxa"/>
            <w:vAlign w:val="center"/>
          </w:tcPr>
          <w:p w14:paraId="19AC9F62">
            <w:pPr>
              <w:pStyle w:val="13"/>
              <w:spacing w:line="360" w:lineRule="auto"/>
              <w:ind w:firstLine="0" w:firstLineChars="0"/>
              <w:contextualSpacing/>
              <w:jc w:val="center"/>
              <w:rPr>
                <w:rFonts w:ascii="宋体" w:hAnsi="宋体" w:eastAsia="宋体" w:cs="宋体"/>
                <w:color w:val="auto"/>
                <w:kern w:val="2"/>
                <w:sz w:val="24"/>
                <w:szCs w:val="24"/>
                <w:highlight w:val="none"/>
              </w:rPr>
            </w:pPr>
          </w:p>
        </w:tc>
      </w:tr>
      <w:tr w14:paraId="1350BB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67" w:type="dxa"/>
            <w:vAlign w:val="center"/>
          </w:tcPr>
          <w:p w14:paraId="1B497545">
            <w:pPr>
              <w:pStyle w:val="13"/>
              <w:spacing w:line="360" w:lineRule="auto"/>
              <w:ind w:firstLine="0" w:firstLineChars="0"/>
              <w:contextualSpacing/>
              <w:jc w:val="left"/>
              <w:rPr>
                <w:rFonts w:hint="eastAsia" w:ascii="宋体" w:hAnsi="宋体" w:eastAsia="宋体" w:cs="宋体"/>
                <w:color w:val="auto"/>
                <w:kern w:val="2"/>
                <w:sz w:val="24"/>
                <w:szCs w:val="24"/>
                <w:highlight w:val="none"/>
                <w:lang w:val="en-US" w:eastAsia="zh-CN"/>
              </w:rPr>
            </w:pPr>
          </w:p>
        </w:tc>
        <w:tc>
          <w:tcPr>
            <w:tcW w:w="900" w:type="dxa"/>
            <w:tcBorders>
              <w:right w:val="single" w:color="auto" w:sz="4" w:space="0"/>
            </w:tcBorders>
            <w:vAlign w:val="center"/>
          </w:tcPr>
          <w:p w14:paraId="19CD1661">
            <w:pPr>
              <w:pStyle w:val="13"/>
              <w:spacing w:line="360" w:lineRule="auto"/>
              <w:ind w:firstLine="0" w:firstLineChars="0"/>
              <w:contextualSpacing/>
              <w:jc w:val="center"/>
              <w:rPr>
                <w:rFonts w:ascii="宋体" w:hAnsi="宋体" w:eastAsia="宋体" w:cs="宋体"/>
                <w:color w:val="auto"/>
                <w:kern w:val="2"/>
                <w:sz w:val="24"/>
                <w:szCs w:val="24"/>
                <w:highlight w:val="none"/>
              </w:rPr>
            </w:pPr>
          </w:p>
        </w:tc>
        <w:tc>
          <w:tcPr>
            <w:tcW w:w="2989" w:type="dxa"/>
            <w:tcBorders>
              <w:left w:val="single" w:color="auto" w:sz="4" w:space="0"/>
            </w:tcBorders>
            <w:vAlign w:val="center"/>
          </w:tcPr>
          <w:p w14:paraId="1259C9FF">
            <w:pPr>
              <w:pStyle w:val="13"/>
              <w:spacing w:line="360" w:lineRule="auto"/>
              <w:ind w:firstLine="0" w:firstLineChars="0"/>
              <w:contextualSpacing/>
              <w:jc w:val="center"/>
              <w:rPr>
                <w:rFonts w:ascii="宋体" w:hAnsi="宋体" w:eastAsia="宋体" w:cs="宋体"/>
                <w:color w:val="auto"/>
                <w:kern w:val="2"/>
                <w:sz w:val="24"/>
                <w:szCs w:val="24"/>
                <w:highlight w:val="none"/>
              </w:rPr>
            </w:pPr>
          </w:p>
        </w:tc>
        <w:tc>
          <w:tcPr>
            <w:tcW w:w="2690" w:type="dxa"/>
            <w:vAlign w:val="center"/>
          </w:tcPr>
          <w:p w14:paraId="74CAB4CD">
            <w:pPr>
              <w:pStyle w:val="13"/>
              <w:spacing w:line="360" w:lineRule="auto"/>
              <w:ind w:firstLine="0" w:firstLineChars="0"/>
              <w:contextualSpacing/>
              <w:jc w:val="center"/>
              <w:rPr>
                <w:rFonts w:ascii="宋体" w:hAnsi="宋体" w:eastAsia="宋体" w:cs="宋体"/>
                <w:color w:val="auto"/>
                <w:kern w:val="2"/>
                <w:sz w:val="24"/>
                <w:szCs w:val="24"/>
                <w:highlight w:val="none"/>
              </w:rPr>
            </w:pPr>
          </w:p>
        </w:tc>
        <w:tc>
          <w:tcPr>
            <w:tcW w:w="1467" w:type="dxa"/>
            <w:vAlign w:val="center"/>
          </w:tcPr>
          <w:p w14:paraId="038F771D">
            <w:pPr>
              <w:pStyle w:val="13"/>
              <w:spacing w:line="360" w:lineRule="auto"/>
              <w:ind w:firstLine="0" w:firstLineChars="0"/>
              <w:contextualSpacing/>
              <w:jc w:val="center"/>
              <w:rPr>
                <w:rFonts w:ascii="宋体" w:hAnsi="宋体" w:eastAsia="宋体" w:cs="宋体"/>
                <w:color w:val="auto"/>
                <w:kern w:val="2"/>
                <w:sz w:val="24"/>
                <w:szCs w:val="24"/>
                <w:highlight w:val="none"/>
              </w:rPr>
            </w:pPr>
          </w:p>
        </w:tc>
      </w:tr>
      <w:tr w14:paraId="188067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67" w:type="dxa"/>
            <w:vAlign w:val="center"/>
          </w:tcPr>
          <w:p w14:paraId="0F1D3E55">
            <w:pPr>
              <w:pStyle w:val="13"/>
              <w:spacing w:line="360" w:lineRule="auto"/>
              <w:ind w:firstLine="0" w:firstLineChars="0"/>
              <w:contextualSpacing/>
              <w:jc w:val="left"/>
              <w:rPr>
                <w:rFonts w:hint="eastAsia" w:ascii="宋体" w:hAnsi="宋体" w:eastAsia="仿宋" w:cs="宋体"/>
                <w:color w:val="auto"/>
                <w:kern w:val="2"/>
                <w:sz w:val="24"/>
                <w:szCs w:val="24"/>
                <w:highlight w:val="none"/>
                <w:lang w:val="en-US" w:eastAsia="zh-CN"/>
              </w:rPr>
            </w:pPr>
            <w:r>
              <w:rPr>
                <w:rFonts w:hint="eastAsia" w:ascii="宋体" w:hAnsi="宋体" w:eastAsia="仿宋" w:cs="宋体"/>
                <w:color w:val="auto"/>
                <w:kern w:val="2"/>
                <w:sz w:val="24"/>
                <w:szCs w:val="24"/>
                <w:highlight w:val="none"/>
                <w:lang w:val="en-US" w:eastAsia="zh-CN"/>
              </w:rPr>
              <w:t>……</w:t>
            </w:r>
          </w:p>
        </w:tc>
        <w:tc>
          <w:tcPr>
            <w:tcW w:w="900" w:type="dxa"/>
            <w:tcBorders>
              <w:right w:val="single" w:color="auto" w:sz="4" w:space="0"/>
            </w:tcBorders>
            <w:vAlign w:val="center"/>
          </w:tcPr>
          <w:p w14:paraId="1E050C02">
            <w:pPr>
              <w:pStyle w:val="13"/>
              <w:spacing w:line="360" w:lineRule="auto"/>
              <w:ind w:firstLine="0" w:firstLineChars="0"/>
              <w:contextualSpacing/>
              <w:jc w:val="center"/>
              <w:rPr>
                <w:rFonts w:ascii="宋体" w:hAnsi="宋体" w:eastAsia="宋体" w:cs="宋体"/>
                <w:color w:val="auto"/>
                <w:kern w:val="2"/>
                <w:sz w:val="24"/>
                <w:szCs w:val="24"/>
                <w:highlight w:val="none"/>
              </w:rPr>
            </w:pPr>
          </w:p>
        </w:tc>
        <w:tc>
          <w:tcPr>
            <w:tcW w:w="2989" w:type="dxa"/>
            <w:tcBorders>
              <w:left w:val="single" w:color="auto" w:sz="4" w:space="0"/>
            </w:tcBorders>
            <w:vAlign w:val="center"/>
          </w:tcPr>
          <w:p w14:paraId="2DBC8A53">
            <w:pPr>
              <w:pStyle w:val="13"/>
              <w:spacing w:line="360" w:lineRule="auto"/>
              <w:ind w:firstLine="0" w:firstLineChars="0"/>
              <w:contextualSpacing/>
              <w:jc w:val="center"/>
              <w:rPr>
                <w:rFonts w:ascii="宋体" w:hAnsi="宋体" w:eastAsia="宋体" w:cs="宋体"/>
                <w:color w:val="auto"/>
                <w:kern w:val="2"/>
                <w:sz w:val="24"/>
                <w:szCs w:val="24"/>
                <w:highlight w:val="none"/>
              </w:rPr>
            </w:pPr>
          </w:p>
        </w:tc>
        <w:tc>
          <w:tcPr>
            <w:tcW w:w="2690" w:type="dxa"/>
            <w:vAlign w:val="center"/>
          </w:tcPr>
          <w:p w14:paraId="4F93AFC2">
            <w:pPr>
              <w:pStyle w:val="13"/>
              <w:spacing w:line="360" w:lineRule="auto"/>
              <w:ind w:firstLine="0" w:firstLineChars="0"/>
              <w:contextualSpacing/>
              <w:jc w:val="center"/>
              <w:rPr>
                <w:rFonts w:ascii="宋体" w:hAnsi="宋体" w:eastAsia="宋体" w:cs="宋体"/>
                <w:color w:val="auto"/>
                <w:kern w:val="2"/>
                <w:sz w:val="24"/>
                <w:szCs w:val="24"/>
                <w:highlight w:val="none"/>
              </w:rPr>
            </w:pPr>
          </w:p>
        </w:tc>
        <w:tc>
          <w:tcPr>
            <w:tcW w:w="1467" w:type="dxa"/>
            <w:vAlign w:val="center"/>
          </w:tcPr>
          <w:p w14:paraId="4C012C12">
            <w:pPr>
              <w:pStyle w:val="13"/>
              <w:spacing w:line="360" w:lineRule="auto"/>
              <w:ind w:firstLine="0" w:firstLineChars="0"/>
              <w:contextualSpacing/>
              <w:jc w:val="center"/>
              <w:rPr>
                <w:rFonts w:ascii="宋体" w:hAnsi="宋体" w:eastAsia="宋体" w:cs="宋体"/>
                <w:color w:val="auto"/>
                <w:kern w:val="2"/>
                <w:sz w:val="24"/>
                <w:szCs w:val="24"/>
                <w:highlight w:val="none"/>
              </w:rPr>
            </w:pPr>
          </w:p>
        </w:tc>
      </w:tr>
    </w:tbl>
    <w:p w14:paraId="210962A5">
      <w:pPr>
        <w:spacing w:line="360" w:lineRule="auto"/>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2A318847">
      <w:pPr>
        <w:spacing w:line="360" w:lineRule="auto"/>
        <w:contextualSpacing/>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1.说明：应对照磋商文件“第二章”中</w:t>
      </w:r>
      <w:r>
        <w:rPr>
          <w:rFonts w:hint="eastAsia" w:ascii="宋体" w:hAnsi="宋体" w:cs="宋体"/>
          <w:color w:val="auto"/>
          <w:kern w:val="0"/>
          <w:szCs w:val="21"/>
          <w:highlight w:val="none"/>
          <w:lang w:val="en-US" w:eastAsia="zh-CN"/>
        </w:rPr>
        <w:t>的</w:t>
      </w:r>
      <w:r>
        <w:rPr>
          <w:rFonts w:hint="eastAsia" w:ascii="宋体" w:hAnsi="宋体" w:cs="宋体"/>
          <w:color w:val="auto"/>
          <w:kern w:val="0"/>
          <w:szCs w:val="21"/>
          <w:highlight w:val="none"/>
          <w:lang w:eastAsia="zh-CN"/>
        </w:rPr>
        <w:t>“</w:t>
      </w:r>
      <w:r>
        <w:rPr>
          <w:rFonts w:hint="eastAsia" w:ascii="宋体" w:hAnsi="宋体" w:cs="宋体"/>
          <w:b/>
          <w:bCs/>
          <w:color w:val="auto"/>
          <w:kern w:val="0"/>
          <w:szCs w:val="21"/>
          <w:highlight w:val="none"/>
          <w:lang w:eastAsia="zh-CN"/>
        </w:rPr>
        <w:t>▲一、采购项目需求一览表</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条款逐条作出明确响应，并作出偏离说明。</w:t>
      </w:r>
    </w:p>
    <w:p w14:paraId="44503BA3">
      <w:pPr>
        <w:spacing w:line="400" w:lineRule="exact"/>
        <w:contextualSpacing/>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73F80A21">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3.表格内容均需按要求填写并盖章，不得留空，否则按竞标无效处理。</w:t>
      </w:r>
    </w:p>
    <w:p w14:paraId="24D9B65C">
      <w:pPr>
        <w:spacing w:line="400" w:lineRule="exact"/>
        <w:contextualSpacing/>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4.如技术偏离表中的竞标响应与佐证材料不一致的，以佐证材料为准。</w:t>
      </w:r>
    </w:p>
    <w:p w14:paraId="5DED5854">
      <w:pPr>
        <w:snapToGrid w:val="0"/>
        <w:spacing w:line="360" w:lineRule="auto"/>
        <w:ind w:firstLine="602" w:firstLineChars="200"/>
        <w:rPr>
          <w:rFonts w:hint="eastAsia" w:ascii="宋体" w:hAnsi="宋体" w:eastAsia="宋体" w:cs="宋体"/>
          <w:b/>
          <w:color w:val="auto"/>
          <w:sz w:val="30"/>
          <w:szCs w:val="30"/>
          <w:highlight w:val="none"/>
        </w:rPr>
      </w:pPr>
    </w:p>
    <w:p w14:paraId="39BA19D7">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61CDEFF">
      <w:pPr>
        <w:autoSpaceDE w:val="0"/>
        <w:autoSpaceDN w:val="0"/>
        <w:spacing w:line="360" w:lineRule="auto"/>
        <w:ind w:firstLine="6480" w:firstLineChars="27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  年  月   日</w:t>
      </w:r>
    </w:p>
    <w:p w14:paraId="7CA47B40">
      <w:pPr>
        <w:autoSpaceDE w:val="0"/>
        <w:autoSpaceDN w:val="0"/>
        <w:spacing w:line="360" w:lineRule="auto"/>
        <w:ind w:firstLine="6480" w:firstLineChars="2700"/>
        <w:rPr>
          <w:rFonts w:hint="eastAsia" w:ascii="宋体" w:hAnsi="宋体" w:eastAsia="宋体" w:cs="宋体"/>
          <w:color w:val="auto"/>
          <w:sz w:val="24"/>
          <w:highlight w:val="none"/>
        </w:rPr>
      </w:pPr>
    </w:p>
    <w:p w14:paraId="6D4B10F4">
      <w:pPr>
        <w:autoSpaceDE w:val="0"/>
        <w:autoSpaceDN w:val="0"/>
        <w:spacing w:line="360" w:lineRule="auto"/>
        <w:ind w:firstLine="6480" w:firstLineChars="2700"/>
        <w:rPr>
          <w:rFonts w:hint="eastAsia" w:ascii="宋体" w:hAnsi="宋体" w:eastAsia="宋体" w:cs="宋体"/>
          <w:color w:val="auto"/>
          <w:sz w:val="24"/>
          <w:highlight w:val="none"/>
        </w:rPr>
      </w:pPr>
    </w:p>
    <w:p w14:paraId="74C01A09">
      <w:pPr>
        <w:autoSpaceDE w:val="0"/>
        <w:autoSpaceDN w:val="0"/>
        <w:spacing w:line="360" w:lineRule="auto"/>
        <w:ind w:firstLine="6480" w:firstLineChars="2700"/>
        <w:rPr>
          <w:rFonts w:hint="eastAsia" w:ascii="宋体" w:hAnsi="宋体" w:eastAsia="宋体" w:cs="宋体"/>
          <w:color w:val="auto"/>
          <w:sz w:val="24"/>
          <w:highlight w:val="none"/>
        </w:rPr>
      </w:pPr>
    </w:p>
    <w:p w14:paraId="0A11A6B4">
      <w:pPr>
        <w:autoSpaceDE w:val="0"/>
        <w:autoSpaceDN w:val="0"/>
        <w:spacing w:line="360" w:lineRule="auto"/>
        <w:ind w:firstLine="6480" w:firstLineChars="2700"/>
        <w:rPr>
          <w:rFonts w:hint="eastAsia" w:ascii="宋体" w:hAnsi="宋体" w:eastAsia="宋体" w:cs="宋体"/>
          <w:color w:val="auto"/>
          <w:sz w:val="24"/>
          <w:highlight w:val="none"/>
        </w:rPr>
      </w:pPr>
    </w:p>
    <w:p w14:paraId="55B74BB2">
      <w:pPr>
        <w:autoSpaceDE w:val="0"/>
        <w:autoSpaceDN w:val="0"/>
        <w:spacing w:line="360" w:lineRule="auto"/>
        <w:ind w:firstLine="6480" w:firstLineChars="2700"/>
        <w:rPr>
          <w:rFonts w:hint="eastAsia" w:ascii="宋体" w:hAnsi="宋体" w:eastAsia="宋体" w:cs="宋体"/>
          <w:color w:val="auto"/>
          <w:sz w:val="24"/>
          <w:highlight w:val="none"/>
        </w:rPr>
      </w:pPr>
    </w:p>
    <w:p w14:paraId="3FF4E5FE">
      <w:pPr>
        <w:autoSpaceDE w:val="0"/>
        <w:autoSpaceDN w:val="0"/>
        <w:spacing w:line="360" w:lineRule="auto"/>
        <w:ind w:firstLine="6480" w:firstLineChars="2700"/>
        <w:rPr>
          <w:rFonts w:hint="eastAsia" w:ascii="宋体" w:hAnsi="宋体" w:eastAsia="宋体" w:cs="宋体"/>
          <w:color w:val="auto"/>
          <w:sz w:val="24"/>
          <w:highlight w:val="none"/>
          <w:lang w:val="zh-CN"/>
        </w:rPr>
      </w:pPr>
    </w:p>
    <w:p w14:paraId="3D7BC239">
      <w:pPr>
        <w:pStyle w:val="30"/>
        <w:jc w:val="both"/>
        <w:rPr>
          <w:rFonts w:hint="eastAsia" w:ascii="宋体" w:hAnsi="宋体" w:eastAsia="宋体" w:cs="宋体"/>
          <w:b/>
          <w:bCs w:val="0"/>
          <w:caps w:val="0"/>
          <w:smallCaps w:val="0"/>
          <w:color w:val="auto"/>
          <w:spacing w:val="0"/>
          <w:kern w:val="2"/>
          <w:sz w:val="30"/>
          <w:szCs w:val="30"/>
          <w:highlight w:val="none"/>
          <w:lang w:val="en-US" w:eastAsia="zh-CN"/>
        </w:rPr>
      </w:pPr>
      <w:r>
        <w:rPr>
          <w:rFonts w:hint="eastAsia" w:ascii="宋体" w:hAnsi="宋体" w:eastAsia="宋体" w:cs="宋体"/>
          <w:b/>
          <w:bCs/>
          <w:color w:val="auto"/>
          <w:sz w:val="24"/>
          <w:highlight w:val="none"/>
        </w:rPr>
        <w:br w:type="page"/>
      </w:r>
    </w:p>
    <w:p w14:paraId="15631166">
      <w:pPr>
        <w:rPr>
          <w:rFonts w:hint="eastAsia" w:ascii="宋体" w:hAnsi="宋体" w:eastAsia="宋体" w:cs="宋体"/>
          <w:b/>
          <w:bCs w:val="0"/>
          <w:caps w:val="0"/>
          <w:smallCaps w:val="0"/>
          <w:color w:val="auto"/>
          <w:spacing w:val="0"/>
          <w:kern w:val="2"/>
          <w:sz w:val="30"/>
          <w:szCs w:val="30"/>
          <w:highlight w:val="none"/>
          <w:lang w:val="en-US" w:eastAsia="zh-CN"/>
        </w:rPr>
      </w:pPr>
    </w:p>
    <w:p w14:paraId="573C2459">
      <w:pPr>
        <w:keepNext w:val="0"/>
        <w:keepLines w:val="0"/>
        <w:pageBreakBefore w:val="0"/>
        <w:widowControl/>
        <w:kinsoku/>
        <w:wordWrap/>
        <w:overflowPunct/>
        <w:topLinePunct w:val="0"/>
        <w:autoSpaceDE/>
        <w:autoSpaceDN/>
        <w:bidi w:val="0"/>
        <w:adjustRightInd/>
        <w:snapToGrid/>
        <w:spacing w:before="0" w:beforeLines="0" w:after="0" w:line="240" w:lineRule="auto"/>
        <w:ind w:left="0" w:firstLine="0" w:firstLineChars="0"/>
        <w:jc w:val="center"/>
        <w:textAlignment w:val="auto"/>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rPr>
        <w:t>响应函</w:t>
      </w:r>
    </w:p>
    <w:p w14:paraId="59047C02">
      <w:pPr>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（采购代理机构名称）</w:t>
      </w:r>
    </w:p>
    <w:p w14:paraId="5EB3C986">
      <w:pPr>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我方已仔细阅读了贵方组织的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项目（</w:t>
      </w:r>
      <w:r>
        <w:rPr>
          <w:rFonts w:hint="eastAsia" w:ascii="宋体" w:hAnsi="宋体" w:cs="宋体"/>
          <w:color w:val="auto"/>
          <w:kern w:val="0"/>
          <w:sz w:val="24"/>
          <w:szCs w:val="24"/>
          <w:highlight w:val="none"/>
          <w:lang w:eastAsia="zh-CN"/>
        </w:rPr>
        <w:t>项目编号：</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 xml:space="preserve">）的竞争性磋商采购文件的全部内容，现正式递交下述文件参加贵方组织的本次政府采购活动： </w:t>
      </w:r>
    </w:p>
    <w:p w14:paraId="3C391749">
      <w:pPr>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rPr>
        <w:t>文件电子版</w:t>
      </w:r>
      <w:r>
        <w:rPr>
          <w:rFonts w:hint="eastAsia" w:ascii="宋体" w:hAnsi="宋体" w:eastAsia="宋体" w:cs="宋体"/>
          <w:color w:val="auto"/>
          <w:kern w:val="0"/>
          <w:sz w:val="24"/>
          <w:szCs w:val="24"/>
          <w:highlight w:val="none"/>
          <w:u w:val="none"/>
        </w:rPr>
        <w:t xml:space="preserve"> </w:t>
      </w:r>
      <w:r>
        <w:rPr>
          <w:rFonts w:hint="eastAsia" w:ascii="宋体" w:hAnsi="宋体" w:cs="宋体"/>
          <w:color w:val="auto"/>
          <w:kern w:val="0"/>
          <w:sz w:val="24"/>
          <w:szCs w:val="24"/>
          <w:highlight w:val="none"/>
          <w:u w:val="none"/>
          <w:lang w:val="en-US" w:eastAsia="zh-CN"/>
        </w:rPr>
        <w:t>壹</w:t>
      </w:r>
      <w:r>
        <w:rPr>
          <w:rFonts w:hint="eastAsia" w:ascii="宋体" w:hAnsi="宋体" w:eastAsia="宋体" w:cs="宋体"/>
          <w:color w:val="auto"/>
          <w:kern w:val="0"/>
          <w:sz w:val="24"/>
          <w:szCs w:val="24"/>
          <w:highlight w:val="none"/>
          <w:u w:val="none"/>
        </w:rPr>
        <w:t xml:space="preserve"> </w:t>
      </w:r>
      <w:r>
        <w:rPr>
          <w:rFonts w:hint="eastAsia" w:ascii="宋体" w:hAnsi="宋体" w:cs="宋体"/>
          <w:color w:val="auto"/>
          <w:kern w:val="0"/>
          <w:sz w:val="24"/>
          <w:szCs w:val="24"/>
          <w:highlight w:val="none"/>
          <w:lang w:val="en-US" w:eastAsia="zh-CN"/>
        </w:rPr>
        <w:t>套</w:t>
      </w:r>
      <w:r>
        <w:rPr>
          <w:rFonts w:hint="eastAsia" w:ascii="宋体" w:hAnsi="宋体" w:eastAsia="宋体" w:cs="宋体"/>
          <w:color w:val="auto"/>
          <w:kern w:val="0"/>
          <w:sz w:val="24"/>
          <w:szCs w:val="24"/>
          <w:highlight w:val="none"/>
        </w:rPr>
        <w:t>（包含按“第三章 供应商须知”提交的全部文件）；</w:t>
      </w:r>
    </w:p>
    <w:p w14:paraId="1F07AEE2">
      <w:pPr>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据此函，签字人兹宣布：</w:t>
      </w:r>
    </w:p>
    <w:p w14:paraId="7F7620C6">
      <w:pPr>
        <w:pStyle w:val="14"/>
        <w:spacing w:line="4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我方愿意以报价文件电子版</w:t>
      </w:r>
      <w:r>
        <w:rPr>
          <w:rFonts w:hint="eastAsia" w:ascii="宋体" w:hAnsi="宋体" w:eastAsia="宋体" w:cs="宋体"/>
          <w:color w:val="auto"/>
          <w:sz w:val="24"/>
          <w:szCs w:val="24"/>
          <w:highlight w:val="none"/>
          <w:lang w:val="en-US" w:eastAsia="zh-CN"/>
        </w:rPr>
        <w:t>的响应报价表中</w:t>
      </w:r>
      <w:r>
        <w:rPr>
          <w:rFonts w:hint="eastAsia" w:ascii="宋体" w:hAnsi="宋体" w:eastAsia="宋体" w:cs="宋体"/>
          <w:color w:val="auto"/>
          <w:sz w:val="24"/>
          <w:szCs w:val="24"/>
          <w:highlight w:val="none"/>
        </w:rPr>
        <w:t>的报价，</w:t>
      </w:r>
      <w:r>
        <w:rPr>
          <w:rFonts w:hint="eastAsia" w:ascii="宋体" w:hAnsi="宋体" w:eastAsia="宋体" w:cs="宋体"/>
          <w:color w:val="auto"/>
          <w:sz w:val="24"/>
          <w:szCs w:val="24"/>
          <w:highlight w:val="none"/>
          <w:lang w:val="en-US" w:eastAsia="zh-CN"/>
        </w:rPr>
        <w:t>按照我方承诺的内容</w:t>
      </w:r>
      <w:r>
        <w:rPr>
          <w:rFonts w:hint="eastAsia" w:ascii="宋体" w:hAnsi="宋体" w:eastAsia="宋体" w:cs="宋体"/>
          <w:color w:val="auto"/>
          <w:sz w:val="24"/>
          <w:szCs w:val="24"/>
          <w:highlight w:val="none"/>
        </w:rPr>
        <w:t>提供本项目</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第二章“</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需求”中的相应的采购内容。</w:t>
      </w:r>
    </w:p>
    <w:p w14:paraId="3B812CDD">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2、我方同意自本项目竞争性磋商采购文件采购公告规定的递交响应文件截止时间起遵循本响应函，并承诺在“第三章 供应商须知”规定的响应有效期内不修改、撤销响应文件。</w:t>
      </w:r>
    </w:p>
    <w:p w14:paraId="325B5DFF">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3、我方在此声明，所递交的响应文件及有关资料内容完整、真实和准确。</w:t>
      </w:r>
    </w:p>
    <w:p w14:paraId="6F59B403">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4、如本项目采购内容涉及须符合国家强制规定的，我方承诺我方本次竞标均符合国家有关强制规定。</w:t>
      </w:r>
    </w:p>
    <w:p w14:paraId="6E9DEF2A">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5、我方承诺未被列入失信被执行人、</w:t>
      </w:r>
      <w:r>
        <w:rPr>
          <w:rFonts w:hint="eastAsia" w:ascii="宋体" w:hAnsi="宋体" w:eastAsia="宋体" w:cs="宋体"/>
          <w:color w:val="auto"/>
          <w:sz w:val="24"/>
          <w:szCs w:val="24"/>
          <w:highlight w:val="none"/>
        </w:rPr>
        <w:t>重大税收违法</w:t>
      </w:r>
      <w:r>
        <w:rPr>
          <w:rFonts w:hint="eastAsia" w:ascii="宋体" w:hAnsi="宋体" w:eastAsia="宋体" w:cs="宋体"/>
          <w:color w:val="auto"/>
          <w:sz w:val="24"/>
          <w:szCs w:val="24"/>
          <w:highlight w:val="none"/>
          <w:lang w:val="en-US" w:eastAsia="zh-CN"/>
        </w:rPr>
        <w:t>失信主体</w:t>
      </w:r>
      <w:r>
        <w:rPr>
          <w:rFonts w:hint="eastAsia" w:ascii="宋体" w:hAnsi="宋体" w:eastAsia="宋体" w:cs="宋体"/>
          <w:color w:val="auto"/>
          <w:kern w:val="0"/>
          <w:sz w:val="24"/>
          <w:szCs w:val="24"/>
          <w:highlight w:val="none"/>
        </w:rPr>
        <w:t>、政府采购严重违法失信行为记录名单，并已经具备《中华人民共和国政府采购法》中规定的参加政府采购活动的供应商应当具备的条件：</w:t>
      </w:r>
    </w:p>
    <w:p w14:paraId="6E105B95">
      <w:pPr>
        <w:numPr>
          <w:ilvl w:val="0"/>
          <w:numId w:val="2"/>
        </w:numPr>
        <w:tabs>
          <w:tab w:val="left" w:pos="945"/>
        </w:tabs>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具有独立承担民事责任的能力；</w:t>
      </w:r>
    </w:p>
    <w:p w14:paraId="4A340B85">
      <w:pPr>
        <w:numPr>
          <w:ilvl w:val="0"/>
          <w:numId w:val="2"/>
        </w:numPr>
        <w:tabs>
          <w:tab w:val="left" w:pos="945"/>
        </w:tabs>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具有良好的商业信誉和健全的财务会计制度；</w:t>
      </w:r>
    </w:p>
    <w:p w14:paraId="10020755">
      <w:pPr>
        <w:numPr>
          <w:ilvl w:val="0"/>
          <w:numId w:val="2"/>
        </w:numPr>
        <w:tabs>
          <w:tab w:val="left" w:pos="945"/>
        </w:tabs>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具有履行合同所必需的设备和专业技术能力；</w:t>
      </w:r>
    </w:p>
    <w:p w14:paraId="6322AF23">
      <w:pPr>
        <w:numPr>
          <w:ilvl w:val="0"/>
          <w:numId w:val="2"/>
        </w:numPr>
        <w:tabs>
          <w:tab w:val="left" w:pos="945"/>
        </w:tabs>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有依法缴纳税收和社会保障资金的良好记录；</w:t>
      </w:r>
    </w:p>
    <w:p w14:paraId="6E837543">
      <w:pPr>
        <w:numPr>
          <w:ilvl w:val="0"/>
          <w:numId w:val="2"/>
        </w:numPr>
        <w:tabs>
          <w:tab w:val="left" w:pos="945"/>
        </w:tabs>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参加政府采购活动前三年内，在经营活动中没有重大违法记录；</w:t>
      </w:r>
    </w:p>
    <w:p w14:paraId="676CAC93">
      <w:pPr>
        <w:numPr>
          <w:ilvl w:val="0"/>
          <w:numId w:val="2"/>
        </w:numPr>
        <w:tabs>
          <w:tab w:val="left" w:pos="945"/>
        </w:tabs>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法律、行政法规规定的其他条件。</w:t>
      </w:r>
    </w:p>
    <w:p w14:paraId="05EB8E89">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24E74195">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7、我方已详细审核竞争性磋商采购文件，我方知道必须放弃提出含糊不清或误解问题的权利。</w:t>
      </w:r>
    </w:p>
    <w:p w14:paraId="4D051DEF">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8、我方承诺满足竞争性磋商采购文件第六章“合同文本”的条款，承担完成合同的责任和义务。</w:t>
      </w:r>
    </w:p>
    <w:p w14:paraId="01132385">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9、我方同意应贵方要求提供与本竞标有关的任何数据或资料。若贵方需要，我方愿意提供我方作出的一切承诺的证明材料。</w:t>
      </w:r>
    </w:p>
    <w:p w14:paraId="48A49AD1">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10、我方完全理解贵方不一定接受响应报价最低的竞标人为成交供应商的行为。</w:t>
      </w:r>
    </w:p>
    <w:p w14:paraId="084B7113">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B628220">
      <w:pPr>
        <w:numPr>
          <w:ilvl w:val="0"/>
          <w:numId w:val="3"/>
        </w:numPr>
        <w:tabs>
          <w:tab w:val="left" w:pos="945"/>
        </w:tabs>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提供虚假材料谋取中标、成交的；</w:t>
      </w:r>
    </w:p>
    <w:p w14:paraId="53E53CCF">
      <w:pPr>
        <w:numPr>
          <w:ilvl w:val="0"/>
          <w:numId w:val="3"/>
        </w:numPr>
        <w:tabs>
          <w:tab w:val="left" w:pos="945"/>
        </w:tabs>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采取不正当手段诋毁、排挤其他供应商的；</w:t>
      </w:r>
    </w:p>
    <w:p w14:paraId="3F3DD52D">
      <w:pPr>
        <w:keepNext w:val="0"/>
        <w:keepLines w:val="0"/>
        <w:pageBreakBefore w:val="0"/>
        <w:widowControl w:val="0"/>
        <w:numPr>
          <w:ilvl w:val="0"/>
          <w:numId w:val="3"/>
        </w:numPr>
        <w:tabs>
          <w:tab w:val="left" w:pos="945"/>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与采购人、其他供应商或者采购代理机构恶意串通的；</w:t>
      </w:r>
    </w:p>
    <w:p w14:paraId="163BCA44">
      <w:pPr>
        <w:keepNext w:val="0"/>
        <w:keepLines w:val="0"/>
        <w:pageBreakBefore w:val="0"/>
        <w:widowControl w:val="0"/>
        <w:numPr>
          <w:ilvl w:val="0"/>
          <w:numId w:val="3"/>
        </w:numPr>
        <w:tabs>
          <w:tab w:val="left" w:pos="945"/>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向采购人、采购代理机构行贿或者提供其他不正当利益的；</w:t>
      </w:r>
    </w:p>
    <w:p w14:paraId="2B7B89E6">
      <w:pPr>
        <w:keepNext w:val="0"/>
        <w:keepLines w:val="0"/>
        <w:pageBreakBefore w:val="0"/>
        <w:widowControl w:val="0"/>
        <w:numPr>
          <w:ilvl w:val="0"/>
          <w:numId w:val="3"/>
        </w:numPr>
        <w:tabs>
          <w:tab w:val="left" w:pos="945"/>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在采购过程中与采购人进行协商</w:t>
      </w:r>
      <w:r>
        <w:rPr>
          <w:rFonts w:hint="eastAsia" w:ascii="宋体" w:hAnsi="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的；</w:t>
      </w:r>
    </w:p>
    <w:p w14:paraId="6F58CB33">
      <w:pPr>
        <w:keepNext w:val="0"/>
        <w:keepLines w:val="0"/>
        <w:pageBreakBefore w:val="0"/>
        <w:widowControl w:val="0"/>
        <w:numPr>
          <w:ilvl w:val="0"/>
          <w:numId w:val="3"/>
        </w:numPr>
        <w:tabs>
          <w:tab w:val="left" w:pos="945"/>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拒绝有关部门监督检查或提供虚假情况的。</w:t>
      </w:r>
    </w:p>
    <w:p w14:paraId="04D08940">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12.与本磋商有关的一切正式往来信函请寄：</w:t>
      </w:r>
    </w:p>
    <w:p w14:paraId="4D9CFEAD">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1A24FFCC">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电话：</w:t>
      </w:r>
      <w:r>
        <w:rPr>
          <w:rFonts w:hint="eastAsia" w:ascii="宋体" w:hAnsi="宋体" w:eastAsia="宋体" w:cs="宋体"/>
          <w:color w:val="auto"/>
          <w:kern w:val="0"/>
          <w:sz w:val="24"/>
          <w:szCs w:val="24"/>
          <w:highlight w:val="none"/>
          <w:u w:val="single"/>
        </w:rPr>
        <w:t xml:space="preserve">                                      　　　　　　　　　</w:t>
      </w:r>
    </w:p>
    <w:p w14:paraId="7202427E">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传真：</w:t>
      </w:r>
      <w:r>
        <w:rPr>
          <w:rFonts w:hint="eastAsia" w:ascii="宋体" w:hAnsi="宋体" w:eastAsia="宋体" w:cs="宋体"/>
          <w:color w:val="auto"/>
          <w:kern w:val="0"/>
          <w:sz w:val="24"/>
          <w:szCs w:val="24"/>
          <w:highlight w:val="none"/>
          <w:u w:val="single"/>
        </w:rPr>
        <w:t>　　　　　　　　　　　　　　　　　　　　　　　　　　　　</w:t>
      </w:r>
    </w:p>
    <w:p w14:paraId="5408B63E">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邮政编码：</w:t>
      </w:r>
      <w:r>
        <w:rPr>
          <w:rFonts w:hint="eastAsia" w:ascii="宋体" w:hAnsi="宋体" w:eastAsia="宋体" w:cs="宋体"/>
          <w:color w:val="auto"/>
          <w:kern w:val="0"/>
          <w:sz w:val="24"/>
          <w:szCs w:val="24"/>
          <w:highlight w:val="none"/>
          <w:u w:val="single"/>
        </w:rPr>
        <w:t xml:space="preserve">                                                    </w:t>
      </w:r>
    </w:p>
    <w:p w14:paraId="554CC493">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开户名称：</w:t>
      </w:r>
      <w:r>
        <w:rPr>
          <w:rFonts w:hint="eastAsia" w:ascii="宋体" w:hAnsi="宋体" w:eastAsia="宋体" w:cs="宋体"/>
          <w:color w:val="auto"/>
          <w:kern w:val="0"/>
          <w:sz w:val="24"/>
          <w:szCs w:val="24"/>
          <w:highlight w:val="none"/>
          <w:u w:val="single"/>
        </w:rPr>
        <w:t xml:space="preserve">                                                    </w:t>
      </w:r>
    </w:p>
    <w:p w14:paraId="59E39C2E">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开户银行：</w:t>
      </w:r>
      <w:r>
        <w:rPr>
          <w:rFonts w:hint="eastAsia" w:ascii="宋体" w:hAnsi="宋体" w:eastAsia="宋体" w:cs="宋体"/>
          <w:color w:val="auto"/>
          <w:kern w:val="0"/>
          <w:sz w:val="24"/>
          <w:szCs w:val="24"/>
          <w:highlight w:val="none"/>
          <w:u w:val="single"/>
        </w:rPr>
        <w:t xml:space="preserve">                                                    </w:t>
      </w:r>
    </w:p>
    <w:p w14:paraId="7A3A1DB5">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银行账号：</w:t>
      </w:r>
      <w:r>
        <w:rPr>
          <w:rFonts w:hint="eastAsia" w:ascii="宋体" w:hAnsi="宋体" w:eastAsia="宋体" w:cs="宋体"/>
          <w:color w:val="auto"/>
          <w:kern w:val="0"/>
          <w:sz w:val="24"/>
          <w:szCs w:val="24"/>
          <w:highlight w:val="none"/>
          <w:u w:val="single"/>
        </w:rPr>
        <w:t xml:space="preserve">                                                    </w:t>
      </w:r>
    </w:p>
    <w:p w14:paraId="180519CB">
      <w:pPr>
        <w:keepNext w:val="0"/>
        <w:keepLines w:val="0"/>
        <w:pageBreakBefore w:val="0"/>
        <w:widowControl w:val="0"/>
        <w:tabs>
          <w:tab w:val="left" w:pos="939"/>
        </w:tabs>
        <w:kinsoku/>
        <w:wordWrap/>
        <w:overflowPunct/>
        <w:topLinePunct w:val="0"/>
        <w:autoSpaceDE/>
        <w:autoSpaceDN/>
        <w:bidi w:val="0"/>
        <w:adjustRightInd/>
        <w:snapToGrid/>
        <w:spacing w:line="440" w:lineRule="exact"/>
        <w:ind w:left="141" w:leftChars="67" w:firstLine="360" w:firstLineChars="15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0C716EA9">
      <w:pPr>
        <w:spacing w:line="360" w:lineRule="auto"/>
        <w:contextualSpacing/>
        <w:jc w:val="left"/>
        <w:rPr>
          <w:rFonts w:hint="eastAsia" w:ascii="宋体" w:hAnsi="宋体" w:eastAsia="宋体" w:cs="宋体"/>
          <w:color w:val="auto"/>
          <w:sz w:val="24"/>
          <w:szCs w:val="24"/>
          <w:highlight w:val="none"/>
        </w:rPr>
      </w:pPr>
    </w:p>
    <w:p w14:paraId="746AA3AF">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供应商名称（电子签章）：</w:t>
      </w:r>
    </w:p>
    <w:p w14:paraId="0D22B2FC">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14:paraId="773190DA">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p>
    <w:p w14:paraId="10E963BD">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p>
    <w:p w14:paraId="28BA5D84">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p>
    <w:p w14:paraId="5D020369">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left="0" w:firstLine="0" w:firstLineChars="0"/>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30"/>
          <w:szCs w:val="30"/>
          <w:highlight w:val="none"/>
        </w:rPr>
        <w:t>响应报价表</w:t>
      </w:r>
    </w:p>
    <w:p w14:paraId="1D11B8CF">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3C4A3D19">
      <w:pPr>
        <w:snapToGrid w:val="0"/>
        <w:spacing w:before="50" w:after="50" w:line="360" w:lineRule="auto"/>
        <w:rPr>
          <w:rFonts w:hint="default" w:ascii="宋体" w:hAnsi="宋体" w:eastAsia="宋体" w:cs="宋体"/>
          <w:color w:val="auto"/>
          <w:sz w:val="24"/>
          <w:highlight w:val="none"/>
          <w:u w:val="single"/>
          <w:lang w:val="en-US"/>
        </w:rPr>
      </w:pPr>
      <w:r>
        <w:rPr>
          <w:rFonts w:hint="eastAsia" w:ascii="宋体" w:hAnsi="宋体" w:cs="宋体"/>
          <w:color w:val="auto"/>
          <w:sz w:val="24"/>
          <w:highlight w:val="none"/>
          <w:lang w:eastAsia="zh-CN"/>
        </w:rPr>
        <w:t>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 xml:space="preserve">      </w:t>
      </w:r>
    </w:p>
    <w:p w14:paraId="52DD0719">
      <w:pPr>
        <w:snapToGrid w:val="0"/>
        <w:spacing w:before="50" w:after="50"/>
        <w:ind w:firstLine="420" w:firstLineChars="200"/>
        <w:jc w:val="left"/>
        <w:rPr>
          <w:rFonts w:hint="eastAsia" w:ascii="宋体" w:hAnsi="宋体" w:eastAsia="宋体" w:cs="宋体"/>
          <w:color w:val="auto"/>
          <w:kern w:val="0"/>
          <w:sz w:val="21"/>
          <w:szCs w:val="21"/>
          <w:highlight w:val="none"/>
          <w:lang w:val="zh-CN"/>
        </w:rPr>
      </w:pPr>
    </w:p>
    <w:tbl>
      <w:tblPr>
        <w:tblStyle w:val="31"/>
        <w:tblpPr w:leftFromText="180" w:rightFromText="180" w:vertAnchor="text" w:horzAnchor="page" w:tblpX="1404" w:tblpY="182"/>
        <w:tblOverlap w:val="never"/>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4111"/>
        <w:gridCol w:w="3240"/>
        <w:gridCol w:w="1154"/>
      </w:tblGrid>
      <w:tr w14:paraId="0029E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792" w:type="dxa"/>
            <w:tcBorders>
              <w:top w:val="single" w:color="auto" w:sz="4" w:space="0"/>
              <w:left w:val="single" w:color="auto" w:sz="4" w:space="0"/>
              <w:bottom w:val="single" w:color="auto" w:sz="4" w:space="0"/>
              <w:right w:val="single" w:color="auto" w:sz="4" w:space="0"/>
            </w:tcBorders>
            <w:vAlign w:val="center"/>
          </w:tcPr>
          <w:p w14:paraId="49701C4D">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4111" w:type="dxa"/>
            <w:tcBorders>
              <w:top w:val="single" w:color="auto" w:sz="4" w:space="0"/>
              <w:left w:val="single" w:color="auto" w:sz="4" w:space="0"/>
              <w:bottom w:val="single" w:color="auto" w:sz="4" w:space="0"/>
              <w:right w:val="single" w:color="auto" w:sz="4" w:space="0"/>
            </w:tcBorders>
            <w:vAlign w:val="center"/>
          </w:tcPr>
          <w:p w14:paraId="68533FBE">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标的的名称</w:t>
            </w:r>
          </w:p>
        </w:tc>
        <w:tc>
          <w:tcPr>
            <w:tcW w:w="3240" w:type="dxa"/>
            <w:tcBorders>
              <w:top w:val="single" w:color="auto" w:sz="4" w:space="0"/>
              <w:left w:val="single" w:color="auto" w:sz="4" w:space="0"/>
              <w:bottom w:val="single" w:color="auto" w:sz="4" w:space="0"/>
              <w:right w:val="single" w:color="auto" w:sz="4" w:space="0"/>
            </w:tcBorders>
            <w:vAlign w:val="center"/>
          </w:tcPr>
          <w:p w14:paraId="73806AD0">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w:t>
            </w:r>
          </w:p>
        </w:tc>
        <w:tc>
          <w:tcPr>
            <w:tcW w:w="1154" w:type="dxa"/>
            <w:tcBorders>
              <w:top w:val="single" w:color="auto" w:sz="4" w:space="0"/>
              <w:left w:val="single" w:color="auto" w:sz="4" w:space="0"/>
              <w:bottom w:val="single" w:color="auto" w:sz="4" w:space="0"/>
              <w:right w:val="single" w:color="auto" w:sz="4" w:space="0"/>
            </w:tcBorders>
            <w:vAlign w:val="center"/>
          </w:tcPr>
          <w:p w14:paraId="048A5D68">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3E1B1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3" w:hRule="atLeast"/>
        </w:trPr>
        <w:tc>
          <w:tcPr>
            <w:tcW w:w="792" w:type="dxa"/>
            <w:tcBorders>
              <w:top w:val="single" w:color="auto" w:sz="4" w:space="0"/>
              <w:left w:val="single" w:color="auto" w:sz="4" w:space="0"/>
              <w:bottom w:val="single" w:color="auto" w:sz="4" w:space="0"/>
              <w:right w:val="single" w:color="auto" w:sz="4" w:space="0"/>
            </w:tcBorders>
            <w:vAlign w:val="center"/>
          </w:tcPr>
          <w:p w14:paraId="6E3527E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111" w:type="dxa"/>
            <w:tcBorders>
              <w:top w:val="single" w:color="auto" w:sz="4" w:space="0"/>
              <w:left w:val="single" w:color="auto" w:sz="4" w:space="0"/>
              <w:bottom w:val="single" w:color="auto" w:sz="4" w:space="0"/>
              <w:right w:val="single" w:color="auto" w:sz="4" w:space="0"/>
            </w:tcBorders>
            <w:vAlign w:val="center"/>
          </w:tcPr>
          <w:p w14:paraId="2C2B8D32">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泵站、堤防护坡清理维护工程（2025年）</w:t>
            </w:r>
          </w:p>
        </w:tc>
        <w:tc>
          <w:tcPr>
            <w:tcW w:w="3240" w:type="dxa"/>
            <w:tcBorders>
              <w:top w:val="single" w:color="auto" w:sz="4" w:space="0"/>
              <w:left w:val="single" w:color="auto" w:sz="4" w:space="0"/>
              <w:bottom w:val="single" w:color="auto" w:sz="4" w:space="0"/>
              <w:right w:val="single" w:color="auto" w:sz="4" w:space="0"/>
            </w:tcBorders>
            <w:vAlign w:val="center"/>
          </w:tcPr>
          <w:p w14:paraId="383DF3CC">
            <w:pPr>
              <w:spacing w:line="360" w:lineRule="auto"/>
              <w:jc w:val="both"/>
              <w:rPr>
                <w:rFonts w:hint="eastAsia"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（大写）人民币</w:t>
            </w:r>
            <w:r>
              <w:rPr>
                <w:rFonts w:hint="eastAsia" w:ascii="宋体" w:hAnsi="宋体" w:eastAsia="宋体" w:cs="宋体"/>
                <w:color w:val="auto"/>
                <w:sz w:val="24"/>
                <w:szCs w:val="24"/>
                <w:highlight w:val="none"/>
                <w:u w:val="single"/>
                <w:lang w:val="en-US" w:eastAsia="zh-CN"/>
              </w:rPr>
              <w:t xml:space="preserve">     </w:t>
            </w:r>
          </w:p>
          <w:p w14:paraId="7D93E805">
            <w:pPr>
              <w:spacing w:line="360" w:lineRule="auto"/>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u w:val="single"/>
                <w:lang w:val="en-US" w:eastAsia="zh-CN"/>
              </w:rPr>
              <w:t>（小写）</w:t>
            </w:r>
            <w:r>
              <w:rPr>
                <w:rFonts w:hint="eastAsia" w:ascii="宋体" w:hAnsi="宋体" w:eastAsia="宋体" w:cs="宋体"/>
                <w:color w:val="auto"/>
                <w:sz w:val="24"/>
                <w:szCs w:val="24"/>
                <w:highlight w:val="none"/>
                <w:u w:val="single"/>
                <w:lang w:val="en-US" w:eastAsia="zh-CN"/>
              </w:rPr>
              <w:t xml:space="preserve">¥          </w:t>
            </w:r>
          </w:p>
        </w:tc>
        <w:tc>
          <w:tcPr>
            <w:tcW w:w="1154" w:type="dxa"/>
            <w:tcBorders>
              <w:top w:val="single" w:color="auto" w:sz="4" w:space="0"/>
              <w:left w:val="single" w:color="auto" w:sz="4" w:space="0"/>
              <w:bottom w:val="single" w:color="auto" w:sz="4" w:space="0"/>
              <w:right w:val="single" w:color="auto" w:sz="4" w:space="0"/>
            </w:tcBorders>
            <w:vAlign w:val="center"/>
          </w:tcPr>
          <w:p w14:paraId="5127847A">
            <w:pPr>
              <w:spacing w:line="360" w:lineRule="auto"/>
              <w:rPr>
                <w:rFonts w:hint="eastAsia" w:ascii="宋体" w:hAnsi="宋体" w:eastAsia="宋体" w:cs="宋体"/>
                <w:color w:val="auto"/>
                <w:sz w:val="24"/>
                <w:szCs w:val="24"/>
                <w:highlight w:val="none"/>
              </w:rPr>
            </w:pPr>
          </w:p>
        </w:tc>
      </w:tr>
    </w:tbl>
    <w:p w14:paraId="7B89B1E7">
      <w:pPr>
        <w:snapToGrid w:val="0"/>
        <w:spacing w:before="50" w:after="50"/>
        <w:ind w:firstLine="420" w:firstLineChars="200"/>
        <w:jc w:val="left"/>
        <w:rPr>
          <w:rFonts w:hint="eastAsia" w:ascii="宋体" w:hAnsi="宋体" w:eastAsia="宋体" w:cs="宋体"/>
          <w:color w:val="auto"/>
          <w:kern w:val="0"/>
          <w:sz w:val="21"/>
          <w:szCs w:val="21"/>
          <w:highlight w:val="none"/>
          <w:lang w:val="zh-CN"/>
        </w:rPr>
      </w:pPr>
    </w:p>
    <w:p w14:paraId="65D2D32C">
      <w:pPr>
        <w:snapToGrid w:val="0"/>
        <w:spacing w:before="50" w:after="50"/>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注：</w:t>
      </w:r>
    </w:p>
    <w:p w14:paraId="43706728">
      <w:pPr>
        <w:snapToGrid w:val="0"/>
        <w:spacing w:before="50" w:after="50"/>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1、供应商需按本表格式填写，不得自行更改</w:t>
      </w:r>
      <w:r>
        <w:rPr>
          <w:rFonts w:hint="eastAsia" w:ascii="宋体" w:hAnsi="宋体" w:eastAsia="宋体" w:cs="宋体"/>
          <w:b w:val="0"/>
          <w:bCs/>
          <w:color w:val="auto"/>
          <w:kern w:val="0"/>
          <w:sz w:val="21"/>
          <w:szCs w:val="21"/>
          <w:highlight w:val="none"/>
          <w:lang w:val="zh-CN"/>
        </w:rPr>
        <w:t>。</w:t>
      </w:r>
    </w:p>
    <w:p w14:paraId="7B21CE97">
      <w:pPr>
        <w:snapToGrid w:val="0"/>
        <w:ind w:firstLine="422" w:firstLineChars="200"/>
        <w:jc w:val="left"/>
        <w:rPr>
          <w:rFonts w:hint="eastAsia" w:ascii="宋体" w:hAnsi="宋体" w:eastAsia="宋体" w:cs="宋体"/>
          <w:b/>
          <w:bCs/>
          <w:color w:val="auto"/>
          <w:kern w:val="0"/>
          <w:sz w:val="21"/>
          <w:szCs w:val="21"/>
          <w:highlight w:val="none"/>
          <w:lang w:val="zh-CN"/>
        </w:rPr>
      </w:pPr>
    </w:p>
    <w:p w14:paraId="6A6F07A8">
      <w:pPr>
        <w:autoSpaceDE w:val="0"/>
        <w:autoSpaceDN w:val="0"/>
        <w:spacing w:line="360" w:lineRule="auto"/>
        <w:ind w:left="4305" w:leftChars="1950" w:hanging="210" w:hangingChars="100"/>
        <w:rPr>
          <w:rFonts w:hint="eastAsia" w:ascii="宋体" w:hAnsi="宋体" w:eastAsia="宋体" w:cs="宋体"/>
          <w:color w:val="auto"/>
          <w:kern w:val="0"/>
          <w:sz w:val="21"/>
          <w:szCs w:val="21"/>
          <w:highlight w:val="none"/>
        </w:rPr>
      </w:pPr>
    </w:p>
    <w:p w14:paraId="7AE0CCC7">
      <w:pPr>
        <w:autoSpaceDE w:val="0"/>
        <w:autoSpaceDN w:val="0"/>
        <w:spacing w:line="360" w:lineRule="auto"/>
        <w:ind w:left="4305" w:leftChars="1950" w:hanging="210" w:hanging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供应商名称（电子签章）：</w:t>
      </w:r>
    </w:p>
    <w:p w14:paraId="03F91F7F">
      <w:pPr>
        <w:spacing w:line="360" w:lineRule="auto"/>
        <w:contextualSpacing/>
        <w:jc w:val="righ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日期：  年  月   日</w:t>
      </w:r>
    </w:p>
    <w:p w14:paraId="568572FC">
      <w:pPr>
        <w:spacing w:line="360" w:lineRule="auto"/>
        <w:contextualSpacing/>
        <w:jc w:val="right"/>
        <w:rPr>
          <w:rFonts w:hint="eastAsia" w:ascii="宋体" w:hAnsi="宋体" w:eastAsia="宋体" w:cs="宋体"/>
          <w:color w:val="auto"/>
          <w:kern w:val="0"/>
          <w:sz w:val="21"/>
          <w:szCs w:val="21"/>
          <w:highlight w:val="none"/>
          <w:lang w:val="zh-CN"/>
        </w:rPr>
      </w:pPr>
    </w:p>
    <w:p w14:paraId="7D8B8F81">
      <w:pP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br w:type="page"/>
      </w:r>
    </w:p>
    <w:p w14:paraId="0228D749">
      <w:pPr>
        <w:keepNext w:val="0"/>
        <w:keepLines w:val="0"/>
        <w:pageBreakBefore w:val="0"/>
        <w:widowControl w:val="0"/>
        <w:kinsoku/>
        <w:wordWrap/>
        <w:overflowPunct/>
        <w:topLinePunct w:val="0"/>
        <w:autoSpaceDE/>
        <w:autoSpaceDN/>
        <w:bidi w:val="0"/>
        <w:adjustRightInd/>
        <w:snapToGrid w:val="0"/>
        <w:spacing w:line="360" w:lineRule="auto"/>
        <w:ind w:left="0" w:firstLine="0" w:firstLineChars="0"/>
        <w:jc w:val="center"/>
        <w:textAlignment w:val="auto"/>
        <w:rPr>
          <w:rFonts w:hint="default" w:ascii="宋体" w:hAnsi="宋体" w:eastAsia="宋体" w:cs="宋体"/>
          <w:b/>
          <w:bCs/>
          <w:color w:val="auto"/>
          <w:sz w:val="32"/>
          <w:szCs w:val="32"/>
          <w:highlight w:val="none"/>
          <w:lang w:val="en-US" w:eastAsia="zh-CN"/>
        </w:rPr>
      </w:pPr>
      <w:r>
        <w:rPr>
          <w:rFonts w:hint="eastAsia" w:ascii="宋体" w:hAnsi="宋体" w:cs="宋体"/>
          <w:b/>
          <w:bCs/>
          <w:color w:val="auto"/>
          <w:sz w:val="30"/>
          <w:szCs w:val="30"/>
          <w:highlight w:val="none"/>
          <w:lang w:val="en-US" w:eastAsia="zh-CN"/>
        </w:rPr>
        <w:t>已标价工程量清单</w:t>
      </w:r>
    </w:p>
    <w:p w14:paraId="56EB6FC8">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center"/>
        <w:textAlignment w:val="auto"/>
        <w:rPr>
          <w:rFonts w:hint="eastAsia" w:ascii="宋体" w:hAnsi="宋体" w:eastAsia="宋体" w:cs="宋体"/>
          <w:color w:val="auto"/>
          <w:kern w:val="0"/>
          <w:sz w:val="21"/>
          <w:szCs w:val="21"/>
          <w:highlight w:val="none"/>
          <w:lang w:val="zh-CN"/>
        </w:rPr>
      </w:pPr>
      <w:r>
        <w:rPr>
          <w:rFonts w:hint="eastAsia" w:ascii="宋体" w:hAnsi="宋体" w:cs="宋体"/>
          <w:b/>
          <w:bCs/>
          <w:color w:val="auto"/>
          <w:kern w:val="0"/>
          <w:sz w:val="21"/>
          <w:szCs w:val="21"/>
          <w:highlight w:val="none"/>
          <w:lang w:val="zh-CN"/>
        </w:rPr>
        <w:t>（</w:t>
      </w:r>
      <w:r>
        <w:rPr>
          <w:rFonts w:hint="eastAsia" w:ascii="宋体" w:hAnsi="宋体" w:eastAsia="宋体" w:cs="宋体"/>
          <w:b/>
          <w:bCs/>
          <w:color w:val="auto"/>
          <w:kern w:val="0"/>
          <w:sz w:val="21"/>
          <w:szCs w:val="21"/>
          <w:highlight w:val="none"/>
          <w:lang w:val="zh-CN"/>
        </w:rPr>
        <w:t>以采购人</w:t>
      </w:r>
      <w:r>
        <w:rPr>
          <w:rFonts w:hint="eastAsia" w:ascii="宋体" w:hAnsi="宋体" w:cs="宋体"/>
          <w:b/>
          <w:bCs/>
          <w:color w:val="auto"/>
          <w:kern w:val="0"/>
          <w:sz w:val="21"/>
          <w:szCs w:val="21"/>
          <w:highlight w:val="none"/>
          <w:lang w:val="en-US" w:eastAsia="zh-CN"/>
        </w:rPr>
        <w:t>预算控制价格式</w:t>
      </w:r>
      <w:r>
        <w:rPr>
          <w:rFonts w:hint="eastAsia" w:ascii="宋体" w:hAnsi="宋体" w:eastAsia="宋体" w:cs="宋体"/>
          <w:b/>
          <w:bCs/>
          <w:color w:val="auto"/>
          <w:kern w:val="0"/>
          <w:sz w:val="21"/>
          <w:szCs w:val="21"/>
          <w:highlight w:val="none"/>
          <w:lang w:val="zh-CN"/>
        </w:rPr>
        <w:t>填写</w:t>
      </w:r>
      <w:r>
        <w:rPr>
          <w:rFonts w:hint="eastAsia" w:ascii="宋体" w:hAnsi="宋体" w:cs="宋体"/>
          <w:b/>
          <w:bCs/>
          <w:color w:val="auto"/>
          <w:kern w:val="0"/>
          <w:sz w:val="21"/>
          <w:szCs w:val="21"/>
          <w:highlight w:val="none"/>
          <w:lang w:val="en-US" w:eastAsia="zh-CN"/>
        </w:rPr>
        <w:t>报价</w:t>
      </w:r>
      <w:r>
        <w:rPr>
          <w:rFonts w:hint="eastAsia" w:ascii="宋体" w:hAnsi="宋体" w:eastAsia="宋体" w:cs="宋体"/>
          <w:b/>
          <w:bCs/>
          <w:color w:val="auto"/>
          <w:kern w:val="0"/>
          <w:sz w:val="21"/>
          <w:szCs w:val="21"/>
          <w:highlight w:val="none"/>
          <w:lang w:val="zh-CN"/>
        </w:rPr>
        <w:t>金额且加盖电子签章</w:t>
      </w:r>
      <w:r>
        <w:rPr>
          <w:rFonts w:hint="eastAsia" w:ascii="宋体" w:hAnsi="宋体" w:cs="宋体"/>
          <w:b/>
          <w:bCs/>
          <w:color w:val="auto"/>
          <w:kern w:val="0"/>
          <w:sz w:val="21"/>
          <w:szCs w:val="21"/>
          <w:highlight w:val="none"/>
          <w:lang w:val="zh-CN"/>
        </w:rPr>
        <w:t>）</w:t>
      </w:r>
    </w:p>
    <w:p w14:paraId="74763AD8">
      <w:pPr>
        <w:snapToGrid w:val="0"/>
        <w:spacing w:before="50" w:after="50"/>
        <w:ind w:firstLine="420" w:firstLineChars="200"/>
        <w:jc w:val="left"/>
        <w:rPr>
          <w:rFonts w:hint="eastAsia" w:ascii="宋体" w:hAnsi="宋体" w:eastAsia="宋体" w:cs="宋体"/>
          <w:color w:val="auto"/>
          <w:kern w:val="0"/>
          <w:sz w:val="21"/>
          <w:szCs w:val="21"/>
          <w:highlight w:val="none"/>
          <w:lang w:val="zh-CN"/>
        </w:rPr>
      </w:pPr>
    </w:p>
    <w:p w14:paraId="0E688A7F">
      <w:pPr>
        <w:snapToGrid w:val="0"/>
        <w:spacing w:before="50" w:after="50"/>
        <w:ind w:firstLine="420" w:firstLineChars="200"/>
        <w:jc w:val="left"/>
        <w:rPr>
          <w:rFonts w:hint="eastAsia" w:ascii="宋体" w:hAnsi="宋体" w:eastAsia="宋体" w:cs="宋体"/>
          <w:color w:val="auto"/>
          <w:kern w:val="0"/>
          <w:sz w:val="21"/>
          <w:szCs w:val="21"/>
          <w:highlight w:val="none"/>
          <w:lang w:val="zh-CN"/>
        </w:rPr>
      </w:pPr>
    </w:p>
    <w:p w14:paraId="7FC3FD7E">
      <w:pPr>
        <w:snapToGrid w:val="0"/>
        <w:spacing w:before="50" w:after="50"/>
        <w:ind w:firstLine="420" w:firstLineChars="200"/>
        <w:jc w:val="left"/>
        <w:rPr>
          <w:rFonts w:hint="eastAsia" w:ascii="宋体" w:hAnsi="宋体" w:eastAsia="宋体" w:cs="宋体"/>
          <w:color w:val="auto"/>
          <w:kern w:val="0"/>
          <w:sz w:val="21"/>
          <w:szCs w:val="21"/>
          <w:highlight w:val="none"/>
          <w:lang w:val="zh-CN"/>
        </w:rPr>
      </w:pPr>
    </w:p>
    <w:p w14:paraId="63F224AF">
      <w:pPr>
        <w:snapToGrid w:val="0"/>
        <w:ind w:firstLine="422" w:firstLineChars="200"/>
        <w:jc w:val="left"/>
        <w:rPr>
          <w:rFonts w:hint="eastAsia" w:ascii="宋体" w:hAnsi="宋体" w:eastAsia="宋体" w:cs="宋体"/>
          <w:b/>
          <w:bCs/>
          <w:color w:val="auto"/>
          <w:kern w:val="0"/>
          <w:sz w:val="21"/>
          <w:szCs w:val="21"/>
          <w:highlight w:val="none"/>
          <w:lang w:val="zh-CN"/>
        </w:rPr>
      </w:pPr>
    </w:p>
    <w:p w14:paraId="1547BC3A">
      <w:pPr>
        <w:autoSpaceDE w:val="0"/>
        <w:autoSpaceDN w:val="0"/>
        <w:spacing w:line="360" w:lineRule="auto"/>
        <w:ind w:left="4305" w:leftChars="1950" w:hanging="210" w:hangingChars="100"/>
        <w:rPr>
          <w:rFonts w:hint="eastAsia" w:ascii="宋体" w:hAnsi="宋体" w:eastAsia="宋体" w:cs="宋体"/>
          <w:color w:val="auto"/>
          <w:kern w:val="0"/>
          <w:sz w:val="21"/>
          <w:szCs w:val="21"/>
          <w:highlight w:val="none"/>
        </w:rPr>
      </w:pPr>
    </w:p>
    <w:p w14:paraId="506CC54C">
      <w:pPr>
        <w:spacing w:line="360" w:lineRule="auto"/>
        <w:contextualSpacing/>
        <w:jc w:val="right"/>
        <w:rPr>
          <w:rFonts w:hint="eastAsia" w:ascii="宋体" w:hAnsi="宋体" w:eastAsia="宋体" w:cs="宋体"/>
          <w:color w:val="auto"/>
          <w:kern w:val="0"/>
          <w:sz w:val="21"/>
          <w:szCs w:val="21"/>
          <w:highlight w:val="none"/>
          <w:lang w:val="zh-CN"/>
        </w:rPr>
      </w:pPr>
    </w:p>
    <w:p w14:paraId="6A1D2317">
      <w:pPr>
        <w:spacing w:line="360" w:lineRule="auto"/>
        <w:contextualSpacing/>
        <w:jc w:val="right"/>
        <w:rPr>
          <w:rFonts w:hint="eastAsia" w:ascii="宋体" w:hAnsi="宋体" w:eastAsia="宋体" w:cs="宋体"/>
          <w:color w:val="auto"/>
          <w:kern w:val="0"/>
          <w:sz w:val="21"/>
          <w:szCs w:val="21"/>
          <w:highlight w:val="none"/>
          <w:lang w:val="zh-CN"/>
        </w:rPr>
      </w:pPr>
    </w:p>
    <w:p w14:paraId="6EBF09E0">
      <w:pPr>
        <w:rPr>
          <w:rFonts w:hint="eastAsia" w:ascii="宋体" w:hAnsi="宋体" w:eastAsia="宋体" w:cs="宋体"/>
          <w:color w:val="auto"/>
          <w:kern w:val="0"/>
          <w:sz w:val="24"/>
          <w:highlight w:val="none"/>
          <w:lang w:val="zh-CN"/>
        </w:rPr>
      </w:pPr>
    </w:p>
    <w:p w14:paraId="308E3FFB">
      <w:pPr>
        <w:pStyle w:val="12"/>
        <w:rPr>
          <w:rFonts w:hint="eastAsia" w:ascii="宋体" w:hAnsi="宋体" w:eastAsia="宋体" w:cs="宋体"/>
          <w:color w:val="auto"/>
          <w:kern w:val="0"/>
          <w:sz w:val="24"/>
          <w:highlight w:val="none"/>
          <w:lang w:val="zh-CN"/>
        </w:rPr>
      </w:pPr>
    </w:p>
    <w:p w14:paraId="48025009">
      <w:pPr>
        <w:pStyle w:val="25"/>
        <w:rPr>
          <w:rFonts w:hint="eastAsia" w:ascii="宋体" w:hAnsi="宋体" w:eastAsia="宋体" w:cs="宋体"/>
          <w:highlight w:val="none"/>
          <w:lang w:val="zh-CN"/>
        </w:rPr>
        <w:sectPr>
          <w:headerReference r:id="rId7" w:type="default"/>
          <w:footerReference r:id="rId8" w:type="default"/>
          <w:pgSz w:w="11910" w:h="16840"/>
          <w:pgMar w:top="1440" w:right="1080" w:bottom="1440" w:left="1080" w:header="720" w:footer="720" w:gutter="0"/>
          <w:pgNumType w:fmt="decimal"/>
          <w:cols w:space="720" w:num="1"/>
          <w:rtlGutter w:val="0"/>
        </w:sectPr>
      </w:pPr>
    </w:p>
    <w:p w14:paraId="44B5E21A">
      <w:pPr>
        <w:spacing w:line="360" w:lineRule="auto"/>
        <w:contextualSpacing/>
        <w:rPr>
          <w:rFonts w:hint="eastAsia" w:ascii="宋体" w:hAnsi="宋体" w:eastAsia="宋体" w:cs="宋体"/>
          <w:color w:val="auto"/>
          <w:sz w:val="24"/>
          <w:highlight w:val="none"/>
        </w:rPr>
      </w:pPr>
    </w:p>
    <w:p w14:paraId="2A19B416">
      <w:pPr>
        <w:spacing w:line="520" w:lineRule="exact"/>
        <w:jc w:val="center"/>
        <w:rPr>
          <w:rFonts w:hint="eastAsia" w:ascii="宋体" w:hAnsi="宋体" w:eastAsia="宋体" w:cs="宋体"/>
          <w:color w:val="auto"/>
          <w:sz w:val="24"/>
          <w:highlight w:val="none"/>
        </w:rPr>
      </w:pPr>
    </w:p>
    <w:p w14:paraId="041DA314">
      <w:pPr>
        <w:spacing w:line="520" w:lineRule="exact"/>
        <w:jc w:val="center"/>
        <w:rPr>
          <w:rFonts w:hint="eastAsia" w:ascii="宋体" w:hAnsi="宋体" w:eastAsia="宋体" w:cs="宋体"/>
          <w:color w:val="auto"/>
          <w:sz w:val="24"/>
          <w:highlight w:val="none"/>
        </w:rPr>
      </w:pPr>
    </w:p>
    <w:p w14:paraId="43533CF7">
      <w:pPr>
        <w:spacing w:line="520" w:lineRule="exact"/>
        <w:jc w:val="center"/>
        <w:rPr>
          <w:rFonts w:hint="eastAsia" w:ascii="宋体" w:hAnsi="宋体" w:eastAsia="宋体" w:cs="宋体"/>
          <w:color w:val="auto"/>
          <w:sz w:val="24"/>
          <w:highlight w:val="none"/>
        </w:rPr>
      </w:pPr>
    </w:p>
    <w:p w14:paraId="2E324440">
      <w:pPr>
        <w:spacing w:line="520" w:lineRule="exact"/>
        <w:jc w:val="center"/>
        <w:rPr>
          <w:rFonts w:hint="eastAsia" w:ascii="宋体" w:hAnsi="宋体" w:eastAsia="宋体" w:cs="宋体"/>
          <w:color w:val="auto"/>
          <w:sz w:val="24"/>
          <w:highlight w:val="none"/>
        </w:rPr>
      </w:pPr>
    </w:p>
    <w:p w14:paraId="67540204">
      <w:pPr>
        <w:keepNext/>
        <w:keepLines/>
        <w:spacing w:before="340" w:after="330" w:line="578" w:lineRule="auto"/>
        <w:jc w:val="center"/>
        <w:outlineLvl w:val="0"/>
        <w:rPr>
          <w:rFonts w:hint="eastAsia" w:ascii="宋体" w:hAnsi="宋体" w:eastAsia="宋体" w:cs="宋体"/>
          <w:b/>
          <w:bCs/>
          <w:color w:val="auto"/>
          <w:kern w:val="44"/>
          <w:sz w:val="32"/>
          <w:szCs w:val="32"/>
          <w:highlight w:val="none"/>
        </w:rPr>
      </w:pPr>
    </w:p>
    <w:p w14:paraId="544B55BB">
      <w:pPr>
        <w:keepNext/>
        <w:keepLines/>
        <w:spacing w:before="340" w:after="330" w:line="578" w:lineRule="auto"/>
        <w:jc w:val="center"/>
        <w:outlineLvl w:val="0"/>
        <w:rPr>
          <w:rFonts w:hint="eastAsia" w:ascii="宋体" w:hAnsi="宋体" w:eastAsia="宋体" w:cs="宋体"/>
          <w:color w:val="auto"/>
          <w:kern w:val="44"/>
          <w:sz w:val="44"/>
          <w:szCs w:val="44"/>
          <w:highlight w:val="none"/>
        </w:rPr>
      </w:pPr>
      <w:bookmarkStart w:id="94" w:name="_Toc25338"/>
      <w:r>
        <w:rPr>
          <w:rFonts w:hint="eastAsia" w:ascii="宋体" w:hAnsi="宋体" w:eastAsia="宋体" w:cs="宋体"/>
          <w:b/>
          <w:bCs/>
          <w:color w:val="auto"/>
          <w:kern w:val="44"/>
          <w:sz w:val="32"/>
          <w:szCs w:val="32"/>
          <w:highlight w:val="none"/>
        </w:rPr>
        <w:t>第六章  合同文本</w:t>
      </w:r>
      <w:r>
        <w:rPr>
          <w:rFonts w:hint="eastAsia" w:ascii="宋体" w:hAnsi="宋体" w:eastAsia="宋体" w:cs="宋体"/>
          <w:color w:val="auto"/>
          <w:kern w:val="44"/>
          <w:sz w:val="44"/>
          <w:szCs w:val="44"/>
          <w:highlight w:val="none"/>
        </w:rPr>
        <w:br w:type="page"/>
      </w:r>
      <w:bookmarkEnd w:id="94"/>
    </w:p>
    <w:p w14:paraId="6C13DA8F">
      <w:pPr>
        <w:pStyle w:val="12"/>
        <w:wordWrap w:val="0"/>
        <w:spacing w:before="0" w:line="360" w:lineRule="auto"/>
        <w:ind w:left="0" w:leftChars="0" w:firstLine="0" w:firstLineChars="0"/>
        <w:jc w:val="center"/>
        <w:rPr>
          <w:rFonts w:hint="eastAsia"/>
          <w:b/>
          <w:bCs/>
          <w:color w:val="auto"/>
          <w:spacing w:val="-13"/>
          <w:sz w:val="52"/>
          <w:szCs w:val="52"/>
        </w:rPr>
      </w:pPr>
      <w:r>
        <w:rPr>
          <w:rFonts w:hint="eastAsia"/>
          <w:b/>
          <w:bCs/>
          <w:color w:val="auto"/>
          <w:spacing w:val="-13"/>
          <w:sz w:val="52"/>
          <w:szCs w:val="52"/>
        </w:rPr>
        <w:t>泵站、堤防护坡清理维护</w:t>
      </w:r>
    </w:p>
    <w:p w14:paraId="1C008DE4">
      <w:pPr>
        <w:pStyle w:val="12"/>
        <w:wordWrap w:val="0"/>
        <w:spacing w:before="0" w:line="360" w:lineRule="auto"/>
        <w:ind w:left="0" w:leftChars="0" w:firstLine="0" w:firstLineChars="0"/>
        <w:jc w:val="center"/>
        <w:rPr>
          <w:b/>
          <w:bCs/>
          <w:color w:val="auto"/>
          <w:spacing w:val="-13"/>
          <w:sz w:val="52"/>
          <w:szCs w:val="52"/>
        </w:rPr>
      </w:pPr>
      <w:r>
        <w:rPr>
          <w:rFonts w:hint="eastAsia"/>
          <w:b/>
          <w:bCs/>
          <w:color w:val="auto"/>
          <w:spacing w:val="-13"/>
          <w:sz w:val="52"/>
          <w:szCs w:val="52"/>
        </w:rPr>
        <w:t>工程（2025年）</w:t>
      </w:r>
    </w:p>
    <w:p w14:paraId="662D74A7">
      <w:pPr>
        <w:pStyle w:val="12"/>
        <w:wordWrap w:val="0"/>
        <w:spacing w:before="0" w:line="360" w:lineRule="auto"/>
        <w:ind w:left="0"/>
        <w:jc w:val="center"/>
        <w:rPr>
          <w:color w:val="auto"/>
          <w:sz w:val="72"/>
          <w:szCs w:val="72"/>
        </w:rPr>
      </w:pPr>
      <w:r>
        <w:rPr>
          <w:b/>
          <w:bCs/>
          <w:color w:val="auto"/>
          <w:spacing w:val="-13"/>
          <w:sz w:val="52"/>
          <w:szCs w:val="52"/>
        </w:rPr>
        <w:t>合同协议书</w:t>
      </w:r>
    </w:p>
    <w:p w14:paraId="393DE5F0">
      <w:pPr>
        <w:wordWrap w:val="0"/>
        <w:spacing w:line="360" w:lineRule="auto"/>
        <w:rPr>
          <w:rFonts w:ascii="Arial"/>
          <w:color w:val="auto"/>
          <w:sz w:val="21"/>
        </w:rPr>
      </w:pPr>
    </w:p>
    <w:p w14:paraId="0C448697">
      <w:pPr>
        <w:wordWrap w:val="0"/>
        <w:spacing w:line="360" w:lineRule="auto"/>
        <w:rPr>
          <w:rFonts w:ascii="Arial"/>
          <w:color w:val="auto"/>
          <w:sz w:val="21"/>
        </w:rPr>
      </w:pPr>
    </w:p>
    <w:p w14:paraId="06175EC8">
      <w:pPr>
        <w:wordWrap w:val="0"/>
        <w:spacing w:line="360" w:lineRule="auto"/>
        <w:rPr>
          <w:rFonts w:ascii="Arial"/>
          <w:color w:val="auto"/>
          <w:sz w:val="21"/>
        </w:rPr>
      </w:pPr>
    </w:p>
    <w:p w14:paraId="19F97391">
      <w:pPr>
        <w:wordWrap w:val="0"/>
        <w:spacing w:line="360" w:lineRule="auto"/>
        <w:rPr>
          <w:rFonts w:ascii="Arial"/>
          <w:color w:val="auto"/>
          <w:sz w:val="21"/>
        </w:rPr>
      </w:pPr>
    </w:p>
    <w:p w14:paraId="01989DFD">
      <w:pPr>
        <w:wordWrap w:val="0"/>
        <w:spacing w:line="360" w:lineRule="auto"/>
        <w:rPr>
          <w:rFonts w:ascii="Arial"/>
          <w:color w:val="auto"/>
          <w:sz w:val="21"/>
        </w:rPr>
      </w:pPr>
    </w:p>
    <w:p w14:paraId="1509CEAC">
      <w:pPr>
        <w:wordWrap w:val="0"/>
        <w:spacing w:line="360" w:lineRule="auto"/>
        <w:rPr>
          <w:rFonts w:ascii="Arial"/>
          <w:color w:val="auto"/>
          <w:sz w:val="21"/>
        </w:rPr>
      </w:pPr>
    </w:p>
    <w:p w14:paraId="3ACDBF05">
      <w:pPr>
        <w:wordWrap w:val="0"/>
        <w:spacing w:line="360" w:lineRule="auto"/>
        <w:rPr>
          <w:rFonts w:ascii="Arial"/>
          <w:color w:val="auto"/>
          <w:sz w:val="21"/>
        </w:rPr>
      </w:pPr>
    </w:p>
    <w:p w14:paraId="303C0EC8">
      <w:pPr>
        <w:wordWrap w:val="0"/>
        <w:spacing w:line="360" w:lineRule="auto"/>
        <w:rPr>
          <w:rFonts w:ascii="Arial"/>
          <w:color w:val="auto"/>
          <w:sz w:val="21"/>
        </w:rPr>
      </w:pPr>
    </w:p>
    <w:p w14:paraId="1A8E10CC">
      <w:pPr>
        <w:wordWrap w:val="0"/>
        <w:spacing w:line="360" w:lineRule="auto"/>
        <w:rPr>
          <w:rFonts w:ascii="Arial"/>
          <w:color w:val="auto"/>
          <w:sz w:val="21"/>
        </w:rPr>
      </w:pPr>
    </w:p>
    <w:p w14:paraId="1DC0C6D4">
      <w:pPr>
        <w:wordWrap w:val="0"/>
        <w:spacing w:line="360" w:lineRule="auto"/>
        <w:rPr>
          <w:rFonts w:ascii="Arial"/>
          <w:color w:val="auto"/>
          <w:sz w:val="21"/>
        </w:rPr>
      </w:pPr>
    </w:p>
    <w:p w14:paraId="1B8F65C6">
      <w:pPr>
        <w:wordWrap w:val="0"/>
        <w:spacing w:line="360" w:lineRule="auto"/>
        <w:rPr>
          <w:rFonts w:ascii="Arial"/>
          <w:color w:val="auto"/>
          <w:sz w:val="21"/>
        </w:rPr>
      </w:pPr>
    </w:p>
    <w:p w14:paraId="2361EF58">
      <w:pPr>
        <w:wordWrap w:val="0"/>
        <w:spacing w:line="360" w:lineRule="auto"/>
        <w:rPr>
          <w:rFonts w:ascii="Arial"/>
          <w:color w:val="auto"/>
          <w:sz w:val="21"/>
        </w:rPr>
      </w:pPr>
    </w:p>
    <w:p w14:paraId="0A8B48ED">
      <w:pPr>
        <w:wordWrap w:val="0"/>
        <w:spacing w:line="360" w:lineRule="auto"/>
        <w:rPr>
          <w:rFonts w:ascii="Arial"/>
          <w:color w:val="auto"/>
          <w:sz w:val="21"/>
        </w:rPr>
      </w:pPr>
    </w:p>
    <w:p w14:paraId="3419E0EE">
      <w:pPr>
        <w:wordWrap w:val="0"/>
        <w:spacing w:line="360" w:lineRule="auto"/>
        <w:rPr>
          <w:rFonts w:ascii="Arial"/>
          <w:color w:val="auto"/>
          <w:sz w:val="21"/>
        </w:rPr>
      </w:pPr>
    </w:p>
    <w:p w14:paraId="2A130C5B">
      <w:pPr>
        <w:wordWrap w:val="0"/>
        <w:spacing w:line="360" w:lineRule="auto"/>
        <w:rPr>
          <w:rFonts w:ascii="Arial"/>
          <w:color w:val="auto"/>
          <w:sz w:val="21"/>
        </w:rPr>
      </w:pPr>
    </w:p>
    <w:p w14:paraId="58C6A7B7">
      <w:pPr>
        <w:wordWrap w:val="0"/>
        <w:spacing w:line="360" w:lineRule="auto"/>
        <w:rPr>
          <w:rFonts w:ascii="Arial"/>
          <w:color w:val="auto"/>
          <w:sz w:val="21"/>
        </w:rPr>
      </w:pPr>
    </w:p>
    <w:p w14:paraId="7327D19D">
      <w:pPr>
        <w:wordWrap w:val="0"/>
        <w:spacing w:line="360" w:lineRule="auto"/>
        <w:rPr>
          <w:rFonts w:ascii="Arial"/>
          <w:color w:val="auto"/>
          <w:sz w:val="21"/>
        </w:rPr>
      </w:pPr>
    </w:p>
    <w:p w14:paraId="41D7C97E">
      <w:pPr>
        <w:wordWrap w:val="0"/>
        <w:spacing w:line="360" w:lineRule="auto"/>
        <w:rPr>
          <w:rFonts w:ascii="Arial"/>
          <w:color w:val="auto"/>
          <w:sz w:val="21"/>
        </w:rPr>
      </w:pPr>
    </w:p>
    <w:p w14:paraId="09CB425C">
      <w:pPr>
        <w:wordWrap w:val="0"/>
        <w:spacing w:line="360" w:lineRule="auto"/>
        <w:rPr>
          <w:rFonts w:ascii="Arial"/>
          <w:color w:val="auto"/>
          <w:sz w:val="21"/>
        </w:rPr>
      </w:pPr>
    </w:p>
    <w:p w14:paraId="4EBF4A55">
      <w:pPr>
        <w:wordWrap w:val="0"/>
        <w:spacing w:line="360" w:lineRule="auto"/>
        <w:rPr>
          <w:rFonts w:ascii="Arial"/>
          <w:color w:val="auto"/>
          <w:sz w:val="21"/>
        </w:rPr>
      </w:pPr>
    </w:p>
    <w:p w14:paraId="3F3B1A18">
      <w:pPr>
        <w:pStyle w:val="12"/>
        <w:wordWrap w:val="0"/>
        <w:spacing w:before="0" w:line="360" w:lineRule="auto"/>
        <w:ind w:left="0" w:right="0" w:firstLine="3"/>
        <w:rPr>
          <w:color w:val="auto"/>
          <w:spacing w:val="1"/>
          <w:sz w:val="24"/>
          <w:szCs w:val="24"/>
        </w:rPr>
      </w:pPr>
      <w:r>
        <w:rPr>
          <w:color w:val="auto"/>
          <w:spacing w:val="-1"/>
          <w:sz w:val="24"/>
          <w:szCs w:val="24"/>
        </w:rPr>
        <w:t>发包方：柳州市防洪排涝工程管理处</w:t>
      </w:r>
      <w:r>
        <w:rPr>
          <w:color w:val="auto"/>
          <w:spacing w:val="1"/>
          <w:sz w:val="24"/>
          <w:szCs w:val="24"/>
        </w:rPr>
        <w:t xml:space="preserve"> </w:t>
      </w:r>
    </w:p>
    <w:p w14:paraId="777EBC29">
      <w:pPr>
        <w:pStyle w:val="12"/>
        <w:wordWrap w:val="0"/>
        <w:spacing w:before="0" w:line="360" w:lineRule="auto"/>
        <w:ind w:left="0" w:right="0" w:firstLine="3"/>
        <w:rPr>
          <w:rFonts w:hint="eastAsia"/>
          <w:color w:val="auto"/>
          <w:spacing w:val="-1"/>
          <w:sz w:val="24"/>
          <w:szCs w:val="24"/>
          <w:lang w:eastAsia="zh-CN"/>
        </w:rPr>
      </w:pPr>
      <w:r>
        <w:rPr>
          <w:color w:val="auto"/>
          <w:spacing w:val="-1"/>
          <w:sz w:val="24"/>
          <w:szCs w:val="24"/>
        </w:rPr>
        <w:t>承包方：</w:t>
      </w:r>
    </w:p>
    <w:p w14:paraId="344746D5">
      <w:pPr>
        <w:pStyle w:val="12"/>
        <w:wordWrap w:val="0"/>
        <w:spacing w:before="0" w:line="360" w:lineRule="auto"/>
        <w:ind w:left="0"/>
        <w:rPr>
          <w:color w:val="auto"/>
          <w:spacing w:val="-3"/>
          <w:sz w:val="24"/>
          <w:szCs w:val="24"/>
        </w:rPr>
      </w:pPr>
      <w:r>
        <w:rPr>
          <w:color w:val="auto"/>
          <w:spacing w:val="-3"/>
          <w:sz w:val="24"/>
          <w:szCs w:val="24"/>
        </w:rPr>
        <w:t>签订时间： 202</w:t>
      </w:r>
      <w:r>
        <w:rPr>
          <w:rFonts w:hint="eastAsia"/>
          <w:color w:val="auto"/>
          <w:spacing w:val="-3"/>
          <w:sz w:val="24"/>
          <w:szCs w:val="24"/>
          <w:lang w:val="en-US" w:eastAsia="zh-CN"/>
        </w:rPr>
        <w:t>5</w:t>
      </w:r>
      <w:r>
        <w:rPr>
          <w:color w:val="auto"/>
          <w:spacing w:val="-47"/>
          <w:sz w:val="24"/>
          <w:szCs w:val="24"/>
        </w:rPr>
        <w:t xml:space="preserve"> </w:t>
      </w:r>
      <w:r>
        <w:rPr>
          <w:color w:val="auto"/>
          <w:spacing w:val="-3"/>
          <w:sz w:val="24"/>
          <w:szCs w:val="24"/>
        </w:rPr>
        <w:t>年</w:t>
      </w:r>
      <w:r>
        <w:rPr>
          <w:color w:val="auto"/>
          <w:spacing w:val="5"/>
          <w:sz w:val="24"/>
          <w:szCs w:val="24"/>
        </w:rPr>
        <w:t xml:space="preserve">   </w:t>
      </w:r>
      <w:r>
        <w:rPr>
          <w:color w:val="auto"/>
          <w:spacing w:val="-3"/>
          <w:sz w:val="24"/>
          <w:szCs w:val="24"/>
        </w:rPr>
        <w:t>月</w:t>
      </w:r>
      <w:r>
        <w:rPr>
          <w:color w:val="auto"/>
          <w:spacing w:val="12"/>
          <w:sz w:val="24"/>
          <w:szCs w:val="24"/>
        </w:rPr>
        <w:t xml:space="preserve">    </w:t>
      </w:r>
      <w:r>
        <w:rPr>
          <w:color w:val="auto"/>
          <w:spacing w:val="-3"/>
          <w:sz w:val="24"/>
          <w:szCs w:val="24"/>
        </w:rPr>
        <w:t>日</w:t>
      </w:r>
    </w:p>
    <w:p w14:paraId="37CA3D0D">
      <w:pPr>
        <w:rPr>
          <w:color w:val="auto"/>
          <w:spacing w:val="-3"/>
          <w:sz w:val="24"/>
          <w:szCs w:val="24"/>
        </w:rPr>
      </w:pPr>
      <w:r>
        <w:rPr>
          <w:color w:val="auto"/>
          <w:spacing w:val="-3"/>
          <w:sz w:val="24"/>
          <w:szCs w:val="24"/>
        </w:rPr>
        <w:br w:type="page"/>
      </w:r>
    </w:p>
    <w:p w14:paraId="57FCDCE7">
      <w:pPr>
        <w:pStyle w:val="12"/>
        <w:wordWrap w:val="0"/>
        <w:spacing w:before="0" w:line="360" w:lineRule="auto"/>
        <w:ind w:left="0"/>
        <w:jc w:val="center"/>
        <w:rPr>
          <w:color w:val="auto"/>
        </w:rPr>
      </w:pPr>
      <w:r>
        <w:rPr>
          <w:b/>
          <w:bCs/>
          <w:color w:val="auto"/>
          <w:spacing w:val="6"/>
        </w:rPr>
        <w:t>第一部分</w:t>
      </w:r>
      <w:r>
        <w:rPr>
          <w:color w:val="auto"/>
          <w:spacing w:val="6"/>
        </w:rPr>
        <w:t xml:space="preserve">  </w:t>
      </w:r>
      <w:r>
        <w:rPr>
          <w:b/>
          <w:bCs/>
          <w:color w:val="auto"/>
          <w:spacing w:val="6"/>
        </w:rPr>
        <w:t>合同协议书</w:t>
      </w:r>
    </w:p>
    <w:p w14:paraId="39E6D2C7">
      <w:pPr>
        <w:wordWrap w:val="0"/>
        <w:spacing w:line="360" w:lineRule="auto"/>
        <w:rPr>
          <w:rFonts w:ascii="Arial"/>
          <w:color w:val="auto"/>
          <w:sz w:val="21"/>
        </w:rPr>
      </w:pPr>
    </w:p>
    <w:p w14:paraId="7E7AEE50">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3"/>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w:t>
      </w:r>
      <w:r>
        <w:rPr>
          <w:rFonts w:hint="eastAsia" w:ascii="宋体" w:hAnsi="宋体" w:eastAsia="宋体" w:cs="宋体"/>
          <w:color w:val="auto"/>
          <w:sz w:val="24"/>
          <w:szCs w:val="24"/>
          <w:u w:val="single" w:color="auto"/>
        </w:rPr>
        <w:t xml:space="preserve"> 柳州市防洪排涝工程管理处 </w:t>
      </w:r>
    </w:p>
    <w:p w14:paraId="076E30E1">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3"/>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承包人：</w:t>
      </w:r>
      <w:r>
        <w:rPr>
          <w:rFonts w:hint="eastAsia" w:ascii="宋体" w:hAnsi="宋体" w:eastAsia="宋体" w:cs="宋体"/>
          <w:color w:val="auto"/>
          <w:sz w:val="24"/>
          <w:szCs w:val="24"/>
          <w:u w:val="single" w:color="auto"/>
          <w:lang w:eastAsia="zh-CN"/>
        </w:rPr>
        <w:t xml:space="preserve">     </w:t>
      </w:r>
      <w:r>
        <w:rPr>
          <w:rFonts w:hint="eastAsia" w:ascii="宋体" w:hAnsi="宋体" w:eastAsia="宋体" w:cs="宋体"/>
          <w:color w:val="auto"/>
          <w:sz w:val="24"/>
          <w:szCs w:val="24"/>
          <w:u w:val="single" w:color="auto"/>
        </w:rPr>
        <w:t xml:space="preserve">                 </w:t>
      </w:r>
    </w:p>
    <w:p w14:paraId="7EBA2343">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经发承包双方协商，发包人委托承包人进行</w:t>
      </w:r>
      <w:r>
        <w:rPr>
          <w:rFonts w:hint="eastAsia" w:ascii="宋体" w:hAnsi="宋体" w:eastAsia="宋体" w:cs="宋体"/>
          <w:color w:val="auto"/>
          <w:spacing w:val="-4"/>
          <w:sz w:val="24"/>
          <w:szCs w:val="24"/>
          <w:u w:val="single" w:color="auto"/>
          <w:lang w:eastAsia="zh-CN"/>
        </w:rPr>
        <w:t xml:space="preserve"> 泵站、堤防护坡清理维护工程（2025年）</w:t>
      </w:r>
      <w:r>
        <w:rPr>
          <w:rFonts w:hint="eastAsia" w:ascii="宋体" w:hAnsi="宋体" w:eastAsia="宋体" w:cs="宋体"/>
          <w:color w:val="auto"/>
          <w:spacing w:val="-1"/>
          <w:sz w:val="24"/>
          <w:szCs w:val="24"/>
        </w:rPr>
        <w:t>施工。发承包双方经充分协商，在平等、自愿、公平和诚实信用的基础上，就施工</w:t>
      </w:r>
      <w:r>
        <w:rPr>
          <w:rFonts w:hint="eastAsia" w:ascii="宋体" w:hAnsi="宋体" w:eastAsia="宋体" w:cs="宋体"/>
          <w:color w:val="auto"/>
          <w:spacing w:val="-3"/>
          <w:sz w:val="24"/>
          <w:szCs w:val="24"/>
        </w:rPr>
        <w:t>事宜达成以下协议，并承诺共同遵守。</w:t>
      </w:r>
    </w:p>
    <w:p w14:paraId="3324A960">
      <w:pPr>
        <w:pStyle w:val="12"/>
        <w:keepNext w:val="0"/>
        <w:keepLines w:val="0"/>
        <w:pageBreakBefore w:val="0"/>
        <w:widowControl w:val="0"/>
        <w:kinsoku/>
        <w:wordWrap w:val="0"/>
        <w:overflowPunct/>
        <w:topLinePunct w:val="0"/>
        <w:autoSpaceDE/>
        <w:autoSpaceDN/>
        <w:bidi w:val="0"/>
        <w:adjustRightInd/>
        <w:snapToGrid/>
        <w:spacing w:after="0" w:line="360" w:lineRule="auto"/>
        <w:ind w:left="0" w:firstLine="458" w:firstLineChars="200"/>
        <w:jc w:val="both"/>
        <w:textAlignment w:val="auto"/>
        <w:rPr>
          <w:rFonts w:hint="eastAsia" w:ascii="宋体" w:hAnsi="宋体" w:eastAsia="宋体" w:cs="宋体"/>
          <w:color w:val="auto"/>
          <w:sz w:val="24"/>
          <w:szCs w:val="24"/>
        </w:rPr>
      </w:pPr>
      <w:r>
        <w:rPr>
          <w:rFonts w:hint="eastAsia" w:ascii="宋体" w:hAnsi="宋体" w:eastAsia="宋体" w:cs="宋体"/>
          <w:b/>
          <w:bCs/>
          <w:color w:val="auto"/>
          <w:spacing w:val="-6"/>
          <w:sz w:val="24"/>
          <w:szCs w:val="24"/>
        </w:rPr>
        <w:t>一、工程概况</w:t>
      </w:r>
    </w:p>
    <w:p w14:paraId="7BC9734C">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72" w:firstLineChars="200"/>
        <w:jc w:val="both"/>
        <w:textAlignment w:val="auto"/>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rPr>
        <w:t>1.工程名称：</w:t>
      </w:r>
      <w:r>
        <w:rPr>
          <w:rFonts w:hint="eastAsia" w:ascii="宋体" w:hAnsi="宋体" w:eastAsia="宋体" w:cs="宋体"/>
          <w:color w:val="auto"/>
          <w:spacing w:val="-2"/>
          <w:sz w:val="24"/>
          <w:szCs w:val="24"/>
          <w:u w:val="none"/>
          <w:lang w:eastAsia="zh-CN"/>
        </w:rPr>
        <w:t>泵站、堤防护坡清理维护工程（2025年）</w:t>
      </w:r>
    </w:p>
    <w:p w14:paraId="56C4A2E6">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76" w:firstLineChars="200"/>
        <w:jc w:val="both"/>
        <w:textAlignment w:val="auto"/>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rPr>
        <w:t>2.工程地点：</w:t>
      </w:r>
      <w:r>
        <w:rPr>
          <w:rFonts w:hint="eastAsia" w:ascii="宋体" w:hAnsi="宋体" w:eastAsia="宋体" w:cs="宋体"/>
          <w:color w:val="auto"/>
          <w:spacing w:val="-1"/>
          <w:sz w:val="24"/>
          <w:szCs w:val="24"/>
          <w:lang w:eastAsia="zh-CN"/>
        </w:rPr>
        <w:t>鹧鸪江堤、白沙堤、</w:t>
      </w:r>
      <w:r>
        <w:rPr>
          <w:rFonts w:hint="eastAsia" w:ascii="宋体" w:hAnsi="宋体" w:eastAsia="宋体" w:cs="宋体"/>
          <w:color w:val="auto"/>
          <w:spacing w:val="-1"/>
          <w:sz w:val="24"/>
          <w:szCs w:val="24"/>
          <w:lang w:val="en-US" w:eastAsia="zh-CN"/>
        </w:rPr>
        <w:t>白露堤、河西堤、静兰堤、鸡喇堤、阳和堤、官塘堤、</w:t>
      </w:r>
      <w:r>
        <w:rPr>
          <w:rFonts w:hint="eastAsia" w:ascii="宋体" w:hAnsi="宋体" w:eastAsia="宋体" w:cs="宋体"/>
          <w:color w:val="auto"/>
          <w:spacing w:val="-1"/>
          <w:sz w:val="24"/>
          <w:szCs w:val="24"/>
          <w:u w:val="none"/>
        </w:rPr>
        <w:t>雒容护岸等</w:t>
      </w:r>
    </w:p>
    <w:p w14:paraId="7CB40722">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76"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3.工程内容：</w:t>
      </w:r>
      <w:r>
        <w:rPr>
          <w:rFonts w:hint="eastAsia" w:ascii="宋体" w:hAnsi="宋体" w:eastAsia="宋体" w:cs="宋体"/>
          <w:color w:val="auto"/>
          <w:spacing w:val="-1"/>
          <w:sz w:val="24"/>
          <w:szCs w:val="24"/>
          <w:highlight w:val="none"/>
          <w:u w:val="single" w:color="auto"/>
        </w:rPr>
        <w:t>泵站、前池及堤防护坡清理维护。</w:t>
      </w:r>
    </w:p>
    <w:p w14:paraId="661BD226">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66"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二、工程工期</w:t>
      </w:r>
    </w:p>
    <w:p w14:paraId="505D2561">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7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施工工期：</w:t>
      </w:r>
      <w:r>
        <w:rPr>
          <w:rFonts w:hint="eastAsia" w:ascii="宋体" w:hAnsi="宋体" w:eastAsia="宋体" w:cs="宋体"/>
          <w:color w:val="auto"/>
          <w:spacing w:val="-2"/>
          <w:sz w:val="24"/>
          <w:szCs w:val="24"/>
          <w:highlight w:val="none"/>
          <w:u w:val="single" w:color="auto"/>
        </w:rPr>
        <w:t>自合同签订之日起至2025年12月31日</w:t>
      </w:r>
      <w:r>
        <w:rPr>
          <w:rFonts w:hint="eastAsia" w:ascii="宋体" w:hAnsi="宋体" w:eastAsia="宋体" w:cs="宋体"/>
          <w:color w:val="auto"/>
          <w:spacing w:val="-2"/>
          <w:sz w:val="24"/>
          <w:szCs w:val="24"/>
          <w:highlight w:val="none"/>
        </w:rPr>
        <w:t>。</w:t>
      </w:r>
    </w:p>
    <w:p w14:paraId="22F9F945">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7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三、工程质量及验收</w:t>
      </w:r>
    </w:p>
    <w:p w14:paraId="2049154F">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工程质量必须符合国家或专业的质量检验评定规范标准,达到</w:t>
      </w:r>
      <w:r>
        <w:rPr>
          <w:rFonts w:hint="eastAsia" w:ascii="宋体" w:hAnsi="宋体" w:eastAsia="宋体" w:cs="宋体"/>
          <w:color w:val="auto"/>
          <w:spacing w:val="-1"/>
          <w:sz w:val="24"/>
          <w:szCs w:val="24"/>
          <w:u w:val="single" w:color="auto"/>
        </w:rPr>
        <w:t>合格</w:t>
      </w:r>
      <w:r>
        <w:rPr>
          <w:rFonts w:hint="eastAsia" w:ascii="宋体" w:hAnsi="宋体" w:eastAsia="宋体" w:cs="宋体"/>
          <w:color w:val="auto"/>
          <w:spacing w:val="-1"/>
          <w:sz w:val="24"/>
          <w:szCs w:val="24"/>
        </w:rPr>
        <w:t>要求，通过发</w:t>
      </w:r>
      <w:r>
        <w:rPr>
          <w:rFonts w:hint="eastAsia" w:ascii="宋体" w:hAnsi="宋体" w:eastAsia="宋体" w:cs="宋体"/>
          <w:color w:val="auto"/>
          <w:spacing w:val="-2"/>
          <w:sz w:val="24"/>
          <w:szCs w:val="24"/>
        </w:rPr>
        <w:t>包人验</w:t>
      </w:r>
      <w:r>
        <w:rPr>
          <w:rFonts w:hint="eastAsia" w:ascii="宋体" w:hAnsi="宋体" w:eastAsia="宋体" w:cs="宋体"/>
          <w:color w:val="auto"/>
          <w:spacing w:val="-14"/>
          <w:sz w:val="24"/>
          <w:szCs w:val="24"/>
        </w:rPr>
        <w:t>收。</w:t>
      </w:r>
    </w:p>
    <w:p w14:paraId="6B9EE90D">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54"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pacing w:val="-7"/>
          <w:sz w:val="24"/>
          <w:szCs w:val="24"/>
        </w:rPr>
        <w:t>四、工程价款</w:t>
      </w:r>
    </w:p>
    <w:p w14:paraId="6BF3DF77">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leftChars="0" w:firstLine="476" w:firstLineChars="200"/>
        <w:jc w:val="both"/>
        <w:textAlignment w:val="auto"/>
        <w:rPr>
          <w:rFonts w:hint="eastAsia" w:ascii="宋体" w:hAnsi="宋体" w:eastAsia="宋体" w:cs="宋体"/>
          <w:color w:val="auto"/>
          <w:spacing w:val="-8"/>
          <w:sz w:val="24"/>
          <w:szCs w:val="24"/>
        </w:rPr>
      </w:pPr>
      <w:r>
        <w:rPr>
          <w:rFonts w:hint="eastAsia" w:ascii="宋体" w:hAnsi="宋体" w:eastAsia="宋体" w:cs="宋体"/>
          <w:color w:val="auto"/>
          <w:spacing w:val="-1"/>
          <w:sz w:val="24"/>
          <w:szCs w:val="24"/>
        </w:rPr>
        <w:t>工程预控价为</w:t>
      </w:r>
      <w:r>
        <w:rPr>
          <w:rFonts w:hint="eastAsia" w:ascii="宋体" w:hAnsi="宋体" w:eastAsia="宋体" w:cs="宋体"/>
          <w:color w:val="auto"/>
          <w:spacing w:val="-1"/>
          <w:sz w:val="24"/>
          <w:szCs w:val="24"/>
          <w:u w:val="single" w:color="auto"/>
          <w:lang w:val="en-US" w:eastAsia="zh-CN"/>
        </w:rPr>
        <w:t xml:space="preserve">      </w:t>
      </w:r>
      <w:r>
        <w:rPr>
          <w:rFonts w:hint="eastAsia" w:ascii="宋体" w:hAnsi="宋体" w:eastAsia="宋体" w:cs="宋体"/>
          <w:color w:val="auto"/>
          <w:spacing w:val="-1"/>
          <w:sz w:val="24"/>
          <w:szCs w:val="24"/>
        </w:rPr>
        <w:t>元，让利系数为</w:t>
      </w:r>
      <w:r>
        <w:rPr>
          <w:rFonts w:hint="eastAsia" w:ascii="宋体" w:hAnsi="宋体" w:eastAsia="宋体" w:cs="宋体"/>
          <w:color w:val="auto"/>
          <w:spacing w:val="-120"/>
          <w:sz w:val="24"/>
          <w:szCs w:val="24"/>
        </w:rPr>
        <w:t xml:space="preserve"> </w:t>
      </w:r>
      <w:r>
        <w:rPr>
          <w:rFonts w:hint="eastAsia" w:ascii="宋体" w:hAnsi="宋体" w:eastAsia="宋体" w:cs="宋体"/>
          <w:color w:val="auto"/>
          <w:sz w:val="24"/>
          <w:szCs w:val="24"/>
          <w:u w:val="single" w:color="auto"/>
          <w:lang w:val="en-US" w:eastAsia="zh-CN"/>
        </w:rPr>
        <w:t xml:space="preserve">    </w:t>
      </w:r>
      <w:r>
        <w:rPr>
          <w:rFonts w:hint="eastAsia" w:ascii="宋体" w:hAnsi="宋体" w:eastAsia="宋体" w:cs="宋体"/>
          <w:color w:val="auto"/>
          <w:spacing w:val="-117"/>
          <w:sz w:val="24"/>
          <w:szCs w:val="24"/>
        </w:rPr>
        <w:t xml:space="preserve"> </w:t>
      </w:r>
      <w:r>
        <w:rPr>
          <w:rFonts w:hint="eastAsia" w:ascii="宋体" w:hAnsi="宋体" w:eastAsia="宋体" w:cs="宋体"/>
          <w:color w:val="auto"/>
          <w:spacing w:val="-1"/>
          <w:sz w:val="24"/>
          <w:szCs w:val="24"/>
        </w:rPr>
        <w:t>%，即工程总价</w:t>
      </w:r>
      <w:r>
        <w:rPr>
          <w:rFonts w:hint="eastAsia" w:ascii="宋体" w:hAnsi="宋体" w:eastAsia="宋体" w:cs="宋体"/>
          <w:color w:val="auto"/>
          <w:spacing w:val="-2"/>
          <w:sz w:val="24"/>
          <w:szCs w:val="24"/>
        </w:rPr>
        <w:t>暂定为</w:t>
      </w:r>
      <w:r>
        <w:rPr>
          <w:rFonts w:hint="eastAsia" w:ascii="宋体" w:hAnsi="宋体" w:eastAsia="宋体" w:cs="宋体"/>
          <w:color w:val="auto"/>
          <w:spacing w:val="-107"/>
          <w:sz w:val="24"/>
          <w:szCs w:val="24"/>
        </w:rPr>
        <w:t xml:space="preserve"> </w:t>
      </w:r>
      <w:r>
        <w:rPr>
          <w:rFonts w:hint="eastAsia" w:ascii="宋体" w:hAnsi="宋体" w:eastAsia="宋体" w:cs="宋体"/>
          <w:color w:val="auto"/>
          <w:spacing w:val="-2"/>
          <w:sz w:val="24"/>
          <w:szCs w:val="24"/>
          <w:u w:val="single" w:color="auto"/>
          <w:lang w:val="en-US" w:eastAsia="zh-CN"/>
        </w:rPr>
        <w:t xml:space="preserve">      </w:t>
      </w:r>
      <w:r>
        <w:rPr>
          <w:rFonts w:hint="eastAsia" w:ascii="宋体" w:hAnsi="宋体" w:eastAsia="宋体" w:cs="宋体"/>
          <w:color w:val="auto"/>
          <w:spacing w:val="-2"/>
          <w:sz w:val="24"/>
          <w:szCs w:val="24"/>
          <w:u w:val="single" w:color="auto"/>
        </w:rPr>
        <w:t>元（大写人</w:t>
      </w:r>
      <w:r>
        <w:rPr>
          <w:rFonts w:hint="eastAsia" w:ascii="宋体" w:hAnsi="宋体" w:eastAsia="宋体" w:cs="宋体"/>
          <w:color w:val="auto"/>
          <w:spacing w:val="-7"/>
          <w:sz w:val="24"/>
          <w:szCs w:val="24"/>
          <w:u w:val="single"/>
        </w:rPr>
        <w:t>民币</w:t>
      </w:r>
      <w:r>
        <w:rPr>
          <w:rFonts w:hint="eastAsia" w:ascii="宋体" w:hAnsi="宋体" w:eastAsia="宋体" w:cs="宋体"/>
          <w:color w:val="auto"/>
          <w:spacing w:val="-7"/>
          <w:sz w:val="24"/>
          <w:szCs w:val="24"/>
          <w:u w:val="single"/>
          <w:lang w:val="en-US" w:eastAsia="zh-CN"/>
        </w:rPr>
        <w:t xml:space="preserve">   </w:t>
      </w:r>
      <w:r>
        <w:rPr>
          <w:rFonts w:hint="eastAsia" w:ascii="宋体" w:hAnsi="宋体" w:eastAsia="宋体" w:cs="宋体"/>
          <w:color w:val="auto"/>
          <w:spacing w:val="-8"/>
          <w:sz w:val="24"/>
          <w:szCs w:val="24"/>
        </w:rPr>
        <w:t>）。</w:t>
      </w:r>
    </w:p>
    <w:p w14:paraId="655856B2">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leftChars="0" w:firstLine="48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结算以发包人审核的工程量清单报价单价乘以实际完成</w:t>
      </w:r>
      <w:r>
        <w:rPr>
          <w:rFonts w:hint="eastAsia" w:ascii="宋体" w:hAnsi="宋体" w:eastAsia="宋体" w:cs="宋体"/>
          <w:color w:val="auto"/>
          <w:sz w:val="24"/>
          <w:szCs w:val="24"/>
        </w:rPr>
        <w:t>的工程量作为结算基础价款，</w:t>
      </w:r>
      <w:r>
        <w:rPr>
          <w:rFonts w:hint="eastAsia" w:ascii="宋体" w:hAnsi="宋体" w:eastAsia="宋体" w:cs="宋体"/>
          <w:color w:val="auto"/>
          <w:spacing w:val="-1"/>
          <w:sz w:val="24"/>
          <w:szCs w:val="24"/>
        </w:rPr>
        <w:t>最终的结算价款＝结算基础价款＋签证增加价款×（1－中</w:t>
      </w:r>
      <w:r>
        <w:rPr>
          <w:rFonts w:hint="eastAsia" w:ascii="宋体" w:hAnsi="宋体" w:eastAsia="宋体" w:cs="宋体"/>
          <w:color w:val="auto"/>
          <w:spacing w:val="-2"/>
          <w:sz w:val="24"/>
          <w:szCs w:val="24"/>
        </w:rPr>
        <w:t>标单位让利系数）。</w:t>
      </w:r>
    </w:p>
    <w:p w14:paraId="7DBEB85E">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最终结算价以发包人审核意见为准。</w:t>
      </w:r>
    </w:p>
    <w:p w14:paraId="77DA7261">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54" w:firstLineChars="200"/>
        <w:jc w:val="both"/>
        <w:textAlignment w:val="auto"/>
        <w:rPr>
          <w:rFonts w:hint="eastAsia" w:ascii="宋体" w:hAnsi="宋体" w:eastAsia="宋体" w:cs="宋体"/>
          <w:color w:val="auto"/>
          <w:sz w:val="24"/>
          <w:szCs w:val="24"/>
        </w:rPr>
      </w:pPr>
      <w:r>
        <w:rPr>
          <w:rFonts w:hint="eastAsia" w:ascii="宋体" w:hAnsi="宋体" w:eastAsia="宋体" w:cs="宋体"/>
          <w:b/>
          <w:bCs/>
          <w:color w:val="auto"/>
          <w:spacing w:val="-7"/>
          <w:sz w:val="24"/>
          <w:szCs w:val="24"/>
          <w:lang w:val="en-US" w:eastAsia="zh-CN"/>
        </w:rPr>
        <w:t>五</w:t>
      </w:r>
      <w:r>
        <w:rPr>
          <w:rFonts w:hint="eastAsia" w:ascii="宋体" w:hAnsi="宋体" w:eastAsia="宋体" w:cs="宋体"/>
          <w:b/>
          <w:bCs/>
          <w:color w:val="auto"/>
          <w:spacing w:val="-7"/>
          <w:sz w:val="24"/>
          <w:szCs w:val="24"/>
        </w:rPr>
        <w:t>、支付方式</w:t>
      </w:r>
    </w:p>
    <w:p w14:paraId="16504804">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本合同采用第</w:t>
      </w:r>
      <w:r>
        <w:rPr>
          <w:rFonts w:hint="eastAsia" w:ascii="宋体" w:hAnsi="宋体" w:eastAsia="宋体" w:cs="宋体"/>
          <w:color w:val="auto"/>
          <w:spacing w:val="-3"/>
          <w:sz w:val="24"/>
          <w:szCs w:val="24"/>
          <w:u w:val="single" w:color="auto"/>
        </w:rPr>
        <w:t xml:space="preserve"> 2 </w:t>
      </w:r>
      <w:r>
        <w:rPr>
          <w:rFonts w:hint="eastAsia" w:ascii="宋体" w:hAnsi="宋体" w:eastAsia="宋体" w:cs="宋体"/>
          <w:color w:val="auto"/>
          <w:spacing w:val="-3"/>
          <w:sz w:val="24"/>
          <w:szCs w:val="24"/>
        </w:rPr>
        <w:t>种方式支付。</w:t>
      </w:r>
    </w:p>
    <w:p w14:paraId="7484E7FE">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5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（1）一次性支付：</w:t>
      </w:r>
    </w:p>
    <w:p w14:paraId="05BB13D7">
      <w:pPr>
        <w:pStyle w:val="12"/>
        <w:keepNext w:val="0"/>
        <w:keepLines w:val="0"/>
        <w:pageBreakBefore w:val="0"/>
        <w:widowControl w:val="0"/>
        <w:kinsoku/>
        <w:wordWrap w:val="0"/>
        <w:overflowPunct/>
        <w:topLinePunct w:val="0"/>
        <w:autoSpaceDE/>
        <w:autoSpaceDN/>
        <w:bidi w:val="0"/>
        <w:adjustRightInd/>
        <w:snapToGrid/>
        <w:spacing w:before="0" w:after="0" w:line="360" w:lineRule="auto"/>
        <w:ind w:right="0" w:firstLine="48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工程完工验收合格后，承包人向发包人递交完整的结算资料，通过发包人审核后，承</w:t>
      </w:r>
      <w:r>
        <w:rPr>
          <w:rFonts w:hint="eastAsia" w:ascii="宋体" w:hAnsi="宋体" w:eastAsia="宋体" w:cs="宋体"/>
          <w:color w:val="auto"/>
          <w:spacing w:val="-2"/>
          <w:sz w:val="24"/>
          <w:szCs w:val="24"/>
        </w:rPr>
        <w:t>包人向发包人提供与结算价款同等金额的有效发票，发包人向承包人一次性支付施工费用。</w:t>
      </w:r>
    </w:p>
    <w:p w14:paraId="764F0D5C">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4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8"/>
          <w:sz w:val="24"/>
          <w:szCs w:val="24"/>
        </w:rPr>
        <w:t>（2）进度款支付：</w:t>
      </w:r>
    </w:p>
    <w:p w14:paraId="1641BFCD">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5.1预付款支付</w:t>
      </w:r>
    </w:p>
    <w:p w14:paraId="0AAA940C">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leftChars="0" w:firstLine="488" w:firstLineChars="200"/>
        <w:jc w:val="both"/>
        <w:textAlignment w:val="auto"/>
        <w:rPr>
          <w:rFonts w:hint="eastAsia" w:ascii="宋体" w:hAnsi="宋体" w:eastAsia="宋体" w:cs="宋体"/>
          <w:color w:val="auto"/>
          <w:spacing w:val="-1"/>
          <w:sz w:val="24"/>
          <w:szCs w:val="24"/>
          <w:u w:val="single" w:color="auto"/>
        </w:rPr>
      </w:pPr>
      <w:r>
        <w:rPr>
          <w:rFonts w:hint="eastAsia" w:ascii="宋体" w:hAnsi="宋体" w:eastAsia="宋体" w:cs="宋体"/>
          <w:color w:val="auto"/>
          <w:spacing w:val="2"/>
          <w:sz w:val="24"/>
          <w:szCs w:val="24"/>
        </w:rPr>
        <w:t>合同签订后，发包人向承包人支付预付款，预付款金额为合同价的 30%</w:t>
      </w:r>
      <w:r>
        <w:rPr>
          <w:rFonts w:hint="eastAsia" w:ascii="宋体" w:hAnsi="宋体" w:eastAsia="宋体" w:cs="宋体"/>
          <w:color w:val="auto"/>
          <w:spacing w:val="-1"/>
          <w:sz w:val="24"/>
          <w:szCs w:val="24"/>
          <w:u w:val="single" w:color="auto"/>
        </w:rPr>
        <w:t>（</w:t>
      </w:r>
      <w:r>
        <w:rPr>
          <w:rFonts w:hint="eastAsia" w:ascii="宋体" w:hAnsi="宋体" w:eastAsia="宋体" w:cs="宋体"/>
          <w:color w:val="auto"/>
          <w:spacing w:val="-1"/>
          <w:sz w:val="24"/>
          <w:szCs w:val="24"/>
          <w:u w:val="single" w:color="auto"/>
          <w:lang w:val="en-US" w:eastAsia="zh-CN"/>
        </w:rPr>
        <w:t>其</w:t>
      </w:r>
      <w:r>
        <w:rPr>
          <w:rFonts w:hint="eastAsia" w:ascii="宋体" w:hAnsi="宋体" w:eastAsia="宋体" w:cs="宋体"/>
          <w:color w:val="auto"/>
          <w:spacing w:val="-1"/>
          <w:sz w:val="24"/>
          <w:szCs w:val="24"/>
          <w:u w:val="single" w:color="auto"/>
        </w:rPr>
        <w:t>中60%转入农民工工资专户，</w:t>
      </w:r>
      <w:r>
        <w:rPr>
          <w:rFonts w:hint="eastAsia" w:ascii="宋体" w:hAnsi="宋体" w:eastAsia="宋体" w:cs="宋体"/>
          <w:color w:val="auto"/>
          <w:spacing w:val="-1"/>
          <w:sz w:val="24"/>
          <w:szCs w:val="24"/>
          <w:u w:val="single" w:color="auto"/>
          <w:lang w:eastAsia="zh-CN"/>
        </w:rPr>
        <w:t>账户名称：</w:t>
      </w:r>
      <w:r>
        <w:rPr>
          <w:rFonts w:hint="eastAsia" w:ascii="宋体" w:hAnsi="宋体" w:eastAsia="宋体" w:cs="宋体"/>
          <w:color w:val="auto"/>
          <w:spacing w:val="-1"/>
          <w:sz w:val="24"/>
          <w:szCs w:val="24"/>
          <w:u w:val="single" w:color="auto"/>
          <w:lang w:val="en-US" w:eastAsia="zh-CN"/>
        </w:rPr>
        <w:t xml:space="preserve">     开户行：      账号：       。</w:t>
      </w:r>
      <w:r>
        <w:rPr>
          <w:rFonts w:hint="eastAsia" w:ascii="宋体" w:hAnsi="宋体" w:eastAsia="宋体" w:cs="宋体"/>
          <w:color w:val="auto"/>
          <w:spacing w:val="-1"/>
          <w:sz w:val="24"/>
          <w:szCs w:val="24"/>
          <w:u w:val="single" w:color="auto"/>
        </w:rPr>
        <w:t>40%转入工程款账户</w:t>
      </w:r>
      <w:r>
        <w:rPr>
          <w:rFonts w:hint="eastAsia" w:ascii="宋体" w:hAnsi="宋体" w:eastAsia="宋体" w:cs="宋体"/>
          <w:color w:val="auto"/>
          <w:spacing w:val="-1"/>
          <w:sz w:val="24"/>
          <w:szCs w:val="24"/>
          <w:u w:val="single" w:color="auto"/>
          <w:lang w:eastAsia="zh-CN"/>
        </w:rPr>
        <w:t>，账户名称：</w:t>
      </w:r>
      <w:r>
        <w:rPr>
          <w:rFonts w:hint="eastAsia" w:ascii="宋体" w:hAnsi="宋体" w:eastAsia="宋体" w:cs="宋体"/>
          <w:color w:val="auto"/>
          <w:spacing w:val="-1"/>
          <w:sz w:val="24"/>
          <w:szCs w:val="24"/>
          <w:u w:val="single" w:color="auto"/>
          <w:lang w:val="en-US" w:eastAsia="zh-CN"/>
        </w:rPr>
        <w:t xml:space="preserve">     开户行：      账号：       。</w:t>
      </w:r>
      <w:r>
        <w:rPr>
          <w:rFonts w:hint="eastAsia" w:ascii="宋体" w:hAnsi="宋体" w:eastAsia="宋体" w:cs="宋体"/>
          <w:color w:val="auto"/>
          <w:spacing w:val="-1"/>
          <w:sz w:val="24"/>
          <w:szCs w:val="24"/>
          <w:u w:val="single" w:color="auto"/>
        </w:rPr>
        <w:t>）</w:t>
      </w:r>
    </w:p>
    <w:p w14:paraId="4B2A1A8A">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5.2进度款支付</w:t>
      </w:r>
    </w:p>
    <w:p w14:paraId="2F93CA0B">
      <w:pPr>
        <w:pStyle w:val="12"/>
        <w:keepNext w:val="0"/>
        <w:keepLines w:val="0"/>
        <w:pageBreakBefore w:val="0"/>
        <w:widowControl w:val="0"/>
        <w:kinsoku/>
        <w:wordWrap w:val="0"/>
        <w:overflowPunct/>
        <w:topLinePunct w:val="0"/>
        <w:autoSpaceDE/>
        <w:autoSpaceDN/>
        <w:bidi w:val="0"/>
        <w:adjustRightInd/>
        <w:snapToGrid/>
        <w:spacing w:before="0" w:after="0" w:line="360" w:lineRule="auto"/>
        <w:ind w:firstLine="47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pacing w:val="-2"/>
          <w:sz w:val="24"/>
          <w:szCs w:val="24"/>
        </w:rPr>
        <w:t>经发包人审核后，进度款拨付的额度为当期完成工程价款的</w:t>
      </w:r>
      <w:r>
        <w:rPr>
          <w:rFonts w:hint="eastAsia" w:ascii="宋体" w:hAnsi="宋体" w:eastAsia="宋体" w:cs="宋体"/>
          <w:color w:val="auto"/>
          <w:spacing w:val="-3"/>
          <w:sz w:val="24"/>
          <w:szCs w:val="24"/>
          <w:u w:val="single" w:color="auto"/>
        </w:rPr>
        <w:t>80%（</w:t>
      </w:r>
      <w:r>
        <w:rPr>
          <w:rFonts w:hint="eastAsia" w:ascii="宋体" w:hAnsi="宋体" w:eastAsia="宋体" w:cs="宋体"/>
          <w:color w:val="auto"/>
          <w:spacing w:val="-3"/>
          <w:sz w:val="24"/>
          <w:szCs w:val="24"/>
          <w:u w:val="single" w:color="auto"/>
          <w:lang w:eastAsia="zh-CN"/>
        </w:rPr>
        <w:t>其中</w:t>
      </w:r>
      <w:r>
        <w:rPr>
          <w:rFonts w:hint="eastAsia" w:ascii="宋体" w:hAnsi="宋体" w:eastAsia="宋体" w:cs="宋体"/>
          <w:color w:val="auto"/>
          <w:spacing w:val="-3"/>
          <w:sz w:val="24"/>
          <w:szCs w:val="24"/>
          <w:u w:val="single" w:color="auto"/>
          <w:lang w:val="en-US" w:eastAsia="zh-CN"/>
        </w:rPr>
        <w:t>60%转入农民工工资专户，40%转入工程款账户）。</w:t>
      </w:r>
    </w:p>
    <w:p w14:paraId="069A4C27">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6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rPr>
        <w:t>5.3结算支付</w:t>
      </w:r>
    </w:p>
    <w:p w14:paraId="05159BAF">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54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lang w:eastAsia="zh-CN"/>
        </w:rPr>
        <w:t>完工</w:t>
      </w:r>
      <w:r>
        <w:rPr>
          <w:rFonts w:hint="eastAsia" w:ascii="宋体" w:hAnsi="宋体" w:eastAsia="宋体" w:cs="宋体"/>
          <w:color w:val="auto"/>
          <w:spacing w:val="16"/>
          <w:sz w:val="24"/>
          <w:szCs w:val="24"/>
          <w:highlight w:val="none"/>
        </w:rPr>
        <w:t>结算报告经发包人或柳州市财政评审中心审核确认后支付至工程结算价款的</w:t>
      </w:r>
      <w:r>
        <w:rPr>
          <w:rFonts w:hint="eastAsia" w:ascii="宋体" w:hAnsi="宋体" w:eastAsia="宋体" w:cs="宋体"/>
          <w:color w:val="auto"/>
          <w:spacing w:val="-5"/>
          <w:sz w:val="24"/>
          <w:szCs w:val="24"/>
          <w:highlight w:val="none"/>
          <w:u w:val="single" w:color="auto"/>
        </w:rPr>
        <w:t>100%</w:t>
      </w:r>
      <w:r>
        <w:rPr>
          <w:rFonts w:hint="eastAsia" w:ascii="宋体" w:hAnsi="宋体" w:eastAsia="宋体" w:cs="宋体"/>
          <w:color w:val="auto"/>
          <w:spacing w:val="-5"/>
          <w:sz w:val="24"/>
          <w:szCs w:val="24"/>
          <w:highlight w:val="none"/>
        </w:rPr>
        <w:t>。</w:t>
      </w:r>
      <w:r>
        <w:rPr>
          <w:rFonts w:hint="eastAsia" w:ascii="宋体" w:hAnsi="宋体" w:eastAsia="宋体" w:cs="宋体"/>
          <w:strike w:val="0"/>
          <w:dstrike w:val="0"/>
          <w:color w:val="auto"/>
          <w:spacing w:val="-3"/>
          <w:sz w:val="24"/>
          <w:szCs w:val="24"/>
          <w:highlight w:val="none"/>
        </w:rPr>
        <w:t>承包人向发包人提供支付金额同等金额的有效发票</w:t>
      </w:r>
      <w:r>
        <w:rPr>
          <w:rFonts w:hint="eastAsia" w:ascii="宋体" w:hAnsi="宋体" w:eastAsia="宋体" w:cs="宋体"/>
          <w:strike w:val="0"/>
          <w:dstrike w:val="0"/>
          <w:color w:val="auto"/>
          <w:spacing w:val="-11"/>
          <w:sz w:val="24"/>
          <w:szCs w:val="24"/>
          <w:highlight w:val="none"/>
        </w:rPr>
        <w:t>。</w:t>
      </w:r>
    </w:p>
    <w:p w14:paraId="559FFDE5">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7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六、双方权利与义务</w:t>
      </w:r>
    </w:p>
    <w:p w14:paraId="64235FB4">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68"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（一）发包人权利与义务</w:t>
      </w:r>
    </w:p>
    <w:p w14:paraId="0DC3ADB4">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64" w:firstLineChars="200"/>
        <w:jc w:val="both"/>
        <w:textAlignment w:val="auto"/>
        <w:rPr>
          <w:rFonts w:hint="eastAsia" w:ascii="宋体" w:hAnsi="宋体" w:eastAsia="宋体" w:cs="宋体"/>
          <w:color w:val="auto"/>
          <w:spacing w:val="9"/>
          <w:sz w:val="24"/>
          <w:szCs w:val="24"/>
          <w:lang w:eastAsia="zh-CN"/>
        </w:rPr>
      </w:pPr>
      <w:r>
        <w:rPr>
          <w:rFonts w:hint="eastAsia" w:ascii="宋体" w:hAnsi="宋体" w:eastAsia="宋体" w:cs="宋体"/>
          <w:color w:val="auto"/>
          <w:spacing w:val="-4"/>
          <w:sz w:val="24"/>
          <w:szCs w:val="24"/>
        </w:rPr>
        <w:t>1.向承包人提供施工用地、用电便利。</w:t>
      </w:r>
    </w:p>
    <w:p w14:paraId="6BCED5B2">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2.按约定支付工程款。</w:t>
      </w:r>
    </w:p>
    <w:p w14:paraId="7D7FA0D2">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3.组织、参加工程验收。</w:t>
      </w:r>
    </w:p>
    <w:p w14:paraId="1FDD5402">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（二）承包人权利与义务</w:t>
      </w:r>
    </w:p>
    <w:p w14:paraId="2E2E002A">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68" w:firstLineChars="200"/>
        <w:jc w:val="both"/>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1.按照相关执行规范要求及约定工期完成工程施工。</w:t>
      </w:r>
    </w:p>
    <w:p w14:paraId="5D656A2A">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2.参加工程验收。</w:t>
      </w:r>
    </w:p>
    <w:p w14:paraId="7502E1A9">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6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rPr>
        <w:t>3.按发包人要求提</w:t>
      </w:r>
      <w:r>
        <w:rPr>
          <w:rFonts w:hint="eastAsia" w:ascii="宋体" w:hAnsi="宋体" w:eastAsia="宋体" w:cs="宋体"/>
          <w:color w:val="auto"/>
          <w:spacing w:val="-4"/>
          <w:sz w:val="24"/>
          <w:szCs w:val="24"/>
          <w:highlight w:val="none"/>
        </w:rPr>
        <w:t>交完工</w:t>
      </w:r>
      <w:r>
        <w:rPr>
          <w:rFonts w:hint="eastAsia" w:ascii="宋体" w:hAnsi="宋体" w:eastAsia="宋体" w:cs="宋体"/>
          <w:color w:val="auto"/>
          <w:spacing w:val="-4"/>
          <w:sz w:val="24"/>
          <w:szCs w:val="24"/>
          <w:highlight w:val="none"/>
          <w:lang w:val="en-US" w:eastAsia="zh-CN"/>
        </w:rPr>
        <w:t>及结算</w:t>
      </w:r>
      <w:r>
        <w:rPr>
          <w:rFonts w:hint="eastAsia" w:ascii="宋体" w:hAnsi="宋体" w:eastAsia="宋体" w:cs="宋体"/>
          <w:color w:val="auto"/>
          <w:spacing w:val="-4"/>
          <w:sz w:val="24"/>
          <w:szCs w:val="24"/>
          <w:highlight w:val="none"/>
        </w:rPr>
        <w:t>资料。</w:t>
      </w:r>
    </w:p>
    <w:p w14:paraId="46920148">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8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4.按施工安全有关规定，采取严格的安全防护措施，并承担由于自身安全措施不力造成伤亡事故的责任和因此发生的一切费用。非承包人责任造成的伤亡事故，由责任方承担</w:t>
      </w:r>
      <w:r>
        <w:rPr>
          <w:rFonts w:hint="eastAsia" w:ascii="宋体" w:hAnsi="宋体" w:eastAsia="宋体" w:cs="宋体"/>
          <w:color w:val="auto"/>
          <w:spacing w:val="-6"/>
          <w:sz w:val="24"/>
          <w:szCs w:val="24"/>
        </w:rPr>
        <w:t>责任和有关费用。</w:t>
      </w:r>
    </w:p>
    <w:p w14:paraId="6052E8EA">
      <w:pPr>
        <w:pStyle w:val="12"/>
        <w:keepNext w:val="0"/>
        <w:keepLines w:val="0"/>
        <w:pageBreakBefore w:val="0"/>
        <w:widowControl w:val="0"/>
        <w:kinsoku/>
        <w:wordWrap w:val="0"/>
        <w:overflowPunct/>
        <w:topLinePunct w:val="0"/>
        <w:autoSpaceDE/>
        <w:autoSpaceDN/>
        <w:bidi w:val="0"/>
        <w:adjustRightInd/>
        <w:snapToGrid/>
        <w:spacing w:before="0" w:after="0" w:line="360" w:lineRule="auto"/>
        <w:ind w:right="0" w:firstLine="48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5.承包人应遵守政府和有关部门对施工场地交通和施工噪音及文明、安</w:t>
      </w:r>
      <w:r>
        <w:rPr>
          <w:rFonts w:hint="eastAsia" w:ascii="宋体" w:hAnsi="宋体" w:eastAsia="宋体" w:cs="宋体"/>
          <w:color w:val="auto"/>
          <w:spacing w:val="1"/>
          <w:sz w:val="24"/>
          <w:szCs w:val="24"/>
        </w:rPr>
        <w:t>全施工等管理</w:t>
      </w:r>
      <w:r>
        <w:rPr>
          <w:rFonts w:hint="eastAsia" w:ascii="宋体" w:hAnsi="宋体" w:eastAsia="宋体" w:cs="宋体"/>
          <w:color w:val="auto"/>
          <w:spacing w:val="-2"/>
          <w:sz w:val="24"/>
          <w:szCs w:val="24"/>
        </w:rPr>
        <w:t>规定。承担因违反有关规定造成的损失和罚</w:t>
      </w:r>
      <w:r>
        <w:rPr>
          <w:rFonts w:hint="eastAsia" w:ascii="宋体" w:hAnsi="宋体" w:eastAsia="宋体" w:cs="宋体"/>
          <w:color w:val="auto"/>
          <w:spacing w:val="-3"/>
          <w:sz w:val="24"/>
          <w:szCs w:val="24"/>
        </w:rPr>
        <w:t>款。</w:t>
      </w:r>
    </w:p>
    <w:p w14:paraId="16145C9F">
      <w:pPr>
        <w:pStyle w:val="12"/>
        <w:keepNext w:val="0"/>
        <w:keepLines w:val="0"/>
        <w:pageBreakBefore w:val="0"/>
        <w:widowControl w:val="0"/>
        <w:kinsoku/>
        <w:wordWrap w:val="0"/>
        <w:overflowPunct/>
        <w:topLinePunct w:val="0"/>
        <w:autoSpaceDE/>
        <w:autoSpaceDN/>
        <w:bidi w:val="0"/>
        <w:adjustRightInd/>
        <w:snapToGrid/>
        <w:spacing w:before="0" w:after="0" w:line="360" w:lineRule="auto"/>
        <w:ind w:right="0" w:firstLine="488" w:firstLineChars="200"/>
        <w:jc w:val="both"/>
        <w:textAlignment w:val="auto"/>
        <w:rPr>
          <w:rFonts w:hint="eastAsia" w:ascii="宋体" w:hAnsi="宋体" w:eastAsia="宋体" w:cs="宋体"/>
          <w:color w:val="auto"/>
          <w:spacing w:val="-3"/>
          <w:sz w:val="24"/>
          <w:szCs w:val="24"/>
          <w:highlight w:val="none"/>
        </w:rPr>
      </w:pPr>
      <w:r>
        <w:rPr>
          <w:rFonts w:hint="eastAsia" w:ascii="宋体" w:hAnsi="宋体" w:eastAsia="宋体" w:cs="宋体"/>
          <w:color w:val="auto"/>
          <w:spacing w:val="2"/>
          <w:sz w:val="24"/>
          <w:szCs w:val="24"/>
        </w:rPr>
        <w:t>6.承包人自行负责施工安全保卫工作及施工照明和负责</w:t>
      </w:r>
      <w:r>
        <w:rPr>
          <w:rFonts w:hint="eastAsia" w:ascii="宋体" w:hAnsi="宋体" w:eastAsia="宋体" w:cs="宋体"/>
          <w:color w:val="auto"/>
          <w:spacing w:val="2"/>
          <w:sz w:val="24"/>
          <w:szCs w:val="24"/>
          <w:highlight w:val="none"/>
        </w:rPr>
        <w:t>办理有关施工场地交通、环卫</w:t>
      </w:r>
      <w:r>
        <w:rPr>
          <w:rFonts w:hint="eastAsia" w:ascii="宋体" w:hAnsi="宋体" w:eastAsia="宋体" w:cs="宋体"/>
          <w:color w:val="auto"/>
          <w:spacing w:val="-3"/>
          <w:sz w:val="24"/>
          <w:szCs w:val="24"/>
          <w:highlight w:val="none"/>
        </w:rPr>
        <w:t>和施工噪音管理等手续，并承担相应的费用。</w:t>
      </w:r>
    </w:p>
    <w:p w14:paraId="37B3C6CA">
      <w:pPr>
        <w:pStyle w:val="12"/>
        <w:keepNext w:val="0"/>
        <w:keepLines w:val="0"/>
        <w:pageBreakBefore w:val="0"/>
        <w:widowControl w:val="0"/>
        <w:kinsoku/>
        <w:wordWrap w:val="0"/>
        <w:overflowPunct/>
        <w:topLinePunct w:val="0"/>
        <w:autoSpaceDE/>
        <w:autoSpaceDN/>
        <w:bidi w:val="0"/>
        <w:adjustRightInd/>
        <w:snapToGrid/>
        <w:spacing w:before="0" w:after="0" w:line="360" w:lineRule="auto"/>
        <w:ind w:right="0" w:firstLine="46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7.按时、足额发放农民工工资</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支付周期：由承包人按月发放</w:t>
      </w:r>
      <w:r>
        <w:rPr>
          <w:rFonts w:hint="eastAsia" w:ascii="宋体" w:hAnsi="宋体" w:eastAsia="宋体" w:cs="宋体"/>
          <w:color w:val="auto"/>
          <w:spacing w:val="-4"/>
          <w:sz w:val="24"/>
          <w:szCs w:val="24"/>
          <w:highlight w:val="none"/>
        </w:rPr>
        <w:t>。</w:t>
      </w:r>
    </w:p>
    <w:p w14:paraId="6177D698">
      <w:pPr>
        <w:pStyle w:val="12"/>
        <w:keepNext w:val="0"/>
        <w:keepLines w:val="0"/>
        <w:pageBreakBefore w:val="0"/>
        <w:widowControl w:val="0"/>
        <w:kinsoku/>
        <w:wordWrap w:val="0"/>
        <w:overflowPunct/>
        <w:topLinePunct w:val="0"/>
        <w:autoSpaceDE/>
        <w:autoSpaceDN/>
        <w:bidi w:val="0"/>
        <w:adjustRightInd/>
        <w:snapToGrid/>
        <w:spacing w:before="0" w:after="0" w:line="360" w:lineRule="auto"/>
        <w:ind w:right="0" w:firstLine="496" w:firstLineChars="200"/>
        <w:jc w:val="both"/>
        <w:textAlignment w:val="auto"/>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highlight w:val="none"/>
          <w:lang w:val="en-US" w:eastAsia="zh-CN"/>
        </w:rPr>
        <w:t>8.工程完工验收后，承包人须在1个月内向发包人提交完工结算资料。如超过约定时间提交结算资料，发包人可根据实际情况要求承包人支付违</w:t>
      </w:r>
      <w:r>
        <w:rPr>
          <w:rFonts w:hint="eastAsia" w:ascii="宋体" w:hAnsi="宋体" w:eastAsia="宋体" w:cs="宋体"/>
          <w:color w:val="auto"/>
          <w:spacing w:val="4"/>
          <w:sz w:val="24"/>
          <w:szCs w:val="24"/>
          <w:lang w:val="en-US" w:eastAsia="zh-CN"/>
        </w:rPr>
        <w:t>约金，违约金按1000元/天标准计算。</w:t>
      </w:r>
    </w:p>
    <w:p w14:paraId="38118ECC">
      <w:pPr>
        <w:pStyle w:val="12"/>
        <w:keepNext w:val="0"/>
        <w:keepLines w:val="0"/>
        <w:pageBreakBefore w:val="0"/>
        <w:widowControl w:val="0"/>
        <w:kinsoku/>
        <w:wordWrap w:val="0"/>
        <w:overflowPunct/>
        <w:topLinePunct w:val="0"/>
        <w:autoSpaceDE/>
        <w:autoSpaceDN/>
        <w:bidi w:val="0"/>
        <w:adjustRightInd/>
        <w:snapToGrid/>
        <w:spacing w:before="0" w:after="0" w:line="360" w:lineRule="auto"/>
        <w:ind w:right="0" w:firstLine="496" w:firstLineChars="200"/>
        <w:jc w:val="both"/>
        <w:textAlignment w:val="auto"/>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9.由于承包人原因造成工期延误的，发包人可根据实际情况要求承包人支付违约金，违约金按1000元/天标准计算。</w:t>
      </w:r>
    </w:p>
    <w:p w14:paraId="6CBB6874">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74"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pacing w:val="-2"/>
          <w:sz w:val="24"/>
          <w:szCs w:val="24"/>
        </w:rPr>
        <w:t>七、解决争议</w:t>
      </w:r>
    </w:p>
    <w:p w14:paraId="40AE29DD">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8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1.双方在履行该协议过程中发生争议，应协商解决，如协</w:t>
      </w:r>
      <w:r>
        <w:rPr>
          <w:rFonts w:hint="eastAsia" w:ascii="宋体" w:hAnsi="宋体" w:eastAsia="宋体" w:cs="宋体"/>
          <w:color w:val="auto"/>
          <w:spacing w:val="1"/>
          <w:sz w:val="24"/>
          <w:szCs w:val="24"/>
        </w:rPr>
        <w:t>商不成，向柳州市柳北区人</w:t>
      </w:r>
      <w:r>
        <w:rPr>
          <w:rFonts w:hint="eastAsia" w:ascii="宋体" w:hAnsi="宋体" w:eastAsia="宋体" w:cs="宋体"/>
          <w:color w:val="auto"/>
          <w:spacing w:val="-8"/>
          <w:sz w:val="24"/>
          <w:szCs w:val="24"/>
        </w:rPr>
        <w:t>民法院提起诉讼。</w:t>
      </w:r>
    </w:p>
    <w:p w14:paraId="20315A49">
      <w:pPr>
        <w:pStyle w:val="12"/>
        <w:keepNext w:val="0"/>
        <w:keepLines w:val="0"/>
        <w:pageBreakBefore w:val="0"/>
        <w:widowControl w:val="0"/>
        <w:kinsoku/>
        <w:wordWrap w:val="0"/>
        <w:overflowPunct/>
        <w:topLinePunct w:val="0"/>
        <w:autoSpaceDE/>
        <w:autoSpaceDN/>
        <w:bidi w:val="0"/>
        <w:adjustRightInd/>
        <w:snapToGrid/>
        <w:spacing w:before="0" w:after="0" w:line="360" w:lineRule="auto"/>
        <w:ind w:firstLine="48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2.双方以诉讼方式解决争议的，违约方或侵权方应当承担守约方或被侵权方为诉讼而支出的所有费用，包括但不限于诉讼费、保全费、执行费、律师费及诉讼财产保全担保保</w:t>
      </w:r>
      <w:r>
        <w:rPr>
          <w:rFonts w:hint="eastAsia" w:ascii="宋体" w:hAnsi="宋体" w:eastAsia="宋体" w:cs="宋体"/>
          <w:color w:val="auto"/>
          <w:spacing w:val="-9"/>
          <w:sz w:val="24"/>
          <w:szCs w:val="24"/>
        </w:rPr>
        <w:t>险费等。</w:t>
      </w:r>
    </w:p>
    <w:p w14:paraId="577D0171">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66" w:firstLineChars="200"/>
        <w:jc w:val="both"/>
        <w:textAlignment w:val="auto"/>
        <w:rPr>
          <w:rFonts w:hint="eastAsia" w:ascii="宋体" w:hAnsi="宋体" w:eastAsia="宋体" w:cs="宋体"/>
          <w:color w:val="auto"/>
          <w:sz w:val="24"/>
          <w:szCs w:val="24"/>
        </w:rPr>
      </w:pPr>
      <w:r>
        <w:rPr>
          <w:rFonts w:hint="eastAsia" w:ascii="宋体" w:hAnsi="宋体" w:eastAsia="宋体" w:cs="宋体"/>
          <w:b/>
          <w:bCs/>
          <w:color w:val="auto"/>
          <w:spacing w:val="-4"/>
          <w:sz w:val="24"/>
          <w:szCs w:val="24"/>
        </w:rPr>
        <w:t>八、合同生效及其他</w:t>
      </w:r>
    </w:p>
    <w:p w14:paraId="680E3FAA">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7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1.本合同经双方签字或盖章，并加盖公章或合同专用章</w:t>
      </w:r>
      <w:r>
        <w:rPr>
          <w:rFonts w:hint="eastAsia" w:ascii="宋体" w:hAnsi="宋体" w:eastAsia="宋体" w:cs="宋体"/>
          <w:color w:val="auto"/>
          <w:spacing w:val="-3"/>
          <w:sz w:val="24"/>
          <w:szCs w:val="24"/>
        </w:rPr>
        <w:t>后生效。</w:t>
      </w:r>
    </w:p>
    <w:p w14:paraId="2AC422B3">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2.本合同一式</w:t>
      </w:r>
      <w:r>
        <w:rPr>
          <w:rFonts w:hint="eastAsia" w:ascii="宋体" w:hAnsi="宋体" w:eastAsia="宋体" w:cs="宋体"/>
          <w:color w:val="auto"/>
          <w:spacing w:val="-1"/>
          <w:sz w:val="24"/>
          <w:szCs w:val="24"/>
          <w:u w:val="single" w:color="auto"/>
          <w:lang w:eastAsia="zh-CN"/>
        </w:rPr>
        <w:t>捌</w:t>
      </w:r>
      <w:r>
        <w:rPr>
          <w:rFonts w:hint="eastAsia" w:ascii="宋体" w:hAnsi="宋体" w:eastAsia="宋体" w:cs="宋体"/>
          <w:color w:val="auto"/>
          <w:spacing w:val="-1"/>
          <w:sz w:val="24"/>
          <w:szCs w:val="24"/>
        </w:rPr>
        <w:t>份，具有同等法律效力，发包人执</w:t>
      </w:r>
      <w:r>
        <w:rPr>
          <w:rFonts w:hint="eastAsia" w:ascii="宋体" w:hAnsi="宋体" w:eastAsia="宋体" w:cs="宋体"/>
          <w:color w:val="auto"/>
          <w:spacing w:val="-1"/>
          <w:sz w:val="24"/>
          <w:szCs w:val="24"/>
          <w:u w:val="single" w:color="auto"/>
        </w:rPr>
        <w:t>伍</w:t>
      </w:r>
      <w:r>
        <w:rPr>
          <w:rFonts w:hint="eastAsia" w:ascii="宋体" w:hAnsi="宋体" w:eastAsia="宋体" w:cs="宋体"/>
          <w:color w:val="auto"/>
          <w:spacing w:val="-1"/>
          <w:sz w:val="24"/>
          <w:szCs w:val="24"/>
        </w:rPr>
        <w:t>份，承包人执</w:t>
      </w:r>
      <w:r>
        <w:rPr>
          <w:rFonts w:hint="eastAsia" w:ascii="宋体" w:hAnsi="宋体" w:eastAsia="宋体" w:cs="宋体"/>
          <w:color w:val="auto"/>
          <w:spacing w:val="-1"/>
          <w:sz w:val="24"/>
          <w:szCs w:val="24"/>
          <w:u w:val="single" w:color="auto"/>
          <w:lang w:eastAsia="zh-CN"/>
        </w:rPr>
        <w:t>叁</w:t>
      </w:r>
      <w:r>
        <w:rPr>
          <w:rFonts w:hint="eastAsia" w:ascii="宋体" w:hAnsi="宋体" w:eastAsia="宋体" w:cs="宋体"/>
          <w:color w:val="auto"/>
          <w:spacing w:val="-1"/>
          <w:sz w:val="24"/>
          <w:szCs w:val="24"/>
        </w:rPr>
        <w:t>份。</w:t>
      </w:r>
    </w:p>
    <w:p w14:paraId="0A96F70A">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3.本合同未尽事宜，经双方协商一致并按《中华人民共和国民法典》</w:t>
      </w:r>
      <w:r>
        <w:rPr>
          <w:rFonts w:hint="eastAsia" w:ascii="宋体" w:hAnsi="宋体" w:eastAsia="宋体" w:cs="宋体"/>
          <w:color w:val="auto"/>
          <w:spacing w:val="-2"/>
          <w:sz w:val="24"/>
          <w:szCs w:val="24"/>
        </w:rPr>
        <w:t>有关规定处理。</w:t>
      </w:r>
    </w:p>
    <w:p w14:paraId="3EB63F1A">
      <w:pPr>
        <w:keepNext w:val="0"/>
        <w:keepLines w:val="0"/>
        <w:pageBreakBefore w:val="0"/>
        <w:widowControl w:val="0"/>
        <w:kinsoku/>
        <w:wordWrap w:val="0"/>
        <w:overflowPunct/>
        <w:topLinePunct w:val="0"/>
        <w:autoSpaceDE/>
        <w:autoSpaceDN/>
        <w:bidi w:val="0"/>
        <w:adjustRightInd/>
        <w:snapToGrid/>
        <w:spacing w:before="0" w:line="360" w:lineRule="auto"/>
        <w:textAlignment w:val="auto"/>
        <w:rPr>
          <w:rFonts w:hint="eastAsia" w:ascii="宋体" w:hAnsi="宋体" w:eastAsia="宋体" w:cs="宋体"/>
          <w:color w:val="auto"/>
          <w:sz w:val="24"/>
          <w:szCs w:val="24"/>
        </w:rPr>
      </w:pPr>
    </w:p>
    <w:tbl>
      <w:tblPr>
        <w:tblStyle w:val="94"/>
        <w:tblW w:w="9266"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316"/>
        <w:gridCol w:w="4950"/>
      </w:tblGrid>
      <w:tr w14:paraId="3748BFD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4" w:hRule="atLeast"/>
        </w:trPr>
        <w:tc>
          <w:tcPr>
            <w:tcW w:w="4316" w:type="dxa"/>
            <w:vAlign w:val="top"/>
          </w:tcPr>
          <w:p w14:paraId="397A4824">
            <w:pPr>
              <w:pStyle w:val="87"/>
              <w:keepNext w:val="0"/>
              <w:keepLines w:val="0"/>
              <w:pageBreakBefore w:val="0"/>
              <w:widowControl w:val="0"/>
              <w:kinsoku/>
              <w:wordWrap w:val="0"/>
              <w:overflowPunct/>
              <w:topLinePunct w:val="0"/>
              <w:autoSpaceDE/>
              <w:autoSpaceDN/>
              <w:bidi w:val="0"/>
              <w:adjustRightInd/>
              <w:snapToGrid/>
              <w:spacing w:before="0" w:line="360" w:lineRule="auto"/>
              <w:ind w:left="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9"/>
                <w:sz w:val="24"/>
                <w:szCs w:val="24"/>
              </w:rPr>
              <w:t>发包人（盖章</w:t>
            </w:r>
            <w:r>
              <w:rPr>
                <w:rFonts w:hint="eastAsia" w:ascii="宋体" w:hAnsi="宋体" w:eastAsia="宋体" w:cs="宋体"/>
                <w:color w:val="auto"/>
                <w:spacing w:val="-4"/>
                <w:sz w:val="24"/>
                <w:szCs w:val="24"/>
              </w:rPr>
              <w:t>）：</w:t>
            </w:r>
          </w:p>
        </w:tc>
        <w:tc>
          <w:tcPr>
            <w:tcW w:w="4950" w:type="dxa"/>
            <w:vAlign w:val="top"/>
          </w:tcPr>
          <w:p w14:paraId="3CE8D21C">
            <w:pPr>
              <w:pStyle w:val="87"/>
              <w:keepNext w:val="0"/>
              <w:keepLines w:val="0"/>
              <w:pageBreakBefore w:val="0"/>
              <w:widowControl w:val="0"/>
              <w:kinsoku/>
              <w:wordWrap w:val="0"/>
              <w:overflowPunct/>
              <w:topLinePunct w:val="0"/>
              <w:autoSpaceDE/>
              <w:autoSpaceDN/>
              <w:bidi w:val="0"/>
              <w:adjustRightInd/>
              <w:snapToGrid/>
              <w:spacing w:before="0" w:line="360" w:lineRule="auto"/>
              <w:textAlignment w:val="auto"/>
              <w:rPr>
                <w:rFonts w:hint="eastAsia" w:ascii="宋体" w:hAnsi="宋体" w:eastAsia="宋体" w:cs="宋体"/>
                <w:color w:val="auto"/>
                <w:sz w:val="24"/>
                <w:szCs w:val="24"/>
              </w:rPr>
            </w:pPr>
            <w:r>
              <w:rPr>
                <w:rFonts w:hint="eastAsia" w:ascii="宋体" w:hAnsi="宋体" w:eastAsia="宋体" w:cs="宋体"/>
                <w:color w:val="auto"/>
                <w:spacing w:val="-9"/>
                <w:sz w:val="24"/>
                <w:szCs w:val="24"/>
              </w:rPr>
              <w:t>承包人（盖章</w:t>
            </w:r>
            <w:r>
              <w:rPr>
                <w:rFonts w:hint="eastAsia" w:ascii="宋体" w:hAnsi="宋体" w:eastAsia="宋体" w:cs="宋体"/>
                <w:color w:val="auto"/>
                <w:spacing w:val="-2"/>
                <w:sz w:val="24"/>
                <w:szCs w:val="24"/>
              </w:rPr>
              <w:t>）：</w:t>
            </w:r>
          </w:p>
        </w:tc>
      </w:tr>
      <w:tr w14:paraId="4A60ECF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4316" w:type="dxa"/>
            <w:vAlign w:val="top"/>
          </w:tcPr>
          <w:p w14:paraId="37BDF07B">
            <w:pPr>
              <w:pStyle w:val="87"/>
              <w:keepNext w:val="0"/>
              <w:keepLines w:val="0"/>
              <w:pageBreakBefore w:val="0"/>
              <w:widowControl w:val="0"/>
              <w:kinsoku/>
              <w:wordWrap w:val="0"/>
              <w:overflowPunct/>
              <w:topLinePunct w:val="0"/>
              <w:autoSpaceDE/>
              <w:autoSpaceDN/>
              <w:bidi w:val="0"/>
              <w:adjustRightInd/>
              <w:snapToGrid/>
              <w:spacing w:before="0" w:line="360" w:lineRule="auto"/>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柳州市防洪排涝工程管理处</w:t>
            </w:r>
          </w:p>
          <w:p w14:paraId="47968DAC">
            <w:pPr>
              <w:pStyle w:val="87"/>
              <w:keepNext w:val="0"/>
              <w:keepLines w:val="0"/>
              <w:pageBreakBefore w:val="0"/>
              <w:widowControl w:val="0"/>
              <w:kinsoku/>
              <w:wordWrap w:val="0"/>
              <w:overflowPunct/>
              <w:topLinePunct w:val="0"/>
              <w:autoSpaceDE/>
              <w:autoSpaceDN/>
              <w:bidi w:val="0"/>
              <w:adjustRightInd/>
              <w:snapToGrid/>
              <w:spacing w:before="0" w:line="360" w:lineRule="auto"/>
              <w:textAlignment w:val="auto"/>
              <w:rPr>
                <w:rFonts w:hint="eastAsia" w:ascii="宋体" w:hAnsi="宋体" w:eastAsia="宋体" w:cs="宋体"/>
                <w:color w:val="auto"/>
                <w:spacing w:val="-1"/>
                <w:sz w:val="24"/>
                <w:szCs w:val="24"/>
                <w:lang w:val="en-US" w:eastAsia="zh-CN"/>
              </w:rPr>
            </w:pPr>
          </w:p>
        </w:tc>
        <w:tc>
          <w:tcPr>
            <w:tcW w:w="4950" w:type="dxa"/>
            <w:vAlign w:val="top"/>
          </w:tcPr>
          <w:p w14:paraId="20BCB131">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tc>
      </w:tr>
      <w:tr w14:paraId="7A7BE67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02" w:hRule="atLeast"/>
        </w:trPr>
        <w:tc>
          <w:tcPr>
            <w:tcW w:w="4316" w:type="dxa"/>
            <w:vAlign w:val="top"/>
          </w:tcPr>
          <w:p w14:paraId="30FF1B0F">
            <w:pPr>
              <w:pStyle w:val="87"/>
              <w:keepNext w:val="0"/>
              <w:keepLines w:val="0"/>
              <w:pageBreakBefore w:val="0"/>
              <w:widowControl w:val="0"/>
              <w:kinsoku/>
              <w:wordWrap w:val="0"/>
              <w:overflowPunct/>
              <w:topLinePunct w:val="0"/>
              <w:autoSpaceDE/>
              <w:autoSpaceDN/>
              <w:bidi w:val="0"/>
              <w:adjustRightInd/>
              <w:snapToGrid/>
              <w:spacing w:before="0" w:line="360" w:lineRule="auto"/>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法定代表人</w:t>
            </w:r>
          </w:p>
        </w:tc>
        <w:tc>
          <w:tcPr>
            <w:tcW w:w="4950" w:type="dxa"/>
            <w:vAlign w:val="top"/>
          </w:tcPr>
          <w:p w14:paraId="2062BCC6">
            <w:pPr>
              <w:pStyle w:val="87"/>
              <w:keepNext w:val="0"/>
              <w:keepLines w:val="0"/>
              <w:pageBreakBefore w:val="0"/>
              <w:widowControl w:val="0"/>
              <w:kinsoku/>
              <w:wordWrap w:val="0"/>
              <w:overflowPunct/>
              <w:topLinePunct w:val="0"/>
              <w:autoSpaceDE/>
              <w:autoSpaceDN/>
              <w:bidi w:val="0"/>
              <w:adjustRightInd/>
              <w:snapToGrid/>
              <w:spacing w:before="0" w:line="360" w:lineRule="auto"/>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法定代表人</w:t>
            </w:r>
          </w:p>
        </w:tc>
      </w:tr>
      <w:tr w14:paraId="5C5C3D1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02" w:hRule="atLeast"/>
        </w:trPr>
        <w:tc>
          <w:tcPr>
            <w:tcW w:w="4316" w:type="dxa"/>
            <w:vAlign w:val="top"/>
          </w:tcPr>
          <w:p w14:paraId="48CEB51E">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44840D48">
            <w:pPr>
              <w:pStyle w:val="87"/>
              <w:keepNext w:val="0"/>
              <w:keepLines w:val="0"/>
              <w:pageBreakBefore w:val="0"/>
              <w:widowControl w:val="0"/>
              <w:kinsoku/>
              <w:wordWrap w:val="0"/>
              <w:overflowPunct/>
              <w:topLinePunct w:val="0"/>
              <w:autoSpaceDE/>
              <w:autoSpaceDN/>
              <w:bidi w:val="0"/>
              <w:adjustRightInd/>
              <w:snapToGrid/>
              <w:spacing w:before="0"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pacing w:val="-9"/>
                <w:sz w:val="24"/>
                <w:szCs w:val="24"/>
              </w:rPr>
              <w:t>或委托代理人：</w:t>
            </w:r>
          </w:p>
        </w:tc>
        <w:tc>
          <w:tcPr>
            <w:tcW w:w="4950" w:type="dxa"/>
            <w:vAlign w:val="top"/>
          </w:tcPr>
          <w:p w14:paraId="1BE46366">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26C42D54">
            <w:pPr>
              <w:pStyle w:val="87"/>
              <w:keepNext w:val="0"/>
              <w:keepLines w:val="0"/>
              <w:pageBreakBefore w:val="0"/>
              <w:widowControl w:val="0"/>
              <w:kinsoku/>
              <w:wordWrap w:val="0"/>
              <w:overflowPunct/>
              <w:topLinePunct w:val="0"/>
              <w:autoSpaceDE/>
              <w:autoSpaceDN/>
              <w:bidi w:val="0"/>
              <w:adjustRightInd/>
              <w:snapToGrid/>
              <w:spacing w:before="0" w:line="360" w:lineRule="auto"/>
              <w:textAlignment w:val="auto"/>
              <w:rPr>
                <w:rFonts w:hint="eastAsia" w:ascii="宋体" w:hAnsi="宋体" w:eastAsia="宋体" w:cs="宋体"/>
                <w:color w:val="auto"/>
                <w:sz w:val="24"/>
                <w:szCs w:val="24"/>
              </w:rPr>
            </w:pPr>
            <w:r>
              <w:rPr>
                <w:rFonts w:hint="eastAsia" w:ascii="宋体" w:hAnsi="宋体" w:eastAsia="宋体" w:cs="宋体"/>
                <w:color w:val="auto"/>
                <w:spacing w:val="-9"/>
                <w:sz w:val="24"/>
                <w:szCs w:val="24"/>
              </w:rPr>
              <w:t>或委托代理人：</w:t>
            </w:r>
          </w:p>
        </w:tc>
      </w:tr>
      <w:tr w14:paraId="4500917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4316" w:type="dxa"/>
            <w:vAlign w:val="top"/>
          </w:tcPr>
          <w:p w14:paraId="6AA59458">
            <w:pPr>
              <w:pStyle w:val="87"/>
              <w:keepNext w:val="0"/>
              <w:keepLines w:val="0"/>
              <w:pageBreakBefore w:val="0"/>
              <w:widowControl w:val="0"/>
              <w:kinsoku/>
              <w:wordWrap w:val="0"/>
              <w:overflowPunct/>
              <w:topLinePunct w:val="0"/>
              <w:autoSpaceDE/>
              <w:autoSpaceDN/>
              <w:bidi w:val="0"/>
              <w:adjustRightInd/>
              <w:snapToGrid/>
              <w:spacing w:before="0"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pacing w:val="-13"/>
                <w:sz w:val="24"/>
                <w:szCs w:val="24"/>
              </w:rPr>
              <w:t>经办人：</w:t>
            </w:r>
          </w:p>
        </w:tc>
        <w:tc>
          <w:tcPr>
            <w:tcW w:w="4950" w:type="dxa"/>
            <w:vAlign w:val="top"/>
          </w:tcPr>
          <w:p w14:paraId="4AE2F85D">
            <w:pPr>
              <w:pStyle w:val="87"/>
              <w:keepNext w:val="0"/>
              <w:keepLines w:val="0"/>
              <w:pageBreakBefore w:val="0"/>
              <w:widowControl w:val="0"/>
              <w:kinsoku/>
              <w:wordWrap w:val="0"/>
              <w:overflowPunct/>
              <w:topLinePunct w:val="0"/>
              <w:autoSpaceDE/>
              <w:autoSpaceDN/>
              <w:bidi w:val="0"/>
              <w:adjustRightInd/>
              <w:snapToGrid/>
              <w:spacing w:before="0" w:line="360" w:lineRule="auto"/>
              <w:textAlignment w:val="auto"/>
              <w:rPr>
                <w:rFonts w:hint="eastAsia" w:ascii="宋体" w:hAnsi="宋体" w:eastAsia="宋体" w:cs="宋体"/>
                <w:color w:val="auto"/>
                <w:sz w:val="24"/>
                <w:szCs w:val="24"/>
              </w:rPr>
            </w:pPr>
            <w:r>
              <w:rPr>
                <w:rFonts w:hint="eastAsia" w:ascii="宋体" w:hAnsi="宋体" w:eastAsia="宋体" w:cs="宋体"/>
                <w:color w:val="auto"/>
                <w:spacing w:val="-13"/>
                <w:sz w:val="24"/>
                <w:szCs w:val="24"/>
              </w:rPr>
              <w:t>经办人：</w:t>
            </w:r>
          </w:p>
        </w:tc>
      </w:tr>
      <w:tr w14:paraId="4CB0E05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4316" w:type="dxa"/>
            <w:vAlign w:val="top"/>
          </w:tcPr>
          <w:p w14:paraId="48222D05">
            <w:pPr>
              <w:pStyle w:val="87"/>
              <w:keepNext w:val="0"/>
              <w:keepLines w:val="0"/>
              <w:pageBreakBefore w:val="0"/>
              <w:widowControl w:val="0"/>
              <w:kinsoku/>
              <w:wordWrap w:val="0"/>
              <w:overflowPunct/>
              <w:topLinePunct w:val="0"/>
              <w:autoSpaceDE/>
              <w:autoSpaceDN/>
              <w:bidi w:val="0"/>
              <w:adjustRightInd/>
              <w:snapToGrid/>
              <w:spacing w:before="0" w:line="360" w:lineRule="auto"/>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联系电话：</w:t>
            </w:r>
            <w:r>
              <w:rPr>
                <w:rFonts w:hint="eastAsia" w:ascii="宋体" w:hAnsi="宋体" w:eastAsia="宋体" w:cs="宋体"/>
                <w:color w:val="auto"/>
                <w:spacing w:val="-1"/>
                <w:sz w:val="24"/>
                <w:szCs w:val="24"/>
                <w:lang w:val="en-US" w:eastAsia="zh-CN"/>
              </w:rPr>
              <w:t>0772-</w:t>
            </w:r>
            <w:r>
              <w:rPr>
                <w:rFonts w:hint="eastAsia" w:ascii="宋体" w:hAnsi="宋体" w:eastAsia="宋体" w:cs="宋体"/>
                <w:color w:val="auto"/>
                <w:spacing w:val="-1"/>
                <w:sz w:val="24"/>
                <w:szCs w:val="24"/>
              </w:rPr>
              <w:t>2537575</w:t>
            </w:r>
          </w:p>
        </w:tc>
        <w:tc>
          <w:tcPr>
            <w:tcW w:w="4950" w:type="dxa"/>
            <w:vAlign w:val="top"/>
          </w:tcPr>
          <w:p w14:paraId="2ACF0E42">
            <w:pPr>
              <w:pStyle w:val="87"/>
              <w:keepNext w:val="0"/>
              <w:keepLines w:val="0"/>
              <w:pageBreakBefore w:val="0"/>
              <w:widowControl w:val="0"/>
              <w:kinsoku/>
              <w:wordWrap w:val="0"/>
              <w:overflowPunct/>
              <w:topLinePunct w:val="0"/>
              <w:autoSpaceDE/>
              <w:autoSpaceDN/>
              <w:bidi w:val="0"/>
              <w:adjustRightInd/>
              <w:snapToGrid/>
              <w:spacing w:before="0" w:line="360" w:lineRule="auto"/>
              <w:textAlignment w:val="auto"/>
              <w:rPr>
                <w:rFonts w:hint="eastAsia" w:ascii="宋体" w:hAnsi="宋体" w:eastAsia="宋体" w:cs="宋体"/>
                <w:color w:val="auto"/>
                <w:sz w:val="24"/>
                <w:szCs w:val="24"/>
              </w:rPr>
            </w:pPr>
            <w:r>
              <w:rPr>
                <w:rFonts w:hint="eastAsia" w:ascii="宋体" w:hAnsi="宋体" w:eastAsia="宋体" w:cs="宋体"/>
                <w:color w:val="auto"/>
                <w:spacing w:val="-11"/>
                <w:sz w:val="24"/>
                <w:szCs w:val="24"/>
              </w:rPr>
              <w:t>联系电话：</w:t>
            </w:r>
          </w:p>
        </w:tc>
      </w:tr>
      <w:tr w14:paraId="45858AF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4316" w:type="dxa"/>
            <w:vAlign w:val="top"/>
          </w:tcPr>
          <w:p w14:paraId="11480CC3">
            <w:pPr>
              <w:pStyle w:val="87"/>
              <w:keepNext w:val="0"/>
              <w:keepLines w:val="0"/>
              <w:pageBreakBefore w:val="0"/>
              <w:widowControl w:val="0"/>
              <w:kinsoku/>
              <w:wordWrap w:val="0"/>
              <w:overflowPunct/>
              <w:topLinePunct w:val="0"/>
              <w:autoSpaceDE/>
              <w:autoSpaceDN/>
              <w:bidi w:val="0"/>
              <w:adjustRightInd/>
              <w:snapToGrid/>
              <w:spacing w:before="0" w:line="360" w:lineRule="auto"/>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地址：柳州市柳北区长风路</w:t>
            </w:r>
            <w:r>
              <w:rPr>
                <w:rFonts w:hint="eastAsia" w:ascii="宋体" w:hAnsi="宋体" w:eastAsia="宋体" w:cs="宋体"/>
                <w:color w:val="auto"/>
                <w:spacing w:val="-22"/>
                <w:sz w:val="24"/>
                <w:szCs w:val="24"/>
              </w:rPr>
              <w:t xml:space="preserve"> </w:t>
            </w:r>
            <w:r>
              <w:rPr>
                <w:rFonts w:hint="eastAsia" w:ascii="宋体" w:hAnsi="宋体" w:eastAsia="宋体" w:cs="宋体"/>
                <w:color w:val="auto"/>
                <w:spacing w:val="-3"/>
                <w:sz w:val="24"/>
                <w:szCs w:val="24"/>
              </w:rPr>
              <w:t>1-2</w:t>
            </w:r>
            <w:r>
              <w:rPr>
                <w:rFonts w:hint="eastAsia" w:ascii="宋体" w:hAnsi="宋体" w:eastAsia="宋体" w:cs="宋体"/>
                <w:color w:val="auto"/>
                <w:spacing w:val="-45"/>
                <w:sz w:val="24"/>
                <w:szCs w:val="24"/>
              </w:rPr>
              <w:t xml:space="preserve"> </w:t>
            </w:r>
            <w:r>
              <w:rPr>
                <w:rFonts w:hint="eastAsia" w:ascii="宋体" w:hAnsi="宋体" w:eastAsia="宋体" w:cs="宋体"/>
                <w:color w:val="auto"/>
                <w:spacing w:val="-3"/>
                <w:sz w:val="24"/>
                <w:szCs w:val="24"/>
              </w:rPr>
              <w:t>号</w:t>
            </w:r>
          </w:p>
        </w:tc>
        <w:tc>
          <w:tcPr>
            <w:tcW w:w="4950" w:type="dxa"/>
            <w:vAlign w:val="top"/>
          </w:tcPr>
          <w:p w14:paraId="7D5A345A">
            <w:pPr>
              <w:pStyle w:val="87"/>
              <w:keepNext w:val="0"/>
              <w:keepLines w:val="0"/>
              <w:pageBreakBefore w:val="0"/>
              <w:widowControl w:val="0"/>
              <w:kinsoku/>
              <w:wordWrap w:val="0"/>
              <w:overflowPunct/>
              <w:topLinePunct w:val="0"/>
              <w:autoSpaceDE/>
              <w:autoSpaceDN/>
              <w:bidi w:val="0"/>
              <w:adjustRightInd/>
              <w:snapToGrid/>
              <w:spacing w:before="0" w:line="360" w:lineRule="auto"/>
              <w:textAlignment w:val="auto"/>
              <w:rPr>
                <w:rFonts w:hint="eastAsia" w:ascii="宋体" w:hAnsi="宋体" w:eastAsia="宋体" w:cs="宋体"/>
                <w:color w:val="auto"/>
                <w:sz w:val="24"/>
                <w:szCs w:val="24"/>
              </w:rPr>
            </w:pPr>
            <w:r>
              <w:rPr>
                <w:rFonts w:hint="eastAsia" w:ascii="宋体" w:hAnsi="宋体" w:eastAsia="宋体" w:cs="宋体"/>
                <w:color w:val="auto"/>
                <w:spacing w:val="-15"/>
                <w:sz w:val="24"/>
                <w:szCs w:val="24"/>
              </w:rPr>
              <w:t>地址：</w:t>
            </w:r>
          </w:p>
        </w:tc>
      </w:tr>
      <w:tr w14:paraId="7A8FE33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4316" w:type="dxa"/>
            <w:vAlign w:val="top"/>
          </w:tcPr>
          <w:p w14:paraId="3C9CD2AB">
            <w:pPr>
              <w:pStyle w:val="87"/>
              <w:keepNext w:val="0"/>
              <w:keepLines w:val="0"/>
              <w:pageBreakBefore w:val="0"/>
              <w:widowControl w:val="0"/>
              <w:kinsoku/>
              <w:wordWrap w:val="0"/>
              <w:overflowPunct/>
              <w:topLinePunct w:val="0"/>
              <w:autoSpaceDE/>
              <w:autoSpaceDN/>
              <w:bidi w:val="0"/>
              <w:adjustRightInd/>
              <w:snapToGrid/>
              <w:spacing w:before="0" w:line="360" w:lineRule="auto"/>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开户行：中国建设银行柳州分行营业部</w:t>
            </w:r>
          </w:p>
        </w:tc>
        <w:tc>
          <w:tcPr>
            <w:tcW w:w="4950" w:type="dxa"/>
            <w:vAlign w:val="top"/>
          </w:tcPr>
          <w:p w14:paraId="0030E82B">
            <w:pPr>
              <w:pStyle w:val="87"/>
              <w:keepNext w:val="0"/>
              <w:keepLines w:val="0"/>
              <w:pageBreakBefore w:val="0"/>
              <w:widowControl w:val="0"/>
              <w:kinsoku/>
              <w:wordWrap w:val="0"/>
              <w:overflowPunct/>
              <w:topLinePunct w:val="0"/>
              <w:autoSpaceDE/>
              <w:autoSpaceDN/>
              <w:bidi w:val="0"/>
              <w:adjustRightInd/>
              <w:snapToGrid/>
              <w:spacing w:before="0" w:line="360" w:lineRule="auto"/>
              <w:textAlignment w:val="auto"/>
              <w:rPr>
                <w:rFonts w:hint="eastAsia" w:ascii="宋体" w:hAnsi="宋体" w:eastAsia="宋体" w:cs="宋体"/>
                <w:color w:val="auto"/>
                <w:sz w:val="24"/>
                <w:szCs w:val="24"/>
              </w:rPr>
            </w:pPr>
            <w:r>
              <w:rPr>
                <w:rFonts w:hint="eastAsia" w:ascii="宋体" w:hAnsi="宋体" w:eastAsia="宋体" w:cs="宋体"/>
                <w:color w:val="auto"/>
                <w:spacing w:val="-13"/>
                <w:sz w:val="24"/>
                <w:szCs w:val="24"/>
              </w:rPr>
              <w:t>开户行：</w:t>
            </w:r>
          </w:p>
        </w:tc>
      </w:tr>
      <w:tr w14:paraId="6B37317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84" w:hRule="atLeast"/>
        </w:trPr>
        <w:tc>
          <w:tcPr>
            <w:tcW w:w="4316" w:type="dxa"/>
            <w:vAlign w:val="top"/>
          </w:tcPr>
          <w:p w14:paraId="495F0E56">
            <w:pPr>
              <w:pStyle w:val="87"/>
              <w:keepNext w:val="0"/>
              <w:keepLines w:val="0"/>
              <w:pageBreakBefore w:val="0"/>
              <w:widowControl w:val="0"/>
              <w:kinsoku/>
              <w:wordWrap w:val="0"/>
              <w:overflowPunct/>
              <w:topLinePunct w:val="0"/>
              <w:autoSpaceDE/>
              <w:autoSpaceDN/>
              <w:bidi w:val="0"/>
              <w:adjustRightInd/>
              <w:snapToGrid/>
              <w:spacing w:before="0" w:line="360" w:lineRule="auto"/>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开户账号：45001623652050511930</w:t>
            </w:r>
          </w:p>
        </w:tc>
        <w:tc>
          <w:tcPr>
            <w:tcW w:w="4950" w:type="dxa"/>
            <w:vAlign w:val="top"/>
          </w:tcPr>
          <w:p w14:paraId="165FFD07">
            <w:pPr>
              <w:pStyle w:val="87"/>
              <w:keepNext w:val="0"/>
              <w:keepLines w:val="0"/>
              <w:pageBreakBefore w:val="0"/>
              <w:widowControl w:val="0"/>
              <w:kinsoku/>
              <w:wordWrap w:val="0"/>
              <w:overflowPunct/>
              <w:topLinePunct w:val="0"/>
              <w:autoSpaceDE/>
              <w:autoSpaceDN/>
              <w:bidi w:val="0"/>
              <w:adjustRightInd/>
              <w:snapToGrid/>
              <w:spacing w:before="0" w:line="360" w:lineRule="auto"/>
              <w:textAlignment w:val="auto"/>
              <w:rPr>
                <w:rFonts w:hint="eastAsia" w:ascii="宋体" w:hAnsi="宋体" w:eastAsia="宋体" w:cs="宋体"/>
                <w:color w:val="auto"/>
                <w:sz w:val="24"/>
                <w:szCs w:val="24"/>
              </w:rPr>
            </w:pPr>
            <w:r>
              <w:rPr>
                <w:rFonts w:hint="eastAsia" w:ascii="宋体" w:hAnsi="宋体" w:eastAsia="宋体" w:cs="宋体"/>
                <w:color w:val="auto"/>
                <w:spacing w:val="-11"/>
                <w:sz w:val="24"/>
                <w:szCs w:val="24"/>
              </w:rPr>
              <w:t>开户账号：</w:t>
            </w:r>
          </w:p>
        </w:tc>
      </w:tr>
      <w:tr w14:paraId="54EBC47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1" w:hRule="atLeast"/>
        </w:trPr>
        <w:tc>
          <w:tcPr>
            <w:tcW w:w="4316" w:type="dxa"/>
            <w:vAlign w:val="top"/>
          </w:tcPr>
          <w:p w14:paraId="7B189108">
            <w:pPr>
              <w:pStyle w:val="87"/>
              <w:keepNext w:val="0"/>
              <w:keepLines w:val="0"/>
              <w:pageBreakBefore w:val="0"/>
              <w:widowControl w:val="0"/>
              <w:kinsoku/>
              <w:wordWrap w:val="0"/>
              <w:overflowPunct/>
              <w:topLinePunct w:val="0"/>
              <w:autoSpaceDE/>
              <w:autoSpaceDN/>
              <w:bidi w:val="0"/>
              <w:adjustRightInd/>
              <w:snapToGrid/>
              <w:spacing w:before="0"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pacing w:val="-13"/>
                <w:sz w:val="24"/>
                <w:szCs w:val="24"/>
              </w:rPr>
              <w:t>日期：</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13"/>
                <w:sz w:val="24"/>
                <w:szCs w:val="24"/>
              </w:rPr>
              <w:t>年</w:t>
            </w:r>
            <w:r>
              <w:rPr>
                <w:rFonts w:hint="eastAsia" w:ascii="宋体" w:hAnsi="宋体" w:eastAsia="宋体" w:cs="宋体"/>
                <w:color w:val="auto"/>
                <w:spacing w:val="5"/>
                <w:sz w:val="24"/>
                <w:szCs w:val="24"/>
              </w:rPr>
              <w:t xml:space="preserve">   </w:t>
            </w:r>
            <w:r>
              <w:rPr>
                <w:rFonts w:hint="eastAsia" w:ascii="宋体" w:hAnsi="宋体" w:eastAsia="宋体" w:cs="宋体"/>
                <w:color w:val="auto"/>
                <w:spacing w:val="-13"/>
                <w:sz w:val="24"/>
                <w:szCs w:val="24"/>
              </w:rPr>
              <w:t>月</w:t>
            </w:r>
            <w:r>
              <w:rPr>
                <w:rFonts w:hint="eastAsia" w:ascii="宋体" w:hAnsi="宋体" w:eastAsia="宋体" w:cs="宋体"/>
                <w:color w:val="auto"/>
                <w:spacing w:val="17"/>
                <w:sz w:val="24"/>
                <w:szCs w:val="24"/>
              </w:rPr>
              <w:t xml:space="preserve">   </w:t>
            </w:r>
            <w:r>
              <w:rPr>
                <w:rFonts w:hint="eastAsia" w:ascii="宋体" w:hAnsi="宋体" w:eastAsia="宋体" w:cs="宋体"/>
                <w:color w:val="auto"/>
                <w:spacing w:val="-13"/>
                <w:sz w:val="24"/>
                <w:szCs w:val="24"/>
              </w:rPr>
              <w:t>日</w:t>
            </w:r>
          </w:p>
        </w:tc>
        <w:tc>
          <w:tcPr>
            <w:tcW w:w="4950" w:type="dxa"/>
            <w:vAlign w:val="top"/>
          </w:tcPr>
          <w:p w14:paraId="41F9D1CB">
            <w:pPr>
              <w:pStyle w:val="87"/>
              <w:keepNext w:val="0"/>
              <w:keepLines w:val="0"/>
              <w:pageBreakBefore w:val="0"/>
              <w:widowControl w:val="0"/>
              <w:kinsoku/>
              <w:wordWrap w:val="0"/>
              <w:overflowPunct/>
              <w:topLinePunct w:val="0"/>
              <w:autoSpaceDE/>
              <w:autoSpaceDN/>
              <w:bidi w:val="0"/>
              <w:adjustRightInd/>
              <w:snapToGrid/>
              <w:spacing w:before="0" w:line="360" w:lineRule="auto"/>
              <w:jc w:val="right"/>
              <w:textAlignment w:val="auto"/>
              <w:rPr>
                <w:rFonts w:hint="eastAsia" w:ascii="宋体" w:hAnsi="宋体" w:eastAsia="宋体" w:cs="宋体"/>
                <w:color w:val="auto"/>
                <w:sz w:val="24"/>
                <w:szCs w:val="24"/>
              </w:rPr>
            </w:pPr>
            <w:r>
              <w:rPr>
                <w:rFonts w:hint="eastAsia" w:ascii="宋体" w:hAnsi="宋体" w:eastAsia="宋体" w:cs="宋体"/>
                <w:color w:val="auto"/>
                <w:spacing w:val="-22"/>
                <w:sz w:val="24"/>
                <w:szCs w:val="24"/>
              </w:rPr>
              <w:t>日期：</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22"/>
                <w:sz w:val="24"/>
                <w:szCs w:val="24"/>
              </w:rPr>
              <w:t>年</w:t>
            </w:r>
            <w:r>
              <w:rPr>
                <w:rFonts w:hint="eastAsia" w:ascii="宋体" w:hAnsi="宋体" w:eastAsia="宋体" w:cs="宋体"/>
                <w:color w:val="auto"/>
                <w:spacing w:val="6"/>
                <w:sz w:val="24"/>
                <w:szCs w:val="24"/>
              </w:rPr>
              <w:t xml:space="preserve">   </w:t>
            </w:r>
            <w:r>
              <w:rPr>
                <w:rFonts w:hint="eastAsia" w:ascii="宋体" w:hAnsi="宋体" w:eastAsia="宋体" w:cs="宋体"/>
                <w:color w:val="auto"/>
                <w:spacing w:val="-22"/>
                <w:sz w:val="24"/>
                <w:szCs w:val="24"/>
              </w:rPr>
              <w:t>月</w:t>
            </w:r>
            <w:r>
              <w:rPr>
                <w:rFonts w:hint="eastAsia" w:ascii="宋体" w:hAnsi="宋体" w:eastAsia="宋体" w:cs="宋体"/>
                <w:color w:val="auto"/>
                <w:spacing w:val="17"/>
                <w:sz w:val="24"/>
                <w:szCs w:val="24"/>
              </w:rPr>
              <w:t xml:space="preserve">   </w:t>
            </w:r>
            <w:r>
              <w:rPr>
                <w:rFonts w:hint="eastAsia" w:ascii="宋体" w:hAnsi="宋体" w:eastAsia="宋体" w:cs="宋体"/>
                <w:color w:val="auto"/>
                <w:spacing w:val="-22"/>
                <w:sz w:val="24"/>
                <w:szCs w:val="24"/>
              </w:rPr>
              <w:t>日</w:t>
            </w:r>
          </w:p>
        </w:tc>
      </w:tr>
    </w:tbl>
    <w:p w14:paraId="69DB71C7">
      <w:pPr>
        <w:rPr>
          <w:b/>
          <w:bCs/>
          <w:color w:val="auto"/>
          <w:spacing w:val="-3"/>
          <w:sz w:val="24"/>
          <w:szCs w:val="24"/>
        </w:rPr>
      </w:pPr>
      <w:r>
        <w:rPr>
          <w:b/>
          <w:bCs/>
          <w:color w:val="auto"/>
          <w:spacing w:val="-3"/>
          <w:sz w:val="24"/>
          <w:szCs w:val="24"/>
        </w:rPr>
        <w:br w:type="page"/>
      </w:r>
    </w:p>
    <w:p w14:paraId="7CDC72A7">
      <w:pPr>
        <w:pStyle w:val="12"/>
        <w:wordWrap w:val="0"/>
        <w:spacing w:before="0" w:line="360" w:lineRule="auto"/>
        <w:ind w:left="0"/>
        <w:jc w:val="center"/>
        <w:rPr>
          <w:color w:val="auto"/>
          <w:sz w:val="24"/>
          <w:szCs w:val="24"/>
        </w:rPr>
      </w:pPr>
      <w:r>
        <w:rPr>
          <w:rFonts w:ascii="宋体" w:hAnsi="宋体" w:eastAsia="宋体" w:cs="宋体"/>
          <w:b/>
          <w:bCs/>
          <w:color w:val="auto"/>
          <w:spacing w:val="6"/>
          <w:sz w:val="31"/>
          <w:szCs w:val="31"/>
        </w:rPr>
        <w:t>第二部分  通用合同条款</w:t>
      </w:r>
    </w:p>
    <w:p w14:paraId="2C0D1996">
      <w:pPr>
        <w:pStyle w:val="12"/>
        <w:wordWrap w:val="0"/>
        <w:spacing w:before="0" w:line="360" w:lineRule="auto"/>
        <w:ind w:right="0" w:firstLine="480"/>
        <w:rPr>
          <w:color w:val="auto"/>
          <w:sz w:val="24"/>
          <w:szCs w:val="24"/>
        </w:rPr>
      </w:pPr>
      <w:r>
        <w:rPr>
          <w:color w:val="auto"/>
          <w:sz w:val="24"/>
          <w:szCs w:val="24"/>
        </w:rPr>
        <w:t>本通用条款全文应用柳州市政府采购办颁布的《柳州市第</w:t>
      </w:r>
      <w:r>
        <w:rPr>
          <w:color w:val="auto"/>
          <w:spacing w:val="-1"/>
          <w:sz w:val="24"/>
          <w:szCs w:val="24"/>
        </w:rPr>
        <w:t>一期零星工程项目施工合同</w:t>
      </w:r>
      <w:r>
        <w:rPr>
          <w:color w:val="auto"/>
          <w:sz w:val="24"/>
          <w:szCs w:val="24"/>
        </w:rPr>
        <w:t xml:space="preserve"> </w:t>
      </w:r>
      <w:r>
        <w:rPr>
          <w:color w:val="auto"/>
          <w:spacing w:val="-2"/>
          <w:sz w:val="24"/>
          <w:szCs w:val="24"/>
        </w:rPr>
        <w:t>格式》（2014</w:t>
      </w:r>
      <w:r>
        <w:rPr>
          <w:color w:val="auto"/>
          <w:spacing w:val="-47"/>
          <w:sz w:val="24"/>
          <w:szCs w:val="24"/>
        </w:rPr>
        <w:t xml:space="preserve"> </w:t>
      </w:r>
      <w:r>
        <w:rPr>
          <w:color w:val="auto"/>
          <w:spacing w:val="-2"/>
          <w:sz w:val="24"/>
          <w:szCs w:val="24"/>
        </w:rPr>
        <w:t>年）的通用合同条款（本通用合同条款略）。</w:t>
      </w:r>
    </w:p>
    <w:p w14:paraId="44878386">
      <w:pPr>
        <w:wordWrap w:val="0"/>
        <w:spacing w:line="360" w:lineRule="auto"/>
        <w:rPr>
          <w:rFonts w:ascii="Arial"/>
          <w:color w:val="auto"/>
          <w:sz w:val="21"/>
        </w:rPr>
      </w:pPr>
    </w:p>
    <w:p w14:paraId="25411884">
      <w:pPr>
        <w:wordWrap/>
        <w:spacing w:line="240" w:lineRule="auto"/>
        <w:rPr>
          <w:rFonts w:ascii="Arial"/>
          <w:color w:val="auto"/>
          <w:sz w:val="21"/>
        </w:rPr>
      </w:pPr>
      <w:r>
        <w:rPr>
          <w:rFonts w:ascii="Arial"/>
          <w:color w:val="auto"/>
          <w:sz w:val="21"/>
        </w:rPr>
        <w:br w:type="page"/>
      </w:r>
    </w:p>
    <w:p w14:paraId="15400972">
      <w:pPr>
        <w:pStyle w:val="12"/>
        <w:wordWrap w:val="0"/>
        <w:spacing w:before="0" w:line="360" w:lineRule="auto"/>
        <w:ind w:left="0"/>
        <w:jc w:val="center"/>
        <w:rPr>
          <w:color w:val="auto"/>
          <w:sz w:val="24"/>
          <w:szCs w:val="24"/>
        </w:rPr>
      </w:pPr>
      <w:r>
        <w:rPr>
          <w:rFonts w:ascii="宋体" w:hAnsi="宋体" w:eastAsia="宋体" w:cs="宋体"/>
          <w:b/>
          <w:bCs/>
          <w:color w:val="auto"/>
          <w:spacing w:val="6"/>
          <w:sz w:val="31"/>
          <w:szCs w:val="31"/>
        </w:rPr>
        <w:t>第三部分  专用合同条款</w:t>
      </w:r>
    </w:p>
    <w:p w14:paraId="1CE556CB">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1．一般约定</w:t>
      </w:r>
    </w:p>
    <w:p w14:paraId="288AA903">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50" w:firstLineChars="200"/>
        <w:jc w:val="both"/>
        <w:textAlignment w:val="auto"/>
        <w:rPr>
          <w:rFonts w:hint="eastAsia" w:ascii="宋体" w:hAnsi="宋体" w:eastAsia="宋体" w:cs="宋体"/>
          <w:color w:val="auto"/>
          <w:sz w:val="24"/>
          <w:szCs w:val="24"/>
        </w:rPr>
      </w:pPr>
      <w:r>
        <w:rPr>
          <w:rFonts w:hint="eastAsia" w:ascii="宋体" w:hAnsi="宋体" w:eastAsia="宋体" w:cs="宋体"/>
          <w:b/>
          <w:bCs/>
          <w:color w:val="auto"/>
          <w:spacing w:val="-8"/>
          <w:sz w:val="24"/>
          <w:szCs w:val="24"/>
        </w:rPr>
        <w:t>1.1</w:t>
      </w:r>
      <w:r>
        <w:rPr>
          <w:rFonts w:hint="eastAsia" w:ascii="宋体" w:hAnsi="宋体" w:eastAsia="宋体" w:cs="宋体"/>
          <w:color w:val="auto"/>
          <w:spacing w:val="17"/>
          <w:sz w:val="24"/>
          <w:szCs w:val="24"/>
        </w:rPr>
        <w:t xml:space="preserve"> </w:t>
      </w:r>
      <w:r>
        <w:rPr>
          <w:rFonts w:hint="eastAsia" w:ascii="宋体" w:hAnsi="宋体" w:eastAsia="宋体" w:cs="宋体"/>
          <w:b/>
          <w:bCs/>
          <w:color w:val="auto"/>
          <w:spacing w:val="-8"/>
          <w:sz w:val="24"/>
          <w:szCs w:val="24"/>
        </w:rPr>
        <w:t>词语定义</w:t>
      </w:r>
    </w:p>
    <w:p w14:paraId="25AB6CE9">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7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1.1.2  合同当事人和人员</w:t>
      </w:r>
    </w:p>
    <w:p w14:paraId="4948835B">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"1.1.2.2"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1"/>
          <w:sz w:val="24"/>
          <w:szCs w:val="24"/>
        </w:rPr>
        <w:t>1.1.2.2</w:t>
      </w:r>
      <w:r>
        <w:rPr>
          <w:rFonts w:hint="eastAsia" w:ascii="宋体" w:hAnsi="宋体" w:eastAsia="宋体" w:cs="宋体"/>
          <w:color w:val="auto"/>
          <w:spacing w:val="-1"/>
          <w:sz w:val="24"/>
          <w:szCs w:val="24"/>
        </w:rPr>
        <w:fldChar w:fldCharType="end"/>
      </w:r>
      <w:r>
        <w:rPr>
          <w:rFonts w:hint="eastAsia" w:ascii="宋体" w:hAnsi="宋体" w:eastAsia="宋体" w:cs="宋体"/>
          <w:color w:val="auto"/>
          <w:spacing w:val="-1"/>
          <w:sz w:val="24"/>
          <w:szCs w:val="24"/>
        </w:rPr>
        <w:t xml:space="preserve">  发包人：</w:t>
      </w:r>
      <w:r>
        <w:rPr>
          <w:rFonts w:hint="eastAsia" w:ascii="宋体" w:hAnsi="宋体" w:eastAsia="宋体" w:cs="宋体"/>
          <w:color w:val="auto"/>
          <w:spacing w:val="-1"/>
          <w:sz w:val="24"/>
          <w:szCs w:val="24"/>
          <w:u w:val="single" w:color="auto"/>
        </w:rPr>
        <w:t xml:space="preserve">  柳州市防洪排涝工程管理处 </w:t>
      </w:r>
      <w:r>
        <w:rPr>
          <w:rFonts w:hint="eastAsia" w:ascii="宋体" w:hAnsi="宋体" w:eastAsia="宋体" w:cs="宋体"/>
          <w:color w:val="auto"/>
          <w:spacing w:val="-1"/>
          <w:sz w:val="24"/>
          <w:szCs w:val="24"/>
        </w:rPr>
        <w:t>。</w:t>
      </w:r>
    </w:p>
    <w:p w14:paraId="1E616539">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"1.1.2.3"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2"/>
          <w:sz w:val="24"/>
          <w:szCs w:val="24"/>
        </w:rPr>
        <w:t>1.1.2.3</w:t>
      </w:r>
      <w:r>
        <w:rPr>
          <w:rFonts w:hint="eastAsia" w:ascii="宋体" w:hAnsi="宋体" w:eastAsia="宋体" w:cs="宋体"/>
          <w:color w:val="auto"/>
          <w:spacing w:val="-2"/>
          <w:sz w:val="24"/>
          <w:szCs w:val="24"/>
        </w:rPr>
        <w:fldChar w:fldCharType="end"/>
      </w:r>
      <w:r>
        <w:rPr>
          <w:rFonts w:hint="eastAsia" w:ascii="宋体" w:hAnsi="宋体" w:eastAsia="宋体" w:cs="宋体"/>
          <w:color w:val="auto"/>
          <w:spacing w:val="-2"/>
          <w:sz w:val="24"/>
          <w:szCs w:val="24"/>
        </w:rPr>
        <w:t xml:space="preserve">  承包人：</w:t>
      </w:r>
      <w:r>
        <w:rPr>
          <w:rFonts w:hint="eastAsia" w:ascii="宋体" w:hAnsi="宋体" w:eastAsia="宋体" w:cs="宋体"/>
          <w:color w:val="auto"/>
          <w:sz w:val="24"/>
          <w:szCs w:val="24"/>
          <w:u w:val="single" w:color="auto"/>
          <w:lang w:eastAsia="zh-CN"/>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2"/>
          <w:sz w:val="24"/>
          <w:szCs w:val="24"/>
        </w:rPr>
        <w:t>。</w:t>
      </w:r>
    </w:p>
    <w:p w14:paraId="6490286F">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4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8"/>
          <w:sz w:val="24"/>
          <w:szCs w:val="24"/>
        </w:rPr>
        <w:t>1.1.4</w:t>
      </w:r>
      <w:r>
        <w:rPr>
          <w:rFonts w:hint="eastAsia" w:ascii="宋体" w:hAnsi="宋体" w:eastAsia="宋体" w:cs="宋体"/>
          <w:color w:val="auto"/>
          <w:spacing w:val="26"/>
          <w:sz w:val="24"/>
          <w:szCs w:val="24"/>
        </w:rPr>
        <w:t xml:space="preserve">  </w:t>
      </w:r>
      <w:r>
        <w:rPr>
          <w:rFonts w:hint="eastAsia" w:ascii="宋体" w:hAnsi="宋体" w:eastAsia="宋体" w:cs="宋体"/>
          <w:color w:val="auto"/>
          <w:spacing w:val="-8"/>
          <w:sz w:val="24"/>
          <w:szCs w:val="24"/>
        </w:rPr>
        <w:t>日期</w:t>
      </w:r>
    </w:p>
    <w:p w14:paraId="7BA1FBC1">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"1.1.4.3"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3"/>
          <w:sz w:val="24"/>
          <w:szCs w:val="24"/>
        </w:rPr>
        <w:t>1.1.4.3</w:t>
      </w:r>
      <w:r>
        <w:rPr>
          <w:rFonts w:hint="eastAsia" w:ascii="宋体" w:hAnsi="宋体" w:eastAsia="宋体" w:cs="宋体"/>
          <w:color w:val="auto"/>
          <w:spacing w:val="-3"/>
          <w:sz w:val="24"/>
          <w:szCs w:val="24"/>
        </w:rPr>
        <w:fldChar w:fldCharType="end"/>
      </w:r>
      <w:r>
        <w:rPr>
          <w:rFonts w:hint="eastAsia" w:ascii="宋体" w:hAnsi="宋体" w:eastAsia="宋体" w:cs="宋体"/>
          <w:color w:val="auto"/>
          <w:spacing w:val="-3"/>
          <w:sz w:val="24"/>
          <w:szCs w:val="24"/>
        </w:rPr>
        <w:t xml:space="preserve"> 本项目施工工期</w:t>
      </w:r>
      <w:r>
        <w:rPr>
          <w:rFonts w:hint="eastAsia" w:ascii="宋体" w:hAnsi="宋体" w:eastAsia="宋体" w:cs="宋体"/>
          <w:color w:val="auto"/>
          <w:spacing w:val="-3"/>
          <w:sz w:val="24"/>
          <w:szCs w:val="24"/>
          <w:u w:val="single" w:color="auto"/>
        </w:rPr>
        <w:t>为</w:t>
      </w:r>
      <w:r>
        <w:rPr>
          <w:rFonts w:hint="eastAsia" w:ascii="宋体" w:hAnsi="宋体" w:eastAsia="宋体" w:cs="宋体"/>
          <w:color w:val="auto"/>
          <w:spacing w:val="-29"/>
          <w:sz w:val="24"/>
          <w:szCs w:val="24"/>
          <w:u w:val="single" w:color="auto"/>
        </w:rPr>
        <w:t xml:space="preserve"> </w:t>
      </w:r>
      <w:r>
        <w:rPr>
          <w:rFonts w:hint="eastAsia" w:ascii="宋体" w:hAnsi="宋体" w:eastAsia="宋体" w:cs="宋体"/>
          <w:color w:val="auto"/>
          <w:spacing w:val="-2"/>
          <w:sz w:val="24"/>
          <w:szCs w:val="24"/>
          <w:highlight w:val="none"/>
          <w:u w:val="single" w:color="auto"/>
        </w:rPr>
        <w:t>自合同签订之日起至2025年12月31日</w:t>
      </w:r>
      <w:r>
        <w:rPr>
          <w:rFonts w:hint="eastAsia" w:ascii="宋体" w:hAnsi="宋体" w:eastAsia="宋体" w:cs="宋体"/>
          <w:color w:val="auto"/>
          <w:spacing w:val="-3"/>
          <w:sz w:val="24"/>
          <w:szCs w:val="24"/>
          <w:u w:val="single" w:color="auto"/>
          <w:lang w:val="en-US" w:eastAsia="zh-CN"/>
        </w:rPr>
        <w:t xml:space="preserve"> </w:t>
      </w:r>
      <w:r>
        <w:rPr>
          <w:rFonts w:hint="eastAsia" w:ascii="宋体" w:hAnsi="宋体" w:eastAsia="宋体" w:cs="宋体"/>
          <w:color w:val="auto"/>
          <w:spacing w:val="-3"/>
          <w:sz w:val="24"/>
          <w:szCs w:val="24"/>
        </w:rPr>
        <w:t>。</w:t>
      </w:r>
    </w:p>
    <w:p w14:paraId="4B5FC486">
      <w:pPr>
        <w:pStyle w:val="12"/>
        <w:keepNext w:val="0"/>
        <w:keepLines w:val="0"/>
        <w:pageBreakBefore w:val="0"/>
        <w:widowControl w:val="0"/>
        <w:kinsoku/>
        <w:wordWrap w:val="0"/>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"1.1.4.5"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1"/>
          <w:sz w:val="24"/>
          <w:szCs w:val="24"/>
        </w:rPr>
        <w:t>1.1.4.5</w:t>
      </w:r>
      <w:r>
        <w:rPr>
          <w:rFonts w:hint="eastAsia" w:ascii="宋体" w:hAnsi="宋体" w:eastAsia="宋体" w:cs="宋体"/>
          <w:color w:val="auto"/>
          <w:spacing w:val="1"/>
          <w:sz w:val="24"/>
          <w:szCs w:val="24"/>
        </w:rPr>
        <w:fldChar w:fldCharType="end"/>
      </w:r>
      <w:r>
        <w:rPr>
          <w:rFonts w:hint="eastAsia" w:ascii="宋体" w:hAnsi="宋体" w:eastAsia="宋体" w:cs="宋体"/>
          <w:color w:val="auto"/>
          <w:spacing w:val="1"/>
          <w:sz w:val="24"/>
          <w:szCs w:val="24"/>
        </w:rPr>
        <w:t xml:space="preserve">  缺陷责任期：指履行第</w:t>
      </w:r>
      <w:r>
        <w:rPr>
          <w:rFonts w:hint="eastAsia" w:ascii="宋体" w:hAnsi="宋体" w:eastAsia="宋体" w:cs="宋体"/>
          <w:color w:val="auto"/>
          <w:spacing w:val="35"/>
          <w:sz w:val="24"/>
          <w:szCs w:val="24"/>
        </w:rPr>
        <w:t xml:space="preserve"> </w:t>
      </w:r>
      <w:r>
        <w:rPr>
          <w:rFonts w:hint="eastAsia" w:ascii="宋体" w:hAnsi="宋体" w:eastAsia="宋体" w:cs="宋体"/>
          <w:color w:val="auto"/>
          <w:spacing w:val="1"/>
          <w:sz w:val="24"/>
          <w:szCs w:val="24"/>
        </w:rPr>
        <w:t>19.</w:t>
      </w:r>
      <w:r>
        <w:rPr>
          <w:rFonts w:hint="eastAsia" w:ascii="宋体" w:hAnsi="宋体" w:eastAsia="宋体" w:cs="宋体"/>
          <w:color w:val="auto"/>
          <w:sz w:val="24"/>
          <w:szCs w:val="24"/>
        </w:rPr>
        <w:t xml:space="preserve">2 款约定的缺陷责任的期限，具体期限由专用 </w:t>
      </w:r>
      <w:r>
        <w:rPr>
          <w:rFonts w:hint="eastAsia" w:ascii="宋体" w:hAnsi="宋体" w:eastAsia="宋体" w:cs="宋体"/>
          <w:color w:val="auto"/>
          <w:spacing w:val="-1"/>
          <w:sz w:val="24"/>
          <w:szCs w:val="24"/>
        </w:rPr>
        <w:t>合同条款约定，包括根据第 19.3 款约定所作的延长。本工程约定的缺陷责任期为</w:t>
      </w:r>
      <w:r>
        <w:rPr>
          <w:rFonts w:hint="eastAsia" w:ascii="宋体" w:hAnsi="宋体" w:eastAsia="宋体" w:cs="宋体"/>
          <w:color w:val="auto"/>
          <w:spacing w:val="-1"/>
          <w:sz w:val="24"/>
          <w:szCs w:val="24"/>
          <w:u w:val="single" w:color="auto"/>
        </w:rPr>
        <w:t>/</w:t>
      </w:r>
      <w:r>
        <w:rPr>
          <w:rFonts w:hint="eastAsia" w:ascii="宋体" w:hAnsi="宋体" w:eastAsia="宋体" w:cs="宋体"/>
          <w:color w:val="auto"/>
          <w:spacing w:val="-1"/>
          <w:sz w:val="24"/>
          <w:szCs w:val="24"/>
        </w:rPr>
        <w:t>年。</w:t>
      </w:r>
    </w:p>
    <w:p w14:paraId="3C4B7850">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7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1.1.5  合同价格和费用</w:t>
      </w:r>
    </w:p>
    <w:p w14:paraId="31AD7F79">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"1.1.5.1"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1"/>
          <w:sz w:val="24"/>
          <w:szCs w:val="24"/>
        </w:rPr>
        <w:t>1.1.5.1</w:t>
      </w:r>
      <w:r>
        <w:rPr>
          <w:rFonts w:hint="eastAsia" w:ascii="宋体" w:hAnsi="宋体" w:eastAsia="宋体" w:cs="宋体"/>
          <w:color w:val="auto"/>
          <w:spacing w:val="1"/>
          <w:sz w:val="24"/>
          <w:szCs w:val="24"/>
        </w:rPr>
        <w:fldChar w:fldCharType="end"/>
      </w:r>
      <w:r>
        <w:rPr>
          <w:rFonts w:hint="eastAsia" w:ascii="宋体" w:hAnsi="宋体" w:eastAsia="宋体" w:cs="宋体"/>
          <w:color w:val="auto"/>
          <w:spacing w:val="1"/>
          <w:sz w:val="24"/>
          <w:szCs w:val="24"/>
        </w:rPr>
        <w:t xml:space="preserve">  工程签约合同价：指签定合同时合同协议书中</w:t>
      </w:r>
      <w:r>
        <w:rPr>
          <w:rFonts w:hint="eastAsia" w:ascii="宋体" w:hAnsi="宋体" w:eastAsia="宋体" w:cs="宋体"/>
          <w:color w:val="auto"/>
          <w:sz w:val="24"/>
          <w:szCs w:val="24"/>
        </w:rPr>
        <w:t xml:space="preserve">写明的，包括了暂列金额、 </w:t>
      </w:r>
      <w:r>
        <w:rPr>
          <w:rFonts w:hint="eastAsia" w:ascii="宋体" w:hAnsi="宋体" w:eastAsia="宋体" w:cs="宋体"/>
          <w:color w:val="auto"/>
          <w:spacing w:val="-4"/>
          <w:sz w:val="24"/>
          <w:szCs w:val="24"/>
        </w:rPr>
        <w:t>暂估价、建安劳保费的合同总金额。</w:t>
      </w:r>
    </w:p>
    <w:p w14:paraId="363F397A">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7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1.4  合同文件的优先顺序</w:t>
      </w:r>
    </w:p>
    <w:p w14:paraId="08927DAD">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72" w:firstLineChars="200"/>
        <w:jc w:val="both"/>
        <w:textAlignment w:val="auto"/>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组成合同的各项文件应互相解释，互为说明。解释合同文件的优先顺序如下：</w:t>
      </w:r>
    </w:p>
    <w:p w14:paraId="09F778A0">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1.4.1</w:t>
      </w:r>
    </w:p>
    <w:p w14:paraId="3730AE09">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70" w:firstLineChars="200"/>
        <w:jc w:val="both"/>
        <w:textAlignment w:val="auto"/>
        <w:rPr>
          <w:rFonts w:hint="eastAsia" w:ascii="宋体" w:hAnsi="宋体" w:eastAsia="宋体" w:cs="宋体"/>
          <w:color w:val="auto"/>
          <w:sz w:val="24"/>
          <w:szCs w:val="24"/>
        </w:rPr>
      </w:pPr>
      <w:r>
        <w:rPr>
          <w:rFonts w:hint="eastAsia" w:ascii="宋体" w:hAnsi="宋体" w:eastAsia="宋体" w:cs="宋体"/>
          <w:b/>
          <w:bCs/>
          <w:color w:val="auto"/>
          <w:spacing w:val="-3"/>
          <w:sz w:val="24"/>
          <w:szCs w:val="24"/>
        </w:rPr>
        <w:t>删去通用条款中本款的原文，以下文取代：</w:t>
      </w:r>
    </w:p>
    <w:p w14:paraId="79253D37">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8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组成本合同的文件及优先解释顺序如下:</w:t>
      </w:r>
    </w:p>
    <w:p w14:paraId="2BF608BF">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（1）合同协议书和补充协议书；</w:t>
      </w:r>
    </w:p>
    <w:p w14:paraId="5CF8ED8C">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（2）中标通知书</w:t>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如有）</w:t>
      </w:r>
    </w:p>
    <w:p w14:paraId="31330791">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5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（3）审定的预算控制价；</w:t>
      </w:r>
    </w:p>
    <w:p w14:paraId="683FF383">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5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（4）专用合同条款；</w:t>
      </w:r>
    </w:p>
    <w:p w14:paraId="3A0D065E">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5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（5）通用合同条款；</w:t>
      </w:r>
    </w:p>
    <w:p w14:paraId="73908DC9">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5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（6）技术标准和要求；</w:t>
      </w:r>
    </w:p>
    <w:p w14:paraId="23E72CEA">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（7）施工方案及设计施工图纸；</w:t>
      </w:r>
    </w:p>
    <w:p w14:paraId="1D2D06D1">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（8）工程变更、签证、施工方案；</w:t>
      </w:r>
    </w:p>
    <w:p w14:paraId="63690AE2">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（9）其他合同文件。</w:t>
      </w:r>
    </w:p>
    <w:p w14:paraId="3A929F17">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1.4.2</w:t>
      </w:r>
    </w:p>
    <w:p w14:paraId="2479A242">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66" w:firstLineChars="200"/>
        <w:jc w:val="both"/>
        <w:textAlignment w:val="auto"/>
        <w:rPr>
          <w:rFonts w:hint="eastAsia" w:ascii="宋体" w:hAnsi="宋体" w:eastAsia="宋体" w:cs="宋体"/>
          <w:color w:val="auto"/>
          <w:sz w:val="24"/>
          <w:szCs w:val="24"/>
        </w:rPr>
      </w:pPr>
      <w:r>
        <w:rPr>
          <w:rFonts w:hint="eastAsia" w:ascii="宋体" w:hAnsi="宋体" w:eastAsia="宋体" w:cs="宋体"/>
          <w:b/>
          <w:bCs/>
          <w:color w:val="auto"/>
          <w:spacing w:val="-4"/>
          <w:sz w:val="24"/>
          <w:szCs w:val="24"/>
        </w:rPr>
        <w:t>在上述专用条款</w:t>
      </w:r>
      <w:r>
        <w:rPr>
          <w:rFonts w:hint="eastAsia" w:ascii="宋体" w:hAnsi="宋体" w:eastAsia="宋体" w:cs="宋体"/>
          <w:color w:val="auto"/>
          <w:spacing w:val="-31"/>
          <w:sz w:val="24"/>
          <w:szCs w:val="24"/>
        </w:rPr>
        <w:t xml:space="preserve"> </w:t>
      </w:r>
      <w:r>
        <w:rPr>
          <w:rFonts w:hint="eastAsia" w:ascii="宋体" w:hAnsi="宋体" w:eastAsia="宋体" w:cs="宋体"/>
          <w:b/>
          <w:bCs/>
          <w:color w:val="auto"/>
          <w:spacing w:val="-4"/>
          <w:sz w:val="24"/>
          <w:szCs w:val="24"/>
        </w:rPr>
        <w:t>1.4.1</w:t>
      </w:r>
      <w:r>
        <w:rPr>
          <w:rFonts w:hint="eastAsia" w:ascii="宋体" w:hAnsi="宋体" w:eastAsia="宋体" w:cs="宋体"/>
          <w:color w:val="auto"/>
          <w:spacing w:val="-49"/>
          <w:sz w:val="24"/>
          <w:szCs w:val="24"/>
        </w:rPr>
        <w:t xml:space="preserve"> </w:t>
      </w:r>
      <w:r>
        <w:rPr>
          <w:rFonts w:hint="eastAsia" w:ascii="宋体" w:hAnsi="宋体" w:eastAsia="宋体" w:cs="宋体"/>
          <w:b/>
          <w:bCs/>
          <w:color w:val="auto"/>
          <w:spacing w:val="-4"/>
          <w:sz w:val="24"/>
          <w:szCs w:val="24"/>
        </w:rPr>
        <w:t>后，增加以下条款：</w:t>
      </w:r>
    </w:p>
    <w:p w14:paraId="761BCD7C">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当合同文件内容含糊不清或不相一致时，在不影响工程正常进行的情况下，提请负责监理的工程师（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pacing w:val="-1"/>
          <w:sz w:val="24"/>
          <w:szCs w:val="24"/>
        </w:rPr>
        <w:t>）作出解释。双方不同意负责监理的工程师的解释</w:t>
      </w:r>
      <w:r>
        <w:rPr>
          <w:rFonts w:hint="eastAsia" w:ascii="宋体" w:hAnsi="宋体" w:eastAsia="宋体" w:cs="宋体"/>
          <w:color w:val="auto"/>
          <w:spacing w:val="-2"/>
          <w:sz w:val="24"/>
          <w:szCs w:val="24"/>
        </w:rPr>
        <w:t>时，按本通用</w:t>
      </w:r>
      <w:r>
        <w:rPr>
          <w:rFonts w:hint="eastAsia" w:ascii="宋体" w:hAnsi="宋体" w:eastAsia="宋体" w:cs="宋体"/>
          <w:color w:val="auto"/>
          <w:spacing w:val="-5"/>
          <w:sz w:val="24"/>
          <w:szCs w:val="24"/>
        </w:rPr>
        <w:t>条款24条关于争议约定处理。</w:t>
      </w:r>
    </w:p>
    <w:p w14:paraId="6BC3DAE2">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7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1.6.1</w:t>
      </w:r>
      <w:r>
        <w:rPr>
          <w:rFonts w:hint="eastAsia" w:ascii="宋体" w:hAnsi="宋体" w:eastAsia="宋体" w:cs="宋体"/>
          <w:color w:val="auto"/>
          <w:spacing w:val="49"/>
          <w:sz w:val="24"/>
          <w:szCs w:val="24"/>
        </w:rPr>
        <w:t xml:space="preserve"> </w:t>
      </w:r>
      <w:r>
        <w:rPr>
          <w:rFonts w:hint="eastAsia" w:ascii="宋体" w:hAnsi="宋体" w:eastAsia="宋体" w:cs="宋体"/>
          <w:color w:val="auto"/>
          <w:spacing w:val="-2"/>
          <w:sz w:val="24"/>
          <w:szCs w:val="24"/>
        </w:rPr>
        <w:t>图纸的提供：发包人向承包人提供图纸日期和套数为根据承包人的进度要求提</w:t>
      </w:r>
      <w:r>
        <w:rPr>
          <w:rFonts w:hint="eastAsia" w:ascii="宋体" w:hAnsi="宋体" w:eastAsia="宋体" w:cs="宋体"/>
          <w:color w:val="auto"/>
          <w:spacing w:val="-6"/>
          <w:sz w:val="24"/>
          <w:szCs w:val="24"/>
        </w:rPr>
        <w:t>供一式叁套。</w:t>
      </w:r>
    </w:p>
    <w:p w14:paraId="514B5EC7">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5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1.6.3</w:t>
      </w:r>
      <w:r>
        <w:rPr>
          <w:rFonts w:hint="eastAsia" w:ascii="宋体" w:hAnsi="宋体" w:eastAsia="宋体" w:cs="宋体"/>
          <w:color w:val="auto"/>
          <w:spacing w:val="19"/>
          <w:sz w:val="24"/>
          <w:szCs w:val="24"/>
        </w:rPr>
        <w:t xml:space="preserve">  </w:t>
      </w:r>
      <w:r>
        <w:rPr>
          <w:rFonts w:hint="eastAsia" w:ascii="宋体" w:hAnsi="宋体" w:eastAsia="宋体" w:cs="宋体"/>
          <w:color w:val="auto"/>
          <w:spacing w:val="-6"/>
          <w:sz w:val="24"/>
          <w:szCs w:val="24"/>
        </w:rPr>
        <w:t>图纸的修改</w:t>
      </w:r>
    </w:p>
    <w:p w14:paraId="1AE38536">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图纸需要修改和补充的，应由监理人取得发包人同意后，在该工程或工程相应部位施</w:t>
      </w:r>
      <w:r>
        <w:rPr>
          <w:rFonts w:hint="eastAsia" w:ascii="宋体" w:hAnsi="宋体" w:eastAsia="宋体" w:cs="宋体"/>
          <w:color w:val="auto"/>
          <w:spacing w:val="-4"/>
          <w:sz w:val="24"/>
          <w:szCs w:val="24"/>
        </w:rPr>
        <w:t>工前的</w:t>
      </w:r>
      <w:r>
        <w:rPr>
          <w:rFonts w:hint="eastAsia" w:ascii="宋体" w:hAnsi="宋体" w:eastAsia="宋体" w:cs="宋体"/>
          <w:color w:val="auto"/>
          <w:spacing w:val="-4"/>
          <w:sz w:val="24"/>
          <w:szCs w:val="24"/>
          <w:u w:val="single" w:color="auto"/>
        </w:rPr>
        <w:t xml:space="preserve"> 7日</w:t>
      </w:r>
      <w:r>
        <w:rPr>
          <w:rFonts w:hint="eastAsia" w:ascii="宋体" w:hAnsi="宋体" w:eastAsia="宋体" w:cs="宋体"/>
          <w:color w:val="auto"/>
          <w:spacing w:val="38"/>
          <w:sz w:val="24"/>
          <w:szCs w:val="24"/>
          <w:u w:val="single" w:color="auto"/>
        </w:rPr>
        <w:t xml:space="preserve"> </w:t>
      </w:r>
      <w:r>
        <w:rPr>
          <w:rFonts w:hint="eastAsia" w:ascii="宋体" w:hAnsi="宋体" w:eastAsia="宋体" w:cs="宋体"/>
          <w:color w:val="auto"/>
          <w:spacing w:val="-4"/>
          <w:sz w:val="24"/>
          <w:szCs w:val="24"/>
        </w:rPr>
        <w:t>内签发图纸修改图给承包人。承包人应按修</w:t>
      </w:r>
      <w:r>
        <w:rPr>
          <w:rFonts w:hint="eastAsia" w:ascii="宋体" w:hAnsi="宋体" w:eastAsia="宋体" w:cs="宋体"/>
          <w:color w:val="auto"/>
          <w:spacing w:val="-5"/>
          <w:sz w:val="24"/>
          <w:szCs w:val="24"/>
        </w:rPr>
        <w:t>改后的图纸施工。</w:t>
      </w:r>
    </w:p>
    <w:p w14:paraId="6485A2AD">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2.3  提供施工场地</w:t>
      </w:r>
    </w:p>
    <w:p w14:paraId="5E80C54D">
      <w:pPr>
        <w:pStyle w:val="12"/>
        <w:keepNext w:val="0"/>
        <w:keepLines w:val="0"/>
        <w:pageBreakBefore w:val="0"/>
        <w:widowControl w:val="0"/>
        <w:kinsoku/>
        <w:wordWrap w:val="0"/>
        <w:overflowPunct/>
        <w:topLinePunct w:val="0"/>
        <w:autoSpaceDE/>
        <w:autoSpaceDN/>
        <w:bidi w:val="0"/>
        <w:adjustRightInd/>
        <w:snapToGrid/>
        <w:spacing w:before="0" w:after="0" w:line="360"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发包人向承包人提供施工场地，以及施工场地内地下管</w:t>
      </w:r>
      <w:r>
        <w:rPr>
          <w:rFonts w:hint="eastAsia" w:ascii="宋体" w:hAnsi="宋体" w:eastAsia="宋体" w:cs="宋体"/>
          <w:color w:val="auto"/>
          <w:spacing w:val="-1"/>
          <w:sz w:val="24"/>
          <w:szCs w:val="24"/>
        </w:rPr>
        <w:t>线和地下设施等有关资料内容</w:t>
      </w:r>
      <w:r>
        <w:rPr>
          <w:rFonts w:hint="eastAsia" w:ascii="宋体" w:hAnsi="宋体" w:eastAsia="宋体" w:cs="宋体"/>
          <w:color w:val="auto"/>
          <w:spacing w:val="-15"/>
          <w:sz w:val="24"/>
          <w:szCs w:val="24"/>
        </w:rPr>
        <w:t>包括：</w:t>
      </w:r>
    </w:p>
    <w:p w14:paraId="1E3683D7">
      <w:pPr>
        <w:pStyle w:val="12"/>
        <w:keepNext w:val="0"/>
        <w:keepLines w:val="0"/>
        <w:pageBreakBefore w:val="0"/>
        <w:widowControl w:val="0"/>
        <w:kinsoku/>
        <w:wordWrap w:val="0"/>
        <w:overflowPunct/>
        <w:topLinePunct w:val="0"/>
        <w:autoSpaceDE/>
        <w:autoSpaceDN/>
        <w:bidi w:val="0"/>
        <w:adjustRightInd/>
        <w:snapToGrid/>
        <w:spacing w:before="0" w:after="0" w:line="360"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（1）施工场地具备施工条件的要求及完成的时间</w:t>
      </w:r>
      <w:r>
        <w:rPr>
          <w:rFonts w:hint="eastAsia" w:ascii="宋体" w:hAnsi="宋体" w:eastAsia="宋体" w:cs="宋体"/>
          <w:color w:val="auto"/>
          <w:spacing w:val="-1"/>
          <w:sz w:val="24"/>
          <w:szCs w:val="24"/>
        </w:rPr>
        <w:t>：在开工前完成土地征用、青苗树</w:t>
      </w:r>
      <w:r>
        <w:rPr>
          <w:rFonts w:hint="eastAsia" w:ascii="宋体" w:hAnsi="宋体" w:eastAsia="宋体" w:cs="宋体"/>
          <w:color w:val="auto"/>
          <w:spacing w:val="-5"/>
          <w:sz w:val="24"/>
          <w:szCs w:val="24"/>
        </w:rPr>
        <w:t>木赔偿、房屋拆迁。</w:t>
      </w:r>
    </w:p>
    <w:p w14:paraId="5108DC46">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（2）发包人提供用水、用电便利。</w:t>
      </w:r>
    </w:p>
    <w:p w14:paraId="14A4585A">
      <w:pPr>
        <w:pStyle w:val="12"/>
        <w:keepNext w:val="0"/>
        <w:keepLines w:val="0"/>
        <w:pageBreakBefore w:val="0"/>
        <w:widowControl w:val="0"/>
        <w:kinsoku/>
        <w:wordWrap w:val="0"/>
        <w:overflowPunct/>
        <w:topLinePunct w:val="0"/>
        <w:autoSpaceDE/>
        <w:autoSpaceDN/>
        <w:bidi w:val="0"/>
        <w:adjustRightInd/>
        <w:snapToGrid/>
        <w:spacing w:before="0" w:after="0" w:line="360" w:lineRule="auto"/>
        <w:ind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（3）施工场地与公共道路的通道开通时间和</w:t>
      </w:r>
      <w:r>
        <w:rPr>
          <w:rFonts w:hint="eastAsia" w:ascii="宋体" w:hAnsi="宋体" w:eastAsia="宋体" w:cs="宋体"/>
          <w:color w:val="auto"/>
          <w:spacing w:val="-2"/>
          <w:sz w:val="24"/>
          <w:szCs w:val="24"/>
        </w:rPr>
        <w:t>要求：由承包人负责，费用包含在预算单</w:t>
      </w:r>
      <w:r>
        <w:rPr>
          <w:rFonts w:hint="eastAsia" w:ascii="宋体" w:hAnsi="宋体" w:eastAsia="宋体" w:cs="宋体"/>
          <w:color w:val="auto"/>
          <w:spacing w:val="-11"/>
          <w:sz w:val="24"/>
          <w:szCs w:val="24"/>
        </w:rPr>
        <w:t>价中。</w:t>
      </w:r>
    </w:p>
    <w:p w14:paraId="6DF4512E">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4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8"/>
          <w:sz w:val="24"/>
          <w:szCs w:val="24"/>
        </w:rPr>
        <w:t>（4）需承包人办理的有关施工场地交通、环卫和施工噪音管理等手续：由承包人负责，</w:t>
      </w:r>
      <w:r>
        <w:rPr>
          <w:rFonts w:hint="eastAsia" w:ascii="宋体" w:hAnsi="宋体" w:eastAsia="宋体" w:cs="宋体"/>
          <w:color w:val="auto"/>
          <w:spacing w:val="-5"/>
          <w:sz w:val="24"/>
          <w:szCs w:val="24"/>
        </w:rPr>
        <w:t>费用包含在预算单价中。</w:t>
      </w:r>
    </w:p>
    <w:p w14:paraId="1694129B">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（5）发包人在开工前负责提供工程地质资料。但发包人对承包人由</w:t>
      </w:r>
      <w:r>
        <w:rPr>
          <w:rFonts w:hint="eastAsia" w:ascii="宋体" w:hAnsi="宋体" w:eastAsia="宋体" w:cs="宋体"/>
          <w:color w:val="auto"/>
          <w:spacing w:val="-2"/>
          <w:sz w:val="24"/>
          <w:szCs w:val="24"/>
        </w:rPr>
        <w:t>此而作出的推论和</w:t>
      </w:r>
      <w:r>
        <w:rPr>
          <w:rFonts w:hint="eastAsia" w:ascii="宋体" w:hAnsi="宋体" w:eastAsia="宋体" w:cs="宋体"/>
          <w:color w:val="auto"/>
          <w:spacing w:val="-7"/>
          <w:sz w:val="24"/>
          <w:szCs w:val="24"/>
        </w:rPr>
        <w:t>结论概不负责。</w:t>
      </w:r>
    </w:p>
    <w:p w14:paraId="0463C268">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（6）由发包人办理的施工所需证件、批件的名称和完成时间：</w:t>
      </w:r>
      <w:r>
        <w:rPr>
          <w:rFonts w:hint="eastAsia" w:ascii="宋体" w:hAnsi="宋体" w:eastAsia="宋体" w:cs="宋体"/>
          <w:color w:val="auto"/>
          <w:spacing w:val="-2"/>
          <w:sz w:val="24"/>
          <w:szCs w:val="24"/>
        </w:rPr>
        <w:t>待定。</w:t>
      </w:r>
    </w:p>
    <w:p w14:paraId="6FA569D1">
      <w:pPr>
        <w:keepNext w:val="0"/>
        <w:keepLines w:val="0"/>
        <w:pageBreakBefore w:val="0"/>
        <w:widowControl w:val="0"/>
        <w:kinsoku/>
        <w:wordWrap w:val="0"/>
        <w:overflowPunct/>
        <w:topLinePunct w:val="0"/>
        <w:autoSpaceDE/>
        <w:autoSpaceDN/>
        <w:bidi w:val="0"/>
        <w:adjustRightInd/>
        <w:snapToGrid/>
        <w:spacing w:line="360" w:lineRule="auto"/>
        <w:ind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（7）协调处理施工场地周围地下管线和邻近建筑物、构筑物（含文物保护</w:t>
      </w:r>
      <w:r>
        <w:rPr>
          <w:rFonts w:hint="eastAsia" w:ascii="宋体" w:hAnsi="宋体" w:eastAsia="宋体" w:cs="宋体"/>
          <w:color w:val="auto"/>
          <w:spacing w:val="-2"/>
          <w:sz w:val="24"/>
          <w:szCs w:val="24"/>
        </w:rPr>
        <w:t>建筑）、古</w:t>
      </w:r>
      <w:r>
        <w:rPr>
          <w:rFonts w:hint="eastAsia" w:ascii="宋体" w:hAnsi="宋体" w:eastAsia="宋体" w:cs="宋体"/>
          <w:color w:val="auto"/>
          <w:sz w:val="24"/>
          <w:szCs w:val="24"/>
        </w:rPr>
        <w:t>树名木的保护工作：发包人负责有关外部协调工作，承包人负责</w:t>
      </w:r>
      <w:r>
        <w:rPr>
          <w:rFonts w:hint="eastAsia" w:ascii="宋体" w:hAnsi="宋体" w:eastAsia="宋体" w:cs="宋体"/>
          <w:color w:val="auto"/>
          <w:spacing w:val="-1"/>
          <w:sz w:val="24"/>
          <w:szCs w:val="24"/>
        </w:rPr>
        <w:t>处理施工中保护工作，保</w:t>
      </w:r>
      <w:r>
        <w:rPr>
          <w:rFonts w:hint="eastAsia" w:ascii="宋体" w:hAnsi="宋体" w:eastAsia="宋体" w:cs="宋体"/>
          <w:color w:val="auto"/>
          <w:spacing w:val="-2"/>
          <w:sz w:val="24"/>
          <w:szCs w:val="24"/>
        </w:rPr>
        <w:t>护要达到有关部门的要求和满足工程施工的需要。</w:t>
      </w:r>
    </w:p>
    <w:p w14:paraId="3264C210">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3.</w:t>
      </w:r>
      <w:r>
        <w:rPr>
          <w:rFonts w:hint="eastAsia" w:ascii="宋体" w:hAnsi="宋体" w:eastAsia="宋体" w:cs="宋体"/>
          <w:color w:val="auto"/>
          <w:spacing w:val="6"/>
          <w:sz w:val="24"/>
          <w:szCs w:val="24"/>
        </w:rPr>
        <w:t xml:space="preserve">  </w:t>
      </w:r>
      <w:r>
        <w:rPr>
          <w:rFonts w:hint="eastAsia" w:ascii="宋体" w:hAnsi="宋体" w:eastAsia="宋体" w:cs="宋体"/>
          <w:color w:val="auto"/>
          <w:spacing w:val="-5"/>
          <w:sz w:val="24"/>
          <w:szCs w:val="24"/>
        </w:rPr>
        <w:t>监理人</w:t>
      </w:r>
    </w:p>
    <w:p w14:paraId="4A0B94DF">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本工程的监理单位为：</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z w:val="24"/>
          <w:szCs w:val="24"/>
          <w:u w:val="single" w:color="auto"/>
          <w:lang w:val="en-US" w:eastAsia="zh-CN"/>
        </w:rPr>
        <w:t xml:space="preserve">           </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1"/>
          <w:sz w:val="24"/>
          <w:szCs w:val="24"/>
        </w:rPr>
        <w:t>。</w:t>
      </w:r>
    </w:p>
    <w:p w14:paraId="47535B40">
      <w:pPr>
        <w:pStyle w:val="12"/>
        <w:keepNext w:val="0"/>
        <w:keepLines w:val="0"/>
        <w:pageBreakBefore w:val="0"/>
        <w:widowControl w:val="0"/>
        <w:kinsoku/>
        <w:overflowPunct/>
        <w:topLinePunct w:val="0"/>
        <w:autoSpaceDE/>
        <w:autoSpaceDN/>
        <w:bidi w:val="0"/>
        <w:adjustRightInd/>
        <w:snapToGrid/>
        <w:spacing w:after="0" w:line="360" w:lineRule="auto"/>
        <w:ind w:firstLine="47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本工程监理工程师为</w:t>
      </w:r>
      <w:r>
        <w:rPr>
          <w:rFonts w:hint="eastAsia" w:ascii="宋体" w:hAnsi="宋体" w:eastAsia="宋体" w:cs="宋体"/>
          <w:color w:val="auto"/>
          <w:spacing w:val="-7"/>
          <w:sz w:val="24"/>
          <w:szCs w:val="24"/>
        </w:rPr>
        <w:t>：</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z w:val="24"/>
          <w:szCs w:val="24"/>
          <w:u w:val="single" w:color="auto"/>
          <w:lang w:val="en-US" w:eastAsia="zh-CN"/>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91"/>
          <w:sz w:val="24"/>
          <w:szCs w:val="24"/>
        </w:rPr>
        <w:t xml:space="preserve"> </w:t>
      </w:r>
      <w:r>
        <w:rPr>
          <w:rFonts w:hint="eastAsia" w:ascii="宋体" w:hAnsi="宋体" w:eastAsia="宋体" w:cs="宋体"/>
          <w:color w:val="auto"/>
          <w:spacing w:val="-7"/>
          <w:sz w:val="24"/>
          <w:szCs w:val="24"/>
        </w:rPr>
        <w:t>，</w:t>
      </w:r>
      <w:r>
        <w:rPr>
          <w:rFonts w:hint="eastAsia" w:ascii="宋体" w:hAnsi="宋体" w:eastAsia="宋体" w:cs="宋体"/>
          <w:color w:val="auto"/>
          <w:spacing w:val="-2"/>
          <w:sz w:val="24"/>
          <w:szCs w:val="24"/>
        </w:rPr>
        <w:t>监理工程师更换时，应在调离14天</w:t>
      </w:r>
      <w:r>
        <w:rPr>
          <w:rFonts w:hint="eastAsia" w:ascii="宋体" w:hAnsi="宋体" w:eastAsia="宋体" w:cs="宋体"/>
          <w:color w:val="auto"/>
          <w:spacing w:val="-6"/>
          <w:sz w:val="24"/>
          <w:szCs w:val="24"/>
        </w:rPr>
        <w:t>前通知承包人。监理工程师短期离开施工场地的，应委派代表代</w:t>
      </w:r>
      <w:r>
        <w:rPr>
          <w:rFonts w:hint="eastAsia" w:ascii="宋体" w:hAnsi="宋体" w:eastAsia="宋体" w:cs="宋体"/>
          <w:color w:val="auto"/>
          <w:spacing w:val="-7"/>
          <w:sz w:val="24"/>
          <w:szCs w:val="24"/>
        </w:rPr>
        <w:t>行其职责，并通知承包人。</w:t>
      </w:r>
    </w:p>
    <w:p w14:paraId="0F8B5677">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4.</w:t>
      </w:r>
      <w:r>
        <w:rPr>
          <w:rFonts w:hint="eastAsia" w:ascii="宋体" w:hAnsi="宋体" w:eastAsia="宋体" w:cs="宋体"/>
          <w:color w:val="auto"/>
          <w:spacing w:val="4"/>
          <w:sz w:val="24"/>
          <w:szCs w:val="24"/>
        </w:rPr>
        <w:t xml:space="preserve">  </w:t>
      </w:r>
      <w:r>
        <w:rPr>
          <w:rFonts w:hint="eastAsia" w:ascii="宋体" w:hAnsi="宋体" w:eastAsia="宋体" w:cs="宋体"/>
          <w:color w:val="auto"/>
          <w:spacing w:val="-3"/>
          <w:sz w:val="24"/>
          <w:szCs w:val="24"/>
        </w:rPr>
        <w:t>承包人</w:t>
      </w:r>
    </w:p>
    <w:p w14:paraId="768887AF">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4.3</w:t>
      </w:r>
      <w:r>
        <w:rPr>
          <w:rFonts w:hint="eastAsia" w:ascii="宋体" w:hAnsi="宋体" w:eastAsia="宋体" w:cs="宋体"/>
          <w:color w:val="auto"/>
          <w:spacing w:val="6"/>
          <w:sz w:val="24"/>
          <w:szCs w:val="24"/>
        </w:rPr>
        <w:t xml:space="preserve">  </w:t>
      </w:r>
      <w:r>
        <w:rPr>
          <w:rFonts w:hint="eastAsia" w:ascii="宋体" w:hAnsi="宋体" w:eastAsia="宋体" w:cs="宋体"/>
          <w:color w:val="auto"/>
          <w:spacing w:val="-3"/>
          <w:sz w:val="24"/>
          <w:szCs w:val="24"/>
        </w:rPr>
        <w:t>分包</w:t>
      </w:r>
    </w:p>
    <w:p w14:paraId="1A065251">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66" w:firstLineChars="200"/>
        <w:jc w:val="both"/>
        <w:textAlignment w:val="auto"/>
        <w:rPr>
          <w:rFonts w:hint="eastAsia" w:ascii="宋体" w:hAnsi="宋体" w:eastAsia="宋体" w:cs="宋体"/>
          <w:color w:val="auto"/>
          <w:sz w:val="24"/>
          <w:szCs w:val="24"/>
        </w:rPr>
      </w:pPr>
      <w:r>
        <w:rPr>
          <w:rFonts w:hint="eastAsia" w:ascii="宋体" w:hAnsi="宋体" w:eastAsia="宋体" w:cs="宋体"/>
          <w:b/>
          <w:bCs/>
          <w:color w:val="auto"/>
          <w:spacing w:val="-4"/>
          <w:sz w:val="24"/>
          <w:szCs w:val="24"/>
        </w:rPr>
        <w:t>在通用条款4.3.2后，增加以下内容：</w:t>
      </w:r>
    </w:p>
    <w:p w14:paraId="210946BC">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承包人取得批准分包并不解除合同规定的承包人的任何责任或</w:t>
      </w:r>
      <w:r>
        <w:rPr>
          <w:rFonts w:hint="eastAsia" w:ascii="宋体" w:hAnsi="宋体" w:eastAsia="宋体" w:cs="宋体"/>
          <w:color w:val="auto"/>
          <w:spacing w:val="-2"/>
          <w:sz w:val="24"/>
          <w:szCs w:val="24"/>
        </w:rPr>
        <w:t>义务，他应对分包人加</w:t>
      </w:r>
      <w:r>
        <w:rPr>
          <w:rFonts w:hint="eastAsia" w:ascii="宋体" w:hAnsi="宋体" w:eastAsia="宋体" w:cs="宋体"/>
          <w:color w:val="auto"/>
          <w:spacing w:val="-1"/>
          <w:sz w:val="24"/>
          <w:szCs w:val="24"/>
        </w:rPr>
        <w:t>强监督和管理，并对分包人的工程质量及其职</w:t>
      </w:r>
      <w:r>
        <w:rPr>
          <w:rFonts w:hint="eastAsia" w:ascii="宋体" w:hAnsi="宋体" w:eastAsia="宋体" w:cs="宋体"/>
          <w:color w:val="auto"/>
          <w:spacing w:val="-2"/>
          <w:sz w:val="24"/>
          <w:szCs w:val="24"/>
        </w:rPr>
        <w:t>工的行为、违约和疏忽完全负责。</w:t>
      </w:r>
    </w:p>
    <w:p w14:paraId="0AABE87E">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发包人对承包人与分包人之间的法律与经济纠纷不</w:t>
      </w:r>
      <w:r>
        <w:rPr>
          <w:rFonts w:hint="eastAsia" w:ascii="宋体" w:hAnsi="宋体" w:eastAsia="宋体" w:cs="宋体"/>
          <w:color w:val="auto"/>
          <w:spacing w:val="-1"/>
          <w:sz w:val="24"/>
          <w:szCs w:val="24"/>
        </w:rPr>
        <w:t>承担任何责任和义务。对于提供劳</w:t>
      </w:r>
      <w:r>
        <w:rPr>
          <w:rFonts w:hint="eastAsia" w:ascii="宋体" w:hAnsi="宋体" w:eastAsia="宋体" w:cs="宋体"/>
          <w:color w:val="auto"/>
          <w:sz w:val="24"/>
          <w:szCs w:val="24"/>
        </w:rPr>
        <w:t>务的自然人或由企业法人提供的劳务合作，虽不要求承包人</w:t>
      </w:r>
      <w:r>
        <w:rPr>
          <w:rFonts w:hint="eastAsia" w:ascii="宋体" w:hAnsi="宋体" w:eastAsia="宋体" w:cs="宋体"/>
          <w:color w:val="auto"/>
          <w:spacing w:val="-1"/>
          <w:sz w:val="24"/>
          <w:szCs w:val="24"/>
        </w:rPr>
        <w:t>取得上述批准，但承包人应将</w:t>
      </w:r>
      <w:r>
        <w:rPr>
          <w:rFonts w:hint="eastAsia" w:ascii="宋体" w:hAnsi="宋体" w:eastAsia="宋体" w:cs="宋体"/>
          <w:color w:val="auto"/>
          <w:sz w:val="24"/>
          <w:szCs w:val="24"/>
        </w:rPr>
        <w:t>劳务协议（含支付条款）报工程师备案，工程师对此有权进行</w:t>
      </w:r>
      <w:r>
        <w:rPr>
          <w:rFonts w:hint="eastAsia" w:ascii="宋体" w:hAnsi="宋体" w:eastAsia="宋体" w:cs="宋体"/>
          <w:color w:val="auto"/>
          <w:spacing w:val="-1"/>
          <w:sz w:val="24"/>
          <w:szCs w:val="24"/>
        </w:rPr>
        <w:t>核查。劳务合作应防止由包工头包揽，劳务人员应加入到承包人施工班组，并持项目经理签发的</w:t>
      </w:r>
      <w:r>
        <w:rPr>
          <w:rFonts w:hint="eastAsia" w:ascii="宋体" w:hAnsi="宋体" w:eastAsia="宋体" w:cs="宋体"/>
          <w:color w:val="auto"/>
          <w:spacing w:val="-2"/>
          <w:sz w:val="24"/>
          <w:szCs w:val="24"/>
        </w:rPr>
        <w:t>劳务人员证上岗。</w:t>
      </w:r>
    </w:p>
    <w:p w14:paraId="4C103F6B">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5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不允许假劳务之名，行分包之实。不得向个人分包。一经查出，按22.1款承包人违约</w:t>
      </w:r>
      <w:r>
        <w:rPr>
          <w:rFonts w:hint="eastAsia" w:ascii="宋体" w:hAnsi="宋体" w:eastAsia="宋体" w:cs="宋体"/>
          <w:color w:val="auto"/>
          <w:spacing w:val="-11"/>
          <w:sz w:val="24"/>
          <w:szCs w:val="24"/>
        </w:rPr>
        <w:t>处理。</w:t>
      </w:r>
    </w:p>
    <w:p w14:paraId="35C04919">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4.5  承包人项目经理</w:t>
      </w:r>
    </w:p>
    <w:p w14:paraId="7C4E8F36">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7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本工程项目经理姓名：</w:t>
      </w:r>
      <w:r>
        <w:rPr>
          <w:rFonts w:hint="eastAsia" w:ascii="宋体" w:hAnsi="宋体" w:eastAsia="宋体" w:cs="宋体"/>
          <w:color w:val="auto"/>
          <w:spacing w:val="-2"/>
          <w:sz w:val="24"/>
          <w:szCs w:val="24"/>
          <w:u w:val="single" w:color="auto"/>
        </w:rPr>
        <w:t xml:space="preserve"> </w:t>
      </w:r>
      <w:r>
        <w:rPr>
          <w:rFonts w:hint="eastAsia" w:ascii="宋体" w:hAnsi="宋体" w:eastAsia="宋体" w:cs="宋体"/>
          <w:color w:val="auto"/>
          <w:spacing w:val="-2"/>
          <w:sz w:val="24"/>
          <w:szCs w:val="24"/>
          <w:u w:val="single" w:color="auto"/>
          <w:lang w:val="en-US" w:eastAsia="zh-CN"/>
        </w:rPr>
        <w:t xml:space="preserve">         </w:t>
      </w:r>
      <w:r>
        <w:rPr>
          <w:rFonts w:hint="eastAsia" w:ascii="宋体" w:hAnsi="宋体" w:eastAsia="宋体" w:cs="宋体"/>
          <w:color w:val="auto"/>
          <w:spacing w:val="-2"/>
          <w:sz w:val="24"/>
          <w:szCs w:val="24"/>
          <w:u w:val="single" w:color="auto"/>
        </w:rPr>
        <w:t xml:space="preserve"> </w:t>
      </w:r>
      <w:r>
        <w:rPr>
          <w:rFonts w:hint="eastAsia" w:ascii="宋体" w:hAnsi="宋体" w:eastAsia="宋体" w:cs="宋体"/>
          <w:color w:val="auto"/>
          <w:spacing w:val="-2"/>
          <w:sz w:val="24"/>
          <w:szCs w:val="24"/>
        </w:rPr>
        <w:t xml:space="preserve"> 注册证号：</w:t>
      </w:r>
      <w:r>
        <w:rPr>
          <w:rFonts w:hint="eastAsia" w:ascii="宋体" w:hAnsi="宋体" w:eastAsia="宋体" w:cs="宋体"/>
          <w:color w:val="auto"/>
          <w:spacing w:val="-2"/>
          <w:sz w:val="24"/>
          <w:szCs w:val="24"/>
          <w:u w:val="single" w:color="auto"/>
        </w:rPr>
        <w:t xml:space="preserve"> </w:t>
      </w:r>
      <w:r>
        <w:rPr>
          <w:rFonts w:hint="eastAsia" w:ascii="宋体" w:hAnsi="宋体" w:eastAsia="宋体" w:cs="宋体"/>
          <w:color w:val="auto"/>
          <w:spacing w:val="-2"/>
          <w:sz w:val="24"/>
          <w:szCs w:val="24"/>
          <w:u w:val="single" w:color="auto"/>
          <w:lang w:val="en-US" w:eastAsia="zh-CN"/>
        </w:rPr>
        <w:t xml:space="preserve">          </w:t>
      </w:r>
      <w:r>
        <w:rPr>
          <w:rFonts w:hint="eastAsia" w:ascii="宋体" w:hAnsi="宋体" w:eastAsia="宋体" w:cs="宋体"/>
          <w:color w:val="auto"/>
          <w:spacing w:val="-3"/>
          <w:sz w:val="24"/>
          <w:szCs w:val="24"/>
          <w:u w:val="single" w:color="auto"/>
        </w:rPr>
        <w:t xml:space="preserve">  </w:t>
      </w:r>
    </w:p>
    <w:p w14:paraId="772E2AA5">
      <w:pPr>
        <w:pStyle w:val="12"/>
        <w:keepNext w:val="0"/>
        <w:keepLines w:val="0"/>
        <w:pageBreakBefore w:val="0"/>
        <w:widowControl w:val="0"/>
        <w:kinsoku/>
        <w:wordWrap w:val="0"/>
        <w:overflowPunct/>
        <w:topLinePunct w:val="0"/>
        <w:autoSpaceDE/>
        <w:autoSpaceDN/>
        <w:bidi w:val="0"/>
        <w:adjustRightInd/>
        <w:snapToGrid/>
        <w:spacing w:before="0" w:after="0" w:line="360" w:lineRule="auto"/>
        <w:ind w:right="0" w:firstLine="48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4.5.1  承包人应按合同约定指派项目经理，并在约定的期限内</w:t>
      </w:r>
      <w:r>
        <w:rPr>
          <w:rFonts w:hint="eastAsia" w:ascii="宋体" w:hAnsi="宋体" w:eastAsia="宋体" w:cs="宋体"/>
          <w:color w:val="auto"/>
          <w:spacing w:val="1"/>
          <w:sz w:val="24"/>
          <w:szCs w:val="24"/>
        </w:rPr>
        <w:t>到职。承包人更换项</w:t>
      </w:r>
      <w:r>
        <w:rPr>
          <w:rFonts w:hint="eastAsia" w:ascii="宋体" w:hAnsi="宋体" w:eastAsia="宋体" w:cs="宋体"/>
          <w:color w:val="auto"/>
          <w:spacing w:val="-2"/>
          <w:sz w:val="24"/>
          <w:szCs w:val="24"/>
        </w:rPr>
        <w:t>目经理应事先征得发包人同意并经建设行政主管部门批准，并应在更换14天前通知发</w:t>
      </w:r>
      <w:r>
        <w:rPr>
          <w:rFonts w:hint="eastAsia" w:ascii="宋体" w:hAnsi="宋体" w:eastAsia="宋体" w:cs="宋体"/>
          <w:color w:val="auto"/>
          <w:spacing w:val="-3"/>
          <w:sz w:val="24"/>
          <w:szCs w:val="24"/>
        </w:rPr>
        <w:t>包人</w:t>
      </w:r>
      <w:r>
        <w:rPr>
          <w:rFonts w:hint="eastAsia" w:ascii="宋体" w:hAnsi="宋体" w:eastAsia="宋体" w:cs="宋体"/>
          <w:color w:val="auto"/>
          <w:spacing w:val="2"/>
          <w:sz w:val="24"/>
          <w:szCs w:val="24"/>
        </w:rPr>
        <w:t>和监理人。承包人项目经理短期离开施工场地，应事先征得监理</w:t>
      </w:r>
      <w:r>
        <w:rPr>
          <w:rFonts w:hint="eastAsia" w:ascii="宋体" w:hAnsi="宋体" w:eastAsia="宋体" w:cs="宋体"/>
          <w:color w:val="auto"/>
          <w:spacing w:val="1"/>
          <w:sz w:val="24"/>
          <w:szCs w:val="24"/>
        </w:rPr>
        <w:t>人同意，并委派代表代行</w:t>
      </w:r>
      <w:r>
        <w:rPr>
          <w:rFonts w:hint="eastAsia" w:ascii="宋体" w:hAnsi="宋体" w:eastAsia="宋体" w:cs="宋体"/>
          <w:color w:val="auto"/>
          <w:spacing w:val="-9"/>
          <w:sz w:val="24"/>
          <w:szCs w:val="24"/>
        </w:rPr>
        <w:t>其职责。</w:t>
      </w:r>
    </w:p>
    <w:p w14:paraId="6FB0D06D">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7.</w:t>
      </w:r>
      <w:r>
        <w:rPr>
          <w:rFonts w:hint="eastAsia" w:ascii="宋体" w:hAnsi="宋体" w:eastAsia="宋体" w:cs="宋体"/>
          <w:color w:val="auto"/>
          <w:spacing w:val="8"/>
          <w:sz w:val="24"/>
          <w:szCs w:val="24"/>
        </w:rPr>
        <w:t xml:space="preserve">  </w:t>
      </w:r>
      <w:r>
        <w:rPr>
          <w:rFonts w:hint="eastAsia" w:ascii="宋体" w:hAnsi="宋体" w:eastAsia="宋体" w:cs="宋体"/>
          <w:color w:val="auto"/>
          <w:spacing w:val="-5"/>
          <w:sz w:val="24"/>
          <w:szCs w:val="24"/>
        </w:rPr>
        <w:t>交通运输</w:t>
      </w:r>
    </w:p>
    <w:p w14:paraId="3884EB6C">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7.1  道路通行权和场外设施：</w:t>
      </w:r>
      <w:r>
        <w:rPr>
          <w:rFonts w:hint="eastAsia" w:ascii="宋体" w:hAnsi="宋体" w:eastAsia="宋体" w:cs="宋体"/>
          <w:color w:val="auto"/>
          <w:sz w:val="24"/>
          <w:szCs w:val="24"/>
          <w:u w:val="single" w:color="auto"/>
        </w:rPr>
        <w:t>由承包</w:t>
      </w:r>
      <w:r>
        <w:rPr>
          <w:rFonts w:hint="eastAsia" w:ascii="宋体" w:hAnsi="宋体" w:eastAsia="宋体" w:cs="宋体"/>
          <w:color w:val="auto"/>
          <w:spacing w:val="-1"/>
          <w:sz w:val="24"/>
          <w:szCs w:val="24"/>
          <w:u w:val="single" w:color="auto"/>
        </w:rPr>
        <w:t>人负责，费用包含在预算单价中。</w:t>
      </w:r>
    </w:p>
    <w:p w14:paraId="03D6425B">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 xml:space="preserve">7.2  </w:t>
      </w:r>
      <w:r>
        <w:rPr>
          <w:rFonts w:hint="eastAsia" w:ascii="宋体" w:hAnsi="宋体" w:eastAsia="宋体" w:cs="宋体"/>
          <w:color w:val="auto"/>
          <w:spacing w:val="-1"/>
          <w:sz w:val="24"/>
          <w:szCs w:val="24"/>
        </w:rPr>
        <w:t>场内施工道路：</w:t>
      </w:r>
      <w:r>
        <w:rPr>
          <w:rFonts w:hint="eastAsia" w:ascii="宋体" w:hAnsi="宋体" w:eastAsia="宋体" w:cs="宋体"/>
          <w:color w:val="auto"/>
          <w:spacing w:val="-1"/>
          <w:sz w:val="24"/>
          <w:szCs w:val="24"/>
          <w:u w:val="single" w:color="auto"/>
        </w:rPr>
        <w:t>由承包人负责，费用包含在预算单价中。</w:t>
      </w:r>
    </w:p>
    <w:p w14:paraId="7D29B94F">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8.</w:t>
      </w:r>
      <w:r>
        <w:rPr>
          <w:rFonts w:hint="eastAsia" w:ascii="宋体" w:hAnsi="宋体" w:eastAsia="宋体" w:cs="宋体"/>
          <w:color w:val="auto"/>
          <w:spacing w:val="7"/>
          <w:sz w:val="24"/>
          <w:szCs w:val="24"/>
        </w:rPr>
        <w:t xml:space="preserve">  </w:t>
      </w:r>
      <w:r>
        <w:rPr>
          <w:rFonts w:hint="eastAsia" w:ascii="宋体" w:hAnsi="宋体" w:eastAsia="宋体" w:cs="宋体"/>
          <w:color w:val="auto"/>
          <w:spacing w:val="-4"/>
          <w:sz w:val="24"/>
          <w:szCs w:val="24"/>
        </w:rPr>
        <w:t>测量放线</w:t>
      </w:r>
    </w:p>
    <w:p w14:paraId="6D5F5986">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8.1  施工控制网</w:t>
      </w:r>
    </w:p>
    <w:p w14:paraId="35ED778E">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rPr>
        <w:t xml:space="preserve">8.1.1  </w:t>
      </w:r>
      <w:r>
        <w:rPr>
          <w:rFonts w:hint="eastAsia" w:ascii="宋体" w:hAnsi="宋体" w:eastAsia="宋体" w:cs="宋体"/>
          <w:color w:val="auto"/>
          <w:spacing w:val="-1"/>
          <w:sz w:val="24"/>
          <w:szCs w:val="24"/>
        </w:rPr>
        <w:t>发包人通过监理人向承包人提供测量基准点、基准线和水准点及其书面资料</w:t>
      </w:r>
      <w:r>
        <w:rPr>
          <w:rFonts w:hint="eastAsia" w:ascii="宋体" w:hAnsi="宋体" w:eastAsia="宋体" w:cs="宋体"/>
          <w:color w:val="auto"/>
          <w:spacing w:val="1"/>
          <w:sz w:val="24"/>
          <w:szCs w:val="24"/>
        </w:rPr>
        <w:t>的期限为</w:t>
      </w:r>
      <w:r>
        <w:rPr>
          <w:rFonts w:hint="eastAsia" w:ascii="宋体" w:hAnsi="宋体" w:eastAsia="宋体" w:cs="宋体"/>
          <w:color w:val="auto"/>
          <w:spacing w:val="1"/>
          <w:sz w:val="24"/>
          <w:szCs w:val="24"/>
          <w:u w:val="single" w:color="auto"/>
        </w:rPr>
        <w:t>开工前七天</w:t>
      </w:r>
      <w:r>
        <w:rPr>
          <w:rFonts w:hint="eastAsia" w:ascii="宋体" w:hAnsi="宋体" w:eastAsia="宋体" w:cs="宋体"/>
          <w:color w:val="auto"/>
          <w:spacing w:val="1"/>
          <w:sz w:val="24"/>
          <w:szCs w:val="24"/>
        </w:rPr>
        <w:t>。承包人应根据国家测绘基准、测绘系统和工</w:t>
      </w:r>
      <w:r>
        <w:rPr>
          <w:rFonts w:hint="eastAsia" w:ascii="宋体" w:hAnsi="宋体" w:eastAsia="宋体" w:cs="宋体"/>
          <w:color w:val="auto"/>
          <w:sz w:val="24"/>
          <w:szCs w:val="24"/>
        </w:rPr>
        <w:t>程测量技术规范，按</w:t>
      </w:r>
      <w:r>
        <w:rPr>
          <w:rFonts w:hint="eastAsia" w:ascii="宋体" w:hAnsi="宋体" w:eastAsia="宋体" w:cs="宋体"/>
          <w:color w:val="auto"/>
          <w:spacing w:val="-8"/>
          <w:sz w:val="24"/>
          <w:szCs w:val="24"/>
        </w:rPr>
        <w:t>上述基准点（线）以及合同工程精度要求，测设施工控制网，并在</w:t>
      </w:r>
      <w:r>
        <w:rPr>
          <w:rFonts w:hint="eastAsia" w:ascii="宋体" w:hAnsi="宋体" w:eastAsia="宋体" w:cs="宋体"/>
          <w:color w:val="auto"/>
          <w:spacing w:val="-8"/>
          <w:sz w:val="24"/>
          <w:szCs w:val="24"/>
          <w:u w:val="single" w:color="auto"/>
        </w:rPr>
        <w:t>合</w:t>
      </w:r>
      <w:r>
        <w:rPr>
          <w:rFonts w:hint="eastAsia" w:ascii="宋体" w:hAnsi="宋体" w:eastAsia="宋体" w:cs="宋体"/>
          <w:color w:val="auto"/>
          <w:spacing w:val="-9"/>
          <w:sz w:val="24"/>
          <w:szCs w:val="24"/>
          <w:u w:val="single" w:color="auto"/>
        </w:rPr>
        <w:t>同签订之日起7日</w:t>
      </w:r>
      <w:r>
        <w:rPr>
          <w:rFonts w:hint="eastAsia" w:ascii="宋体" w:hAnsi="宋体" w:eastAsia="宋体" w:cs="宋体"/>
          <w:color w:val="auto"/>
          <w:spacing w:val="-9"/>
          <w:sz w:val="24"/>
          <w:szCs w:val="24"/>
        </w:rPr>
        <w:t>期</w:t>
      </w:r>
      <w:r>
        <w:rPr>
          <w:rFonts w:hint="eastAsia" w:ascii="宋体" w:hAnsi="宋体" w:eastAsia="宋体" w:cs="宋体"/>
          <w:color w:val="auto"/>
          <w:spacing w:val="-3"/>
          <w:sz w:val="24"/>
          <w:szCs w:val="24"/>
        </w:rPr>
        <w:t>限内，将施工控制网资料报送监理人审批。</w:t>
      </w:r>
    </w:p>
    <w:p w14:paraId="48D56341">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68"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rPr>
        <w:t>11.  开工和</w:t>
      </w:r>
      <w:r>
        <w:rPr>
          <w:rFonts w:hint="eastAsia" w:ascii="宋体" w:hAnsi="宋体" w:eastAsia="宋体" w:cs="宋体"/>
          <w:color w:val="auto"/>
          <w:spacing w:val="-3"/>
          <w:sz w:val="24"/>
          <w:szCs w:val="24"/>
          <w:lang w:eastAsia="zh-CN"/>
        </w:rPr>
        <w:t>完工</w:t>
      </w:r>
    </w:p>
    <w:p w14:paraId="15BB5484">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11.6</w:t>
      </w:r>
      <w:r>
        <w:rPr>
          <w:rFonts w:hint="eastAsia" w:ascii="宋体" w:hAnsi="宋体" w:eastAsia="宋体" w:cs="宋体"/>
          <w:color w:val="auto"/>
          <w:spacing w:val="7"/>
          <w:sz w:val="24"/>
          <w:szCs w:val="24"/>
        </w:rPr>
        <w:t xml:space="preserve">  </w:t>
      </w:r>
      <w:r>
        <w:rPr>
          <w:rFonts w:hint="eastAsia" w:ascii="宋体" w:hAnsi="宋体" w:eastAsia="宋体" w:cs="宋体"/>
          <w:color w:val="auto"/>
          <w:spacing w:val="-5"/>
          <w:sz w:val="24"/>
          <w:szCs w:val="24"/>
        </w:rPr>
        <w:t>工期提前</w:t>
      </w:r>
    </w:p>
    <w:p w14:paraId="499BE676">
      <w:pPr>
        <w:pStyle w:val="12"/>
        <w:keepNext w:val="0"/>
        <w:keepLines w:val="0"/>
        <w:pageBreakBefore w:val="0"/>
        <w:widowControl w:val="0"/>
        <w:kinsoku/>
        <w:overflowPunct/>
        <w:topLinePunct w:val="0"/>
        <w:autoSpaceDE/>
        <w:autoSpaceDN/>
        <w:bidi w:val="0"/>
        <w:adjustRightInd/>
        <w:snapToGrid/>
        <w:spacing w:after="0" w:line="360" w:lineRule="auto"/>
        <w:ind w:firstLine="50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发包人要求承包人提前</w:t>
      </w:r>
      <w:r>
        <w:rPr>
          <w:rFonts w:hint="eastAsia" w:ascii="宋体" w:hAnsi="宋体" w:eastAsia="宋体" w:cs="宋体"/>
          <w:color w:val="auto"/>
          <w:spacing w:val="6"/>
          <w:sz w:val="24"/>
          <w:szCs w:val="24"/>
          <w:lang w:eastAsia="zh-CN"/>
        </w:rPr>
        <w:t>完工</w:t>
      </w:r>
      <w:r>
        <w:rPr>
          <w:rFonts w:hint="eastAsia" w:ascii="宋体" w:hAnsi="宋体" w:eastAsia="宋体" w:cs="宋体"/>
          <w:color w:val="auto"/>
          <w:spacing w:val="6"/>
          <w:sz w:val="24"/>
          <w:szCs w:val="24"/>
        </w:rPr>
        <w:t>，或承包人提出提前</w:t>
      </w:r>
      <w:r>
        <w:rPr>
          <w:rFonts w:hint="eastAsia" w:ascii="宋体" w:hAnsi="宋体" w:eastAsia="宋体" w:cs="宋体"/>
          <w:color w:val="auto"/>
          <w:spacing w:val="6"/>
          <w:sz w:val="24"/>
          <w:szCs w:val="24"/>
          <w:lang w:eastAsia="zh-CN"/>
        </w:rPr>
        <w:t>完工</w:t>
      </w:r>
      <w:r>
        <w:rPr>
          <w:rFonts w:hint="eastAsia" w:ascii="宋体" w:hAnsi="宋体" w:eastAsia="宋体" w:cs="宋体"/>
          <w:color w:val="auto"/>
          <w:spacing w:val="5"/>
          <w:sz w:val="24"/>
          <w:szCs w:val="24"/>
        </w:rPr>
        <w:t>的建议能够给发包人带来效益</w:t>
      </w:r>
      <w:r>
        <w:rPr>
          <w:rFonts w:hint="eastAsia" w:ascii="宋体" w:hAnsi="宋体" w:eastAsia="宋体" w:cs="宋体"/>
          <w:color w:val="auto"/>
          <w:spacing w:val="-1"/>
          <w:sz w:val="24"/>
          <w:szCs w:val="24"/>
        </w:rPr>
        <w:t>的，应由监理人与承包人共同协商采取加快工程进度的措施和修订合同。发包人应承担承</w:t>
      </w:r>
      <w:r>
        <w:rPr>
          <w:rFonts w:hint="eastAsia" w:ascii="宋体" w:hAnsi="宋体" w:eastAsia="宋体" w:cs="宋体"/>
          <w:color w:val="auto"/>
          <w:sz w:val="24"/>
          <w:szCs w:val="24"/>
        </w:rPr>
        <w:t>包人由此增加的费用，并向承包人支付相应的奖</w:t>
      </w:r>
      <w:r>
        <w:rPr>
          <w:rFonts w:hint="eastAsia" w:ascii="宋体" w:hAnsi="宋体" w:eastAsia="宋体" w:cs="宋体"/>
          <w:color w:val="auto"/>
          <w:spacing w:val="-1"/>
          <w:sz w:val="24"/>
          <w:szCs w:val="24"/>
        </w:rPr>
        <w:t>金的额度为：无。</w:t>
      </w:r>
    </w:p>
    <w:p w14:paraId="01E24774">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5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13</w:t>
      </w:r>
      <w:r>
        <w:rPr>
          <w:rFonts w:hint="eastAsia" w:ascii="宋体" w:hAnsi="宋体" w:eastAsia="宋体" w:cs="宋体"/>
          <w:color w:val="auto"/>
          <w:spacing w:val="8"/>
          <w:sz w:val="24"/>
          <w:szCs w:val="24"/>
        </w:rPr>
        <w:t xml:space="preserve">  </w:t>
      </w:r>
      <w:r>
        <w:rPr>
          <w:rFonts w:hint="eastAsia" w:ascii="宋体" w:hAnsi="宋体" w:eastAsia="宋体" w:cs="宋体"/>
          <w:color w:val="auto"/>
          <w:spacing w:val="-7"/>
          <w:sz w:val="24"/>
          <w:szCs w:val="24"/>
        </w:rPr>
        <w:t>工程质量</w:t>
      </w:r>
    </w:p>
    <w:p w14:paraId="2A26478F">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13.1  工程质量要求</w:t>
      </w:r>
    </w:p>
    <w:p w14:paraId="682D6FE7">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58" w:firstLineChars="200"/>
        <w:jc w:val="both"/>
        <w:textAlignment w:val="auto"/>
        <w:rPr>
          <w:rFonts w:hint="eastAsia" w:ascii="宋体" w:hAnsi="宋体" w:eastAsia="宋体" w:cs="宋体"/>
          <w:color w:val="auto"/>
          <w:sz w:val="24"/>
          <w:szCs w:val="24"/>
        </w:rPr>
      </w:pPr>
      <w:r>
        <w:rPr>
          <w:rFonts w:hint="eastAsia" w:ascii="宋体" w:hAnsi="宋体" w:eastAsia="宋体" w:cs="宋体"/>
          <w:b/>
          <w:bCs/>
          <w:color w:val="auto"/>
          <w:spacing w:val="-6"/>
          <w:sz w:val="24"/>
          <w:szCs w:val="24"/>
        </w:rPr>
        <w:t>删去通用条款原13.1.1原文，以下文取代：</w:t>
      </w:r>
    </w:p>
    <w:p w14:paraId="18CF007C">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13.1.1 本工程应达到国家工程质量检验评定标准</w:t>
      </w:r>
      <w:r>
        <w:rPr>
          <w:rFonts w:hint="eastAsia" w:ascii="宋体" w:hAnsi="宋体" w:eastAsia="宋体" w:cs="宋体"/>
          <w:color w:val="auto"/>
          <w:spacing w:val="-2"/>
          <w:sz w:val="24"/>
          <w:szCs w:val="24"/>
        </w:rPr>
        <w:t>的工程质量合格等级。承包人应按现</w:t>
      </w:r>
      <w:r>
        <w:rPr>
          <w:rFonts w:hint="eastAsia" w:ascii="宋体" w:hAnsi="宋体" w:eastAsia="宋体" w:cs="宋体"/>
          <w:color w:val="auto"/>
          <w:spacing w:val="-3"/>
          <w:sz w:val="24"/>
          <w:szCs w:val="24"/>
        </w:rPr>
        <w:t>行的国家施工验收规范和质量评定标准施工。</w:t>
      </w:r>
    </w:p>
    <w:p w14:paraId="34153B47">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7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13.2  承包人的质量管理</w:t>
      </w:r>
    </w:p>
    <w:p w14:paraId="0E9FE29C">
      <w:pPr>
        <w:pStyle w:val="12"/>
        <w:keepNext w:val="0"/>
        <w:keepLines w:val="0"/>
        <w:pageBreakBefore w:val="0"/>
        <w:widowControl w:val="0"/>
        <w:kinsoku/>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13.2.1  承包人应在施工场地设置专门的质量检查</w:t>
      </w:r>
      <w:r>
        <w:rPr>
          <w:rFonts w:hint="eastAsia" w:ascii="宋体" w:hAnsi="宋体" w:eastAsia="宋体" w:cs="宋体"/>
          <w:color w:val="auto"/>
          <w:spacing w:val="-2"/>
          <w:sz w:val="24"/>
          <w:szCs w:val="24"/>
        </w:rPr>
        <w:t>机构，配备专职质量检查人员，建</w:t>
      </w:r>
      <w:r>
        <w:rPr>
          <w:rFonts w:hint="eastAsia" w:ascii="宋体" w:hAnsi="宋体" w:eastAsia="宋体" w:cs="宋体"/>
          <w:color w:val="auto"/>
          <w:spacing w:val="-1"/>
          <w:sz w:val="24"/>
          <w:szCs w:val="24"/>
        </w:rPr>
        <w:t>立完善的质量检查制度。承包人应在</w:t>
      </w:r>
      <w:r>
        <w:rPr>
          <w:rFonts w:hint="eastAsia" w:ascii="宋体" w:hAnsi="宋体" w:eastAsia="宋体" w:cs="宋体"/>
          <w:color w:val="auto"/>
          <w:spacing w:val="-1"/>
          <w:sz w:val="24"/>
          <w:szCs w:val="24"/>
          <w:u w:val="single" w:color="auto"/>
        </w:rPr>
        <w:t>开工前七日</w:t>
      </w:r>
      <w:r>
        <w:rPr>
          <w:rFonts w:hint="eastAsia" w:ascii="宋体" w:hAnsi="宋体" w:eastAsia="宋体" w:cs="宋体"/>
          <w:color w:val="auto"/>
          <w:spacing w:val="-1"/>
          <w:sz w:val="24"/>
          <w:szCs w:val="24"/>
        </w:rPr>
        <w:t>期限内，提交工程质量保证措施文件，</w:t>
      </w:r>
      <w:r>
        <w:rPr>
          <w:rFonts w:hint="eastAsia" w:ascii="宋体" w:hAnsi="宋体" w:eastAsia="宋体" w:cs="宋体"/>
          <w:color w:val="auto"/>
          <w:spacing w:val="2"/>
          <w:sz w:val="24"/>
          <w:szCs w:val="24"/>
        </w:rPr>
        <w:t>包括质量检查机构的组织和岗位责任、质检人员的组成、质量检查程序和实施细则等，报</w:t>
      </w:r>
      <w:r>
        <w:rPr>
          <w:rFonts w:hint="eastAsia" w:ascii="宋体" w:hAnsi="宋体" w:eastAsia="宋体" w:cs="宋体"/>
          <w:color w:val="auto"/>
          <w:spacing w:val="-6"/>
          <w:sz w:val="24"/>
          <w:szCs w:val="24"/>
        </w:rPr>
        <w:t>送监理人审批。</w:t>
      </w:r>
    </w:p>
    <w:p w14:paraId="05BDC493">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4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8"/>
          <w:sz w:val="24"/>
          <w:szCs w:val="24"/>
        </w:rPr>
        <w:t>15</w:t>
      </w:r>
      <w:r>
        <w:rPr>
          <w:rFonts w:hint="eastAsia" w:ascii="宋体" w:hAnsi="宋体" w:eastAsia="宋体" w:cs="宋体"/>
          <w:color w:val="auto"/>
          <w:spacing w:val="4"/>
          <w:sz w:val="24"/>
          <w:szCs w:val="24"/>
        </w:rPr>
        <w:t xml:space="preserve">  </w:t>
      </w:r>
      <w:r>
        <w:rPr>
          <w:rFonts w:hint="eastAsia" w:ascii="宋体" w:hAnsi="宋体" w:eastAsia="宋体" w:cs="宋体"/>
          <w:color w:val="auto"/>
          <w:spacing w:val="-8"/>
          <w:sz w:val="24"/>
          <w:szCs w:val="24"/>
        </w:rPr>
        <w:t>变更</w:t>
      </w:r>
    </w:p>
    <w:p w14:paraId="63DF746F">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7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15.4  变更的估价原则</w:t>
      </w:r>
    </w:p>
    <w:p w14:paraId="57EB9C16">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取消合同通用条款15.4.1、15.4.2、15.4.3款内容。因变更引起的价格调整按照本</w:t>
      </w:r>
      <w:r>
        <w:rPr>
          <w:rFonts w:hint="eastAsia" w:ascii="宋体" w:hAnsi="宋体" w:eastAsia="宋体" w:cs="宋体"/>
          <w:color w:val="auto"/>
          <w:spacing w:val="-6"/>
          <w:sz w:val="24"/>
          <w:szCs w:val="24"/>
        </w:rPr>
        <w:t>专用条款16.2款约定处理。</w:t>
      </w:r>
    </w:p>
    <w:p w14:paraId="6C3EC1EC">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8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15.5.2承包人提出的合理化建议降低了合</w:t>
      </w:r>
      <w:r>
        <w:rPr>
          <w:rFonts w:hint="eastAsia" w:ascii="宋体" w:hAnsi="宋体" w:eastAsia="宋体" w:cs="宋体"/>
          <w:color w:val="auto"/>
          <w:spacing w:val="1"/>
          <w:sz w:val="24"/>
          <w:szCs w:val="24"/>
        </w:rPr>
        <w:t>同价格、缩短了工期或者提高了工程经济</w:t>
      </w:r>
      <w:r>
        <w:rPr>
          <w:rFonts w:hint="eastAsia" w:ascii="宋体" w:hAnsi="宋体" w:eastAsia="宋体" w:cs="宋体"/>
          <w:color w:val="auto"/>
          <w:spacing w:val="-3"/>
          <w:sz w:val="24"/>
          <w:szCs w:val="24"/>
        </w:rPr>
        <w:t>效益的，发包人按</w:t>
      </w:r>
      <w:r>
        <w:rPr>
          <w:rFonts w:hint="eastAsia" w:ascii="宋体" w:hAnsi="宋体" w:eastAsia="宋体" w:cs="宋体"/>
          <w:color w:val="auto"/>
          <w:spacing w:val="-3"/>
          <w:sz w:val="24"/>
          <w:szCs w:val="24"/>
          <w:u w:val="single" w:color="auto"/>
        </w:rPr>
        <w:t>不</w:t>
      </w:r>
      <w:r>
        <w:rPr>
          <w:rFonts w:hint="eastAsia" w:ascii="宋体" w:hAnsi="宋体" w:eastAsia="宋体" w:cs="宋体"/>
          <w:color w:val="auto"/>
          <w:spacing w:val="-3"/>
          <w:sz w:val="24"/>
          <w:szCs w:val="24"/>
        </w:rPr>
        <w:t>给予奖励。</w:t>
      </w:r>
    </w:p>
    <w:p w14:paraId="1B571AF7">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15.6</w:t>
      </w:r>
      <w:r>
        <w:rPr>
          <w:rFonts w:hint="eastAsia" w:ascii="宋体" w:hAnsi="宋体" w:eastAsia="宋体" w:cs="宋体"/>
          <w:color w:val="auto"/>
          <w:spacing w:val="8"/>
          <w:sz w:val="24"/>
          <w:szCs w:val="24"/>
        </w:rPr>
        <w:t xml:space="preserve">  </w:t>
      </w:r>
      <w:r>
        <w:rPr>
          <w:rFonts w:hint="eastAsia" w:ascii="宋体" w:hAnsi="宋体" w:eastAsia="宋体" w:cs="宋体"/>
          <w:color w:val="auto"/>
          <w:spacing w:val="-5"/>
          <w:sz w:val="24"/>
          <w:szCs w:val="24"/>
        </w:rPr>
        <w:t>暂列金额</w:t>
      </w:r>
    </w:p>
    <w:p w14:paraId="1916A290">
      <w:pPr>
        <w:pStyle w:val="12"/>
        <w:keepNext w:val="0"/>
        <w:keepLines w:val="0"/>
        <w:pageBreakBefore w:val="0"/>
        <w:widowControl w:val="0"/>
        <w:kinsoku/>
        <w:wordWrap w:val="0"/>
        <w:overflowPunct/>
        <w:topLinePunct w:val="0"/>
        <w:autoSpaceDE/>
        <w:autoSpaceDN/>
        <w:bidi w:val="0"/>
        <w:adjustRightInd/>
        <w:snapToGrid/>
        <w:spacing w:before="0" w:after="0" w:line="360" w:lineRule="auto"/>
        <w:ind w:right="0" w:firstLine="47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暂列金额只能按照监理人的指示使用，结算时减去工程价款调整与索赔、现场签证金</w:t>
      </w:r>
      <w:r>
        <w:rPr>
          <w:rFonts w:hint="eastAsia" w:ascii="宋体" w:hAnsi="宋体" w:eastAsia="宋体" w:cs="宋体"/>
          <w:color w:val="auto"/>
          <w:spacing w:val="-1"/>
          <w:sz w:val="24"/>
          <w:szCs w:val="24"/>
        </w:rPr>
        <w:t>额计算，如有余额归发包人，如出现差额则由发包人补足并反映</w:t>
      </w:r>
      <w:r>
        <w:rPr>
          <w:rFonts w:hint="eastAsia" w:ascii="宋体" w:hAnsi="宋体" w:eastAsia="宋体" w:cs="宋体"/>
          <w:color w:val="auto"/>
          <w:spacing w:val="-2"/>
          <w:sz w:val="24"/>
          <w:szCs w:val="24"/>
        </w:rPr>
        <w:t>在相应的价款中。</w:t>
      </w:r>
    </w:p>
    <w:p w14:paraId="59591895">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5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15.8</w:t>
      </w:r>
      <w:r>
        <w:rPr>
          <w:rFonts w:hint="eastAsia" w:ascii="宋体" w:hAnsi="宋体" w:eastAsia="宋体" w:cs="宋体"/>
          <w:color w:val="auto"/>
          <w:spacing w:val="9"/>
          <w:sz w:val="24"/>
          <w:szCs w:val="24"/>
        </w:rPr>
        <w:t xml:space="preserve">  </w:t>
      </w:r>
      <w:r>
        <w:rPr>
          <w:rFonts w:hint="eastAsia" w:ascii="宋体" w:hAnsi="宋体" w:eastAsia="宋体" w:cs="宋体"/>
          <w:color w:val="auto"/>
          <w:spacing w:val="-6"/>
          <w:sz w:val="24"/>
          <w:szCs w:val="24"/>
        </w:rPr>
        <w:t>暂估价</w:t>
      </w:r>
    </w:p>
    <w:p w14:paraId="22619492">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15.8.4  当暂估价中的材料是招标采购的，其材</w:t>
      </w:r>
      <w:r>
        <w:rPr>
          <w:rFonts w:hint="eastAsia" w:ascii="宋体" w:hAnsi="宋体" w:eastAsia="宋体" w:cs="宋体"/>
          <w:color w:val="auto"/>
          <w:spacing w:val="-2"/>
          <w:sz w:val="24"/>
          <w:szCs w:val="24"/>
        </w:rPr>
        <w:t>料单价按中标价在综合单价中调整。</w:t>
      </w:r>
      <w:r>
        <w:rPr>
          <w:rFonts w:hint="eastAsia" w:ascii="宋体" w:hAnsi="宋体" w:eastAsia="宋体" w:cs="宋体"/>
          <w:color w:val="auto"/>
          <w:spacing w:val="2"/>
          <w:sz w:val="24"/>
          <w:szCs w:val="24"/>
        </w:rPr>
        <w:t>当暂估价中的材料为非招标采购的，其单价按发、承包双方最终确认的单价在综合单价中</w:t>
      </w:r>
      <w:r>
        <w:rPr>
          <w:rFonts w:hint="eastAsia" w:ascii="宋体" w:hAnsi="宋体" w:eastAsia="宋体" w:cs="宋体"/>
          <w:color w:val="auto"/>
          <w:spacing w:val="-11"/>
          <w:sz w:val="24"/>
          <w:szCs w:val="24"/>
        </w:rPr>
        <w:t>调整。</w:t>
      </w:r>
    </w:p>
    <w:p w14:paraId="6F078FD2">
      <w:pPr>
        <w:keepNext w:val="0"/>
        <w:keepLines w:val="0"/>
        <w:pageBreakBefore w:val="0"/>
        <w:widowControl w:val="0"/>
        <w:kinsoku/>
        <w:wordWrap w:val="0"/>
        <w:overflowPunct/>
        <w:topLinePunct w:val="0"/>
        <w:autoSpaceDE/>
        <w:autoSpaceDN/>
        <w:bidi w:val="0"/>
        <w:adjustRightInd/>
        <w:snapToGrid/>
        <w:spacing w:line="360" w:lineRule="auto"/>
        <w:ind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15.8.5 当暂估</w:t>
      </w:r>
      <w:r>
        <w:rPr>
          <w:rFonts w:hint="eastAsia" w:ascii="宋体" w:hAnsi="宋体" w:eastAsia="宋体" w:cs="宋体"/>
          <w:color w:val="auto"/>
          <w:spacing w:val="-3"/>
          <w:sz w:val="24"/>
          <w:szCs w:val="24"/>
        </w:rPr>
        <w:t>价中的专业工程是招标分</w:t>
      </w:r>
      <w:r>
        <w:rPr>
          <w:rFonts w:hint="eastAsia" w:ascii="宋体" w:hAnsi="宋体" w:eastAsia="宋体" w:cs="宋体"/>
          <w:color w:val="auto"/>
          <w:spacing w:val="-4"/>
          <w:sz w:val="24"/>
          <w:szCs w:val="24"/>
        </w:rPr>
        <w:t>包的，其金额按中标价计算。当暂估价中的专</w:t>
      </w:r>
      <w:r>
        <w:rPr>
          <w:rFonts w:hint="eastAsia" w:ascii="宋体" w:hAnsi="宋体" w:eastAsia="宋体" w:cs="宋体"/>
          <w:color w:val="auto"/>
          <w:spacing w:val="-1"/>
          <w:sz w:val="24"/>
          <w:szCs w:val="24"/>
        </w:rPr>
        <w:t>业工程为非招标分包的，其金额按发、承包双方最终</w:t>
      </w:r>
      <w:r>
        <w:rPr>
          <w:rFonts w:hint="eastAsia" w:ascii="宋体" w:hAnsi="宋体" w:eastAsia="宋体" w:cs="宋体"/>
          <w:color w:val="auto"/>
          <w:spacing w:val="-2"/>
          <w:sz w:val="24"/>
          <w:szCs w:val="24"/>
        </w:rPr>
        <w:t>结算确认的金额计算。</w:t>
      </w:r>
    </w:p>
    <w:p w14:paraId="0DA2235E">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66" w:firstLineChars="200"/>
        <w:jc w:val="both"/>
        <w:textAlignment w:val="auto"/>
        <w:rPr>
          <w:rFonts w:hint="eastAsia" w:ascii="宋体" w:hAnsi="宋体" w:eastAsia="宋体" w:cs="宋体"/>
          <w:color w:val="auto"/>
          <w:sz w:val="24"/>
          <w:szCs w:val="24"/>
        </w:rPr>
      </w:pPr>
      <w:r>
        <w:rPr>
          <w:rFonts w:hint="eastAsia" w:ascii="宋体" w:hAnsi="宋体" w:eastAsia="宋体" w:cs="宋体"/>
          <w:b/>
          <w:bCs/>
          <w:color w:val="auto"/>
          <w:spacing w:val="-4"/>
          <w:sz w:val="24"/>
          <w:szCs w:val="24"/>
        </w:rPr>
        <w:t>16</w:t>
      </w:r>
      <w:r>
        <w:rPr>
          <w:rFonts w:hint="eastAsia" w:ascii="宋体" w:hAnsi="宋体" w:eastAsia="宋体" w:cs="宋体"/>
          <w:color w:val="auto"/>
          <w:spacing w:val="-4"/>
          <w:sz w:val="24"/>
          <w:szCs w:val="24"/>
        </w:rPr>
        <w:t xml:space="preserve">  </w:t>
      </w:r>
      <w:r>
        <w:rPr>
          <w:rFonts w:hint="eastAsia" w:ascii="宋体" w:hAnsi="宋体" w:eastAsia="宋体" w:cs="宋体"/>
          <w:b/>
          <w:bCs/>
          <w:color w:val="auto"/>
          <w:spacing w:val="-4"/>
          <w:sz w:val="24"/>
          <w:szCs w:val="24"/>
        </w:rPr>
        <w:t>工程结算价款及调整方法。</w:t>
      </w:r>
    </w:p>
    <w:p w14:paraId="3B7CBEFD">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8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本合同采用固定单价合同；合同中的分部分项工程量清单工程量按实际完成工程量计算。合同价款中包括的风险范围：承包人应承担约定范围内物价波动、施工组织和技术方案变化、气候条件恶劣及其他意外困难等风险（设计变更、招标人预算控制价工程量清单</w:t>
      </w:r>
      <w:r>
        <w:rPr>
          <w:rFonts w:hint="eastAsia" w:ascii="宋体" w:hAnsi="宋体" w:eastAsia="宋体" w:cs="宋体"/>
          <w:color w:val="auto"/>
          <w:spacing w:val="-3"/>
          <w:sz w:val="24"/>
          <w:szCs w:val="24"/>
        </w:rPr>
        <w:t>与图纸不符或漏项、不可抗力除外）。</w:t>
      </w:r>
    </w:p>
    <w:p w14:paraId="359B968A">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8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结算以业主审定的预算单价乘以实际完成的工程量作为结算基础价</w:t>
      </w:r>
      <w:r>
        <w:rPr>
          <w:rFonts w:hint="eastAsia" w:ascii="宋体" w:hAnsi="宋体" w:eastAsia="宋体" w:cs="宋体"/>
          <w:color w:val="auto"/>
          <w:spacing w:val="1"/>
          <w:sz w:val="24"/>
          <w:szCs w:val="24"/>
        </w:rPr>
        <w:t>款，最终的结算价</w:t>
      </w:r>
      <w:r>
        <w:rPr>
          <w:rFonts w:hint="eastAsia" w:ascii="宋体" w:hAnsi="宋体" w:eastAsia="宋体" w:cs="宋体"/>
          <w:color w:val="auto"/>
          <w:spacing w:val="-1"/>
          <w:sz w:val="24"/>
          <w:szCs w:val="24"/>
        </w:rPr>
        <w:t>款＝结算基础价款</w:t>
      </w:r>
      <w:r>
        <w:rPr>
          <w:rFonts w:hint="eastAsia" w:ascii="宋体" w:hAnsi="宋体" w:eastAsia="宋体" w:cs="宋体"/>
          <w:color w:val="auto"/>
          <w:spacing w:val="-2"/>
          <w:sz w:val="24"/>
          <w:szCs w:val="24"/>
        </w:rPr>
        <w:t>＋（</w:t>
      </w:r>
      <w:r>
        <w:rPr>
          <w:rFonts w:hint="eastAsia" w:ascii="宋体" w:hAnsi="宋体" w:eastAsia="宋体" w:cs="宋体"/>
          <w:color w:val="auto"/>
          <w:spacing w:val="-1"/>
          <w:sz w:val="24"/>
          <w:szCs w:val="24"/>
        </w:rPr>
        <w:t>工程变更新增价款＋签证增加价款）×（1－中标单</w:t>
      </w:r>
      <w:r>
        <w:rPr>
          <w:rFonts w:hint="eastAsia" w:ascii="宋体" w:hAnsi="宋体" w:eastAsia="宋体" w:cs="宋体"/>
          <w:color w:val="auto"/>
          <w:spacing w:val="-2"/>
          <w:sz w:val="24"/>
          <w:szCs w:val="24"/>
        </w:rPr>
        <w:t>位让利系数），本工程让利系数为</w:t>
      </w:r>
      <w:r>
        <w:rPr>
          <w:rFonts w:hint="eastAsia" w:ascii="宋体" w:hAnsi="宋体" w:eastAsia="宋体" w:cs="宋体"/>
          <w:color w:val="auto"/>
          <w:spacing w:val="-2"/>
          <w:sz w:val="24"/>
          <w:szCs w:val="24"/>
          <w:u w:val="single" w:color="auto"/>
          <w:lang w:val="en-US" w:eastAsia="zh-CN"/>
        </w:rPr>
        <w:t xml:space="preserve">   </w:t>
      </w:r>
      <w:r>
        <w:rPr>
          <w:rFonts w:hint="eastAsia" w:ascii="宋体" w:hAnsi="宋体" w:eastAsia="宋体" w:cs="宋体"/>
          <w:color w:val="auto"/>
          <w:spacing w:val="-2"/>
          <w:sz w:val="24"/>
          <w:szCs w:val="24"/>
          <w:u w:val="single" w:color="auto"/>
        </w:rPr>
        <w:t>%</w:t>
      </w:r>
      <w:r>
        <w:rPr>
          <w:rFonts w:hint="eastAsia" w:ascii="宋体" w:hAnsi="宋体" w:eastAsia="宋体" w:cs="宋体"/>
          <w:color w:val="auto"/>
          <w:spacing w:val="-2"/>
          <w:sz w:val="24"/>
          <w:szCs w:val="24"/>
        </w:rPr>
        <w:t>，工程变更</w:t>
      </w:r>
      <w:r>
        <w:rPr>
          <w:rFonts w:hint="eastAsia" w:ascii="宋体" w:hAnsi="宋体" w:eastAsia="宋体" w:cs="宋体"/>
          <w:color w:val="auto"/>
          <w:spacing w:val="-3"/>
          <w:sz w:val="24"/>
          <w:szCs w:val="24"/>
        </w:rPr>
        <w:t>新增价款及签证增加价款按16.2.3原则计算。</w:t>
      </w:r>
    </w:p>
    <w:p w14:paraId="29DDD66D">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70" w:firstLineChars="200"/>
        <w:jc w:val="both"/>
        <w:textAlignment w:val="auto"/>
        <w:rPr>
          <w:rFonts w:hint="eastAsia" w:ascii="宋体" w:hAnsi="宋体" w:eastAsia="宋体" w:cs="宋体"/>
          <w:color w:val="auto"/>
          <w:sz w:val="24"/>
          <w:szCs w:val="24"/>
        </w:rPr>
      </w:pPr>
      <w:r>
        <w:rPr>
          <w:rFonts w:hint="eastAsia" w:ascii="宋体" w:hAnsi="宋体" w:eastAsia="宋体" w:cs="宋体"/>
          <w:b/>
          <w:bCs/>
          <w:color w:val="auto"/>
          <w:spacing w:val="-3"/>
          <w:sz w:val="24"/>
          <w:szCs w:val="24"/>
        </w:rPr>
        <w:t>16.1</w:t>
      </w:r>
      <w:r>
        <w:rPr>
          <w:rFonts w:hint="eastAsia" w:ascii="宋体" w:hAnsi="宋体" w:eastAsia="宋体" w:cs="宋体"/>
          <w:color w:val="auto"/>
          <w:spacing w:val="-3"/>
          <w:sz w:val="24"/>
          <w:szCs w:val="24"/>
        </w:rPr>
        <w:t xml:space="preserve">  </w:t>
      </w:r>
      <w:r>
        <w:rPr>
          <w:rFonts w:hint="eastAsia" w:ascii="宋体" w:hAnsi="宋体" w:eastAsia="宋体" w:cs="宋体"/>
          <w:b/>
          <w:bCs/>
          <w:color w:val="auto"/>
          <w:spacing w:val="-3"/>
          <w:sz w:val="24"/>
          <w:szCs w:val="24"/>
        </w:rPr>
        <w:t>物价波动引起的价格调整</w:t>
      </w:r>
    </w:p>
    <w:p w14:paraId="6F2D77DE">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70" w:firstLineChars="200"/>
        <w:jc w:val="both"/>
        <w:textAlignment w:val="auto"/>
        <w:rPr>
          <w:rFonts w:hint="eastAsia" w:ascii="宋体" w:hAnsi="宋体" w:eastAsia="宋体" w:cs="宋体"/>
          <w:color w:val="auto"/>
          <w:sz w:val="24"/>
          <w:szCs w:val="24"/>
        </w:rPr>
      </w:pPr>
      <w:r>
        <w:rPr>
          <w:rFonts w:hint="eastAsia" w:ascii="宋体" w:hAnsi="宋体" w:eastAsia="宋体" w:cs="宋体"/>
          <w:b/>
          <w:bCs/>
          <w:color w:val="auto"/>
          <w:spacing w:val="-3"/>
          <w:sz w:val="24"/>
          <w:szCs w:val="24"/>
        </w:rPr>
        <w:t>取消合同通用条款16.1.1和16.1.</w:t>
      </w:r>
      <w:r>
        <w:rPr>
          <w:rFonts w:hint="eastAsia" w:ascii="宋体" w:hAnsi="宋体" w:eastAsia="宋体" w:cs="宋体"/>
          <w:b/>
          <w:bCs/>
          <w:color w:val="auto"/>
          <w:spacing w:val="-4"/>
          <w:sz w:val="24"/>
          <w:szCs w:val="24"/>
        </w:rPr>
        <w:t>2项内容,以下文代替:</w:t>
      </w:r>
    </w:p>
    <w:p w14:paraId="0B476356">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7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16.1.1</w:t>
      </w:r>
      <w:r>
        <w:rPr>
          <w:rFonts w:hint="eastAsia" w:ascii="宋体" w:hAnsi="宋体" w:eastAsia="宋体" w:cs="宋体"/>
          <w:color w:val="auto"/>
          <w:spacing w:val="-48"/>
          <w:sz w:val="24"/>
          <w:szCs w:val="24"/>
        </w:rPr>
        <w:t xml:space="preserve"> </w:t>
      </w:r>
      <w:r>
        <w:rPr>
          <w:rFonts w:hint="eastAsia" w:ascii="宋体" w:hAnsi="宋体" w:eastAsia="宋体" w:cs="宋体"/>
          <w:color w:val="auto"/>
          <w:spacing w:val="-2"/>
          <w:sz w:val="24"/>
          <w:szCs w:val="24"/>
        </w:rPr>
        <w:t>采用造价信息调整材料价格差额</w:t>
      </w:r>
    </w:p>
    <w:p w14:paraId="0362B820">
      <w:pPr>
        <w:pStyle w:val="12"/>
        <w:keepNext w:val="0"/>
        <w:keepLines w:val="0"/>
        <w:pageBreakBefore w:val="0"/>
        <w:widowControl w:val="0"/>
        <w:kinsoku/>
        <w:wordWrap w:val="0"/>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"16.1.1.1"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1"/>
          <w:sz w:val="24"/>
          <w:szCs w:val="24"/>
        </w:rPr>
        <w:t>16.1.1.1</w:t>
      </w:r>
      <w:r>
        <w:rPr>
          <w:rFonts w:hint="eastAsia" w:ascii="宋体" w:hAnsi="宋体" w:eastAsia="宋体" w:cs="宋体"/>
          <w:color w:val="auto"/>
          <w:spacing w:val="-1"/>
          <w:sz w:val="24"/>
          <w:szCs w:val="24"/>
        </w:rPr>
        <w:fldChar w:fldCharType="end"/>
      </w:r>
      <w:r>
        <w:rPr>
          <w:rFonts w:hint="eastAsia" w:ascii="宋体" w:hAnsi="宋体" w:eastAsia="宋体" w:cs="宋体"/>
          <w:color w:val="auto"/>
          <w:spacing w:val="-1"/>
          <w:sz w:val="24"/>
          <w:szCs w:val="24"/>
        </w:rPr>
        <w:t xml:space="preserve"> 合同中的《主要材料及价格表》、《税前</w:t>
      </w:r>
      <w:r>
        <w:rPr>
          <w:rFonts w:hint="eastAsia" w:ascii="宋体" w:hAnsi="宋体" w:eastAsia="宋体" w:cs="宋体"/>
          <w:color w:val="auto"/>
          <w:spacing w:val="-2"/>
          <w:sz w:val="24"/>
          <w:szCs w:val="24"/>
        </w:rPr>
        <w:t>项目清单与计价表》、《设备及价</w:t>
      </w:r>
      <w:r>
        <w:rPr>
          <w:rFonts w:hint="eastAsia" w:ascii="宋体" w:hAnsi="宋体" w:eastAsia="宋体" w:cs="宋体"/>
          <w:color w:val="auto"/>
          <w:spacing w:val="2"/>
          <w:sz w:val="24"/>
          <w:szCs w:val="24"/>
        </w:rPr>
        <w:t>格表》所列材料（含机械台班中的动力燃料）价格与施工期相比，变化超过±5%时，按以</w:t>
      </w:r>
      <w:r>
        <w:rPr>
          <w:rFonts w:hint="eastAsia" w:ascii="宋体" w:hAnsi="宋体" w:eastAsia="宋体" w:cs="宋体"/>
          <w:color w:val="auto"/>
          <w:spacing w:val="-8"/>
          <w:sz w:val="24"/>
          <w:szCs w:val="24"/>
        </w:rPr>
        <w:t>下原则进行调整：</w:t>
      </w:r>
    </w:p>
    <w:p w14:paraId="1476E944">
      <w:pPr>
        <w:pStyle w:val="12"/>
        <w:keepNext w:val="0"/>
        <w:keepLines w:val="0"/>
        <w:pageBreakBefore w:val="0"/>
        <w:widowControl w:val="0"/>
        <w:kinsoku/>
        <w:wordWrap w:val="0"/>
        <w:overflowPunct/>
        <w:topLinePunct w:val="0"/>
        <w:autoSpaceDE/>
        <w:autoSpaceDN/>
        <w:bidi w:val="0"/>
        <w:adjustRightInd/>
        <w:snapToGrid/>
        <w:spacing w:before="0" w:after="0" w:line="360" w:lineRule="auto"/>
        <w:ind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16.1.1.1.1 施工期间工程造价管理部公布的价格与招标期相</w:t>
      </w:r>
      <w:r>
        <w:rPr>
          <w:rFonts w:hint="eastAsia" w:ascii="宋体" w:hAnsi="宋体" w:eastAsia="宋体" w:cs="宋体"/>
          <w:color w:val="auto"/>
          <w:spacing w:val="-2"/>
          <w:sz w:val="24"/>
          <w:szCs w:val="24"/>
        </w:rPr>
        <w:t>比，变化超过±5%时，按</w:t>
      </w:r>
      <w:r>
        <w:rPr>
          <w:rFonts w:hint="eastAsia" w:ascii="宋体" w:hAnsi="宋体" w:eastAsia="宋体" w:cs="宋体"/>
          <w:color w:val="auto"/>
          <w:spacing w:val="-4"/>
          <w:sz w:val="24"/>
          <w:szCs w:val="24"/>
        </w:rPr>
        <w:t>超出±5%的部分做调整。</w:t>
      </w:r>
    </w:p>
    <w:p w14:paraId="34414A51">
      <w:pPr>
        <w:pStyle w:val="12"/>
        <w:keepNext w:val="0"/>
        <w:keepLines w:val="0"/>
        <w:pageBreakBefore w:val="0"/>
        <w:widowControl w:val="0"/>
        <w:kinsoku/>
        <w:wordWrap w:val="0"/>
        <w:overflowPunct/>
        <w:topLinePunct w:val="0"/>
        <w:autoSpaceDE/>
        <w:autoSpaceDN/>
        <w:bidi w:val="0"/>
        <w:adjustRightInd/>
        <w:snapToGrid/>
        <w:spacing w:before="0" w:after="0" w:line="360" w:lineRule="auto"/>
        <w:ind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16.1.1.1.2 工程造价管理部门未公布的价格：招标期价</w:t>
      </w:r>
      <w:r>
        <w:rPr>
          <w:rFonts w:hint="eastAsia" w:ascii="宋体" w:hAnsi="宋体" w:eastAsia="宋体" w:cs="宋体"/>
          <w:color w:val="auto"/>
          <w:spacing w:val="-2"/>
          <w:sz w:val="24"/>
          <w:szCs w:val="24"/>
        </w:rPr>
        <w:t>格按发包人提供的预算控制价</w:t>
      </w:r>
      <w:r>
        <w:rPr>
          <w:rFonts w:hint="eastAsia" w:ascii="宋体" w:hAnsi="宋体" w:eastAsia="宋体" w:cs="宋体"/>
          <w:color w:val="auto"/>
          <w:spacing w:val="2"/>
          <w:sz w:val="24"/>
          <w:szCs w:val="24"/>
        </w:rPr>
        <w:t>确定，施工期价格上涨时由承包人提出，下降时由发包人提出，调整后的价格经发包人审</w:t>
      </w:r>
      <w:r>
        <w:rPr>
          <w:rFonts w:hint="eastAsia" w:ascii="宋体" w:hAnsi="宋体" w:eastAsia="宋体" w:cs="宋体"/>
          <w:color w:val="auto"/>
          <w:spacing w:val="-9"/>
          <w:sz w:val="24"/>
          <w:szCs w:val="24"/>
        </w:rPr>
        <w:t>查确认。</w:t>
      </w:r>
    </w:p>
    <w:p w14:paraId="040D01EF">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16.1.1.1.3</w:t>
      </w:r>
      <w:r>
        <w:rPr>
          <w:rFonts w:hint="eastAsia" w:ascii="宋体" w:hAnsi="宋体" w:eastAsia="宋体" w:cs="宋体"/>
          <w:color w:val="auto"/>
          <w:spacing w:val="-43"/>
          <w:sz w:val="24"/>
          <w:szCs w:val="24"/>
        </w:rPr>
        <w:t xml:space="preserve"> </w:t>
      </w:r>
      <w:r>
        <w:rPr>
          <w:rFonts w:hint="eastAsia" w:ascii="宋体" w:hAnsi="宋体" w:eastAsia="宋体" w:cs="宋体"/>
          <w:color w:val="auto"/>
          <w:spacing w:val="-4"/>
          <w:sz w:val="24"/>
          <w:szCs w:val="24"/>
        </w:rPr>
        <w:t>材料价格调整具体调整公式为：</w:t>
      </w:r>
    </w:p>
    <w:p w14:paraId="1BF178F2">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（1）施工期价格上涨，当涨幅＞5%时，</w:t>
      </w:r>
      <w:r>
        <w:rPr>
          <w:rFonts w:hint="eastAsia" w:ascii="宋体" w:hAnsi="宋体" w:eastAsia="宋体" w:cs="宋体"/>
          <w:color w:val="auto"/>
          <w:spacing w:val="-1"/>
          <w:sz w:val="24"/>
          <w:szCs w:val="24"/>
        </w:rPr>
        <w:t>P=C×（A/B－1.05）</w:t>
      </w:r>
    </w:p>
    <w:p w14:paraId="14F43BCA">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（2）施工期价格下降，当跌幅＞5%时，P=C×（0.95－A/B）</w:t>
      </w:r>
      <w:r>
        <w:rPr>
          <w:rFonts w:hint="eastAsia" w:ascii="宋体" w:hAnsi="宋体" w:eastAsia="宋体" w:cs="宋体"/>
          <w:color w:val="auto"/>
          <w:spacing w:val="-6"/>
          <w:sz w:val="24"/>
          <w:szCs w:val="24"/>
        </w:rPr>
        <w:t>式中P－可调整的材料差额；</w:t>
      </w:r>
    </w:p>
    <w:p w14:paraId="4FFA99CB">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C－预算控制价中的本细目材料价；</w:t>
      </w:r>
    </w:p>
    <w:p w14:paraId="0E71A693">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7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A－施工期《柳州市建设工程造价信息》刊登的本细目材料价；B－招标期《柳州市建设工程造价信息》刊登的本细目材料价。</w:t>
      </w:r>
    </w:p>
    <w:p w14:paraId="4D594008">
      <w:pPr>
        <w:pStyle w:val="12"/>
        <w:keepNext w:val="0"/>
        <w:keepLines w:val="0"/>
        <w:pageBreakBefore w:val="0"/>
        <w:widowControl w:val="0"/>
        <w:kinsoku/>
        <w:wordWrap w:val="0"/>
        <w:overflowPunct/>
        <w:topLinePunct w:val="0"/>
        <w:autoSpaceDE/>
        <w:autoSpaceDN/>
        <w:bidi w:val="0"/>
        <w:adjustRightInd/>
        <w:snapToGrid/>
        <w:spacing w:before="0" w:after="0" w:line="360" w:lineRule="auto"/>
        <w:ind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16.1.1.1.4需要进行价格调整的材料、设备，其单价和</w:t>
      </w:r>
      <w:r>
        <w:rPr>
          <w:rFonts w:hint="eastAsia" w:ascii="宋体" w:hAnsi="宋体" w:eastAsia="宋体" w:cs="宋体"/>
          <w:color w:val="auto"/>
          <w:spacing w:val="-2"/>
          <w:sz w:val="24"/>
          <w:szCs w:val="24"/>
        </w:rPr>
        <w:t>数量应由监理人复核，监理人</w:t>
      </w:r>
      <w:r>
        <w:rPr>
          <w:rFonts w:hint="eastAsia" w:ascii="宋体" w:hAnsi="宋体" w:eastAsia="宋体" w:cs="宋体"/>
          <w:color w:val="auto"/>
          <w:spacing w:val="2"/>
          <w:sz w:val="24"/>
          <w:szCs w:val="24"/>
        </w:rPr>
        <w:t>确认需调整的单价及数量，作为调整暂列金额差额的依据，调整部分仅计差额及相应的税</w:t>
      </w:r>
      <w:r>
        <w:rPr>
          <w:rFonts w:hint="eastAsia" w:ascii="宋体" w:hAnsi="宋体" w:eastAsia="宋体" w:cs="宋体"/>
          <w:color w:val="auto"/>
          <w:spacing w:val="1"/>
          <w:sz w:val="24"/>
          <w:szCs w:val="24"/>
        </w:rPr>
        <w:t>金，不计其对分部分项工程量清单综合单价的影响（即不再计算管理费、利润、规费）。</w:t>
      </w:r>
      <w:r>
        <w:rPr>
          <w:rFonts w:hint="eastAsia" w:ascii="宋体" w:hAnsi="宋体" w:eastAsia="宋体" w:cs="宋体"/>
          <w:color w:val="auto"/>
          <w:spacing w:val="-3"/>
          <w:sz w:val="24"/>
          <w:szCs w:val="24"/>
        </w:rPr>
        <w:t>材料价格调整后均要求乘以中标让利系数。</w:t>
      </w:r>
    </w:p>
    <w:p w14:paraId="5C10E48C">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70" w:firstLineChars="200"/>
        <w:jc w:val="both"/>
        <w:textAlignment w:val="auto"/>
        <w:rPr>
          <w:rFonts w:hint="eastAsia" w:ascii="宋体" w:hAnsi="宋体" w:eastAsia="宋体" w:cs="宋体"/>
          <w:color w:val="auto"/>
          <w:sz w:val="24"/>
          <w:szCs w:val="24"/>
        </w:rPr>
      </w:pPr>
      <w:r>
        <w:rPr>
          <w:rFonts w:hint="eastAsia" w:ascii="宋体" w:hAnsi="宋体" w:eastAsia="宋体" w:cs="宋体"/>
          <w:b/>
          <w:bCs/>
          <w:color w:val="auto"/>
          <w:spacing w:val="-3"/>
          <w:sz w:val="24"/>
          <w:szCs w:val="24"/>
        </w:rPr>
        <w:t>16.2分部分项工程量清单变化或设计变更引</w:t>
      </w:r>
      <w:r>
        <w:rPr>
          <w:rFonts w:hint="eastAsia" w:ascii="宋体" w:hAnsi="宋体" w:eastAsia="宋体" w:cs="宋体"/>
          <w:b/>
          <w:bCs/>
          <w:color w:val="auto"/>
          <w:spacing w:val="-4"/>
          <w:sz w:val="24"/>
          <w:szCs w:val="24"/>
        </w:rPr>
        <w:t>起的价格调整</w:t>
      </w:r>
    </w:p>
    <w:p w14:paraId="5DCF7747">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7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16.2.1施工中出现施工图纸（含设计变更）与工程量清单</w:t>
      </w:r>
      <w:r>
        <w:rPr>
          <w:rFonts w:hint="eastAsia" w:ascii="宋体" w:hAnsi="宋体" w:eastAsia="宋体" w:cs="宋体"/>
          <w:color w:val="auto"/>
          <w:spacing w:val="-3"/>
          <w:sz w:val="24"/>
          <w:szCs w:val="24"/>
        </w:rPr>
        <w:t>项目特征描述不符的，按新的项目特征和本专用条款第16.2.3款原则确定相应工程量清单的综合单价。</w:t>
      </w:r>
    </w:p>
    <w:p w14:paraId="2966A940">
      <w:pPr>
        <w:pStyle w:val="12"/>
        <w:keepNext w:val="0"/>
        <w:keepLines w:val="0"/>
        <w:pageBreakBefore w:val="0"/>
        <w:widowControl w:val="0"/>
        <w:kinsoku/>
        <w:wordWrap w:val="0"/>
        <w:overflowPunct/>
        <w:topLinePunct w:val="0"/>
        <w:autoSpaceDE/>
        <w:autoSpaceDN/>
        <w:bidi w:val="0"/>
        <w:adjustRightInd/>
        <w:snapToGrid/>
        <w:spacing w:before="0" w:after="0" w:line="360" w:lineRule="auto"/>
        <w:ind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16.2.2由于工程量清单的工程数量有误，或非承包人原因的工程变更引起的工程量增减在原工程数量的</w:t>
      </w:r>
      <w:r>
        <w:rPr>
          <w:rFonts w:hint="eastAsia" w:ascii="宋体" w:hAnsi="宋体" w:eastAsia="宋体" w:cs="宋体"/>
          <w:color w:val="auto"/>
          <w:spacing w:val="-3"/>
          <w:sz w:val="24"/>
          <w:szCs w:val="24"/>
          <w:u w:val="single" w:color="auto"/>
        </w:rPr>
        <w:t>±10%</w:t>
      </w:r>
      <w:r>
        <w:rPr>
          <w:rFonts w:hint="eastAsia" w:ascii="宋体" w:hAnsi="宋体" w:eastAsia="宋体" w:cs="宋体"/>
          <w:b/>
          <w:bCs/>
          <w:color w:val="auto"/>
          <w:spacing w:val="-3"/>
          <w:sz w:val="24"/>
          <w:szCs w:val="24"/>
          <w:u w:val="single" w:color="auto"/>
        </w:rPr>
        <w:t>且其影响分部分项工程费超过0.1%</w:t>
      </w:r>
      <w:r>
        <w:rPr>
          <w:rFonts w:hint="eastAsia" w:ascii="宋体" w:hAnsi="宋体" w:eastAsia="宋体" w:cs="宋体"/>
          <w:color w:val="auto"/>
          <w:spacing w:val="-3"/>
          <w:sz w:val="24"/>
          <w:szCs w:val="24"/>
        </w:rPr>
        <w:t>以内时</w:t>
      </w:r>
      <w:r>
        <w:rPr>
          <w:rFonts w:hint="eastAsia" w:ascii="宋体" w:hAnsi="宋体" w:eastAsia="宋体" w:cs="宋体"/>
          <w:color w:val="auto"/>
          <w:spacing w:val="-4"/>
          <w:sz w:val="24"/>
          <w:szCs w:val="24"/>
        </w:rPr>
        <w:t>，执行原有的综合单价，</w:t>
      </w:r>
      <w:r>
        <w:rPr>
          <w:rFonts w:hint="eastAsia" w:ascii="宋体" w:hAnsi="宋体" w:eastAsia="宋体" w:cs="宋体"/>
          <w:color w:val="auto"/>
          <w:spacing w:val="9"/>
          <w:sz w:val="24"/>
          <w:szCs w:val="24"/>
        </w:rPr>
        <w:t>措施项目费除安全文明施工费按合同约定的计算</w:t>
      </w:r>
      <w:r>
        <w:rPr>
          <w:rFonts w:hint="eastAsia" w:ascii="宋体" w:hAnsi="宋体" w:eastAsia="宋体" w:cs="宋体"/>
          <w:color w:val="auto"/>
          <w:spacing w:val="8"/>
          <w:sz w:val="24"/>
          <w:szCs w:val="24"/>
        </w:rPr>
        <w:t>基础和费率计算进行调整外其余不予调</w:t>
      </w:r>
      <w:r>
        <w:rPr>
          <w:rFonts w:hint="eastAsia" w:ascii="宋体" w:hAnsi="宋体" w:eastAsia="宋体" w:cs="宋体"/>
          <w:color w:val="auto"/>
          <w:sz w:val="24"/>
          <w:szCs w:val="24"/>
        </w:rPr>
        <w:t>整，但遇物价波动引起《主要材料及价格表》、《税前项目清单与计价表》、《设备及价</w:t>
      </w:r>
      <w:r>
        <w:rPr>
          <w:rFonts w:hint="eastAsia" w:ascii="宋体" w:hAnsi="宋体" w:eastAsia="宋体" w:cs="宋体"/>
          <w:color w:val="auto"/>
          <w:spacing w:val="2"/>
          <w:sz w:val="24"/>
          <w:szCs w:val="24"/>
        </w:rPr>
        <w:t>格表》所列材料（含机械台班中的动力燃料）、税前项目及设备用量发生变化及国家政策</w:t>
      </w:r>
      <w:r>
        <w:rPr>
          <w:rFonts w:hint="eastAsia" w:ascii="宋体" w:hAnsi="宋体" w:eastAsia="宋体" w:cs="宋体"/>
          <w:color w:val="auto"/>
          <w:spacing w:val="-2"/>
          <w:sz w:val="24"/>
          <w:szCs w:val="24"/>
        </w:rPr>
        <w:t>性调整时仍需按本合同专用条款16.1和</w:t>
      </w:r>
      <w:r>
        <w:rPr>
          <w:rFonts w:hint="eastAsia" w:ascii="宋体" w:hAnsi="宋体" w:eastAsia="宋体" w:cs="宋体"/>
          <w:color w:val="auto"/>
          <w:spacing w:val="-3"/>
          <w:sz w:val="24"/>
          <w:szCs w:val="24"/>
        </w:rPr>
        <w:t>16.3款原则调整暂列金额差额。</w:t>
      </w:r>
    </w:p>
    <w:p w14:paraId="2930C886">
      <w:pPr>
        <w:pStyle w:val="12"/>
        <w:keepNext w:val="0"/>
        <w:keepLines w:val="0"/>
        <w:pageBreakBefore w:val="0"/>
        <w:widowControl w:val="0"/>
        <w:kinsoku/>
        <w:wordWrap w:val="0"/>
        <w:overflowPunct/>
        <w:topLinePunct w:val="0"/>
        <w:autoSpaceDE/>
        <w:autoSpaceDN/>
        <w:bidi w:val="0"/>
        <w:adjustRightInd/>
        <w:snapToGrid/>
        <w:spacing w:before="0" w:after="0" w:line="360" w:lineRule="auto"/>
        <w:ind w:right="0"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16.2.3由于工程量清单的工程数量有误，或非承包人原因的工程变更引起的工程量增</w:t>
      </w:r>
      <w:r>
        <w:rPr>
          <w:rFonts w:hint="eastAsia" w:ascii="宋体" w:hAnsi="宋体" w:eastAsia="宋体" w:cs="宋体"/>
          <w:color w:val="auto"/>
          <w:spacing w:val="-1"/>
          <w:sz w:val="24"/>
          <w:szCs w:val="24"/>
        </w:rPr>
        <w:t>加超过原工程数量的</w:t>
      </w:r>
      <w:r>
        <w:rPr>
          <w:rFonts w:hint="eastAsia" w:ascii="宋体" w:hAnsi="宋体" w:eastAsia="宋体" w:cs="宋体"/>
          <w:color w:val="auto"/>
          <w:spacing w:val="-1"/>
          <w:sz w:val="24"/>
          <w:szCs w:val="24"/>
          <w:u w:val="single" w:color="auto"/>
        </w:rPr>
        <w:t>±10%</w:t>
      </w:r>
      <w:r>
        <w:rPr>
          <w:rFonts w:hint="eastAsia" w:ascii="宋体" w:hAnsi="宋体" w:eastAsia="宋体" w:cs="宋体"/>
          <w:b/>
          <w:bCs/>
          <w:color w:val="auto"/>
          <w:spacing w:val="-1"/>
          <w:sz w:val="24"/>
          <w:szCs w:val="24"/>
          <w:u w:val="single" w:color="auto"/>
        </w:rPr>
        <w:t>且其影响分部分项工程费超过0.1%以外</w:t>
      </w:r>
      <w:r>
        <w:rPr>
          <w:rFonts w:hint="eastAsia" w:ascii="宋体" w:hAnsi="宋体" w:eastAsia="宋体" w:cs="宋体"/>
          <w:b/>
          <w:bCs/>
          <w:color w:val="auto"/>
          <w:spacing w:val="-2"/>
          <w:sz w:val="24"/>
          <w:szCs w:val="24"/>
          <w:u w:val="single" w:color="auto"/>
        </w:rPr>
        <w:t>时</w:t>
      </w:r>
      <w:r>
        <w:rPr>
          <w:rFonts w:hint="eastAsia" w:ascii="宋体" w:hAnsi="宋体" w:eastAsia="宋体" w:cs="宋体"/>
          <w:color w:val="auto"/>
          <w:spacing w:val="-2"/>
          <w:sz w:val="24"/>
          <w:szCs w:val="24"/>
          <w:u w:val="single" w:color="auto"/>
        </w:rPr>
        <w:t>，也</w:t>
      </w:r>
      <w:r>
        <w:rPr>
          <w:rFonts w:hint="eastAsia" w:ascii="宋体" w:hAnsi="宋体" w:eastAsia="宋体" w:cs="宋体"/>
          <w:color w:val="auto"/>
          <w:spacing w:val="-2"/>
          <w:sz w:val="24"/>
          <w:szCs w:val="24"/>
        </w:rPr>
        <w:t>执行原有的综合</w:t>
      </w:r>
      <w:r>
        <w:rPr>
          <w:rFonts w:hint="eastAsia" w:ascii="宋体" w:hAnsi="宋体" w:eastAsia="宋体" w:cs="宋体"/>
          <w:color w:val="auto"/>
          <w:spacing w:val="-10"/>
          <w:sz w:val="24"/>
          <w:szCs w:val="24"/>
        </w:rPr>
        <w:t>单价。</w:t>
      </w:r>
    </w:p>
    <w:p w14:paraId="107E401C">
      <w:pPr>
        <w:pStyle w:val="12"/>
        <w:keepNext w:val="0"/>
        <w:keepLines w:val="0"/>
        <w:pageBreakBefore w:val="0"/>
        <w:widowControl w:val="0"/>
        <w:kinsoku/>
        <w:wordWrap w:val="0"/>
        <w:overflowPunct/>
        <w:topLinePunct w:val="0"/>
        <w:autoSpaceDE/>
        <w:autoSpaceDN/>
        <w:bidi w:val="0"/>
        <w:adjustRightInd/>
        <w:snapToGrid/>
        <w:spacing w:before="0" w:after="0" w:line="360" w:lineRule="auto"/>
        <w:ind w:right="0" w:firstLine="48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非承包人原因的工程变更引起新增的工程量清单项目相应综合单价参照预算控制价的编制方法计算，具体计算方法为：分部分项工程量清单的材料价格按施</w:t>
      </w:r>
      <w:r>
        <w:rPr>
          <w:rFonts w:hint="eastAsia" w:ascii="宋体" w:hAnsi="宋体" w:eastAsia="宋体" w:cs="宋体"/>
          <w:color w:val="auto"/>
          <w:spacing w:val="1"/>
          <w:sz w:val="24"/>
          <w:szCs w:val="24"/>
        </w:rPr>
        <w:t>工期《柳州市建设</w:t>
      </w:r>
      <w:r>
        <w:rPr>
          <w:rFonts w:hint="eastAsia" w:ascii="宋体" w:hAnsi="宋体" w:eastAsia="宋体" w:cs="宋体"/>
          <w:color w:val="auto"/>
          <w:spacing w:val="2"/>
          <w:sz w:val="24"/>
          <w:szCs w:val="24"/>
        </w:rPr>
        <w:t>工程造价信息》的平均价计算（造价信息未发布的特殊材料、设备材料，其价格按市场调</w:t>
      </w:r>
      <w:r>
        <w:rPr>
          <w:rFonts w:hint="eastAsia" w:ascii="宋体" w:hAnsi="宋体" w:eastAsia="宋体" w:cs="宋体"/>
          <w:color w:val="auto"/>
          <w:sz w:val="24"/>
          <w:szCs w:val="24"/>
        </w:rPr>
        <w:t>查的实际购买价格加材料运费、采购及保管费计），管理费和利润费率按预算控制价</w:t>
      </w:r>
      <w:r>
        <w:rPr>
          <w:rFonts w:hint="eastAsia" w:ascii="宋体" w:hAnsi="宋体" w:eastAsia="宋体" w:cs="宋体"/>
          <w:color w:val="auto"/>
          <w:spacing w:val="-1"/>
          <w:sz w:val="24"/>
          <w:szCs w:val="24"/>
        </w:rPr>
        <w:t>相应</w:t>
      </w:r>
      <w:r>
        <w:rPr>
          <w:rFonts w:hint="eastAsia" w:ascii="宋体" w:hAnsi="宋体" w:eastAsia="宋体" w:cs="宋体"/>
          <w:color w:val="auto"/>
          <w:spacing w:val="2"/>
          <w:sz w:val="24"/>
          <w:szCs w:val="24"/>
        </w:rPr>
        <w:t>专业的费率，风险费不计，变更价格由承包人提出，经发包人审核，由财政投资评审中心</w:t>
      </w:r>
      <w:r>
        <w:rPr>
          <w:rFonts w:hint="eastAsia" w:ascii="宋体" w:hAnsi="宋体" w:eastAsia="宋体" w:cs="宋体"/>
          <w:color w:val="auto"/>
          <w:spacing w:val="-4"/>
          <w:sz w:val="24"/>
          <w:szCs w:val="24"/>
        </w:rPr>
        <w:t>审定后作为结算的依据。</w:t>
      </w:r>
    </w:p>
    <w:p w14:paraId="31F86DE9">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16.2.4由于工程量清单的工程数量有误，或非承包人原因的工程变更引起的工程量增</w:t>
      </w:r>
    </w:p>
    <w:p w14:paraId="092BDB70">
      <w:pPr>
        <w:pStyle w:val="12"/>
        <w:keepNext w:val="0"/>
        <w:keepLines w:val="0"/>
        <w:pageBreakBefore w:val="0"/>
        <w:widowControl w:val="0"/>
        <w:kinsoku/>
        <w:wordWrap w:val="0"/>
        <w:overflowPunct/>
        <w:topLinePunct w:val="0"/>
        <w:autoSpaceDE/>
        <w:autoSpaceDN/>
        <w:bidi w:val="0"/>
        <w:adjustRightInd/>
        <w:snapToGrid/>
        <w:spacing w:before="0" w:after="0" w:line="360" w:lineRule="auto"/>
        <w:ind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加或减少超过原工程数量的</w:t>
      </w:r>
      <w:r>
        <w:rPr>
          <w:rFonts w:hint="eastAsia" w:ascii="宋体" w:hAnsi="宋体" w:eastAsia="宋体" w:cs="宋体"/>
          <w:b/>
          <w:bCs/>
          <w:color w:val="auto"/>
          <w:spacing w:val="-1"/>
          <w:sz w:val="24"/>
          <w:szCs w:val="24"/>
          <w:u w:val="single" w:color="auto"/>
        </w:rPr>
        <w:t>10%且其影响分部分项工程费超过0.1</w:t>
      </w:r>
      <w:r>
        <w:rPr>
          <w:rFonts w:hint="eastAsia" w:ascii="宋体" w:hAnsi="宋体" w:eastAsia="宋体" w:cs="宋体"/>
          <w:b/>
          <w:bCs/>
          <w:color w:val="auto"/>
          <w:spacing w:val="-2"/>
          <w:sz w:val="24"/>
          <w:szCs w:val="24"/>
          <w:u w:val="single" w:color="auto"/>
        </w:rPr>
        <w:t>%，</w:t>
      </w:r>
      <w:r>
        <w:rPr>
          <w:rFonts w:hint="eastAsia" w:ascii="宋体" w:hAnsi="宋体" w:eastAsia="宋体" w:cs="宋体"/>
          <w:color w:val="auto"/>
          <w:spacing w:val="-2"/>
          <w:sz w:val="24"/>
          <w:szCs w:val="24"/>
        </w:rPr>
        <w:t>或新增工程量清单项</w:t>
      </w:r>
      <w:r>
        <w:rPr>
          <w:rFonts w:hint="eastAsia" w:ascii="宋体" w:hAnsi="宋体" w:eastAsia="宋体" w:cs="宋体"/>
          <w:color w:val="auto"/>
          <w:spacing w:val="2"/>
          <w:sz w:val="24"/>
          <w:szCs w:val="24"/>
        </w:rPr>
        <w:t>目，引起措施项目发生变化，造成施工组织设计或施工方案变更，原措施费中已有的措施项目，按原措施费的组价方法调整；原措施费中没有的措施项目，由承包人根据措施项目</w:t>
      </w:r>
      <w:r>
        <w:rPr>
          <w:rFonts w:hint="eastAsia" w:ascii="宋体" w:hAnsi="宋体" w:eastAsia="宋体" w:cs="宋体"/>
          <w:color w:val="auto"/>
          <w:spacing w:val="-2"/>
          <w:sz w:val="24"/>
          <w:szCs w:val="24"/>
        </w:rPr>
        <w:t>变更情况，提出适当的措施费变更，经发包人确认后调整。调整公</w:t>
      </w:r>
      <w:r>
        <w:rPr>
          <w:rFonts w:hint="eastAsia" w:ascii="宋体" w:hAnsi="宋体" w:eastAsia="宋体" w:cs="宋体"/>
          <w:color w:val="auto"/>
          <w:spacing w:val="-3"/>
          <w:sz w:val="24"/>
          <w:szCs w:val="24"/>
        </w:rPr>
        <w:t>式：</w:t>
      </w:r>
    </w:p>
    <w:p w14:paraId="16F40C7D">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7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（1）当S</w:t>
      </w:r>
      <w:r>
        <w:rPr>
          <w:rFonts w:hint="eastAsia" w:ascii="宋体" w:hAnsi="宋体" w:eastAsia="宋体" w:cs="宋体"/>
          <w:color w:val="auto"/>
          <w:spacing w:val="-2"/>
          <w:position w:val="-1"/>
          <w:sz w:val="24"/>
          <w:szCs w:val="24"/>
        </w:rPr>
        <w:t>1</w:t>
      </w:r>
      <w:r>
        <w:rPr>
          <w:rFonts w:hint="eastAsia" w:ascii="宋体" w:hAnsi="宋体" w:eastAsia="宋体" w:cs="宋体"/>
          <w:color w:val="auto"/>
          <w:spacing w:val="-2"/>
          <w:sz w:val="24"/>
          <w:szCs w:val="24"/>
        </w:rPr>
        <w:t>＞1.1S</w:t>
      </w:r>
      <w:r>
        <w:rPr>
          <w:rFonts w:hint="eastAsia" w:ascii="宋体" w:hAnsi="宋体" w:eastAsia="宋体" w:cs="宋体"/>
          <w:color w:val="auto"/>
          <w:spacing w:val="-2"/>
          <w:position w:val="-1"/>
          <w:sz w:val="24"/>
          <w:szCs w:val="24"/>
        </w:rPr>
        <w:t>0</w:t>
      </w:r>
      <w:r>
        <w:rPr>
          <w:rFonts w:hint="eastAsia" w:ascii="宋体" w:hAnsi="宋体" w:eastAsia="宋体" w:cs="宋体"/>
          <w:color w:val="auto"/>
          <w:spacing w:val="-2"/>
          <w:sz w:val="24"/>
          <w:szCs w:val="24"/>
        </w:rPr>
        <w:t>时,由承包人根据本条款在递交</w:t>
      </w:r>
      <w:r>
        <w:rPr>
          <w:rFonts w:hint="eastAsia" w:ascii="宋体" w:hAnsi="宋体" w:eastAsia="宋体" w:cs="宋体"/>
          <w:color w:val="auto"/>
          <w:spacing w:val="-2"/>
          <w:sz w:val="24"/>
          <w:szCs w:val="24"/>
          <w:lang w:eastAsia="zh-CN"/>
        </w:rPr>
        <w:t>完工</w:t>
      </w:r>
      <w:r>
        <w:rPr>
          <w:rFonts w:hint="eastAsia" w:ascii="宋体" w:hAnsi="宋体" w:eastAsia="宋体" w:cs="宋体"/>
          <w:color w:val="auto"/>
          <w:spacing w:val="-2"/>
          <w:sz w:val="24"/>
          <w:szCs w:val="24"/>
        </w:rPr>
        <w:t>结算文件时,参照下述公式向发发人提出,由发、承包双方人员核实确认后执行。</w:t>
      </w:r>
    </w:p>
    <w:p w14:paraId="45741124">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M</w:t>
      </w:r>
      <w:r>
        <w:rPr>
          <w:rFonts w:hint="eastAsia" w:ascii="宋体" w:hAnsi="宋体" w:eastAsia="宋体" w:cs="宋体"/>
          <w:color w:val="auto"/>
          <w:spacing w:val="-3"/>
          <w:position w:val="-1"/>
          <w:sz w:val="24"/>
          <w:szCs w:val="24"/>
        </w:rPr>
        <w:t>1</w:t>
      </w:r>
      <w:r>
        <w:rPr>
          <w:rFonts w:hint="eastAsia" w:ascii="宋体" w:hAnsi="宋体" w:eastAsia="宋体" w:cs="宋体"/>
          <w:color w:val="auto"/>
          <w:spacing w:val="-3"/>
          <w:sz w:val="24"/>
          <w:szCs w:val="24"/>
        </w:rPr>
        <w:t>=M</w:t>
      </w:r>
      <w:r>
        <w:rPr>
          <w:rFonts w:hint="eastAsia" w:ascii="宋体" w:hAnsi="宋体" w:eastAsia="宋体" w:cs="宋体"/>
          <w:color w:val="auto"/>
          <w:spacing w:val="-3"/>
          <w:position w:val="-1"/>
          <w:sz w:val="24"/>
          <w:szCs w:val="24"/>
        </w:rPr>
        <w:t>0</w:t>
      </w:r>
      <w:r>
        <w:rPr>
          <w:rFonts w:hint="eastAsia" w:ascii="宋体" w:hAnsi="宋体" w:eastAsia="宋体" w:cs="宋体"/>
          <w:color w:val="auto"/>
          <w:spacing w:val="-3"/>
          <w:sz w:val="24"/>
          <w:szCs w:val="24"/>
        </w:rPr>
        <w:t>×（S</w:t>
      </w:r>
      <w:r>
        <w:rPr>
          <w:rFonts w:hint="eastAsia" w:ascii="宋体" w:hAnsi="宋体" w:eastAsia="宋体" w:cs="宋体"/>
          <w:color w:val="auto"/>
          <w:spacing w:val="-3"/>
          <w:position w:val="-1"/>
          <w:sz w:val="24"/>
          <w:szCs w:val="24"/>
        </w:rPr>
        <w:t>1</w:t>
      </w:r>
      <w:r>
        <w:rPr>
          <w:rFonts w:hint="eastAsia" w:ascii="宋体" w:hAnsi="宋体" w:eastAsia="宋体" w:cs="宋体"/>
          <w:color w:val="auto"/>
          <w:spacing w:val="-3"/>
          <w:sz w:val="24"/>
          <w:szCs w:val="24"/>
        </w:rPr>
        <w:t>/S</w:t>
      </w:r>
      <w:r>
        <w:rPr>
          <w:rFonts w:hint="eastAsia" w:ascii="宋体" w:hAnsi="宋体" w:eastAsia="宋体" w:cs="宋体"/>
          <w:color w:val="auto"/>
          <w:spacing w:val="-3"/>
          <w:position w:val="-1"/>
          <w:sz w:val="24"/>
          <w:szCs w:val="24"/>
        </w:rPr>
        <w:t>0</w:t>
      </w:r>
      <w:r>
        <w:rPr>
          <w:rFonts w:hint="eastAsia" w:ascii="宋体" w:hAnsi="宋体" w:eastAsia="宋体" w:cs="宋体"/>
          <w:color w:val="auto"/>
          <w:spacing w:val="-3"/>
          <w:sz w:val="24"/>
          <w:szCs w:val="24"/>
        </w:rPr>
        <w:t>-0.1）</w:t>
      </w:r>
    </w:p>
    <w:p w14:paraId="5DF9CAE7">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7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（2）当S</w:t>
      </w:r>
      <w:r>
        <w:rPr>
          <w:rFonts w:hint="eastAsia" w:ascii="宋体" w:hAnsi="宋体" w:eastAsia="宋体" w:cs="宋体"/>
          <w:color w:val="auto"/>
          <w:spacing w:val="-2"/>
          <w:position w:val="-1"/>
          <w:sz w:val="24"/>
          <w:szCs w:val="24"/>
        </w:rPr>
        <w:t>1</w:t>
      </w:r>
      <w:r>
        <w:rPr>
          <w:rFonts w:hint="eastAsia" w:ascii="宋体" w:hAnsi="宋体" w:eastAsia="宋体" w:cs="宋体"/>
          <w:color w:val="auto"/>
          <w:spacing w:val="-2"/>
          <w:sz w:val="24"/>
          <w:szCs w:val="24"/>
        </w:rPr>
        <w:t>＜0.9S</w:t>
      </w:r>
      <w:r>
        <w:rPr>
          <w:rFonts w:hint="eastAsia" w:ascii="宋体" w:hAnsi="宋体" w:eastAsia="宋体" w:cs="宋体"/>
          <w:color w:val="auto"/>
          <w:spacing w:val="-2"/>
          <w:position w:val="-1"/>
          <w:sz w:val="24"/>
          <w:szCs w:val="24"/>
        </w:rPr>
        <w:t>0</w:t>
      </w:r>
      <w:r>
        <w:rPr>
          <w:rFonts w:hint="eastAsia" w:ascii="宋体" w:hAnsi="宋体" w:eastAsia="宋体" w:cs="宋体"/>
          <w:color w:val="auto"/>
          <w:spacing w:val="-2"/>
          <w:sz w:val="24"/>
          <w:szCs w:val="24"/>
        </w:rPr>
        <w:t>时,由发包人根据本条款在递交</w:t>
      </w:r>
      <w:r>
        <w:rPr>
          <w:rFonts w:hint="eastAsia" w:ascii="宋体" w:hAnsi="宋体" w:eastAsia="宋体" w:cs="宋体"/>
          <w:color w:val="auto"/>
          <w:spacing w:val="-2"/>
          <w:sz w:val="24"/>
          <w:szCs w:val="24"/>
          <w:lang w:eastAsia="zh-CN"/>
        </w:rPr>
        <w:t>完工</w:t>
      </w:r>
      <w:r>
        <w:rPr>
          <w:rFonts w:hint="eastAsia" w:ascii="宋体" w:hAnsi="宋体" w:eastAsia="宋体" w:cs="宋体"/>
          <w:color w:val="auto"/>
          <w:spacing w:val="-2"/>
          <w:sz w:val="24"/>
          <w:szCs w:val="24"/>
        </w:rPr>
        <w:t>结算文件时,参照下述公式向发发人提出,由发、承包双方人员核实确认后执行。</w:t>
      </w:r>
    </w:p>
    <w:p w14:paraId="148365D2">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M</w:t>
      </w:r>
      <w:r>
        <w:rPr>
          <w:rFonts w:hint="eastAsia" w:ascii="宋体" w:hAnsi="宋体" w:eastAsia="宋体" w:cs="宋体"/>
          <w:color w:val="auto"/>
          <w:spacing w:val="-3"/>
          <w:position w:val="-1"/>
          <w:sz w:val="24"/>
          <w:szCs w:val="24"/>
        </w:rPr>
        <w:t>1</w:t>
      </w:r>
      <w:r>
        <w:rPr>
          <w:rFonts w:hint="eastAsia" w:ascii="宋体" w:hAnsi="宋体" w:eastAsia="宋体" w:cs="宋体"/>
          <w:color w:val="auto"/>
          <w:spacing w:val="-3"/>
          <w:sz w:val="24"/>
          <w:szCs w:val="24"/>
        </w:rPr>
        <w:t>=M</w:t>
      </w:r>
      <w:r>
        <w:rPr>
          <w:rFonts w:hint="eastAsia" w:ascii="宋体" w:hAnsi="宋体" w:eastAsia="宋体" w:cs="宋体"/>
          <w:color w:val="auto"/>
          <w:spacing w:val="-3"/>
          <w:position w:val="-1"/>
          <w:sz w:val="24"/>
          <w:szCs w:val="24"/>
        </w:rPr>
        <w:t>0</w:t>
      </w:r>
      <w:r>
        <w:rPr>
          <w:rFonts w:hint="eastAsia" w:ascii="宋体" w:hAnsi="宋体" w:eastAsia="宋体" w:cs="宋体"/>
          <w:color w:val="auto"/>
          <w:spacing w:val="-3"/>
          <w:sz w:val="24"/>
          <w:szCs w:val="24"/>
        </w:rPr>
        <w:t>×（S</w:t>
      </w:r>
      <w:r>
        <w:rPr>
          <w:rFonts w:hint="eastAsia" w:ascii="宋体" w:hAnsi="宋体" w:eastAsia="宋体" w:cs="宋体"/>
          <w:color w:val="auto"/>
          <w:spacing w:val="-3"/>
          <w:position w:val="-1"/>
          <w:sz w:val="24"/>
          <w:szCs w:val="24"/>
        </w:rPr>
        <w:t>1</w:t>
      </w:r>
      <w:r>
        <w:rPr>
          <w:rFonts w:hint="eastAsia" w:ascii="宋体" w:hAnsi="宋体" w:eastAsia="宋体" w:cs="宋体"/>
          <w:color w:val="auto"/>
          <w:spacing w:val="-3"/>
          <w:sz w:val="24"/>
          <w:szCs w:val="24"/>
        </w:rPr>
        <w:t>/S</w:t>
      </w:r>
      <w:r>
        <w:rPr>
          <w:rFonts w:hint="eastAsia" w:ascii="宋体" w:hAnsi="宋体" w:eastAsia="宋体" w:cs="宋体"/>
          <w:color w:val="auto"/>
          <w:spacing w:val="-3"/>
          <w:position w:val="-1"/>
          <w:sz w:val="24"/>
          <w:szCs w:val="24"/>
        </w:rPr>
        <w:t>0</w:t>
      </w:r>
      <w:r>
        <w:rPr>
          <w:rFonts w:hint="eastAsia" w:ascii="宋体" w:hAnsi="宋体" w:eastAsia="宋体" w:cs="宋体"/>
          <w:color w:val="auto"/>
          <w:spacing w:val="-3"/>
          <w:sz w:val="24"/>
          <w:szCs w:val="24"/>
        </w:rPr>
        <w:t>+0.1）</w:t>
      </w:r>
    </w:p>
    <w:p w14:paraId="622768E8">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式中：S</w:t>
      </w:r>
      <w:r>
        <w:rPr>
          <w:rFonts w:hint="eastAsia" w:ascii="宋体" w:hAnsi="宋体" w:eastAsia="宋体" w:cs="宋体"/>
          <w:color w:val="auto"/>
          <w:spacing w:val="-3"/>
          <w:position w:val="-1"/>
          <w:sz w:val="24"/>
          <w:szCs w:val="24"/>
        </w:rPr>
        <w:t>1</w:t>
      </w:r>
      <w:r>
        <w:rPr>
          <w:rFonts w:hint="eastAsia" w:ascii="宋体" w:hAnsi="宋体" w:eastAsia="宋体" w:cs="宋体"/>
          <w:color w:val="auto"/>
          <w:spacing w:val="-3"/>
          <w:sz w:val="24"/>
          <w:szCs w:val="24"/>
        </w:rPr>
        <w:t>是最终完成的分部分项工程项目费。</w:t>
      </w:r>
    </w:p>
    <w:p w14:paraId="280507A5">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3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1"/>
          <w:sz w:val="24"/>
          <w:szCs w:val="24"/>
        </w:rPr>
        <w:t>S</w:t>
      </w:r>
      <w:r>
        <w:rPr>
          <w:rFonts w:hint="eastAsia" w:ascii="宋体" w:hAnsi="宋体" w:eastAsia="宋体" w:cs="宋体"/>
          <w:color w:val="auto"/>
          <w:spacing w:val="-3"/>
          <w:position w:val="-1"/>
          <w:sz w:val="24"/>
          <w:szCs w:val="24"/>
        </w:rPr>
        <w:t>0</w:t>
      </w:r>
      <w:r>
        <w:rPr>
          <w:rFonts w:hint="eastAsia" w:ascii="宋体" w:hAnsi="宋体" w:eastAsia="宋体" w:cs="宋体"/>
          <w:color w:val="auto"/>
          <w:spacing w:val="-3"/>
          <w:sz w:val="24"/>
          <w:szCs w:val="24"/>
        </w:rPr>
        <w:t>是承包人报价文件的分部分项工程项目费。</w:t>
      </w:r>
      <w:r>
        <w:rPr>
          <w:rFonts w:hint="eastAsia" w:ascii="宋体" w:hAnsi="宋体" w:eastAsia="宋体" w:cs="宋体"/>
          <w:color w:val="auto"/>
          <w:spacing w:val="-4"/>
          <w:sz w:val="24"/>
          <w:szCs w:val="24"/>
        </w:rPr>
        <w:t>M</w:t>
      </w:r>
      <w:r>
        <w:rPr>
          <w:rFonts w:hint="eastAsia" w:ascii="宋体" w:hAnsi="宋体" w:eastAsia="宋体" w:cs="宋体"/>
          <w:color w:val="auto"/>
          <w:spacing w:val="-4"/>
          <w:position w:val="-1"/>
          <w:sz w:val="24"/>
          <w:szCs w:val="24"/>
        </w:rPr>
        <w:t>1</w:t>
      </w:r>
      <w:r>
        <w:rPr>
          <w:rFonts w:hint="eastAsia" w:ascii="宋体" w:hAnsi="宋体" w:eastAsia="宋体" w:cs="宋体"/>
          <w:color w:val="auto"/>
          <w:spacing w:val="-4"/>
          <w:sz w:val="24"/>
          <w:szCs w:val="24"/>
        </w:rPr>
        <w:t>是调整后的结算措施项目费。</w:t>
      </w:r>
    </w:p>
    <w:p w14:paraId="742E861D">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M</w:t>
      </w:r>
      <w:r>
        <w:rPr>
          <w:rFonts w:hint="eastAsia" w:ascii="宋体" w:hAnsi="宋体" w:eastAsia="宋体" w:cs="宋体"/>
          <w:color w:val="auto"/>
          <w:spacing w:val="-3"/>
          <w:position w:val="-1"/>
          <w:sz w:val="24"/>
          <w:szCs w:val="24"/>
        </w:rPr>
        <w:t>0</w:t>
      </w:r>
      <w:r>
        <w:rPr>
          <w:rFonts w:hint="eastAsia" w:ascii="宋体" w:hAnsi="宋体" w:eastAsia="宋体" w:cs="宋体"/>
          <w:color w:val="auto"/>
          <w:spacing w:val="-3"/>
          <w:sz w:val="24"/>
          <w:szCs w:val="24"/>
        </w:rPr>
        <w:t>是承包人在工程量清单中填报的措施项目费。</w:t>
      </w:r>
    </w:p>
    <w:p w14:paraId="4F07ADB4">
      <w:pPr>
        <w:pStyle w:val="12"/>
        <w:keepNext w:val="0"/>
        <w:keepLines w:val="0"/>
        <w:pageBreakBefore w:val="0"/>
        <w:widowControl w:val="0"/>
        <w:kinsoku/>
        <w:wordWrap w:val="0"/>
        <w:overflowPunct/>
        <w:topLinePunct w:val="0"/>
        <w:autoSpaceDE/>
        <w:autoSpaceDN/>
        <w:bidi w:val="0"/>
        <w:adjustRightInd/>
        <w:snapToGrid/>
        <w:spacing w:before="0" w:after="0" w:line="360" w:lineRule="auto"/>
        <w:ind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16.2.5施工过程中，国家或省级、行业建</w:t>
      </w:r>
      <w:r>
        <w:rPr>
          <w:rFonts w:hint="eastAsia" w:ascii="宋体" w:hAnsi="宋体" w:eastAsia="宋体" w:cs="宋体"/>
          <w:color w:val="auto"/>
          <w:spacing w:val="-6"/>
          <w:sz w:val="24"/>
          <w:szCs w:val="24"/>
        </w:rPr>
        <w:t>设主管部门对安全文明施工费进行了调整的，</w:t>
      </w:r>
      <w:r>
        <w:rPr>
          <w:rFonts w:hint="eastAsia" w:ascii="宋体" w:hAnsi="宋体" w:eastAsia="宋体" w:cs="宋体"/>
          <w:color w:val="auto"/>
          <w:spacing w:val="-2"/>
          <w:sz w:val="24"/>
          <w:szCs w:val="24"/>
        </w:rPr>
        <w:t>措施项目费中的安全文明施工费应作相应调</w:t>
      </w:r>
      <w:r>
        <w:rPr>
          <w:rFonts w:hint="eastAsia" w:ascii="宋体" w:hAnsi="宋体" w:eastAsia="宋体" w:cs="宋体"/>
          <w:color w:val="auto"/>
          <w:spacing w:val="-3"/>
          <w:sz w:val="24"/>
          <w:szCs w:val="24"/>
        </w:rPr>
        <w:t>整。</w:t>
      </w:r>
    </w:p>
    <w:p w14:paraId="7E7C1598">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7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暂估价、暂列金额、非承包人原因的工程变更引起的材料、设备的采购和专业工程的</w:t>
      </w:r>
      <w:r>
        <w:rPr>
          <w:rFonts w:hint="eastAsia" w:ascii="宋体" w:hAnsi="宋体" w:eastAsia="宋体" w:cs="宋体"/>
          <w:color w:val="auto"/>
          <w:spacing w:val="-3"/>
          <w:sz w:val="24"/>
          <w:szCs w:val="24"/>
        </w:rPr>
        <w:t>分包以及造价变更的确认按相关程序办理。</w:t>
      </w:r>
    </w:p>
    <w:p w14:paraId="2026238A">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7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16.3法律变化引起的价格调整</w:t>
      </w:r>
    </w:p>
    <w:p w14:paraId="315774AF">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7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在投标截止日前28天，非招标工程以合同签订前28天为基准日，其</w:t>
      </w:r>
      <w:r>
        <w:rPr>
          <w:rFonts w:hint="eastAsia" w:ascii="宋体" w:hAnsi="宋体" w:eastAsia="宋体" w:cs="宋体"/>
          <w:color w:val="auto"/>
          <w:spacing w:val="-3"/>
          <w:sz w:val="24"/>
          <w:szCs w:val="24"/>
        </w:rPr>
        <w:t>后国家的法律、</w:t>
      </w:r>
      <w:r>
        <w:rPr>
          <w:rFonts w:hint="eastAsia" w:ascii="宋体" w:hAnsi="宋体" w:eastAsia="宋体" w:cs="宋体"/>
          <w:color w:val="auto"/>
          <w:spacing w:val="2"/>
          <w:sz w:val="24"/>
          <w:szCs w:val="24"/>
        </w:rPr>
        <w:t>法规、规章和政策发生变化影响工程造价的，应按自治区建设主管部门或其授权的工程造</w:t>
      </w:r>
      <w:r>
        <w:rPr>
          <w:rFonts w:hint="eastAsia" w:ascii="宋体" w:hAnsi="宋体" w:eastAsia="宋体" w:cs="宋体"/>
          <w:color w:val="auto"/>
          <w:spacing w:val="-2"/>
          <w:sz w:val="24"/>
          <w:szCs w:val="24"/>
        </w:rPr>
        <w:t>价管理机构发布的规定，按第3.5款商定或确定需调整</w:t>
      </w:r>
      <w:r>
        <w:rPr>
          <w:rFonts w:hint="eastAsia" w:ascii="宋体" w:hAnsi="宋体" w:eastAsia="宋体" w:cs="宋体"/>
          <w:color w:val="auto"/>
          <w:spacing w:val="-3"/>
          <w:sz w:val="24"/>
          <w:szCs w:val="24"/>
        </w:rPr>
        <w:t>的合同价款。</w:t>
      </w:r>
    </w:p>
    <w:p w14:paraId="1CCF5C88">
      <w:pPr>
        <w:pStyle w:val="12"/>
        <w:keepNext w:val="0"/>
        <w:keepLines w:val="0"/>
        <w:pageBreakBefore w:val="0"/>
        <w:widowControl w:val="0"/>
        <w:kinsoku/>
        <w:wordWrap w:val="0"/>
        <w:overflowPunct/>
        <w:topLinePunct w:val="0"/>
        <w:autoSpaceDE/>
        <w:autoSpaceDN/>
        <w:bidi w:val="0"/>
        <w:adjustRightInd/>
        <w:snapToGrid/>
        <w:spacing w:before="0" w:after="0" w:line="360" w:lineRule="auto"/>
        <w:ind w:right="0" w:firstLine="47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16.4</w:t>
      </w: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2"/>
          <w:sz w:val="24"/>
          <w:szCs w:val="24"/>
        </w:rPr>
        <w:t>由于上述16.1、16.2、16</w:t>
      </w:r>
      <w:r>
        <w:rPr>
          <w:rFonts w:hint="eastAsia" w:ascii="宋体" w:hAnsi="宋体" w:eastAsia="宋体" w:cs="宋体"/>
          <w:color w:val="auto"/>
          <w:spacing w:val="-3"/>
          <w:sz w:val="24"/>
          <w:szCs w:val="24"/>
        </w:rPr>
        <w:t>.3款调整引起措施项目费中的安全文明施工费、规费</w:t>
      </w:r>
      <w:r>
        <w:rPr>
          <w:rFonts w:hint="eastAsia" w:ascii="宋体" w:hAnsi="宋体" w:eastAsia="宋体" w:cs="宋体"/>
          <w:color w:val="auto"/>
          <w:spacing w:val="-2"/>
          <w:sz w:val="24"/>
          <w:szCs w:val="24"/>
        </w:rPr>
        <w:t>税金变化的，按规定的计算基础乘以规定的费率计算。</w:t>
      </w:r>
    </w:p>
    <w:p w14:paraId="70127EB9">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16.5</w:t>
      </w:r>
      <w:r>
        <w:rPr>
          <w:rFonts w:hint="eastAsia" w:ascii="宋体" w:hAnsi="宋体" w:eastAsia="宋体" w:cs="宋体"/>
          <w:color w:val="auto"/>
          <w:spacing w:val="-4"/>
          <w:sz w:val="24"/>
          <w:szCs w:val="24"/>
          <w:lang w:val="en-US" w:eastAsia="zh-CN"/>
        </w:rPr>
        <w:t xml:space="preserve">  </w:t>
      </w:r>
      <w:r>
        <w:rPr>
          <w:rFonts w:hint="eastAsia" w:ascii="宋体" w:hAnsi="宋体" w:eastAsia="宋体" w:cs="宋体"/>
          <w:color w:val="auto"/>
          <w:spacing w:val="-4"/>
          <w:sz w:val="24"/>
          <w:szCs w:val="24"/>
        </w:rPr>
        <w:t>由于承包人原因造成工期延误的，其合同价款在按本合同专用条款</w:t>
      </w:r>
      <w:r>
        <w:rPr>
          <w:rFonts w:hint="eastAsia" w:ascii="宋体" w:hAnsi="宋体" w:eastAsia="宋体" w:cs="宋体"/>
          <w:color w:val="auto"/>
          <w:spacing w:val="-5"/>
          <w:sz w:val="24"/>
          <w:szCs w:val="24"/>
        </w:rPr>
        <w:t>16.1和16.3</w:t>
      </w:r>
      <w:r>
        <w:rPr>
          <w:rFonts w:hint="eastAsia" w:ascii="宋体" w:hAnsi="宋体" w:eastAsia="宋体" w:cs="宋体"/>
          <w:color w:val="auto"/>
          <w:spacing w:val="2"/>
          <w:sz w:val="24"/>
          <w:szCs w:val="24"/>
        </w:rPr>
        <w:t>款进行调整时，其施工期价格平均价应采用原约定</w:t>
      </w:r>
      <w:r>
        <w:rPr>
          <w:rFonts w:hint="eastAsia" w:ascii="宋体" w:hAnsi="宋体" w:eastAsia="宋体" w:cs="宋体"/>
          <w:color w:val="auto"/>
          <w:spacing w:val="2"/>
          <w:sz w:val="24"/>
          <w:szCs w:val="24"/>
          <w:lang w:eastAsia="zh-CN"/>
        </w:rPr>
        <w:t>完工</w:t>
      </w:r>
      <w:r>
        <w:rPr>
          <w:rFonts w:hint="eastAsia" w:ascii="宋体" w:hAnsi="宋体" w:eastAsia="宋体" w:cs="宋体"/>
          <w:color w:val="auto"/>
          <w:spacing w:val="2"/>
          <w:sz w:val="24"/>
          <w:szCs w:val="24"/>
        </w:rPr>
        <w:t>日期与实际</w:t>
      </w:r>
      <w:r>
        <w:rPr>
          <w:rFonts w:hint="eastAsia" w:ascii="宋体" w:hAnsi="宋体" w:eastAsia="宋体" w:cs="宋体"/>
          <w:color w:val="auto"/>
          <w:spacing w:val="2"/>
          <w:sz w:val="24"/>
          <w:szCs w:val="24"/>
          <w:lang w:eastAsia="zh-CN"/>
        </w:rPr>
        <w:t>完工</w:t>
      </w:r>
      <w:r>
        <w:rPr>
          <w:rFonts w:hint="eastAsia" w:ascii="宋体" w:hAnsi="宋体" w:eastAsia="宋体" w:cs="宋体"/>
          <w:color w:val="auto"/>
          <w:spacing w:val="2"/>
          <w:sz w:val="24"/>
          <w:szCs w:val="24"/>
        </w:rPr>
        <w:t>日期的两个价格平均价中较低的一个作为施工期市场价格平均价；由于发包人原因造成工期延误的，其合同</w:t>
      </w:r>
      <w:r>
        <w:rPr>
          <w:rFonts w:hint="eastAsia" w:ascii="宋体" w:hAnsi="宋体" w:eastAsia="宋体" w:cs="宋体"/>
          <w:color w:val="auto"/>
          <w:spacing w:val="-5"/>
          <w:sz w:val="24"/>
          <w:szCs w:val="24"/>
        </w:rPr>
        <w:t>价款仍按本合同专用条款16.1和16.3款进行调整。</w:t>
      </w:r>
    </w:p>
    <w:p w14:paraId="208CA98A">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17  计量与支付</w:t>
      </w:r>
    </w:p>
    <w:p w14:paraId="42B6F7D8">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17.2</w:t>
      </w:r>
      <w:r>
        <w:rPr>
          <w:rFonts w:hint="eastAsia" w:ascii="宋体" w:hAnsi="宋体" w:eastAsia="宋体" w:cs="宋体"/>
          <w:color w:val="auto"/>
          <w:spacing w:val="5"/>
          <w:sz w:val="24"/>
          <w:szCs w:val="24"/>
        </w:rPr>
        <w:t xml:space="preserve">  </w:t>
      </w:r>
      <w:r>
        <w:rPr>
          <w:rFonts w:hint="eastAsia" w:ascii="宋体" w:hAnsi="宋体" w:eastAsia="宋体" w:cs="宋体"/>
          <w:color w:val="auto"/>
          <w:spacing w:val="-5"/>
          <w:sz w:val="24"/>
          <w:szCs w:val="24"/>
        </w:rPr>
        <w:t>预付款</w:t>
      </w:r>
    </w:p>
    <w:p w14:paraId="2330A741">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17.2.1</w:t>
      </w:r>
      <w:r>
        <w:rPr>
          <w:rFonts w:hint="eastAsia" w:ascii="宋体" w:hAnsi="宋体" w:eastAsia="宋体" w:cs="宋体"/>
          <w:color w:val="auto"/>
          <w:spacing w:val="5"/>
          <w:sz w:val="24"/>
          <w:szCs w:val="24"/>
        </w:rPr>
        <w:t xml:space="preserve">  </w:t>
      </w:r>
      <w:r>
        <w:rPr>
          <w:rFonts w:hint="eastAsia" w:ascii="宋体" w:hAnsi="宋体" w:eastAsia="宋体" w:cs="宋体"/>
          <w:color w:val="auto"/>
          <w:spacing w:val="-4"/>
          <w:sz w:val="24"/>
          <w:szCs w:val="24"/>
        </w:rPr>
        <w:t>预付款</w:t>
      </w:r>
    </w:p>
    <w:p w14:paraId="0CE99A9D">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7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本工程预付款为签约合同价30%。</w:t>
      </w:r>
    </w:p>
    <w:p w14:paraId="73B2F9FE">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68" w:firstLineChars="200"/>
        <w:jc w:val="both"/>
        <w:textAlignment w:val="auto"/>
        <w:rPr>
          <w:rFonts w:hint="eastAsia" w:ascii="宋体" w:hAnsi="宋体" w:eastAsia="宋体" w:cs="宋体"/>
          <w:color w:val="auto"/>
          <w:spacing w:val="8"/>
          <w:sz w:val="24"/>
          <w:szCs w:val="24"/>
        </w:rPr>
      </w:pPr>
      <w:r>
        <w:rPr>
          <w:rFonts w:hint="eastAsia" w:ascii="宋体" w:hAnsi="宋体" w:eastAsia="宋体" w:cs="宋体"/>
          <w:color w:val="auto"/>
          <w:spacing w:val="-3"/>
          <w:sz w:val="24"/>
          <w:szCs w:val="24"/>
        </w:rPr>
        <w:t>17.3 工程进度付款</w:t>
      </w:r>
      <w:r>
        <w:rPr>
          <w:rFonts w:hint="eastAsia" w:ascii="宋体" w:hAnsi="宋体" w:eastAsia="宋体" w:cs="宋体"/>
          <w:color w:val="auto"/>
          <w:spacing w:val="8"/>
          <w:sz w:val="24"/>
          <w:szCs w:val="24"/>
        </w:rPr>
        <w:t xml:space="preserve"> </w:t>
      </w:r>
    </w:p>
    <w:p w14:paraId="3B1A990F">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17.3.1 付款周期</w:t>
      </w:r>
    </w:p>
    <w:p w14:paraId="3C953319">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付款周期同计量周期。</w:t>
      </w:r>
    </w:p>
    <w:p w14:paraId="7B110408">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8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进度款拨付的额度为当期完成工程价款的</w:t>
      </w:r>
      <w:r>
        <w:rPr>
          <w:rFonts w:hint="eastAsia" w:ascii="宋体" w:hAnsi="宋体" w:eastAsia="宋体" w:cs="宋体"/>
          <w:color w:val="auto"/>
          <w:spacing w:val="1"/>
          <w:sz w:val="24"/>
          <w:szCs w:val="24"/>
          <w:u w:val="single" w:color="auto"/>
        </w:rPr>
        <w:t xml:space="preserve"> 80%</w:t>
      </w:r>
      <w:r>
        <w:rPr>
          <w:rFonts w:hint="eastAsia" w:ascii="宋体" w:hAnsi="宋体" w:eastAsia="宋体" w:cs="宋体"/>
          <w:color w:val="auto"/>
          <w:spacing w:val="46"/>
          <w:sz w:val="24"/>
          <w:szCs w:val="24"/>
          <w:u w:val="single" w:color="auto"/>
        </w:rPr>
        <w:t xml:space="preserve"> </w:t>
      </w:r>
      <w:r>
        <w:rPr>
          <w:rFonts w:hint="eastAsia" w:ascii="宋体" w:hAnsi="宋体" w:eastAsia="宋体" w:cs="宋体"/>
          <w:color w:val="auto"/>
          <w:spacing w:val="1"/>
          <w:sz w:val="24"/>
          <w:szCs w:val="24"/>
        </w:rPr>
        <w:t>，</w:t>
      </w:r>
      <w:r>
        <w:rPr>
          <w:rFonts w:hint="eastAsia" w:ascii="宋体" w:hAnsi="宋体" w:eastAsia="宋体" w:cs="宋体"/>
          <w:color w:val="auto"/>
          <w:spacing w:val="1"/>
          <w:sz w:val="24"/>
          <w:szCs w:val="24"/>
          <w:lang w:eastAsia="zh-CN"/>
        </w:rPr>
        <w:t>完工</w:t>
      </w:r>
      <w:r>
        <w:rPr>
          <w:rFonts w:hint="eastAsia" w:ascii="宋体" w:hAnsi="宋体" w:eastAsia="宋体" w:cs="宋体"/>
          <w:color w:val="auto"/>
          <w:spacing w:val="1"/>
          <w:sz w:val="24"/>
          <w:szCs w:val="24"/>
        </w:rPr>
        <w:t>结算报告经审核确认后支付至</w:t>
      </w:r>
      <w:r>
        <w:rPr>
          <w:rFonts w:hint="eastAsia" w:ascii="宋体" w:hAnsi="宋体" w:eastAsia="宋体" w:cs="宋体"/>
          <w:color w:val="auto"/>
          <w:spacing w:val="-2"/>
          <w:sz w:val="24"/>
          <w:szCs w:val="24"/>
        </w:rPr>
        <w:t>工程价款的</w:t>
      </w:r>
      <w:r>
        <w:rPr>
          <w:rFonts w:hint="eastAsia" w:ascii="宋体" w:hAnsi="宋体" w:eastAsia="宋体" w:cs="宋体"/>
          <w:color w:val="auto"/>
          <w:spacing w:val="-2"/>
          <w:sz w:val="24"/>
          <w:szCs w:val="24"/>
          <w:u w:val="single" w:color="auto"/>
        </w:rPr>
        <w:t>100%</w:t>
      </w:r>
      <w:r>
        <w:rPr>
          <w:rFonts w:hint="eastAsia" w:ascii="宋体" w:hAnsi="宋体" w:eastAsia="宋体" w:cs="宋体"/>
          <w:color w:val="auto"/>
          <w:spacing w:val="-2"/>
          <w:sz w:val="24"/>
          <w:szCs w:val="24"/>
        </w:rPr>
        <w:t>，保留工程价款的</w:t>
      </w:r>
      <w:r>
        <w:rPr>
          <w:rFonts w:hint="eastAsia" w:ascii="宋体" w:hAnsi="宋体" w:eastAsia="宋体" w:cs="宋体"/>
          <w:color w:val="auto"/>
          <w:spacing w:val="-88"/>
          <w:sz w:val="24"/>
          <w:szCs w:val="24"/>
        </w:rPr>
        <w:t xml:space="preserve"> </w:t>
      </w:r>
      <w:r>
        <w:rPr>
          <w:rFonts w:hint="eastAsia" w:ascii="宋体" w:hAnsi="宋体" w:eastAsia="宋体" w:cs="宋体"/>
          <w:color w:val="auto"/>
          <w:spacing w:val="-2"/>
          <w:sz w:val="24"/>
          <w:szCs w:val="24"/>
          <w:u w:val="single" w:color="auto"/>
        </w:rPr>
        <w:t xml:space="preserve">  /  </w:t>
      </w:r>
      <w:r>
        <w:rPr>
          <w:rFonts w:hint="eastAsia" w:ascii="宋体" w:hAnsi="宋体" w:eastAsia="宋体" w:cs="宋体"/>
          <w:color w:val="auto"/>
          <w:spacing w:val="-110"/>
          <w:sz w:val="24"/>
          <w:szCs w:val="24"/>
        </w:rPr>
        <w:t xml:space="preserve"> </w:t>
      </w:r>
      <w:r>
        <w:rPr>
          <w:rFonts w:hint="eastAsia" w:ascii="宋体" w:hAnsi="宋体" w:eastAsia="宋体" w:cs="宋体"/>
          <w:color w:val="auto"/>
          <w:spacing w:val="-2"/>
          <w:sz w:val="24"/>
          <w:szCs w:val="24"/>
        </w:rPr>
        <w:t>作为质量保证(保修)金。</w:t>
      </w:r>
    </w:p>
    <w:p w14:paraId="44F598DD">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17.4  质量保证金</w:t>
      </w:r>
    </w:p>
    <w:p w14:paraId="4CB7A445">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8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17.4.1  监理人应从第一个付款周期开始，在发包人的进度付款中，按进度款的</w:t>
      </w:r>
      <w:r>
        <w:rPr>
          <w:rFonts w:hint="eastAsia" w:ascii="宋体" w:hAnsi="宋体" w:eastAsia="宋体" w:cs="宋体"/>
          <w:color w:val="auto"/>
          <w:spacing w:val="-94"/>
          <w:sz w:val="24"/>
          <w:szCs w:val="24"/>
        </w:rPr>
        <w:t xml:space="preserve"> </w:t>
      </w:r>
      <w:r>
        <w:rPr>
          <w:rFonts w:hint="eastAsia" w:ascii="宋体" w:hAnsi="宋体" w:eastAsia="宋体" w:cs="宋体"/>
          <w:color w:val="auto"/>
          <w:spacing w:val="2"/>
          <w:sz w:val="24"/>
          <w:szCs w:val="24"/>
          <w:u w:val="single" w:color="auto"/>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pacing w:val="-6"/>
          <w:sz w:val="24"/>
          <w:szCs w:val="24"/>
        </w:rPr>
        <w:t>扣留质量保证金。</w:t>
      </w:r>
    </w:p>
    <w:p w14:paraId="39800A4A">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17.5</w:t>
      </w:r>
      <w:r>
        <w:rPr>
          <w:rFonts w:hint="eastAsia" w:ascii="宋体" w:hAnsi="宋体" w:eastAsia="宋体" w:cs="宋体"/>
          <w:color w:val="auto"/>
          <w:spacing w:val="7"/>
          <w:sz w:val="24"/>
          <w:szCs w:val="24"/>
        </w:rPr>
        <w:t xml:space="preserve">  </w:t>
      </w:r>
      <w:r>
        <w:rPr>
          <w:rFonts w:hint="eastAsia" w:ascii="宋体" w:hAnsi="宋体" w:eastAsia="宋体" w:cs="宋体"/>
          <w:color w:val="auto"/>
          <w:spacing w:val="-5"/>
          <w:sz w:val="24"/>
          <w:szCs w:val="24"/>
          <w:lang w:eastAsia="zh-CN"/>
        </w:rPr>
        <w:t>完工</w:t>
      </w:r>
      <w:r>
        <w:rPr>
          <w:rFonts w:hint="eastAsia" w:ascii="宋体" w:hAnsi="宋体" w:eastAsia="宋体" w:cs="宋体"/>
          <w:color w:val="auto"/>
          <w:spacing w:val="-5"/>
          <w:sz w:val="24"/>
          <w:szCs w:val="24"/>
        </w:rPr>
        <w:t>结算</w:t>
      </w:r>
    </w:p>
    <w:p w14:paraId="552AAC6C">
      <w:pPr>
        <w:pStyle w:val="12"/>
        <w:keepNext w:val="0"/>
        <w:keepLines w:val="0"/>
        <w:pageBreakBefore w:val="0"/>
        <w:widowControl w:val="0"/>
        <w:kinsoku/>
        <w:wordWrap w:val="0"/>
        <w:overflowPunct/>
        <w:topLinePunct w:val="0"/>
        <w:autoSpaceDE/>
        <w:autoSpaceDN/>
        <w:bidi w:val="0"/>
        <w:adjustRightInd/>
        <w:snapToGrid/>
        <w:spacing w:before="0" w:after="0" w:line="360" w:lineRule="auto"/>
        <w:ind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17.5.1 工程</w:t>
      </w:r>
      <w:r>
        <w:rPr>
          <w:rFonts w:hint="eastAsia" w:ascii="宋体" w:hAnsi="宋体" w:eastAsia="宋体" w:cs="宋体"/>
          <w:color w:val="auto"/>
          <w:spacing w:val="-1"/>
          <w:sz w:val="24"/>
          <w:szCs w:val="24"/>
          <w:lang w:eastAsia="zh-CN"/>
        </w:rPr>
        <w:t>完工</w:t>
      </w:r>
      <w:r>
        <w:rPr>
          <w:rFonts w:hint="eastAsia" w:ascii="宋体" w:hAnsi="宋体" w:eastAsia="宋体" w:cs="宋体"/>
          <w:color w:val="auto"/>
          <w:spacing w:val="-1"/>
          <w:sz w:val="24"/>
          <w:szCs w:val="24"/>
        </w:rPr>
        <w:t>验收报告经发包人认</w:t>
      </w:r>
      <w:r>
        <w:rPr>
          <w:rFonts w:hint="eastAsia" w:ascii="宋体" w:hAnsi="宋体" w:eastAsia="宋体" w:cs="宋体"/>
          <w:color w:val="auto"/>
          <w:spacing w:val="-1"/>
          <w:sz w:val="24"/>
          <w:szCs w:val="24"/>
          <w:highlight w:val="none"/>
        </w:rPr>
        <w:t>可后28天，承包</w:t>
      </w:r>
      <w:r>
        <w:rPr>
          <w:rFonts w:hint="eastAsia" w:ascii="宋体" w:hAnsi="宋体" w:eastAsia="宋体" w:cs="宋体"/>
          <w:color w:val="auto"/>
          <w:spacing w:val="-2"/>
          <w:sz w:val="24"/>
          <w:szCs w:val="24"/>
          <w:highlight w:val="none"/>
        </w:rPr>
        <w:t>人向发包人递交</w:t>
      </w:r>
      <w:r>
        <w:rPr>
          <w:rFonts w:hint="eastAsia" w:ascii="宋体" w:hAnsi="宋体" w:eastAsia="宋体" w:cs="宋体"/>
          <w:color w:val="auto"/>
          <w:spacing w:val="-2"/>
          <w:sz w:val="24"/>
          <w:szCs w:val="24"/>
          <w:highlight w:val="none"/>
          <w:lang w:eastAsia="zh-CN"/>
        </w:rPr>
        <w:t>完工</w:t>
      </w:r>
      <w:r>
        <w:rPr>
          <w:rFonts w:hint="eastAsia" w:ascii="宋体" w:hAnsi="宋体" w:eastAsia="宋体" w:cs="宋体"/>
          <w:color w:val="auto"/>
          <w:spacing w:val="-2"/>
          <w:sz w:val="24"/>
          <w:szCs w:val="24"/>
          <w:highlight w:val="none"/>
        </w:rPr>
        <w:t>结算报告</w:t>
      </w:r>
      <w:r>
        <w:rPr>
          <w:rFonts w:hint="eastAsia" w:ascii="宋体" w:hAnsi="宋体" w:eastAsia="宋体" w:cs="宋体"/>
          <w:color w:val="auto"/>
          <w:spacing w:val="2"/>
          <w:sz w:val="24"/>
          <w:szCs w:val="24"/>
          <w:highlight w:val="none"/>
        </w:rPr>
        <w:t>及完整的结算资料，双方按照协议书约定的合同价款及专用条款约定的合同价</w:t>
      </w:r>
      <w:r>
        <w:rPr>
          <w:rFonts w:hint="eastAsia" w:ascii="宋体" w:hAnsi="宋体" w:eastAsia="宋体" w:cs="宋体"/>
          <w:color w:val="auto"/>
          <w:spacing w:val="1"/>
          <w:sz w:val="24"/>
          <w:szCs w:val="24"/>
          <w:highlight w:val="none"/>
        </w:rPr>
        <w:t>调整内容，</w:t>
      </w:r>
      <w:r>
        <w:rPr>
          <w:rFonts w:hint="eastAsia" w:ascii="宋体" w:hAnsi="宋体" w:eastAsia="宋体" w:cs="宋体"/>
          <w:color w:val="auto"/>
          <w:spacing w:val="2"/>
          <w:sz w:val="24"/>
          <w:szCs w:val="24"/>
          <w:highlight w:val="none"/>
        </w:rPr>
        <w:t>进行工程</w:t>
      </w:r>
      <w:r>
        <w:rPr>
          <w:rFonts w:hint="eastAsia" w:ascii="宋体" w:hAnsi="宋体" w:eastAsia="宋体" w:cs="宋体"/>
          <w:color w:val="auto"/>
          <w:spacing w:val="2"/>
          <w:sz w:val="24"/>
          <w:szCs w:val="24"/>
          <w:highlight w:val="none"/>
          <w:lang w:eastAsia="zh-CN"/>
        </w:rPr>
        <w:t>完工</w:t>
      </w:r>
      <w:r>
        <w:rPr>
          <w:rFonts w:hint="eastAsia" w:ascii="宋体" w:hAnsi="宋体" w:eastAsia="宋体" w:cs="宋体"/>
          <w:color w:val="auto"/>
          <w:spacing w:val="2"/>
          <w:sz w:val="24"/>
          <w:szCs w:val="24"/>
          <w:highlight w:val="none"/>
        </w:rPr>
        <w:t>结算。若承包人拖延递交</w:t>
      </w:r>
      <w:r>
        <w:rPr>
          <w:rFonts w:hint="eastAsia" w:ascii="宋体" w:hAnsi="宋体" w:eastAsia="宋体" w:cs="宋体"/>
          <w:color w:val="auto"/>
          <w:spacing w:val="2"/>
          <w:sz w:val="24"/>
          <w:szCs w:val="24"/>
          <w:highlight w:val="none"/>
          <w:lang w:eastAsia="zh-CN"/>
        </w:rPr>
        <w:t>完工</w:t>
      </w:r>
      <w:r>
        <w:rPr>
          <w:rFonts w:hint="eastAsia" w:ascii="宋体" w:hAnsi="宋体" w:eastAsia="宋体" w:cs="宋体"/>
          <w:color w:val="auto"/>
          <w:spacing w:val="2"/>
          <w:sz w:val="24"/>
          <w:szCs w:val="24"/>
          <w:highlight w:val="none"/>
        </w:rPr>
        <w:t>结算报告及完整的结算资料，则发包人</w:t>
      </w:r>
      <w:r>
        <w:rPr>
          <w:rFonts w:hint="eastAsia" w:ascii="宋体" w:hAnsi="宋体" w:eastAsia="宋体" w:cs="宋体"/>
          <w:color w:val="auto"/>
          <w:spacing w:val="2"/>
          <w:sz w:val="24"/>
          <w:szCs w:val="24"/>
          <w:highlight w:val="none"/>
          <w:lang w:val="en-US" w:eastAsia="zh-CN"/>
        </w:rPr>
        <w:t>视实际工作情况</w:t>
      </w:r>
      <w:r>
        <w:rPr>
          <w:rFonts w:hint="eastAsia" w:ascii="宋体" w:hAnsi="宋体" w:eastAsia="宋体" w:cs="宋体"/>
          <w:color w:val="auto"/>
          <w:spacing w:val="2"/>
          <w:sz w:val="24"/>
          <w:szCs w:val="24"/>
          <w:highlight w:val="none"/>
        </w:rPr>
        <w:t>每</w:t>
      </w:r>
      <w:r>
        <w:rPr>
          <w:rFonts w:hint="eastAsia" w:ascii="宋体" w:hAnsi="宋体" w:eastAsia="宋体" w:cs="宋体"/>
          <w:color w:val="auto"/>
          <w:spacing w:val="-1"/>
          <w:sz w:val="24"/>
          <w:szCs w:val="24"/>
          <w:highlight w:val="none"/>
        </w:rPr>
        <w:t>拖延一天扣罚承包人</w:t>
      </w:r>
      <w:r>
        <w:rPr>
          <w:rFonts w:hint="eastAsia" w:ascii="宋体" w:hAnsi="宋体" w:eastAsia="宋体" w:cs="宋体"/>
          <w:color w:val="auto"/>
          <w:spacing w:val="-1"/>
          <w:sz w:val="24"/>
          <w:szCs w:val="24"/>
        </w:rPr>
        <w:t>壹仟元人民币。</w:t>
      </w:r>
    </w:p>
    <w:p w14:paraId="06CADCB4">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17.5.2发包人收到承包人递交的</w:t>
      </w:r>
      <w:r>
        <w:rPr>
          <w:rFonts w:hint="eastAsia" w:ascii="宋体" w:hAnsi="宋体" w:eastAsia="宋体" w:cs="宋体"/>
          <w:color w:val="auto"/>
          <w:spacing w:val="-4"/>
          <w:sz w:val="24"/>
          <w:szCs w:val="24"/>
          <w:lang w:eastAsia="zh-CN"/>
        </w:rPr>
        <w:t>完工</w:t>
      </w:r>
      <w:r>
        <w:rPr>
          <w:rFonts w:hint="eastAsia" w:ascii="宋体" w:hAnsi="宋体" w:eastAsia="宋体" w:cs="宋体"/>
          <w:color w:val="auto"/>
          <w:spacing w:val="-5"/>
          <w:sz w:val="24"/>
          <w:szCs w:val="24"/>
        </w:rPr>
        <w:t>结算报告及结算资料后尽快进行审核，给予确认，</w:t>
      </w:r>
      <w:r>
        <w:rPr>
          <w:rFonts w:hint="eastAsia" w:ascii="宋体" w:hAnsi="宋体" w:eastAsia="宋体" w:cs="宋体"/>
          <w:color w:val="auto"/>
          <w:spacing w:val="2"/>
          <w:sz w:val="24"/>
          <w:szCs w:val="24"/>
        </w:rPr>
        <w:t>按业主审定后的结算价款，向承包人支付工程</w:t>
      </w:r>
      <w:r>
        <w:rPr>
          <w:rFonts w:hint="eastAsia" w:ascii="宋体" w:hAnsi="宋体" w:eastAsia="宋体" w:cs="宋体"/>
          <w:color w:val="auto"/>
          <w:spacing w:val="2"/>
          <w:sz w:val="24"/>
          <w:szCs w:val="24"/>
          <w:lang w:eastAsia="zh-CN"/>
        </w:rPr>
        <w:t>完工</w:t>
      </w:r>
      <w:r>
        <w:rPr>
          <w:rFonts w:hint="eastAsia" w:ascii="宋体" w:hAnsi="宋体" w:eastAsia="宋体" w:cs="宋体"/>
          <w:color w:val="auto"/>
          <w:spacing w:val="2"/>
          <w:sz w:val="24"/>
          <w:szCs w:val="24"/>
        </w:rPr>
        <w:t>结算价款。承包人应根据发包人的需要</w:t>
      </w:r>
      <w:r>
        <w:rPr>
          <w:rFonts w:hint="eastAsia" w:ascii="宋体" w:hAnsi="宋体" w:eastAsia="宋体" w:cs="宋体"/>
          <w:color w:val="auto"/>
          <w:spacing w:val="-4"/>
          <w:sz w:val="24"/>
          <w:szCs w:val="24"/>
        </w:rPr>
        <w:t>随时将</w:t>
      </w:r>
      <w:r>
        <w:rPr>
          <w:rFonts w:hint="eastAsia" w:ascii="宋体" w:hAnsi="宋体" w:eastAsia="宋体" w:cs="宋体"/>
          <w:color w:val="auto"/>
          <w:spacing w:val="-4"/>
          <w:sz w:val="24"/>
          <w:szCs w:val="24"/>
          <w:lang w:eastAsia="zh-CN"/>
        </w:rPr>
        <w:t>完工</w:t>
      </w:r>
      <w:r>
        <w:rPr>
          <w:rFonts w:hint="eastAsia" w:ascii="宋体" w:hAnsi="宋体" w:eastAsia="宋体" w:cs="宋体"/>
          <w:color w:val="auto"/>
          <w:spacing w:val="-4"/>
          <w:sz w:val="24"/>
          <w:szCs w:val="24"/>
        </w:rPr>
        <w:t>工程交付发包人。</w:t>
      </w:r>
    </w:p>
    <w:p w14:paraId="1506C4C2">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76"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rPr>
        <w:t>17.5.3为规范施工单位结算送审行为，减</w:t>
      </w:r>
      <w:r>
        <w:rPr>
          <w:rFonts w:hint="eastAsia" w:ascii="宋体" w:hAnsi="宋体" w:eastAsia="宋体" w:cs="宋体"/>
          <w:color w:val="auto"/>
          <w:spacing w:val="-2"/>
          <w:sz w:val="24"/>
          <w:szCs w:val="24"/>
        </w:rPr>
        <w:t>少施工单位送审结算时虚报送结算价款，提</w:t>
      </w:r>
      <w:r>
        <w:rPr>
          <w:rFonts w:hint="eastAsia" w:ascii="宋体" w:hAnsi="宋体" w:eastAsia="宋体" w:cs="宋体"/>
          <w:color w:val="auto"/>
          <w:spacing w:val="-8"/>
          <w:sz w:val="24"/>
          <w:szCs w:val="24"/>
        </w:rPr>
        <w:t>高政府投资效益</w:t>
      </w:r>
      <w:r>
        <w:rPr>
          <w:rFonts w:hint="eastAsia" w:ascii="宋体" w:hAnsi="宋体" w:eastAsia="宋体" w:cs="宋体"/>
          <w:color w:val="auto"/>
          <w:spacing w:val="-8"/>
          <w:sz w:val="24"/>
          <w:szCs w:val="24"/>
          <w:lang w:eastAsia="zh-CN"/>
        </w:rPr>
        <w:t>。</w:t>
      </w:r>
    </w:p>
    <w:p w14:paraId="25DF72B5">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"17.5.3.1"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3"/>
          <w:sz w:val="24"/>
          <w:szCs w:val="24"/>
        </w:rPr>
        <w:t>17.5.3.1</w:t>
      </w:r>
      <w:r>
        <w:rPr>
          <w:rFonts w:hint="eastAsia" w:ascii="宋体" w:hAnsi="宋体" w:eastAsia="宋体" w:cs="宋体"/>
          <w:color w:val="auto"/>
          <w:spacing w:val="-3"/>
          <w:sz w:val="24"/>
          <w:szCs w:val="24"/>
        </w:rPr>
        <w:fldChar w:fldCharType="end"/>
      </w:r>
      <w:r>
        <w:rPr>
          <w:rFonts w:hint="eastAsia" w:ascii="宋体" w:hAnsi="宋体" w:eastAsia="宋体" w:cs="宋体"/>
          <w:color w:val="auto"/>
          <w:spacing w:val="-3"/>
          <w:sz w:val="24"/>
          <w:szCs w:val="24"/>
        </w:rPr>
        <w:t>经财政或审计部门审核，工程结算送审金额与审定金额相比，误差在+10%</w:t>
      </w:r>
      <w:r>
        <w:rPr>
          <w:rFonts w:hint="eastAsia" w:ascii="宋体" w:hAnsi="宋体" w:eastAsia="宋体" w:cs="宋体"/>
          <w:color w:val="auto"/>
          <w:spacing w:val="-2"/>
          <w:sz w:val="24"/>
          <w:szCs w:val="24"/>
        </w:rPr>
        <w:t>以上（含10%）的，则超出10%以上部</w:t>
      </w:r>
      <w:r>
        <w:rPr>
          <w:rFonts w:hint="eastAsia" w:ascii="宋体" w:hAnsi="宋体" w:eastAsia="宋体" w:cs="宋体"/>
          <w:color w:val="auto"/>
          <w:spacing w:val="-3"/>
          <w:sz w:val="24"/>
          <w:szCs w:val="24"/>
        </w:rPr>
        <w:t>分的审核费，由承包人承担，费用发包人从承包人的</w:t>
      </w:r>
      <w:r>
        <w:rPr>
          <w:rFonts w:hint="eastAsia" w:ascii="宋体" w:hAnsi="宋体" w:eastAsia="宋体" w:cs="宋体"/>
          <w:color w:val="auto"/>
          <w:sz w:val="24"/>
          <w:szCs w:val="24"/>
        </w:rPr>
        <w:t>结算款中相应扣除，审减率=（送审造价-审定造价）/送审造价X100%；当审</w:t>
      </w:r>
      <w:r>
        <w:rPr>
          <w:rFonts w:hint="eastAsia" w:ascii="宋体" w:hAnsi="宋体" w:eastAsia="宋体" w:cs="宋体"/>
          <w:color w:val="auto"/>
          <w:spacing w:val="-1"/>
          <w:sz w:val="24"/>
          <w:szCs w:val="24"/>
        </w:rPr>
        <w:t>减率在10%以上（含10%）时，承包人应承担的审核费=（送审金额×0.9-审定金额）×5%。</w:t>
      </w:r>
    </w:p>
    <w:p w14:paraId="197B661A">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"17.5.3.2"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1"/>
          <w:sz w:val="24"/>
          <w:szCs w:val="24"/>
        </w:rPr>
        <w:t>17.5.3.2</w:t>
      </w:r>
      <w:r>
        <w:rPr>
          <w:rFonts w:hint="eastAsia" w:ascii="宋体" w:hAnsi="宋体" w:eastAsia="宋体" w:cs="宋体"/>
          <w:color w:val="auto"/>
          <w:spacing w:val="1"/>
          <w:sz w:val="24"/>
          <w:szCs w:val="24"/>
        </w:rPr>
        <w:fldChar w:fldCharType="end"/>
      </w:r>
      <w:r>
        <w:rPr>
          <w:rFonts w:hint="eastAsia" w:ascii="宋体" w:hAnsi="宋体" w:eastAsia="宋体" w:cs="宋体"/>
          <w:color w:val="auto"/>
          <w:spacing w:val="1"/>
          <w:sz w:val="24"/>
          <w:szCs w:val="24"/>
        </w:rPr>
        <w:t>建设工程造价员负责编制的结算文件误差大，经财政或审计部门审核，并</w:t>
      </w:r>
      <w:r>
        <w:rPr>
          <w:rFonts w:hint="eastAsia" w:ascii="宋体" w:hAnsi="宋体" w:eastAsia="宋体" w:cs="宋体"/>
          <w:color w:val="auto"/>
          <w:spacing w:val="-1"/>
          <w:sz w:val="24"/>
          <w:szCs w:val="24"/>
        </w:rPr>
        <w:t>经自治区或市工程造价管理机构调查核实，误差在±6%以</w:t>
      </w:r>
      <w:r>
        <w:rPr>
          <w:rFonts w:hint="eastAsia" w:ascii="宋体" w:hAnsi="宋体" w:eastAsia="宋体" w:cs="宋体"/>
          <w:color w:val="auto"/>
          <w:spacing w:val="-2"/>
          <w:sz w:val="24"/>
          <w:szCs w:val="24"/>
        </w:rPr>
        <w:t>上（含本数）累计三次（含本数）</w:t>
      </w:r>
      <w:r>
        <w:rPr>
          <w:rFonts w:hint="eastAsia" w:ascii="宋体" w:hAnsi="宋体" w:eastAsia="宋体" w:cs="宋体"/>
          <w:color w:val="auto"/>
          <w:spacing w:val="2"/>
          <w:sz w:val="24"/>
          <w:szCs w:val="24"/>
        </w:rPr>
        <w:t>以上者，验证不合格并注销《全国建设工程造价员资格证书》和专用章。造价师有以上行</w:t>
      </w:r>
    </w:p>
    <w:p w14:paraId="154B4CC2">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7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为的，发包人将向建设行政主管部门进行通报，将其纳入不良记录。</w:t>
      </w:r>
    </w:p>
    <w:p w14:paraId="6C01CED0">
      <w:pPr>
        <w:keepNext w:val="0"/>
        <w:keepLines w:val="0"/>
        <w:pageBreakBefore w:val="0"/>
        <w:widowControl w:val="0"/>
        <w:kinsoku/>
        <w:wordWrap w:val="0"/>
        <w:overflowPunct/>
        <w:topLinePunct w:val="0"/>
        <w:autoSpaceDE/>
        <w:autoSpaceDN/>
        <w:bidi w:val="0"/>
        <w:adjustRightInd/>
        <w:snapToGrid/>
        <w:spacing w:line="360" w:lineRule="auto"/>
        <w:ind w:firstLine="47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rPr>
        <w:t>17.5.4如该项目列入审计计划，必须经审计机关审计后方可</w:t>
      </w:r>
      <w:r>
        <w:rPr>
          <w:rFonts w:hint="eastAsia" w:ascii="宋体" w:hAnsi="宋体" w:eastAsia="宋体" w:cs="宋体"/>
          <w:color w:val="auto"/>
          <w:spacing w:val="-2"/>
          <w:sz w:val="24"/>
          <w:szCs w:val="24"/>
          <w:highlight w:val="none"/>
        </w:rPr>
        <w:t>办理结算或</w:t>
      </w:r>
      <w:r>
        <w:rPr>
          <w:rFonts w:hint="eastAsia" w:ascii="宋体" w:hAnsi="宋体" w:eastAsia="宋体" w:cs="宋体"/>
          <w:color w:val="auto"/>
          <w:spacing w:val="-2"/>
          <w:sz w:val="24"/>
          <w:szCs w:val="24"/>
          <w:highlight w:val="none"/>
          <w:lang w:eastAsia="zh-CN"/>
        </w:rPr>
        <w:t>完工</w:t>
      </w:r>
      <w:r>
        <w:rPr>
          <w:rFonts w:hint="eastAsia" w:ascii="宋体" w:hAnsi="宋体" w:eastAsia="宋体" w:cs="宋体"/>
          <w:color w:val="auto"/>
          <w:spacing w:val="-2"/>
          <w:sz w:val="24"/>
          <w:szCs w:val="24"/>
          <w:highlight w:val="none"/>
        </w:rPr>
        <w:t>结算。</w:t>
      </w:r>
    </w:p>
    <w:p w14:paraId="5F3EE220">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46"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9"/>
          <w:sz w:val="24"/>
          <w:szCs w:val="24"/>
          <w:highlight w:val="none"/>
        </w:rPr>
        <w:t>18</w:t>
      </w:r>
      <w:r>
        <w:rPr>
          <w:rFonts w:hint="eastAsia" w:ascii="宋体" w:hAnsi="宋体" w:eastAsia="宋体" w:cs="宋体"/>
          <w:color w:val="auto"/>
          <w:spacing w:val="8"/>
          <w:sz w:val="24"/>
          <w:szCs w:val="24"/>
          <w:highlight w:val="none"/>
        </w:rPr>
        <w:t xml:space="preserve"> </w:t>
      </w:r>
      <w:r>
        <w:rPr>
          <w:rFonts w:hint="eastAsia" w:ascii="宋体" w:hAnsi="宋体" w:eastAsia="宋体" w:cs="宋体"/>
          <w:b/>
          <w:bCs/>
          <w:color w:val="auto"/>
          <w:spacing w:val="-9"/>
          <w:sz w:val="24"/>
          <w:szCs w:val="24"/>
          <w:highlight w:val="none"/>
          <w:lang w:eastAsia="zh-CN"/>
        </w:rPr>
        <w:t>完工</w:t>
      </w:r>
      <w:r>
        <w:rPr>
          <w:rFonts w:hint="eastAsia" w:ascii="宋体" w:hAnsi="宋体" w:eastAsia="宋体" w:cs="宋体"/>
          <w:b/>
          <w:bCs/>
          <w:color w:val="auto"/>
          <w:spacing w:val="-9"/>
          <w:sz w:val="24"/>
          <w:szCs w:val="24"/>
          <w:highlight w:val="none"/>
        </w:rPr>
        <w:t>验收</w:t>
      </w:r>
    </w:p>
    <w:p w14:paraId="52CA330C">
      <w:pPr>
        <w:pStyle w:val="12"/>
        <w:keepNext w:val="0"/>
        <w:keepLines w:val="0"/>
        <w:pageBreakBefore w:val="0"/>
        <w:widowControl w:val="0"/>
        <w:kinsoku/>
        <w:wordWrap w:val="0"/>
        <w:overflowPunct/>
        <w:topLinePunct w:val="0"/>
        <w:autoSpaceDE/>
        <w:autoSpaceDN/>
        <w:bidi w:val="0"/>
        <w:adjustRightInd/>
        <w:snapToGrid/>
        <w:spacing w:before="0" w:after="0" w:line="360" w:lineRule="auto"/>
        <w:ind w:right="0" w:firstLine="476"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18.9 工程具备</w:t>
      </w:r>
      <w:r>
        <w:rPr>
          <w:rFonts w:hint="eastAsia" w:ascii="宋体" w:hAnsi="宋体" w:eastAsia="宋体" w:cs="宋体"/>
          <w:color w:val="auto"/>
          <w:spacing w:val="-1"/>
          <w:sz w:val="24"/>
          <w:szCs w:val="24"/>
          <w:highlight w:val="none"/>
          <w:lang w:eastAsia="zh-CN"/>
        </w:rPr>
        <w:t>完工</w:t>
      </w:r>
      <w:r>
        <w:rPr>
          <w:rFonts w:hint="eastAsia" w:ascii="宋体" w:hAnsi="宋体" w:eastAsia="宋体" w:cs="宋体"/>
          <w:color w:val="auto"/>
          <w:spacing w:val="-1"/>
          <w:sz w:val="24"/>
          <w:szCs w:val="24"/>
          <w:highlight w:val="none"/>
        </w:rPr>
        <w:t>验收条件，承包人按国家工</w:t>
      </w:r>
      <w:r>
        <w:rPr>
          <w:rFonts w:hint="eastAsia" w:ascii="宋体" w:hAnsi="宋体" w:eastAsia="宋体" w:cs="宋体"/>
          <w:color w:val="auto"/>
          <w:spacing w:val="-2"/>
          <w:sz w:val="24"/>
          <w:szCs w:val="24"/>
          <w:highlight w:val="none"/>
        </w:rPr>
        <w:t>程</w:t>
      </w:r>
      <w:r>
        <w:rPr>
          <w:rFonts w:hint="eastAsia" w:ascii="宋体" w:hAnsi="宋体" w:eastAsia="宋体" w:cs="宋体"/>
          <w:color w:val="auto"/>
          <w:spacing w:val="-2"/>
          <w:sz w:val="24"/>
          <w:szCs w:val="24"/>
          <w:highlight w:val="none"/>
          <w:lang w:eastAsia="zh-CN"/>
        </w:rPr>
        <w:t>完工</w:t>
      </w:r>
      <w:r>
        <w:rPr>
          <w:rFonts w:hint="eastAsia" w:ascii="宋体" w:hAnsi="宋体" w:eastAsia="宋体" w:cs="宋体"/>
          <w:color w:val="auto"/>
          <w:spacing w:val="-2"/>
          <w:sz w:val="24"/>
          <w:szCs w:val="24"/>
          <w:highlight w:val="none"/>
        </w:rPr>
        <w:t>验收有关规定，向发包人提供完整的（含现场照片、录像）</w:t>
      </w:r>
      <w:r>
        <w:rPr>
          <w:rFonts w:hint="eastAsia" w:ascii="宋体" w:hAnsi="宋体" w:eastAsia="宋体" w:cs="宋体"/>
          <w:color w:val="auto"/>
          <w:spacing w:val="-2"/>
          <w:sz w:val="24"/>
          <w:szCs w:val="24"/>
          <w:highlight w:val="none"/>
          <w:lang w:eastAsia="zh-CN"/>
        </w:rPr>
        <w:t>完工</w:t>
      </w:r>
      <w:r>
        <w:rPr>
          <w:rFonts w:hint="eastAsia" w:ascii="宋体" w:hAnsi="宋体" w:eastAsia="宋体" w:cs="宋体"/>
          <w:color w:val="auto"/>
          <w:spacing w:val="-2"/>
          <w:sz w:val="24"/>
          <w:szCs w:val="24"/>
          <w:highlight w:val="none"/>
        </w:rPr>
        <w:t>资料一式</w:t>
      </w:r>
      <w:r>
        <w:rPr>
          <w:rFonts w:hint="eastAsia" w:ascii="宋体" w:hAnsi="宋体" w:eastAsia="宋体" w:cs="宋体"/>
          <w:color w:val="auto"/>
          <w:spacing w:val="-2"/>
          <w:sz w:val="24"/>
          <w:szCs w:val="24"/>
          <w:highlight w:val="none"/>
          <w:lang w:val="en-US" w:eastAsia="zh-CN"/>
        </w:rPr>
        <w:t>三</w:t>
      </w:r>
      <w:r>
        <w:rPr>
          <w:rFonts w:hint="eastAsia" w:ascii="宋体" w:hAnsi="宋体" w:eastAsia="宋体" w:cs="宋体"/>
          <w:color w:val="auto"/>
          <w:spacing w:val="-2"/>
          <w:sz w:val="24"/>
          <w:szCs w:val="24"/>
          <w:highlight w:val="none"/>
        </w:rPr>
        <w:t>份及</w:t>
      </w:r>
      <w:r>
        <w:rPr>
          <w:rFonts w:hint="eastAsia" w:ascii="宋体" w:hAnsi="宋体" w:eastAsia="宋体" w:cs="宋体"/>
          <w:color w:val="auto"/>
          <w:spacing w:val="-2"/>
          <w:sz w:val="24"/>
          <w:szCs w:val="24"/>
          <w:highlight w:val="none"/>
          <w:lang w:eastAsia="zh-CN"/>
        </w:rPr>
        <w:t>完工</w:t>
      </w:r>
      <w:r>
        <w:rPr>
          <w:rFonts w:hint="eastAsia" w:ascii="宋体" w:hAnsi="宋体" w:eastAsia="宋体" w:cs="宋体"/>
          <w:color w:val="auto"/>
          <w:spacing w:val="-2"/>
          <w:sz w:val="24"/>
          <w:szCs w:val="24"/>
          <w:highlight w:val="none"/>
        </w:rPr>
        <w:t>验收报告。</w:t>
      </w:r>
    </w:p>
    <w:p w14:paraId="17597AEF">
      <w:pPr>
        <w:pStyle w:val="12"/>
        <w:keepNext w:val="0"/>
        <w:keepLines w:val="0"/>
        <w:pageBreakBefore w:val="0"/>
        <w:widowControl w:val="0"/>
        <w:kinsoku/>
        <w:wordWrap w:val="0"/>
        <w:overflowPunct/>
        <w:topLinePunct w:val="0"/>
        <w:autoSpaceDE/>
        <w:autoSpaceDN/>
        <w:bidi w:val="0"/>
        <w:adjustRightInd/>
        <w:snapToGrid/>
        <w:spacing w:before="0" w:after="0" w:line="360" w:lineRule="auto"/>
        <w:ind w:firstLine="48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highlight w:val="none"/>
        </w:rPr>
        <w:t>18.10 发包人收到</w:t>
      </w:r>
      <w:r>
        <w:rPr>
          <w:rFonts w:hint="eastAsia" w:ascii="宋体" w:hAnsi="宋体" w:eastAsia="宋体" w:cs="宋体"/>
          <w:color w:val="auto"/>
          <w:spacing w:val="1"/>
          <w:sz w:val="24"/>
          <w:szCs w:val="24"/>
          <w:highlight w:val="none"/>
          <w:lang w:eastAsia="zh-CN"/>
        </w:rPr>
        <w:t>完工</w:t>
      </w:r>
      <w:r>
        <w:rPr>
          <w:rFonts w:hint="eastAsia" w:ascii="宋体" w:hAnsi="宋体" w:eastAsia="宋体" w:cs="宋体"/>
          <w:color w:val="auto"/>
          <w:spacing w:val="1"/>
          <w:sz w:val="24"/>
          <w:szCs w:val="24"/>
          <w:highlight w:val="none"/>
        </w:rPr>
        <w:t>验收报告后尽快协调有关部门组织有</w:t>
      </w:r>
      <w:r>
        <w:rPr>
          <w:rFonts w:hint="eastAsia" w:ascii="宋体" w:hAnsi="宋体" w:eastAsia="宋体" w:cs="宋体"/>
          <w:color w:val="auto"/>
          <w:spacing w:val="1"/>
          <w:sz w:val="24"/>
          <w:szCs w:val="24"/>
        </w:rPr>
        <w:t>关单位验收，并在验收后</w:t>
      </w:r>
      <w:r>
        <w:rPr>
          <w:rFonts w:hint="eastAsia" w:ascii="宋体" w:hAnsi="宋体" w:eastAsia="宋体" w:cs="宋体"/>
          <w:color w:val="auto"/>
          <w:spacing w:val="-6"/>
          <w:sz w:val="24"/>
          <w:szCs w:val="24"/>
        </w:rPr>
        <w:t>14天内给予认可或提出修改意见。承包人按要求修改，并承担由自身原因造成修改的费用。</w:t>
      </w:r>
    </w:p>
    <w:p w14:paraId="001DCD9F">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18.11 发包人收到承包人送交的</w:t>
      </w:r>
      <w:r>
        <w:rPr>
          <w:rFonts w:hint="eastAsia" w:ascii="宋体" w:hAnsi="宋体" w:eastAsia="宋体" w:cs="宋体"/>
          <w:color w:val="auto"/>
          <w:spacing w:val="-1"/>
          <w:sz w:val="24"/>
          <w:szCs w:val="24"/>
          <w:lang w:eastAsia="zh-CN"/>
        </w:rPr>
        <w:t>完工</w:t>
      </w:r>
      <w:r>
        <w:rPr>
          <w:rFonts w:hint="eastAsia" w:ascii="宋体" w:hAnsi="宋体" w:eastAsia="宋体" w:cs="宋体"/>
          <w:color w:val="auto"/>
          <w:spacing w:val="-1"/>
          <w:sz w:val="24"/>
          <w:szCs w:val="24"/>
        </w:rPr>
        <w:t>验收报告后无特</w:t>
      </w:r>
      <w:r>
        <w:rPr>
          <w:rFonts w:hint="eastAsia" w:ascii="宋体" w:hAnsi="宋体" w:eastAsia="宋体" w:cs="宋体"/>
          <w:color w:val="auto"/>
          <w:spacing w:val="-2"/>
          <w:sz w:val="24"/>
          <w:szCs w:val="24"/>
        </w:rPr>
        <w:t>殊情况不组织验收，或验收后14天内不提出修改意见的，视为</w:t>
      </w:r>
      <w:r>
        <w:rPr>
          <w:rFonts w:hint="eastAsia" w:ascii="宋体" w:hAnsi="宋体" w:eastAsia="宋体" w:cs="宋体"/>
          <w:color w:val="auto"/>
          <w:spacing w:val="-2"/>
          <w:sz w:val="24"/>
          <w:szCs w:val="24"/>
          <w:lang w:eastAsia="zh-CN"/>
        </w:rPr>
        <w:t>完工</w:t>
      </w:r>
      <w:r>
        <w:rPr>
          <w:rFonts w:hint="eastAsia" w:ascii="宋体" w:hAnsi="宋体" w:eastAsia="宋体" w:cs="宋体"/>
          <w:color w:val="auto"/>
          <w:spacing w:val="-2"/>
          <w:sz w:val="24"/>
          <w:szCs w:val="24"/>
        </w:rPr>
        <w:t>验收报告已被认可。</w:t>
      </w:r>
    </w:p>
    <w:p w14:paraId="0BC24DD1">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8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18.12 发包人收到承包人</w:t>
      </w:r>
      <w:r>
        <w:rPr>
          <w:rFonts w:hint="eastAsia" w:ascii="宋体" w:hAnsi="宋体" w:eastAsia="宋体" w:cs="宋体"/>
          <w:color w:val="auto"/>
          <w:spacing w:val="2"/>
          <w:sz w:val="24"/>
          <w:szCs w:val="24"/>
          <w:lang w:eastAsia="zh-CN"/>
        </w:rPr>
        <w:t>完工</w:t>
      </w:r>
      <w:r>
        <w:rPr>
          <w:rFonts w:hint="eastAsia" w:ascii="宋体" w:hAnsi="宋体" w:eastAsia="宋体" w:cs="宋体"/>
          <w:color w:val="auto"/>
          <w:spacing w:val="2"/>
          <w:sz w:val="24"/>
          <w:szCs w:val="24"/>
        </w:rPr>
        <w:t>验收报告后至</w:t>
      </w:r>
      <w:r>
        <w:rPr>
          <w:rFonts w:hint="eastAsia" w:ascii="宋体" w:hAnsi="宋体" w:eastAsia="宋体" w:cs="宋体"/>
          <w:color w:val="auto"/>
          <w:spacing w:val="1"/>
          <w:sz w:val="24"/>
          <w:szCs w:val="24"/>
        </w:rPr>
        <w:t>组织验收移交前工程保管及一切意外责任</w:t>
      </w:r>
      <w:r>
        <w:rPr>
          <w:rFonts w:hint="eastAsia" w:ascii="宋体" w:hAnsi="宋体" w:eastAsia="宋体" w:cs="宋体"/>
          <w:color w:val="auto"/>
          <w:spacing w:val="-6"/>
          <w:sz w:val="24"/>
          <w:szCs w:val="24"/>
        </w:rPr>
        <w:t>仍由承包人负责。</w:t>
      </w:r>
    </w:p>
    <w:p w14:paraId="2DF12AD3">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20</w:t>
      </w:r>
      <w:r>
        <w:rPr>
          <w:rFonts w:hint="eastAsia" w:ascii="宋体" w:hAnsi="宋体" w:eastAsia="宋体" w:cs="宋体"/>
          <w:color w:val="auto"/>
          <w:spacing w:val="5"/>
          <w:sz w:val="24"/>
          <w:szCs w:val="24"/>
        </w:rPr>
        <w:t xml:space="preserve">  </w:t>
      </w:r>
      <w:r>
        <w:rPr>
          <w:rFonts w:hint="eastAsia" w:ascii="宋体" w:hAnsi="宋体" w:eastAsia="宋体" w:cs="宋体"/>
          <w:color w:val="auto"/>
          <w:spacing w:val="-5"/>
          <w:sz w:val="24"/>
          <w:szCs w:val="24"/>
        </w:rPr>
        <w:t>保险</w:t>
      </w:r>
    </w:p>
    <w:p w14:paraId="3DBD029A">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20.1</w:t>
      </w:r>
      <w:r>
        <w:rPr>
          <w:rFonts w:hint="eastAsia" w:ascii="宋体" w:hAnsi="宋体" w:eastAsia="宋体" w:cs="宋体"/>
          <w:color w:val="auto"/>
          <w:spacing w:val="6"/>
          <w:sz w:val="24"/>
          <w:szCs w:val="24"/>
        </w:rPr>
        <w:t xml:space="preserve">  </w:t>
      </w:r>
      <w:r>
        <w:rPr>
          <w:rFonts w:hint="eastAsia" w:ascii="宋体" w:hAnsi="宋体" w:eastAsia="宋体" w:cs="宋体"/>
          <w:color w:val="auto"/>
          <w:spacing w:val="-3"/>
          <w:sz w:val="24"/>
          <w:szCs w:val="24"/>
        </w:rPr>
        <w:t>工程保险</w:t>
      </w:r>
    </w:p>
    <w:p w14:paraId="6439818A">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20.2  人员工伤事故的保险</w:t>
      </w:r>
    </w:p>
    <w:p w14:paraId="4834CBF7">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20.2.1  承包人员工伤事故的保险</w:t>
      </w:r>
    </w:p>
    <w:p w14:paraId="5FE5DB31">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20.2.2  发包人员工伤事故的保险</w:t>
      </w:r>
    </w:p>
    <w:p w14:paraId="4F50E36D">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20.3  人身意外伤害险</w:t>
      </w:r>
    </w:p>
    <w:p w14:paraId="25CBF0A9">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20.4  第三者责任险</w:t>
      </w:r>
    </w:p>
    <w:p w14:paraId="522421EA">
      <w:pPr>
        <w:keepNext w:val="0"/>
        <w:keepLines w:val="0"/>
        <w:pageBreakBefore w:val="0"/>
        <w:widowControl w:val="0"/>
        <w:kinsoku/>
        <w:wordWrap w:val="0"/>
        <w:overflowPunct/>
        <w:topLinePunct w:val="0"/>
        <w:autoSpaceDE/>
        <w:autoSpaceDN/>
        <w:bidi w:val="0"/>
        <w:adjustRightInd/>
        <w:snapToGrid/>
        <w:spacing w:line="360" w:lineRule="auto"/>
        <w:ind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20.5  其他保险</w:t>
      </w:r>
    </w:p>
    <w:p w14:paraId="0BC2AF7D">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21</w:t>
      </w:r>
      <w:r>
        <w:rPr>
          <w:rFonts w:hint="eastAsia" w:ascii="宋体" w:hAnsi="宋体" w:eastAsia="宋体" w:cs="宋体"/>
          <w:color w:val="auto"/>
          <w:spacing w:val="6"/>
          <w:sz w:val="24"/>
          <w:szCs w:val="24"/>
        </w:rPr>
        <w:t xml:space="preserve">  </w:t>
      </w:r>
      <w:r>
        <w:rPr>
          <w:rFonts w:hint="eastAsia" w:ascii="宋体" w:hAnsi="宋体" w:eastAsia="宋体" w:cs="宋体"/>
          <w:color w:val="auto"/>
          <w:spacing w:val="-4"/>
          <w:sz w:val="24"/>
          <w:szCs w:val="24"/>
        </w:rPr>
        <w:t>不可抗力</w:t>
      </w:r>
    </w:p>
    <w:p w14:paraId="33ABAC04">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64" w:firstLineChars="200"/>
        <w:jc w:val="both"/>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21.1 双方关于不可抗力的约定：</w:t>
      </w:r>
    </w:p>
    <w:p w14:paraId="1927457D">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4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8"/>
          <w:sz w:val="24"/>
          <w:szCs w:val="24"/>
        </w:rPr>
        <w:t>a.风力大于八级；</w:t>
      </w:r>
    </w:p>
    <w:p w14:paraId="2923B86D">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5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b.日最大降水量超过</w:t>
      </w:r>
      <w:r>
        <w:rPr>
          <w:rFonts w:hint="eastAsia" w:ascii="宋体" w:hAnsi="宋体" w:eastAsia="宋体" w:cs="宋体"/>
          <w:color w:val="auto"/>
          <w:spacing w:val="-33"/>
          <w:sz w:val="24"/>
          <w:szCs w:val="24"/>
        </w:rPr>
        <w:t xml:space="preserve"> </w:t>
      </w:r>
      <w:r>
        <w:rPr>
          <w:rFonts w:hint="eastAsia" w:ascii="宋体" w:hAnsi="宋体" w:eastAsia="宋体" w:cs="宋体"/>
          <w:color w:val="auto"/>
          <w:spacing w:val="-6"/>
          <w:sz w:val="24"/>
          <w:szCs w:val="24"/>
        </w:rPr>
        <w:t>175mm；</w:t>
      </w:r>
    </w:p>
    <w:p w14:paraId="6DF96C1B">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4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8"/>
          <w:sz w:val="24"/>
          <w:szCs w:val="24"/>
        </w:rPr>
        <w:t>c.空中飞行物坠落；</w:t>
      </w:r>
    </w:p>
    <w:p w14:paraId="7161E168">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68" w:firstLineChars="200"/>
        <w:jc w:val="both"/>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d.非发包人、承包人责任造成的爆炸、火灾。</w:t>
      </w:r>
    </w:p>
    <w:p w14:paraId="6F8E1182">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对以上几种形式，应以造成灾害和影响</w:t>
      </w:r>
    </w:p>
    <w:p w14:paraId="21E1C942">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22</w:t>
      </w:r>
      <w:r>
        <w:rPr>
          <w:rFonts w:hint="eastAsia" w:ascii="宋体" w:hAnsi="宋体" w:eastAsia="宋体" w:cs="宋体"/>
          <w:color w:val="auto"/>
          <w:spacing w:val="5"/>
          <w:sz w:val="24"/>
          <w:szCs w:val="24"/>
        </w:rPr>
        <w:t xml:space="preserve">  </w:t>
      </w:r>
      <w:r>
        <w:rPr>
          <w:rFonts w:hint="eastAsia" w:ascii="宋体" w:hAnsi="宋体" w:eastAsia="宋体" w:cs="宋体"/>
          <w:color w:val="auto"/>
          <w:spacing w:val="-5"/>
          <w:sz w:val="24"/>
          <w:szCs w:val="24"/>
        </w:rPr>
        <w:t>违约</w:t>
      </w:r>
    </w:p>
    <w:p w14:paraId="0E716C2B">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22.1  承包人违约</w:t>
      </w:r>
    </w:p>
    <w:p w14:paraId="5B1185E0">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22.1.1  承包人违约的情形</w:t>
      </w:r>
      <w:r>
        <w:rPr>
          <w:rFonts w:hint="eastAsia" w:ascii="宋体" w:hAnsi="宋体" w:eastAsia="宋体" w:cs="宋体"/>
          <w:color w:val="auto"/>
          <w:spacing w:val="-3"/>
          <w:sz w:val="24"/>
          <w:szCs w:val="24"/>
        </w:rPr>
        <w:t>在履行合同过程中发生的下列情况属承包人违约：</w:t>
      </w:r>
    </w:p>
    <w:p w14:paraId="3609CA16">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8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（1）承包人违反第1.8款或第4.3款</w:t>
      </w:r>
      <w:r>
        <w:rPr>
          <w:rFonts w:hint="eastAsia" w:ascii="宋体" w:hAnsi="宋体" w:eastAsia="宋体" w:cs="宋体"/>
          <w:color w:val="auto"/>
          <w:sz w:val="24"/>
          <w:szCs w:val="24"/>
        </w:rPr>
        <w:t>的约定，私自将合同的全部或部分权利转让</w:t>
      </w:r>
      <w:r>
        <w:rPr>
          <w:rFonts w:hint="eastAsia" w:ascii="宋体" w:hAnsi="宋体" w:eastAsia="宋体" w:cs="宋体"/>
          <w:color w:val="auto"/>
          <w:spacing w:val="-3"/>
          <w:sz w:val="24"/>
          <w:szCs w:val="24"/>
        </w:rPr>
        <w:t>给其他人，或私自将合同的全部或部分义务转移给其他人；</w:t>
      </w:r>
    </w:p>
    <w:p w14:paraId="1713D87E">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8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（2）承包人违反第5.3款或第6.4款的约定，未经监理人批准，私</w:t>
      </w:r>
      <w:r>
        <w:rPr>
          <w:rFonts w:hint="eastAsia" w:ascii="宋体" w:hAnsi="宋体" w:eastAsia="宋体" w:cs="宋体"/>
          <w:color w:val="auto"/>
          <w:sz w:val="24"/>
          <w:szCs w:val="24"/>
        </w:rPr>
        <w:t>自将已按合同</w:t>
      </w:r>
      <w:r>
        <w:rPr>
          <w:rFonts w:hint="eastAsia" w:ascii="宋体" w:hAnsi="宋体" w:eastAsia="宋体" w:cs="宋体"/>
          <w:color w:val="auto"/>
          <w:spacing w:val="-3"/>
          <w:sz w:val="24"/>
          <w:szCs w:val="24"/>
        </w:rPr>
        <w:t>约定进入施工场地的施工设备、临时设施或材料撤离施工场地；</w:t>
      </w:r>
    </w:p>
    <w:p w14:paraId="00C5E785">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（3）承包人违反第5.4款的约定使用了不合格材料或工程设备，工程</w:t>
      </w:r>
      <w:r>
        <w:rPr>
          <w:rFonts w:hint="eastAsia" w:ascii="宋体" w:hAnsi="宋体" w:eastAsia="宋体" w:cs="宋体"/>
          <w:color w:val="auto"/>
          <w:spacing w:val="-2"/>
          <w:sz w:val="24"/>
          <w:szCs w:val="24"/>
        </w:rPr>
        <w:t>质量达不到标</w:t>
      </w:r>
      <w:r>
        <w:rPr>
          <w:rFonts w:hint="eastAsia" w:ascii="宋体" w:hAnsi="宋体" w:eastAsia="宋体" w:cs="宋体"/>
          <w:color w:val="auto"/>
          <w:spacing w:val="-5"/>
          <w:sz w:val="24"/>
          <w:szCs w:val="24"/>
        </w:rPr>
        <w:t>准要求，又拒绝清除不合格工程；</w:t>
      </w:r>
    </w:p>
    <w:p w14:paraId="496C0166">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7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（4）承包人未能按合同及时完成合同约定的工作，已造成或预期造成工期延误；</w:t>
      </w:r>
    </w:p>
    <w:p w14:paraId="539DDE32">
      <w:pPr>
        <w:pStyle w:val="12"/>
        <w:keepNext w:val="0"/>
        <w:keepLines w:val="0"/>
        <w:pageBreakBefore w:val="0"/>
        <w:widowControl w:val="0"/>
        <w:kinsoku/>
        <w:wordWrap w:val="0"/>
        <w:overflowPunct/>
        <w:topLinePunct w:val="0"/>
        <w:autoSpaceDE/>
        <w:autoSpaceDN/>
        <w:bidi w:val="0"/>
        <w:adjustRightInd/>
        <w:snapToGrid/>
        <w:spacing w:before="0" w:after="0" w:line="360" w:lineRule="auto"/>
        <w:ind w:right="0" w:firstLine="48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（5）承包人在缺陷责任期内，未能对工程接收证书</w:t>
      </w:r>
      <w:r>
        <w:rPr>
          <w:rFonts w:hint="eastAsia" w:ascii="宋体" w:hAnsi="宋体" w:eastAsia="宋体" w:cs="宋体"/>
          <w:color w:val="auto"/>
          <w:spacing w:val="1"/>
          <w:sz w:val="24"/>
          <w:szCs w:val="24"/>
        </w:rPr>
        <w:t>所列的缺陷清单的内容或缺陷责</w:t>
      </w:r>
      <w:r>
        <w:rPr>
          <w:rFonts w:hint="eastAsia" w:ascii="宋体" w:hAnsi="宋体" w:eastAsia="宋体" w:cs="宋体"/>
          <w:color w:val="auto"/>
          <w:spacing w:val="-2"/>
          <w:sz w:val="24"/>
          <w:szCs w:val="24"/>
        </w:rPr>
        <w:t>任期内发生的缺陷进行修复，而又拒绝按监理人指示</w:t>
      </w:r>
      <w:r>
        <w:rPr>
          <w:rFonts w:hint="eastAsia" w:ascii="宋体" w:hAnsi="宋体" w:eastAsia="宋体" w:cs="宋体"/>
          <w:color w:val="auto"/>
          <w:spacing w:val="-3"/>
          <w:sz w:val="24"/>
          <w:szCs w:val="24"/>
        </w:rPr>
        <w:t>再进行修补；</w:t>
      </w:r>
    </w:p>
    <w:p w14:paraId="7E31C5CF">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7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（6）承包人无法继续履行或明确表示不履行或实质上</w:t>
      </w:r>
      <w:r>
        <w:rPr>
          <w:rFonts w:hint="eastAsia" w:ascii="宋体" w:hAnsi="宋体" w:eastAsia="宋体" w:cs="宋体"/>
          <w:color w:val="auto"/>
          <w:spacing w:val="-3"/>
          <w:sz w:val="24"/>
          <w:szCs w:val="24"/>
        </w:rPr>
        <w:t>已停止履行合同；</w:t>
      </w:r>
    </w:p>
    <w:p w14:paraId="075FD4BB">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（7）承包人不按合同约定履行义务的其他情况。</w:t>
      </w:r>
    </w:p>
    <w:p w14:paraId="04FAD4FB">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22.1.2对承包人违约的处理</w:t>
      </w:r>
    </w:p>
    <w:p w14:paraId="64473DDE">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（1）承包人发生第22.1.1（6）目约定的违约情况时，发包人可通知承包人</w:t>
      </w:r>
      <w:r>
        <w:rPr>
          <w:rFonts w:hint="eastAsia" w:ascii="宋体" w:hAnsi="宋体" w:eastAsia="宋体" w:cs="宋体"/>
          <w:color w:val="auto"/>
          <w:spacing w:val="-2"/>
          <w:sz w:val="24"/>
          <w:szCs w:val="24"/>
        </w:rPr>
        <w:t>立即解</w:t>
      </w:r>
      <w:r>
        <w:rPr>
          <w:rFonts w:hint="eastAsia" w:ascii="宋体" w:hAnsi="宋体" w:eastAsia="宋体" w:cs="宋体"/>
          <w:color w:val="auto"/>
          <w:spacing w:val="-5"/>
          <w:sz w:val="24"/>
          <w:szCs w:val="24"/>
        </w:rPr>
        <w:t>除合同，并按有关法律处理。</w:t>
      </w:r>
    </w:p>
    <w:p w14:paraId="410D60AB">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7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（2）承包人发生除第22.1.1（6）目约定以外的其他违约情</w:t>
      </w:r>
      <w:r>
        <w:rPr>
          <w:rFonts w:hint="eastAsia" w:ascii="宋体" w:hAnsi="宋体" w:eastAsia="宋体" w:cs="宋体"/>
          <w:color w:val="auto"/>
          <w:spacing w:val="-3"/>
          <w:sz w:val="24"/>
          <w:szCs w:val="24"/>
        </w:rPr>
        <w:t>况时，监理人可向承包</w:t>
      </w:r>
      <w:r>
        <w:rPr>
          <w:rFonts w:hint="eastAsia" w:ascii="宋体" w:hAnsi="宋体" w:eastAsia="宋体" w:cs="宋体"/>
          <w:color w:val="auto"/>
          <w:spacing w:val="2"/>
          <w:sz w:val="24"/>
          <w:szCs w:val="24"/>
        </w:rPr>
        <w:t>人发出整改通知，要求其在指定的期限内改正。承包人应承担其违约所引起的费用增加和</w:t>
      </w:r>
      <w:r>
        <w:rPr>
          <w:rFonts w:hint="eastAsia" w:ascii="宋体" w:hAnsi="宋体" w:eastAsia="宋体" w:cs="宋体"/>
          <w:color w:val="auto"/>
          <w:spacing w:val="-6"/>
          <w:sz w:val="24"/>
          <w:szCs w:val="24"/>
        </w:rPr>
        <w:t>（或）工期延误。</w:t>
      </w:r>
    </w:p>
    <w:p w14:paraId="26F46C71">
      <w:pPr>
        <w:keepNext w:val="0"/>
        <w:keepLines w:val="0"/>
        <w:pageBreakBefore w:val="0"/>
        <w:widowControl w:val="0"/>
        <w:kinsoku/>
        <w:wordWrap w:val="0"/>
        <w:overflowPunct/>
        <w:topLinePunct w:val="0"/>
        <w:autoSpaceDE/>
        <w:autoSpaceDN/>
        <w:bidi w:val="0"/>
        <w:adjustRightInd/>
        <w:snapToGrid/>
        <w:spacing w:line="360" w:lineRule="auto"/>
        <w:ind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（3）经检查证明承包人已采取了有效措施纠正</w:t>
      </w:r>
      <w:r>
        <w:rPr>
          <w:rFonts w:hint="eastAsia" w:ascii="宋体" w:hAnsi="宋体" w:eastAsia="宋体" w:cs="宋体"/>
          <w:color w:val="auto"/>
          <w:spacing w:val="-2"/>
          <w:sz w:val="24"/>
          <w:szCs w:val="24"/>
        </w:rPr>
        <w:t>违约行为，具备复工条件的，可由监理</w:t>
      </w:r>
      <w:r>
        <w:rPr>
          <w:rFonts w:hint="eastAsia" w:ascii="宋体" w:hAnsi="宋体" w:eastAsia="宋体" w:cs="宋体"/>
          <w:color w:val="auto"/>
          <w:spacing w:val="-5"/>
          <w:sz w:val="24"/>
          <w:szCs w:val="24"/>
        </w:rPr>
        <w:t>人签发复工通知复工。</w:t>
      </w:r>
    </w:p>
    <w:p w14:paraId="4C8F3E0C">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24</w:t>
      </w:r>
      <w:r>
        <w:rPr>
          <w:rFonts w:hint="eastAsia" w:ascii="宋体" w:hAnsi="宋体" w:eastAsia="宋体" w:cs="宋体"/>
          <w:color w:val="auto"/>
          <w:spacing w:val="8"/>
          <w:sz w:val="24"/>
          <w:szCs w:val="24"/>
        </w:rPr>
        <w:t xml:space="preserve"> </w:t>
      </w:r>
      <w:r>
        <w:rPr>
          <w:rFonts w:hint="eastAsia" w:ascii="宋体" w:hAnsi="宋体" w:eastAsia="宋体" w:cs="宋体"/>
          <w:color w:val="auto"/>
          <w:spacing w:val="-4"/>
          <w:sz w:val="24"/>
          <w:szCs w:val="24"/>
        </w:rPr>
        <w:t>争议的解决</w:t>
      </w:r>
    </w:p>
    <w:p w14:paraId="7B519357">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24.1  争议的解决方式</w:t>
      </w:r>
    </w:p>
    <w:p w14:paraId="31C5F3CC">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发包人和承包人在履行合同中发生争议的，可以友好协商解决或者提</w:t>
      </w:r>
      <w:r>
        <w:rPr>
          <w:rFonts w:hint="eastAsia" w:ascii="宋体" w:hAnsi="宋体" w:eastAsia="宋体" w:cs="宋体"/>
          <w:color w:val="auto"/>
          <w:spacing w:val="-2"/>
          <w:sz w:val="24"/>
          <w:szCs w:val="24"/>
        </w:rPr>
        <w:t>请争议评审组评</w:t>
      </w:r>
      <w:r>
        <w:rPr>
          <w:rFonts w:hint="eastAsia" w:ascii="宋体" w:hAnsi="宋体" w:eastAsia="宋体" w:cs="宋体"/>
          <w:color w:val="auto"/>
          <w:spacing w:val="2"/>
          <w:sz w:val="24"/>
          <w:szCs w:val="24"/>
        </w:rPr>
        <w:t>审。合同当事人友好协商解决不成、不愿提请争议评审或者不接受争议评审组意</w:t>
      </w:r>
      <w:r>
        <w:rPr>
          <w:rFonts w:hint="eastAsia" w:ascii="宋体" w:hAnsi="宋体" w:eastAsia="宋体" w:cs="宋体"/>
          <w:color w:val="auto"/>
          <w:spacing w:val="1"/>
          <w:sz w:val="24"/>
          <w:szCs w:val="24"/>
        </w:rPr>
        <w:t>见的，按</w:t>
      </w:r>
      <w:r>
        <w:rPr>
          <w:rFonts w:hint="eastAsia" w:ascii="宋体" w:hAnsi="宋体" w:eastAsia="宋体" w:cs="宋体"/>
          <w:color w:val="auto"/>
          <w:spacing w:val="-8"/>
          <w:sz w:val="24"/>
          <w:szCs w:val="24"/>
        </w:rPr>
        <w:t>下列</w:t>
      </w:r>
      <w:r>
        <w:rPr>
          <w:rFonts w:hint="eastAsia" w:ascii="宋体" w:hAnsi="宋体" w:eastAsia="宋体" w:cs="宋体"/>
          <w:color w:val="auto"/>
          <w:spacing w:val="-8"/>
          <w:sz w:val="24"/>
          <w:szCs w:val="24"/>
          <w:u w:val="single" w:color="auto"/>
        </w:rPr>
        <w:t>(2)</w:t>
      </w:r>
      <w:r>
        <w:rPr>
          <w:rFonts w:hint="eastAsia" w:ascii="宋体" w:hAnsi="宋体" w:eastAsia="宋体" w:cs="宋体"/>
          <w:color w:val="auto"/>
          <w:spacing w:val="-8"/>
          <w:sz w:val="24"/>
          <w:szCs w:val="24"/>
        </w:rPr>
        <w:t>种方式解决。</w:t>
      </w:r>
    </w:p>
    <w:p w14:paraId="3E80AFAA">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（1）向约定的仲裁委员会申请仲裁(向柳州仲裁委员会提请仲裁，双方同意仲裁为最终裁决)；</w:t>
      </w:r>
    </w:p>
    <w:p w14:paraId="2BC097BC">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（2）向有管辖权的人民法院提起诉讼。</w:t>
      </w:r>
    </w:p>
    <w:p w14:paraId="32A8FE0D">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70" w:firstLineChars="200"/>
        <w:jc w:val="both"/>
        <w:textAlignment w:val="auto"/>
        <w:rPr>
          <w:rFonts w:hint="eastAsia" w:ascii="宋体" w:hAnsi="宋体" w:eastAsia="宋体" w:cs="宋体"/>
          <w:color w:val="auto"/>
          <w:sz w:val="24"/>
          <w:szCs w:val="24"/>
        </w:rPr>
      </w:pPr>
      <w:r>
        <w:rPr>
          <w:rFonts w:hint="eastAsia" w:ascii="宋体" w:hAnsi="宋体" w:eastAsia="宋体" w:cs="宋体"/>
          <w:b/>
          <w:bCs/>
          <w:color w:val="auto"/>
          <w:spacing w:val="-3"/>
          <w:sz w:val="24"/>
          <w:szCs w:val="24"/>
        </w:rPr>
        <w:t>25</w:t>
      </w:r>
      <w:r>
        <w:rPr>
          <w:rFonts w:hint="eastAsia" w:ascii="宋体" w:hAnsi="宋体" w:eastAsia="宋体" w:cs="宋体"/>
          <w:color w:val="auto"/>
          <w:spacing w:val="-3"/>
          <w:sz w:val="24"/>
          <w:szCs w:val="24"/>
        </w:rPr>
        <w:t xml:space="preserve"> </w:t>
      </w:r>
      <w:r>
        <w:rPr>
          <w:rFonts w:hint="eastAsia" w:ascii="宋体" w:hAnsi="宋体" w:eastAsia="宋体" w:cs="宋体"/>
          <w:b/>
          <w:bCs/>
          <w:color w:val="auto"/>
          <w:spacing w:val="-3"/>
          <w:sz w:val="24"/>
          <w:szCs w:val="24"/>
        </w:rPr>
        <w:t>补充条款</w:t>
      </w:r>
    </w:p>
    <w:p w14:paraId="49FB839F">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72" w:firstLineChars="200"/>
        <w:jc w:val="both"/>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2"/>
          <w:sz w:val="24"/>
          <w:szCs w:val="24"/>
        </w:rPr>
        <w:t>25.1</w:t>
      </w:r>
      <w:r>
        <w:rPr>
          <w:rFonts w:hint="eastAsia" w:ascii="宋体" w:hAnsi="宋体" w:eastAsia="宋体" w:cs="宋体"/>
          <w:color w:val="auto"/>
          <w:spacing w:val="39"/>
          <w:sz w:val="24"/>
          <w:szCs w:val="24"/>
        </w:rPr>
        <w:t xml:space="preserve"> </w:t>
      </w:r>
      <w:r>
        <w:rPr>
          <w:rFonts w:hint="eastAsia" w:ascii="宋体" w:hAnsi="宋体" w:eastAsia="宋体" w:cs="宋体"/>
          <w:color w:val="auto"/>
          <w:spacing w:val="-2"/>
          <w:sz w:val="24"/>
          <w:szCs w:val="24"/>
        </w:rPr>
        <w:t>由于征地拆迁原因引起延期开工或工期顺延，承包人可提出顺</w:t>
      </w:r>
      <w:r>
        <w:rPr>
          <w:rFonts w:hint="eastAsia" w:ascii="宋体" w:hAnsi="宋体" w:eastAsia="宋体" w:cs="宋体"/>
          <w:color w:val="auto"/>
          <w:spacing w:val="-3"/>
          <w:sz w:val="24"/>
          <w:szCs w:val="24"/>
        </w:rPr>
        <w:t>延工期索赔，但发</w:t>
      </w:r>
      <w:r>
        <w:rPr>
          <w:rFonts w:hint="eastAsia" w:ascii="宋体" w:hAnsi="宋体" w:eastAsia="宋体" w:cs="宋体"/>
          <w:color w:val="auto"/>
          <w:spacing w:val="-4"/>
          <w:sz w:val="24"/>
          <w:szCs w:val="24"/>
        </w:rPr>
        <w:t>包人不补偿相关费用。</w:t>
      </w:r>
    </w:p>
    <w:p w14:paraId="3585E8B7">
      <w:pPr>
        <w:rPr>
          <w:color w:val="auto"/>
          <w:spacing w:val="-4"/>
          <w:sz w:val="24"/>
          <w:szCs w:val="24"/>
        </w:rPr>
      </w:pPr>
      <w:r>
        <w:rPr>
          <w:color w:val="auto"/>
          <w:spacing w:val="-4"/>
          <w:sz w:val="24"/>
          <w:szCs w:val="24"/>
        </w:rPr>
        <w:br w:type="page"/>
      </w:r>
    </w:p>
    <w:p w14:paraId="6B1DC109">
      <w:pPr>
        <w:pStyle w:val="12"/>
        <w:wordWrap w:val="0"/>
        <w:spacing w:before="0" w:line="360" w:lineRule="auto"/>
        <w:ind w:left="0" w:right="0" w:firstLine="0" w:firstLineChars="0"/>
        <w:jc w:val="center"/>
        <w:rPr>
          <w:color w:val="auto"/>
          <w:sz w:val="24"/>
          <w:szCs w:val="24"/>
        </w:rPr>
      </w:pPr>
      <w:r>
        <w:rPr>
          <w:rFonts w:ascii="宋体" w:hAnsi="宋体" w:eastAsia="宋体" w:cs="宋体"/>
          <w:b/>
          <w:bCs/>
          <w:color w:val="auto"/>
          <w:spacing w:val="6"/>
          <w:sz w:val="31"/>
          <w:szCs w:val="31"/>
        </w:rPr>
        <w:t>第四部分  合同附件</w:t>
      </w:r>
    </w:p>
    <w:p w14:paraId="3C00BA2A">
      <w:pPr>
        <w:pStyle w:val="12"/>
        <w:wordWrap w:val="0"/>
        <w:spacing w:before="0" w:line="360" w:lineRule="auto"/>
        <w:ind w:left="0"/>
        <w:rPr>
          <w:color w:val="auto"/>
          <w:sz w:val="24"/>
          <w:szCs w:val="24"/>
        </w:rPr>
      </w:pPr>
      <w:r>
        <w:rPr>
          <w:b/>
          <w:bCs/>
          <w:color w:val="auto"/>
          <w:spacing w:val="-12"/>
          <w:sz w:val="24"/>
          <w:szCs w:val="24"/>
        </w:rPr>
        <w:t>附件</w:t>
      </w:r>
      <w:r>
        <w:rPr>
          <w:color w:val="auto"/>
          <w:spacing w:val="-32"/>
          <w:sz w:val="24"/>
          <w:szCs w:val="24"/>
        </w:rPr>
        <w:t xml:space="preserve"> </w:t>
      </w:r>
      <w:r>
        <w:rPr>
          <w:b/>
          <w:bCs/>
          <w:color w:val="auto"/>
          <w:spacing w:val="-12"/>
          <w:sz w:val="24"/>
          <w:szCs w:val="24"/>
        </w:rPr>
        <w:t>1</w:t>
      </w:r>
    </w:p>
    <w:p w14:paraId="7601FCB2">
      <w:pPr>
        <w:pStyle w:val="12"/>
        <w:wordWrap w:val="0"/>
        <w:spacing w:before="0" w:line="360" w:lineRule="auto"/>
        <w:ind w:left="0"/>
        <w:jc w:val="center"/>
        <w:rPr>
          <w:color w:val="auto"/>
          <w:sz w:val="24"/>
          <w:szCs w:val="24"/>
        </w:rPr>
      </w:pPr>
      <w:r>
        <w:rPr>
          <w:b/>
          <w:bCs/>
          <w:color w:val="auto"/>
          <w:spacing w:val="-12"/>
          <w:sz w:val="24"/>
          <w:szCs w:val="24"/>
        </w:rPr>
        <w:t>补</w:t>
      </w:r>
      <w:r>
        <w:rPr>
          <w:color w:val="auto"/>
          <w:spacing w:val="18"/>
          <w:sz w:val="24"/>
          <w:szCs w:val="24"/>
        </w:rPr>
        <w:t xml:space="preserve"> </w:t>
      </w:r>
      <w:r>
        <w:rPr>
          <w:b/>
          <w:bCs/>
          <w:color w:val="auto"/>
          <w:spacing w:val="-12"/>
          <w:sz w:val="24"/>
          <w:szCs w:val="24"/>
        </w:rPr>
        <w:t>充</w:t>
      </w:r>
      <w:r>
        <w:rPr>
          <w:color w:val="auto"/>
          <w:spacing w:val="12"/>
          <w:sz w:val="24"/>
          <w:szCs w:val="24"/>
        </w:rPr>
        <w:t xml:space="preserve"> </w:t>
      </w:r>
      <w:r>
        <w:rPr>
          <w:b/>
          <w:bCs/>
          <w:color w:val="auto"/>
          <w:spacing w:val="-12"/>
          <w:sz w:val="24"/>
          <w:szCs w:val="24"/>
        </w:rPr>
        <w:t>协</w:t>
      </w:r>
      <w:r>
        <w:rPr>
          <w:color w:val="auto"/>
          <w:spacing w:val="12"/>
          <w:sz w:val="24"/>
          <w:szCs w:val="24"/>
        </w:rPr>
        <w:t xml:space="preserve"> </w:t>
      </w:r>
      <w:r>
        <w:rPr>
          <w:b/>
          <w:bCs/>
          <w:color w:val="auto"/>
          <w:spacing w:val="-12"/>
          <w:sz w:val="24"/>
          <w:szCs w:val="24"/>
        </w:rPr>
        <w:t>议</w:t>
      </w:r>
      <w:r>
        <w:rPr>
          <w:color w:val="auto"/>
          <w:spacing w:val="16"/>
          <w:sz w:val="24"/>
          <w:szCs w:val="24"/>
        </w:rPr>
        <w:t xml:space="preserve"> </w:t>
      </w:r>
      <w:r>
        <w:rPr>
          <w:b/>
          <w:bCs/>
          <w:color w:val="auto"/>
          <w:spacing w:val="-12"/>
          <w:sz w:val="24"/>
          <w:szCs w:val="24"/>
        </w:rPr>
        <w:t>书</w:t>
      </w:r>
    </w:p>
    <w:p w14:paraId="191CA32D">
      <w:pPr>
        <w:pStyle w:val="12"/>
        <w:keepNext w:val="0"/>
        <w:keepLines w:val="0"/>
        <w:pageBreakBefore w:val="0"/>
        <w:widowControl w:val="0"/>
        <w:kinsoku/>
        <w:wordWrap w:val="0"/>
        <w:overflowPunct/>
        <w:topLinePunct w:val="0"/>
        <w:autoSpaceDE/>
        <w:autoSpaceDN/>
        <w:bidi w:val="0"/>
        <w:adjustRightInd/>
        <w:snapToGrid/>
        <w:spacing w:before="0" w:after="0" w:line="360" w:lineRule="auto"/>
        <w:ind w:right="0" w:firstLine="484" w:firstLineChars="200"/>
        <w:jc w:val="both"/>
        <w:textAlignment w:val="auto"/>
        <w:rPr>
          <w:color w:val="auto"/>
          <w:sz w:val="24"/>
          <w:szCs w:val="24"/>
        </w:rPr>
      </w:pPr>
      <w:r>
        <w:rPr>
          <w:color w:val="auto"/>
          <w:spacing w:val="1"/>
          <w:sz w:val="24"/>
          <w:szCs w:val="24"/>
        </w:rPr>
        <w:t>本补充协议书是</w:t>
      </w:r>
      <w:r>
        <w:rPr>
          <w:color w:val="auto"/>
          <w:spacing w:val="1"/>
          <w:sz w:val="24"/>
          <w:szCs w:val="24"/>
          <w:u w:val="single" w:color="auto"/>
        </w:rPr>
        <w:t xml:space="preserve"> 柳州市防洪排涝工程管理处</w:t>
      </w:r>
      <w:r>
        <w:rPr>
          <w:color w:val="auto"/>
          <w:spacing w:val="1"/>
          <w:sz w:val="24"/>
          <w:szCs w:val="24"/>
        </w:rPr>
        <w:t>（下称“发包人”）和</w:t>
      </w:r>
      <w:r>
        <w:rPr>
          <w:rFonts w:hint="eastAsia"/>
          <w:color w:val="auto"/>
          <w:spacing w:val="1"/>
          <w:sz w:val="24"/>
          <w:szCs w:val="24"/>
          <w:u w:val="single" w:color="auto"/>
          <w:lang w:eastAsia="zh-CN"/>
        </w:rPr>
        <w:t xml:space="preserve">     </w:t>
      </w:r>
      <w:r>
        <w:rPr>
          <w:color w:val="auto"/>
          <w:spacing w:val="1"/>
          <w:sz w:val="24"/>
          <w:szCs w:val="24"/>
          <w:u w:val="single" w:color="auto"/>
        </w:rPr>
        <w:t xml:space="preserve"> </w:t>
      </w:r>
      <w:r>
        <w:rPr>
          <w:color w:val="auto"/>
          <w:spacing w:val="1"/>
          <w:sz w:val="24"/>
          <w:szCs w:val="24"/>
        </w:rPr>
        <w:t>（下称“承</w:t>
      </w:r>
      <w:r>
        <w:rPr>
          <w:color w:val="auto"/>
          <w:spacing w:val="-6"/>
          <w:sz w:val="24"/>
          <w:szCs w:val="24"/>
        </w:rPr>
        <w:t>包人”）在</w:t>
      </w:r>
      <w:r>
        <w:rPr>
          <w:rFonts w:hint="eastAsia"/>
          <w:color w:val="auto"/>
          <w:spacing w:val="-6"/>
          <w:sz w:val="24"/>
          <w:szCs w:val="24"/>
          <w:u w:val="single" w:color="auto"/>
          <w:lang w:eastAsia="zh-CN"/>
        </w:rPr>
        <w:t xml:space="preserve"> 泵站、堤防护坡清理维护工程（2025年）</w:t>
      </w:r>
      <w:r>
        <w:rPr>
          <w:color w:val="auto"/>
          <w:spacing w:val="-6"/>
          <w:sz w:val="24"/>
          <w:szCs w:val="24"/>
        </w:rPr>
        <w:t>合同谈判中于</w:t>
      </w:r>
      <w:r>
        <w:rPr>
          <w:color w:val="auto"/>
          <w:spacing w:val="-6"/>
          <w:sz w:val="24"/>
          <w:szCs w:val="24"/>
          <w:u w:val="single" w:color="auto"/>
        </w:rPr>
        <w:t xml:space="preserve"> </w:t>
      </w:r>
      <w:r>
        <w:rPr>
          <w:color w:val="auto"/>
          <w:spacing w:val="-7"/>
          <w:sz w:val="24"/>
          <w:szCs w:val="24"/>
          <w:u w:val="single" w:color="auto"/>
        </w:rPr>
        <w:t xml:space="preserve"> 202</w:t>
      </w:r>
      <w:r>
        <w:rPr>
          <w:rFonts w:hint="eastAsia"/>
          <w:color w:val="auto"/>
          <w:spacing w:val="-7"/>
          <w:sz w:val="24"/>
          <w:szCs w:val="24"/>
          <w:u w:val="single" w:color="auto"/>
          <w:lang w:val="en-US" w:eastAsia="zh-CN"/>
        </w:rPr>
        <w:t>5</w:t>
      </w:r>
      <w:r>
        <w:rPr>
          <w:color w:val="auto"/>
          <w:spacing w:val="-7"/>
          <w:sz w:val="24"/>
          <w:szCs w:val="24"/>
        </w:rPr>
        <w:t>年</w:t>
      </w:r>
      <w:r>
        <w:rPr>
          <w:color w:val="auto"/>
          <w:spacing w:val="-7"/>
          <w:sz w:val="24"/>
          <w:szCs w:val="24"/>
          <w:u w:val="single" w:color="auto"/>
        </w:rPr>
        <w:t xml:space="preserve">   </w:t>
      </w:r>
      <w:r>
        <w:rPr>
          <w:color w:val="auto"/>
          <w:spacing w:val="-105"/>
          <w:sz w:val="24"/>
          <w:szCs w:val="24"/>
        </w:rPr>
        <w:t xml:space="preserve"> </w:t>
      </w:r>
      <w:r>
        <w:rPr>
          <w:color w:val="auto"/>
          <w:spacing w:val="-7"/>
          <w:sz w:val="24"/>
          <w:szCs w:val="24"/>
        </w:rPr>
        <w:t>月</w:t>
      </w:r>
      <w:r>
        <w:rPr>
          <w:rFonts w:hint="eastAsia"/>
          <w:color w:val="auto"/>
          <w:sz w:val="24"/>
          <w:szCs w:val="24"/>
          <w:u w:val="single"/>
          <w:lang w:val="en-US" w:eastAsia="zh-CN"/>
        </w:rPr>
        <w:t xml:space="preserve">   </w:t>
      </w:r>
      <w:r>
        <w:rPr>
          <w:color w:val="auto"/>
          <w:spacing w:val="-5"/>
          <w:sz w:val="24"/>
          <w:szCs w:val="24"/>
        </w:rPr>
        <w:t>日共同达成签订的。</w:t>
      </w:r>
    </w:p>
    <w:p w14:paraId="54B2DF4B">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48" w:firstLineChars="200"/>
        <w:jc w:val="both"/>
        <w:textAlignment w:val="auto"/>
        <w:rPr>
          <w:color w:val="auto"/>
          <w:sz w:val="24"/>
          <w:szCs w:val="24"/>
        </w:rPr>
      </w:pPr>
      <w:r>
        <w:rPr>
          <w:color w:val="auto"/>
          <w:spacing w:val="-8"/>
          <w:sz w:val="24"/>
          <w:szCs w:val="24"/>
        </w:rPr>
        <w:t>本补充协议如下：</w:t>
      </w:r>
    </w:p>
    <w:p w14:paraId="68863692">
      <w:pPr>
        <w:pStyle w:val="12"/>
        <w:keepNext w:val="0"/>
        <w:keepLines w:val="0"/>
        <w:pageBreakBefore w:val="0"/>
        <w:widowControl w:val="0"/>
        <w:kinsoku/>
        <w:wordWrap w:val="0"/>
        <w:overflowPunct/>
        <w:topLinePunct w:val="0"/>
        <w:autoSpaceDE/>
        <w:autoSpaceDN/>
        <w:bidi w:val="0"/>
        <w:adjustRightInd/>
        <w:snapToGrid/>
        <w:spacing w:before="0" w:after="0" w:line="360" w:lineRule="auto"/>
        <w:ind w:firstLine="488" w:firstLineChars="200"/>
        <w:jc w:val="both"/>
        <w:textAlignment w:val="auto"/>
        <w:rPr>
          <w:color w:val="auto"/>
          <w:sz w:val="24"/>
          <w:szCs w:val="24"/>
        </w:rPr>
      </w:pPr>
      <w:r>
        <w:rPr>
          <w:color w:val="auto"/>
          <w:spacing w:val="2"/>
          <w:sz w:val="24"/>
          <w:szCs w:val="24"/>
        </w:rPr>
        <w:t>1、承包人在投标书中承诺本工程项目部经理及专业技</w:t>
      </w:r>
      <w:r>
        <w:rPr>
          <w:color w:val="auto"/>
          <w:spacing w:val="1"/>
          <w:sz w:val="24"/>
          <w:szCs w:val="24"/>
        </w:rPr>
        <w:t>术人员名单和机械进场计划作为本</w:t>
      </w:r>
      <w:r>
        <w:rPr>
          <w:color w:val="auto"/>
          <w:spacing w:val="-5"/>
          <w:sz w:val="24"/>
          <w:szCs w:val="24"/>
        </w:rPr>
        <w:t>合同附件。承包人在其工程实施、完成和缺陷修复期间，保证按照本补充协</w:t>
      </w:r>
      <w:r>
        <w:rPr>
          <w:color w:val="auto"/>
          <w:spacing w:val="-6"/>
          <w:sz w:val="24"/>
          <w:szCs w:val="24"/>
        </w:rPr>
        <w:t>议书附件的人员和</w:t>
      </w:r>
      <w:r>
        <w:rPr>
          <w:color w:val="auto"/>
          <w:spacing w:val="-5"/>
          <w:sz w:val="24"/>
          <w:szCs w:val="24"/>
        </w:rPr>
        <w:t>机械设备进场时间表的进场日期进场相应的人员和设备机具。在上述的计划进场日期后7</w:t>
      </w:r>
      <w:r>
        <w:rPr>
          <w:color w:val="auto"/>
          <w:spacing w:val="-6"/>
          <w:sz w:val="24"/>
          <w:szCs w:val="24"/>
        </w:rPr>
        <w:t>天内，</w:t>
      </w:r>
      <w:r>
        <w:rPr>
          <w:color w:val="auto"/>
          <w:spacing w:val="-5"/>
          <w:sz w:val="24"/>
          <w:szCs w:val="24"/>
        </w:rPr>
        <w:t>承包人的人员、机械和设备仍未按投标书中的要求按时到位，则属</w:t>
      </w:r>
      <w:r>
        <w:rPr>
          <w:color w:val="auto"/>
          <w:spacing w:val="-6"/>
          <w:sz w:val="24"/>
          <w:szCs w:val="24"/>
        </w:rPr>
        <w:t>于承包人违约，发包人可宣</w:t>
      </w:r>
      <w:r>
        <w:rPr>
          <w:color w:val="auto"/>
          <w:spacing w:val="-2"/>
          <w:sz w:val="24"/>
          <w:szCs w:val="24"/>
        </w:rPr>
        <w:t>布本合同作废，由此而产生的一切损失由承包人负责。</w:t>
      </w:r>
    </w:p>
    <w:p w14:paraId="3F035307">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88" w:firstLineChars="200"/>
        <w:jc w:val="both"/>
        <w:textAlignment w:val="auto"/>
        <w:rPr>
          <w:color w:val="auto"/>
          <w:sz w:val="24"/>
          <w:szCs w:val="24"/>
        </w:rPr>
      </w:pPr>
      <w:r>
        <w:rPr>
          <w:color w:val="auto"/>
          <w:spacing w:val="2"/>
          <w:sz w:val="24"/>
          <w:szCs w:val="24"/>
        </w:rPr>
        <w:t>2、尽管有本补充协议书的规定，当发包人发现工程负责</w:t>
      </w:r>
      <w:r>
        <w:rPr>
          <w:color w:val="auto"/>
          <w:spacing w:val="1"/>
          <w:sz w:val="24"/>
          <w:szCs w:val="24"/>
        </w:rPr>
        <w:t>人、专业技术人员和机械设备不</w:t>
      </w:r>
      <w:r>
        <w:rPr>
          <w:color w:val="auto"/>
          <w:spacing w:val="-1"/>
          <w:sz w:val="24"/>
          <w:szCs w:val="24"/>
        </w:rPr>
        <w:t>能适应工程进度和工程质量管理需要时，仍有权要求承包人增加或更换其相关人员和施工机械设备，对此要求，承包人应予接受，否则，视承包人违约，</w:t>
      </w:r>
      <w:r>
        <w:rPr>
          <w:color w:val="auto"/>
          <w:spacing w:val="-2"/>
          <w:sz w:val="24"/>
          <w:szCs w:val="24"/>
        </w:rPr>
        <w:t>由承包人承担违约责任。</w:t>
      </w:r>
    </w:p>
    <w:p w14:paraId="6639992E">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76" w:firstLineChars="200"/>
        <w:jc w:val="both"/>
        <w:textAlignment w:val="auto"/>
        <w:rPr>
          <w:color w:val="auto"/>
          <w:sz w:val="24"/>
          <w:szCs w:val="24"/>
        </w:rPr>
      </w:pPr>
      <w:r>
        <w:rPr>
          <w:color w:val="auto"/>
          <w:spacing w:val="-1"/>
          <w:sz w:val="24"/>
          <w:szCs w:val="24"/>
        </w:rPr>
        <w:t>3、项目经理和技术负责人要在合同签订后7天内进场，各专业技术工程师根据施</w:t>
      </w:r>
      <w:r>
        <w:rPr>
          <w:color w:val="auto"/>
          <w:spacing w:val="-2"/>
          <w:sz w:val="24"/>
          <w:szCs w:val="24"/>
        </w:rPr>
        <w:t>工进度的需要进场，并且未经监理工程师允许不得随便更换或</w:t>
      </w:r>
      <w:r>
        <w:rPr>
          <w:color w:val="auto"/>
          <w:spacing w:val="-3"/>
          <w:sz w:val="24"/>
          <w:szCs w:val="24"/>
        </w:rPr>
        <w:t>离开现场。</w:t>
      </w:r>
    </w:p>
    <w:p w14:paraId="5A1CC173">
      <w:pPr>
        <w:pStyle w:val="12"/>
        <w:keepNext w:val="0"/>
        <w:keepLines w:val="0"/>
        <w:pageBreakBefore w:val="0"/>
        <w:widowControl w:val="0"/>
        <w:kinsoku/>
        <w:wordWrap w:val="0"/>
        <w:overflowPunct/>
        <w:topLinePunct w:val="0"/>
        <w:autoSpaceDE/>
        <w:autoSpaceDN/>
        <w:bidi w:val="0"/>
        <w:adjustRightInd/>
        <w:snapToGrid/>
        <w:spacing w:before="0" w:after="0" w:line="360" w:lineRule="auto"/>
        <w:ind w:right="0" w:firstLine="488" w:firstLineChars="200"/>
        <w:jc w:val="both"/>
        <w:textAlignment w:val="auto"/>
        <w:rPr>
          <w:color w:val="auto"/>
          <w:sz w:val="24"/>
          <w:szCs w:val="24"/>
        </w:rPr>
      </w:pPr>
      <w:r>
        <w:rPr>
          <w:color w:val="auto"/>
          <w:spacing w:val="2"/>
          <w:sz w:val="24"/>
          <w:szCs w:val="24"/>
        </w:rPr>
        <w:t>4、本工程项目经理未经工程师同意和发包人批准不得更换。如因特殊原因</w:t>
      </w:r>
      <w:r>
        <w:rPr>
          <w:color w:val="auto"/>
          <w:spacing w:val="1"/>
          <w:sz w:val="24"/>
          <w:szCs w:val="24"/>
        </w:rPr>
        <w:t>需更换的，接</w:t>
      </w:r>
      <w:r>
        <w:rPr>
          <w:color w:val="auto"/>
          <w:spacing w:val="-1"/>
          <w:sz w:val="24"/>
          <w:szCs w:val="24"/>
        </w:rPr>
        <w:t>替的人员的学历、资历、技术职称、管理和技术水平不能低于原来的人员，并且要接替人员到施工现场工作15天后，被更换的人员才能离开，同时发包人收取承包人违约金人民币壹拾万</w:t>
      </w:r>
      <w:r>
        <w:rPr>
          <w:color w:val="auto"/>
          <w:spacing w:val="-5"/>
          <w:sz w:val="24"/>
          <w:szCs w:val="24"/>
        </w:rPr>
        <w:t>元。项目经理或技术负责人未经批准，擅自离开工地现场，则发包人可从承包</w:t>
      </w:r>
      <w:r>
        <w:rPr>
          <w:color w:val="auto"/>
          <w:spacing w:val="-6"/>
          <w:sz w:val="24"/>
          <w:szCs w:val="24"/>
        </w:rPr>
        <w:t>人应得工程款中</w:t>
      </w:r>
      <w:r>
        <w:rPr>
          <w:color w:val="auto"/>
          <w:spacing w:val="-3"/>
          <w:sz w:val="24"/>
          <w:szCs w:val="24"/>
        </w:rPr>
        <w:t>按每人每离开一天扣罚人民币壹仟元。</w:t>
      </w:r>
    </w:p>
    <w:p w14:paraId="7B374034">
      <w:pPr>
        <w:pStyle w:val="12"/>
        <w:keepNext w:val="0"/>
        <w:keepLines w:val="0"/>
        <w:pageBreakBefore w:val="0"/>
        <w:widowControl w:val="0"/>
        <w:kinsoku/>
        <w:wordWrap w:val="0"/>
        <w:overflowPunct/>
        <w:topLinePunct w:val="0"/>
        <w:autoSpaceDE/>
        <w:autoSpaceDN/>
        <w:bidi w:val="0"/>
        <w:adjustRightInd/>
        <w:snapToGrid/>
        <w:spacing w:before="0" w:after="0" w:line="360" w:lineRule="auto"/>
        <w:ind w:right="0" w:firstLine="488" w:firstLineChars="200"/>
        <w:jc w:val="both"/>
        <w:textAlignment w:val="auto"/>
        <w:rPr>
          <w:color w:val="auto"/>
          <w:sz w:val="24"/>
          <w:szCs w:val="24"/>
        </w:rPr>
      </w:pPr>
      <w:r>
        <w:rPr>
          <w:color w:val="auto"/>
          <w:spacing w:val="2"/>
          <w:sz w:val="24"/>
          <w:szCs w:val="24"/>
        </w:rPr>
        <w:t>5、在承包人机械设备、人员按进场时间表进场，并具备开</w:t>
      </w:r>
      <w:r>
        <w:rPr>
          <w:color w:val="auto"/>
          <w:spacing w:val="1"/>
          <w:sz w:val="24"/>
          <w:szCs w:val="24"/>
        </w:rPr>
        <w:t>工条件后，发包人将按合同条</w:t>
      </w:r>
      <w:r>
        <w:rPr>
          <w:color w:val="auto"/>
          <w:spacing w:val="-3"/>
          <w:sz w:val="24"/>
          <w:szCs w:val="24"/>
        </w:rPr>
        <w:t>件规定付给承包人工程预付款。</w:t>
      </w:r>
    </w:p>
    <w:p w14:paraId="213D03F1">
      <w:pPr>
        <w:pStyle w:val="12"/>
        <w:keepNext w:val="0"/>
        <w:keepLines w:val="0"/>
        <w:pageBreakBefore w:val="0"/>
        <w:widowControl w:val="0"/>
        <w:kinsoku/>
        <w:wordWrap w:val="0"/>
        <w:overflowPunct/>
        <w:topLinePunct w:val="0"/>
        <w:autoSpaceDE/>
        <w:autoSpaceDN/>
        <w:bidi w:val="0"/>
        <w:adjustRightInd/>
        <w:snapToGrid/>
        <w:spacing w:before="0" w:after="0" w:line="360" w:lineRule="auto"/>
        <w:ind w:right="0" w:firstLine="484" w:firstLineChars="200"/>
        <w:jc w:val="both"/>
        <w:textAlignment w:val="auto"/>
        <w:rPr>
          <w:color w:val="auto"/>
          <w:sz w:val="24"/>
          <w:szCs w:val="24"/>
        </w:rPr>
      </w:pPr>
      <w:r>
        <w:rPr>
          <w:color w:val="auto"/>
          <w:spacing w:val="1"/>
          <w:sz w:val="24"/>
          <w:szCs w:val="24"/>
        </w:rPr>
        <w:t>6、承包人在投标书中承诺采用的新技术、新工艺必须在施工过程中严格遵守实施，否则</w:t>
      </w:r>
      <w:r>
        <w:rPr>
          <w:color w:val="auto"/>
          <w:spacing w:val="-3"/>
          <w:sz w:val="24"/>
          <w:szCs w:val="24"/>
        </w:rPr>
        <w:t>承包人的行为将被视为违约行为。</w:t>
      </w:r>
    </w:p>
    <w:p w14:paraId="4B886E18">
      <w:pPr>
        <w:pStyle w:val="12"/>
        <w:keepNext w:val="0"/>
        <w:keepLines w:val="0"/>
        <w:pageBreakBefore w:val="0"/>
        <w:widowControl w:val="0"/>
        <w:kinsoku/>
        <w:wordWrap w:val="0"/>
        <w:overflowPunct/>
        <w:topLinePunct w:val="0"/>
        <w:autoSpaceDE/>
        <w:autoSpaceDN/>
        <w:bidi w:val="0"/>
        <w:adjustRightInd/>
        <w:snapToGrid/>
        <w:spacing w:before="0" w:after="0" w:line="360" w:lineRule="auto"/>
        <w:ind w:right="0" w:firstLine="488" w:firstLineChars="200"/>
        <w:jc w:val="both"/>
        <w:textAlignment w:val="auto"/>
        <w:rPr>
          <w:color w:val="auto"/>
          <w:sz w:val="24"/>
          <w:szCs w:val="24"/>
        </w:rPr>
      </w:pPr>
      <w:r>
        <w:rPr>
          <w:color w:val="auto"/>
          <w:spacing w:val="2"/>
          <w:sz w:val="24"/>
          <w:szCs w:val="24"/>
        </w:rPr>
        <w:t>7、本工程合同总价是根据中标综合单价与业主估计的工程量暂定的，结算按现场实</w:t>
      </w:r>
      <w:r>
        <w:rPr>
          <w:color w:val="auto"/>
          <w:spacing w:val="1"/>
          <w:sz w:val="24"/>
          <w:szCs w:val="24"/>
        </w:rPr>
        <w:t>际计</w:t>
      </w:r>
      <w:r>
        <w:rPr>
          <w:color w:val="auto"/>
          <w:spacing w:val="-5"/>
          <w:sz w:val="24"/>
          <w:szCs w:val="24"/>
        </w:rPr>
        <w:t>量和中标综合单价进行。承包人必须按合同文件要求完成本工程全部工程的施工，任何超</w:t>
      </w:r>
      <w:r>
        <w:rPr>
          <w:color w:val="auto"/>
          <w:spacing w:val="-6"/>
          <w:sz w:val="24"/>
          <w:szCs w:val="24"/>
        </w:rPr>
        <w:t>出本</w:t>
      </w:r>
      <w:r>
        <w:rPr>
          <w:color w:val="auto"/>
          <w:spacing w:val="5"/>
          <w:sz w:val="24"/>
          <w:szCs w:val="24"/>
        </w:rPr>
        <w:t>合同文件范围工程量的增减及单价的确定都必须经监理工程师认可并由发包人审查通过方可</w:t>
      </w:r>
      <w:r>
        <w:rPr>
          <w:color w:val="auto"/>
          <w:spacing w:val="-1"/>
          <w:sz w:val="24"/>
          <w:szCs w:val="24"/>
        </w:rPr>
        <w:t>实施，最终结算以柳州市财政投资评审中心审核为准，否则，由此产生的一切后果均</w:t>
      </w:r>
      <w:r>
        <w:rPr>
          <w:color w:val="auto"/>
          <w:spacing w:val="-2"/>
          <w:sz w:val="24"/>
          <w:szCs w:val="24"/>
        </w:rPr>
        <w:t>由承包人</w:t>
      </w:r>
      <w:r>
        <w:rPr>
          <w:color w:val="auto"/>
          <w:spacing w:val="-14"/>
          <w:sz w:val="24"/>
          <w:szCs w:val="24"/>
        </w:rPr>
        <w:t>自行承担。</w:t>
      </w:r>
    </w:p>
    <w:p w14:paraId="18D2BDF5">
      <w:pPr>
        <w:pStyle w:val="12"/>
        <w:keepNext w:val="0"/>
        <w:keepLines w:val="0"/>
        <w:pageBreakBefore w:val="0"/>
        <w:widowControl w:val="0"/>
        <w:kinsoku/>
        <w:wordWrap w:val="0"/>
        <w:overflowPunct/>
        <w:topLinePunct w:val="0"/>
        <w:autoSpaceDE/>
        <w:autoSpaceDN/>
        <w:bidi w:val="0"/>
        <w:adjustRightInd/>
        <w:snapToGrid/>
        <w:spacing w:before="0" w:after="0" w:line="360" w:lineRule="auto"/>
        <w:ind w:firstLine="488" w:firstLineChars="200"/>
        <w:jc w:val="both"/>
        <w:textAlignment w:val="auto"/>
        <w:rPr>
          <w:color w:val="auto"/>
          <w:sz w:val="24"/>
          <w:szCs w:val="24"/>
        </w:rPr>
      </w:pPr>
      <w:r>
        <w:rPr>
          <w:color w:val="auto"/>
          <w:spacing w:val="2"/>
          <w:sz w:val="24"/>
          <w:szCs w:val="24"/>
        </w:rPr>
        <w:t>8、承包人保险责任：承包人应对其为本合同工</w:t>
      </w:r>
      <w:r>
        <w:rPr>
          <w:color w:val="auto"/>
          <w:spacing w:val="1"/>
          <w:sz w:val="24"/>
          <w:szCs w:val="24"/>
        </w:rPr>
        <w:t>程派遣或雇用的任何人员进行意外伤亡和</w:t>
      </w:r>
      <w:r>
        <w:rPr>
          <w:color w:val="auto"/>
          <w:spacing w:val="-1"/>
          <w:sz w:val="24"/>
          <w:szCs w:val="24"/>
        </w:rPr>
        <w:t>人身事故保险，保险费用包含在工程报价中。发包人因此不承担由承包人责任造成一切伤害赔偿，也不补偿与此有关的一切索赔、诉讼、损害赔偿、诉讼费及其他开支。承包人在办理保险</w:t>
      </w:r>
      <w:r>
        <w:rPr>
          <w:color w:val="auto"/>
          <w:spacing w:val="-5"/>
          <w:sz w:val="24"/>
          <w:szCs w:val="24"/>
        </w:rPr>
        <w:t>前应征得发包人同意。若承包人不办理保险，发包人可代办，保</w:t>
      </w:r>
      <w:r>
        <w:rPr>
          <w:color w:val="auto"/>
          <w:spacing w:val="-6"/>
          <w:sz w:val="24"/>
          <w:szCs w:val="24"/>
        </w:rPr>
        <w:t>险费用从工程款中扣回，同时</w:t>
      </w:r>
      <w:r>
        <w:rPr>
          <w:color w:val="auto"/>
          <w:spacing w:val="-4"/>
          <w:sz w:val="24"/>
          <w:szCs w:val="24"/>
        </w:rPr>
        <w:t>发包人可进行经济处罚。</w:t>
      </w:r>
    </w:p>
    <w:p w14:paraId="37EE076E">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80" w:firstLineChars="200"/>
        <w:jc w:val="both"/>
        <w:textAlignment w:val="auto"/>
        <w:rPr>
          <w:color w:val="auto"/>
          <w:sz w:val="24"/>
          <w:szCs w:val="24"/>
        </w:rPr>
      </w:pPr>
      <w:r>
        <w:rPr>
          <w:color w:val="auto"/>
          <w:sz w:val="24"/>
          <w:szCs w:val="24"/>
        </w:rPr>
        <w:t>9、施工单位的施工进度不能满足承诺工期（包括阶段工期）时，承包人同</w:t>
      </w:r>
      <w:r>
        <w:rPr>
          <w:color w:val="auto"/>
          <w:spacing w:val="-1"/>
          <w:sz w:val="24"/>
          <w:szCs w:val="24"/>
        </w:rPr>
        <w:t>意发包人调集</w:t>
      </w:r>
      <w:r>
        <w:rPr>
          <w:color w:val="auto"/>
          <w:spacing w:val="-3"/>
          <w:sz w:val="24"/>
          <w:szCs w:val="24"/>
        </w:rPr>
        <w:t>具有资质的其他施工单位进场施工。</w:t>
      </w:r>
    </w:p>
    <w:p w14:paraId="3D6CBC57">
      <w:pPr>
        <w:pStyle w:val="12"/>
        <w:keepNext w:val="0"/>
        <w:keepLines w:val="0"/>
        <w:pageBreakBefore w:val="0"/>
        <w:widowControl w:val="0"/>
        <w:kinsoku/>
        <w:wordWrap w:val="0"/>
        <w:overflowPunct/>
        <w:topLinePunct w:val="0"/>
        <w:autoSpaceDE/>
        <w:autoSpaceDN/>
        <w:bidi w:val="0"/>
        <w:adjustRightInd/>
        <w:snapToGrid/>
        <w:spacing w:before="0" w:after="0" w:line="360" w:lineRule="auto"/>
        <w:ind w:right="0" w:firstLine="456" w:firstLineChars="200"/>
        <w:jc w:val="both"/>
        <w:textAlignment w:val="auto"/>
        <w:rPr>
          <w:color w:val="auto"/>
          <w:sz w:val="24"/>
          <w:szCs w:val="24"/>
        </w:rPr>
      </w:pPr>
      <w:r>
        <w:rPr>
          <w:color w:val="auto"/>
          <w:spacing w:val="-6"/>
          <w:sz w:val="24"/>
          <w:szCs w:val="24"/>
        </w:rPr>
        <w:t>10、承包人应及时提交</w:t>
      </w:r>
      <w:r>
        <w:rPr>
          <w:rFonts w:hint="eastAsia"/>
          <w:color w:val="auto"/>
          <w:spacing w:val="-6"/>
          <w:sz w:val="24"/>
          <w:szCs w:val="24"/>
          <w:lang w:eastAsia="zh-CN"/>
        </w:rPr>
        <w:t>完工</w:t>
      </w:r>
      <w:r>
        <w:rPr>
          <w:color w:val="auto"/>
          <w:spacing w:val="-6"/>
          <w:sz w:val="24"/>
          <w:szCs w:val="24"/>
        </w:rPr>
        <w:t>结算报告及完整的结算资料，否则发包人将按每拖延一天扣罚</w:t>
      </w:r>
      <w:r>
        <w:rPr>
          <w:color w:val="auto"/>
          <w:spacing w:val="-4"/>
          <w:sz w:val="24"/>
          <w:szCs w:val="24"/>
        </w:rPr>
        <w:t>承包人壹仟元人民币。</w:t>
      </w:r>
    </w:p>
    <w:p w14:paraId="6FB89DE2">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68" w:firstLineChars="200"/>
        <w:jc w:val="both"/>
        <w:textAlignment w:val="auto"/>
        <w:rPr>
          <w:color w:val="auto"/>
          <w:sz w:val="24"/>
          <w:szCs w:val="24"/>
        </w:rPr>
      </w:pPr>
      <w:r>
        <w:rPr>
          <w:color w:val="auto"/>
          <w:spacing w:val="-3"/>
          <w:sz w:val="24"/>
          <w:szCs w:val="24"/>
        </w:rPr>
        <w:t>11、承包人在投标书中承诺的《</w:t>
      </w:r>
      <w:r>
        <w:rPr>
          <w:rFonts w:hint="eastAsia"/>
          <w:color w:val="auto"/>
          <w:spacing w:val="-3"/>
          <w:sz w:val="24"/>
          <w:szCs w:val="24"/>
          <w:u w:val="single" w:color="auto"/>
          <w:lang w:eastAsia="zh-CN"/>
        </w:rPr>
        <w:t>泵站、堤防护坡清理维护工程（2025年）</w:t>
      </w:r>
      <w:r>
        <w:rPr>
          <w:color w:val="auto"/>
          <w:spacing w:val="-4"/>
          <w:sz w:val="24"/>
          <w:szCs w:val="24"/>
        </w:rPr>
        <w:t>承诺</w:t>
      </w:r>
      <w:r>
        <w:rPr>
          <w:color w:val="auto"/>
          <w:spacing w:val="-3"/>
          <w:sz w:val="24"/>
          <w:szCs w:val="24"/>
        </w:rPr>
        <w:t>书》作为合同补充协议，具备同等的法律效力。</w:t>
      </w:r>
    </w:p>
    <w:p w14:paraId="780055E9">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56" w:firstLineChars="200"/>
        <w:jc w:val="both"/>
        <w:textAlignment w:val="auto"/>
        <w:rPr>
          <w:color w:val="auto"/>
          <w:sz w:val="24"/>
          <w:szCs w:val="24"/>
        </w:rPr>
      </w:pPr>
      <w:r>
        <w:rPr>
          <w:color w:val="auto"/>
          <w:spacing w:val="-6"/>
          <w:sz w:val="24"/>
          <w:szCs w:val="24"/>
        </w:rPr>
        <w:t>12、工程实施过程中，如果发生分包人就工程费、材料商就材料款或农民工就工资等以被</w:t>
      </w:r>
      <w:r>
        <w:rPr>
          <w:color w:val="auto"/>
          <w:spacing w:val="-2"/>
          <w:sz w:val="24"/>
          <w:szCs w:val="24"/>
        </w:rPr>
        <w:t>拖欠为由到发包人办公场所追索或闹事，发包人有权做出</w:t>
      </w:r>
      <w:r>
        <w:rPr>
          <w:color w:val="auto"/>
          <w:spacing w:val="-3"/>
          <w:sz w:val="24"/>
          <w:szCs w:val="24"/>
        </w:rPr>
        <w:t>以下处理：</w:t>
      </w:r>
    </w:p>
    <w:p w14:paraId="64671C05">
      <w:pPr>
        <w:pStyle w:val="12"/>
        <w:keepNext w:val="0"/>
        <w:keepLines w:val="0"/>
        <w:pageBreakBefore w:val="0"/>
        <w:widowControl w:val="0"/>
        <w:kinsoku/>
        <w:wordWrap w:val="0"/>
        <w:overflowPunct/>
        <w:topLinePunct w:val="0"/>
        <w:autoSpaceDE/>
        <w:autoSpaceDN/>
        <w:bidi w:val="0"/>
        <w:adjustRightInd/>
        <w:snapToGrid/>
        <w:spacing w:before="0" w:after="0" w:line="360" w:lineRule="auto"/>
        <w:ind w:right="0" w:firstLine="488" w:firstLineChars="200"/>
        <w:jc w:val="both"/>
        <w:textAlignment w:val="auto"/>
        <w:rPr>
          <w:color w:val="auto"/>
          <w:sz w:val="24"/>
          <w:szCs w:val="24"/>
        </w:rPr>
      </w:pPr>
      <w:r>
        <w:rPr>
          <w:color w:val="auto"/>
          <w:spacing w:val="2"/>
          <w:sz w:val="24"/>
          <w:szCs w:val="24"/>
        </w:rPr>
        <w:t>（1）谢绝承包人今后参加发包人各类工程的投标，属区外承包人的，建议柳州</w:t>
      </w:r>
      <w:r>
        <w:rPr>
          <w:color w:val="auto"/>
          <w:spacing w:val="1"/>
          <w:sz w:val="24"/>
          <w:szCs w:val="24"/>
        </w:rPr>
        <w:t>市建委不</w:t>
      </w:r>
      <w:r>
        <w:rPr>
          <w:color w:val="auto"/>
          <w:spacing w:val="2"/>
          <w:sz w:val="24"/>
          <w:szCs w:val="24"/>
        </w:rPr>
        <w:t>再接受其在柳州市的投标资格，同时建议自治区建设厅停办其进桂参加招投标的手续,承包人</w:t>
      </w:r>
      <w:r>
        <w:rPr>
          <w:color w:val="auto"/>
          <w:spacing w:val="-6"/>
          <w:sz w:val="24"/>
          <w:szCs w:val="24"/>
        </w:rPr>
        <w:t>对此应无异议。</w:t>
      </w:r>
    </w:p>
    <w:p w14:paraId="45BEECF4">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88" w:firstLineChars="200"/>
        <w:jc w:val="both"/>
        <w:textAlignment w:val="auto"/>
        <w:rPr>
          <w:color w:val="auto"/>
          <w:sz w:val="24"/>
          <w:szCs w:val="24"/>
        </w:rPr>
      </w:pPr>
      <w:r>
        <w:rPr>
          <w:color w:val="auto"/>
          <w:spacing w:val="2"/>
          <w:sz w:val="24"/>
          <w:szCs w:val="24"/>
        </w:rPr>
        <w:t>（2）发生分包人就工程费、材料商就材料款或</w:t>
      </w:r>
      <w:r>
        <w:rPr>
          <w:color w:val="auto"/>
          <w:spacing w:val="1"/>
          <w:sz w:val="24"/>
          <w:szCs w:val="24"/>
        </w:rPr>
        <w:t>农民工就工资等以被拖欠为由到发包人办</w:t>
      </w:r>
      <w:r>
        <w:rPr>
          <w:color w:val="auto"/>
          <w:spacing w:val="5"/>
          <w:sz w:val="24"/>
          <w:szCs w:val="24"/>
        </w:rPr>
        <w:t>公场所追索或闹事等类似情形，每发生一次发包人可以在应付承包</w:t>
      </w:r>
      <w:r>
        <w:rPr>
          <w:color w:val="auto"/>
          <w:spacing w:val="4"/>
          <w:sz w:val="24"/>
          <w:szCs w:val="24"/>
        </w:rPr>
        <w:t>人的工程款中扣罚伍拾万</w:t>
      </w:r>
      <w:r>
        <w:rPr>
          <w:color w:val="auto"/>
          <w:spacing w:val="-12"/>
          <w:sz w:val="24"/>
          <w:szCs w:val="24"/>
        </w:rPr>
        <w:t>元。</w:t>
      </w:r>
    </w:p>
    <w:p w14:paraId="3A399D39">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68" w:firstLineChars="200"/>
        <w:jc w:val="both"/>
        <w:textAlignment w:val="auto"/>
        <w:rPr>
          <w:color w:val="auto"/>
          <w:sz w:val="24"/>
          <w:szCs w:val="24"/>
        </w:rPr>
      </w:pPr>
      <w:r>
        <w:rPr>
          <w:color w:val="auto"/>
          <w:spacing w:val="-3"/>
          <w:sz w:val="24"/>
          <w:szCs w:val="24"/>
        </w:rPr>
        <w:t>13、双方未尽事宜，可另签订补充协议协商解决。</w:t>
      </w:r>
    </w:p>
    <w:p w14:paraId="3C67305D">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72" w:firstLineChars="200"/>
        <w:jc w:val="both"/>
        <w:textAlignment w:val="auto"/>
        <w:rPr>
          <w:color w:val="auto"/>
          <w:spacing w:val="-2"/>
          <w:sz w:val="24"/>
          <w:szCs w:val="24"/>
        </w:rPr>
      </w:pPr>
      <w:r>
        <w:rPr>
          <w:color w:val="auto"/>
          <w:spacing w:val="-2"/>
          <w:sz w:val="24"/>
          <w:szCs w:val="24"/>
        </w:rPr>
        <w:t>本补充协议书自双方签字盖章之日起生效，与合同协议书同时终止。</w:t>
      </w:r>
    </w:p>
    <w:p w14:paraId="71E9425E">
      <w:pPr>
        <w:rPr>
          <w:color w:val="auto"/>
          <w:spacing w:val="-2"/>
          <w:sz w:val="24"/>
          <w:szCs w:val="24"/>
        </w:rPr>
      </w:pPr>
      <w:r>
        <w:rPr>
          <w:color w:val="auto"/>
          <w:spacing w:val="-2"/>
          <w:sz w:val="24"/>
          <w:szCs w:val="24"/>
        </w:rPr>
        <w:br w:type="page"/>
      </w:r>
    </w:p>
    <w:p w14:paraId="4F052D9B">
      <w:pPr>
        <w:wordWrap w:val="0"/>
        <w:spacing w:line="360" w:lineRule="auto"/>
        <w:rPr>
          <w:rFonts w:hint="eastAsia" w:ascii="Arial" w:eastAsia="宋体"/>
          <w:color w:val="auto"/>
          <w:sz w:val="21"/>
          <w:lang w:eastAsia="zh-CN"/>
        </w:rPr>
      </w:pPr>
    </w:p>
    <w:p w14:paraId="65ED7B48">
      <w:pPr>
        <w:pStyle w:val="12"/>
        <w:wordWrap w:val="0"/>
        <w:spacing w:before="0" w:line="360" w:lineRule="auto"/>
        <w:ind w:left="0"/>
        <w:rPr>
          <w:color w:val="auto"/>
          <w:sz w:val="24"/>
          <w:szCs w:val="24"/>
        </w:rPr>
      </w:pPr>
      <w:r>
        <w:rPr>
          <w:b/>
          <w:bCs/>
          <w:color w:val="auto"/>
          <w:spacing w:val="-12"/>
          <w:sz w:val="24"/>
          <w:szCs w:val="24"/>
        </w:rPr>
        <w:t>附件2</w:t>
      </w:r>
    </w:p>
    <w:p w14:paraId="3C9FEDD2">
      <w:pPr>
        <w:pStyle w:val="12"/>
        <w:wordWrap w:val="0"/>
        <w:spacing w:before="0" w:line="360" w:lineRule="auto"/>
        <w:ind w:right="0" w:firstLine="1875"/>
        <w:rPr>
          <w:color w:val="auto"/>
          <w:sz w:val="24"/>
          <w:szCs w:val="24"/>
        </w:rPr>
      </w:pPr>
      <w:r>
        <w:rPr>
          <w:rFonts w:hint="eastAsia"/>
          <w:color w:val="auto"/>
          <w:spacing w:val="-1"/>
          <w:sz w:val="24"/>
          <w:szCs w:val="24"/>
          <w:u w:val="single" w:color="auto"/>
          <w:lang w:eastAsia="zh-CN"/>
        </w:rPr>
        <w:t>泵站、堤防护坡清理维护工程（2025年）</w:t>
      </w:r>
      <w:r>
        <w:rPr>
          <w:b/>
          <w:bCs/>
          <w:color w:val="auto"/>
          <w:spacing w:val="-1"/>
          <w:sz w:val="24"/>
          <w:szCs w:val="24"/>
          <w:u w:val="single" w:color="auto"/>
        </w:rPr>
        <w:t>承诺书</w:t>
      </w:r>
      <w:r>
        <w:rPr>
          <w:color w:val="auto"/>
          <w:sz w:val="24"/>
          <w:szCs w:val="24"/>
        </w:rPr>
        <w:t xml:space="preserve"> </w:t>
      </w:r>
    </w:p>
    <w:p w14:paraId="389EE694">
      <w:pPr>
        <w:pStyle w:val="12"/>
        <w:keepNext w:val="0"/>
        <w:keepLines w:val="0"/>
        <w:pageBreakBefore w:val="0"/>
        <w:widowControl w:val="0"/>
        <w:kinsoku/>
        <w:wordWrap w:val="0"/>
        <w:overflowPunct/>
        <w:topLinePunct w:val="0"/>
        <w:autoSpaceDE/>
        <w:autoSpaceDN/>
        <w:bidi w:val="0"/>
        <w:adjustRightInd/>
        <w:snapToGrid/>
        <w:spacing w:before="0" w:line="360" w:lineRule="auto"/>
        <w:ind w:right="0"/>
        <w:jc w:val="left"/>
        <w:textAlignment w:val="auto"/>
        <w:rPr>
          <w:color w:val="auto"/>
          <w:sz w:val="24"/>
          <w:szCs w:val="24"/>
        </w:rPr>
      </w:pPr>
      <w:r>
        <w:rPr>
          <w:color w:val="auto"/>
          <w:spacing w:val="-1"/>
          <w:sz w:val="24"/>
          <w:szCs w:val="24"/>
        </w:rPr>
        <w:t>致（发包人全称</w:t>
      </w:r>
      <w:r>
        <w:rPr>
          <w:color w:val="auto"/>
          <w:spacing w:val="4"/>
          <w:sz w:val="24"/>
          <w:szCs w:val="24"/>
        </w:rPr>
        <w:t>）：</w:t>
      </w:r>
      <w:r>
        <w:rPr>
          <w:color w:val="auto"/>
          <w:spacing w:val="-1"/>
          <w:sz w:val="24"/>
          <w:szCs w:val="24"/>
          <w:u w:val="single" w:color="auto"/>
        </w:rPr>
        <w:t>柳州市防洪排涝工程管理处</w:t>
      </w:r>
    </w:p>
    <w:p w14:paraId="66E7B986">
      <w:pPr>
        <w:pStyle w:val="12"/>
        <w:keepNext w:val="0"/>
        <w:keepLines w:val="0"/>
        <w:pageBreakBefore w:val="0"/>
        <w:widowControl w:val="0"/>
        <w:kinsoku/>
        <w:wordWrap w:val="0"/>
        <w:overflowPunct/>
        <w:topLinePunct w:val="0"/>
        <w:autoSpaceDE/>
        <w:autoSpaceDN/>
        <w:bidi w:val="0"/>
        <w:adjustRightInd/>
        <w:snapToGrid/>
        <w:spacing w:before="0" w:line="360" w:lineRule="auto"/>
        <w:ind w:right="0" w:firstLine="476" w:firstLineChars="200"/>
        <w:jc w:val="both"/>
        <w:textAlignment w:val="auto"/>
        <w:rPr>
          <w:color w:val="auto"/>
          <w:sz w:val="24"/>
          <w:szCs w:val="24"/>
        </w:rPr>
      </w:pPr>
      <w:r>
        <w:rPr>
          <w:color w:val="auto"/>
          <w:spacing w:val="-1"/>
          <w:sz w:val="24"/>
          <w:szCs w:val="24"/>
        </w:rPr>
        <w:t>根据《中华人民共和国建筑法》以及国务院办公厅《关于加强基础设</w:t>
      </w:r>
      <w:r>
        <w:rPr>
          <w:color w:val="auto"/>
          <w:spacing w:val="-2"/>
          <w:sz w:val="24"/>
          <w:szCs w:val="24"/>
        </w:rPr>
        <w:t>施工程质量管理的通</w:t>
      </w:r>
      <w:r>
        <w:rPr>
          <w:color w:val="auto"/>
          <w:spacing w:val="2"/>
          <w:sz w:val="24"/>
          <w:szCs w:val="24"/>
        </w:rPr>
        <w:t>知》等国家相关建筑法律、法规以及贵公司要求，我单位再次明确对</w:t>
      </w:r>
      <w:r>
        <w:rPr>
          <w:rFonts w:hint="eastAsia"/>
          <w:color w:val="auto"/>
          <w:spacing w:val="2"/>
          <w:sz w:val="24"/>
          <w:szCs w:val="24"/>
          <w:u w:val="single" w:color="auto"/>
        </w:rPr>
        <w:t>泵站、堤防护坡清理维护工程（2025年）</w:t>
      </w:r>
      <w:r>
        <w:rPr>
          <w:color w:val="auto"/>
          <w:spacing w:val="-3"/>
          <w:sz w:val="24"/>
          <w:szCs w:val="24"/>
          <w:u w:val="single" w:color="auto"/>
        </w:rPr>
        <w:t xml:space="preserve"> </w:t>
      </w:r>
      <w:r>
        <w:rPr>
          <w:color w:val="auto"/>
          <w:spacing w:val="-109"/>
          <w:sz w:val="24"/>
          <w:szCs w:val="24"/>
        </w:rPr>
        <w:t xml:space="preserve"> </w:t>
      </w:r>
      <w:r>
        <w:rPr>
          <w:color w:val="auto"/>
          <w:spacing w:val="-3"/>
          <w:sz w:val="24"/>
          <w:szCs w:val="24"/>
        </w:rPr>
        <w:t>质量、资金、工期、廉政的责任：</w:t>
      </w:r>
    </w:p>
    <w:p w14:paraId="18B7598C">
      <w:pPr>
        <w:pStyle w:val="12"/>
        <w:keepNext w:val="0"/>
        <w:keepLines w:val="0"/>
        <w:pageBreakBefore w:val="0"/>
        <w:widowControl w:val="0"/>
        <w:kinsoku/>
        <w:wordWrap w:val="0"/>
        <w:overflowPunct/>
        <w:topLinePunct w:val="0"/>
        <w:autoSpaceDE/>
        <w:autoSpaceDN/>
        <w:bidi w:val="0"/>
        <w:adjustRightInd/>
        <w:snapToGrid/>
        <w:spacing w:before="0" w:line="360" w:lineRule="auto"/>
        <w:ind w:right="0" w:firstLine="476" w:firstLineChars="200"/>
        <w:jc w:val="both"/>
        <w:textAlignment w:val="auto"/>
        <w:rPr>
          <w:color w:val="auto"/>
          <w:sz w:val="24"/>
          <w:szCs w:val="24"/>
        </w:rPr>
      </w:pPr>
      <w:r>
        <w:rPr>
          <w:color w:val="auto"/>
          <w:spacing w:val="-1"/>
          <w:sz w:val="24"/>
          <w:szCs w:val="24"/>
        </w:rPr>
        <w:t>1、保证按投标中拟投入工程技术人员和机械设备进场，按发包人工期完成本</w:t>
      </w:r>
      <w:r>
        <w:rPr>
          <w:color w:val="auto"/>
          <w:spacing w:val="-2"/>
          <w:sz w:val="24"/>
          <w:szCs w:val="24"/>
        </w:rPr>
        <w:t>工程。超期</w:t>
      </w:r>
      <w:r>
        <w:rPr>
          <w:color w:val="auto"/>
          <w:spacing w:val="-1"/>
          <w:sz w:val="24"/>
          <w:szCs w:val="24"/>
        </w:rPr>
        <w:t>损失赔偿金每天按合同价格的0.04%赔偿，并承担</w:t>
      </w:r>
      <w:r>
        <w:rPr>
          <w:color w:val="auto"/>
          <w:spacing w:val="-2"/>
          <w:sz w:val="24"/>
          <w:szCs w:val="24"/>
        </w:rPr>
        <w:t>超期施工全过程监理的额外费用。</w:t>
      </w:r>
    </w:p>
    <w:p w14:paraId="3330831F">
      <w:pPr>
        <w:pStyle w:val="12"/>
        <w:keepNext w:val="0"/>
        <w:keepLines w:val="0"/>
        <w:pageBreakBefore w:val="0"/>
        <w:widowControl w:val="0"/>
        <w:kinsoku/>
        <w:wordWrap w:val="0"/>
        <w:overflowPunct/>
        <w:topLinePunct w:val="0"/>
        <w:autoSpaceDE/>
        <w:autoSpaceDN/>
        <w:bidi w:val="0"/>
        <w:adjustRightInd/>
        <w:snapToGrid/>
        <w:spacing w:before="0" w:line="360" w:lineRule="auto"/>
        <w:ind w:left="0" w:right="0" w:firstLine="476" w:firstLineChars="200"/>
        <w:jc w:val="both"/>
        <w:textAlignment w:val="auto"/>
        <w:rPr>
          <w:color w:val="auto"/>
          <w:sz w:val="24"/>
          <w:szCs w:val="24"/>
        </w:rPr>
      </w:pPr>
      <w:r>
        <w:rPr>
          <w:color w:val="auto"/>
          <w:spacing w:val="-1"/>
          <w:sz w:val="24"/>
          <w:szCs w:val="24"/>
        </w:rPr>
        <w:t>2、严格禁止不合格的材料进入工地，执行严格的自检制度，任何进入工地的材料，必须</w:t>
      </w:r>
      <w:r>
        <w:rPr>
          <w:color w:val="auto"/>
          <w:spacing w:val="-3"/>
          <w:sz w:val="24"/>
          <w:szCs w:val="24"/>
        </w:rPr>
        <w:t>经过监理工程师和发包人的认可才能使用。</w:t>
      </w:r>
    </w:p>
    <w:p w14:paraId="37B0F6A2">
      <w:pPr>
        <w:pStyle w:val="12"/>
        <w:keepNext w:val="0"/>
        <w:keepLines w:val="0"/>
        <w:pageBreakBefore w:val="0"/>
        <w:widowControl w:val="0"/>
        <w:kinsoku/>
        <w:wordWrap w:val="0"/>
        <w:overflowPunct/>
        <w:topLinePunct w:val="0"/>
        <w:autoSpaceDE/>
        <w:autoSpaceDN/>
        <w:bidi w:val="0"/>
        <w:adjustRightInd/>
        <w:snapToGrid/>
        <w:spacing w:before="0" w:line="360" w:lineRule="auto"/>
        <w:ind w:left="0" w:firstLine="476" w:firstLineChars="200"/>
        <w:jc w:val="both"/>
        <w:textAlignment w:val="auto"/>
        <w:rPr>
          <w:color w:val="auto"/>
          <w:sz w:val="24"/>
          <w:szCs w:val="24"/>
        </w:rPr>
      </w:pPr>
      <w:r>
        <w:rPr>
          <w:color w:val="auto"/>
          <w:spacing w:val="-1"/>
          <w:sz w:val="24"/>
          <w:szCs w:val="24"/>
        </w:rPr>
        <w:t>3、严格按照国家有关法律规定和工程技术规范要求施工，保证我单位</w:t>
      </w:r>
    </w:p>
    <w:p w14:paraId="2C6A026C">
      <w:pPr>
        <w:pStyle w:val="12"/>
        <w:keepNext w:val="0"/>
        <w:keepLines w:val="0"/>
        <w:pageBreakBefore w:val="0"/>
        <w:widowControl w:val="0"/>
        <w:kinsoku/>
        <w:wordWrap w:val="0"/>
        <w:overflowPunct/>
        <w:topLinePunct w:val="0"/>
        <w:autoSpaceDE/>
        <w:autoSpaceDN/>
        <w:bidi w:val="0"/>
        <w:adjustRightInd/>
        <w:snapToGrid/>
        <w:spacing w:before="0" w:line="360" w:lineRule="auto"/>
        <w:ind w:left="0" w:right="0" w:firstLine="472" w:firstLineChars="200"/>
        <w:jc w:val="both"/>
        <w:textAlignment w:val="auto"/>
        <w:rPr>
          <w:color w:val="auto"/>
          <w:sz w:val="24"/>
          <w:szCs w:val="24"/>
        </w:rPr>
      </w:pPr>
      <w:r>
        <w:rPr>
          <w:color w:val="auto"/>
          <w:spacing w:val="-2"/>
          <w:sz w:val="24"/>
          <w:szCs w:val="24"/>
        </w:rPr>
        <w:t>承建的</w:t>
      </w:r>
      <w:r>
        <w:rPr>
          <w:rFonts w:hint="eastAsia"/>
          <w:color w:val="auto"/>
          <w:spacing w:val="-2"/>
          <w:sz w:val="24"/>
          <w:szCs w:val="24"/>
          <w:u w:val="single" w:color="auto"/>
          <w:lang w:eastAsia="zh-CN"/>
        </w:rPr>
        <w:t>泵站、堤防护坡清理维护工程（2025年）</w:t>
      </w:r>
      <w:r>
        <w:rPr>
          <w:color w:val="auto"/>
          <w:spacing w:val="-3"/>
          <w:sz w:val="24"/>
          <w:szCs w:val="24"/>
        </w:rPr>
        <w:t>工程质量达到部颁合格标准，否</w:t>
      </w:r>
      <w:r>
        <w:rPr>
          <w:color w:val="auto"/>
          <w:spacing w:val="-4"/>
          <w:sz w:val="24"/>
          <w:szCs w:val="24"/>
        </w:rPr>
        <w:t>则将承担质量违约的全部责任。</w:t>
      </w:r>
    </w:p>
    <w:p w14:paraId="3BBE920A">
      <w:pPr>
        <w:pStyle w:val="12"/>
        <w:keepNext w:val="0"/>
        <w:keepLines w:val="0"/>
        <w:pageBreakBefore w:val="0"/>
        <w:widowControl w:val="0"/>
        <w:kinsoku/>
        <w:wordWrap w:val="0"/>
        <w:overflowPunct/>
        <w:topLinePunct w:val="0"/>
        <w:autoSpaceDE/>
        <w:autoSpaceDN/>
        <w:bidi w:val="0"/>
        <w:adjustRightInd/>
        <w:snapToGrid/>
        <w:spacing w:before="0" w:line="360" w:lineRule="auto"/>
        <w:ind w:right="0" w:firstLine="480" w:firstLineChars="200"/>
        <w:jc w:val="both"/>
        <w:textAlignment w:val="auto"/>
        <w:rPr>
          <w:color w:val="auto"/>
          <w:sz w:val="24"/>
          <w:szCs w:val="24"/>
        </w:rPr>
      </w:pPr>
      <w:r>
        <w:rPr>
          <w:color w:val="auto"/>
          <w:sz w:val="24"/>
          <w:szCs w:val="24"/>
        </w:rPr>
        <w:t>4、在工程交付使用后，如发生工程质量事故，由我公司负责一切</w:t>
      </w:r>
      <w:r>
        <w:rPr>
          <w:color w:val="auto"/>
          <w:spacing w:val="-1"/>
          <w:sz w:val="24"/>
          <w:szCs w:val="24"/>
        </w:rPr>
        <w:t>经济损失，并对工程质</w:t>
      </w:r>
      <w:r>
        <w:rPr>
          <w:color w:val="auto"/>
          <w:spacing w:val="-6"/>
          <w:sz w:val="24"/>
          <w:szCs w:val="24"/>
        </w:rPr>
        <w:t>量负终身责任。</w:t>
      </w:r>
    </w:p>
    <w:p w14:paraId="16F0E095">
      <w:pPr>
        <w:pStyle w:val="12"/>
        <w:keepNext w:val="0"/>
        <w:keepLines w:val="0"/>
        <w:pageBreakBefore w:val="0"/>
        <w:widowControl w:val="0"/>
        <w:kinsoku/>
        <w:wordWrap w:val="0"/>
        <w:overflowPunct/>
        <w:topLinePunct w:val="0"/>
        <w:autoSpaceDE/>
        <w:autoSpaceDN/>
        <w:bidi w:val="0"/>
        <w:adjustRightInd/>
        <w:snapToGrid/>
        <w:spacing w:before="0" w:line="360" w:lineRule="auto"/>
        <w:ind w:firstLine="456" w:firstLineChars="200"/>
        <w:jc w:val="both"/>
        <w:textAlignment w:val="auto"/>
        <w:rPr>
          <w:color w:val="auto"/>
          <w:sz w:val="24"/>
          <w:szCs w:val="24"/>
        </w:rPr>
      </w:pPr>
      <w:r>
        <w:rPr>
          <w:color w:val="auto"/>
          <w:spacing w:val="-6"/>
          <w:sz w:val="24"/>
          <w:szCs w:val="24"/>
        </w:rPr>
        <w:t>5、保证按国家法律、法规和政策履行廉政行为</w:t>
      </w:r>
      <w:r>
        <w:rPr>
          <w:color w:val="auto"/>
          <w:spacing w:val="-7"/>
          <w:sz w:val="24"/>
          <w:szCs w:val="24"/>
        </w:rPr>
        <w:t>，不与各责任方相互串通损害发包人利益。</w:t>
      </w:r>
    </w:p>
    <w:p w14:paraId="6C7AFA9E">
      <w:pPr>
        <w:pStyle w:val="12"/>
        <w:keepNext w:val="0"/>
        <w:keepLines w:val="0"/>
        <w:pageBreakBefore w:val="0"/>
        <w:widowControl w:val="0"/>
        <w:kinsoku/>
        <w:wordWrap w:val="0"/>
        <w:overflowPunct/>
        <w:topLinePunct w:val="0"/>
        <w:autoSpaceDE/>
        <w:autoSpaceDN/>
        <w:bidi w:val="0"/>
        <w:adjustRightInd/>
        <w:snapToGrid/>
        <w:spacing w:before="0" w:line="360" w:lineRule="auto"/>
        <w:ind w:left="0" w:right="0" w:firstLine="480" w:firstLineChars="200"/>
        <w:jc w:val="both"/>
        <w:textAlignment w:val="auto"/>
        <w:rPr>
          <w:color w:val="auto"/>
          <w:sz w:val="24"/>
          <w:szCs w:val="24"/>
        </w:rPr>
      </w:pPr>
      <w:r>
        <w:rPr>
          <w:color w:val="auto"/>
          <w:sz w:val="24"/>
          <w:szCs w:val="24"/>
        </w:rPr>
        <w:t>6、不挂靠施工和违法分包。若有挂靠施工或违法分包行为</w:t>
      </w:r>
      <w:r>
        <w:rPr>
          <w:color w:val="auto"/>
          <w:spacing w:val="-1"/>
          <w:sz w:val="24"/>
          <w:szCs w:val="24"/>
        </w:rPr>
        <w:t>，发包人有权没收承包人全部</w:t>
      </w:r>
      <w:r>
        <w:rPr>
          <w:color w:val="auto"/>
          <w:spacing w:val="-3"/>
          <w:sz w:val="24"/>
          <w:szCs w:val="24"/>
        </w:rPr>
        <w:t>履约保证金，并处以合同价1%的罚款直至终止合同。</w:t>
      </w:r>
    </w:p>
    <w:p w14:paraId="1E275DE6">
      <w:pPr>
        <w:pStyle w:val="12"/>
        <w:keepNext w:val="0"/>
        <w:keepLines w:val="0"/>
        <w:pageBreakBefore w:val="0"/>
        <w:widowControl w:val="0"/>
        <w:kinsoku/>
        <w:wordWrap w:val="0"/>
        <w:overflowPunct/>
        <w:topLinePunct w:val="0"/>
        <w:autoSpaceDE/>
        <w:autoSpaceDN/>
        <w:bidi w:val="0"/>
        <w:adjustRightInd/>
        <w:snapToGrid/>
        <w:spacing w:before="0" w:line="360" w:lineRule="auto"/>
        <w:ind w:right="0" w:firstLine="480" w:firstLineChars="200"/>
        <w:jc w:val="both"/>
        <w:textAlignment w:val="auto"/>
        <w:rPr>
          <w:color w:val="auto"/>
          <w:sz w:val="24"/>
          <w:szCs w:val="24"/>
        </w:rPr>
      </w:pPr>
      <w:r>
        <w:rPr>
          <w:color w:val="auto"/>
          <w:sz w:val="24"/>
          <w:szCs w:val="24"/>
        </w:rPr>
        <w:t>7、保证工程款专款专用，使用由发包人同意的专门账</w:t>
      </w:r>
      <w:r>
        <w:rPr>
          <w:color w:val="auto"/>
          <w:spacing w:val="-1"/>
          <w:sz w:val="24"/>
          <w:szCs w:val="24"/>
        </w:rPr>
        <w:t>户、银行开户格式。严格遵守工程款使用制度，如违反专款专用规定，发包人有权没收承包人全部履约保证金，并更换项目经理</w:t>
      </w:r>
      <w:r>
        <w:rPr>
          <w:color w:val="auto"/>
          <w:spacing w:val="-7"/>
          <w:sz w:val="24"/>
          <w:szCs w:val="24"/>
        </w:rPr>
        <w:t>或终止合同。</w:t>
      </w:r>
    </w:p>
    <w:p w14:paraId="3AD1EF29">
      <w:pPr>
        <w:pStyle w:val="12"/>
        <w:keepNext w:val="0"/>
        <w:keepLines w:val="0"/>
        <w:pageBreakBefore w:val="0"/>
        <w:widowControl w:val="0"/>
        <w:kinsoku/>
        <w:wordWrap w:val="0"/>
        <w:overflowPunct/>
        <w:topLinePunct w:val="0"/>
        <w:autoSpaceDE/>
        <w:autoSpaceDN/>
        <w:bidi w:val="0"/>
        <w:adjustRightInd/>
        <w:snapToGrid/>
        <w:spacing w:before="0" w:line="360" w:lineRule="auto"/>
        <w:ind w:right="0" w:firstLine="440" w:firstLineChars="200"/>
        <w:jc w:val="both"/>
        <w:textAlignment w:val="auto"/>
        <w:rPr>
          <w:color w:val="auto"/>
          <w:spacing w:val="-4"/>
          <w:sz w:val="24"/>
          <w:szCs w:val="24"/>
        </w:rPr>
      </w:pPr>
      <w:r>
        <w:rPr>
          <w:color w:val="auto"/>
          <w:spacing w:val="-10"/>
          <w:sz w:val="24"/>
          <w:szCs w:val="24"/>
        </w:rPr>
        <w:t>8、保证在施工期间做到道路施工交通安全及文明施工：工地无扬尘、路面无撒漏；围栏、</w:t>
      </w:r>
      <w:r>
        <w:rPr>
          <w:color w:val="auto"/>
          <w:spacing w:val="-1"/>
          <w:sz w:val="24"/>
          <w:szCs w:val="24"/>
        </w:rPr>
        <w:t>警示牌（灯）到位；临时便道平整通畅；现场告示、标语齐全。配合发包人协调各项工作，主</w:t>
      </w:r>
      <w:r>
        <w:rPr>
          <w:color w:val="auto"/>
          <w:spacing w:val="-4"/>
          <w:sz w:val="24"/>
          <w:szCs w:val="24"/>
        </w:rPr>
        <w:t>动创造条件推进工程进展。</w:t>
      </w:r>
    </w:p>
    <w:p w14:paraId="17E0F7D8">
      <w:pPr>
        <w:rPr>
          <w:color w:val="auto"/>
          <w:spacing w:val="-4"/>
          <w:sz w:val="24"/>
          <w:szCs w:val="24"/>
        </w:rPr>
      </w:pPr>
      <w:r>
        <w:rPr>
          <w:color w:val="auto"/>
          <w:spacing w:val="-4"/>
          <w:sz w:val="24"/>
          <w:szCs w:val="24"/>
        </w:rPr>
        <w:br w:type="page"/>
      </w:r>
    </w:p>
    <w:p w14:paraId="256E6F28">
      <w:pPr>
        <w:pStyle w:val="12"/>
        <w:wordWrap w:val="0"/>
        <w:spacing w:before="0" w:line="360" w:lineRule="auto"/>
        <w:ind w:left="0"/>
        <w:rPr>
          <w:color w:val="auto"/>
          <w:sz w:val="24"/>
          <w:szCs w:val="24"/>
        </w:rPr>
      </w:pPr>
      <w:r>
        <w:rPr>
          <w:b/>
          <w:bCs/>
          <w:color w:val="auto"/>
          <w:spacing w:val="-12"/>
          <w:sz w:val="24"/>
          <w:szCs w:val="24"/>
        </w:rPr>
        <w:t>附件3</w:t>
      </w:r>
    </w:p>
    <w:p w14:paraId="43A8C3D9">
      <w:pPr>
        <w:pStyle w:val="12"/>
        <w:wordWrap w:val="0"/>
        <w:spacing w:before="0" w:line="360" w:lineRule="auto"/>
        <w:ind w:left="0"/>
        <w:jc w:val="center"/>
        <w:rPr>
          <w:color w:val="auto"/>
          <w:sz w:val="24"/>
          <w:szCs w:val="24"/>
        </w:rPr>
      </w:pPr>
      <w:r>
        <w:rPr>
          <w:b/>
          <w:bCs/>
          <w:color w:val="auto"/>
          <w:spacing w:val="-3"/>
          <w:sz w:val="24"/>
          <w:szCs w:val="24"/>
        </w:rPr>
        <w:t>工程建设项目廉政责任书</w:t>
      </w:r>
    </w:p>
    <w:p w14:paraId="31FD393F">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textAlignment w:val="auto"/>
        <w:rPr>
          <w:rFonts w:hint="eastAsia" w:eastAsia="宋体"/>
          <w:color w:val="auto"/>
          <w:sz w:val="24"/>
          <w:szCs w:val="24"/>
          <w:lang w:eastAsia="zh-CN"/>
        </w:rPr>
      </w:pPr>
      <w:r>
        <w:rPr>
          <w:color w:val="auto"/>
          <w:spacing w:val="-1"/>
          <w:sz w:val="24"/>
          <w:szCs w:val="24"/>
        </w:rPr>
        <w:t>工程名称：</w:t>
      </w:r>
      <w:r>
        <w:rPr>
          <w:rFonts w:hint="eastAsia"/>
          <w:color w:val="auto"/>
          <w:spacing w:val="-1"/>
          <w:sz w:val="24"/>
          <w:szCs w:val="24"/>
          <w:u w:val="single" w:color="auto"/>
          <w:lang w:eastAsia="zh-CN"/>
        </w:rPr>
        <w:t xml:space="preserve"> 泵站、堤防护坡清理维护工程（2025年）</w:t>
      </w:r>
    </w:p>
    <w:p w14:paraId="790B25B2">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textAlignment w:val="auto"/>
        <w:rPr>
          <w:color w:val="auto"/>
          <w:sz w:val="24"/>
          <w:szCs w:val="24"/>
        </w:rPr>
      </w:pPr>
      <w:r>
        <w:rPr>
          <w:color w:val="auto"/>
          <w:spacing w:val="-1"/>
          <w:sz w:val="24"/>
          <w:szCs w:val="24"/>
        </w:rPr>
        <w:t>工程建设地址：</w:t>
      </w:r>
      <w:r>
        <w:rPr>
          <w:color w:val="auto"/>
          <w:spacing w:val="-1"/>
          <w:sz w:val="24"/>
          <w:szCs w:val="24"/>
          <w:u w:val="single" w:color="auto"/>
        </w:rPr>
        <w:t>柳州市区</w:t>
      </w:r>
    </w:p>
    <w:p w14:paraId="06CE7AEE">
      <w:pPr>
        <w:pStyle w:val="12"/>
        <w:keepNext w:val="0"/>
        <w:keepLines w:val="0"/>
        <w:pageBreakBefore w:val="0"/>
        <w:widowControl w:val="0"/>
        <w:kinsoku/>
        <w:wordWrap w:val="0"/>
        <w:overflowPunct/>
        <w:topLinePunct w:val="0"/>
        <w:autoSpaceDE/>
        <w:autoSpaceDN/>
        <w:bidi w:val="0"/>
        <w:adjustRightInd/>
        <w:snapToGrid/>
        <w:spacing w:before="0" w:after="0" w:line="360" w:lineRule="auto"/>
        <w:ind w:right="0" w:firstLine="3"/>
        <w:textAlignment w:val="auto"/>
        <w:rPr>
          <w:color w:val="auto"/>
          <w:sz w:val="24"/>
          <w:szCs w:val="24"/>
        </w:rPr>
      </w:pPr>
      <w:r>
        <w:rPr>
          <w:color w:val="auto"/>
          <w:spacing w:val="-2"/>
          <w:sz w:val="24"/>
          <w:szCs w:val="24"/>
        </w:rPr>
        <w:t xml:space="preserve">发包人： </w:t>
      </w:r>
      <w:r>
        <w:rPr>
          <w:color w:val="auto"/>
          <w:spacing w:val="-101"/>
          <w:sz w:val="24"/>
          <w:szCs w:val="24"/>
          <w:u w:val="single" w:color="auto"/>
        </w:rPr>
        <w:t xml:space="preserve"> </w:t>
      </w:r>
      <w:r>
        <w:rPr>
          <w:color w:val="auto"/>
          <w:spacing w:val="-2"/>
          <w:sz w:val="24"/>
          <w:szCs w:val="24"/>
          <w:u w:val="single" w:color="auto"/>
        </w:rPr>
        <w:t>柳州市防洪排涝工程管理处</w:t>
      </w:r>
      <w:r>
        <w:rPr>
          <w:color w:val="auto"/>
          <w:sz w:val="24"/>
          <w:szCs w:val="24"/>
        </w:rPr>
        <w:t xml:space="preserve"> </w:t>
      </w:r>
    </w:p>
    <w:p w14:paraId="33271009">
      <w:pPr>
        <w:pStyle w:val="12"/>
        <w:keepNext w:val="0"/>
        <w:keepLines w:val="0"/>
        <w:pageBreakBefore w:val="0"/>
        <w:widowControl w:val="0"/>
        <w:kinsoku/>
        <w:wordWrap w:val="0"/>
        <w:overflowPunct/>
        <w:topLinePunct w:val="0"/>
        <w:autoSpaceDE/>
        <w:autoSpaceDN/>
        <w:bidi w:val="0"/>
        <w:adjustRightInd/>
        <w:snapToGrid/>
        <w:spacing w:before="0" w:after="0" w:line="360" w:lineRule="auto"/>
        <w:ind w:right="0" w:firstLine="3"/>
        <w:textAlignment w:val="auto"/>
        <w:rPr>
          <w:color w:val="auto"/>
          <w:sz w:val="24"/>
          <w:szCs w:val="24"/>
        </w:rPr>
      </w:pPr>
      <w:r>
        <w:rPr>
          <w:color w:val="auto"/>
          <w:spacing w:val="-2"/>
          <w:sz w:val="24"/>
          <w:szCs w:val="24"/>
        </w:rPr>
        <w:t>承包人：</w:t>
      </w:r>
      <w:r>
        <w:rPr>
          <w:rFonts w:hint="eastAsia"/>
          <w:color w:val="auto"/>
          <w:spacing w:val="-2"/>
          <w:sz w:val="24"/>
          <w:szCs w:val="24"/>
          <w:lang w:eastAsia="zh-CN"/>
        </w:rPr>
        <w:t xml:space="preserve">     </w:t>
      </w:r>
      <w:r>
        <w:rPr>
          <w:color w:val="auto"/>
          <w:sz w:val="24"/>
          <w:szCs w:val="24"/>
          <w:u w:val="single" w:color="auto"/>
        </w:rPr>
        <w:t xml:space="preserve"> </w:t>
      </w:r>
    </w:p>
    <w:p w14:paraId="532122D2">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76" w:firstLineChars="200"/>
        <w:jc w:val="both"/>
        <w:textAlignment w:val="auto"/>
        <w:rPr>
          <w:color w:val="auto"/>
          <w:sz w:val="24"/>
          <w:szCs w:val="24"/>
        </w:rPr>
      </w:pPr>
      <w:r>
        <w:rPr>
          <w:color w:val="auto"/>
          <w:spacing w:val="-1"/>
          <w:sz w:val="24"/>
          <w:szCs w:val="24"/>
        </w:rPr>
        <w:t>为加强工程建设中的廉政建设，规范工程建设项目承发包双方的各项活动，防止</w:t>
      </w:r>
      <w:r>
        <w:rPr>
          <w:color w:val="auto"/>
          <w:spacing w:val="-2"/>
          <w:sz w:val="24"/>
          <w:szCs w:val="24"/>
        </w:rPr>
        <w:t>发生各种</w:t>
      </w:r>
      <w:r>
        <w:rPr>
          <w:color w:val="auto"/>
          <w:spacing w:val="-5"/>
          <w:sz w:val="24"/>
          <w:szCs w:val="24"/>
        </w:rPr>
        <w:t>谋取不正当利益的违法违纪行为，保护国家、集体和当事人的合法权益，</w:t>
      </w:r>
      <w:r>
        <w:rPr>
          <w:color w:val="auto"/>
          <w:spacing w:val="-6"/>
          <w:sz w:val="24"/>
          <w:szCs w:val="24"/>
        </w:rPr>
        <w:t>根据国家有关工程建</w:t>
      </w:r>
      <w:r>
        <w:rPr>
          <w:color w:val="auto"/>
          <w:spacing w:val="-2"/>
          <w:sz w:val="24"/>
          <w:szCs w:val="24"/>
        </w:rPr>
        <w:t>设的法律法规和廉政建设责任制规定，特订立本廉政责任书。</w:t>
      </w:r>
    </w:p>
    <w:p w14:paraId="7E6574B3">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76" w:firstLineChars="200"/>
        <w:jc w:val="both"/>
        <w:textAlignment w:val="auto"/>
        <w:rPr>
          <w:color w:val="auto"/>
          <w:sz w:val="24"/>
          <w:szCs w:val="24"/>
        </w:rPr>
      </w:pPr>
      <w:r>
        <w:rPr>
          <w:color w:val="auto"/>
          <w:spacing w:val="-1"/>
          <w:sz w:val="24"/>
          <w:szCs w:val="24"/>
        </w:rPr>
        <w:t>第一条  发包人和承包人双方的责任</w:t>
      </w:r>
    </w:p>
    <w:p w14:paraId="5E0D26A4">
      <w:pPr>
        <w:pStyle w:val="12"/>
        <w:keepNext w:val="0"/>
        <w:keepLines w:val="0"/>
        <w:pageBreakBefore w:val="0"/>
        <w:widowControl w:val="0"/>
        <w:kinsoku/>
        <w:wordWrap w:val="0"/>
        <w:overflowPunct/>
        <w:topLinePunct w:val="0"/>
        <w:autoSpaceDE/>
        <w:autoSpaceDN/>
        <w:bidi w:val="0"/>
        <w:adjustRightInd/>
        <w:snapToGrid/>
        <w:spacing w:before="0" w:after="0" w:line="360" w:lineRule="auto"/>
        <w:ind w:right="0" w:firstLine="476" w:firstLineChars="200"/>
        <w:jc w:val="both"/>
        <w:textAlignment w:val="auto"/>
        <w:rPr>
          <w:color w:val="auto"/>
          <w:sz w:val="24"/>
          <w:szCs w:val="24"/>
        </w:rPr>
      </w:pPr>
      <w:r>
        <w:rPr>
          <w:color w:val="auto"/>
          <w:spacing w:val="-1"/>
          <w:sz w:val="24"/>
          <w:szCs w:val="24"/>
        </w:rPr>
        <w:t>（一）应严格遵守国家关于市场准入、项目招标投标、工程建设、施工安装</w:t>
      </w:r>
      <w:r>
        <w:rPr>
          <w:color w:val="auto"/>
          <w:spacing w:val="-2"/>
          <w:sz w:val="24"/>
          <w:szCs w:val="24"/>
        </w:rPr>
        <w:t>和市场活动等有关法律、法规、相关政策，以及廉政建设的各项规定。</w:t>
      </w:r>
    </w:p>
    <w:p w14:paraId="231D3C4F">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72" w:firstLineChars="200"/>
        <w:jc w:val="both"/>
        <w:textAlignment w:val="auto"/>
        <w:rPr>
          <w:color w:val="auto"/>
          <w:sz w:val="24"/>
          <w:szCs w:val="24"/>
        </w:rPr>
      </w:pPr>
      <w:r>
        <w:rPr>
          <w:color w:val="auto"/>
          <w:spacing w:val="-2"/>
          <w:sz w:val="24"/>
          <w:szCs w:val="24"/>
        </w:rPr>
        <w:t>（二）严格执行建设工程项目承发包合同文件，自觉按合同办事。</w:t>
      </w:r>
    </w:p>
    <w:p w14:paraId="6D1AE1A7">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76" w:firstLineChars="200"/>
        <w:jc w:val="both"/>
        <w:textAlignment w:val="auto"/>
        <w:rPr>
          <w:color w:val="auto"/>
          <w:sz w:val="24"/>
          <w:szCs w:val="24"/>
        </w:rPr>
      </w:pPr>
      <w:r>
        <w:rPr>
          <w:color w:val="auto"/>
          <w:spacing w:val="-1"/>
          <w:sz w:val="24"/>
          <w:szCs w:val="24"/>
        </w:rPr>
        <w:t>（三）业务活动必须坚持公开、公平、公正、诚</w:t>
      </w:r>
      <w:r>
        <w:rPr>
          <w:color w:val="auto"/>
          <w:spacing w:val="-2"/>
          <w:sz w:val="24"/>
          <w:szCs w:val="24"/>
        </w:rPr>
        <w:t>信、透明的原则（除法律法规另有规定者</w:t>
      </w:r>
      <w:r>
        <w:rPr>
          <w:color w:val="auto"/>
          <w:spacing w:val="-6"/>
          <w:sz w:val="24"/>
          <w:szCs w:val="24"/>
        </w:rPr>
        <w:t>外</w:t>
      </w:r>
      <w:r>
        <w:rPr>
          <w:color w:val="auto"/>
          <w:spacing w:val="4"/>
          <w:sz w:val="24"/>
          <w:szCs w:val="24"/>
        </w:rPr>
        <w:t>），</w:t>
      </w:r>
      <w:r>
        <w:rPr>
          <w:color w:val="auto"/>
          <w:spacing w:val="-6"/>
          <w:sz w:val="24"/>
          <w:szCs w:val="24"/>
        </w:rPr>
        <w:t>不得为获取不正当的利益，损害国家、集体和对方利益，不得违反工程建设管理、施工</w:t>
      </w:r>
      <w:r>
        <w:rPr>
          <w:color w:val="auto"/>
          <w:spacing w:val="-2"/>
          <w:sz w:val="24"/>
          <w:szCs w:val="24"/>
        </w:rPr>
        <w:t>安装的规章制度。</w:t>
      </w:r>
    </w:p>
    <w:p w14:paraId="400FC483">
      <w:pPr>
        <w:pStyle w:val="12"/>
        <w:keepNext w:val="0"/>
        <w:keepLines w:val="0"/>
        <w:pageBreakBefore w:val="0"/>
        <w:widowControl w:val="0"/>
        <w:kinsoku/>
        <w:wordWrap w:val="0"/>
        <w:overflowPunct/>
        <w:topLinePunct w:val="0"/>
        <w:autoSpaceDE/>
        <w:autoSpaceDN/>
        <w:bidi w:val="0"/>
        <w:adjustRightInd/>
        <w:snapToGrid/>
        <w:spacing w:before="0" w:after="0" w:line="360" w:lineRule="auto"/>
        <w:ind w:right="0" w:firstLine="448" w:firstLineChars="200"/>
        <w:jc w:val="both"/>
        <w:textAlignment w:val="auto"/>
        <w:rPr>
          <w:color w:val="auto"/>
          <w:sz w:val="24"/>
          <w:szCs w:val="24"/>
        </w:rPr>
      </w:pPr>
      <w:r>
        <w:rPr>
          <w:color w:val="auto"/>
          <w:spacing w:val="-8"/>
          <w:sz w:val="24"/>
          <w:szCs w:val="24"/>
        </w:rPr>
        <w:t>（四）发现对方在业务活动中有违规、违纪、违法行为的，应及</w:t>
      </w:r>
      <w:r>
        <w:rPr>
          <w:color w:val="auto"/>
          <w:spacing w:val="-9"/>
          <w:sz w:val="24"/>
          <w:szCs w:val="24"/>
        </w:rPr>
        <w:t>时提醒对方，情节严重的，</w:t>
      </w:r>
      <w:r>
        <w:rPr>
          <w:color w:val="auto"/>
          <w:spacing w:val="-2"/>
          <w:sz w:val="24"/>
          <w:szCs w:val="24"/>
        </w:rPr>
        <w:t>应向其上级主管部门或纪检监察、司法等有关机关举报。</w:t>
      </w:r>
    </w:p>
    <w:p w14:paraId="2DA69E98">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76" w:firstLineChars="200"/>
        <w:jc w:val="both"/>
        <w:textAlignment w:val="auto"/>
        <w:rPr>
          <w:color w:val="auto"/>
          <w:sz w:val="24"/>
          <w:szCs w:val="24"/>
        </w:rPr>
      </w:pPr>
      <w:r>
        <w:rPr>
          <w:color w:val="auto"/>
          <w:spacing w:val="-1"/>
          <w:sz w:val="24"/>
          <w:szCs w:val="24"/>
        </w:rPr>
        <w:t>第二条  发包人的责任</w:t>
      </w:r>
    </w:p>
    <w:p w14:paraId="6764F1AE">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76" w:firstLineChars="200"/>
        <w:jc w:val="both"/>
        <w:textAlignment w:val="auto"/>
        <w:rPr>
          <w:color w:val="auto"/>
          <w:sz w:val="24"/>
          <w:szCs w:val="24"/>
        </w:rPr>
      </w:pPr>
      <w:r>
        <w:rPr>
          <w:color w:val="auto"/>
          <w:spacing w:val="-1"/>
          <w:sz w:val="24"/>
          <w:szCs w:val="24"/>
        </w:rPr>
        <w:t>发包人的领导和从事该建设工程项目的工作人员，在工程建设的事前、事中、事</w:t>
      </w:r>
      <w:r>
        <w:rPr>
          <w:color w:val="auto"/>
          <w:spacing w:val="-2"/>
          <w:sz w:val="24"/>
          <w:szCs w:val="24"/>
        </w:rPr>
        <w:t>后应遵守</w:t>
      </w:r>
      <w:r>
        <w:rPr>
          <w:color w:val="auto"/>
          <w:spacing w:val="-15"/>
          <w:sz w:val="24"/>
          <w:szCs w:val="24"/>
        </w:rPr>
        <w:t>以下规定：</w:t>
      </w:r>
    </w:p>
    <w:p w14:paraId="1EAA3961">
      <w:pPr>
        <w:pStyle w:val="12"/>
        <w:keepNext w:val="0"/>
        <w:keepLines w:val="0"/>
        <w:pageBreakBefore w:val="0"/>
        <w:widowControl w:val="0"/>
        <w:kinsoku/>
        <w:wordWrap w:val="0"/>
        <w:overflowPunct/>
        <w:topLinePunct w:val="0"/>
        <w:autoSpaceDE/>
        <w:autoSpaceDN/>
        <w:bidi w:val="0"/>
        <w:adjustRightInd/>
        <w:snapToGrid/>
        <w:spacing w:before="0" w:after="0" w:line="360" w:lineRule="auto"/>
        <w:ind w:right="0" w:firstLine="476" w:firstLineChars="200"/>
        <w:jc w:val="both"/>
        <w:textAlignment w:val="auto"/>
        <w:rPr>
          <w:color w:val="auto"/>
          <w:sz w:val="24"/>
          <w:szCs w:val="24"/>
        </w:rPr>
      </w:pPr>
      <w:r>
        <w:rPr>
          <w:color w:val="auto"/>
          <w:spacing w:val="-1"/>
          <w:sz w:val="24"/>
          <w:szCs w:val="24"/>
        </w:rPr>
        <w:t>（一）不准向承包人和相关单位索要或接受回扣、礼金、有</w:t>
      </w:r>
      <w:r>
        <w:rPr>
          <w:color w:val="auto"/>
          <w:spacing w:val="-2"/>
          <w:sz w:val="24"/>
          <w:szCs w:val="24"/>
        </w:rPr>
        <w:t>价证卷、贵重物品和好处费、</w:t>
      </w:r>
      <w:r>
        <w:rPr>
          <w:color w:val="auto"/>
          <w:spacing w:val="-8"/>
          <w:sz w:val="24"/>
          <w:szCs w:val="24"/>
        </w:rPr>
        <w:t>感谢费等。</w:t>
      </w:r>
    </w:p>
    <w:p w14:paraId="45014EA8">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72" w:firstLineChars="200"/>
        <w:jc w:val="both"/>
        <w:textAlignment w:val="auto"/>
        <w:rPr>
          <w:color w:val="auto"/>
          <w:sz w:val="24"/>
          <w:szCs w:val="24"/>
        </w:rPr>
      </w:pPr>
      <w:r>
        <w:rPr>
          <w:color w:val="auto"/>
          <w:spacing w:val="-2"/>
          <w:sz w:val="24"/>
          <w:szCs w:val="24"/>
        </w:rPr>
        <w:t>（二）不准在承包人和相关单位报销任何应由发包人或个人支付的费用。</w:t>
      </w:r>
    </w:p>
    <w:p w14:paraId="58B3CAC6">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72" w:firstLineChars="200"/>
        <w:jc w:val="both"/>
        <w:textAlignment w:val="auto"/>
        <w:rPr>
          <w:color w:val="auto"/>
          <w:sz w:val="24"/>
          <w:szCs w:val="24"/>
        </w:rPr>
      </w:pPr>
      <w:r>
        <w:rPr>
          <w:color w:val="auto"/>
          <w:spacing w:val="-2"/>
          <w:sz w:val="24"/>
          <w:szCs w:val="24"/>
        </w:rPr>
        <w:t>（三）不准要求、暗示和接受承包人和相关单位为个人装修住房、婚丧嫁娶、配偶子女的</w:t>
      </w:r>
      <w:r>
        <w:rPr>
          <w:color w:val="auto"/>
          <w:spacing w:val="-3"/>
          <w:sz w:val="24"/>
          <w:szCs w:val="24"/>
        </w:rPr>
        <w:t>工作安排以及出国（境）、旅游等提供方便。</w:t>
      </w:r>
    </w:p>
    <w:p w14:paraId="0AB8DAF5">
      <w:pPr>
        <w:pStyle w:val="12"/>
        <w:keepNext w:val="0"/>
        <w:keepLines w:val="0"/>
        <w:pageBreakBefore w:val="0"/>
        <w:widowControl w:val="0"/>
        <w:kinsoku/>
        <w:wordWrap w:val="0"/>
        <w:overflowPunct/>
        <w:topLinePunct w:val="0"/>
        <w:autoSpaceDE/>
        <w:autoSpaceDN/>
        <w:bidi w:val="0"/>
        <w:adjustRightInd/>
        <w:snapToGrid/>
        <w:spacing w:before="0" w:after="0" w:line="360" w:lineRule="auto"/>
        <w:ind w:firstLine="460" w:firstLineChars="200"/>
        <w:jc w:val="both"/>
        <w:textAlignment w:val="auto"/>
        <w:rPr>
          <w:color w:val="auto"/>
          <w:sz w:val="24"/>
          <w:szCs w:val="24"/>
        </w:rPr>
      </w:pPr>
      <w:r>
        <w:rPr>
          <w:color w:val="auto"/>
          <w:spacing w:val="-5"/>
          <w:sz w:val="24"/>
          <w:szCs w:val="24"/>
        </w:rPr>
        <w:t>（四）不准参加有可能影响公正执行公务的承包人和相关单位的宴请和健身、娱乐等活动。</w:t>
      </w:r>
    </w:p>
    <w:p w14:paraId="22458B8A">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76" w:firstLineChars="200"/>
        <w:jc w:val="both"/>
        <w:textAlignment w:val="auto"/>
        <w:rPr>
          <w:color w:val="auto"/>
          <w:sz w:val="24"/>
          <w:szCs w:val="24"/>
        </w:rPr>
      </w:pPr>
      <w:r>
        <w:rPr>
          <w:color w:val="auto"/>
          <w:spacing w:val="-1"/>
          <w:sz w:val="24"/>
          <w:szCs w:val="24"/>
        </w:rPr>
        <w:t>（五）不准向承包人介绍或为配偶、子女、亲属参与同发包人项目工程施</w:t>
      </w:r>
      <w:r>
        <w:rPr>
          <w:color w:val="auto"/>
          <w:spacing w:val="-2"/>
          <w:sz w:val="24"/>
          <w:szCs w:val="24"/>
        </w:rPr>
        <w:t>工合同有关的设</w:t>
      </w:r>
      <w:r>
        <w:rPr>
          <w:color w:val="auto"/>
          <w:spacing w:val="-1"/>
          <w:sz w:val="24"/>
          <w:szCs w:val="24"/>
        </w:rPr>
        <w:t>备、材料、工程分包、劳务等经济活动。不得以任何理由向承包人和相关单位推荐分包单</w:t>
      </w:r>
      <w:r>
        <w:rPr>
          <w:color w:val="auto"/>
          <w:spacing w:val="-2"/>
          <w:sz w:val="24"/>
          <w:szCs w:val="24"/>
        </w:rPr>
        <w:t>位和</w:t>
      </w:r>
    </w:p>
    <w:p w14:paraId="4BF09AE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Arial" w:eastAsia="宋体"/>
          <w:color w:val="auto"/>
          <w:sz w:val="21"/>
          <w:lang w:eastAsia="zh-CN"/>
        </w:rPr>
      </w:pPr>
    </w:p>
    <w:p w14:paraId="3E249C72">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72" w:firstLineChars="200"/>
        <w:jc w:val="both"/>
        <w:textAlignment w:val="auto"/>
        <w:rPr>
          <w:color w:val="auto"/>
          <w:spacing w:val="-2"/>
          <w:sz w:val="24"/>
          <w:szCs w:val="24"/>
        </w:rPr>
      </w:pPr>
      <w:r>
        <w:rPr>
          <w:color w:val="auto"/>
          <w:spacing w:val="-2"/>
          <w:sz w:val="24"/>
          <w:szCs w:val="24"/>
        </w:rPr>
        <w:t>要求承包人购买项目工程施工合同规定以外的材料、设备等。</w:t>
      </w:r>
    </w:p>
    <w:p w14:paraId="2702231A">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76" w:firstLineChars="200"/>
        <w:jc w:val="both"/>
        <w:textAlignment w:val="auto"/>
        <w:rPr>
          <w:color w:val="auto"/>
          <w:sz w:val="24"/>
          <w:szCs w:val="24"/>
        </w:rPr>
      </w:pPr>
      <w:r>
        <w:rPr>
          <w:color w:val="auto"/>
          <w:spacing w:val="-1"/>
          <w:sz w:val="24"/>
          <w:szCs w:val="24"/>
        </w:rPr>
        <w:t>第三条  承包人的责任</w:t>
      </w:r>
    </w:p>
    <w:p w14:paraId="3FA72505">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76" w:firstLineChars="200"/>
        <w:jc w:val="both"/>
        <w:textAlignment w:val="auto"/>
        <w:rPr>
          <w:color w:val="auto"/>
          <w:sz w:val="24"/>
          <w:szCs w:val="24"/>
        </w:rPr>
      </w:pPr>
      <w:r>
        <w:rPr>
          <w:color w:val="auto"/>
          <w:spacing w:val="-1"/>
          <w:sz w:val="24"/>
          <w:szCs w:val="24"/>
        </w:rPr>
        <w:t>应与发包人保持正常的业务交往，按照有关法律法规和程序开展业务工作，严格执行工程</w:t>
      </w:r>
      <w:r>
        <w:rPr>
          <w:color w:val="auto"/>
          <w:spacing w:val="-2"/>
          <w:sz w:val="24"/>
          <w:szCs w:val="24"/>
        </w:rPr>
        <w:t>建设的有关方针、政策，尤其是有关建筑施工安装的强制性标准和规范，并遵守以下规定：</w:t>
      </w:r>
    </w:p>
    <w:p w14:paraId="4B6A1411">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76" w:firstLineChars="200"/>
        <w:jc w:val="both"/>
        <w:textAlignment w:val="auto"/>
        <w:rPr>
          <w:color w:val="auto"/>
          <w:sz w:val="24"/>
          <w:szCs w:val="24"/>
        </w:rPr>
      </w:pPr>
      <w:r>
        <w:rPr>
          <w:color w:val="auto"/>
          <w:spacing w:val="-1"/>
          <w:sz w:val="24"/>
          <w:szCs w:val="24"/>
        </w:rPr>
        <w:t>（一）不准以任何理由向发包人、相关单位及其工作人员索要、接受或赠</w:t>
      </w:r>
      <w:r>
        <w:rPr>
          <w:color w:val="auto"/>
          <w:spacing w:val="-2"/>
          <w:sz w:val="24"/>
          <w:szCs w:val="24"/>
        </w:rPr>
        <w:t>送礼金、有价证</w:t>
      </w:r>
      <w:r>
        <w:rPr>
          <w:color w:val="auto"/>
          <w:spacing w:val="-3"/>
          <w:sz w:val="24"/>
          <w:szCs w:val="24"/>
        </w:rPr>
        <w:t>卷、贵重物品和回扣、好处费、感谢费等。</w:t>
      </w:r>
    </w:p>
    <w:p w14:paraId="7382D927">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72" w:firstLineChars="200"/>
        <w:jc w:val="both"/>
        <w:textAlignment w:val="auto"/>
        <w:rPr>
          <w:color w:val="auto"/>
          <w:sz w:val="24"/>
          <w:szCs w:val="24"/>
        </w:rPr>
      </w:pPr>
      <w:r>
        <w:rPr>
          <w:color w:val="auto"/>
          <w:spacing w:val="-2"/>
          <w:sz w:val="24"/>
          <w:szCs w:val="24"/>
        </w:rPr>
        <w:t>（二）不准以任何理由为发包人和相关单位报销应由对方或个人支付的费用。</w:t>
      </w:r>
    </w:p>
    <w:p w14:paraId="1B6F397C">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76" w:firstLineChars="200"/>
        <w:jc w:val="both"/>
        <w:textAlignment w:val="auto"/>
        <w:rPr>
          <w:color w:val="auto"/>
          <w:sz w:val="24"/>
          <w:szCs w:val="24"/>
        </w:rPr>
      </w:pPr>
      <w:r>
        <w:rPr>
          <w:color w:val="auto"/>
          <w:spacing w:val="-1"/>
          <w:sz w:val="24"/>
          <w:szCs w:val="24"/>
        </w:rPr>
        <w:t>（三）不准接受或暗示为发包人、相关单位或个人装修住房、婚丧嫁娶、</w:t>
      </w:r>
      <w:r>
        <w:rPr>
          <w:color w:val="auto"/>
          <w:spacing w:val="-2"/>
          <w:sz w:val="24"/>
          <w:szCs w:val="24"/>
        </w:rPr>
        <w:t>配偶子女的工作</w:t>
      </w:r>
      <w:r>
        <w:rPr>
          <w:color w:val="auto"/>
          <w:spacing w:val="-3"/>
          <w:sz w:val="24"/>
          <w:szCs w:val="24"/>
        </w:rPr>
        <w:t>安排以及出国（境）、旅游等提供方便。</w:t>
      </w:r>
    </w:p>
    <w:p w14:paraId="71F9705F">
      <w:pPr>
        <w:pStyle w:val="12"/>
        <w:keepNext w:val="0"/>
        <w:keepLines w:val="0"/>
        <w:pageBreakBefore w:val="0"/>
        <w:widowControl w:val="0"/>
        <w:kinsoku/>
        <w:wordWrap w:val="0"/>
        <w:overflowPunct/>
        <w:topLinePunct w:val="0"/>
        <w:autoSpaceDE/>
        <w:autoSpaceDN/>
        <w:bidi w:val="0"/>
        <w:adjustRightInd/>
        <w:snapToGrid/>
        <w:spacing w:before="0" w:after="0" w:line="360" w:lineRule="auto"/>
        <w:ind w:right="0" w:firstLine="472" w:firstLineChars="200"/>
        <w:jc w:val="both"/>
        <w:textAlignment w:val="auto"/>
        <w:rPr>
          <w:color w:val="auto"/>
          <w:sz w:val="24"/>
          <w:szCs w:val="24"/>
        </w:rPr>
      </w:pPr>
      <w:r>
        <w:rPr>
          <w:color w:val="auto"/>
          <w:spacing w:val="-2"/>
          <w:sz w:val="24"/>
          <w:szCs w:val="24"/>
        </w:rPr>
        <w:t>（四）不准以任何理由为发包人、相关单位或个人组织有可能影响公正执行公务的宴请和</w:t>
      </w:r>
      <w:r>
        <w:rPr>
          <w:color w:val="auto"/>
          <w:spacing w:val="-5"/>
          <w:sz w:val="24"/>
          <w:szCs w:val="24"/>
        </w:rPr>
        <w:t>健身、娱乐等活动。</w:t>
      </w:r>
    </w:p>
    <w:p w14:paraId="68504EAA">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76" w:firstLineChars="200"/>
        <w:jc w:val="both"/>
        <w:textAlignment w:val="auto"/>
        <w:rPr>
          <w:color w:val="auto"/>
          <w:sz w:val="24"/>
          <w:szCs w:val="24"/>
        </w:rPr>
      </w:pPr>
      <w:r>
        <w:rPr>
          <w:color w:val="auto"/>
          <w:spacing w:val="-1"/>
          <w:sz w:val="24"/>
          <w:szCs w:val="24"/>
        </w:rPr>
        <w:t>第四条  违约责任</w:t>
      </w:r>
    </w:p>
    <w:p w14:paraId="32E7D4F5">
      <w:pPr>
        <w:pStyle w:val="12"/>
        <w:keepNext w:val="0"/>
        <w:keepLines w:val="0"/>
        <w:pageBreakBefore w:val="0"/>
        <w:widowControl w:val="0"/>
        <w:kinsoku/>
        <w:wordWrap w:val="0"/>
        <w:overflowPunct/>
        <w:topLinePunct w:val="0"/>
        <w:autoSpaceDE/>
        <w:autoSpaceDN/>
        <w:bidi w:val="0"/>
        <w:adjustRightInd/>
        <w:snapToGrid/>
        <w:spacing w:before="0" w:after="0" w:line="360" w:lineRule="auto"/>
        <w:ind w:right="0" w:firstLine="456" w:firstLineChars="200"/>
        <w:jc w:val="both"/>
        <w:textAlignment w:val="auto"/>
        <w:rPr>
          <w:color w:val="auto"/>
          <w:sz w:val="24"/>
          <w:szCs w:val="24"/>
        </w:rPr>
      </w:pPr>
      <w:r>
        <w:rPr>
          <w:color w:val="auto"/>
          <w:spacing w:val="-6"/>
          <w:sz w:val="24"/>
          <w:szCs w:val="24"/>
        </w:rPr>
        <w:t>（一）发包人工作人员有违反本责任书第一、二条责任行为的，按照管理权限，依据有关</w:t>
      </w:r>
      <w:r>
        <w:rPr>
          <w:color w:val="auto"/>
          <w:spacing w:val="-1"/>
          <w:sz w:val="24"/>
          <w:szCs w:val="24"/>
        </w:rPr>
        <w:t>法律法规和规定给予党纪、政纪处分或组织处理；涉嫌犯罪的，移交</w:t>
      </w:r>
      <w:r>
        <w:rPr>
          <w:color w:val="auto"/>
          <w:spacing w:val="-2"/>
          <w:sz w:val="24"/>
          <w:szCs w:val="24"/>
        </w:rPr>
        <w:t>司法机关追究刑事责任；</w:t>
      </w:r>
      <w:r>
        <w:rPr>
          <w:color w:val="auto"/>
          <w:spacing w:val="-3"/>
          <w:sz w:val="24"/>
          <w:szCs w:val="24"/>
        </w:rPr>
        <w:t>给承包人单位造成经济损失的，应予赔偿。</w:t>
      </w:r>
    </w:p>
    <w:p w14:paraId="58D564C1">
      <w:pPr>
        <w:pStyle w:val="12"/>
        <w:keepNext w:val="0"/>
        <w:keepLines w:val="0"/>
        <w:pageBreakBefore w:val="0"/>
        <w:widowControl w:val="0"/>
        <w:kinsoku/>
        <w:wordWrap w:val="0"/>
        <w:overflowPunct/>
        <w:topLinePunct w:val="0"/>
        <w:autoSpaceDE/>
        <w:autoSpaceDN/>
        <w:bidi w:val="0"/>
        <w:adjustRightInd/>
        <w:snapToGrid/>
        <w:spacing w:before="0" w:after="0" w:line="360" w:lineRule="auto"/>
        <w:ind w:right="0" w:firstLine="456" w:firstLineChars="200"/>
        <w:jc w:val="both"/>
        <w:textAlignment w:val="auto"/>
        <w:rPr>
          <w:color w:val="auto"/>
          <w:sz w:val="24"/>
          <w:szCs w:val="24"/>
        </w:rPr>
      </w:pPr>
      <w:r>
        <w:rPr>
          <w:color w:val="auto"/>
          <w:spacing w:val="-6"/>
          <w:sz w:val="24"/>
          <w:szCs w:val="24"/>
        </w:rPr>
        <w:t>（二）承包人工作人员有违反本责任书第一、三条责任行为的，按照管理权限，依据有关</w:t>
      </w:r>
      <w:r>
        <w:rPr>
          <w:color w:val="auto"/>
          <w:spacing w:val="-1"/>
          <w:sz w:val="24"/>
          <w:szCs w:val="24"/>
        </w:rPr>
        <w:t>法律法规和规定给予党纪、政纪处分或组织处理；涉嫌犯罪的，移交司</w:t>
      </w:r>
      <w:r>
        <w:rPr>
          <w:color w:val="auto"/>
          <w:spacing w:val="-2"/>
          <w:sz w:val="24"/>
          <w:szCs w:val="24"/>
        </w:rPr>
        <w:t>法机关追究刑事责任；</w:t>
      </w:r>
      <w:r>
        <w:rPr>
          <w:color w:val="auto"/>
          <w:spacing w:val="-3"/>
          <w:sz w:val="24"/>
          <w:szCs w:val="24"/>
        </w:rPr>
        <w:t>给发包人单位造成经济损失的，应予赔偿。</w:t>
      </w:r>
    </w:p>
    <w:p w14:paraId="3C1774FB">
      <w:pPr>
        <w:pStyle w:val="12"/>
        <w:keepNext w:val="0"/>
        <w:keepLines w:val="0"/>
        <w:pageBreakBefore w:val="0"/>
        <w:widowControl w:val="0"/>
        <w:kinsoku/>
        <w:wordWrap w:val="0"/>
        <w:overflowPunct/>
        <w:topLinePunct w:val="0"/>
        <w:autoSpaceDE/>
        <w:autoSpaceDN/>
        <w:bidi w:val="0"/>
        <w:adjustRightInd/>
        <w:snapToGrid/>
        <w:spacing w:before="0" w:after="0" w:line="360" w:lineRule="auto"/>
        <w:ind w:firstLine="476" w:firstLineChars="200"/>
        <w:jc w:val="both"/>
        <w:textAlignment w:val="auto"/>
        <w:rPr>
          <w:color w:val="auto"/>
          <w:sz w:val="24"/>
          <w:szCs w:val="24"/>
        </w:rPr>
      </w:pPr>
      <w:r>
        <w:rPr>
          <w:color w:val="auto"/>
          <w:spacing w:val="-1"/>
          <w:sz w:val="24"/>
          <w:szCs w:val="24"/>
        </w:rPr>
        <w:t xml:space="preserve">第五条 </w:t>
      </w:r>
      <w:r>
        <w:rPr>
          <w:rFonts w:hint="eastAsia"/>
          <w:color w:val="auto"/>
          <w:spacing w:val="-1"/>
          <w:sz w:val="24"/>
          <w:szCs w:val="24"/>
          <w:lang w:val="en-US" w:eastAsia="zh-CN"/>
        </w:rPr>
        <w:t xml:space="preserve"> </w:t>
      </w:r>
      <w:r>
        <w:rPr>
          <w:color w:val="auto"/>
          <w:spacing w:val="-1"/>
          <w:sz w:val="24"/>
          <w:szCs w:val="24"/>
        </w:rPr>
        <w:t>本责任书为工程施工合同的附件，与工程施工合同具有同等法律效力。经双方签</w:t>
      </w:r>
      <w:r>
        <w:rPr>
          <w:color w:val="auto"/>
          <w:spacing w:val="-6"/>
          <w:sz w:val="24"/>
          <w:szCs w:val="24"/>
        </w:rPr>
        <w:t>署后立即生效。</w:t>
      </w:r>
    </w:p>
    <w:p w14:paraId="5EBE56B9">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76" w:firstLineChars="200"/>
        <w:jc w:val="both"/>
        <w:textAlignment w:val="auto"/>
        <w:rPr>
          <w:color w:val="auto"/>
          <w:sz w:val="24"/>
          <w:szCs w:val="24"/>
        </w:rPr>
      </w:pPr>
      <w:r>
        <w:rPr>
          <w:color w:val="auto"/>
          <w:spacing w:val="-1"/>
          <w:sz w:val="24"/>
          <w:szCs w:val="24"/>
        </w:rPr>
        <w:t>第六条  本责任书的有效期为双方签署之日起至该工程项目</w:t>
      </w:r>
      <w:r>
        <w:rPr>
          <w:rFonts w:hint="eastAsia"/>
          <w:color w:val="auto"/>
          <w:spacing w:val="-1"/>
          <w:sz w:val="24"/>
          <w:szCs w:val="24"/>
          <w:lang w:eastAsia="zh-CN"/>
        </w:rPr>
        <w:t>完工</w:t>
      </w:r>
      <w:r>
        <w:rPr>
          <w:color w:val="auto"/>
          <w:spacing w:val="-2"/>
          <w:sz w:val="24"/>
          <w:szCs w:val="24"/>
        </w:rPr>
        <w:t>验收合格时止。</w:t>
      </w:r>
    </w:p>
    <w:p w14:paraId="4234C464">
      <w:pPr>
        <w:pStyle w:val="12"/>
        <w:keepNext w:val="0"/>
        <w:keepLines w:val="0"/>
        <w:pageBreakBefore w:val="0"/>
        <w:widowControl w:val="0"/>
        <w:kinsoku/>
        <w:wordWrap w:val="0"/>
        <w:overflowPunct/>
        <w:topLinePunct w:val="0"/>
        <w:autoSpaceDE/>
        <w:autoSpaceDN/>
        <w:bidi w:val="0"/>
        <w:adjustRightInd/>
        <w:snapToGrid/>
        <w:spacing w:before="0" w:after="0" w:line="360" w:lineRule="auto"/>
        <w:ind w:left="0" w:firstLine="476" w:firstLineChars="200"/>
        <w:jc w:val="both"/>
        <w:textAlignment w:val="auto"/>
        <w:rPr>
          <w:color w:val="auto"/>
          <w:spacing w:val="-6"/>
          <w:sz w:val="24"/>
          <w:szCs w:val="24"/>
        </w:rPr>
      </w:pPr>
      <w:r>
        <w:rPr>
          <w:color w:val="auto"/>
          <w:spacing w:val="-1"/>
          <w:sz w:val="24"/>
          <w:szCs w:val="24"/>
        </w:rPr>
        <w:t>第七条  本责任书一式肆份，发包人执壹份，承包人执壹份，送交发包人承包人双方的监</w:t>
      </w:r>
      <w:r>
        <w:rPr>
          <w:color w:val="auto"/>
          <w:spacing w:val="-6"/>
          <w:sz w:val="24"/>
          <w:szCs w:val="24"/>
        </w:rPr>
        <w:t>督单位各壹份。</w:t>
      </w:r>
    </w:p>
    <w:p w14:paraId="4018E72B">
      <w:pPr>
        <w:rPr>
          <w:color w:val="auto"/>
          <w:spacing w:val="-6"/>
          <w:sz w:val="24"/>
          <w:szCs w:val="24"/>
        </w:rPr>
      </w:pPr>
      <w:r>
        <w:rPr>
          <w:color w:val="auto"/>
          <w:spacing w:val="-6"/>
          <w:sz w:val="24"/>
          <w:szCs w:val="24"/>
        </w:rPr>
        <w:br w:type="page"/>
      </w:r>
    </w:p>
    <w:p w14:paraId="73F3A6F9">
      <w:pPr>
        <w:pStyle w:val="12"/>
        <w:wordWrap w:val="0"/>
        <w:spacing w:before="0" w:line="360" w:lineRule="auto"/>
        <w:ind w:left="0"/>
        <w:rPr>
          <w:b/>
          <w:bCs/>
          <w:color w:val="auto"/>
          <w:spacing w:val="-12"/>
          <w:sz w:val="24"/>
          <w:szCs w:val="24"/>
        </w:rPr>
      </w:pPr>
      <w:r>
        <w:rPr>
          <w:b/>
          <w:bCs/>
          <w:color w:val="auto"/>
          <w:spacing w:val="-12"/>
          <w:sz w:val="24"/>
          <w:szCs w:val="24"/>
        </w:rPr>
        <w:t>附件</w:t>
      </w:r>
      <w:r>
        <w:rPr>
          <w:color w:val="auto"/>
          <w:spacing w:val="-50"/>
          <w:sz w:val="24"/>
          <w:szCs w:val="24"/>
        </w:rPr>
        <w:t xml:space="preserve"> </w:t>
      </w:r>
      <w:r>
        <w:rPr>
          <w:b/>
          <w:bCs/>
          <w:color w:val="auto"/>
          <w:spacing w:val="-12"/>
          <w:sz w:val="24"/>
          <w:szCs w:val="24"/>
        </w:rPr>
        <w:t>4</w:t>
      </w:r>
    </w:p>
    <w:p w14:paraId="6C617E69">
      <w:pPr>
        <w:pStyle w:val="12"/>
        <w:wordWrap w:val="0"/>
        <w:spacing w:before="0" w:line="360" w:lineRule="auto"/>
        <w:ind w:left="0"/>
        <w:jc w:val="center"/>
        <w:rPr>
          <w:color w:val="auto"/>
          <w:sz w:val="24"/>
          <w:szCs w:val="24"/>
        </w:rPr>
      </w:pPr>
      <w:r>
        <w:rPr>
          <w:rFonts w:hint="eastAsia"/>
          <w:color w:val="auto"/>
          <w:spacing w:val="-1"/>
          <w:sz w:val="24"/>
          <w:szCs w:val="24"/>
          <w:u w:val="single" w:color="auto"/>
          <w:lang w:eastAsia="zh-CN"/>
        </w:rPr>
        <w:t xml:space="preserve"> 泵站、堤防护坡清理维护工程（2025年）</w:t>
      </w:r>
      <w:r>
        <w:rPr>
          <w:rFonts w:hint="eastAsia"/>
          <w:b/>
          <w:bCs/>
          <w:color w:val="auto"/>
          <w:spacing w:val="-1"/>
          <w:sz w:val="24"/>
          <w:szCs w:val="24"/>
          <w:lang w:eastAsia="zh-CN"/>
        </w:rPr>
        <w:t>完工</w:t>
      </w:r>
      <w:r>
        <w:rPr>
          <w:b/>
          <w:bCs/>
          <w:color w:val="auto"/>
          <w:spacing w:val="-1"/>
          <w:sz w:val="24"/>
          <w:szCs w:val="24"/>
        </w:rPr>
        <w:t>结算的承</w:t>
      </w:r>
      <w:r>
        <w:rPr>
          <w:b/>
          <w:bCs/>
          <w:color w:val="auto"/>
          <w:spacing w:val="-2"/>
          <w:sz w:val="24"/>
          <w:szCs w:val="24"/>
        </w:rPr>
        <w:t>诺书</w:t>
      </w:r>
    </w:p>
    <w:p w14:paraId="012B9A1B">
      <w:pPr>
        <w:pStyle w:val="12"/>
        <w:keepNext w:val="0"/>
        <w:keepLines w:val="0"/>
        <w:pageBreakBefore w:val="0"/>
        <w:widowControl w:val="0"/>
        <w:kinsoku/>
        <w:wordWrap w:val="0"/>
        <w:overflowPunct/>
        <w:topLinePunct w:val="0"/>
        <w:autoSpaceDE/>
        <w:autoSpaceDN/>
        <w:bidi w:val="0"/>
        <w:adjustRightInd/>
        <w:snapToGrid/>
        <w:spacing w:before="0" w:line="360" w:lineRule="auto"/>
        <w:ind w:firstLine="460" w:firstLineChars="200"/>
        <w:jc w:val="both"/>
        <w:textAlignment w:val="auto"/>
        <w:rPr>
          <w:color w:val="auto"/>
          <w:spacing w:val="-5"/>
          <w:sz w:val="24"/>
          <w:szCs w:val="24"/>
        </w:rPr>
      </w:pPr>
      <w:r>
        <w:rPr>
          <w:color w:val="auto"/>
          <w:spacing w:val="-5"/>
          <w:sz w:val="24"/>
          <w:szCs w:val="24"/>
        </w:rPr>
        <w:t>根据有关法律规定，遵循平等、自愿、公平和诚实信用的原则，发包人：柳州市防洪排涝工程管理处和承包人：</w:t>
      </w:r>
      <w:r>
        <w:rPr>
          <w:rFonts w:hint="eastAsia"/>
          <w:color w:val="auto"/>
          <w:spacing w:val="-5"/>
          <w:sz w:val="24"/>
          <w:szCs w:val="24"/>
          <w:u w:val="single"/>
          <w:lang w:val="en-US" w:eastAsia="zh-CN"/>
        </w:rPr>
        <w:t xml:space="preserve">         </w:t>
      </w:r>
      <w:r>
        <w:rPr>
          <w:color w:val="auto"/>
          <w:spacing w:val="-5"/>
          <w:sz w:val="24"/>
          <w:szCs w:val="24"/>
        </w:rPr>
        <w:t>就</w:t>
      </w:r>
      <w:r>
        <w:rPr>
          <w:rFonts w:hint="eastAsia"/>
          <w:color w:val="auto"/>
          <w:spacing w:val="-5"/>
          <w:sz w:val="24"/>
          <w:szCs w:val="24"/>
          <w:u w:val="single"/>
          <w:lang w:eastAsia="zh-CN"/>
        </w:rPr>
        <w:t xml:space="preserve"> 泵站、堤防护坡清理维护工程（2025年）</w:t>
      </w:r>
      <w:r>
        <w:rPr>
          <w:color w:val="auto"/>
          <w:spacing w:val="-5"/>
          <w:sz w:val="24"/>
          <w:szCs w:val="24"/>
        </w:rPr>
        <w:t xml:space="preserve">  的</w:t>
      </w:r>
      <w:r>
        <w:rPr>
          <w:rFonts w:hint="eastAsia"/>
          <w:color w:val="auto"/>
          <w:spacing w:val="-5"/>
          <w:sz w:val="24"/>
          <w:szCs w:val="24"/>
          <w:lang w:eastAsia="zh-CN"/>
        </w:rPr>
        <w:t>完工</w:t>
      </w:r>
      <w:r>
        <w:rPr>
          <w:color w:val="auto"/>
          <w:spacing w:val="-5"/>
          <w:sz w:val="24"/>
          <w:szCs w:val="24"/>
        </w:rPr>
        <w:t>结算编制和报审作如下承诺</w:t>
      </w:r>
    </w:p>
    <w:p w14:paraId="6FB942D7">
      <w:pPr>
        <w:pStyle w:val="12"/>
        <w:keepNext w:val="0"/>
        <w:keepLines w:val="0"/>
        <w:pageBreakBefore w:val="0"/>
        <w:widowControl w:val="0"/>
        <w:kinsoku/>
        <w:wordWrap w:val="0"/>
        <w:overflowPunct/>
        <w:topLinePunct w:val="0"/>
        <w:autoSpaceDE/>
        <w:autoSpaceDN/>
        <w:bidi w:val="0"/>
        <w:adjustRightInd/>
        <w:snapToGrid/>
        <w:spacing w:before="0" w:line="360" w:lineRule="auto"/>
        <w:ind w:firstLine="460" w:firstLineChars="200"/>
        <w:jc w:val="both"/>
        <w:textAlignment w:val="auto"/>
        <w:rPr>
          <w:color w:val="auto"/>
          <w:sz w:val="24"/>
          <w:szCs w:val="24"/>
        </w:rPr>
      </w:pPr>
      <w:r>
        <w:rPr>
          <w:color w:val="auto"/>
          <w:spacing w:val="-5"/>
          <w:sz w:val="24"/>
          <w:szCs w:val="24"/>
        </w:rPr>
        <w:t>一、承包人按合同及相关规定的对所编制的工程</w:t>
      </w:r>
      <w:r>
        <w:rPr>
          <w:rFonts w:hint="eastAsia"/>
          <w:color w:val="auto"/>
          <w:spacing w:val="-5"/>
          <w:sz w:val="24"/>
          <w:szCs w:val="24"/>
          <w:lang w:eastAsia="zh-CN"/>
        </w:rPr>
        <w:t>完工</w:t>
      </w:r>
      <w:r>
        <w:rPr>
          <w:color w:val="auto"/>
          <w:spacing w:val="-5"/>
          <w:sz w:val="24"/>
          <w:szCs w:val="24"/>
        </w:rPr>
        <w:t>结算资料和结算书的合法性、真实性、</w:t>
      </w:r>
      <w:r>
        <w:rPr>
          <w:color w:val="auto"/>
          <w:sz w:val="24"/>
          <w:szCs w:val="24"/>
        </w:rPr>
        <w:t>完整性、正确性负责。不经发包人同意，承包人漏报的结算资料</w:t>
      </w:r>
      <w:r>
        <w:rPr>
          <w:color w:val="auto"/>
          <w:spacing w:val="-1"/>
          <w:sz w:val="24"/>
          <w:szCs w:val="24"/>
        </w:rPr>
        <w:t>不再作为</w:t>
      </w:r>
      <w:r>
        <w:rPr>
          <w:rFonts w:hint="eastAsia"/>
          <w:color w:val="auto"/>
          <w:spacing w:val="-1"/>
          <w:sz w:val="24"/>
          <w:szCs w:val="24"/>
          <w:lang w:eastAsia="zh-CN"/>
        </w:rPr>
        <w:t>完工</w:t>
      </w:r>
      <w:r>
        <w:rPr>
          <w:color w:val="auto"/>
          <w:spacing w:val="-1"/>
          <w:sz w:val="24"/>
          <w:szCs w:val="24"/>
        </w:rPr>
        <w:t>结算审核依据，</w:t>
      </w:r>
      <w:r>
        <w:rPr>
          <w:color w:val="auto"/>
          <w:spacing w:val="-6"/>
          <w:sz w:val="24"/>
          <w:szCs w:val="24"/>
        </w:rPr>
        <w:t>按自动放弃处理。</w:t>
      </w:r>
    </w:p>
    <w:p w14:paraId="2BACF8E4">
      <w:pPr>
        <w:pStyle w:val="12"/>
        <w:keepNext w:val="0"/>
        <w:keepLines w:val="0"/>
        <w:pageBreakBefore w:val="0"/>
        <w:widowControl w:val="0"/>
        <w:kinsoku/>
        <w:wordWrap w:val="0"/>
        <w:overflowPunct/>
        <w:topLinePunct w:val="0"/>
        <w:autoSpaceDE/>
        <w:autoSpaceDN/>
        <w:bidi w:val="0"/>
        <w:adjustRightInd/>
        <w:snapToGrid/>
        <w:spacing w:before="0" w:line="360" w:lineRule="auto"/>
        <w:ind w:left="0" w:right="0" w:firstLine="480" w:firstLineChars="200"/>
        <w:jc w:val="both"/>
        <w:textAlignment w:val="auto"/>
        <w:rPr>
          <w:color w:val="auto"/>
          <w:sz w:val="24"/>
          <w:szCs w:val="24"/>
        </w:rPr>
      </w:pPr>
      <w:r>
        <w:rPr>
          <w:color w:val="auto"/>
          <w:sz w:val="24"/>
          <w:szCs w:val="24"/>
        </w:rPr>
        <w:t>二、发包人按合同及相关规定对承包人报审的工程</w:t>
      </w:r>
      <w:r>
        <w:rPr>
          <w:rFonts w:hint="eastAsia"/>
          <w:color w:val="auto"/>
          <w:sz w:val="24"/>
          <w:szCs w:val="24"/>
          <w:lang w:eastAsia="zh-CN"/>
        </w:rPr>
        <w:t>完工</w:t>
      </w:r>
      <w:r>
        <w:rPr>
          <w:color w:val="auto"/>
          <w:sz w:val="24"/>
          <w:szCs w:val="24"/>
        </w:rPr>
        <w:t>结算资料和结算书及时审核，出</w:t>
      </w:r>
      <w:r>
        <w:rPr>
          <w:color w:val="auto"/>
          <w:spacing w:val="-1"/>
          <w:sz w:val="24"/>
          <w:szCs w:val="24"/>
        </w:rPr>
        <w:t>具审核意见，并对经审核后的</w:t>
      </w:r>
      <w:r>
        <w:rPr>
          <w:rFonts w:hint="eastAsia"/>
          <w:color w:val="auto"/>
          <w:spacing w:val="-1"/>
          <w:sz w:val="24"/>
          <w:szCs w:val="24"/>
          <w:lang w:eastAsia="zh-CN"/>
        </w:rPr>
        <w:t>完工</w:t>
      </w:r>
      <w:r>
        <w:rPr>
          <w:color w:val="auto"/>
          <w:spacing w:val="-1"/>
          <w:sz w:val="24"/>
          <w:szCs w:val="24"/>
        </w:rPr>
        <w:t>结算资料和结算书的合法性、真实性、完整</w:t>
      </w:r>
      <w:r>
        <w:rPr>
          <w:color w:val="auto"/>
          <w:spacing w:val="-2"/>
          <w:sz w:val="24"/>
          <w:szCs w:val="24"/>
        </w:rPr>
        <w:t>性负责。</w:t>
      </w:r>
    </w:p>
    <w:p w14:paraId="5EBEFE9A">
      <w:pPr>
        <w:pStyle w:val="12"/>
        <w:keepNext w:val="0"/>
        <w:keepLines w:val="0"/>
        <w:pageBreakBefore w:val="0"/>
        <w:widowControl w:val="0"/>
        <w:kinsoku/>
        <w:wordWrap w:val="0"/>
        <w:overflowPunct/>
        <w:topLinePunct w:val="0"/>
        <w:autoSpaceDE/>
        <w:autoSpaceDN/>
        <w:bidi w:val="0"/>
        <w:adjustRightInd/>
        <w:snapToGrid/>
        <w:spacing w:before="0" w:line="360" w:lineRule="auto"/>
        <w:ind w:left="0" w:right="0" w:firstLine="484" w:firstLineChars="200"/>
        <w:jc w:val="both"/>
        <w:textAlignment w:val="auto"/>
        <w:rPr>
          <w:color w:val="auto"/>
          <w:sz w:val="24"/>
          <w:szCs w:val="24"/>
        </w:rPr>
      </w:pPr>
      <w:r>
        <w:rPr>
          <w:color w:val="auto"/>
          <w:spacing w:val="1"/>
          <w:sz w:val="24"/>
          <w:szCs w:val="24"/>
        </w:rPr>
        <w:t>三、承包人如实编制工程</w:t>
      </w:r>
      <w:r>
        <w:rPr>
          <w:rFonts w:hint="eastAsia"/>
          <w:color w:val="auto"/>
          <w:spacing w:val="1"/>
          <w:sz w:val="24"/>
          <w:szCs w:val="24"/>
          <w:lang w:eastAsia="zh-CN"/>
        </w:rPr>
        <w:t>完工</w:t>
      </w:r>
      <w:r>
        <w:rPr>
          <w:color w:val="auto"/>
          <w:spacing w:val="1"/>
          <w:sz w:val="24"/>
          <w:szCs w:val="24"/>
        </w:rPr>
        <w:t>结算，不得弄虚作假和高估冒算，如承包人</w:t>
      </w:r>
      <w:r>
        <w:rPr>
          <w:color w:val="auto"/>
          <w:sz w:val="24"/>
          <w:szCs w:val="24"/>
        </w:rPr>
        <w:t>报送的工程竣</w:t>
      </w:r>
      <w:r>
        <w:rPr>
          <w:color w:val="auto"/>
          <w:spacing w:val="-3"/>
          <w:sz w:val="24"/>
          <w:szCs w:val="24"/>
        </w:rPr>
        <w:t>工结算总价过高，造成该结算审减率过高，按以下原则处理：</w:t>
      </w:r>
    </w:p>
    <w:p w14:paraId="2019179D">
      <w:pPr>
        <w:pStyle w:val="12"/>
        <w:keepNext w:val="0"/>
        <w:keepLines w:val="0"/>
        <w:pageBreakBefore w:val="0"/>
        <w:widowControl w:val="0"/>
        <w:kinsoku/>
        <w:wordWrap w:val="0"/>
        <w:overflowPunct/>
        <w:topLinePunct w:val="0"/>
        <w:autoSpaceDE/>
        <w:autoSpaceDN/>
        <w:bidi w:val="0"/>
        <w:adjustRightInd/>
        <w:snapToGrid/>
        <w:spacing w:before="0" w:line="360" w:lineRule="auto"/>
        <w:ind w:left="0" w:firstLine="472" w:firstLineChars="200"/>
        <w:jc w:val="both"/>
        <w:textAlignment w:val="auto"/>
        <w:rPr>
          <w:color w:val="auto"/>
          <w:sz w:val="24"/>
          <w:szCs w:val="24"/>
        </w:rPr>
      </w:pPr>
      <w:r>
        <w:rPr>
          <w:color w:val="auto"/>
          <w:spacing w:val="-2"/>
          <w:sz w:val="24"/>
          <w:szCs w:val="24"/>
        </w:rPr>
        <w:t>1.有合同规定，按合同约定计算违约金，违约金</w:t>
      </w:r>
      <w:r>
        <w:rPr>
          <w:color w:val="auto"/>
          <w:spacing w:val="-3"/>
          <w:sz w:val="24"/>
          <w:szCs w:val="24"/>
        </w:rPr>
        <w:t>从承包人工程结算款中扣除；</w:t>
      </w:r>
    </w:p>
    <w:p w14:paraId="606FDE52">
      <w:pPr>
        <w:pStyle w:val="12"/>
        <w:keepNext w:val="0"/>
        <w:keepLines w:val="0"/>
        <w:pageBreakBefore w:val="0"/>
        <w:widowControl w:val="0"/>
        <w:kinsoku/>
        <w:wordWrap w:val="0"/>
        <w:overflowPunct/>
        <w:topLinePunct w:val="0"/>
        <w:autoSpaceDE/>
        <w:autoSpaceDN/>
        <w:bidi w:val="0"/>
        <w:adjustRightInd/>
        <w:snapToGrid/>
        <w:spacing w:before="0" w:line="360" w:lineRule="auto"/>
        <w:ind w:left="0" w:right="0" w:firstLine="464" w:firstLineChars="200"/>
        <w:jc w:val="both"/>
        <w:textAlignment w:val="auto"/>
        <w:rPr>
          <w:color w:val="auto"/>
          <w:sz w:val="24"/>
          <w:szCs w:val="24"/>
        </w:rPr>
      </w:pPr>
      <w:r>
        <w:rPr>
          <w:color w:val="auto"/>
          <w:spacing w:val="-4"/>
          <w:sz w:val="24"/>
          <w:szCs w:val="24"/>
        </w:rPr>
        <w:t>2.无合同规定的，结算审减率在10%以上（含10%）的，则超出10%以上部分</w:t>
      </w:r>
      <w:r>
        <w:rPr>
          <w:color w:val="auto"/>
          <w:spacing w:val="-5"/>
          <w:sz w:val="24"/>
          <w:szCs w:val="24"/>
        </w:rPr>
        <w:t>的审核费，</w:t>
      </w:r>
      <w:r>
        <w:rPr>
          <w:color w:val="auto"/>
          <w:spacing w:val="-3"/>
          <w:sz w:val="24"/>
          <w:szCs w:val="24"/>
        </w:rPr>
        <w:t>由承包人承担，费用由发包人从承包人工程结算款中扣除。</w:t>
      </w:r>
    </w:p>
    <w:p w14:paraId="24CC5FE4">
      <w:pPr>
        <w:pStyle w:val="12"/>
        <w:keepNext w:val="0"/>
        <w:keepLines w:val="0"/>
        <w:pageBreakBefore w:val="0"/>
        <w:widowControl w:val="0"/>
        <w:kinsoku/>
        <w:wordWrap w:val="0"/>
        <w:overflowPunct/>
        <w:topLinePunct w:val="0"/>
        <w:autoSpaceDE/>
        <w:autoSpaceDN/>
        <w:bidi w:val="0"/>
        <w:adjustRightInd/>
        <w:snapToGrid/>
        <w:spacing w:before="0" w:line="360" w:lineRule="auto"/>
        <w:ind w:left="0" w:right="0" w:firstLine="476" w:firstLineChars="200"/>
        <w:jc w:val="both"/>
        <w:textAlignment w:val="auto"/>
        <w:rPr>
          <w:color w:val="auto"/>
          <w:sz w:val="24"/>
          <w:szCs w:val="24"/>
        </w:rPr>
      </w:pPr>
      <w:r>
        <w:rPr>
          <w:color w:val="auto"/>
          <w:spacing w:val="-1"/>
          <w:sz w:val="24"/>
          <w:szCs w:val="24"/>
        </w:rPr>
        <w:t>计算公式如下：审减率=（送审造价-审定造价）/送审造价×100%；当审减率在</w:t>
      </w:r>
      <w:r>
        <w:rPr>
          <w:color w:val="auto"/>
          <w:spacing w:val="-2"/>
          <w:sz w:val="24"/>
          <w:szCs w:val="24"/>
        </w:rPr>
        <w:t>10%以上（不含10%）时，承包人应承担的审核费</w:t>
      </w:r>
      <w:r>
        <w:rPr>
          <w:color w:val="auto"/>
          <w:spacing w:val="-3"/>
          <w:sz w:val="24"/>
          <w:szCs w:val="24"/>
        </w:rPr>
        <w:t>=（送审金额×0.9-审定金额）×5%。</w:t>
      </w:r>
    </w:p>
    <w:p w14:paraId="5B72F30A">
      <w:pPr>
        <w:pStyle w:val="12"/>
        <w:keepNext w:val="0"/>
        <w:keepLines w:val="0"/>
        <w:pageBreakBefore w:val="0"/>
        <w:widowControl w:val="0"/>
        <w:kinsoku/>
        <w:wordWrap w:val="0"/>
        <w:overflowPunct/>
        <w:topLinePunct w:val="0"/>
        <w:autoSpaceDE/>
        <w:autoSpaceDN/>
        <w:bidi w:val="0"/>
        <w:adjustRightInd/>
        <w:snapToGrid/>
        <w:spacing w:before="0" w:line="360" w:lineRule="auto"/>
        <w:ind w:left="0" w:firstLine="472" w:firstLineChars="200"/>
        <w:jc w:val="both"/>
        <w:textAlignment w:val="auto"/>
        <w:rPr>
          <w:color w:val="auto"/>
          <w:sz w:val="24"/>
          <w:szCs w:val="24"/>
        </w:rPr>
      </w:pPr>
      <w:r>
        <w:rPr>
          <w:color w:val="auto"/>
          <w:spacing w:val="-2"/>
          <w:sz w:val="24"/>
          <w:szCs w:val="24"/>
        </w:rPr>
        <w:t>四、承诺书经发包人、承包人签字盖章，是工程</w:t>
      </w:r>
      <w:r>
        <w:rPr>
          <w:rFonts w:hint="eastAsia"/>
          <w:color w:val="auto"/>
          <w:spacing w:val="-2"/>
          <w:sz w:val="24"/>
          <w:szCs w:val="24"/>
          <w:lang w:eastAsia="zh-CN"/>
        </w:rPr>
        <w:t>完工</w:t>
      </w:r>
      <w:r>
        <w:rPr>
          <w:color w:val="auto"/>
          <w:spacing w:val="-2"/>
          <w:sz w:val="24"/>
          <w:szCs w:val="24"/>
        </w:rPr>
        <w:t>结算资料的组成部分。</w:t>
      </w:r>
    </w:p>
    <w:p w14:paraId="1A26A763">
      <w:pPr>
        <w:wordWrap w:val="0"/>
        <w:spacing w:line="360" w:lineRule="auto"/>
        <w:rPr>
          <w:rFonts w:ascii="Arial"/>
          <w:color w:val="auto"/>
          <w:sz w:val="21"/>
        </w:rPr>
      </w:pPr>
    </w:p>
    <w:p w14:paraId="49632C98">
      <w:pPr>
        <w:wordWrap w:val="0"/>
        <w:spacing w:line="360" w:lineRule="auto"/>
        <w:rPr>
          <w:rFonts w:ascii="Arial"/>
          <w:color w:val="auto"/>
          <w:sz w:val="21"/>
        </w:rPr>
      </w:pPr>
    </w:p>
    <w:p w14:paraId="392B8C45">
      <w:pPr>
        <w:pStyle w:val="12"/>
        <w:wordWrap w:val="0"/>
        <w:spacing w:before="0" w:line="360" w:lineRule="auto"/>
        <w:ind w:left="0"/>
        <w:rPr>
          <w:color w:val="auto"/>
          <w:sz w:val="24"/>
          <w:szCs w:val="24"/>
        </w:rPr>
      </w:pPr>
      <w:r>
        <w:rPr>
          <w:color w:val="auto"/>
          <w:spacing w:val="-1"/>
          <w:sz w:val="24"/>
          <w:szCs w:val="24"/>
        </w:rPr>
        <w:t>发包人：柳州市防洪排涝工程管理处（公章） 承包人</w:t>
      </w:r>
      <w:r>
        <w:rPr>
          <w:color w:val="auto"/>
          <w:spacing w:val="1"/>
          <w:sz w:val="24"/>
          <w:szCs w:val="24"/>
        </w:rPr>
        <w:t>：</w:t>
      </w:r>
      <w:r>
        <w:rPr>
          <w:rFonts w:hint="eastAsia"/>
          <w:color w:val="auto"/>
          <w:spacing w:val="1"/>
          <w:sz w:val="24"/>
          <w:szCs w:val="24"/>
          <w:lang w:val="en-US" w:eastAsia="zh-CN"/>
        </w:rPr>
        <w:t xml:space="preserve">     </w:t>
      </w:r>
      <w:r>
        <w:rPr>
          <w:color w:val="auto"/>
          <w:spacing w:val="1"/>
          <w:sz w:val="24"/>
          <w:szCs w:val="24"/>
        </w:rPr>
        <w:t>（</w:t>
      </w:r>
      <w:r>
        <w:rPr>
          <w:color w:val="auto"/>
          <w:spacing w:val="-1"/>
          <w:sz w:val="24"/>
          <w:szCs w:val="24"/>
        </w:rPr>
        <w:t>公章）</w:t>
      </w:r>
    </w:p>
    <w:p w14:paraId="429B35F3">
      <w:pPr>
        <w:pStyle w:val="12"/>
        <w:wordWrap w:val="0"/>
        <w:spacing w:before="0" w:line="360" w:lineRule="auto"/>
        <w:rPr>
          <w:color w:val="auto"/>
          <w:spacing w:val="-6"/>
          <w:sz w:val="24"/>
          <w:szCs w:val="24"/>
        </w:rPr>
      </w:pPr>
      <w:r>
        <w:rPr>
          <w:rFonts w:hint="eastAsia"/>
          <w:color w:val="auto"/>
          <w:spacing w:val="-6"/>
          <w:sz w:val="24"/>
          <w:szCs w:val="24"/>
          <w:lang w:eastAsia="zh-CN"/>
        </w:rPr>
        <w:t>项目负责</w:t>
      </w:r>
      <w:r>
        <w:rPr>
          <w:color w:val="auto"/>
          <w:spacing w:val="-6"/>
          <w:sz w:val="24"/>
          <w:szCs w:val="24"/>
        </w:rPr>
        <w:t>人：</w:t>
      </w:r>
      <w:r>
        <w:rPr>
          <w:color w:val="auto"/>
          <w:sz w:val="24"/>
          <w:szCs w:val="24"/>
        </w:rPr>
        <w:t xml:space="preserve">                       </w:t>
      </w:r>
      <w:r>
        <w:rPr>
          <w:rFonts w:hint="eastAsia"/>
          <w:color w:val="auto"/>
          <w:sz w:val="24"/>
          <w:szCs w:val="24"/>
          <w:lang w:val="en-US" w:eastAsia="zh-CN"/>
        </w:rPr>
        <w:t xml:space="preserve">       </w:t>
      </w:r>
      <w:r>
        <w:rPr>
          <w:rFonts w:hint="eastAsia"/>
          <w:color w:val="auto"/>
          <w:spacing w:val="-6"/>
          <w:sz w:val="24"/>
          <w:szCs w:val="24"/>
          <w:lang w:eastAsia="zh-CN"/>
        </w:rPr>
        <w:t>项目负责</w:t>
      </w:r>
      <w:r>
        <w:rPr>
          <w:color w:val="auto"/>
          <w:spacing w:val="-6"/>
          <w:sz w:val="24"/>
          <w:szCs w:val="24"/>
        </w:rPr>
        <w:t>人：</w:t>
      </w:r>
    </w:p>
    <w:p w14:paraId="1CC438D2">
      <w:pPr>
        <w:pStyle w:val="12"/>
        <w:wordWrap w:val="0"/>
        <w:spacing w:before="0" w:line="360" w:lineRule="auto"/>
        <w:rPr>
          <w:color w:val="auto"/>
          <w:spacing w:val="-6"/>
          <w:sz w:val="24"/>
          <w:szCs w:val="24"/>
        </w:rPr>
      </w:pPr>
    </w:p>
    <w:p w14:paraId="2EB1B166">
      <w:pPr>
        <w:pStyle w:val="12"/>
        <w:wordWrap w:val="0"/>
        <w:spacing w:before="0" w:line="360" w:lineRule="auto"/>
        <w:rPr>
          <w:rFonts w:ascii="Arial"/>
          <w:color w:val="auto"/>
          <w:sz w:val="21"/>
        </w:rPr>
      </w:pPr>
      <w:r>
        <w:rPr>
          <w:color w:val="auto"/>
          <w:spacing w:val="-10"/>
          <w:sz w:val="24"/>
          <w:szCs w:val="24"/>
        </w:rPr>
        <w:t>经</w:t>
      </w:r>
      <w:r>
        <w:rPr>
          <w:color w:val="auto"/>
          <w:spacing w:val="19"/>
          <w:sz w:val="24"/>
          <w:szCs w:val="24"/>
        </w:rPr>
        <w:t xml:space="preserve"> </w:t>
      </w:r>
      <w:r>
        <w:rPr>
          <w:color w:val="auto"/>
          <w:spacing w:val="-10"/>
          <w:sz w:val="24"/>
          <w:szCs w:val="24"/>
        </w:rPr>
        <w:t>办 人：</w:t>
      </w:r>
      <w:r>
        <w:rPr>
          <w:color w:val="auto"/>
          <w:sz w:val="24"/>
          <w:szCs w:val="24"/>
        </w:rPr>
        <w:t xml:space="preserve">                         </w:t>
      </w:r>
      <w:r>
        <w:rPr>
          <w:rFonts w:hint="eastAsia"/>
          <w:color w:val="auto"/>
          <w:sz w:val="24"/>
          <w:szCs w:val="24"/>
          <w:lang w:val="en-US" w:eastAsia="zh-CN"/>
        </w:rPr>
        <w:t xml:space="preserve">       </w:t>
      </w:r>
      <w:r>
        <w:rPr>
          <w:color w:val="auto"/>
          <w:spacing w:val="-10"/>
          <w:sz w:val="24"/>
          <w:szCs w:val="24"/>
        </w:rPr>
        <w:t>经</w:t>
      </w:r>
      <w:r>
        <w:rPr>
          <w:color w:val="auto"/>
          <w:spacing w:val="26"/>
          <w:sz w:val="24"/>
          <w:szCs w:val="24"/>
        </w:rPr>
        <w:t xml:space="preserve"> </w:t>
      </w:r>
      <w:r>
        <w:rPr>
          <w:color w:val="auto"/>
          <w:spacing w:val="-10"/>
          <w:sz w:val="24"/>
          <w:szCs w:val="24"/>
        </w:rPr>
        <w:t>办</w:t>
      </w:r>
      <w:r>
        <w:rPr>
          <w:color w:val="auto"/>
          <w:spacing w:val="11"/>
          <w:sz w:val="24"/>
          <w:szCs w:val="24"/>
        </w:rPr>
        <w:t xml:space="preserve"> </w:t>
      </w:r>
      <w:r>
        <w:rPr>
          <w:color w:val="auto"/>
          <w:spacing w:val="-10"/>
          <w:sz w:val="24"/>
          <w:szCs w:val="24"/>
        </w:rPr>
        <w:t>人：</w:t>
      </w:r>
    </w:p>
    <w:p w14:paraId="1EC007A7">
      <w:pPr>
        <w:pStyle w:val="12"/>
        <w:wordWrap w:val="0"/>
        <w:spacing w:before="0" w:line="360" w:lineRule="auto"/>
        <w:ind w:left="0"/>
        <w:rPr>
          <w:color w:val="auto"/>
        </w:rPr>
      </w:pPr>
      <w:r>
        <w:rPr>
          <w:color w:val="auto"/>
          <w:spacing w:val="-17"/>
          <w:sz w:val="24"/>
          <w:szCs w:val="24"/>
        </w:rPr>
        <w:t>年</w:t>
      </w:r>
      <w:r>
        <w:rPr>
          <w:color w:val="auto"/>
          <w:spacing w:val="5"/>
          <w:sz w:val="24"/>
          <w:szCs w:val="24"/>
        </w:rPr>
        <w:t xml:space="preserve">   </w:t>
      </w:r>
      <w:r>
        <w:rPr>
          <w:color w:val="auto"/>
          <w:spacing w:val="-17"/>
          <w:sz w:val="24"/>
          <w:szCs w:val="24"/>
        </w:rPr>
        <w:t>月</w:t>
      </w:r>
      <w:r>
        <w:rPr>
          <w:color w:val="auto"/>
          <w:spacing w:val="16"/>
          <w:sz w:val="24"/>
          <w:szCs w:val="24"/>
        </w:rPr>
        <w:t xml:space="preserve">   </w:t>
      </w:r>
      <w:r>
        <w:rPr>
          <w:color w:val="auto"/>
          <w:spacing w:val="-17"/>
          <w:sz w:val="24"/>
          <w:szCs w:val="24"/>
        </w:rPr>
        <w:t>日</w:t>
      </w:r>
      <w:r>
        <w:rPr>
          <w:color w:val="auto"/>
          <w:sz w:val="24"/>
          <w:szCs w:val="24"/>
        </w:rPr>
        <w:t xml:space="preserve">                 </w:t>
      </w:r>
      <w:r>
        <w:rPr>
          <w:rFonts w:hint="eastAsia"/>
          <w:color w:val="auto"/>
          <w:sz w:val="24"/>
          <w:szCs w:val="24"/>
          <w:lang w:val="en-US" w:eastAsia="zh-CN"/>
        </w:rPr>
        <w:t xml:space="preserve">        </w:t>
      </w:r>
      <w:r>
        <w:rPr>
          <w:color w:val="auto"/>
          <w:spacing w:val="-17"/>
          <w:sz w:val="24"/>
          <w:szCs w:val="24"/>
        </w:rPr>
        <w:t>年</w:t>
      </w:r>
      <w:r>
        <w:rPr>
          <w:color w:val="auto"/>
          <w:spacing w:val="9"/>
          <w:sz w:val="24"/>
          <w:szCs w:val="24"/>
        </w:rPr>
        <w:t xml:space="preserve">   </w:t>
      </w:r>
      <w:r>
        <w:rPr>
          <w:color w:val="auto"/>
          <w:spacing w:val="-17"/>
          <w:sz w:val="24"/>
          <w:szCs w:val="24"/>
        </w:rPr>
        <w:t>月</w:t>
      </w:r>
      <w:r>
        <w:rPr>
          <w:rFonts w:hint="eastAsia"/>
          <w:color w:val="auto"/>
          <w:spacing w:val="-17"/>
          <w:sz w:val="24"/>
          <w:szCs w:val="24"/>
          <w:lang w:val="en-US" w:eastAsia="zh-CN"/>
        </w:rPr>
        <w:t xml:space="preserve">     日</w:t>
      </w:r>
    </w:p>
    <w:p w14:paraId="23998434">
      <w:pPr>
        <w:tabs>
          <w:tab w:val="left" w:pos="3261"/>
        </w:tabs>
        <w:spacing w:line="360" w:lineRule="auto"/>
        <w:contextualSpacing/>
        <w:jc w:val="center"/>
        <w:rPr>
          <w:rFonts w:hint="eastAsia" w:ascii="宋体" w:hAnsi="宋体" w:eastAsia="宋体" w:cs="宋体"/>
          <w:color w:val="auto"/>
          <w:highlight w:val="none"/>
        </w:rPr>
      </w:pPr>
    </w:p>
    <w:p w14:paraId="61FFC2C6">
      <w:pPr>
        <w:tabs>
          <w:tab w:val="left" w:pos="3261"/>
        </w:tabs>
        <w:spacing w:line="360" w:lineRule="auto"/>
        <w:contextualSpacing/>
        <w:jc w:val="center"/>
        <w:rPr>
          <w:rFonts w:hint="eastAsia" w:ascii="宋体" w:hAnsi="宋体" w:eastAsia="宋体" w:cs="宋体"/>
          <w:color w:val="auto"/>
          <w:highlight w:val="none"/>
        </w:rPr>
      </w:pPr>
    </w:p>
    <w:p w14:paraId="1090653E">
      <w:pPr>
        <w:spacing w:line="360" w:lineRule="auto"/>
        <w:jc w:val="center"/>
        <w:rPr>
          <w:rFonts w:hint="eastAsia" w:ascii="宋体" w:hAnsi="宋体" w:eastAsia="宋体" w:cs="宋体"/>
          <w:b/>
          <w:bCs/>
          <w:color w:val="auto"/>
          <w:sz w:val="44"/>
          <w:szCs w:val="44"/>
          <w:highlight w:val="none"/>
        </w:rPr>
        <w:sectPr>
          <w:headerReference r:id="rId9" w:type="default"/>
          <w:footerReference r:id="rId10" w:type="default"/>
          <w:pgSz w:w="11910" w:h="16840"/>
          <w:pgMar w:top="1417" w:right="1417" w:bottom="1417" w:left="1417" w:header="720" w:footer="720" w:gutter="0"/>
          <w:pgNumType w:fmt="decimal"/>
          <w:cols w:space="720" w:num="1"/>
          <w:rtlGutter w:val="0"/>
        </w:sectPr>
      </w:pPr>
    </w:p>
    <w:p w14:paraId="19A21CE7">
      <w:pPr>
        <w:tabs>
          <w:tab w:val="left" w:pos="3261"/>
        </w:tabs>
        <w:spacing w:line="360" w:lineRule="auto"/>
        <w:contextualSpacing/>
        <w:jc w:val="center"/>
        <w:rPr>
          <w:rFonts w:hint="eastAsia" w:ascii="宋体" w:hAnsi="宋体" w:eastAsia="宋体" w:cs="宋体"/>
          <w:b/>
          <w:color w:val="auto"/>
          <w:sz w:val="44"/>
          <w:szCs w:val="44"/>
          <w:highlight w:val="none"/>
        </w:rPr>
      </w:pPr>
    </w:p>
    <w:p w14:paraId="6393767D">
      <w:pPr>
        <w:tabs>
          <w:tab w:val="left" w:pos="3261"/>
        </w:tabs>
        <w:spacing w:line="360" w:lineRule="auto"/>
        <w:contextualSpacing/>
        <w:jc w:val="center"/>
        <w:rPr>
          <w:rFonts w:hint="eastAsia" w:ascii="宋体" w:hAnsi="宋体" w:eastAsia="宋体" w:cs="宋体"/>
          <w:b/>
          <w:color w:val="auto"/>
          <w:sz w:val="44"/>
          <w:szCs w:val="44"/>
          <w:highlight w:val="none"/>
        </w:rPr>
      </w:pPr>
    </w:p>
    <w:p w14:paraId="60D6B914">
      <w:pPr>
        <w:tabs>
          <w:tab w:val="left" w:pos="3261"/>
        </w:tabs>
        <w:spacing w:line="360" w:lineRule="auto"/>
        <w:contextualSpacing/>
        <w:jc w:val="center"/>
        <w:rPr>
          <w:rFonts w:hint="eastAsia" w:ascii="宋体" w:hAnsi="宋体" w:eastAsia="宋体" w:cs="宋体"/>
          <w:b/>
          <w:color w:val="auto"/>
          <w:sz w:val="44"/>
          <w:szCs w:val="44"/>
          <w:highlight w:val="none"/>
        </w:rPr>
      </w:pPr>
    </w:p>
    <w:p w14:paraId="612F3A30">
      <w:pPr>
        <w:tabs>
          <w:tab w:val="left" w:pos="3261"/>
        </w:tabs>
        <w:spacing w:line="360" w:lineRule="auto"/>
        <w:contextualSpacing/>
        <w:jc w:val="center"/>
        <w:rPr>
          <w:rFonts w:hint="eastAsia" w:ascii="宋体" w:hAnsi="宋体" w:eastAsia="宋体" w:cs="宋体"/>
          <w:b/>
          <w:color w:val="auto"/>
          <w:sz w:val="44"/>
          <w:szCs w:val="44"/>
          <w:highlight w:val="none"/>
        </w:rPr>
      </w:pPr>
    </w:p>
    <w:p w14:paraId="3AE34823">
      <w:pPr>
        <w:tabs>
          <w:tab w:val="left" w:pos="3261"/>
        </w:tabs>
        <w:spacing w:line="360" w:lineRule="auto"/>
        <w:contextualSpacing/>
        <w:jc w:val="center"/>
        <w:rPr>
          <w:rFonts w:hint="eastAsia" w:ascii="宋体" w:hAnsi="宋体" w:eastAsia="宋体" w:cs="宋体"/>
          <w:b/>
          <w:color w:val="auto"/>
          <w:sz w:val="44"/>
          <w:szCs w:val="44"/>
          <w:highlight w:val="none"/>
        </w:rPr>
      </w:pPr>
    </w:p>
    <w:p w14:paraId="7A113F48">
      <w:pPr>
        <w:keepNext/>
        <w:keepLines/>
        <w:spacing w:before="340" w:after="330" w:line="578" w:lineRule="auto"/>
        <w:jc w:val="center"/>
        <w:outlineLvl w:val="0"/>
        <w:rPr>
          <w:rFonts w:hint="eastAsia" w:ascii="宋体" w:hAnsi="宋体" w:eastAsia="宋体" w:cs="宋体"/>
          <w:b/>
          <w:bCs w:val="0"/>
          <w:color w:val="auto"/>
          <w:kern w:val="44"/>
          <w:sz w:val="40"/>
          <w:szCs w:val="40"/>
          <w:highlight w:val="none"/>
        </w:rPr>
        <w:sectPr>
          <w:pgSz w:w="11910" w:h="16840"/>
          <w:pgMar w:top="1134" w:right="1134" w:bottom="1134" w:left="1134" w:header="720" w:footer="720" w:gutter="0"/>
          <w:pgNumType w:fmt="decimal"/>
          <w:cols w:space="720" w:num="1"/>
          <w:rtlGutter w:val="0"/>
        </w:sectPr>
      </w:pPr>
      <w:bookmarkStart w:id="95" w:name="_Toc3113"/>
      <w:r>
        <w:rPr>
          <w:rFonts w:hint="eastAsia" w:ascii="宋体" w:hAnsi="宋体" w:eastAsia="宋体" w:cs="宋体"/>
          <w:b/>
          <w:bCs w:val="0"/>
          <w:color w:val="auto"/>
          <w:kern w:val="44"/>
          <w:sz w:val="40"/>
          <w:szCs w:val="40"/>
          <w:highlight w:val="none"/>
        </w:rPr>
        <w:t>第七章 质疑、投诉材料格式</w:t>
      </w:r>
      <w:bookmarkEnd w:id="95"/>
    </w:p>
    <w:p w14:paraId="64B70BDD">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14:paraId="3EF848FC">
      <w:pPr>
        <w:spacing w:line="360" w:lineRule="auto"/>
        <w:ind w:firstLine="482" w:firstLineChars="200"/>
        <w:contextualSpacing/>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一、质疑供应商基本信息：</w:t>
      </w:r>
    </w:p>
    <w:p w14:paraId="77932E83">
      <w:pPr>
        <w:spacing w:line="360" w:lineRule="auto"/>
        <w:ind w:firstLine="480" w:firstLineChars="200"/>
        <w:contextualSpacing/>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质疑供应商：</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2CB2007B">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p>
    <w:p w14:paraId="302AA6F3">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联系人：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3D3449E7">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授权代表：</w:t>
      </w:r>
      <w:r>
        <w:rPr>
          <w:rFonts w:hint="eastAsia" w:ascii="宋体" w:hAnsi="宋体" w:eastAsia="宋体" w:cs="宋体"/>
          <w:bCs/>
          <w:color w:val="auto"/>
          <w:kern w:val="0"/>
          <w:sz w:val="24"/>
          <w:highlight w:val="none"/>
          <w:u w:val="single"/>
        </w:rPr>
        <w:t xml:space="preserve">                      </w:t>
      </w:r>
    </w:p>
    <w:p w14:paraId="3F5C32A7">
      <w:pPr>
        <w:spacing w:line="360" w:lineRule="auto"/>
        <w:ind w:firstLine="480" w:firstLineChars="200"/>
        <w:contextualSpacing/>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1B55A505">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49A476BE">
      <w:pPr>
        <w:spacing w:line="360" w:lineRule="auto"/>
        <w:ind w:firstLine="482" w:firstLineChars="200"/>
        <w:contextualSpacing/>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二、质疑项目基本情况：</w:t>
      </w:r>
    </w:p>
    <w:p w14:paraId="560816CC">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质疑</w:t>
      </w:r>
      <w:r>
        <w:rPr>
          <w:rFonts w:hint="eastAsia" w:ascii="宋体" w:hAnsi="宋体" w:eastAsia="宋体" w:cs="宋体"/>
          <w:color w:val="auto"/>
          <w:kern w:val="0"/>
          <w:sz w:val="24"/>
          <w:highlight w:val="none"/>
        </w:rPr>
        <w:t>项目的名称：</w:t>
      </w:r>
      <w:r>
        <w:rPr>
          <w:rFonts w:hint="eastAsia" w:ascii="宋体" w:hAnsi="宋体" w:eastAsia="宋体" w:cs="宋体"/>
          <w:bCs/>
          <w:color w:val="auto"/>
          <w:kern w:val="0"/>
          <w:sz w:val="24"/>
          <w:highlight w:val="none"/>
          <w:u w:val="single"/>
        </w:rPr>
        <w:t xml:space="preserve">                                     </w:t>
      </w:r>
    </w:p>
    <w:p w14:paraId="553E2510">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质疑</w:t>
      </w:r>
      <w:r>
        <w:rPr>
          <w:rFonts w:hint="eastAsia" w:ascii="宋体" w:hAnsi="宋体" w:eastAsia="宋体" w:cs="宋体"/>
          <w:color w:val="auto"/>
          <w:kern w:val="0"/>
          <w:sz w:val="24"/>
          <w:highlight w:val="none"/>
        </w:rPr>
        <w:t>项目的编号：</w:t>
      </w:r>
      <w:r>
        <w:rPr>
          <w:rFonts w:hint="eastAsia" w:ascii="宋体" w:hAnsi="宋体" w:eastAsia="宋体" w:cs="宋体"/>
          <w:bCs/>
          <w:color w:val="auto"/>
          <w:kern w:val="0"/>
          <w:sz w:val="24"/>
          <w:highlight w:val="none"/>
          <w:u w:val="single"/>
        </w:rPr>
        <w:t xml:space="preserve">                                     </w:t>
      </w:r>
    </w:p>
    <w:p w14:paraId="593D2318">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采购人名称：</w:t>
      </w:r>
      <w:r>
        <w:rPr>
          <w:rFonts w:hint="eastAsia" w:ascii="宋体" w:hAnsi="宋体" w:eastAsia="宋体" w:cs="宋体"/>
          <w:bCs/>
          <w:color w:val="auto"/>
          <w:kern w:val="0"/>
          <w:sz w:val="24"/>
          <w:highlight w:val="none"/>
          <w:u w:val="single"/>
        </w:rPr>
        <w:t xml:space="preserve">                                         </w:t>
      </w:r>
    </w:p>
    <w:p w14:paraId="20C6DEEC">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质疑事项：</w:t>
      </w:r>
    </w:p>
    <w:p w14:paraId="646672C2">
      <w:pPr>
        <w:spacing w:line="360" w:lineRule="auto"/>
        <w:ind w:left="25" w:leftChars="12" w:firstLine="352" w:firstLineChars="14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□采购文件   采购文件获取日期：</w:t>
      </w:r>
      <w:r>
        <w:rPr>
          <w:rFonts w:hint="eastAsia" w:ascii="宋体" w:hAnsi="宋体" w:eastAsia="宋体" w:cs="宋体"/>
          <w:bCs/>
          <w:color w:val="auto"/>
          <w:kern w:val="0"/>
          <w:sz w:val="24"/>
          <w:highlight w:val="none"/>
          <w:u w:val="single"/>
        </w:rPr>
        <w:t xml:space="preserve">                                   </w:t>
      </w:r>
    </w:p>
    <w:p w14:paraId="4463D0FE">
      <w:pPr>
        <w:spacing w:line="360" w:lineRule="auto"/>
        <w:ind w:left="25" w:leftChars="12" w:firstLine="352" w:firstLineChars="14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□采购过程   </w:t>
      </w:r>
    </w:p>
    <w:p w14:paraId="49347CC4">
      <w:pPr>
        <w:spacing w:line="360" w:lineRule="auto"/>
        <w:ind w:left="25" w:leftChars="12" w:firstLine="352" w:firstLineChars="147"/>
        <w:contextualSpacing/>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 xml:space="preserve">□成交结果   </w:t>
      </w:r>
    </w:p>
    <w:p w14:paraId="44772121">
      <w:pPr>
        <w:spacing w:line="360" w:lineRule="auto"/>
        <w:ind w:left="25" w:leftChars="12" w:firstLine="472" w:firstLineChars="196"/>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三、质疑事项具体内容</w:t>
      </w:r>
    </w:p>
    <w:p w14:paraId="166684BD">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质疑事项1：</w:t>
      </w:r>
      <w:r>
        <w:rPr>
          <w:rFonts w:hint="eastAsia" w:ascii="宋体" w:hAnsi="宋体" w:eastAsia="宋体" w:cs="宋体"/>
          <w:bCs/>
          <w:color w:val="auto"/>
          <w:kern w:val="0"/>
          <w:sz w:val="24"/>
          <w:highlight w:val="none"/>
          <w:u w:val="single"/>
        </w:rPr>
        <w:t xml:space="preserve">                                                                    </w:t>
      </w:r>
    </w:p>
    <w:p w14:paraId="2E41BAEA">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事实依据：</w:t>
      </w:r>
      <w:r>
        <w:rPr>
          <w:rFonts w:hint="eastAsia" w:ascii="宋体" w:hAnsi="宋体" w:eastAsia="宋体" w:cs="宋体"/>
          <w:bCs/>
          <w:color w:val="auto"/>
          <w:kern w:val="0"/>
          <w:sz w:val="24"/>
          <w:highlight w:val="none"/>
          <w:u w:val="single"/>
        </w:rPr>
        <w:t xml:space="preserve">                                                                      </w:t>
      </w:r>
    </w:p>
    <w:p w14:paraId="4B25F284">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法律依据：</w:t>
      </w:r>
      <w:r>
        <w:rPr>
          <w:rFonts w:hint="eastAsia" w:ascii="宋体" w:hAnsi="宋体" w:eastAsia="宋体" w:cs="宋体"/>
          <w:color w:val="auto"/>
          <w:kern w:val="0"/>
          <w:sz w:val="24"/>
          <w:highlight w:val="none"/>
          <w:u w:val="single"/>
        </w:rPr>
        <w:t xml:space="preserve">                                                        </w:t>
      </w:r>
      <w:r>
        <w:rPr>
          <w:rFonts w:hint="eastAsia" w:ascii="宋体" w:hAnsi="宋体" w:eastAsia="宋体" w:cs="宋体"/>
          <w:bCs/>
          <w:color w:val="auto"/>
          <w:kern w:val="0"/>
          <w:sz w:val="24"/>
          <w:highlight w:val="none"/>
          <w:u w:val="single"/>
        </w:rPr>
        <w:t xml:space="preserve">               </w:t>
      </w:r>
    </w:p>
    <w:p w14:paraId="2887ACE2">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质疑事项2</w:t>
      </w:r>
    </w:p>
    <w:p w14:paraId="4B30A54F">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p w14:paraId="5178ED2A">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四、与质疑事项相关的质疑请求：</w:t>
      </w:r>
    </w:p>
    <w:p w14:paraId="1D0C46E9">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请求：</w:t>
      </w:r>
      <w:r>
        <w:rPr>
          <w:rFonts w:hint="eastAsia" w:ascii="宋体" w:hAnsi="宋体" w:eastAsia="宋体" w:cs="宋体"/>
          <w:bCs/>
          <w:color w:val="auto"/>
          <w:kern w:val="0"/>
          <w:sz w:val="24"/>
          <w:highlight w:val="none"/>
          <w:u w:val="single"/>
        </w:rPr>
        <w:t xml:space="preserve">                                                                </w:t>
      </w:r>
    </w:p>
    <w:p w14:paraId="37B5DA04">
      <w:pPr>
        <w:spacing w:line="360" w:lineRule="auto"/>
        <w:ind w:left="25" w:leftChars="12" w:firstLine="352" w:firstLineChars="147"/>
        <w:contextualSpacing/>
        <w:rPr>
          <w:rFonts w:hint="eastAsia" w:ascii="宋体" w:hAnsi="宋体" w:eastAsia="宋体" w:cs="宋体"/>
          <w:color w:val="auto"/>
          <w:kern w:val="0"/>
          <w:sz w:val="24"/>
          <w:highlight w:val="none"/>
        </w:rPr>
      </w:pPr>
    </w:p>
    <w:p w14:paraId="409F6539">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签字（签章）：                                       公章：</w:t>
      </w:r>
    </w:p>
    <w:p w14:paraId="17DAE9F9">
      <w:pPr>
        <w:spacing w:line="360" w:lineRule="auto"/>
        <w:ind w:left="25" w:leftChars="12" w:firstLine="352" w:firstLineChars="147"/>
        <w:contextualSpacing/>
        <w:rPr>
          <w:rFonts w:hint="eastAsia" w:ascii="宋体" w:hAnsi="宋体" w:eastAsia="宋体" w:cs="宋体"/>
          <w:color w:val="auto"/>
          <w:kern w:val="0"/>
          <w:sz w:val="24"/>
          <w:highlight w:val="none"/>
        </w:rPr>
      </w:pPr>
    </w:p>
    <w:p w14:paraId="11ADBB59">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w:t>
      </w:r>
    </w:p>
    <w:p w14:paraId="5210DAB6">
      <w:pPr>
        <w:spacing w:line="360" w:lineRule="auto"/>
        <w:contextualSpacing/>
        <w:rPr>
          <w:rFonts w:hint="eastAsia" w:ascii="宋体" w:hAnsi="宋体" w:eastAsia="宋体" w:cs="宋体"/>
          <w:b/>
          <w:color w:val="auto"/>
          <w:kern w:val="0"/>
          <w:sz w:val="24"/>
          <w:highlight w:val="none"/>
        </w:rPr>
      </w:pPr>
    </w:p>
    <w:p w14:paraId="22227CF8">
      <w:pPr>
        <w:spacing w:line="360" w:lineRule="auto"/>
        <w:contextualSpacing/>
        <w:rPr>
          <w:rFonts w:hint="eastAsia" w:ascii="宋体" w:hAnsi="宋体" w:eastAsia="宋体" w:cs="宋体"/>
          <w:b/>
          <w:color w:val="auto"/>
          <w:kern w:val="0"/>
          <w:sz w:val="24"/>
          <w:highlight w:val="none"/>
        </w:rPr>
      </w:pPr>
    </w:p>
    <w:p w14:paraId="29A86F2A">
      <w:pPr>
        <w:spacing w:line="360" w:lineRule="auto"/>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说明：</w:t>
      </w:r>
    </w:p>
    <w:p w14:paraId="5BF29E07">
      <w:pPr>
        <w:spacing w:line="360" w:lineRule="auto"/>
        <w:ind w:left="25" w:leftChars="12" w:firstLine="354" w:firstLineChars="147"/>
        <w:contextualSpacing/>
        <w:rPr>
          <w:rFonts w:hint="eastAsia" w:ascii="宋体" w:hAnsi="宋体" w:eastAsia="宋体" w:cs="宋体"/>
          <w:b/>
          <w:bCs/>
          <w:color w:val="auto"/>
          <w:kern w:val="0"/>
          <w:sz w:val="24"/>
          <w:highlight w:val="none"/>
        </w:rPr>
      </w:pPr>
      <w:r>
        <w:rPr>
          <w:rFonts w:hint="eastAsia" w:ascii="宋体" w:hAnsi="宋体" w:eastAsia="宋体" w:cs="宋体"/>
          <w:b/>
          <w:color w:val="auto"/>
          <w:kern w:val="0"/>
          <w:sz w:val="24"/>
          <w:highlight w:val="none"/>
        </w:rPr>
        <w:t>1.供应商提出质疑时，应提交质疑函和必要的证明材料</w:t>
      </w:r>
      <w:r>
        <w:rPr>
          <w:rFonts w:hint="eastAsia" w:ascii="宋体" w:hAnsi="宋体" w:eastAsia="宋体" w:cs="宋体"/>
          <w:b/>
          <w:bCs/>
          <w:color w:val="auto"/>
          <w:kern w:val="0"/>
          <w:sz w:val="24"/>
          <w:highlight w:val="none"/>
        </w:rPr>
        <w:t>。</w:t>
      </w:r>
    </w:p>
    <w:p w14:paraId="4BBFD784">
      <w:pPr>
        <w:spacing w:line="360" w:lineRule="auto"/>
        <w:ind w:left="25" w:leftChars="12" w:firstLine="354" w:firstLineChars="147"/>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FAED257">
      <w:pPr>
        <w:spacing w:line="360" w:lineRule="auto"/>
        <w:ind w:left="25" w:leftChars="12" w:firstLine="354" w:firstLineChars="147"/>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3.质疑函的质疑事项应具体、明确，并有必要的事实依据和法律依据。</w:t>
      </w:r>
    </w:p>
    <w:p w14:paraId="1E1B3B3A">
      <w:pPr>
        <w:spacing w:line="360" w:lineRule="auto"/>
        <w:ind w:left="25" w:leftChars="12" w:firstLine="354" w:firstLineChars="147"/>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4.质疑函的质疑请求应与质疑事项相关。</w:t>
      </w:r>
    </w:p>
    <w:p w14:paraId="3C2AEB08">
      <w:pPr>
        <w:spacing w:line="360" w:lineRule="auto"/>
        <w:ind w:left="25" w:leftChars="12" w:firstLine="354" w:firstLineChars="147"/>
        <w:contextualSpacing/>
        <w:rPr>
          <w:rFonts w:hint="eastAsia" w:ascii="宋体" w:hAnsi="宋体" w:eastAsia="宋体" w:cs="宋体"/>
          <w:b/>
          <w:color w:val="auto"/>
          <w:kern w:val="0"/>
          <w:sz w:val="20"/>
          <w:szCs w:val="21"/>
          <w:highlight w:val="none"/>
        </w:rPr>
      </w:pPr>
      <w:r>
        <w:rPr>
          <w:rFonts w:hint="eastAsia" w:ascii="宋体" w:hAnsi="宋体" w:eastAsia="宋体" w:cs="宋体"/>
          <w:b/>
          <w:color w:val="auto"/>
          <w:kern w:val="0"/>
          <w:sz w:val="24"/>
          <w:highlight w:val="none"/>
        </w:rPr>
        <w:t>5.质疑供应商为法人或者其他组织的，质疑函应由法定代表人、主要负责人，或者其授权代表签字或者盖章，并加盖公章。</w:t>
      </w:r>
    </w:p>
    <w:p w14:paraId="487C5A30">
      <w:pPr>
        <w:snapToGrid w:val="0"/>
        <w:rPr>
          <w:rFonts w:hint="eastAsia" w:ascii="宋体" w:hAnsi="宋体" w:eastAsia="宋体" w:cs="宋体"/>
          <w:b/>
          <w:color w:val="auto"/>
          <w:kern w:val="0"/>
          <w:sz w:val="24"/>
          <w:highlight w:val="none"/>
        </w:rPr>
      </w:pPr>
    </w:p>
    <w:p w14:paraId="78B1CCC3">
      <w:pPr>
        <w:spacing w:line="460" w:lineRule="exact"/>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br w:type="page"/>
      </w:r>
    </w:p>
    <w:p w14:paraId="678CFEEE">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投诉书（格式）</w:t>
      </w:r>
    </w:p>
    <w:p w14:paraId="7AD4FBC5">
      <w:pPr>
        <w:keepNext w:val="0"/>
        <w:keepLines w:val="0"/>
        <w:pageBreakBefore w:val="0"/>
        <w:widowControl w:val="0"/>
        <w:kinsoku/>
        <w:wordWrap w:val="0"/>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一、投诉相关主体基本情况：</w:t>
      </w:r>
    </w:p>
    <w:p w14:paraId="4A9BEF2B">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供应商：</w:t>
      </w:r>
      <w:r>
        <w:rPr>
          <w:rFonts w:hint="eastAsia" w:ascii="宋体" w:hAnsi="宋体" w:eastAsia="宋体" w:cs="宋体"/>
          <w:bCs/>
          <w:color w:val="auto"/>
          <w:kern w:val="0"/>
          <w:sz w:val="24"/>
          <w:highlight w:val="none"/>
          <w:u w:val="single"/>
        </w:rPr>
        <w:t xml:space="preserve">                                                                    </w:t>
      </w:r>
    </w:p>
    <w:p w14:paraId="7F307C8B">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p>
    <w:p w14:paraId="77AD0C91">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法定代表人/主要负责人：</w:t>
      </w:r>
      <w:r>
        <w:rPr>
          <w:rFonts w:hint="eastAsia" w:ascii="宋体" w:hAnsi="宋体" w:eastAsia="宋体" w:cs="宋体"/>
          <w:bCs/>
          <w:color w:val="auto"/>
          <w:kern w:val="0"/>
          <w:sz w:val="24"/>
          <w:highlight w:val="none"/>
          <w:u w:val="single"/>
        </w:rPr>
        <w:t xml:space="preserve">                                                      </w:t>
      </w:r>
    </w:p>
    <w:p w14:paraId="2CAE9E75">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6555C1C1">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授权代表：</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45203F7C">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p>
    <w:p w14:paraId="2732D234">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3D30AC82">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被投诉人1：</w:t>
      </w:r>
    </w:p>
    <w:p w14:paraId="20F16C58">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p>
    <w:p w14:paraId="4575BD54">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0A405096">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联系人：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093323F8">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被投诉人2：</w:t>
      </w:r>
    </w:p>
    <w:p w14:paraId="0BA2A1E7">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p>
    <w:p w14:paraId="04FD0B4D">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相关供应商：</w:t>
      </w:r>
      <w:r>
        <w:rPr>
          <w:rFonts w:hint="eastAsia" w:ascii="宋体" w:hAnsi="宋体" w:eastAsia="宋体" w:cs="宋体"/>
          <w:bCs/>
          <w:color w:val="auto"/>
          <w:kern w:val="0"/>
          <w:sz w:val="24"/>
          <w:highlight w:val="none"/>
          <w:u w:val="single"/>
        </w:rPr>
        <w:t xml:space="preserve">                                                                 </w:t>
      </w:r>
    </w:p>
    <w:p w14:paraId="104F70A4">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p>
    <w:p w14:paraId="3E19C537">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联系人：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78F5515B">
      <w:pPr>
        <w:keepNext w:val="0"/>
        <w:keepLines w:val="0"/>
        <w:pageBreakBefore w:val="0"/>
        <w:widowControl w:val="0"/>
        <w:kinsoku/>
        <w:wordWrap w:val="0"/>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二、投诉项目基本情况：</w:t>
      </w:r>
    </w:p>
    <w:p w14:paraId="3F92F503">
      <w:pPr>
        <w:keepNext w:val="0"/>
        <w:keepLines w:val="0"/>
        <w:pageBreakBefore w:val="0"/>
        <w:widowControl w:val="0"/>
        <w:kinsoku/>
        <w:wordWrap w:val="0"/>
        <w:overflowPunct/>
        <w:topLinePunct w:val="0"/>
        <w:autoSpaceDE/>
        <w:autoSpaceDN/>
        <w:bidi w:val="0"/>
        <w:adjustRightInd/>
        <w:spacing w:line="360" w:lineRule="auto"/>
        <w:ind w:left="25" w:leftChars="12" w:firstLine="472" w:firstLineChars="197"/>
        <w:textAlignment w:val="auto"/>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采购</w:t>
      </w:r>
      <w:r>
        <w:rPr>
          <w:rFonts w:hint="eastAsia" w:ascii="宋体" w:hAnsi="宋体" w:eastAsia="宋体" w:cs="宋体"/>
          <w:color w:val="auto"/>
          <w:kern w:val="0"/>
          <w:sz w:val="24"/>
          <w:highlight w:val="none"/>
        </w:rPr>
        <w:t>项目的名称：</w:t>
      </w:r>
      <w:r>
        <w:rPr>
          <w:rFonts w:hint="eastAsia" w:ascii="宋体" w:hAnsi="宋体" w:eastAsia="宋体" w:cs="宋体"/>
          <w:bCs/>
          <w:color w:val="auto"/>
          <w:kern w:val="0"/>
          <w:sz w:val="24"/>
          <w:highlight w:val="none"/>
          <w:u w:val="single"/>
        </w:rPr>
        <w:t xml:space="preserve">                                                             </w:t>
      </w:r>
    </w:p>
    <w:p w14:paraId="50EBFFD4">
      <w:pPr>
        <w:keepNext w:val="0"/>
        <w:keepLines w:val="0"/>
        <w:pageBreakBefore w:val="0"/>
        <w:widowControl w:val="0"/>
        <w:kinsoku/>
        <w:wordWrap w:val="0"/>
        <w:overflowPunct/>
        <w:topLinePunct w:val="0"/>
        <w:autoSpaceDE/>
        <w:autoSpaceDN/>
        <w:bidi w:val="0"/>
        <w:adjustRightInd/>
        <w:spacing w:line="360" w:lineRule="auto"/>
        <w:ind w:left="25" w:leftChars="12" w:firstLine="472" w:firstLineChars="197"/>
        <w:textAlignment w:val="auto"/>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采购</w:t>
      </w:r>
      <w:r>
        <w:rPr>
          <w:rFonts w:hint="eastAsia" w:ascii="宋体" w:hAnsi="宋体" w:eastAsia="宋体" w:cs="宋体"/>
          <w:color w:val="auto"/>
          <w:kern w:val="0"/>
          <w:sz w:val="24"/>
          <w:highlight w:val="none"/>
        </w:rPr>
        <w:t>项目的编号：</w:t>
      </w:r>
      <w:r>
        <w:rPr>
          <w:rFonts w:hint="eastAsia" w:ascii="宋体" w:hAnsi="宋体" w:eastAsia="宋体" w:cs="宋体"/>
          <w:bCs/>
          <w:color w:val="auto"/>
          <w:kern w:val="0"/>
          <w:sz w:val="24"/>
          <w:highlight w:val="none"/>
          <w:u w:val="single"/>
        </w:rPr>
        <w:t xml:space="preserve">                                          </w:t>
      </w:r>
    </w:p>
    <w:p w14:paraId="27F70957">
      <w:pPr>
        <w:keepNext w:val="0"/>
        <w:keepLines w:val="0"/>
        <w:pageBreakBefore w:val="0"/>
        <w:widowControl w:val="0"/>
        <w:kinsoku/>
        <w:wordWrap w:val="0"/>
        <w:overflowPunct/>
        <w:topLinePunct w:val="0"/>
        <w:autoSpaceDE/>
        <w:autoSpaceDN/>
        <w:bidi w:val="0"/>
        <w:adjustRightInd/>
        <w:spacing w:line="360" w:lineRule="auto"/>
        <w:ind w:left="25" w:leftChars="12" w:firstLine="472" w:firstLineChars="197"/>
        <w:textAlignment w:val="auto"/>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采购人名称：</w:t>
      </w:r>
      <w:r>
        <w:rPr>
          <w:rFonts w:hint="eastAsia" w:ascii="宋体" w:hAnsi="宋体" w:eastAsia="宋体" w:cs="宋体"/>
          <w:bCs/>
          <w:color w:val="auto"/>
          <w:kern w:val="0"/>
          <w:sz w:val="24"/>
          <w:highlight w:val="none"/>
          <w:u w:val="single"/>
        </w:rPr>
        <w:t xml:space="preserve">                                                                 </w:t>
      </w:r>
    </w:p>
    <w:p w14:paraId="2380E8B6">
      <w:pPr>
        <w:keepNext w:val="0"/>
        <w:keepLines w:val="0"/>
        <w:pageBreakBefore w:val="0"/>
        <w:widowControl w:val="0"/>
        <w:kinsoku/>
        <w:wordWrap w:val="0"/>
        <w:overflowPunct/>
        <w:topLinePunct w:val="0"/>
        <w:autoSpaceDE/>
        <w:autoSpaceDN/>
        <w:bidi w:val="0"/>
        <w:adjustRightInd/>
        <w:spacing w:line="360" w:lineRule="auto"/>
        <w:ind w:left="25" w:leftChars="12" w:firstLine="472" w:firstLineChars="197"/>
        <w:textAlignment w:val="auto"/>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代理机构名称：</w:t>
      </w:r>
      <w:r>
        <w:rPr>
          <w:rFonts w:hint="eastAsia" w:ascii="宋体" w:hAnsi="宋体" w:eastAsia="宋体" w:cs="宋体"/>
          <w:bCs/>
          <w:color w:val="auto"/>
          <w:kern w:val="0"/>
          <w:sz w:val="24"/>
          <w:highlight w:val="none"/>
          <w:u w:val="single"/>
        </w:rPr>
        <w:t xml:space="preserve">                                                               </w:t>
      </w:r>
    </w:p>
    <w:p w14:paraId="384685DA">
      <w:pPr>
        <w:keepNext w:val="0"/>
        <w:keepLines w:val="0"/>
        <w:pageBreakBefore w:val="0"/>
        <w:widowControl w:val="0"/>
        <w:kinsoku/>
        <w:wordWrap w:val="0"/>
        <w:overflowPunct/>
        <w:topLinePunct w:val="0"/>
        <w:autoSpaceDE/>
        <w:autoSpaceDN/>
        <w:bidi w:val="0"/>
        <w:adjustRightInd/>
        <w:spacing w:line="360" w:lineRule="auto"/>
        <w:ind w:left="25" w:leftChars="12" w:firstLine="472" w:firstLineChars="197"/>
        <w:textAlignment w:val="auto"/>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招标文件公告：</w:t>
      </w:r>
      <w:r>
        <w:rPr>
          <w:rFonts w:hint="eastAsia" w:ascii="宋体" w:hAnsi="宋体" w:eastAsia="宋体" w:cs="宋体"/>
          <w:bCs/>
          <w:color w:val="auto"/>
          <w:kern w:val="0"/>
          <w:sz w:val="24"/>
          <w:highlight w:val="none"/>
          <w:u w:val="single"/>
        </w:rPr>
        <w:t>是/否</w:t>
      </w:r>
      <w:r>
        <w:rPr>
          <w:rFonts w:hint="eastAsia" w:ascii="宋体" w:hAnsi="宋体" w:eastAsia="宋体" w:cs="宋体"/>
          <w:bCs/>
          <w:color w:val="auto"/>
          <w:kern w:val="0"/>
          <w:sz w:val="24"/>
          <w:highlight w:val="none"/>
        </w:rPr>
        <w:t>公告期限：</w:t>
      </w:r>
      <w:r>
        <w:rPr>
          <w:rFonts w:hint="eastAsia" w:ascii="宋体" w:hAnsi="宋体" w:eastAsia="宋体" w:cs="宋体"/>
          <w:bCs/>
          <w:color w:val="auto"/>
          <w:kern w:val="0"/>
          <w:sz w:val="24"/>
          <w:highlight w:val="none"/>
          <w:u w:val="single"/>
        </w:rPr>
        <w:t xml:space="preserve">                                                </w:t>
      </w:r>
    </w:p>
    <w:p w14:paraId="59E50678">
      <w:pPr>
        <w:keepNext w:val="0"/>
        <w:keepLines w:val="0"/>
        <w:pageBreakBefore w:val="0"/>
        <w:widowControl w:val="0"/>
        <w:kinsoku/>
        <w:wordWrap w:val="0"/>
        <w:overflowPunct/>
        <w:topLinePunct w:val="0"/>
        <w:autoSpaceDE/>
        <w:autoSpaceDN/>
        <w:bidi w:val="0"/>
        <w:adjustRightInd/>
        <w:spacing w:line="360" w:lineRule="auto"/>
        <w:ind w:left="25" w:leftChars="12" w:firstLine="472" w:firstLineChars="197"/>
        <w:textAlignment w:val="auto"/>
        <w:rPr>
          <w:rFonts w:hint="eastAsia" w:ascii="宋体" w:hAnsi="宋体" w:eastAsia="宋体" w:cs="宋体"/>
          <w:b/>
          <w:color w:val="auto"/>
          <w:kern w:val="0"/>
          <w:sz w:val="24"/>
          <w:highlight w:val="none"/>
        </w:rPr>
      </w:pPr>
      <w:r>
        <w:rPr>
          <w:rFonts w:hint="eastAsia" w:ascii="宋体" w:hAnsi="宋体" w:eastAsia="宋体" w:cs="宋体"/>
          <w:bCs/>
          <w:color w:val="auto"/>
          <w:kern w:val="0"/>
          <w:sz w:val="24"/>
          <w:highlight w:val="none"/>
        </w:rPr>
        <w:t>采购结果公告：</w:t>
      </w:r>
      <w:r>
        <w:rPr>
          <w:rFonts w:hint="eastAsia" w:ascii="宋体" w:hAnsi="宋体" w:eastAsia="宋体" w:cs="宋体"/>
          <w:bCs/>
          <w:color w:val="auto"/>
          <w:kern w:val="0"/>
          <w:sz w:val="24"/>
          <w:highlight w:val="none"/>
          <w:u w:val="single"/>
        </w:rPr>
        <w:t>是/否</w:t>
      </w:r>
      <w:r>
        <w:rPr>
          <w:rFonts w:hint="eastAsia" w:ascii="宋体" w:hAnsi="宋体" w:eastAsia="宋体" w:cs="宋体"/>
          <w:bCs/>
          <w:color w:val="auto"/>
          <w:kern w:val="0"/>
          <w:sz w:val="24"/>
          <w:highlight w:val="none"/>
        </w:rPr>
        <w:t>公告期限：</w:t>
      </w:r>
      <w:r>
        <w:rPr>
          <w:rFonts w:hint="eastAsia" w:ascii="宋体" w:hAnsi="宋体" w:eastAsia="宋体" w:cs="宋体"/>
          <w:bCs/>
          <w:color w:val="auto"/>
          <w:kern w:val="0"/>
          <w:sz w:val="24"/>
          <w:highlight w:val="none"/>
          <w:u w:val="single"/>
        </w:rPr>
        <w:t xml:space="preserve">                                                </w:t>
      </w:r>
    </w:p>
    <w:p w14:paraId="52E397B3">
      <w:pPr>
        <w:keepNext w:val="0"/>
        <w:keepLines w:val="0"/>
        <w:pageBreakBefore w:val="0"/>
        <w:widowControl w:val="0"/>
        <w:kinsoku/>
        <w:wordWrap w:val="0"/>
        <w:overflowPunct/>
        <w:topLinePunct w:val="0"/>
        <w:autoSpaceDE/>
        <w:autoSpaceDN/>
        <w:bidi w:val="0"/>
        <w:adjustRightInd/>
        <w:spacing w:line="360" w:lineRule="auto"/>
        <w:ind w:left="25" w:leftChars="12" w:firstLine="472" w:firstLineChars="196"/>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三、质疑基本情况</w:t>
      </w:r>
    </w:p>
    <w:p w14:paraId="3C5F2878">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投诉人于</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日，向</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提出质疑，质疑事项为：</w:t>
      </w:r>
    </w:p>
    <w:p w14:paraId="5A914185">
      <w:pPr>
        <w:keepNext w:val="0"/>
        <w:keepLines w:val="0"/>
        <w:pageBreakBefore w:val="0"/>
        <w:widowControl w:val="0"/>
        <w:kinsoku/>
        <w:wordWrap w:val="0"/>
        <w:overflowPunct/>
        <w:topLinePunct w:val="0"/>
        <w:autoSpaceDE/>
        <w:autoSpaceDN/>
        <w:bidi w:val="0"/>
        <w:adjustRightInd/>
        <w:spacing w:line="360" w:lineRule="auto"/>
        <w:ind w:firstLine="241"/>
        <w:textAlignment w:val="auto"/>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4CD2AF33">
      <w:pPr>
        <w:keepNext w:val="0"/>
        <w:keepLines w:val="0"/>
        <w:pageBreakBefore w:val="0"/>
        <w:widowControl w:val="0"/>
        <w:kinsoku/>
        <w:wordWrap w:val="0"/>
        <w:overflowPunct/>
        <w:topLinePunct w:val="0"/>
        <w:autoSpaceDE/>
        <w:autoSpaceDN/>
        <w:bidi w:val="0"/>
        <w:adjustRightInd/>
        <w:spacing w:line="360" w:lineRule="auto"/>
        <w:ind w:firstLine="241"/>
        <w:textAlignment w:val="auto"/>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1DFE5548">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u w:val="single"/>
        </w:rPr>
        <w:t>采购人/代理机构</w:t>
      </w:r>
      <w:r>
        <w:rPr>
          <w:rFonts w:hint="eastAsia" w:ascii="宋体" w:hAnsi="宋体" w:eastAsia="宋体" w:cs="宋体"/>
          <w:bCs/>
          <w:color w:val="auto"/>
          <w:kern w:val="0"/>
          <w:sz w:val="24"/>
          <w:highlight w:val="none"/>
        </w:rPr>
        <w:t>于</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w:t>
      </w:r>
      <w:r>
        <w:rPr>
          <w:rFonts w:hint="eastAsia" w:ascii="宋体" w:hAnsi="宋体" w:eastAsia="宋体" w:cs="宋体"/>
          <w:bCs/>
          <w:color w:val="auto"/>
          <w:kern w:val="0"/>
          <w:sz w:val="24"/>
          <w:highlight w:val="none"/>
        </w:rPr>
        <w:t xml:space="preserve">就质疑事项作出了答复/没有在法定期限内作出答复。                                                                        </w:t>
      </w:r>
    </w:p>
    <w:p w14:paraId="2C71B008">
      <w:pPr>
        <w:keepNext w:val="0"/>
        <w:keepLines w:val="0"/>
        <w:pageBreakBefore w:val="0"/>
        <w:widowControl w:val="0"/>
        <w:kinsoku/>
        <w:wordWrap w:val="0"/>
        <w:overflowPunct/>
        <w:topLinePunct w:val="0"/>
        <w:autoSpaceDE/>
        <w:autoSpaceDN/>
        <w:bidi w:val="0"/>
        <w:adjustRightInd/>
        <w:spacing w:line="360" w:lineRule="auto"/>
        <w:ind w:left="25" w:leftChars="12" w:firstLine="472" w:firstLineChars="196"/>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四、投诉事项具体内容</w:t>
      </w:r>
    </w:p>
    <w:p w14:paraId="533C1835">
      <w:pPr>
        <w:keepNext w:val="0"/>
        <w:keepLines w:val="0"/>
        <w:pageBreakBefore w:val="0"/>
        <w:widowControl w:val="0"/>
        <w:kinsoku/>
        <w:wordWrap w:val="0"/>
        <w:overflowPunct/>
        <w:topLinePunct w:val="0"/>
        <w:autoSpaceDE/>
        <w:autoSpaceDN/>
        <w:bidi w:val="0"/>
        <w:adjustRightInd/>
        <w:spacing w:line="360" w:lineRule="auto"/>
        <w:ind w:left="25" w:leftChars="12" w:firstLine="472" w:firstLineChars="197"/>
        <w:textAlignment w:val="auto"/>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投诉事项1：</w:t>
      </w:r>
      <w:r>
        <w:rPr>
          <w:rFonts w:hint="eastAsia" w:ascii="宋体" w:hAnsi="宋体" w:eastAsia="宋体" w:cs="宋体"/>
          <w:bCs/>
          <w:color w:val="auto"/>
          <w:kern w:val="0"/>
          <w:sz w:val="24"/>
          <w:highlight w:val="none"/>
          <w:u w:val="single"/>
        </w:rPr>
        <w:t xml:space="preserve">                                                                 </w:t>
      </w:r>
    </w:p>
    <w:p w14:paraId="49889001">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事实依据：</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63A91EF9">
      <w:pPr>
        <w:keepNext w:val="0"/>
        <w:keepLines w:val="0"/>
        <w:pageBreakBefore w:val="0"/>
        <w:widowControl w:val="0"/>
        <w:kinsoku/>
        <w:wordWrap w:val="0"/>
        <w:overflowPunct/>
        <w:topLinePunct w:val="0"/>
        <w:autoSpaceDE/>
        <w:autoSpaceDN/>
        <w:bidi w:val="0"/>
        <w:adjustRightInd/>
        <w:spacing w:line="360" w:lineRule="auto"/>
        <w:ind w:left="25" w:leftChars="12" w:firstLine="472" w:firstLineChars="197"/>
        <w:textAlignment w:val="auto"/>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u w:val="single"/>
        </w:rPr>
        <w:t xml:space="preserve">                                                                            </w:t>
      </w:r>
    </w:p>
    <w:p w14:paraId="7B679F1B">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法律依据：</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3C97EE3B">
      <w:pPr>
        <w:keepNext w:val="0"/>
        <w:keepLines w:val="0"/>
        <w:pageBreakBefore w:val="0"/>
        <w:widowControl w:val="0"/>
        <w:kinsoku/>
        <w:wordWrap w:val="0"/>
        <w:overflowPunct/>
        <w:topLinePunct w:val="0"/>
        <w:autoSpaceDE/>
        <w:autoSpaceDN/>
        <w:bidi w:val="0"/>
        <w:adjustRightInd/>
        <w:spacing w:line="360" w:lineRule="auto"/>
        <w:ind w:left="25" w:leftChars="12" w:firstLine="352" w:firstLineChars="147"/>
        <w:textAlignment w:val="auto"/>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50E574FE">
      <w:pPr>
        <w:keepNext w:val="0"/>
        <w:keepLines w:val="0"/>
        <w:pageBreakBefore w:val="0"/>
        <w:widowControl w:val="0"/>
        <w:kinsoku/>
        <w:wordWrap w:val="0"/>
        <w:overflowPunct/>
        <w:topLinePunct w:val="0"/>
        <w:autoSpaceDE/>
        <w:autoSpaceDN/>
        <w:bidi w:val="0"/>
        <w:adjustRightInd/>
        <w:spacing w:line="360" w:lineRule="auto"/>
        <w:ind w:left="25" w:leftChars="12" w:firstLine="472" w:firstLineChars="197"/>
        <w:textAlignment w:val="auto"/>
        <w:rPr>
          <w:rFonts w:hint="eastAsia" w:ascii="宋体" w:hAnsi="宋体" w:eastAsia="宋体" w:cs="宋体"/>
          <w:bCs/>
          <w:color w:val="auto"/>
          <w:kern w:val="0"/>
          <w:sz w:val="24"/>
          <w:highlight w:val="none"/>
        </w:rPr>
      </w:pPr>
      <w:r>
        <w:rPr>
          <w:rFonts w:hint="eastAsia" w:ascii="宋体" w:hAnsi="宋体" w:eastAsia="宋体" w:cs="宋体"/>
          <w:color w:val="auto"/>
          <w:kern w:val="0"/>
          <w:sz w:val="24"/>
          <w:highlight w:val="none"/>
        </w:rPr>
        <w:t xml:space="preserve">投诉事项2  </w:t>
      </w:r>
      <w:r>
        <w:rPr>
          <w:rFonts w:hint="eastAsia" w:ascii="宋体" w:hAnsi="宋体" w:eastAsia="宋体" w:cs="宋体"/>
          <w:bCs/>
          <w:color w:val="auto"/>
          <w:kern w:val="0"/>
          <w:sz w:val="24"/>
          <w:highlight w:val="none"/>
        </w:rPr>
        <w:t xml:space="preserve">   </w:t>
      </w:r>
    </w:p>
    <w:p w14:paraId="60B06D5C">
      <w:pPr>
        <w:keepNext w:val="0"/>
        <w:keepLines w:val="0"/>
        <w:pageBreakBefore w:val="0"/>
        <w:widowControl w:val="0"/>
        <w:kinsoku/>
        <w:wordWrap w:val="0"/>
        <w:overflowPunct/>
        <w:topLinePunct w:val="0"/>
        <w:autoSpaceDE/>
        <w:autoSpaceDN/>
        <w:bidi w:val="0"/>
        <w:adjustRightInd/>
        <w:spacing w:line="360" w:lineRule="auto"/>
        <w:ind w:left="25" w:leftChars="12" w:firstLine="472" w:firstLineChars="197"/>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p>
    <w:p w14:paraId="4064F5C6">
      <w:pPr>
        <w:keepNext w:val="0"/>
        <w:keepLines w:val="0"/>
        <w:pageBreakBefore w:val="0"/>
        <w:widowControl w:val="0"/>
        <w:kinsoku/>
        <w:wordWrap w:val="0"/>
        <w:overflowPunct/>
        <w:topLinePunct w:val="0"/>
        <w:autoSpaceDE/>
        <w:autoSpaceDN/>
        <w:bidi w:val="0"/>
        <w:adjustRightInd/>
        <w:spacing w:line="360" w:lineRule="auto"/>
        <w:ind w:left="25" w:leftChars="12" w:firstLine="472" w:firstLineChars="196"/>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五、与投诉事项相关的投诉请求：</w:t>
      </w:r>
    </w:p>
    <w:p w14:paraId="702130D5">
      <w:pPr>
        <w:keepNext w:val="0"/>
        <w:keepLines w:val="0"/>
        <w:pageBreakBefore w:val="0"/>
        <w:widowControl w:val="0"/>
        <w:kinsoku/>
        <w:wordWrap w:val="0"/>
        <w:overflowPunct/>
        <w:topLinePunct w:val="0"/>
        <w:autoSpaceDE/>
        <w:autoSpaceDN/>
        <w:bidi w:val="0"/>
        <w:adjustRightInd/>
        <w:spacing w:line="360" w:lineRule="auto"/>
        <w:ind w:left="25" w:leftChars="12" w:firstLine="472" w:firstLineChars="197"/>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请求：</w:t>
      </w:r>
      <w:r>
        <w:rPr>
          <w:rFonts w:hint="eastAsia" w:ascii="宋体" w:hAnsi="宋体" w:eastAsia="宋体" w:cs="宋体"/>
          <w:bCs/>
          <w:color w:val="auto"/>
          <w:kern w:val="0"/>
          <w:sz w:val="24"/>
          <w:highlight w:val="none"/>
          <w:u w:val="single"/>
        </w:rPr>
        <w:t xml:space="preserve">                                                                       </w:t>
      </w:r>
    </w:p>
    <w:p w14:paraId="2AACAE6F">
      <w:pPr>
        <w:keepNext w:val="0"/>
        <w:keepLines w:val="0"/>
        <w:pageBreakBefore w:val="0"/>
        <w:widowControl w:val="0"/>
        <w:kinsoku/>
        <w:wordWrap w:val="0"/>
        <w:overflowPunct/>
        <w:topLinePunct w:val="0"/>
        <w:autoSpaceDE/>
        <w:autoSpaceDN/>
        <w:bidi w:val="0"/>
        <w:adjustRightInd/>
        <w:spacing w:line="360" w:lineRule="auto"/>
        <w:ind w:left="25" w:leftChars="12" w:firstLine="352" w:firstLineChars="147"/>
        <w:textAlignment w:val="auto"/>
        <w:rPr>
          <w:rFonts w:hint="eastAsia" w:ascii="宋体" w:hAnsi="宋体" w:eastAsia="宋体" w:cs="宋体"/>
          <w:color w:val="auto"/>
          <w:kern w:val="0"/>
          <w:sz w:val="24"/>
          <w:highlight w:val="none"/>
        </w:rPr>
      </w:pPr>
    </w:p>
    <w:p w14:paraId="3DB713EC">
      <w:pPr>
        <w:keepNext w:val="0"/>
        <w:keepLines w:val="0"/>
        <w:pageBreakBefore w:val="0"/>
        <w:widowControl w:val="0"/>
        <w:kinsoku/>
        <w:wordWrap w:val="0"/>
        <w:overflowPunct/>
        <w:topLinePunct w:val="0"/>
        <w:autoSpaceDE/>
        <w:autoSpaceDN/>
        <w:bidi w:val="0"/>
        <w:adjustRightInd/>
        <w:spacing w:line="360" w:lineRule="auto"/>
        <w:ind w:left="25" w:leftChars="12" w:firstLine="472" w:firstLineChars="197"/>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签字（签章）：                                       公章：</w:t>
      </w:r>
    </w:p>
    <w:p w14:paraId="276DFF38">
      <w:pPr>
        <w:keepNext w:val="0"/>
        <w:keepLines w:val="0"/>
        <w:pageBreakBefore w:val="0"/>
        <w:widowControl w:val="0"/>
        <w:kinsoku/>
        <w:wordWrap w:val="0"/>
        <w:overflowPunct/>
        <w:topLinePunct w:val="0"/>
        <w:autoSpaceDE/>
        <w:autoSpaceDN/>
        <w:bidi w:val="0"/>
        <w:adjustRightInd/>
        <w:spacing w:line="360" w:lineRule="auto"/>
        <w:ind w:left="25" w:leftChars="12" w:firstLine="352" w:firstLineChars="147"/>
        <w:textAlignment w:val="auto"/>
        <w:rPr>
          <w:rFonts w:hint="eastAsia" w:ascii="宋体" w:hAnsi="宋体" w:eastAsia="宋体" w:cs="宋体"/>
          <w:color w:val="auto"/>
          <w:kern w:val="0"/>
          <w:sz w:val="24"/>
          <w:highlight w:val="none"/>
        </w:rPr>
      </w:pPr>
    </w:p>
    <w:p w14:paraId="760B051D">
      <w:pPr>
        <w:keepNext w:val="0"/>
        <w:keepLines w:val="0"/>
        <w:pageBreakBefore w:val="0"/>
        <w:widowControl w:val="0"/>
        <w:kinsoku/>
        <w:wordWrap w:val="0"/>
        <w:overflowPunct/>
        <w:topLinePunct w:val="0"/>
        <w:autoSpaceDE/>
        <w:autoSpaceDN/>
        <w:bidi w:val="0"/>
        <w:adjustRightInd/>
        <w:spacing w:line="360" w:lineRule="auto"/>
        <w:ind w:left="25" w:leftChars="12" w:firstLine="472" w:firstLineChars="197"/>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w:t>
      </w:r>
      <w:r>
        <w:rPr>
          <w:rFonts w:hint="eastAsia" w:ascii="宋体" w:hAnsi="宋体" w:eastAsia="宋体" w:cs="宋体"/>
          <w:bCs/>
          <w:color w:val="auto"/>
          <w:kern w:val="0"/>
          <w:sz w:val="24"/>
          <w:highlight w:val="none"/>
        </w:rPr>
        <w:t xml:space="preserve">                                                              </w:t>
      </w:r>
    </w:p>
    <w:p w14:paraId="61639436">
      <w:pPr>
        <w:keepNext w:val="0"/>
        <w:keepLines w:val="0"/>
        <w:pageBreakBefore w:val="0"/>
        <w:widowControl w:val="0"/>
        <w:kinsoku/>
        <w:wordWrap w:val="0"/>
        <w:overflowPunct/>
        <w:topLinePunct w:val="0"/>
        <w:autoSpaceDE/>
        <w:autoSpaceDN/>
        <w:bidi w:val="0"/>
        <w:adjustRightInd/>
        <w:snapToGrid w:val="0"/>
        <w:spacing w:line="360" w:lineRule="auto"/>
        <w:textAlignment w:val="auto"/>
        <w:rPr>
          <w:rFonts w:hint="eastAsia" w:ascii="宋体" w:hAnsi="宋体" w:eastAsia="宋体" w:cs="宋体"/>
          <w:b/>
          <w:color w:val="auto"/>
          <w:kern w:val="0"/>
          <w:sz w:val="24"/>
          <w:highlight w:val="none"/>
        </w:rPr>
      </w:pPr>
    </w:p>
    <w:p w14:paraId="56B128DA">
      <w:pPr>
        <w:snapToGrid w:val="0"/>
        <w:spacing w:line="360" w:lineRule="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说明：</w:t>
      </w:r>
    </w:p>
    <w:p w14:paraId="58065A4F">
      <w:pPr>
        <w:spacing w:line="360" w:lineRule="auto"/>
        <w:ind w:left="25" w:leftChars="12" w:firstLine="354" w:firstLineChars="147"/>
        <w:rPr>
          <w:rFonts w:hint="eastAsia" w:ascii="宋体" w:hAnsi="宋体" w:eastAsia="宋体" w:cs="宋体"/>
          <w:b/>
          <w:bCs/>
          <w:color w:val="auto"/>
          <w:kern w:val="0"/>
          <w:sz w:val="24"/>
          <w:highlight w:val="none"/>
        </w:rPr>
      </w:pPr>
      <w:r>
        <w:rPr>
          <w:rFonts w:hint="eastAsia" w:ascii="宋体" w:hAnsi="宋体" w:eastAsia="宋体" w:cs="宋体"/>
          <w:b/>
          <w:color w:val="auto"/>
          <w:kern w:val="0"/>
          <w:sz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kern w:val="0"/>
          <w:sz w:val="24"/>
          <w:highlight w:val="none"/>
        </w:rPr>
        <w:t>。</w:t>
      </w:r>
    </w:p>
    <w:p w14:paraId="1A63D13F">
      <w:pPr>
        <w:spacing w:line="360" w:lineRule="auto"/>
        <w:ind w:left="25" w:leftChars="12" w:firstLine="354" w:firstLineChars="147"/>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731828B">
      <w:pPr>
        <w:spacing w:line="360" w:lineRule="auto"/>
        <w:ind w:left="25" w:leftChars="12" w:firstLine="354" w:firstLineChars="147"/>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3.投诉书应简要列明质疑事项，质疑函、质疑答复等作为附件材料提供。</w:t>
      </w:r>
    </w:p>
    <w:p w14:paraId="11598B1B">
      <w:pPr>
        <w:spacing w:line="360" w:lineRule="auto"/>
        <w:ind w:left="25" w:leftChars="12" w:firstLine="354" w:firstLineChars="147"/>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4.投诉书的投诉事项应具体、明确，并有必要的事实依据和法律依据。</w:t>
      </w:r>
    </w:p>
    <w:p w14:paraId="48EB818C">
      <w:pPr>
        <w:spacing w:line="360" w:lineRule="auto"/>
        <w:ind w:left="25" w:leftChars="12" w:firstLine="354" w:firstLineChars="147"/>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5.投诉书的投诉请求应与投诉事项相关。</w:t>
      </w:r>
    </w:p>
    <w:p w14:paraId="33AC2471">
      <w:pPr>
        <w:spacing w:line="360" w:lineRule="auto"/>
        <w:ind w:left="25" w:leftChars="12" w:firstLine="354" w:firstLineChars="147"/>
        <w:rPr>
          <w:rFonts w:hint="eastAsia" w:ascii="宋体" w:hAnsi="宋体" w:eastAsia="宋体" w:cs="宋体"/>
          <w:b/>
          <w:color w:val="auto"/>
          <w:highlight w:val="none"/>
        </w:rPr>
      </w:pPr>
      <w:r>
        <w:rPr>
          <w:rFonts w:hint="eastAsia" w:ascii="宋体" w:hAnsi="宋体" w:eastAsia="宋体" w:cs="宋体"/>
          <w:b/>
          <w:color w:val="auto"/>
          <w:kern w:val="0"/>
          <w:sz w:val="24"/>
          <w:highlight w:val="none"/>
        </w:rPr>
        <w:t>6.投诉人为法人或者其他组织的，投诉书应由法定代表人、主要负责人，或者其授权代表签字或者盖章，并加盖公章。</w:t>
      </w:r>
    </w:p>
    <w:p w14:paraId="3EB7BD6E">
      <w:pPr>
        <w:bidi w:val="0"/>
        <w:jc w:val="center"/>
        <w:outlineLvl w:val="0"/>
        <w:rPr>
          <w:rFonts w:hint="eastAsia" w:ascii="宋体" w:hAnsi="宋体" w:eastAsia="宋体" w:cs="宋体"/>
          <w:b/>
          <w:bCs/>
          <w:color w:val="auto"/>
          <w:kern w:val="44"/>
          <w:sz w:val="44"/>
          <w:szCs w:val="44"/>
          <w:highlight w:val="none"/>
          <w:lang w:val="en-US" w:eastAsia="zh-CN" w:bidi="ar-SA"/>
        </w:rPr>
      </w:pPr>
      <w:bookmarkStart w:id="96" w:name="_Toc32167"/>
      <w:bookmarkStart w:id="97" w:name="_Toc8819"/>
      <w:bookmarkStart w:id="98" w:name="_Toc12838"/>
    </w:p>
    <w:p w14:paraId="3BCB3934">
      <w:pPr>
        <w:bidi w:val="0"/>
        <w:jc w:val="center"/>
        <w:outlineLvl w:val="0"/>
        <w:rPr>
          <w:rFonts w:hint="eastAsia" w:ascii="宋体" w:hAnsi="宋体" w:eastAsia="宋体" w:cs="宋体"/>
          <w:b/>
          <w:bCs/>
          <w:color w:val="auto"/>
          <w:kern w:val="44"/>
          <w:sz w:val="44"/>
          <w:szCs w:val="44"/>
          <w:highlight w:val="none"/>
          <w:lang w:val="en-US" w:eastAsia="zh-CN" w:bidi="ar-SA"/>
        </w:rPr>
      </w:pPr>
    </w:p>
    <w:p w14:paraId="1364E4A5">
      <w:pPr>
        <w:bidi w:val="0"/>
        <w:jc w:val="center"/>
        <w:outlineLvl w:val="0"/>
        <w:rPr>
          <w:rFonts w:hint="eastAsia" w:ascii="宋体" w:hAnsi="宋体" w:eastAsia="宋体" w:cs="宋体"/>
          <w:b/>
          <w:bCs/>
          <w:color w:val="auto"/>
          <w:kern w:val="44"/>
          <w:sz w:val="44"/>
          <w:szCs w:val="44"/>
          <w:highlight w:val="none"/>
          <w:lang w:val="en-US" w:eastAsia="zh-CN" w:bidi="ar-SA"/>
        </w:rPr>
      </w:pPr>
    </w:p>
    <w:p w14:paraId="56DC3596">
      <w:pPr>
        <w:bidi w:val="0"/>
        <w:jc w:val="center"/>
        <w:outlineLvl w:val="0"/>
        <w:rPr>
          <w:rFonts w:hint="eastAsia" w:ascii="宋体" w:hAnsi="宋体" w:eastAsia="宋体" w:cs="宋体"/>
          <w:b/>
          <w:bCs/>
          <w:color w:val="auto"/>
          <w:kern w:val="44"/>
          <w:sz w:val="44"/>
          <w:szCs w:val="44"/>
          <w:highlight w:val="none"/>
          <w:lang w:val="en-US" w:eastAsia="zh-CN" w:bidi="ar-SA"/>
        </w:rPr>
      </w:pPr>
    </w:p>
    <w:p w14:paraId="4B2F9F04">
      <w:pPr>
        <w:bidi w:val="0"/>
        <w:jc w:val="center"/>
        <w:outlineLvl w:val="0"/>
        <w:rPr>
          <w:rFonts w:hint="eastAsia" w:ascii="宋体" w:hAnsi="宋体" w:eastAsia="宋体" w:cs="宋体"/>
          <w:b/>
          <w:bCs/>
          <w:color w:val="auto"/>
          <w:kern w:val="44"/>
          <w:sz w:val="44"/>
          <w:szCs w:val="44"/>
          <w:highlight w:val="none"/>
          <w:lang w:val="en-US" w:eastAsia="zh-CN" w:bidi="ar-SA"/>
        </w:rPr>
      </w:pPr>
    </w:p>
    <w:p w14:paraId="3A0A259A">
      <w:pPr>
        <w:bidi w:val="0"/>
        <w:jc w:val="center"/>
        <w:outlineLvl w:val="0"/>
        <w:rPr>
          <w:rFonts w:hint="eastAsia" w:ascii="宋体" w:hAnsi="宋体" w:eastAsia="宋体" w:cs="宋体"/>
          <w:b/>
          <w:bCs/>
          <w:color w:val="auto"/>
          <w:kern w:val="44"/>
          <w:sz w:val="44"/>
          <w:szCs w:val="44"/>
          <w:highlight w:val="none"/>
          <w:lang w:val="en-US" w:eastAsia="zh-CN" w:bidi="ar-SA"/>
        </w:rPr>
      </w:pPr>
    </w:p>
    <w:p w14:paraId="209FA302">
      <w:pPr>
        <w:bidi w:val="0"/>
        <w:jc w:val="center"/>
        <w:outlineLvl w:val="0"/>
        <w:rPr>
          <w:rFonts w:hint="eastAsia" w:ascii="宋体" w:hAnsi="宋体" w:eastAsia="宋体" w:cs="宋体"/>
          <w:b/>
          <w:bCs/>
          <w:color w:val="auto"/>
          <w:kern w:val="44"/>
          <w:sz w:val="44"/>
          <w:szCs w:val="44"/>
          <w:highlight w:val="none"/>
          <w:lang w:val="en-US" w:eastAsia="zh-CN" w:bidi="ar-SA"/>
        </w:rPr>
      </w:pPr>
    </w:p>
    <w:p w14:paraId="1FA8316A">
      <w:pPr>
        <w:bidi w:val="0"/>
        <w:jc w:val="center"/>
        <w:outlineLvl w:val="0"/>
        <w:rPr>
          <w:rFonts w:hint="eastAsia" w:ascii="宋体" w:hAnsi="宋体" w:eastAsia="宋体" w:cs="宋体"/>
          <w:b/>
          <w:bCs/>
          <w:color w:val="auto"/>
          <w:kern w:val="44"/>
          <w:sz w:val="44"/>
          <w:szCs w:val="44"/>
          <w:highlight w:val="none"/>
          <w:lang w:val="en-US" w:eastAsia="zh-CN" w:bidi="ar-SA"/>
        </w:rPr>
      </w:pPr>
    </w:p>
    <w:p w14:paraId="533DF91B">
      <w:pPr>
        <w:bidi w:val="0"/>
        <w:jc w:val="center"/>
        <w:outlineLvl w:val="0"/>
        <w:rPr>
          <w:rFonts w:hint="eastAsia" w:ascii="宋体" w:hAnsi="宋体" w:eastAsia="宋体" w:cs="宋体"/>
          <w:b/>
          <w:bCs/>
          <w:color w:val="auto"/>
          <w:kern w:val="44"/>
          <w:sz w:val="44"/>
          <w:szCs w:val="44"/>
          <w:highlight w:val="none"/>
          <w:lang w:val="en-US" w:eastAsia="zh-CN" w:bidi="ar-SA"/>
        </w:rPr>
      </w:pPr>
    </w:p>
    <w:p w14:paraId="59A4B77E">
      <w:pPr>
        <w:bidi w:val="0"/>
        <w:jc w:val="center"/>
        <w:outlineLvl w:val="0"/>
        <w:rPr>
          <w:rFonts w:hint="eastAsia" w:ascii="宋体" w:hAnsi="宋体" w:eastAsia="宋体" w:cs="宋体"/>
          <w:b/>
          <w:bCs/>
          <w:color w:val="auto"/>
          <w:kern w:val="44"/>
          <w:sz w:val="44"/>
          <w:szCs w:val="44"/>
          <w:highlight w:val="none"/>
          <w:lang w:val="en-US" w:eastAsia="zh-CN" w:bidi="ar-SA"/>
        </w:rPr>
      </w:pPr>
    </w:p>
    <w:p w14:paraId="74C0BBDD">
      <w:pPr>
        <w:bidi w:val="0"/>
        <w:jc w:val="center"/>
        <w:outlineLvl w:val="0"/>
        <w:rPr>
          <w:rFonts w:hint="eastAsia" w:ascii="宋体" w:hAnsi="宋体" w:eastAsia="宋体" w:cs="宋体"/>
          <w:b/>
          <w:bCs/>
          <w:color w:val="auto"/>
          <w:kern w:val="44"/>
          <w:sz w:val="44"/>
          <w:szCs w:val="44"/>
          <w:highlight w:val="none"/>
          <w:lang w:val="en-US" w:eastAsia="zh-CN" w:bidi="ar-SA"/>
        </w:rPr>
      </w:pPr>
    </w:p>
    <w:p w14:paraId="69A69F74">
      <w:pPr>
        <w:bidi w:val="0"/>
        <w:jc w:val="center"/>
        <w:outlineLvl w:val="0"/>
        <w:rPr>
          <w:rFonts w:hint="eastAsia" w:ascii="宋体" w:hAnsi="宋体" w:eastAsia="宋体" w:cs="宋体"/>
          <w:b/>
          <w:bCs/>
          <w:color w:val="auto"/>
          <w:kern w:val="44"/>
          <w:sz w:val="44"/>
          <w:szCs w:val="44"/>
          <w:highlight w:val="none"/>
          <w:lang w:val="en-US" w:eastAsia="zh-CN" w:bidi="ar-SA"/>
        </w:rPr>
      </w:pPr>
      <w:bookmarkStart w:id="99" w:name="_Toc15064"/>
      <w:r>
        <w:rPr>
          <w:rFonts w:hint="eastAsia" w:ascii="宋体" w:hAnsi="宋体" w:eastAsia="宋体" w:cs="宋体"/>
          <w:b/>
          <w:bCs/>
          <w:color w:val="auto"/>
          <w:kern w:val="44"/>
          <w:sz w:val="44"/>
          <w:szCs w:val="44"/>
          <w:highlight w:val="none"/>
          <w:lang w:val="en-US" w:eastAsia="zh-CN" w:bidi="ar-SA"/>
        </w:rPr>
        <w:t>第八章 政府采购合同验收书范本</w:t>
      </w:r>
      <w:bookmarkEnd w:id="96"/>
      <w:bookmarkEnd w:id="97"/>
      <w:bookmarkEnd w:id="98"/>
      <w:bookmarkEnd w:id="99"/>
    </w:p>
    <w:p w14:paraId="67696E89">
      <w:pPr>
        <w:tabs>
          <w:tab w:val="left" w:pos="576"/>
        </w:tabs>
        <w:jc w:val="center"/>
        <w:outlineLvl w:val="9"/>
        <w:rPr>
          <w:rFonts w:hint="eastAsia" w:ascii="宋体" w:hAnsi="宋体" w:eastAsia="宋体" w:cs="宋体"/>
          <w:color w:val="auto"/>
          <w:kern w:val="0"/>
          <w:sz w:val="32"/>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bCs/>
          <w:color w:val="auto"/>
          <w:kern w:val="2"/>
          <w:sz w:val="32"/>
          <w:szCs w:val="32"/>
          <w:highlight w:val="none"/>
          <w:lang w:val="en-US" w:eastAsia="zh-CN" w:bidi="ar-SA"/>
        </w:rPr>
        <w:t>广西壮族自治区政府采购项目合同验收书（格式）</w:t>
      </w:r>
    </w:p>
    <w:p w14:paraId="5B22ED86">
      <w:pPr>
        <w:widowControl/>
        <w:snapToGrid w:val="0"/>
        <w:spacing w:before="100" w:beforeAutospacing="1" w:after="100" w:afterAutospacing="1" w:line="320" w:lineRule="exact"/>
        <w:ind w:left="-359" w:leftChars="-171"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根据政府采购项目（</w:t>
      </w:r>
      <w:r>
        <w:rPr>
          <w:rFonts w:hint="eastAsia" w:ascii="宋体" w:hAnsi="宋体" w:eastAsia="宋体" w:cs="宋体"/>
          <w:color w:val="auto"/>
          <w:kern w:val="0"/>
          <w:sz w:val="24"/>
          <w:highlight w:val="none"/>
          <w:u w:val="single"/>
        </w:rPr>
        <w:t>采购合同编号：</w:t>
      </w:r>
      <w:r>
        <w:rPr>
          <w:rFonts w:hint="eastAsia" w:ascii="宋体" w:hAnsi="宋体" w:eastAsia="宋体" w:cs="宋体"/>
          <w:color w:val="auto"/>
          <w:kern w:val="0"/>
          <w:sz w:val="24"/>
          <w:highlight w:val="none"/>
          <w:u w:val="single"/>
        </w:rPr>
        <w:softHyphen/>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）的约定，我单位对（</w:t>
      </w:r>
      <w:r>
        <w:rPr>
          <w:rFonts w:hint="eastAsia" w:ascii="宋体" w:hAnsi="宋体" w:eastAsia="宋体" w:cs="宋体"/>
          <w:color w:val="auto"/>
          <w:kern w:val="0"/>
          <w:sz w:val="24"/>
          <w:highlight w:val="none"/>
          <w:u w:val="single"/>
        </w:rPr>
        <w:t xml:space="preserve">  项目名称   </w:t>
      </w:r>
      <w:r>
        <w:rPr>
          <w:rFonts w:hint="eastAsia" w:ascii="宋体" w:hAnsi="宋体" w:eastAsia="宋体" w:cs="宋体"/>
          <w:color w:val="auto"/>
          <w:kern w:val="0"/>
          <w:sz w:val="24"/>
          <w:highlight w:val="none"/>
        </w:rPr>
        <w:t>）       政府采购项目中标（或成交）供应商（</w:t>
      </w:r>
      <w:r>
        <w:rPr>
          <w:rFonts w:hint="eastAsia" w:ascii="宋体" w:hAnsi="宋体" w:eastAsia="宋体" w:cs="宋体"/>
          <w:color w:val="auto"/>
          <w:kern w:val="0"/>
          <w:sz w:val="24"/>
          <w:highlight w:val="none"/>
          <w:u w:val="single"/>
        </w:rPr>
        <w:t xml:space="preserve">            公司名称              </w:t>
      </w:r>
      <w:r>
        <w:rPr>
          <w:rFonts w:hint="eastAsia" w:ascii="宋体" w:hAnsi="宋体" w:eastAsia="宋体" w:cs="宋体"/>
          <w:color w:val="auto"/>
          <w:kern w:val="0"/>
          <w:sz w:val="24"/>
          <w:highlight w:val="none"/>
        </w:rPr>
        <w:t>）       提供的货物（或工程、服务）进行了验收，验收情况如下：</w:t>
      </w:r>
    </w:p>
    <w:tbl>
      <w:tblPr>
        <w:tblStyle w:val="31"/>
        <w:tblW w:w="96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527"/>
        <w:gridCol w:w="2294"/>
        <w:gridCol w:w="946"/>
        <w:gridCol w:w="2495"/>
        <w:gridCol w:w="205"/>
        <w:gridCol w:w="793"/>
        <w:gridCol w:w="1367"/>
      </w:tblGrid>
      <w:tr w14:paraId="6B7166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821" w:type="dxa"/>
            <w:gridSpan w:val="2"/>
            <w:tcBorders>
              <w:top w:val="single" w:color="auto" w:sz="8" w:space="0"/>
              <w:left w:val="single" w:color="auto" w:sz="8" w:space="0"/>
              <w:bottom w:val="single" w:color="auto" w:sz="8" w:space="0"/>
              <w:right w:val="single" w:color="auto" w:sz="8" w:space="0"/>
            </w:tcBorders>
            <w:noWrap w:val="0"/>
            <w:vAlign w:val="center"/>
          </w:tcPr>
          <w:p w14:paraId="6A2CC0B2">
            <w:pPr>
              <w:widowControl/>
              <w:snapToGrid w:val="0"/>
              <w:spacing w:before="100" w:beforeAutospacing="1" w:after="100" w:afterAutospacing="1" w:line="320" w:lineRule="exact"/>
              <w:ind w:left="-3" w:firstLine="4" w:firstLineChars="2"/>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验收方式：</w:t>
            </w:r>
          </w:p>
        </w:tc>
        <w:tc>
          <w:tcPr>
            <w:tcW w:w="5806" w:type="dxa"/>
            <w:gridSpan w:val="5"/>
            <w:tcBorders>
              <w:top w:val="single" w:color="auto" w:sz="8" w:space="0"/>
              <w:left w:val="single" w:color="auto" w:sz="8" w:space="0"/>
              <w:bottom w:val="single" w:color="auto" w:sz="8" w:space="0"/>
              <w:right w:val="single" w:color="auto" w:sz="8" w:space="0"/>
            </w:tcBorders>
            <w:noWrap w:val="0"/>
            <w:vAlign w:val="center"/>
          </w:tcPr>
          <w:p w14:paraId="44ABA30F">
            <w:pPr>
              <w:widowControl/>
              <w:snapToGrid w:val="0"/>
              <w:spacing w:before="100" w:beforeAutospacing="1" w:after="100" w:afterAutospacing="1" w:line="320" w:lineRule="exact"/>
              <w:ind w:left="-3" w:firstLine="480" w:firstLineChars="20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□自行验收         □委托验收</w:t>
            </w:r>
          </w:p>
        </w:tc>
      </w:tr>
      <w:tr w14:paraId="1D1C32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55092D26">
            <w:pPr>
              <w:widowControl/>
              <w:snapToGrid w:val="0"/>
              <w:spacing w:before="100" w:beforeAutospacing="1" w:after="100" w:afterAutospacing="1" w:line="320" w:lineRule="exact"/>
              <w:ind w:firstLine="2" w:firstLineChars="1"/>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2294" w:type="dxa"/>
            <w:tcBorders>
              <w:top w:val="single" w:color="auto" w:sz="8" w:space="0"/>
              <w:left w:val="single" w:color="auto" w:sz="8" w:space="0"/>
              <w:bottom w:val="single" w:color="auto" w:sz="8" w:space="0"/>
              <w:right w:val="single" w:color="auto" w:sz="8" w:space="0"/>
            </w:tcBorders>
            <w:noWrap w:val="0"/>
            <w:vAlign w:val="center"/>
          </w:tcPr>
          <w:p w14:paraId="163BD536">
            <w:pPr>
              <w:widowControl/>
              <w:snapToGrid w:val="0"/>
              <w:spacing w:before="100" w:beforeAutospacing="1" w:after="100" w:afterAutospacing="1" w:line="320" w:lineRule="exact"/>
              <w:ind w:left="-3" w:firstLine="2" w:firstLineChars="1"/>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名  称</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14:paraId="5F5F2576">
            <w:pPr>
              <w:widowControl/>
              <w:snapToGrid w:val="0"/>
              <w:spacing w:before="100" w:beforeAutospacing="1" w:after="100" w:afterAutospacing="1" w:line="320" w:lineRule="exact"/>
              <w:ind w:left="-3" w:firstLine="2" w:firstLineChars="1"/>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货物型号规格、标准及配置等（或服务内容、标准）</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682FE8FB">
            <w:pPr>
              <w:widowControl/>
              <w:snapToGrid w:val="0"/>
              <w:spacing w:before="100" w:beforeAutospacing="1" w:after="100" w:afterAutospacing="1"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数量</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17EB9BBA">
            <w:pPr>
              <w:widowControl/>
              <w:snapToGrid w:val="0"/>
              <w:spacing w:before="100" w:beforeAutospacing="1" w:after="100" w:afterAutospacing="1" w:line="320" w:lineRule="exact"/>
              <w:ind w:left="-3" w:firstLine="2" w:firstLineChars="1"/>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金  额</w:t>
            </w:r>
          </w:p>
        </w:tc>
      </w:tr>
      <w:tr w14:paraId="51159F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2245E3D4">
            <w:pPr>
              <w:widowControl/>
              <w:snapToGrid w:val="0"/>
              <w:spacing w:before="100" w:beforeAutospacing="1" w:after="100" w:afterAutospacing="1" w:line="320" w:lineRule="exact"/>
              <w:ind w:left="-3" w:firstLine="4" w:firstLineChars="2"/>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2294" w:type="dxa"/>
            <w:tcBorders>
              <w:top w:val="single" w:color="auto" w:sz="8" w:space="0"/>
              <w:left w:val="single" w:color="auto" w:sz="8" w:space="0"/>
              <w:bottom w:val="single" w:color="auto" w:sz="8" w:space="0"/>
              <w:right w:val="single" w:color="auto" w:sz="8" w:space="0"/>
            </w:tcBorders>
            <w:noWrap w:val="0"/>
            <w:vAlign w:val="center"/>
          </w:tcPr>
          <w:p w14:paraId="1BEDE2C3">
            <w:pPr>
              <w:widowControl/>
              <w:snapToGrid w:val="0"/>
              <w:spacing w:before="100" w:beforeAutospacing="1" w:after="100" w:afterAutospacing="1" w:line="320" w:lineRule="exact"/>
              <w:ind w:left="-3"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14:paraId="4441D9B2">
            <w:pPr>
              <w:widowControl/>
              <w:snapToGrid w:val="0"/>
              <w:spacing w:before="100" w:beforeAutospacing="1" w:after="100" w:afterAutospacing="1" w:line="320" w:lineRule="exact"/>
              <w:ind w:left="-3"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7304EFF8">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578459B4">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14:paraId="25C7D2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54BAB54A">
            <w:pPr>
              <w:widowControl/>
              <w:snapToGrid w:val="0"/>
              <w:spacing w:before="100" w:beforeAutospacing="1" w:after="100" w:afterAutospacing="1" w:line="320" w:lineRule="exact"/>
              <w:ind w:left="-3"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2294" w:type="dxa"/>
            <w:tcBorders>
              <w:top w:val="single" w:color="auto" w:sz="8" w:space="0"/>
              <w:left w:val="single" w:color="auto" w:sz="8" w:space="0"/>
              <w:bottom w:val="single" w:color="auto" w:sz="8" w:space="0"/>
              <w:right w:val="single" w:color="auto" w:sz="8" w:space="0"/>
            </w:tcBorders>
            <w:noWrap w:val="0"/>
            <w:vAlign w:val="center"/>
          </w:tcPr>
          <w:p w14:paraId="30A70338">
            <w:pPr>
              <w:widowControl/>
              <w:snapToGrid w:val="0"/>
              <w:spacing w:before="100" w:beforeAutospacing="1" w:after="100" w:afterAutospacing="1" w:line="320" w:lineRule="exact"/>
              <w:ind w:left="-3"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14:paraId="0829D18A">
            <w:pPr>
              <w:widowControl/>
              <w:snapToGrid w:val="0"/>
              <w:spacing w:before="100" w:beforeAutospacing="1" w:after="100" w:afterAutospacing="1" w:line="320" w:lineRule="exact"/>
              <w:ind w:left="-3"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6A9EFE36">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6B9B0383">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14:paraId="20A4D0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54089E0E">
            <w:pPr>
              <w:widowControl/>
              <w:snapToGrid w:val="0"/>
              <w:spacing w:before="100" w:beforeAutospacing="1" w:after="100" w:afterAutospacing="1" w:line="320" w:lineRule="exact"/>
              <w:ind w:left="-3"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2294" w:type="dxa"/>
            <w:tcBorders>
              <w:top w:val="single" w:color="auto" w:sz="8" w:space="0"/>
              <w:left w:val="single" w:color="auto" w:sz="8" w:space="0"/>
              <w:bottom w:val="single" w:color="auto" w:sz="8" w:space="0"/>
              <w:right w:val="single" w:color="auto" w:sz="8" w:space="0"/>
            </w:tcBorders>
            <w:noWrap w:val="0"/>
            <w:vAlign w:val="center"/>
          </w:tcPr>
          <w:p w14:paraId="2AAD4B9C">
            <w:pPr>
              <w:widowControl/>
              <w:snapToGrid w:val="0"/>
              <w:spacing w:before="100" w:beforeAutospacing="1" w:after="100" w:afterAutospacing="1" w:line="320" w:lineRule="exact"/>
              <w:ind w:left="-3"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14:paraId="618A0891">
            <w:pPr>
              <w:widowControl/>
              <w:snapToGrid w:val="0"/>
              <w:spacing w:before="100" w:beforeAutospacing="1" w:after="100" w:afterAutospacing="1" w:line="320" w:lineRule="exact"/>
              <w:ind w:left="-3"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4CA06A78">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172B6067">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14:paraId="52D70D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262" w:type="dxa"/>
            <w:gridSpan w:val="4"/>
            <w:tcBorders>
              <w:top w:val="single" w:color="auto" w:sz="8" w:space="0"/>
              <w:left w:val="single" w:color="auto" w:sz="8" w:space="0"/>
              <w:bottom w:val="single" w:color="auto" w:sz="8" w:space="0"/>
              <w:right w:val="single" w:color="auto" w:sz="8" w:space="0"/>
            </w:tcBorders>
            <w:noWrap w:val="0"/>
            <w:vAlign w:val="center"/>
          </w:tcPr>
          <w:p w14:paraId="616FB04F">
            <w:pPr>
              <w:widowControl/>
              <w:snapToGrid w:val="0"/>
              <w:spacing w:before="100" w:beforeAutospacing="1" w:after="100" w:afterAutospacing="1" w:line="320" w:lineRule="exact"/>
              <w:ind w:left="-3" w:firstLine="4" w:firstLineChars="2"/>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        计</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02299820">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761038ED">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14:paraId="2269C5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vAlign w:val="center"/>
          </w:tcPr>
          <w:p w14:paraId="17F1A663">
            <w:pPr>
              <w:widowControl/>
              <w:snapToGrid w:val="0"/>
              <w:spacing w:before="100" w:beforeAutospacing="1" w:after="100" w:afterAutospacing="1" w:line="320" w:lineRule="exact"/>
              <w:ind w:firstLine="2" w:firstLineChars="1"/>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合计大写金额：   仟    佰    拾    万    仟    佰    拾    元</w:t>
            </w:r>
          </w:p>
        </w:tc>
      </w:tr>
      <w:tr w14:paraId="7F5779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52C97594">
            <w:pPr>
              <w:widowControl/>
              <w:snapToGrid w:val="0"/>
              <w:spacing w:before="100" w:beforeAutospacing="1" w:after="100" w:afterAutospacing="1" w:line="320" w:lineRule="exact"/>
              <w:ind w:firstLine="2" w:firstLineChars="1"/>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实际供货日期</w:t>
            </w:r>
          </w:p>
        </w:tc>
        <w:tc>
          <w:tcPr>
            <w:tcW w:w="3240" w:type="dxa"/>
            <w:gridSpan w:val="2"/>
            <w:tcBorders>
              <w:top w:val="single" w:color="auto" w:sz="8" w:space="0"/>
              <w:left w:val="single" w:color="auto" w:sz="8" w:space="0"/>
              <w:bottom w:val="single" w:color="auto" w:sz="8" w:space="0"/>
              <w:right w:val="single" w:color="auto" w:sz="8" w:space="0"/>
            </w:tcBorders>
            <w:noWrap w:val="0"/>
            <w:vAlign w:val="center"/>
          </w:tcPr>
          <w:p w14:paraId="4612D4F8">
            <w:pPr>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p>
        </w:tc>
        <w:tc>
          <w:tcPr>
            <w:tcW w:w="2700" w:type="dxa"/>
            <w:gridSpan w:val="2"/>
            <w:tcBorders>
              <w:top w:val="single" w:color="auto" w:sz="8" w:space="0"/>
              <w:left w:val="single" w:color="auto" w:sz="8" w:space="0"/>
              <w:bottom w:val="single" w:color="auto" w:sz="8" w:space="0"/>
              <w:right w:val="single" w:color="auto" w:sz="8" w:space="0"/>
            </w:tcBorders>
            <w:noWrap w:val="0"/>
            <w:vAlign w:val="center"/>
          </w:tcPr>
          <w:p w14:paraId="65C3BFA0">
            <w:pPr>
              <w:snapToGrid w:val="0"/>
              <w:spacing w:before="100" w:beforeAutospacing="1" w:after="100" w:afterAutospacing="1" w:line="320" w:lineRule="exact"/>
              <w:ind w:firstLine="45" w:firstLineChars="19"/>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合同交货验收日期</w:t>
            </w:r>
          </w:p>
        </w:tc>
        <w:tc>
          <w:tcPr>
            <w:tcW w:w="2160" w:type="dxa"/>
            <w:gridSpan w:val="2"/>
            <w:tcBorders>
              <w:top w:val="single" w:color="auto" w:sz="8" w:space="0"/>
              <w:left w:val="single" w:color="auto" w:sz="8" w:space="0"/>
              <w:bottom w:val="single" w:color="auto" w:sz="8" w:space="0"/>
              <w:right w:val="single" w:color="auto" w:sz="8" w:space="0"/>
            </w:tcBorders>
            <w:noWrap w:val="0"/>
            <w:vAlign w:val="center"/>
          </w:tcPr>
          <w:p w14:paraId="163CFD47">
            <w:pPr>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p>
        </w:tc>
      </w:tr>
      <w:tr w14:paraId="62D6FA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4"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1429DA06">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p>
        </w:tc>
        <w:tc>
          <w:tcPr>
            <w:tcW w:w="3240" w:type="dxa"/>
            <w:gridSpan w:val="2"/>
            <w:tcBorders>
              <w:top w:val="single" w:color="auto" w:sz="8" w:space="0"/>
              <w:left w:val="single" w:color="auto" w:sz="8" w:space="0"/>
              <w:bottom w:val="single" w:color="auto" w:sz="8" w:space="0"/>
              <w:right w:val="single" w:color="auto" w:sz="8" w:space="0"/>
            </w:tcBorders>
            <w:noWrap w:val="0"/>
            <w:vAlign w:val="center"/>
          </w:tcPr>
          <w:p w14:paraId="2384927A">
            <w:pPr>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p>
        </w:tc>
        <w:tc>
          <w:tcPr>
            <w:tcW w:w="2700" w:type="dxa"/>
            <w:gridSpan w:val="2"/>
            <w:tcBorders>
              <w:top w:val="single" w:color="auto" w:sz="8" w:space="0"/>
              <w:left w:val="single" w:color="auto" w:sz="8" w:space="0"/>
              <w:bottom w:val="single" w:color="auto" w:sz="8" w:space="0"/>
              <w:right w:val="single" w:color="auto" w:sz="8" w:space="0"/>
            </w:tcBorders>
            <w:noWrap w:val="0"/>
            <w:vAlign w:val="center"/>
          </w:tcPr>
          <w:p w14:paraId="695150EB">
            <w:pPr>
              <w:snapToGrid w:val="0"/>
              <w:spacing w:before="100" w:beforeAutospacing="1" w:after="100" w:afterAutospacing="1" w:line="320" w:lineRule="exact"/>
              <w:ind w:left="590" w:firstLine="480" w:firstLineChars="200"/>
              <w:jc w:val="left"/>
              <w:rPr>
                <w:rFonts w:hint="eastAsia" w:ascii="宋体" w:hAnsi="宋体" w:eastAsia="宋体" w:cs="宋体"/>
                <w:color w:val="auto"/>
                <w:kern w:val="0"/>
                <w:sz w:val="24"/>
                <w:highlight w:val="none"/>
              </w:rPr>
            </w:pPr>
          </w:p>
        </w:tc>
        <w:tc>
          <w:tcPr>
            <w:tcW w:w="2160" w:type="dxa"/>
            <w:gridSpan w:val="2"/>
            <w:tcBorders>
              <w:top w:val="single" w:color="auto" w:sz="8" w:space="0"/>
              <w:left w:val="single" w:color="auto" w:sz="8" w:space="0"/>
              <w:bottom w:val="single" w:color="auto" w:sz="8" w:space="0"/>
              <w:right w:val="single" w:color="auto" w:sz="8" w:space="0"/>
            </w:tcBorders>
            <w:noWrap w:val="0"/>
            <w:vAlign w:val="center"/>
          </w:tcPr>
          <w:p w14:paraId="3CCE4DFF">
            <w:pPr>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p>
        </w:tc>
      </w:tr>
      <w:tr w14:paraId="04F704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F839ACA">
            <w:pPr>
              <w:widowControl/>
              <w:snapToGrid w:val="0"/>
              <w:spacing w:before="100" w:beforeAutospacing="1" w:after="100" w:afterAutospacing="1"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验收具体内容</w:t>
            </w:r>
          </w:p>
        </w:tc>
        <w:tc>
          <w:tcPr>
            <w:tcW w:w="8100" w:type="dxa"/>
            <w:gridSpan w:val="6"/>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6CAFDC2">
            <w:pPr>
              <w:widowControl/>
              <w:snapToGrid w:val="0"/>
              <w:spacing w:before="100" w:beforeAutospacing="1" w:after="100" w:afterAutospacing="1"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（应</w:t>
            </w:r>
            <w:r>
              <w:rPr>
                <w:rFonts w:hint="eastAsia" w:ascii="宋体" w:hAnsi="宋体" w:eastAsia="宋体" w:cs="宋体"/>
                <w:color w:val="auto"/>
                <w:kern w:val="0"/>
                <w:sz w:val="24"/>
                <w:highlight w:val="none"/>
              </w:rPr>
              <w:t>按采购合同、采购文件、投标响应文件及验收方案等进行验收；并核对</w:t>
            </w:r>
            <w:r>
              <w:rPr>
                <w:rFonts w:hint="eastAsia" w:ascii="宋体" w:hAnsi="宋体" w:eastAsia="宋体" w:cs="宋体"/>
                <w:color w:val="auto"/>
                <w:sz w:val="24"/>
                <w:highlight w:val="none"/>
              </w:rPr>
              <w:t>中标或者成交供应商在安装调试等方面是否违反合同约定或服务规范要求、提供的质量保证证明材料是否齐全、应有的配件及附件是否达到合同约定等</w:t>
            </w:r>
            <w:r>
              <w:rPr>
                <w:rFonts w:hint="eastAsia" w:ascii="宋体" w:hAnsi="宋体" w:eastAsia="宋体" w:cs="宋体"/>
                <w:color w:val="auto"/>
                <w:kern w:val="0"/>
                <w:sz w:val="24"/>
                <w:highlight w:val="none"/>
              </w:rPr>
              <w:t>。可附件)</w:t>
            </w:r>
          </w:p>
        </w:tc>
      </w:tr>
      <w:tr w14:paraId="12B43B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81" w:hRule="atLeast"/>
          <w:jc w:val="center"/>
        </w:trPr>
        <w:tc>
          <w:tcPr>
            <w:tcW w:w="1527"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DF30881">
            <w:pPr>
              <w:widowControl/>
              <w:spacing w:before="100" w:beforeAutospacing="1" w:after="100" w:afterAutospacing="1"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验收小组意见</w:t>
            </w:r>
          </w:p>
        </w:tc>
        <w:tc>
          <w:tcPr>
            <w:tcW w:w="8100" w:type="dxa"/>
            <w:gridSpan w:val="6"/>
            <w:tcBorders>
              <w:top w:val="single" w:color="auto" w:sz="8" w:space="0"/>
              <w:left w:val="single" w:color="auto" w:sz="8" w:space="0"/>
              <w:bottom w:val="single" w:color="auto" w:sz="4" w:space="0"/>
              <w:right w:val="single" w:color="auto" w:sz="8" w:space="0"/>
            </w:tcBorders>
            <w:noWrap w:val="0"/>
            <w:vAlign w:val="center"/>
          </w:tcPr>
          <w:p w14:paraId="48253B02">
            <w:pPr>
              <w:widowControl/>
              <w:spacing w:before="100" w:beforeAutospacing="1" w:after="100" w:afterAutospacing="1"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验收结论性意见：</w:t>
            </w:r>
          </w:p>
          <w:p w14:paraId="4E071871">
            <w:pPr>
              <w:widowControl/>
              <w:spacing w:before="100" w:beforeAutospacing="1" w:after="100" w:afterAutospacing="1" w:line="320" w:lineRule="exact"/>
              <w:jc w:val="left"/>
              <w:rPr>
                <w:rFonts w:hint="eastAsia" w:ascii="宋体" w:hAnsi="宋体" w:eastAsia="宋体" w:cs="宋体"/>
                <w:color w:val="auto"/>
                <w:kern w:val="0"/>
                <w:sz w:val="24"/>
                <w:highlight w:val="none"/>
              </w:rPr>
            </w:pPr>
          </w:p>
        </w:tc>
      </w:tr>
      <w:tr w14:paraId="5592CF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7"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4037D27B">
            <w:pPr>
              <w:widowControl/>
              <w:spacing w:line="320" w:lineRule="exact"/>
              <w:jc w:val="left"/>
              <w:rPr>
                <w:rFonts w:hint="eastAsia" w:ascii="宋体" w:hAnsi="宋体" w:eastAsia="宋体" w:cs="宋体"/>
                <w:color w:val="auto"/>
                <w:kern w:val="0"/>
                <w:sz w:val="24"/>
                <w:highlight w:val="none"/>
              </w:rPr>
            </w:pPr>
          </w:p>
        </w:tc>
        <w:tc>
          <w:tcPr>
            <w:tcW w:w="8100" w:type="dxa"/>
            <w:gridSpan w:val="6"/>
            <w:tcBorders>
              <w:top w:val="single" w:color="auto" w:sz="4" w:space="0"/>
              <w:left w:val="single" w:color="auto" w:sz="8" w:space="0"/>
              <w:bottom w:val="single" w:color="auto" w:sz="8" w:space="0"/>
              <w:right w:val="single" w:color="auto" w:sz="8" w:space="0"/>
            </w:tcBorders>
            <w:noWrap w:val="0"/>
            <w:vAlign w:val="center"/>
          </w:tcPr>
          <w:p w14:paraId="5431785C">
            <w:pPr>
              <w:spacing w:before="100" w:beforeAutospacing="1" w:after="100" w:afterAutospacing="1" w:line="320" w:lineRule="exact"/>
              <w:ind w:firstLine="96" w:firstLineChars="4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有异议的意见和说明理由：</w:t>
            </w:r>
          </w:p>
          <w:p w14:paraId="7F98140F">
            <w:pPr>
              <w:spacing w:before="100" w:beforeAutospacing="1" w:after="100" w:afterAutospacing="1"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签字：</w:t>
            </w:r>
          </w:p>
        </w:tc>
      </w:tr>
      <w:tr w14:paraId="716B4F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15D9BDD">
            <w:pPr>
              <w:widowControl/>
              <w:spacing w:before="100" w:beforeAutospacing="1" w:after="100" w:afterAutospacing="1"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验收小组成员签字：</w:t>
            </w:r>
          </w:p>
        </w:tc>
      </w:tr>
      <w:tr w14:paraId="3FB77D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8BF39C3">
            <w:pPr>
              <w:widowControl/>
              <w:spacing w:before="100" w:beforeAutospacing="1" w:after="100" w:afterAutospacing="1"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监督人员或其他相关人员签字：</w:t>
            </w:r>
          </w:p>
          <w:p w14:paraId="207571A4">
            <w:pPr>
              <w:widowControl/>
              <w:spacing w:before="100" w:beforeAutospacing="1" w:after="100" w:afterAutospacing="1" w:line="320" w:lineRule="exact"/>
              <w:ind w:firstLine="74" w:firstLineChars="31"/>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或受邀机构的意见（盖章）：</w:t>
            </w:r>
          </w:p>
        </w:tc>
      </w:tr>
      <w:tr w14:paraId="591C9F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4767" w:type="dxa"/>
            <w:gridSpan w:val="3"/>
            <w:tcBorders>
              <w:top w:val="single" w:color="auto" w:sz="8" w:space="0"/>
              <w:left w:val="single" w:color="auto" w:sz="8" w:space="0"/>
              <w:bottom w:val="single" w:color="auto" w:sz="8" w:space="0"/>
              <w:right w:val="nil"/>
            </w:tcBorders>
            <w:noWrap w:val="0"/>
            <w:tcMar>
              <w:top w:w="0" w:type="dxa"/>
              <w:left w:w="108" w:type="dxa"/>
              <w:bottom w:w="0" w:type="dxa"/>
              <w:right w:w="108" w:type="dxa"/>
            </w:tcMar>
            <w:vAlign w:val="center"/>
          </w:tcPr>
          <w:p w14:paraId="3C5BCECE">
            <w:pPr>
              <w:widowControl/>
              <w:spacing w:before="100" w:beforeAutospacing="1" w:after="100" w:afterAutospacing="1" w:line="320" w:lineRule="exact"/>
              <w:ind w:firstLine="74" w:firstLineChars="31"/>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中标或者成交供应商负责人签字或盖章：</w:t>
            </w:r>
          </w:p>
          <w:p w14:paraId="00C4AF93">
            <w:pPr>
              <w:widowControl/>
              <w:spacing w:before="100" w:beforeAutospacing="1" w:after="100" w:afterAutospacing="1"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联系电话：         年 月 日</w:t>
            </w:r>
          </w:p>
        </w:tc>
        <w:tc>
          <w:tcPr>
            <w:tcW w:w="4860" w:type="dxa"/>
            <w:gridSpan w:val="4"/>
            <w:tcBorders>
              <w:top w:val="single" w:color="auto" w:sz="8" w:space="0"/>
              <w:left w:val="nil"/>
              <w:bottom w:val="single" w:color="auto" w:sz="8" w:space="0"/>
              <w:right w:val="single" w:color="auto" w:sz="8" w:space="0"/>
            </w:tcBorders>
            <w:noWrap w:val="0"/>
            <w:vAlign w:val="center"/>
          </w:tcPr>
          <w:p w14:paraId="4286D4F8">
            <w:pPr>
              <w:widowControl/>
              <w:spacing w:before="100" w:beforeAutospacing="1" w:after="100" w:afterAutospacing="1"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采购人或受托机构的意见（盖章）：</w:t>
            </w:r>
          </w:p>
          <w:p w14:paraId="7907A208">
            <w:pPr>
              <w:widowControl/>
              <w:spacing w:before="100" w:beforeAutospacing="1" w:after="100" w:afterAutospacing="1"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联系电话：                 年   月   日</w:t>
            </w:r>
          </w:p>
        </w:tc>
      </w:tr>
    </w:tbl>
    <w:p w14:paraId="3A1601F1">
      <w:pPr>
        <w:snapToGrid w:val="0"/>
        <w:spacing w:before="50" w:after="165" w:afterLines="50" w:line="360" w:lineRule="auto"/>
        <w:ind w:firstLine="480" w:firstLineChars="200"/>
        <w:jc w:val="left"/>
        <w:rPr>
          <w:rFonts w:hint="eastAsia" w:ascii="宋体" w:hAnsi="宋体" w:eastAsia="宋体" w:cs="宋体"/>
          <w:color w:val="auto"/>
          <w:sz w:val="24"/>
          <w:highlight w:val="none"/>
        </w:rPr>
      </w:pPr>
    </w:p>
    <w:p w14:paraId="3554A52B">
      <w:pPr>
        <w:rPr>
          <w:rFonts w:hint="eastAsia" w:ascii="宋体" w:hAnsi="宋体" w:eastAsia="宋体" w:cs="宋体"/>
          <w:color w:val="auto"/>
          <w:highlight w:val="none"/>
        </w:rPr>
      </w:pPr>
    </w:p>
    <w:p w14:paraId="3462C71B">
      <w:pPr>
        <w:rPr>
          <w:rFonts w:hint="eastAsia" w:ascii="宋体" w:hAnsi="宋体" w:eastAsia="宋体" w:cs="宋体"/>
          <w:color w:val="auto"/>
          <w:highlight w:val="none"/>
        </w:rPr>
      </w:pPr>
    </w:p>
    <w:sectPr>
      <w:footerReference r:id="rId12" w:type="first"/>
      <w:footerReference r:id="rId11" w:type="default"/>
      <w:pgSz w:w="11910" w:h="16840"/>
      <w:pgMar w:top="1134" w:right="1134" w:bottom="1134" w:left="1134" w:header="850" w:footer="720" w:gutter="0"/>
      <w:pgNumType w:fmt="decimal"/>
      <w:cols w:space="720" w:num="1"/>
      <w:rtlGutter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DCB9A08-7124-4D90-B30F-A85F92049F0B}"/>
  </w:font>
  <w:font w:name="黑体">
    <w:panose1 w:val="02010609060101010101"/>
    <w:charset w:val="86"/>
    <w:family w:val="auto"/>
    <w:pitch w:val="default"/>
    <w:sig w:usb0="800002BF" w:usb1="38CF7CFA" w:usb2="00000016" w:usb3="00000000" w:csb0="00040001" w:csb1="00000000"/>
    <w:embedRegular r:id="rId2" w:fontKey="{5ECDDE1D-D4CC-4E20-A6BD-D8C22145135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D7135D52-030E-4EE1-9BA4-A2426ECE6CD7}"/>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embedRegular r:id="rId4" w:fontKey="{F62C877D-57D5-4D67-8057-834DA8C3D4D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911A5">
    <w:pPr>
      <w:pStyle w:val="20"/>
      <w:tabs>
        <w:tab w:val="center" w:pos="4439"/>
        <w:tab w:val="clear" w:pos="4153"/>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72757">
    <w:pPr>
      <w:pStyle w:val="20"/>
      <w:tabs>
        <w:tab w:val="center" w:pos="443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53035"/>
              <wp:effectExtent l="0" t="0" r="0" b="0"/>
              <wp:wrapNone/>
              <wp:docPr id="3" name="文本框 5124"/>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ffectLst/>
                    </wps:spPr>
                    <wps:txbx>
                      <w:txbxContent>
                        <w:p w14:paraId="206E7B2E"/>
                      </w:txbxContent>
                    </wps:txbx>
                    <wps:bodyPr rot="0" vert="horz" wrap="none" lIns="0" tIns="0" rIns="0" bIns="0" anchor="t" anchorCtr="0" upright="1">
                      <a:spAutoFit/>
                    </wps:bodyPr>
                  </wps:wsp>
                </a:graphicData>
              </a:graphic>
            </wp:anchor>
          </w:drawing>
        </mc:Choice>
        <mc:Fallback>
          <w:pict>
            <v:shape id="文本框 5124" o:spid="_x0000_s1026" o:spt="202" type="#_x0000_t202" style="position:absolute;left:0pt;margin-top:0pt;height:12.05pt;width:9.05pt;mso-position-horizontal:center;mso-position-horizontal-relative:margin;mso-wrap-style:none;z-index:251660288;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kFT5rQAAAAAwEAAA8AAAAAAAAAAQAgAAAAIgAA&#10;AGRycy9kb3ducmV2LnhtbFBLAQIUABQAAAAIAIdO4kDgjSxSEAIAABMEAAAOAAAAAAAAAAEAIAAA&#10;AB8BAABkcnMvZTJvRG9jLnhtbFBLBQYAAAAABgAGAFkBAAChBQAAAAA=&#10;">
              <v:fill on="f" focussize="0,0"/>
              <v:stroke on="f"/>
              <v:imagedata o:title=""/>
              <o:lock v:ext="edit" aspectratio="f"/>
              <v:textbox inset="0mm,0mm,0mm,0mm" style="mso-fit-shape-to-text:t;">
                <w:txbxContent>
                  <w:p w14:paraId="206E7B2E"/>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7CA54">
    <w:pPr>
      <w:pStyle w:val="2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460B13">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t2MXssBAACcAwAADgAAAGRycy9lMm9Eb2MueG1srVPNjtMwEL4j8Q6W&#10;79Rp0aI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aHEcYsDv3z/dvnx6/LzK1lW&#10;L2+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bdjF7LAQAAnAMAAA4AAAAAAAAAAQAgAAAAHgEAAGRycy9lMm9E&#10;b2MueG1sUEsFBgAAAAAGAAYAWQEAAFsFAAAAAA==&#10;">
              <v:fill on="f" focussize="0,0"/>
              <v:stroke on="f"/>
              <v:imagedata o:title=""/>
              <o:lock v:ext="edit" aspectratio="f"/>
              <v:textbox inset="0mm,0mm,0mm,0mm" style="mso-fit-shape-to-text:t;">
                <w:txbxContent>
                  <w:p w14:paraId="2C460B13">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54463">
    <w:pPr>
      <w:pStyle w:val="2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8B6740">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ZFp9E4QEAAMEDAAAOAAAA&#10;AAAAAAEAIAAAAB4BAABkcnMvZTJvRG9jLnhtbFBLBQYAAAAABgAGAFkBAABxBQAAAAA=&#10;">
              <v:fill on="f" focussize="0,0"/>
              <v:stroke on="f"/>
              <v:imagedata o:title=""/>
              <o:lock v:ext="edit" aspectratio="f"/>
              <v:textbox inset="0mm,0mm,0mm,0mm" style="mso-fit-shape-to-text:t;">
                <w:txbxContent>
                  <w:p w14:paraId="5D8B6740">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3A066">
    <w:pPr>
      <w:pStyle w:val="2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A28F9B">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9vY+24QEAAMEDAAAOAAAA&#10;AAAAAAEAIAAAAB4BAABkcnMvZTJvRG9jLnhtbFBLBQYAAAAABgAGAFkBAABxBQAAAAA=&#10;">
              <v:fill on="f" focussize="0,0"/>
              <v:stroke on="f"/>
              <v:imagedata o:title=""/>
              <o:lock v:ext="edit" aspectratio="f"/>
              <v:textbox inset="0mm,0mm,0mm,0mm" style="mso-fit-shape-to-text:t;">
                <w:txbxContent>
                  <w:p w14:paraId="71A28F9B">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71</w:t>
                    </w:r>
                    <w:r>
                      <w:rPr>
                        <w:rFonts w:hint="eastAsia"/>
                        <w:lang w:eastAsia="zh-CN"/>
                      </w:rPr>
                      <w:fldChar w:fldCharType="end"/>
                    </w:r>
                  </w:p>
                </w:txbxContent>
              </v:textbox>
            </v:shape>
          </w:pict>
        </mc:Fallback>
      </mc:AlternateContent>
    </w:r>
  </w:p>
  <w:p w14:paraId="45C47E2D">
    <w:pPr>
      <w:pStyle w:val="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8E382">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F5E843">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文本框 614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xnUqfLAQAAnAMAAA4AAAAAAAAAAQAgAAAAHgEAAGRycy9lMm9E&#10;b2MueG1sUEsFBgAAAAAGAAYAWQEAAFsFAAAAAA==&#10;">
              <v:fill on="f" focussize="0,0"/>
              <v:stroke on="f"/>
              <v:imagedata o:title=""/>
              <o:lock v:ext="edit" aspectratio="f"/>
              <v:textbox inset="0mm,0mm,0mm,0mm" style="mso-fit-shape-to-text:t;">
                <w:txbxContent>
                  <w:p w14:paraId="4FF5E843">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47F51">
    <w:pPr>
      <w:pStyle w:val="21"/>
      <w:tabs>
        <w:tab w:val="center" w:pos="0"/>
        <w:tab w:val="clear" w:pos="4153"/>
      </w:tabs>
    </w:pPr>
    <w:r>
      <w:rPr>
        <w:rFonts w:hint="eastAsia"/>
        <w:lang w:eastAsia="zh-CN"/>
      </w:rPr>
      <w:t>泵站、堤防护坡清理维护工程（2025年）</w:t>
    </w:r>
    <w:r>
      <w:rPr>
        <w:rFonts w:hint="eastAsia"/>
      </w:rPr>
      <w:t>（</w:t>
    </w:r>
    <w:r>
      <w:rPr>
        <w:rFonts w:hint="eastAsia"/>
        <w:lang w:eastAsia="zh-CN"/>
      </w:rPr>
      <w:t>项目编号：LZZC2025-C2-990162-GXJZ</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B68ED">
    <w:pPr>
      <w:pStyle w:val="21"/>
      <w:pBdr>
        <w:bottom w:val="none" w:color="auto" w:sz="0" w:space="1"/>
      </w:pBdr>
      <w:tabs>
        <w:tab w:val="center" w:pos="0"/>
        <w:tab w:val="clear" w:pos="4153"/>
      </w:tabs>
      <w:jc w:val="center"/>
      <w:rPr>
        <w:rFonts w:hint="eastAsia"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658C2">
    <w:pPr>
      <w:pStyle w:val="21"/>
      <w:tabs>
        <w:tab w:val="center" w:pos="0"/>
        <w:tab w:val="clear" w:pos="4153"/>
      </w:tabs>
    </w:pPr>
    <w:r>
      <w:rPr>
        <w:rFonts w:hint="eastAsia" w:ascii="宋体" w:hAnsi="宋体"/>
        <w:lang w:eastAsia="zh-CN"/>
      </w:rPr>
      <w:t>泵站、堤防护坡清理维护工程（2025年）</w:t>
    </w:r>
    <w:r>
      <w:rPr>
        <w:rFonts w:hint="eastAsia" w:ascii="宋体" w:hAnsi="宋体"/>
      </w:rPr>
      <w:t>（项目编号：</w:t>
    </w:r>
    <w:r>
      <w:rPr>
        <w:rFonts w:hint="eastAsia" w:ascii="宋体" w:hAnsi="宋体"/>
        <w:lang w:eastAsia="zh-CN"/>
      </w:rPr>
      <w:t>LZZC2025-C2-990162-GXJZ</w:t>
    </w:r>
    <w:r>
      <w:rPr>
        <w:rFonts w:hint="eastAsia" w:ascii="宋体" w:hAnsi="宋体"/>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C908E">
    <w:pPr>
      <w:pStyle w:val="21"/>
      <w:tabs>
        <w:tab w:val="center" w:pos="0"/>
        <w:tab w:val="clear" w:pos="4153"/>
      </w:tabs>
    </w:pPr>
    <w:r>
      <w:rPr>
        <w:rFonts w:hint="eastAsia" w:ascii="宋体" w:hAnsi="宋体"/>
        <w:lang w:eastAsia="zh-CN"/>
      </w:rPr>
      <w:t>泵站、堤防护坡清理维护工程（2025年）</w:t>
    </w:r>
    <w:r>
      <w:rPr>
        <w:rFonts w:hint="eastAsia" w:ascii="宋体" w:hAnsi="宋体"/>
      </w:rPr>
      <w:t>（</w:t>
    </w:r>
    <w:r>
      <w:rPr>
        <w:rFonts w:hint="eastAsia" w:ascii="宋体" w:hAnsi="宋体"/>
        <w:lang w:eastAsia="zh-CN"/>
      </w:rPr>
      <w:t>项目编号：LZZC2025-C2-990162-GXJZ</w:t>
    </w:r>
    <w:r>
      <w:rPr>
        <w:rFonts w:hint="eastAsia" w:ascii="宋体" w:hAnsi="宋体"/>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B72B42"/>
    <w:multiLevelType w:val="singleLevel"/>
    <w:tmpl w:val="E4B72B42"/>
    <w:lvl w:ilvl="0" w:tentative="0">
      <w:start w:val="5"/>
      <w:numFmt w:val="chineseCounting"/>
      <w:suff w:val="space"/>
      <w:lvlText w:val="第%1章"/>
      <w:lvlJc w:val="left"/>
      <w:rPr>
        <w:rFonts w:hint="eastAsia"/>
      </w:rPr>
    </w:lvl>
  </w:abstractNum>
  <w:abstractNum w:abstractNumId="1">
    <w:nsid w:val="00000003"/>
    <w:multiLevelType w:val="multilevel"/>
    <w:tmpl w:val="00000003"/>
    <w:lvl w:ilvl="0" w:tentative="0">
      <w:start w:val="1"/>
      <w:numFmt w:val="decimal"/>
      <w:lvlText w:val="（%1）"/>
      <w:lvlJc w:val="left"/>
      <w:pPr>
        <w:tabs>
          <w:tab w:val="left" w:pos="1140"/>
        </w:tabs>
        <w:ind w:left="114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xKhVy+ZV4gt87fY2mNwb6griXok=" w:salt="riO0wnS/75ez3+DG68S5hQ=="/>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hOGZkYWE3YzIzZWUyNDFiZWViZTAzNDE4MWIxNDMifQ=="/>
  </w:docVars>
  <w:rsids>
    <w:rsidRoot w:val="00172A27"/>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29E0"/>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FD"/>
    <w:rsid w:val="00070949"/>
    <w:rsid w:val="000711E4"/>
    <w:rsid w:val="000724D9"/>
    <w:rsid w:val="00072AED"/>
    <w:rsid w:val="00073F47"/>
    <w:rsid w:val="0007492F"/>
    <w:rsid w:val="00074ED8"/>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4321"/>
    <w:rsid w:val="000B6A6B"/>
    <w:rsid w:val="000B6C95"/>
    <w:rsid w:val="000B79FC"/>
    <w:rsid w:val="000B7BD1"/>
    <w:rsid w:val="000C02B1"/>
    <w:rsid w:val="000C1679"/>
    <w:rsid w:val="000C1EE3"/>
    <w:rsid w:val="000C3AE7"/>
    <w:rsid w:val="000C3CC9"/>
    <w:rsid w:val="000C6DE4"/>
    <w:rsid w:val="000C7202"/>
    <w:rsid w:val="000D0A89"/>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3C8"/>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4F57"/>
    <w:rsid w:val="00185544"/>
    <w:rsid w:val="00185617"/>
    <w:rsid w:val="00186823"/>
    <w:rsid w:val="00186FE1"/>
    <w:rsid w:val="00187A14"/>
    <w:rsid w:val="0019171E"/>
    <w:rsid w:val="00192368"/>
    <w:rsid w:val="001923A0"/>
    <w:rsid w:val="001928B1"/>
    <w:rsid w:val="00193537"/>
    <w:rsid w:val="00193846"/>
    <w:rsid w:val="00195424"/>
    <w:rsid w:val="001955FF"/>
    <w:rsid w:val="00196D6E"/>
    <w:rsid w:val="00197EDD"/>
    <w:rsid w:val="001A02B3"/>
    <w:rsid w:val="001A04B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CD7"/>
    <w:rsid w:val="001B7ECC"/>
    <w:rsid w:val="001C025B"/>
    <w:rsid w:val="001C115F"/>
    <w:rsid w:val="001C1EAB"/>
    <w:rsid w:val="001C25A7"/>
    <w:rsid w:val="001C318C"/>
    <w:rsid w:val="001C35C4"/>
    <w:rsid w:val="001C4287"/>
    <w:rsid w:val="001C4479"/>
    <w:rsid w:val="001C5190"/>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B63"/>
    <w:rsid w:val="001E522E"/>
    <w:rsid w:val="001E5A94"/>
    <w:rsid w:val="001E5F6F"/>
    <w:rsid w:val="001F0373"/>
    <w:rsid w:val="001F2A2E"/>
    <w:rsid w:val="001F3356"/>
    <w:rsid w:val="001F3C63"/>
    <w:rsid w:val="001F4460"/>
    <w:rsid w:val="001F53EE"/>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14C7"/>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29E4"/>
    <w:rsid w:val="002533CD"/>
    <w:rsid w:val="002535EA"/>
    <w:rsid w:val="00254EAB"/>
    <w:rsid w:val="002557AF"/>
    <w:rsid w:val="0025589C"/>
    <w:rsid w:val="00255B62"/>
    <w:rsid w:val="002566B1"/>
    <w:rsid w:val="002575E3"/>
    <w:rsid w:val="00257A74"/>
    <w:rsid w:val="002603C1"/>
    <w:rsid w:val="002609A1"/>
    <w:rsid w:val="002612B1"/>
    <w:rsid w:val="00266165"/>
    <w:rsid w:val="002662FE"/>
    <w:rsid w:val="00266F2C"/>
    <w:rsid w:val="0027125E"/>
    <w:rsid w:val="00271767"/>
    <w:rsid w:val="00272293"/>
    <w:rsid w:val="002723C8"/>
    <w:rsid w:val="00273C2A"/>
    <w:rsid w:val="00273CBE"/>
    <w:rsid w:val="002746B1"/>
    <w:rsid w:val="00274BAD"/>
    <w:rsid w:val="00282D56"/>
    <w:rsid w:val="002835B0"/>
    <w:rsid w:val="00283C74"/>
    <w:rsid w:val="0028407E"/>
    <w:rsid w:val="0028410F"/>
    <w:rsid w:val="00284572"/>
    <w:rsid w:val="00285221"/>
    <w:rsid w:val="00286FB5"/>
    <w:rsid w:val="00287763"/>
    <w:rsid w:val="00287FCB"/>
    <w:rsid w:val="00290606"/>
    <w:rsid w:val="002909B2"/>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58D"/>
    <w:rsid w:val="002B0C16"/>
    <w:rsid w:val="002B2AC5"/>
    <w:rsid w:val="002B3528"/>
    <w:rsid w:val="002B3539"/>
    <w:rsid w:val="002B4532"/>
    <w:rsid w:val="002B5042"/>
    <w:rsid w:val="002B69CC"/>
    <w:rsid w:val="002B6D71"/>
    <w:rsid w:val="002C0C1C"/>
    <w:rsid w:val="002C54C2"/>
    <w:rsid w:val="002C5D34"/>
    <w:rsid w:val="002C5D7F"/>
    <w:rsid w:val="002C60BB"/>
    <w:rsid w:val="002C661A"/>
    <w:rsid w:val="002D0D6F"/>
    <w:rsid w:val="002D25FC"/>
    <w:rsid w:val="002D4AC6"/>
    <w:rsid w:val="002D5BF5"/>
    <w:rsid w:val="002D5E95"/>
    <w:rsid w:val="002D5EE8"/>
    <w:rsid w:val="002D7360"/>
    <w:rsid w:val="002D7648"/>
    <w:rsid w:val="002D780A"/>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F99"/>
    <w:rsid w:val="0034575A"/>
    <w:rsid w:val="00345F57"/>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316"/>
    <w:rsid w:val="00370DC7"/>
    <w:rsid w:val="00371CBD"/>
    <w:rsid w:val="00371F20"/>
    <w:rsid w:val="00371F52"/>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5E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ADB"/>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4AB7"/>
    <w:rsid w:val="00465DE5"/>
    <w:rsid w:val="00467EF8"/>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797C"/>
    <w:rsid w:val="004A00E1"/>
    <w:rsid w:val="004A0943"/>
    <w:rsid w:val="004A1405"/>
    <w:rsid w:val="004A1FC6"/>
    <w:rsid w:val="004A2E5F"/>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7DF"/>
    <w:rsid w:val="004B5976"/>
    <w:rsid w:val="004B7137"/>
    <w:rsid w:val="004B722E"/>
    <w:rsid w:val="004B72E8"/>
    <w:rsid w:val="004C01A5"/>
    <w:rsid w:val="004C0412"/>
    <w:rsid w:val="004C114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25D"/>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5450"/>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6D5"/>
    <w:rsid w:val="00570757"/>
    <w:rsid w:val="00573733"/>
    <w:rsid w:val="00573F8B"/>
    <w:rsid w:val="00574554"/>
    <w:rsid w:val="00574E06"/>
    <w:rsid w:val="005751BB"/>
    <w:rsid w:val="00576089"/>
    <w:rsid w:val="005764B1"/>
    <w:rsid w:val="00576852"/>
    <w:rsid w:val="00576D06"/>
    <w:rsid w:val="00577287"/>
    <w:rsid w:val="005779E4"/>
    <w:rsid w:val="00577F9F"/>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52B"/>
    <w:rsid w:val="005A2A8F"/>
    <w:rsid w:val="005A3204"/>
    <w:rsid w:val="005A3341"/>
    <w:rsid w:val="005A3C3D"/>
    <w:rsid w:val="005A46EC"/>
    <w:rsid w:val="005A5EAE"/>
    <w:rsid w:val="005A6407"/>
    <w:rsid w:val="005A726C"/>
    <w:rsid w:val="005B07EC"/>
    <w:rsid w:val="005B2B11"/>
    <w:rsid w:val="005B32A4"/>
    <w:rsid w:val="005B3371"/>
    <w:rsid w:val="005B338D"/>
    <w:rsid w:val="005B36D7"/>
    <w:rsid w:val="005B3BAF"/>
    <w:rsid w:val="005B4DA3"/>
    <w:rsid w:val="005B5BEE"/>
    <w:rsid w:val="005B77D2"/>
    <w:rsid w:val="005C019B"/>
    <w:rsid w:val="005C08D0"/>
    <w:rsid w:val="005C1AED"/>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6B59"/>
    <w:rsid w:val="005D784B"/>
    <w:rsid w:val="005E03E4"/>
    <w:rsid w:val="005E0454"/>
    <w:rsid w:val="005E05F6"/>
    <w:rsid w:val="005E2442"/>
    <w:rsid w:val="005E3111"/>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83"/>
    <w:rsid w:val="0060058E"/>
    <w:rsid w:val="00601F77"/>
    <w:rsid w:val="00602A3C"/>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34367"/>
    <w:rsid w:val="00640082"/>
    <w:rsid w:val="00640291"/>
    <w:rsid w:val="00640EFE"/>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43B"/>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70BC"/>
    <w:rsid w:val="006F734B"/>
    <w:rsid w:val="006F7E7C"/>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27F7"/>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77CC"/>
    <w:rsid w:val="00777B32"/>
    <w:rsid w:val="0078051E"/>
    <w:rsid w:val="00781089"/>
    <w:rsid w:val="007838F3"/>
    <w:rsid w:val="007856FE"/>
    <w:rsid w:val="00785F46"/>
    <w:rsid w:val="007865F4"/>
    <w:rsid w:val="00786D5C"/>
    <w:rsid w:val="00786E96"/>
    <w:rsid w:val="00787DFF"/>
    <w:rsid w:val="00787F93"/>
    <w:rsid w:val="00791E6D"/>
    <w:rsid w:val="00791EB5"/>
    <w:rsid w:val="00791FF2"/>
    <w:rsid w:val="00793696"/>
    <w:rsid w:val="007955DA"/>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5B90"/>
    <w:rsid w:val="007C6218"/>
    <w:rsid w:val="007C6484"/>
    <w:rsid w:val="007C67C6"/>
    <w:rsid w:val="007C78BE"/>
    <w:rsid w:val="007C7E59"/>
    <w:rsid w:val="007D0476"/>
    <w:rsid w:val="007D0B91"/>
    <w:rsid w:val="007D1386"/>
    <w:rsid w:val="007D1452"/>
    <w:rsid w:val="007D3DCB"/>
    <w:rsid w:val="007D460C"/>
    <w:rsid w:val="007D4996"/>
    <w:rsid w:val="007D4AD3"/>
    <w:rsid w:val="007D5D19"/>
    <w:rsid w:val="007D5FDC"/>
    <w:rsid w:val="007D6176"/>
    <w:rsid w:val="007D6D68"/>
    <w:rsid w:val="007E32DA"/>
    <w:rsid w:val="007E4998"/>
    <w:rsid w:val="007E4A9C"/>
    <w:rsid w:val="007E6914"/>
    <w:rsid w:val="007E7F78"/>
    <w:rsid w:val="007F0179"/>
    <w:rsid w:val="007F2C13"/>
    <w:rsid w:val="007F2CEC"/>
    <w:rsid w:val="007F3435"/>
    <w:rsid w:val="007F55DE"/>
    <w:rsid w:val="007F762D"/>
    <w:rsid w:val="007F78F0"/>
    <w:rsid w:val="007F78FF"/>
    <w:rsid w:val="008001C5"/>
    <w:rsid w:val="00800F6C"/>
    <w:rsid w:val="00801065"/>
    <w:rsid w:val="00802C0B"/>
    <w:rsid w:val="008051FC"/>
    <w:rsid w:val="008055A9"/>
    <w:rsid w:val="008056C4"/>
    <w:rsid w:val="008057FD"/>
    <w:rsid w:val="00805D8B"/>
    <w:rsid w:val="00810BB6"/>
    <w:rsid w:val="00810E8E"/>
    <w:rsid w:val="00812C44"/>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B7F"/>
    <w:rsid w:val="00833E8E"/>
    <w:rsid w:val="00834906"/>
    <w:rsid w:val="00836075"/>
    <w:rsid w:val="00836417"/>
    <w:rsid w:val="00836A3E"/>
    <w:rsid w:val="00837526"/>
    <w:rsid w:val="008407A7"/>
    <w:rsid w:val="0084322B"/>
    <w:rsid w:val="00843F81"/>
    <w:rsid w:val="00844087"/>
    <w:rsid w:val="00844526"/>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80106"/>
    <w:rsid w:val="00880F95"/>
    <w:rsid w:val="00882B44"/>
    <w:rsid w:val="008838AD"/>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A0FC9"/>
    <w:rsid w:val="008A1956"/>
    <w:rsid w:val="008A1A7C"/>
    <w:rsid w:val="008A2CE2"/>
    <w:rsid w:val="008A40D3"/>
    <w:rsid w:val="008A469C"/>
    <w:rsid w:val="008A51D1"/>
    <w:rsid w:val="008A5DCE"/>
    <w:rsid w:val="008A75D3"/>
    <w:rsid w:val="008B05DD"/>
    <w:rsid w:val="008B07B8"/>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03C2"/>
    <w:rsid w:val="008D12FB"/>
    <w:rsid w:val="008D3B2D"/>
    <w:rsid w:val="008D58D9"/>
    <w:rsid w:val="008D5AD4"/>
    <w:rsid w:val="008D695E"/>
    <w:rsid w:val="008D6DD5"/>
    <w:rsid w:val="008D6E59"/>
    <w:rsid w:val="008D7155"/>
    <w:rsid w:val="008D76E0"/>
    <w:rsid w:val="008E0B29"/>
    <w:rsid w:val="008E141A"/>
    <w:rsid w:val="008E1A44"/>
    <w:rsid w:val="008E1E55"/>
    <w:rsid w:val="008E28E6"/>
    <w:rsid w:val="008E3232"/>
    <w:rsid w:val="008E3674"/>
    <w:rsid w:val="008E3B6C"/>
    <w:rsid w:val="008E3DE7"/>
    <w:rsid w:val="008E562C"/>
    <w:rsid w:val="008E6540"/>
    <w:rsid w:val="008E77D4"/>
    <w:rsid w:val="008E7ADD"/>
    <w:rsid w:val="008F091F"/>
    <w:rsid w:val="008F17B2"/>
    <w:rsid w:val="008F22B3"/>
    <w:rsid w:val="008F357B"/>
    <w:rsid w:val="008F44CA"/>
    <w:rsid w:val="008F49D3"/>
    <w:rsid w:val="008F62C1"/>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8E6"/>
    <w:rsid w:val="00960F57"/>
    <w:rsid w:val="00961C90"/>
    <w:rsid w:val="00965443"/>
    <w:rsid w:val="00965954"/>
    <w:rsid w:val="00965A21"/>
    <w:rsid w:val="00965E55"/>
    <w:rsid w:val="0096608E"/>
    <w:rsid w:val="00966522"/>
    <w:rsid w:val="00966C33"/>
    <w:rsid w:val="00966FCB"/>
    <w:rsid w:val="00970F18"/>
    <w:rsid w:val="00971CF1"/>
    <w:rsid w:val="00971F5D"/>
    <w:rsid w:val="009721E9"/>
    <w:rsid w:val="00973772"/>
    <w:rsid w:val="0097471B"/>
    <w:rsid w:val="0097560A"/>
    <w:rsid w:val="00975E1E"/>
    <w:rsid w:val="00975E70"/>
    <w:rsid w:val="009761DE"/>
    <w:rsid w:val="009766FA"/>
    <w:rsid w:val="00977CD6"/>
    <w:rsid w:val="0098048B"/>
    <w:rsid w:val="00980DF9"/>
    <w:rsid w:val="00981150"/>
    <w:rsid w:val="0098243D"/>
    <w:rsid w:val="00982D26"/>
    <w:rsid w:val="00983B6E"/>
    <w:rsid w:val="00983FE5"/>
    <w:rsid w:val="009849E9"/>
    <w:rsid w:val="009859E4"/>
    <w:rsid w:val="00987812"/>
    <w:rsid w:val="00990225"/>
    <w:rsid w:val="00992A13"/>
    <w:rsid w:val="00994AAD"/>
    <w:rsid w:val="00994DE1"/>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10C"/>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5655"/>
    <w:rsid w:val="00A160B0"/>
    <w:rsid w:val="00A1740C"/>
    <w:rsid w:val="00A20069"/>
    <w:rsid w:val="00A2244D"/>
    <w:rsid w:val="00A2253D"/>
    <w:rsid w:val="00A2267F"/>
    <w:rsid w:val="00A22CDB"/>
    <w:rsid w:val="00A247B8"/>
    <w:rsid w:val="00A2495A"/>
    <w:rsid w:val="00A24C7A"/>
    <w:rsid w:val="00A24D8F"/>
    <w:rsid w:val="00A25B8B"/>
    <w:rsid w:val="00A25C5D"/>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1C60"/>
    <w:rsid w:val="00A61ECB"/>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930"/>
    <w:rsid w:val="00A863F7"/>
    <w:rsid w:val="00A86604"/>
    <w:rsid w:val="00A87519"/>
    <w:rsid w:val="00A9246D"/>
    <w:rsid w:val="00A92CCA"/>
    <w:rsid w:val="00A93BD0"/>
    <w:rsid w:val="00A93CC2"/>
    <w:rsid w:val="00A974CC"/>
    <w:rsid w:val="00AA1067"/>
    <w:rsid w:val="00AA2001"/>
    <w:rsid w:val="00AA2B5C"/>
    <w:rsid w:val="00AA32D2"/>
    <w:rsid w:val="00AA4016"/>
    <w:rsid w:val="00AA4C1F"/>
    <w:rsid w:val="00AA5328"/>
    <w:rsid w:val="00AA5393"/>
    <w:rsid w:val="00AA63D4"/>
    <w:rsid w:val="00AB03FD"/>
    <w:rsid w:val="00AB2000"/>
    <w:rsid w:val="00AB2E94"/>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D6D"/>
    <w:rsid w:val="00AD0091"/>
    <w:rsid w:val="00AD23EF"/>
    <w:rsid w:val="00AD2662"/>
    <w:rsid w:val="00AD307B"/>
    <w:rsid w:val="00AD4014"/>
    <w:rsid w:val="00AD41B3"/>
    <w:rsid w:val="00AD5721"/>
    <w:rsid w:val="00AD5C4D"/>
    <w:rsid w:val="00AD69F0"/>
    <w:rsid w:val="00AD7127"/>
    <w:rsid w:val="00AD730C"/>
    <w:rsid w:val="00AE123A"/>
    <w:rsid w:val="00AE1539"/>
    <w:rsid w:val="00AE28A7"/>
    <w:rsid w:val="00AE2A98"/>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896"/>
    <w:rsid w:val="00AF3FC2"/>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504A"/>
    <w:rsid w:val="00B25EE6"/>
    <w:rsid w:val="00B3115A"/>
    <w:rsid w:val="00B31825"/>
    <w:rsid w:val="00B31A5C"/>
    <w:rsid w:val="00B33B06"/>
    <w:rsid w:val="00B33C19"/>
    <w:rsid w:val="00B35A15"/>
    <w:rsid w:val="00B35B45"/>
    <w:rsid w:val="00B36A99"/>
    <w:rsid w:val="00B42264"/>
    <w:rsid w:val="00B434B2"/>
    <w:rsid w:val="00B43D45"/>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4342"/>
    <w:rsid w:val="00BF4704"/>
    <w:rsid w:val="00BF4FFC"/>
    <w:rsid w:val="00BF5050"/>
    <w:rsid w:val="00BF50D1"/>
    <w:rsid w:val="00BF5422"/>
    <w:rsid w:val="00BF59B1"/>
    <w:rsid w:val="00BF6A78"/>
    <w:rsid w:val="00BF7695"/>
    <w:rsid w:val="00BF79B4"/>
    <w:rsid w:val="00BF7C61"/>
    <w:rsid w:val="00C00037"/>
    <w:rsid w:val="00C01427"/>
    <w:rsid w:val="00C014C7"/>
    <w:rsid w:val="00C047AB"/>
    <w:rsid w:val="00C058AF"/>
    <w:rsid w:val="00C075B6"/>
    <w:rsid w:val="00C124C1"/>
    <w:rsid w:val="00C128AE"/>
    <w:rsid w:val="00C12BA8"/>
    <w:rsid w:val="00C136D6"/>
    <w:rsid w:val="00C13902"/>
    <w:rsid w:val="00C13D5B"/>
    <w:rsid w:val="00C141D7"/>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5D01"/>
    <w:rsid w:val="00C360B3"/>
    <w:rsid w:val="00C37027"/>
    <w:rsid w:val="00C37B19"/>
    <w:rsid w:val="00C413CB"/>
    <w:rsid w:val="00C42752"/>
    <w:rsid w:val="00C42973"/>
    <w:rsid w:val="00C44C69"/>
    <w:rsid w:val="00C4712A"/>
    <w:rsid w:val="00C5034F"/>
    <w:rsid w:val="00C50830"/>
    <w:rsid w:val="00C52479"/>
    <w:rsid w:val="00C5266E"/>
    <w:rsid w:val="00C52C59"/>
    <w:rsid w:val="00C5349E"/>
    <w:rsid w:val="00C539FF"/>
    <w:rsid w:val="00C544BD"/>
    <w:rsid w:val="00C54D3D"/>
    <w:rsid w:val="00C55A30"/>
    <w:rsid w:val="00C56384"/>
    <w:rsid w:val="00C60F8C"/>
    <w:rsid w:val="00C61794"/>
    <w:rsid w:val="00C62A48"/>
    <w:rsid w:val="00C62AC4"/>
    <w:rsid w:val="00C62B59"/>
    <w:rsid w:val="00C62F96"/>
    <w:rsid w:val="00C631E1"/>
    <w:rsid w:val="00C638D8"/>
    <w:rsid w:val="00C63AE7"/>
    <w:rsid w:val="00C63D26"/>
    <w:rsid w:val="00C6540A"/>
    <w:rsid w:val="00C668A1"/>
    <w:rsid w:val="00C67223"/>
    <w:rsid w:val="00C707B8"/>
    <w:rsid w:val="00C712AC"/>
    <w:rsid w:val="00C71C15"/>
    <w:rsid w:val="00C71F3D"/>
    <w:rsid w:val="00C72F53"/>
    <w:rsid w:val="00C74035"/>
    <w:rsid w:val="00C748EA"/>
    <w:rsid w:val="00C77818"/>
    <w:rsid w:val="00C8063F"/>
    <w:rsid w:val="00C81282"/>
    <w:rsid w:val="00C827B4"/>
    <w:rsid w:val="00C83214"/>
    <w:rsid w:val="00C8329F"/>
    <w:rsid w:val="00C84F8A"/>
    <w:rsid w:val="00C85BA4"/>
    <w:rsid w:val="00C8618F"/>
    <w:rsid w:val="00C8625D"/>
    <w:rsid w:val="00C90372"/>
    <w:rsid w:val="00C9041F"/>
    <w:rsid w:val="00C9166B"/>
    <w:rsid w:val="00C91A45"/>
    <w:rsid w:val="00C91FB4"/>
    <w:rsid w:val="00C92150"/>
    <w:rsid w:val="00C92328"/>
    <w:rsid w:val="00C92D42"/>
    <w:rsid w:val="00C938C2"/>
    <w:rsid w:val="00C93F8A"/>
    <w:rsid w:val="00C94EA1"/>
    <w:rsid w:val="00C9511B"/>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53E8"/>
    <w:rsid w:val="00CB594A"/>
    <w:rsid w:val="00CB5CB2"/>
    <w:rsid w:val="00CB6979"/>
    <w:rsid w:val="00CB7DDE"/>
    <w:rsid w:val="00CC0A3D"/>
    <w:rsid w:val="00CC1585"/>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2687"/>
    <w:rsid w:val="00CE3529"/>
    <w:rsid w:val="00CE35C8"/>
    <w:rsid w:val="00CE3962"/>
    <w:rsid w:val="00CE4D1A"/>
    <w:rsid w:val="00CE4E8A"/>
    <w:rsid w:val="00CE5105"/>
    <w:rsid w:val="00CE56BD"/>
    <w:rsid w:val="00CE5EC0"/>
    <w:rsid w:val="00CE6A0B"/>
    <w:rsid w:val="00CE6F9F"/>
    <w:rsid w:val="00CE781A"/>
    <w:rsid w:val="00CE7B08"/>
    <w:rsid w:val="00CE7D52"/>
    <w:rsid w:val="00CE7EB6"/>
    <w:rsid w:val="00CF1D74"/>
    <w:rsid w:val="00CF2BE2"/>
    <w:rsid w:val="00CF3DEB"/>
    <w:rsid w:val="00CF55F9"/>
    <w:rsid w:val="00CF7074"/>
    <w:rsid w:val="00CF7390"/>
    <w:rsid w:val="00CF7495"/>
    <w:rsid w:val="00D01CF9"/>
    <w:rsid w:val="00D0334D"/>
    <w:rsid w:val="00D0374D"/>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85A"/>
    <w:rsid w:val="00D259B0"/>
    <w:rsid w:val="00D26C3F"/>
    <w:rsid w:val="00D27026"/>
    <w:rsid w:val="00D27185"/>
    <w:rsid w:val="00D30EF8"/>
    <w:rsid w:val="00D32518"/>
    <w:rsid w:val="00D33488"/>
    <w:rsid w:val="00D33AB3"/>
    <w:rsid w:val="00D33F24"/>
    <w:rsid w:val="00D34160"/>
    <w:rsid w:val="00D346B8"/>
    <w:rsid w:val="00D34DCA"/>
    <w:rsid w:val="00D35AC8"/>
    <w:rsid w:val="00D36F87"/>
    <w:rsid w:val="00D37E4E"/>
    <w:rsid w:val="00D400A4"/>
    <w:rsid w:val="00D40DEF"/>
    <w:rsid w:val="00D417D8"/>
    <w:rsid w:val="00D41F78"/>
    <w:rsid w:val="00D42E6C"/>
    <w:rsid w:val="00D4351C"/>
    <w:rsid w:val="00D43B80"/>
    <w:rsid w:val="00D44988"/>
    <w:rsid w:val="00D45B4C"/>
    <w:rsid w:val="00D45BA4"/>
    <w:rsid w:val="00D471AF"/>
    <w:rsid w:val="00D4724F"/>
    <w:rsid w:val="00D50519"/>
    <w:rsid w:val="00D512C8"/>
    <w:rsid w:val="00D51601"/>
    <w:rsid w:val="00D51ECB"/>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3EA5"/>
    <w:rsid w:val="00DA4C30"/>
    <w:rsid w:val="00DA7722"/>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5B2"/>
    <w:rsid w:val="00DE1A9A"/>
    <w:rsid w:val="00DE3D2C"/>
    <w:rsid w:val="00DE5E82"/>
    <w:rsid w:val="00DE5FA6"/>
    <w:rsid w:val="00DE6792"/>
    <w:rsid w:val="00DE6AA1"/>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1C9C"/>
    <w:rsid w:val="00E0219D"/>
    <w:rsid w:val="00E04C0F"/>
    <w:rsid w:val="00E0570B"/>
    <w:rsid w:val="00E10343"/>
    <w:rsid w:val="00E10913"/>
    <w:rsid w:val="00E10B87"/>
    <w:rsid w:val="00E121CE"/>
    <w:rsid w:val="00E1478B"/>
    <w:rsid w:val="00E14FAC"/>
    <w:rsid w:val="00E15007"/>
    <w:rsid w:val="00E16277"/>
    <w:rsid w:val="00E16EC7"/>
    <w:rsid w:val="00E219CE"/>
    <w:rsid w:val="00E24071"/>
    <w:rsid w:val="00E24EBC"/>
    <w:rsid w:val="00E2522C"/>
    <w:rsid w:val="00E2552F"/>
    <w:rsid w:val="00E2599B"/>
    <w:rsid w:val="00E2710C"/>
    <w:rsid w:val="00E27428"/>
    <w:rsid w:val="00E305B4"/>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517A5"/>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8F3"/>
    <w:rsid w:val="00EA60BF"/>
    <w:rsid w:val="00EA7365"/>
    <w:rsid w:val="00EA763F"/>
    <w:rsid w:val="00EA77E9"/>
    <w:rsid w:val="00EB05D0"/>
    <w:rsid w:val="00EB1151"/>
    <w:rsid w:val="00EB1D49"/>
    <w:rsid w:val="00EB23D9"/>
    <w:rsid w:val="00EB39A0"/>
    <w:rsid w:val="00EB40FD"/>
    <w:rsid w:val="00EB559F"/>
    <w:rsid w:val="00EB566C"/>
    <w:rsid w:val="00EB5F3D"/>
    <w:rsid w:val="00EC0C38"/>
    <w:rsid w:val="00EC1CEB"/>
    <w:rsid w:val="00EC1DC0"/>
    <w:rsid w:val="00EC1DC2"/>
    <w:rsid w:val="00EC21EC"/>
    <w:rsid w:val="00EC24B8"/>
    <w:rsid w:val="00EC268C"/>
    <w:rsid w:val="00EC3753"/>
    <w:rsid w:val="00EC4E71"/>
    <w:rsid w:val="00EC5F1C"/>
    <w:rsid w:val="00ED0365"/>
    <w:rsid w:val="00ED0865"/>
    <w:rsid w:val="00ED1C60"/>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6549"/>
    <w:rsid w:val="00EE73D0"/>
    <w:rsid w:val="00EE7CB0"/>
    <w:rsid w:val="00EF08A8"/>
    <w:rsid w:val="00EF167B"/>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2C"/>
    <w:rsid w:val="00F069EA"/>
    <w:rsid w:val="00F070E5"/>
    <w:rsid w:val="00F07DDE"/>
    <w:rsid w:val="00F11675"/>
    <w:rsid w:val="00F12557"/>
    <w:rsid w:val="00F13599"/>
    <w:rsid w:val="00F13B28"/>
    <w:rsid w:val="00F14E01"/>
    <w:rsid w:val="00F156A0"/>
    <w:rsid w:val="00F1573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058"/>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5C23"/>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5B72"/>
    <w:rsid w:val="00F86540"/>
    <w:rsid w:val="00F865CE"/>
    <w:rsid w:val="00F8766F"/>
    <w:rsid w:val="00F91082"/>
    <w:rsid w:val="00F9116D"/>
    <w:rsid w:val="00F91A9A"/>
    <w:rsid w:val="00F9203B"/>
    <w:rsid w:val="00F93ABB"/>
    <w:rsid w:val="00F94D79"/>
    <w:rsid w:val="00F9658C"/>
    <w:rsid w:val="00F97A7F"/>
    <w:rsid w:val="00FA0889"/>
    <w:rsid w:val="00FA16E7"/>
    <w:rsid w:val="00FA31C7"/>
    <w:rsid w:val="00FA472D"/>
    <w:rsid w:val="00FB0CBF"/>
    <w:rsid w:val="00FB18F6"/>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23A"/>
    <w:rsid w:val="00FC6524"/>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C9B"/>
    <w:rsid w:val="00FF1D49"/>
    <w:rsid w:val="00FF203B"/>
    <w:rsid w:val="00FF2562"/>
    <w:rsid w:val="00FF3A41"/>
    <w:rsid w:val="00FF3E5B"/>
    <w:rsid w:val="00FF57E4"/>
    <w:rsid w:val="00FF78E5"/>
    <w:rsid w:val="01425E7E"/>
    <w:rsid w:val="01AF3D99"/>
    <w:rsid w:val="01CA0799"/>
    <w:rsid w:val="01EC3E90"/>
    <w:rsid w:val="020B6A0C"/>
    <w:rsid w:val="020E02AA"/>
    <w:rsid w:val="02511F9D"/>
    <w:rsid w:val="02624152"/>
    <w:rsid w:val="027A5302"/>
    <w:rsid w:val="02D9681D"/>
    <w:rsid w:val="02FE031F"/>
    <w:rsid w:val="03123DE2"/>
    <w:rsid w:val="0350044F"/>
    <w:rsid w:val="03A07BC5"/>
    <w:rsid w:val="03A314B8"/>
    <w:rsid w:val="03AC7C4B"/>
    <w:rsid w:val="03D82B98"/>
    <w:rsid w:val="03E60EE9"/>
    <w:rsid w:val="03EA43FF"/>
    <w:rsid w:val="03F83E8B"/>
    <w:rsid w:val="03FA6D38"/>
    <w:rsid w:val="041E2451"/>
    <w:rsid w:val="044B1342"/>
    <w:rsid w:val="04651CD8"/>
    <w:rsid w:val="04980A96"/>
    <w:rsid w:val="04B72D09"/>
    <w:rsid w:val="04BB09C2"/>
    <w:rsid w:val="04EE4BE6"/>
    <w:rsid w:val="052878D5"/>
    <w:rsid w:val="054A55F5"/>
    <w:rsid w:val="054B5371"/>
    <w:rsid w:val="05C56868"/>
    <w:rsid w:val="064642DC"/>
    <w:rsid w:val="06640499"/>
    <w:rsid w:val="06866335"/>
    <w:rsid w:val="069A3EBB"/>
    <w:rsid w:val="077E0292"/>
    <w:rsid w:val="07B72767"/>
    <w:rsid w:val="08077E72"/>
    <w:rsid w:val="084762C4"/>
    <w:rsid w:val="08882DD0"/>
    <w:rsid w:val="08B17109"/>
    <w:rsid w:val="08B60D54"/>
    <w:rsid w:val="08BA4532"/>
    <w:rsid w:val="094F14A6"/>
    <w:rsid w:val="0983157E"/>
    <w:rsid w:val="098D649E"/>
    <w:rsid w:val="09AA6BA2"/>
    <w:rsid w:val="09CC2AAC"/>
    <w:rsid w:val="09D26E76"/>
    <w:rsid w:val="09F00295"/>
    <w:rsid w:val="0A0F4BBF"/>
    <w:rsid w:val="0A121ED8"/>
    <w:rsid w:val="0A652D3E"/>
    <w:rsid w:val="0A6B75FC"/>
    <w:rsid w:val="0B326F2A"/>
    <w:rsid w:val="0B496B71"/>
    <w:rsid w:val="0B785C4C"/>
    <w:rsid w:val="0BA80E28"/>
    <w:rsid w:val="0BC1013B"/>
    <w:rsid w:val="0BC96FF0"/>
    <w:rsid w:val="0BF10997"/>
    <w:rsid w:val="0C1C1DE3"/>
    <w:rsid w:val="0C1E2888"/>
    <w:rsid w:val="0C6F5DE9"/>
    <w:rsid w:val="0C92213C"/>
    <w:rsid w:val="0D84032B"/>
    <w:rsid w:val="0D913B3D"/>
    <w:rsid w:val="0DBF1056"/>
    <w:rsid w:val="0DDC74AE"/>
    <w:rsid w:val="0E641ACC"/>
    <w:rsid w:val="0E6D53D9"/>
    <w:rsid w:val="0EE02FCE"/>
    <w:rsid w:val="0EE71996"/>
    <w:rsid w:val="0F0071CD"/>
    <w:rsid w:val="0F192123"/>
    <w:rsid w:val="0F2A74C4"/>
    <w:rsid w:val="0F5A055D"/>
    <w:rsid w:val="0F872008"/>
    <w:rsid w:val="0F8B3AAF"/>
    <w:rsid w:val="0FCD5301"/>
    <w:rsid w:val="0FEE0360"/>
    <w:rsid w:val="10090303"/>
    <w:rsid w:val="1015407B"/>
    <w:rsid w:val="10973B61"/>
    <w:rsid w:val="10A27F31"/>
    <w:rsid w:val="117B0D8C"/>
    <w:rsid w:val="11927058"/>
    <w:rsid w:val="11993A94"/>
    <w:rsid w:val="119A6D6D"/>
    <w:rsid w:val="11AC7198"/>
    <w:rsid w:val="122907E8"/>
    <w:rsid w:val="122E71B3"/>
    <w:rsid w:val="12443874"/>
    <w:rsid w:val="127A0F0E"/>
    <w:rsid w:val="12854BA0"/>
    <w:rsid w:val="12AB56A1"/>
    <w:rsid w:val="12E7492B"/>
    <w:rsid w:val="12F4157F"/>
    <w:rsid w:val="12F72695"/>
    <w:rsid w:val="1319085D"/>
    <w:rsid w:val="131F61E1"/>
    <w:rsid w:val="138944F2"/>
    <w:rsid w:val="13AF4F03"/>
    <w:rsid w:val="141B2535"/>
    <w:rsid w:val="14736E66"/>
    <w:rsid w:val="147541B9"/>
    <w:rsid w:val="147F0D6F"/>
    <w:rsid w:val="147F458F"/>
    <w:rsid w:val="14BD6D92"/>
    <w:rsid w:val="14D958EC"/>
    <w:rsid w:val="151C4634"/>
    <w:rsid w:val="1534169A"/>
    <w:rsid w:val="153A4457"/>
    <w:rsid w:val="156C2EC6"/>
    <w:rsid w:val="15842905"/>
    <w:rsid w:val="15915022"/>
    <w:rsid w:val="15C03E03"/>
    <w:rsid w:val="15DD5B72"/>
    <w:rsid w:val="15E5351D"/>
    <w:rsid w:val="16070E41"/>
    <w:rsid w:val="160873D2"/>
    <w:rsid w:val="162A25EB"/>
    <w:rsid w:val="164E4CC1"/>
    <w:rsid w:val="16B34ECA"/>
    <w:rsid w:val="16FD2A55"/>
    <w:rsid w:val="17067C1A"/>
    <w:rsid w:val="17366761"/>
    <w:rsid w:val="177C01F0"/>
    <w:rsid w:val="17CE6630"/>
    <w:rsid w:val="17D62037"/>
    <w:rsid w:val="1844012A"/>
    <w:rsid w:val="186D2112"/>
    <w:rsid w:val="19403F0C"/>
    <w:rsid w:val="19A17E04"/>
    <w:rsid w:val="19A5109C"/>
    <w:rsid w:val="19B32412"/>
    <w:rsid w:val="1AB23A71"/>
    <w:rsid w:val="1AF23E6D"/>
    <w:rsid w:val="1AFF0AFE"/>
    <w:rsid w:val="1B351FAC"/>
    <w:rsid w:val="1B4F19F8"/>
    <w:rsid w:val="1B675ED9"/>
    <w:rsid w:val="1BA57132"/>
    <w:rsid w:val="1BF17350"/>
    <w:rsid w:val="1C18194D"/>
    <w:rsid w:val="1C192C9B"/>
    <w:rsid w:val="1C1E6EE4"/>
    <w:rsid w:val="1C226F03"/>
    <w:rsid w:val="1D2D677E"/>
    <w:rsid w:val="1D5C7CC4"/>
    <w:rsid w:val="1D6B43AB"/>
    <w:rsid w:val="1D9C075B"/>
    <w:rsid w:val="1DAF24EA"/>
    <w:rsid w:val="1DFF767F"/>
    <w:rsid w:val="1E0A7720"/>
    <w:rsid w:val="1E6A6411"/>
    <w:rsid w:val="1E85324A"/>
    <w:rsid w:val="1E8F5E77"/>
    <w:rsid w:val="1EBD3A16"/>
    <w:rsid w:val="1ECC44FA"/>
    <w:rsid w:val="1EFF4781"/>
    <w:rsid w:val="1F063325"/>
    <w:rsid w:val="1F203EA9"/>
    <w:rsid w:val="1F457880"/>
    <w:rsid w:val="1F7237CF"/>
    <w:rsid w:val="1F75092B"/>
    <w:rsid w:val="1F9C084C"/>
    <w:rsid w:val="1FBC5DF5"/>
    <w:rsid w:val="1FD60202"/>
    <w:rsid w:val="1FF90588"/>
    <w:rsid w:val="20003F5E"/>
    <w:rsid w:val="20140D2A"/>
    <w:rsid w:val="20492BE1"/>
    <w:rsid w:val="20893C8C"/>
    <w:rsid w:val="208A1342"/>
    <w:rsid w:val="209E3A28"/>
    <w:rsid w:val="20A57BD4"/>
    <w:rsid w:val="20B6593D"/>
    <w:rsid w:val="20C3623F"/>
    <w:rsid w:val="21423675"/>
    <w:rsid w:val="21781212"/>
    <w:rsid w:val="21962E15"/>
    <w:rsid w:val="21B83F86"/>
    <w:rsid w:val="21C75C1C"/>
    <w:rsid w:val="221178A8"/>
    <w:rsid w:val="221213CF"/>
    <w:rsid w:val="221C5C74"/>
    <w:rsid w:val="22327A92"/>
    <w:rsid w:val="227D77A3"/>
    <w:rsid w:val="2294314B"/>
    <w:rsid w:val="230C5B9D"/>
    <w:rsid w:val="231D53A2"/>
    <w:rsid w:val="232B2612"/>
    <w:rsid w:val="23403BE4"/>
    <w:rsid w:val="236D5383"/>
    <w:rsid w:val="23B7504C"/>
    <w:rsid w:val="2454390A"/>
    <w:rsid w:val="2455546D"/>
    <w:rsid w:val="24564E1D"/>
    <w:rsid w:val="245711E5"/>
    <w:rsid w:val="24571307"/>
    <w:rsid w:val="245A58F0"/>
    <w:rsid w:val="246A0F18"/>
    <w:rsid w:val="24B77ED6"/>
    <w:rsid w:val="25110A2A"/>
    <w:rsid w:val="25150ABC"/>
    <w:rsid w:val="25156BB8"/>
    <w:rsid w:val="25182B95"/>
    <w:rsid w:val="256C0944"/>
    <w:rsid w:val="25B108FE"/>
    <w:rsid w:val="25DB68A1"/>
    <w:rsid w:val="26061115"/>
    <w:rsid w:val="26446DE3"/>
    <w:rsid w:val="264509AD"/>
    <w:rsid w:val="267B618C"/>
    <w:rsid w:val="26812549"/>
    <w:rsid w:val="269669E7"/>
    <w:rsid w:val="26D7699F"/>
    <w:rsid w:val="26E0017C"/>
    <w:rsid w:val="27334D21"/>
    <w:rsid w:val="27407542"/>
    <w:rsid w:val="274243CE"/>
    <w:rsid w:val="278C564A"/>
    <w:rsid w:val="27DC037F"/>
    <w:rsid w:val="289A78F2"/>
    <w:rsid w:val="28B02089"/>
    <w:rsid w:val="28BE70AE"/>
    <w:rsid w:val="28C6049C"/>
    <w:rsid w:val="28F12EC9"/>
    <w:rsid w:val="29AB6A4E"/>
    <w:rsid w:val="29DA269C"/>
    <w:rsid w:val="2A032BFD"/>
    <w:rsid w:val="2B2F4C6A"/>
    <w:rsid w:val="2B404781"/>
    <w:rsid w:val="2B647D96"/>
    <w:rsid w:val="2B774624"/>
    <w:rsid w:val="2C6A7D6E"/>
    <w:rsid w:val="2C7A72BE"/>
    <w:rsid w:val="2C82282E"/>
    <w:rsid w:val="2C9A7D75"/>
    <w:rsid w:val="2CB216AE"/>
    <w:rsid w:val="2CC17412"/>
    <w:rsid w:val="2CC81AE1"/>
    <w:rsid w:val="2D0E010F"/>
    <w:rsid w:val="2DCD7B19"/>
    <w:rsid w:val="2DF67CC1"/>
    <w:rsid w:val="2E2B72CC"/>
    <w:rsid w:val="2E6C7CF6"/>
    <w:rsid w:val="2E9976CE"/>
    <w:rsid w:val="2F340AA1"/>
    <w:rsid w:val="2F401D3C"/>
    <w:rsid w:val="2F4B45C9"/>
    <w:rsid w:val="2F5B24E1"/>
    <w:rsid w:val="2F722492"/>
    <w:rsid w:val="2FA21EAE"/>
    <w:rsid w:val="2FA95C88"/>
    <w:rsid w:val="2FB475A5"/>
    <w:rsid w:val="2FE07B7F"/>
    <w:rsid w:val="3009298E"/>
    <w:rsid w:val="3041370F"/>
    <w:rsid w:val="306F4706"/>
    <w:rsid w:val="3070356C"/>
    <w:rsid w:val="308C2216"/>
    <w:rsid w:val="3102275C"/>
    <w:rsid w:val="312B50A3"/>
    <w:rsid w:val="313E5C07"/>
    <w:rsid w:val="318C4BC4"/>
    <w:rsid w:val="31E51F90"/>
    <w:rsid w:val="31F2079F"/>
    <w:rsid w:val="3207424B"/>
    <w:rsid w:val="323D7737"/>
    <w:rsid w:val="32453A27"/>
    <w:rsid w:val="3263064A"/>
    <w:rsid w:val="32A43132"/>
    <w:rsid w:val="32AC0C06"/>
    <w:rsid w:val="32B119E2"/>
    <w:rsid w:val="32D372B0"/>
    <w:rsid w:val="32D9144E"/>
    <w:rsid w:val="32FB3B27"/>
    <w:rsid w:val="33096899"/>
    <w:rsid w:val="33344EF5"/>
    <w:rsid w:val="336A432A"/>
    <w:rsid w:val="337A0A4C"/>
    <w:rsid w:val="33A04957"/>
    <w:rsid w:val="34241494"/>
    <w:rsid w:val="34452E08"/>
    <w:rsid w:val="346436D0"/>
    <w:rsid w:val="34AA5B2B"/>
    <w:rsid w:val="34AA710F"/>
    <w:rsid w:val="34B36265"/>
    <w:rsid w:val="34B87A7E"/>
    <w:rsid w:val="34CF1A69"/>
    <w:rsid w:val="3537750C"/>
    <w:rsid w:val="3537798C"/>
    <w:rsid w:val="35AD335B"/>
    <w:rsid w:val="35BD118C"/>
    <w:rsid w:val="35C13FC9"/>
    <w:rsid w:val="35E0728C"/>
    <w:rsid w:val="364257B6"/>
    <w:rsid w:val="36631C6B"/>
    <w:rsid w:val="366E2AEA"/>
    <w:rsid w:val="36A52284"/>
    <w:rsid w:val="375B08FF"/>
    <w:rsid w:val="37A70123"/>
    <w:rsid w:val="37EA5922"/>
    <w:rsid w:val="37F50EF6"/>
    <w:rsid w:val="38276B93"/>
    <w:rsid w:val="388F6D48"/>
    <w:rsid w:val="38AC3431"/>
    <w:rsid w:val="38AE3672"/>
    <w:rsid w:val="38E5105E"/>
    <w:rsid w:val="3905700A"/>
    <w:rsid w:val="392F2E16"/>
    <w:rsid w:val="397C5741"/>
    <w:rsid w:val="398D2353"/>
    <w:rsid w:val="39BD0402"/>
    <w:rsid w:val="39E00529"/>
    <w:rsid w:val="3A0B64A7"/>
    <w:rsid w:val="3A39340F"/>
    <w:rsid w:val="3A574DDA"/>
    <w:rsid w:val="3A617697"/>
    <w:rsid w:val="3A644AF9"/>
    <w:rsid w:val="3A80103E"/>
    <w:rsid w:val="3AA73588"/>
    <w:rsid w:val="3AC84793"/>
    <w:rsid w:val="3AD3075A"/>
    <w:rsid w:val="3ADE5EC6"/>
    <w:rsid w:val="3AF74C02"/>
    <w:rsid w:val="3B262614"/>
    <w:rsid w:val="3B710987"/>
    <w:rsid w:val="3C0059A5"/>
    <w:rsid w:val="3C134E78"/>
    <w:rsid w:val="3C5D0E77"/>
    <w:rsid w:val="3CB6184C"/>
    <w:rsid w:val="3CCC6628"/>
    <w:rsid w:val="3D0C4E0B"/>
    <w:rsid w:val="3D94624D"/>
    <w:rsid w:val="3D976036"/>
    <w:rsid w:val="3DAE7C70"/>
    <w:rsid w:val="3DBA03C3"/>
    <w:rsid w:val="3DBD494D"/>
    <w:rsid w:val="3DE77B0E"/>
    <w:rsid w:val="3DEC7285"/>
    <w:rsid w:val="3DF15DAF"/>
    <w:rsid w:val="3DF6345D"/>
    <w:rsid w:val="3DF77EB6"/>
    <w:rsid w:val="3E2B5515"/>
    <w:rsid w:val="3E4D4F28"/>
    <w:rsid w:val="3E500D27"/>
    <w:rsid w:val="3E7A51E9"/>
    <w:rsid w:val="3E8D1F7B"/>
    <w:rsid w:val="3E9571B9"/>
    <w:rsid w:val="3EE13701"/>
    <w:rsid w:val="3EEF0540"/>
    <w:rsid w:val="3F0A7128"/>
    <w:rsid w:val="3F1A4BB3"/>
    <w:rsid w:val="3F580527"/>
    <w:rsid w:val="40055B41"/>
    <w:rsid w:val="40192BA6"/>
    <w:rsid w:val="40321273"/>
    <w:rsid w:val="403C5199"/>
    <w:rsid w:val="40727F0B"/>
    <w:rsid w:val="411F38FE"/>
    <w:rsid w:val="412B15D8"/>
    <w:rsid w:val="415A4C65"/>
    <w:rsid w:val="41635215"/>
    <w:rsid w:val="41766EA9"/>
    <w:rsid w:val="41EE06C6"/>
    <w:rsid w:val="42550A18"/>
    <w:rsid w:val="429D496A"/>
    <w:rsid w:val="42A963D4"/>
    <w:rsid w:val="42F473A1"/>
    <w:rsid w:val="4366286F"/>
    <w:rsid w:val="43AC182F"/>
    <w:rsid w:val="43B9736F"/>
    <w:rsid w:val="43CF0940"/>
    <w:rsid w:val="43D47D05"/>
    <w:rsid w:val="43E17D70"/>
    <w:rsid w:val="43FD7920"/>
    <w:rsid w:val="441E62C0"/>
    <w:rsid w:val="444620F1"/>
    <w:rsid w:val="44540DAF"/>
    <w:rsid w:val="44556671"/>
    <w:rsid w:val="44627A06"/>
    <w:rsid w:val="44705C7F"/>
    <w:rsid w:val="44CE29A6"/>
    <w:rsid w:val="45325D14"/>
    <w:rsid w:val="4574179F"/>
    <w:rsid w:val="45811C7C"/>
    <w:rsid w:val="458F7C24"/>
    <w:rsid w:val="45906116"/>
    <w:rsid w:val="46004DE1"/>
    <w:rsid w:val="468B3EFB"/>
    <w:rsid w:val="46BF4FF1"/>
    <w:rsid w:val="470A6193"/>
    <w:rsid w:val="4720245C"/>
    <w:rsid w:val="47385210"/>
    <w:rsid w:val="47613CD5"/>
    <w:rsid w:val="4783216D"/>
    <w:rsid w:val="47890416"/>
    <w:rsid w:val="47967477"/>
    <w:rsid w:val="47DC4F5C"/>
    <w:rsid w:val="48B40671"/>
    <w:rsid w:val="48E21116"/>
    <w:rsid w:val="49180694"/>
    <w:rsid w:val="492928A1"/>
    <w:rsid w:val="493A685C"/>
    <w:rsid w:val="493E581B"/>
    <w:rsid w:val="49506EA2"/>
    <w:rsid w:val="499A379E"/>
    <w:rsid w:val="499B5738"/>
    <w:rsid w:val="499F244D"/>
    <w:rsid w:val="49F3372F"/>
    <w:rsid w:val="4A221E38"/>
    <w:rsid w:val="4A3F31F8"/>
    <w:rsid w:val="4A40184C"/>
    <w:rsid w:val="4A585020"/>
    <w:rsid w:val="4A930494"/>
    <w:rsid w:val="4A956924"/>
    <w:rsid w:val="4A973F3F"/>
    <w:rsid w:val="4ABD7744"/>
    <w:rsid w:val="4ACF1226"/>
    <w:rsid w:val="4AF96BC7"/>
    <w:rsid w:val="4B5A416B"/>
    <w:rsid w:val="4B862A85"/>
    <w:rsid w:val="4BC82F36"/>
    <w:rsid w:val="4C325706"/>
    <w:rsid w:val="4C40066C"/>
    <w:rsid w:val="4CA02CF2"/>
    <w:rsid w:val="4CEF36E2"/>
    <w:rsid w:val="4CEF4DC5"/>
    <w:rsid w:val="4D55429F"/>
    <w:rsid w:val="4D8C1650"/>
    <w:rsid w:val="4DEC26D8"/>
    <w:rsid w:val="4E0D2791"/>
    <w:rsid w:val="4E257655"/>
    <w:rsid w:val="4E8E7871"/>
    <w:rsid w:val="4EAC1FAA"/>
    <w:rsid w:val="4EAF077C"/>
    <w:rsid w:val="4EC64474"/>
    <w:rsid w:val="4F3629AB"/>
    <w:rsid w:val="4F372380"/>
    <w:rsid w:val="4F372FFB"/>
    <w:rsid w:val="4F4421E2"/>
    <w:rsid w:val="4F5320EB"/>
    <w:rsid w:val="4F6C798B"/>
    <w:rsid w:val="500030A6"/>
    <w:rsid w:val="5025116D"/>
    <w:rsid w:val="508D4F4B"/>
    <w:rsid w:val="50D51D59"/>
    <w:rsid w:val="51511837"/>
    <w:rsid w:val="51D11D27"/>
    <w:rsid w:val="51FF77F8"/>
    <w:rsid w:val="52173BDE"/>
    <w:rsid w:val="52395ECD"/>
    <w:rsid w:val="52431936"/>
    <w:rsid w:val="52C10D75"/>
    <w:rsid w:val="52E23374"/>
    <w:rsid w:val="53081779"/>
    <w:rsid w:val="531D7AE8"/>
    <w:rsid w:val="532C7BB6"/>
    <w:rsid w:val="533F163E"/>
    <w:rsid w:val="53A3360A"/>
    <w:rsid w:val="53B316E5"/>
    <w:rsid w:val="53C27FF8"/>
    <w:rsid w:val="53EC32AF"/>
    <w:rsid w:val="543071D9"/>
    <w:rsid w:val="543665CF"/>
    <w:rsid w:val="543E7ADC"/>
    <w:rsid w:val="549E1A80"/>
    <w:rsid w:val="54BF6FE2"/>
    <w:rsid w:val="54C658F4"/>
    <w:rsid w:val="55005C33"/>
    <w:rsid w:val="550C4BD7"/>
    <w:rsid w:val="55172147"/>
    <w:rsid w:val="554C1D56"/>
    <w:rsid w:val="55572986"/>
    <w:rsid w:val="555E1333"/>
    <w:rsid w:val="55A979FD"/>
    <w:rsid w:val="55C062DD"/>
    <w:rsid w:val="563B6A02"/>
    <w:rsid w:val="565340FA"/>
    <w:rsid w:val="568B48DA"/>
    <w:rsid w:val="5723343E"/>
    <w:rsid w:val="573D7EAB"/>
    <w:rsid w:val="576C0528"/>
    <w:rsid w:val="5876212B"/>
    <w:rsid w:val="58BF2A88"/>
    <w:rsid w:val="58E029EC"/>
    <w:rsid w:val="59E24AD2"/>
    <w:rsid w:val="5A2348F9"/>
    <w:rsid w:val="5A2F2CC8"/>
    <w:rsid w:val="5A9B3696"/>
    <w:rsid w:val="5AB346C0"/>
    <w:rsid w:val="5B0B44FC"/>
    <w:rsid w:val="5B556AB8"/>
    <w:rsid w:val="5B7D043B"/>
    <w:rsid w:val="5B9C33A6"/>
    <w:rsid w:val="5BA26962"/>
    <w:rsid w:val="5C10702D"/>
    <w:rsid w:val="5C152601"/>
    <w:rsid w:val="5C205D85"/>
    <w:rsid w:val="5C591F03"/>
    <w:rsid w:val="5C7E284D"/>
    <w:rsid w:val="5C8A1B2F"/>
    <w:rsid w:val="5C901728"/>
    <w:rsid w:val="5CCB5CF1"/>
    <w:rsid w:val="5D183972"/>
    <w:rsid w:val="5D8B722E"/>
    <w:rsid w:val="5D914004"/>
    <w:rsid w:val="5DED613B"/>
    <w:rsid w:val="5DEF5B8D"/>
    <w:rsid w:val="5DF55B8C"/>
    <w:rsid w:val="5DFE5C52"/>
    <w:rsid w:val="5E3F195D"/>
    <w:rsid w:val="5E613B0E"/>
    <w:rsid w:val="5E802B0B"/>
    <w:rsid w:val="5EB42026"/>
    <w:rsid w:val="5EB87D13"/>
    <w:rsid w:val="5EEE216B"/>
    <w:rsid w:val="5F561B72"/>
    <w:rsid w:val="5F6B37BB"/>
    <w:rsid w:val="5F8605F5"/>
    <w:rsid w:val="5FF7119A"/>
    <w:rsid w:val="600B26C3"/>
    <w:rsid w:val="606007BB"/>
    <w:rsid w:val="607246D5"/>
    <w:rsid w:val="60AC7F66"/>
    <w:rsid w:val="61113EEE"/>
    <w:rsid w:val="616B7AA3"/>
    <w:rsid w:val="61BF10D9"/>
    <w:rsid w:val="61DA3D4C"/>
    <w:rsid w:val="61F0599D"/>
    <w:rsid w:val="62160916"/>
    <w:rsid w:val="622413A9"/>
    <w:rsid w:val="622F0AD0"/>
    <w:rsid w:val="62361E5F"/>
    <w:rsid w:val="62774F17"/>
    <w:rsid w:val="62AC22DC"/>
    <w:rsid w:val="62F12229"/>
    <w:rsid w:val="637833E8"/>
    <w:rsid w:val="639037F0"/>
    <w:rsid w:val="63D4115E"/>
    <w:rsid w:val="64CD7548"/>
    <w:rsid w:val="64E45EF7"/>
    <w:rsid w:val="64F102BF"/>
    <w:rsid w:val="64FF464D"/>
    <w:rsid w:val="651644C7"/>
    <w:rsid w:val="651E6BDA"/>
    <w:rsid w:val="65426D6C"/>
    <w:rsid w:val="656B62C3"/>
    <w:rsid w:val="65E12667"/>
    <w:rsid w:val="662912B4"/>
    <w:rsid w:val="663F32AC"/>
    <w:rsid w:val="664F7993"/>
    <w:rsid w:val="6691014E"/>
    <w:rsid w:val="669762C2"/>
    <w:rsid w:val="66C87CCE"/>
    <w:rsid w:val="66ED2D08"/>
    <w:rsid w:val="6714680B"/>
    <w:rsid w:val="672317E1"/>
    <w:rsid w:val="673D77EB"/>
    <w:rsid w:val="67584625"/>
    <w:rsid w:val="6760172C"/>
    <w:rsid w:val="677435B2"/>
    <w:rsid w:val="677456CA"/>
    <w:rsid w:val="679114C1"/>
    <w:rsid w:val="67EF75F1"/>
    <w:rsid w:val="67F24A7A"/>
    <w:rsid w:val="68134D5F"/>
    <w:rsid w:val="68365042"/>
    <w:rsid w:val="687234C5"/>
    <w:rsid w:val="687C54A8"/>
    <w:rsid w:val="69124F16"/>
    <w:rsid w:val="691A347C"/>
    <w:rsid w:val="69427A59"/>
    <w:rsid w:val="694A5205"/>
    <w:rsid w:val="69815A80"/>
    <w:rsid w:val="698F449D"/>
    <w:rsid w:val="69C42446"/>
    <w:rsid w:val="69CD5C14"/>
    <w:rsid w:val="69CF0D33"/>
    <w:rsid w:val="69F34AD9"/>
    <w:rsid w:val="6A1C5DDE"/>
    <w:rsid w:val="6A283FCE"/>
    <w:rsid w:val="6A384778"/>
    <w:rsid w:val="6A4E3ABD"/>
    <w:rsid w:val="6A8B4A13"/>
    <w:rsid w:val="6AD2649C"/>
    <w:rsid w:val="6AF62EF4"/>
    <w:rsid w:val="6B11594B"/>
    <w:rsid w:val="6B376C47"/>
    <w:rsid w:val="6B600F02"/>
    <w:rsid w:val="6B731183"/>
    <w:rsid w:val="6B9946B3"/>
    <w:rsid w:val="6BD9335E"/>
    <w:rsid w:val="6C07661A"/>
    <w:rsid w:val="6C335D5C"/>
    <w:rsid w:val="6C3A7223"/>
    <w:rsid w:val="6C662189"/>
    <w:rsid w:val="6C7007C7"/>
    <w:rsid w:val="6C9107E3"/>
    <w:rsid w:val="6CAD0F6F"/>
    <w:rsid w:val="6CDE7428"/>
    <w:rsid w:val="6CEB12F7"/>
    <w:rsid w:val="6D483E21"/>
    <w:rsid w:val="6D7B106D"/>
    <w:rsid w:val="6D8560A4"/>
    <w:rsid w:val="6DAE2350"/>
    <w:rsid w:val="6DE76850"/>
    <w:rsid w:val="6E034799"/>
    <w:rsid w:val="6E1640F9"/>
    <w:rsid w:val="6E296D1B"/>
    <w:rsid w:val="6E34121C"/>
    <w:rsid w:val="6E423939"/>
    <w:rsid w:val="6E8B52E0"/>
    <w:rsid w:val="6EBC7B8F"/>
    <w:rsid w:val="6F2862D1"/>
    <w:rsid w:val="6F6759C1"/>
    <w:rsid w:val="6F925F92"/>
    <w:rsid w:val="6FB20BD4"/>
    <w:rsid w:val="6FB45D17"/>
    <w:rsid w:val="6FB650F7"/>
    <w:rsid w:val="6FBA59BE"/>
    <w:rsid w:val="70296B3E"/>
    <w:rsid w:val="703A367A"/>
    <w:rsid w:val="704C0E05"/>
    <w:rsid w:val="70611204"/>
    <w:rsid w:val="70C1323B"/>
    <w:rsid w:val="70C25205"/>
    <w:rsid w:val="70E91FE8"/>
    <w:rsid w:val="71015309"/>
    <w:rsid w:val="71241A1C"/>
    <w:rsid w:val="71324139"/>
    <w:rsid w:val="714E1C11"/>
    <w:rsid w:val="719A3A8C"/>
    <w:rsid w:val="71B132B0"/>
    <w:rsid w:val="71CD79BE"/>
    <w:rsid w:val="71F15DA2"/>
    <w:rsid w:val="7251239D"/>
    <w:rsid w:val="725A21C1"/>
    <w:rsid w:val="72623BBD"/>
    <w:rsid w:val="733D0B73"/>
    <w:rsid w:val="73445350"/>
    <w:rsid w:val="735465E8"/>
    <w:rsid w:val="738329DB"/>
    <w:rsid w:val="73D51657"/>
    <w:rsid w:val="74240B0A"/>
    <w:rsid w:val="74D50BC0"/>
    <w:rsid w:val="74EB6AD9"/>
    <w:rsid w:val="74FA2C30"/>
    <w:rsid w:val="754D5C4B"/>
    <w:rsid w:val="755E374E"/>
    <w:rsid w:val="765608C9"/>
    <w:rsid w:val="76593F16"/>
    <w:rsid w:val="76C240A7"/>
    <w:rsid w:val="76F04B13"/>
    <w:rsid w:val="76FD0D45"/>
    <w:rsid w:val="770C71DA"/>
    <w:rsid w:val="775246B7"/>
    <w:rsid w:val="77AA5BFA"/>
    <w:rsid w:val="78061696"/>
    <w:rsid w:val="781E69D1"/>
    <w:rsid w:val="78281DF2"/>
    <w:rsid w:val="78A23952"/>
    <w:rsid w:val="78A730F6"/>
    <w:rsid w:val="78B7340B"/>
    <w:rsid w:val="78B867DD"/>
    <w:rsid w:val="79706276"/>
    <w:rsid w:val="797E44D4"/>
    <w:rsid w:val="7A0315B6"/>
    <w:rsid w:val="7A0F55DA"/>
    <w:rsid w:val="7A263B6B"/>
    <w:rsid w:val="7A7C4677"/>
    <w:rsid w:val="7A9D10E5"/>
    <w:rsid w:val="7AA41B4F"/>
    <w:rsid w:val="7ACA3634"/>
    <w:rsid w:val="7AE75F94"/>
    <w:rsid w:val="7AF46346"/>
    <w:rsid w:val="7AF83CFD"/>
    <w:rsid w:val="7B0F54EB"/>
    <w:rsid w:val="7B0F5EBF"/>
    <w:rsid w:val="7B130FB9"/>
    <w:rsid w:val="7B697FFC"/>
    <w:rsid w:val="7B75534E"/>
    <w:rsid w:val="7BB06386"/>
    <w:rsid w:val="7BCB6C3C"/>
    <w:rsid w:val="7BD1454E"/>
    <w:rsid w:val="7BDA78A7"/>
    <w:rsid w:val="7BEB5610"/>
    <w:rsid w:val="7BEE3352"/>
    <w:rsid w:val="7BF64EDE"/>
    <w:rsid w:val="7C377D3A"/>
    <w:rsid w:val="7C3C5E6C"/>
    <w:rsid w:val="7C400C1E"/>
    <w:rsid w:val="7C635251"/>
    <w:rsid w:val="7C8C559B"/>
    <w:rsid w:val="7C947A56"/>
    <w:rsid w:val="7C9A2D33"/>
    <w:rsid w:val="7CB5616E"/>
    <w:rsid w:val="7CF361D0"/>
    <w:rsid w:val="7DB67EA0"/>
    <w:rsid w:val="7DBB1012"/>
    <w:rsid w:val="7DD11708"/>
    <w:rsid w:val="7E21356B"/>
    <w:rsid w:val="7E4255B9"/>
    <w:rsid w:val="7E427099"/>
    <w:rsid w:val="7E6350E9"/>
    <w:rsid w:val="7E722019"/>
    <w:rsid w:val="7E991353"/>
    <w:rsid w:val="7EBD579E"/>
    <w:rsid w:val="7EC167BD"/>
    <w:rsid w:val="7EED5B43"/>
    <w:rsid w:val="7F272D9E"/>
    <w:rsid w:val="7F5B485B"/>
    <w:rsid w:val="7F7E1E38"/>
    <w:rsid w:val="7F935FB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5"/>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41"/>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paragraph" w:styleId="6">
    <w:name w:val="heading 5"/>
    <w:basedOn w:val="1"/>
    <w:next w:val="7"/>
    <w:link w:val="46"/>
    <w:qFormat/>
    <w:uiPriority w:val="9"/>
    <w:pPr>
      <w:keepNext/>
      <w:keepLines/>
      <w:spacing w:before="280" w:after="290" w:line="376" w:lineRule="auto"/>
      <w:outlineLvl w:val="4"/>
    </w:pPr>
    <w:rPr>
      <w:b/>
      <w:bCs/>
      <w:sz w:val="28"/>
      <w:szCs w:val="28"/>
    </w:rPr>
  </w:style>
  <w:style w:type="paragraph" w:styleId="8">
    <w:name w:val="heading 8"/>
    <w:basedOn w:val="1"/>
    <w:next w:val="1"/>
    <w:link w:val="47"/>
    <w:qFormat/>
    <w:uiPriority w:val="9"/>
    <w:pPr>
      <w:keepNext/>
      <w:keepLines/>
      <w:spacing w:before="240" w:after="64" w:line="320" w:lineRule="auto"/>
      <w:outlineLvl w:val="7"/>
    </w:pPr>
    <w:rPr>
      <w:rFonts w:ascii="等线 Light" w:hAnsi="等线 Light" w:eastAsia="等线 Light"/>
      <w:sz w:val="24"/>
    </w:rPr>
  </w:style>
  <w:style w:type="character" w:default="1" w:styleId="33">
    <w:name w:val="Default Paragraph Font"/>
    <w:unhideWhenUsed/>
    <w:qFormat/>
    <w:uiPriority w:val="1"/>
  </w:style>
  <w:style w:type="table" w:default="1" w:styleId="31">
    <w:name w:val="Normal Table"/>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9">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0">
    <w:name w:val="annotation text"/>
    <w:basedOn w:val="1"/>
    <w:link w:val="48"/>
    <w:qFormat/>
    <w:uiPriority w:val="0"/>
    <w:pPr>
      <w:jc w:val="left"/>
    </w:pPr>
  </w:style>
  <w:style w:type="paragraph" w:styleId="11">
    <w:name w:val="Body Text 3"/>
    <w:basedOn w:val="1"/>
    <w:link w:val="49"/>
    <w:unhideWhenUsed/>
    <w:qFormat/>
    <w:uiPriority w:val="99"/>
    <w:pPr>
      <w:spacing w:after="120"/>
    </w:pPr>
    <w:rPr>
      <w:sz w:val="16"/>
      <w:szCs w:val="16"/>
    </w:rPr>
  </w:style>
  <w:style w:type="paragraph" w:styleId="12">
    <w:name w:val="Body Text"/>
    <w:basedOn w:val="1"/>
    <w:link w:val="50"/>
    <w:unhideWhenUsed/>
    <w:qFormat/>
    <w:uiPriority w:val="0"/>
    <w:pPr>
      <w:spacing w:after="120"/>
    </w:pPr>
  </w:style>
  <w:style w:type="paragraph" w:styleId="13">
    <w:name w:val="Body Text Indent"/>
    <w:basedOn w:val="1"/>
    <w:next w:val="14"/>
    <w:link w:val="43"/>
    <w:qFormat/>
    <w:uiPriority w:val="0"/>
    <w:pPr>
      <w:ind w:firstLine="830" w:firstLineChars="352"/>
    </w:pPr>
    <w:rPr>
      <w:rFonts w:ascii="仿宋_GB2312" w:eastAsia="仿宋_GB2312"/>
      <w:kern w:val="0"/>
      <w:sz w:val="32"/>
      <w:szCs w:val="20"/>
    </w:rPr>
  </w:style>
  <w:style w:type="paragraph" w:styleId="14">
    <w:name w:val="Plain Text"/>
    <w:basedOn w:val="1"/>
    <w:next w:val="5"/>
    <w:link w:val="51"/>
    <w:qFormat/>
    <w:uiPriority w:val="0"/>
    <w:rPr>
      <w:rFonts w:ascii="宋体" w:hAnsi="Courier New"/>
      <w:kern w:val="0"/>
      <w:sz w:val="20"/>
      <w:szCs w:val="21"/>
    </w:rPr>
  </w:style>
  <w:style w:type="paragraph" w:styleId="15">
    <w:name w:val="List 2"/>
    <w:basedOn w:val="1"/>
    <w:unhideWhenUsed/>
    <w:qFormat/>
    <w:uiPriority w:val="99"/>
    <w:pPr>
      <w:ind w:left="100" w:leftChars="200" w:hanging="200" w:hangingChars="200"/>
      <w:contextualSpacing/>
    </w:pPr>
  </w:style>
  <w:style w:type="paragraph" w:styleId="16">
    <w:name w:val="toc 3"/>
    <w:basedOn w:val="1"/>
    <w:next w:val="1"/>
    <w:unhideWhenUsed/>
    <w:qFormat/>
    <w:uiPriority w:val="39"/>
    <w:pPr>
      <w:ind w:left="840" w:leftChars="400"/>
    </w:pPr>
  </w:style>
  <w:style w:type="paragraph" w:styleId="17">
    <w:name w:val="Date"/>
    <w:basedOn w:val="1"/>
    <w:next w:val="1"/>
    <w:link w:val="52"/>
    <w:unhideWhenUsed/>
    <w:qFormat/>
    <w:uiPriority w:val="99"/>
    <w:pPr>
      <w:ind w:left="100" w:leftChars="2500"/>
    </w:pPr>
  </w:style>
  <w:style w:type="paragraph" w:styleId="18">
    <w:name w:val="Body Text Indent 2"/>
    <w:basedOn w:val="1"/>
    <w:qFormat/>
    <w:uiPriority w:val="0"/>
    <w:pPr>
      <w:spacing w:after="120" w:afterLines="0" w:line="480" w:lineRule="auto"/>
      <w:ind w:left="420" w:leftChars="200"/>
    </w:pPr>
  </w:style>
  <w:style w:type="paragraph" w:styleId="19">
    <w:name w:val="Balloon Text"/>
    <w:basedOn w:val="1"/>
    <w:link w:val="53"/>
    <w:semiHidden/>
    <w:qFormat/>
    <w:uiPriority w:val="0"/>
    <w:rPr>
      <w:sz w:val="18"/>
      <w:szCs w:val="18"/>
    </w:rPr>
  </w:style>
  <w:style w:type="paragraph" w:styleId="20">
    <w:name w:val="footer"/>
    <w:basedOn w:val="1"/>
    <w:link w:val="54"/>
    <w:unhideWhenUsed/>
    <w:qFormat/>
    <w:uiPriority w:val="99"/>
    <w:pPr>
      <w:tabs>
        <w:tab w:val="center" w:pos="4153"/>
        <w:tab w:val="right" w:pos="8306"/>
      </w:tabs>
      <w:snapToGrid w:val="0"/>
      <w:jc w:val="left"/>
    </w:pPr>
    <w:rPr>
      <w:kern w:val="0"/>
      <w:sz w:val="18"/>
      <w:szCs w:val="18"/>
    </w:rPr>
  </w:style>
  <w:style w:type="paragraph" w:styleId="21">
    <w:name w:val="header"/>
    <w:basedOn w:val="1"/>
    <w:link w:val="5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2">
    <w:name w:val="toc 1"/>
    <w:basedOn w:val="1"/>
    <w:next w:val="1"/>
    <w:unhideWhenUsed/>
    <w:qFormat/>
    <w:uiPriority w:val="39"/>
  </w:style>
  <w:style w:type="paragraph" w:styleId="23">
    <w:name w:val="Subtitle"/>
    <w:basedOn w:val="1"/>
    <w:next w:val="1"/>
    <w:qFormat/>
    <w:uiPriority w:val="0"/>
    <w:pPr>
      <w:spacing w:before="240" w:after="60" w:line="312" w:lineRule="auto"/>
      <w:jc w:val="center"/>
      <w:outlineLvl w:val="1"/>
    </w:pPr>
    <w:rPr>
      <w:rFonts w:ascii="Cambria" w:hAnsi="Cambria" w:cs="Cambria"/>
      <w:b/>
      <w:bCs/>
      <w:kern w:val="28"/>
      <w:sz w:val="32"/>
      <w:szCs w:val="32"/>
    </w:rPr>
  </w:style>
  <w:style w:type="paragraph" w:styleId="24">
    <w:name w:val="List"/>
    <w:basedOn w:val="1"/>
    <w:unhideWhenUsed/>
    <w:qFormat/>
    <w:uiPriority w:val="99"/>
    <w:pPr>
      <w:ind w:left="200" w:hanging="200" w:hangingChars="200"/>
      <w:contextualSpacing/>
    </w:pPr>
  </w:style>
  <w:style w:type="paragraph" w:styleId="25">
    <w:name w:val="toc 2"/>
    <w:basedOn w:val="1"/>
    <w:next w:val="1"/>
    <w:unhideWhenUsed/>
    <w:qFormat/>
    <w:uiPriority w:val="39"/>
    <w:pPr>
      <w:tabs>
        <w:tab w:val="right" w:leader="dot" w:pos="8296"/>
      </w:tabs>
      <w:ind w:left="420" w:leftChars="200"/>
    </w:pPr>
  </w:style>
  <w:style w:type="paragraph" w:styleId="26">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27">
    <w:name w:val="Normal (Web)"/>
    <w:basedOn w:val="1"/>
    <w:unhideWhenUsed/>
    <w:qFormat/>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8">
    <w:name w:val="Title"/>
    <w:basedOn w:val="1"/>
    <w:next w:val="1"/>
    <w:qFormat/>
    <w:uiPriority w:val="10"/>
    <w:pPr>
      <w:widowControl/>
      <w:overflowPunct w:val="0"/>
      <w:autoSpaceDE w:val="0"/>
      <w:autoSpaceDN w:val="0"/>
      <w:adjustRightInd w:val="0"/>
      <w:jc w:val="center"/>
      <w:textAlignment w:val="baseline"/>
    </w:pPr>
    <w:rPr>
      <w:rFonts w:ascii="Cambria" w:hAnsi="Cambria"/>
      <w:b/>
      <w:bCs/>
      <w:sz w:val="32"/>
      <w:szCs w:val="32"/>
    </w:rPr>
  </w:style>
  <w:style w:type="paragraph" w:styleId="29">
    <w:name w:val="annotation subject"/>
    <w:basedOn w:val="10"/>
    <w:next w:val="10"/>
    <w:link w:val="56"/>
    <w:qFormat/>
    <w:uiPriority w:val="99"/>
    <w:rPr>
      <w:b/>
      <w:bCs/>
    </w:rPr>
  </w:style>
  <w:style w:type="paragraph" w:styleId="30">
    <w:name w:val="Body Text First Indent 2"/>
    <w:basedOn w:val="13"/>
    <w:next w:val="1"/>
    <w:qFormat/>
    <w:uiPriority w:val="0"/>
    <w:pPr>
      <w:ind w:firstLine="420" w:firstLineChars="200"/>
    </w:pPr>
    <w:rPr>
      <w:rFonts w:eastAsia="仿宋"/>
      <w:sz w:val="28"/>
    </w:rPr>
  </w:style>
  <w:style w:type="table" w:styleId="32">
    <w:name w:val="Table Grid"/>
    <w:basedOn w:val="3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unhideWhenUsed/>
    <w:qFormat/>
    <w:uiPriority w:val="99"/>
    <w:rPr>
      <w:vertAlign w:val="superscript"/>
    </w:rPr>
  </w:style>
  <w:style w:type="character" w:styleId="35">
    <w:name w:val="page number"/>
    <w:basedOn w:val="33"/>
    <w:qFormat/>
    <w:uiPriority w:val="0"/>
  </w:style>
  <w:style w:type="character" w:styleId="36">
    <w:name w:val="FollowedHyperlink"/>
    <w:unhideWhenUsed/>
    <w:qFormat/>
    <w:uiPriority w:val="99"/>
    <w:rPr>
      <w:color w:val="800080"/>
      <w:u w:val="single"/>
    </w:rPr>
  </w:style>
  <w:style w:type="character" w:styleId="37">
    <w:name w:val="Hyperlink"/>
    <w:unhideWhenUsed/>
    <w:qFormat/>
    <w:uiPriority w:val="99"/>
    <w:rPr>
      <w:color w:val="0000FF"/>
      <w:u w:val="single"/>
    </w:rPr>
  </w:style>
  <w:style w:type="character" w:styleId="38">
    <w:name w:val="annotation reference"/>
    <w:qFormat/>
    <w:uiPriority w:val="0"/>
    <w:rPr>
      <w:sz w:val="21"/>
      <w:szCs w:val="21"/>
    </w:rPr>
  </w:style>
  <w:style w:type="character" w:styleId="39">
    <w:name w:val="HTML Sample"/>
    <w:qFormat/>
    <w:uiPriority w:val="0"/>
    <w:rPr>
      <w:rFonts w:ascii="Courier New" w:hAnsi="Courier New"/>
    </w:rPr>
  </w:style>
  <w:style w:type="character" w:customStyle="1" w:styleId="40">
    <w:name w:val="标题 2 Char"/>
    <w:qFormat/>
    <w:uiPriority w:val="9"/>
    <w:rPr>
      <w:rFonts w:ascii="Cambria" w:hAnsi="Cambria" w:eastAsia="宋体" w:cs="Times New Roman"/>
      <w:b/>
      <w:bCs/>
      <w:kern w:val="2"/>
      <w:sz w:val="32"/>
      <w:szCs w:val="32"/>
    </w:rPr>
  </w:style>
  <w:style w:type="character" w:customStyle="1" w:styleId="41">
    <w:name w:val="标题 3 Char"/>
    <w:link w:val="4"/>
    <w:qFormat/>
    <w:uiPriority w:val="9"/>
    <w:rPr>
      <w:b/>
      <w:bCs/>
      <w:kern w:val="2"/>
      <w:sz w:val="32"/>
      <w:szCs w:val="32"/>
    </w:rPr>
  </w:style>
  <w:style w:type="paragraph" w:customStyle="1" w:styleId="42">
    <w:name w:val="Body Text First Indent1"/>
    <w:basedOn w:val="12"/>
    <w:next w:val="1"/>
    <w:qFormat/>
    <w:uiPriority w:val="0"/>
    <w:pPr>
      <w:spacing w:after="120" w:afterLines="0"/>
      <w:ind w:firstLine="420" w:firstLineChars="100"/>
    </w:pPr>
    <w:rPr>
      <w:sz w:val="21"/>
    </w:rPr>
  </w:style>
  <w:style w:type="character" w:customStyle="1" w:styleId="43">
    <w:name w:val="正文文本缩进 Char"/>
    <w:link w:val="13"/>
    <w:qFormat/>
    <w:uiPriority w:val="0"/>
    <w:rPr>
      <w:rFonts w:ascii="仿宋_GB2312" w:hAnsi="Times New Roman" w:eastAsia="仿宋_GB2312" w:cs="Times New Roman"/>
      <w:sz w:val="32"/>
      <w:szCs w:val="20"/>
    </w:rPr>
  </w:style>
  <w:style w:type="character" w:customStyle="1" w:styleId="44">
    <w:name w:val="标题 1 Char"/>
    <w:link w:val="2"/>
    <w:qFormat/>
    <w:uiPriority w:val="9"/>
    <w:rPr>
      <w:b/>
      <w:bCs/>
      <w:kern w:val="44"/>
      <w:sz w:val="44"/>
      <w:szCs w:val="44"/>
    </w:rPr>
  </w:style>
  <w:style w:type="character" w:customStyle="1" w:styleId="45">
    <w:name w:val="标题 2 Char1"/>
    <w:link w:val="3"/>
    <w:qFormat/>
    <w:uiPriority w:val="9"/>
    <w:rPr>
      <w:rFonts w:ascii="Cambria" w:hAnsi="Cambria" w:eastAsia="宋体" w:cs="Times New Roman"/>
      <w:b/>
      <w:bCs/>
      <w:kern w:val="2"/>
      <w:sz w:val="32"/>
      <w:szCs w:val="32"/>
    </w:rPr>
  </w:style>
  <w:style w:type="character" w:customStyle="1" w:styleId="46">
    <w:name w:val="标题 5 Char"/>
    <w:link w:val="6"/>
    <w:qFormat/>
    <w:uiPriority w:val="9"/>
    <w:rPr>
      <w:rFonts w:ascii="Times New Roman" w:hAnsi="Times New Roman"/>
      <w:b/>
      <w:bCs/>
      <w:kern w:val="2"/>
      <w:sz w:val="28"/>
      <w:szCs w:val="28"/>
    </w:rPr>
  </w:style>
  <w:style w:type="character" w:customStyle="1" w:styleId="47">
    <w:name w:val="标题 8 Char1"/>
    <w:link w:val="8"/>
    <w:qFormat/>
    <w:uiPriority w:val="9"/>
    <w:rPr>
      <w:rFonts w:ascii="等线 Light" w:hAnsi="等线 Light" w:eastAsia="等线 Light" w:cs="Times New Roman"/>
      <w:kern w:val="2"/>
      <w:sz w:val="24"/>
      <w:szCs w:val="24"/>
    </w:rPr>
  </w:style>
  <w:style w:type="character" w:customStyle="1" w:styleId="48">
    <w:name w:val="批注文字 Char1"/>
    <w:link w:val="10"/>
    <w:qFormat/>
    <w:uiPriority w:val="0"/>
    <w:rPr>
      <w:rFonts w:ascii="Times New Roman" w:hAnsi="Times New Roman"/>
      <w:kern w:val="2"/>
      <w:sz w:val="21"/>
      <w:szCs w:val="24"/>
    </w:rPr>
  </w:style>
  <w:style w:type="character" w:customStyle="1" w:styleId="49">
    <w:name w:val="正文文本 3 Char"/>
    <w:link w:val="11"/>
    <w:qFormat/>
    <w:uiPriority w:val="99"/>
    <w:rPr>
      <w:kern w:val="2"/>
      <w:sz w:val="16"/>
      <w:szCs w:val="16"/>
    </w:rPr>
  </w:style>
  <w:style w:type="character" w:customStyle="1" w:styleId="50">
    <w:name w:val="正文文本 Char1"/>
    <w:link w:val="12"/>
    <w:qFormat/>
    <w:uiPriority w:val="0"/>
    <w:rPr>
      <w:rFonts w:ascii="Times New Roman" w:hAnsi="Times New Roman"/>
      <w:kern w:val="2"/>
      <w:sz w:val="21"/>
      <w:szCs w:val="24"/>
    </w:rPr>
  </w:style>
  <w:style w:type="character" w:customStyle="1" w:styleId="51">
    <w:name w:val="纯文本 Char1"/>
    <w:link w:val="14"/>
    <w:qFormat/>
    <w:uiPriority w:val="0"/>
    <w:rPr>
      <w:rFonts w:ascii="宋体" w:hAnsi="Courier New" w:eastAsia="宋体" w:cs="Courier New"/>
      <w:szCs w:val="21"/>
    </w:rPr>
  </w:style>
  <w:style w:type="character" w:customStyle="1" w:styleId="52">
    <w:name w:val="日期 Char"/>
    <w:link w:val="17"/>
    <w:qFormat/>
    <w:uiPriority w:val="99"/>
    <w:rPr>
      <w:rFonts w:ascii="Times New Roman" w:hAnsi="Times New Roman"/>
      <w:kern w:val="2"/>
      <w:sz w:val="21"/>
      <w:szCs w:val="24"/>
    </w:rPr>
  </w:style>
  <w:style w:type="character" w:customStyle="1" w:styleId="53">
    <w:name w:val="批注框文本 Char"/>
    <w:link w:val="19"/>
    <w:semiHidden/>
    <w:qFormat/>
    <w:uiPriority w:val="0"/>
    <w:rPr>
      <w:kern w:val="2"/>
      <w:sz w:val="18"/>
      <w:szCs w:val="18"/>
    </w:rPr>
  </w:style>
  <w:style w:type="character" w:customStyle="1" w:styleId="54">
    <w:name w:val="页脚 Char"/>
    <w:link w:val="20"/>
    <w:qFormat/>
    <w:uiPriority w:val="99"/>
    <w:rPr>
      <w:sz w:val="18"/>
      <w:szCs w:val="18"/>
    </w:rPr>
  </w:style>
  <w:style w:type="character" w:customStyle="1" w:styleId="55">
    <w:name w:val="页眉 Char"/>
    <w:link w:val="21"/>
    <w:qFormat/>
    <w:uiPriority w:val="99"/>
    <w:rPr>
      <w:sz w:val="18"/>
      <w:szCs w:val="18"/>
    </w:rPr>
  </w:style>
  <w:style w:type="character" w:customStyle="1" w:styleId="56">
    <w:name w:val="批注主题 Char"/>
    <w:link w:val="29"/>
    <w:qFormat/>
    <w:uiPriority w:val="99"/>
    <w:rPr>
      <w:rFonts w:ascii="Times New Roman" w:hAnsi="Times New Roman"/>
      <w:b/>
      <w:bCs/>
      <w:kern w:val="2"/>
      <w:sz w:val="21"/>
      <w:szCs w:val="24"/>
    </w:rPr>
  </w:style>
  <w:style w:type="paragraph" w:customStyle="1" w:styleId="57">
    <w:name w:val="表格文字"/>
    <w:basedOn w:val="13"/>
    <w:next w:val="12"/>
    <w:qFormat/>
    <w:uiPriority w:val="0"/>
    <w:pPr>
      <w:adjustRightInd w:val="0"/>
      <w:spacing w:line="420" w:lineRule="atLeast"/>
      <w:jc w:val="left"/>
      <w:textAlignment w:val="baseline"/>
    </w:pPr>
    <w:rPr>
      <w:kern w:val="0"/>
    </w:rPr>
  </w:style>
  <w:style w:type="character" w:customStyle="1" w:styleId="58">
    <w:name w:val="批注文字 Char"/>
    <w:qFormat/>
    <w:uiPriority w:val="0"/>
    <w:rPr>
      <w:rFonts w:ascii="Times New Roman" w:hAnsi="Times New Roman"/>
      <w:kern w:val="2"/>
      <w:sz w:val="21"/>
      <w:szCs w:val="24"/>
    </w:rPr>
  </w:style>
  <w:style w:type="character" w:customStyle="1" w:styleId="59">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0">
    <w:name w:val="未处理的提及"/>
    <w:unhideWhenUsed/>
    <w:qFormat/>
    <w:uiPriority w:val="99"/>
    <w:rPr>
      <w:color w:val="605E5C"/>
      <w:shd w:val="clear" w:color="auto" w:fill="E1DFDD"/>
    </w:rPr>
  </w:style>
  <w:style w:type="character" w:customStyle="1" w:styleId="61">
    <w:name w:val="标题 8 Char"/>
    <w:qFormat/>
    <w:uiPriority w:val="0"/>
    <w:rPr>
      <w:rFonts w:ascii="Arial" w:hAnsi="Arial" w:eastAsia="黑体"/>
      <w:kern w:val="2"/>
      <w:sz w:val="24"/>
      <w:szCs w:val="24"/>
    </w:rPr>
  </w:style>
  <w:style w:type="character" w:customStyle="1" w:styleId="62">
    <w:name w:val="apple-style-span"/>
    <w:qFormat/>
    <w:uiPriority w:val="0"/>
  </w:style>
  <w:style w:type="character" w:customStyle="1" w:styleId="63">
    <w:name w:val="textcontents"/>
    <w:qFormat/>
    <w:uiPriority w:val="0"/>
  </w:style>
  <w:style w:type="character" w:customStyle="1" w:styleId="64">
    <w:name w:val="批注文字 字符"/>
    <w:qFormat/>
    <w:uiPriority w:val="0"/>
    <w:rPr>
      <w:rFonts w:ascii="Times New Roman" w:hAnsi="Times New Roman"/>
      <w:kern w:val="2"/>
      <w:sz w:val="21"/>
      <w:szCs w:val="24"/>
    </w:rPr>
  </w:style>
  <w:style w:type="character" w:customStyle="1" w:styleId="65">
    <w:name w:val="纯文本 字符1"/>
    <w:qFormat/>
    <w:uiPriority w:val="0"/>
    <w:rPr>
      <w:rFonts w:ascii="宋体" w:hAnsi="Courier New"/>
    </w:rPr>
  </w:style>
  <w:style w:type="character" w:customStyle="1" w:styleId="66">
    <w:name w:val="正文文本 字符"/>
    <w:qFormat/>
    <w:uiPriority w:val="0"/>
    <w:rPr>
      <w:rFonts w:ascii="Times New Roman" w:hAnsi="Times New Roman"/>
      <w:kern w:val="2"/>
      <w:sz w:val="21"/>
      <w:szCs w:val="24"/>
    </w:rPr>
  </w:style>
  <w:style w:type="character" w:customStyle="1" w:styleId="67">
    <w:name w:val="标题 1 字符1"/>
    <w:qFormat/>
    <w:uiPriority w:val="0"/>
    <w:rPr>
      <w:b/>
      <w:bCs/>
      <w:kern w:val="44"/>
      <w:sz w:val="44"/>
      <w:szCs w:val="44"/>
    </w:rPr>
  </w:style>
  <w:style w:type="character" w:customStyle="1" w:styleId="68">
    <w:name w:val="正文2 Char Char"/>
    <w:link w:val="69"/>
    <w:qFormat/>
    <w:uiPriority w:val="0"/>
    <w:rPr>
      <w:sz w:val="24"/>
    </w:rPr>
  </w:style>
  <w:style w:type="paragraph" w:customStyle="1" w:styleId="69">
    <w:name w:val="正文2"/>
    <w:basedOn w:val="1"/>
    <w:link w:val="68"/>
    <w:qFormat/>
    <w:uiPriority w:val="0"/>
    <w:pPr>
      <w:adjustRightInd w:val="0"/>
      <w:spacing w:before="156" w:line="360" w:lineRule="auto"/>
      <w:ind w:firstLine="510" w:firstLineChars="200"/>
    </w:pPr>
    <w:rPr>
      <w:kern w:val="0"/>
      <w:sz w:val="24"/>
      <w:szCs w:val="20"/>
    </w:rPr>
  </w:style>
  <w:style w:type="character" w:customStyle="1" w:styleId="70">
    <w:name w:val="纯文本 Char"/>
    <w:qFormat/>
    <w:uiPriority w:val="99"/>
    <w:rPr>
      <w:rFonts w:ascii="宋体" w:hAnsi="Courier New" w:eastAsia="宋体" w:cs="Courier New"/>
      <w:szCs w:val="21"/>
    </w:rPr>
  </w:style>
  <w:style w:type="character" w:customStyle="1" w:styleId="71">
    <w:name w:val="纯文本 字符2"/>
    <w:qFormat/>
    <w:uiPriority w:val="0"/>
    <w:rPr>
      <w:rFonts w:ascii="宋体" w:hAnsi="Courier New" w:eastAsia="宋体" w:cs="Courier New"/>
      <w:szCs w:val="21"/>
    </w:rPr>
  </w:style>
  <w:style w:type="character" w:customStyle="1" w:styleId="72">
    <w:name w:val="纯文本 字符"/>
    <w:qFormat/>
    <w:uiPriority w:val="0"/>
    <w:rPr>
      <w:rFonts w:ascii="宋体" w:hAnsi="Courier New" w:eastAsia="宋体" w:cs="Courier New"/>
      <w:szCs w:val="21"/>
    </w:rPr>
  </w:style>
  <w:style w:type="character" w:customStyle="1" w:styleId="73">
    <w:name w:val="正文文本 Char"/>
    <w:qFormat/>
    <w:uiPriority w:val="0"/>
    <w:rPr>
      <w:rFonts w:ascii="Times New Roman" w:hAnsi="Times New Roman"/>
      <w:kern w:val="2"/>
      <w:sz w:val="21"/>
      <w:szCs w:val="24"/>
    </w:rPr>
  </w:style>
  <w:style w:type="character" w:customStyle="1" w:styleId="74">
    <w:name w:val="批注文字 字符1"/>
    <w:qFormat/>
    <w:uiPriority w:val="0"/>
    <w:rPr>
      <w:rFonts w:ascii="Times New Roman" w:hAnsi="Times New Roman"/>
      <w:kern w:val="2"/>
      <w:sz w:val="21"/>
      <w:szCs w:val="24"/>
    </w:rPr>
  </w:style>
  <w:style w:type="paragraph" w:customStyle="1" w:styleId="75">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76">
    <w:name w:val="Char Char Char Char"/>
    <w:basedOn w:val="1"/>
    <w:qFormat/>
    <w:uiPriority w:val="0"/>
    <w:pPr>
      <w:widowControl/>
      <w:spacing w:after="160" w:line="240" w:lineRule="exact"/>
      <w:jc w:val="left"/>
    </w:pPr>
  </w:style>
  <w:style w:type="paragraph" w:customStyle="1" w:styleId="77">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78">
    <w:name w:val="默认段落字体 Para Char Char Char Char Char Char Char Char Char1 Char Char Char Char"/>
    <w:basedOn w:val="1"/>
    <w:qFormat/>
    <w:uiPriority w:val="0"/>
    <w:rPr>
      <w:rFonts w:ascii="Tahoma" w:hAnsi="Tahoma"/>
      <w:sz w:val="24"/>
      <w:szCs w:val="20"/>
    </w:rPr>
  </w:style>
  <w:style w:type="paragraph" w:customStyle="1" w:styleId="79">
    <w:name w:val="Table Paragraph"/>
    <w:basedOn w:val="1"/>
    <w:qFormat/>
    <w:uiPriority w:val="1"/>
    <w:pPr>
      <w:jc w:val="left"/>
    </w:pPr>
    <w:rPr>
      <w:rFonts w:ascii="Calibri" w:hAnsi="Calibri"/>
      <w:kern w:val="0"/>
      <w:sz w:val="22"/>
      <w:szCs w:val="22"/>
      <w:lang w:eastAsia="en-US"/>
    </w:rPr>
  </w:style>
  <w:style w:type="paragraph" w:customStyle="1" w:styleId="80">
    <w:name w:val="正文1"/>
    <w:basedOn w:val="1"/>
    <w:qFormat/>
    <w:uiPriority w:val="0"/>
    <w:pPr>
      <w:adjustRightInd w:val="0"/>
      <w:spacing w:line="318" w:lineRule="atLeast"/>
      <w:ind w:left="369" w:firstLine="369"/>
      <w:textAlignment w:val="baseline"/>
    </w:pPr>
    <w:rPr>
      <w:szCs w:val="20"/>
    </w:rPr>
  </w:style>
  <w:style w:type="paragraph" w:styleId="81">
    <w:name w:val="List Paragraph"/>
    <w:basedOn w:val="1"/>
    <w:qFormat/>
    <w:uiPriority w:val="34"/>
    <w:pPr>
      <w:ind w:firstLine="420" w:firstLineChars="200"/>
    </w:pPr>
  </w:style>
  <w:style w:type="paragraph" w:customStyle="1" w:styleId="82">
    <w:name w:val="_Style 80"/>
    <w:basedOn w:val="2"/>
    <w:next w:val="1"/>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lang w:val="en-US" w:eastAsia="zh-CN"/>
    </w:rPr>
  </w:style>
  <w:style w:type="paragraph" w:customStyle="1" w:styleId="83">
    <w:name w:val="正文缩进1"/>
    <w:basedOn w:val="1"/>
    <w:next w:val="13"/>
    <w:qFormat/>
    <w:uiPriority w:val="0"/>
    <w:pPr>
      <w:autoSpaceDE w:val="0"/>
      <w:autoSpaceDN w:val="0"/>
      <w:adjustRightInd w:val="0"/>
      <w:snapToGrid w:val="0"/>
      <w:spacing w:after="120" w:line="360" w:lineRule="auto"/>
      <w:ind w:left="420" w:leftChars="200" w:firstLine="480" w:firstLineChars="200"/>
    </w:pPr>
    <w:rPr>
      <w:sz w:val="24"/>
      <w:szCs w:val="21"/>
    </w:rPr>
  </w:style>
  <w:style w:type="character" w:customStyle="1" w:styleId="84">
    <w:name w:val="NormalCharacter"/>
    <w:qFormat/>
    <w:uiPriority w:val="0"/>
  </w:style>
  <w:style w:type="character" w:customStyle="1" w:styleId="85">
    <w:name w:val="普通文字 Char Char1"/>
    <w:qFormat/>
    <w:uiPriority w:val="0"/>
    <w:rPr>
      <w:rFonts w:ascii="宋体" w:hAnsi="Courier New" w:eastAsia="宋体"/>
      <w:kern w:val="2"/>
      <w:sz w:val="21"/>
      <w:lang w:val="en-US" w:eastAsia="zh-CN" w:bidi="ar-SA"/>
    </w:rPr>
  </w:style>
  <w:style w:type="paragraph" w:styleId="86">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87">
    <w:name w:val="Table Text"/>
    <w:basedOn w:val="1"/>
    <w:semiHidden/>
    <w:qFormat/>
    <w:uiPriority w:val="0"/>
    <w:rPr>
      <w:rFonts w:ascii="宋体" w:hAnsi="宋体" w:eastAsia="宋体" w:cs="宋体"/>
      <w:sz w:val="19"/>
      <w:szCs w:val="19"/>
      <w:lang w:val="en-US" w:eastAsia="en-US" w:bidi="ar-SA"/>
    </w:rPr>
  </w:style>
  <w:style w:type="paragraph" w:customStyle="1" w:styleId="88">
    <w:name w:val="Default"/>
    <w:basedOn w:val="2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9">
    <w:name w:val="List Paragraph2"/>
    <w:basedOn w:val="1"/>
    <w:qFormat/>
    <w:uiPriority w:val="99"/>
    <w:pPr>
      <w:ind w:firstLine="420" w:firstLineChars="200"/>
    </w:pPr>
    <w:rPr>
      <w:rFonts w:ascii="Times New Roman" w:hAnsi="Times New Roman"/>
      <w:szCs w:val="20"/>
    </w:rPr>
  </w:style>
  <w:style w:type="paragraph" w:customStyle="1" w:styleId="90">
    <w:name w:val="table of figures"/>
    <w:basedOn w:val="1"/>
    <w:next w:val="1"/>
    <w:qFormat/>
    <w:uiPriority w:val="0"/>
    <w:pPr>
      <w:ind w:left="200" w:leftChars="200" w:hanging="200" w:hangingChars="200"/>
    </w:pPr>
  </w:style>
  <w:style w:type="paragraph" w:customStyle="1" w:styleId="91">
    <w:name w:val="p15"/>
    <w:basedOn w:val="1"/>
    <w:qFormat/>
    <w:uiPriority w:val="0"/>
    <w:pPr>
      <w:widowControl/>
    </w:pPr>
    <w:rPr>
      <w:rFonts w:ascii="宋体" w:hAnsi="宋体" w:cs="宋体"/>
      <w:kern w:val="0"/>
      <w:szCs w:val="21"/>
    </w:rPr>
  </w:style>
  <w:style w:type="paragraph" w:customStyle="1" w:styleId="92">
    <w:name w:val="p0"/>
    <w:basedOn w:val="1"/>
    <w:qFormat/>
    <w:uiPriority w:val="0"/>
    <w:pPr>
      <w:widowControl/>
    </w:pPr>
    <w:rPr>
      <w:rFonts w:cs="Calibri"/>
      <w:kern w:val="0"/>
      <w:szCs w:val="21"/>
    </w:rPr>
  </w:style>
  <w:style w:type="paragraph" w:customStyle="1" w:styleId="93">
    <w:name w:val="Plain Text"/>
    <w:basedOn w:val="1"/>
    <w:next w:val="5"/>
    <w:qFormat/>
    <w:uiPriority w:val="0"/>
    <w:rPr>
      <w:rFonts w:hint="eastAsia" w:ascii="宋体" w:hAnsi="Courier New" w:eastAsia="宋体" w:cs="Times New Roman"/>
      <w:kern w:val="0"/>
      <w:sz w:val="20"/>
      <w:szCs w:val="21"/>
    </w:rPr>
  </w:style>
  <w:style w:type="table" w:customStyle="1" w:styleId="9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77</Pages>
  <Words>2084</Words>
  <Characters>2448</Characters>
  <Lines>2300</Lines>
  <Paragraphs>2168</Paragraphs>
  <TotalTime>54</TotalTime>
  <ScaleCrop>false</ScaleCrop>
  <LinksUpToDate>false</LinksUpToDate>
  <CharactersWithSpaces>2501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2021-08-17T04:20:00Z</dcterms:created>
  <dc:creator>唐冰</dc:creator>
  <cp:lastModifiedBy>代理机构</cp:lastModifiedBy>
  <cp:lastPrinted>2024-06-05T08:30:00Z</cp:lastPrinted>
  <dcterms:modified xsi:type="dcterms:W3CDTF">2025-04-18T08:00:06Z</dcterms:modified>
  <dc:title>竞争性谈判文件规范</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59327E408E7A41C885B9CEF29E8D81FE_13</vt:lpwstr>
  </property>
  <property fmtid="{D5CDD505-2E9C-101B-9397-08002B2CF9AE}" pid="4" name="KSOTemplateDocerSaveRecord">
    <vt:lpwstr>eyJoZGlkIjoiNjdhOGZkYWE3YzIzZWUyNDFiZWViZTAzNDE4MWIxNDMiLCJ1c2VySWQiOiIzODUzMjY4NTMifQ==</vt:lpwstr>
  </property>
</Properties>
</file>