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76303">
      <w:pPr>
        <w:jc w:val="center"/>
        <w:rPr>
          <w:rFonts w:ascii="方正小标宋简体" w:eastAsia="方正小标宋简体"/>
          <w:color w:val="auto"/>
          <w:sz w:val="52"/>
          <w:szCs w:val="52"/>
          <w:highlight w:val="none"/>
        </w:rPr>
      </w:pPr>
      <w:r>
        <w:rPr>
          <w:color w:val="auto"/>
          <w:highlight w:val="none"/>
        </w:rPr>
        <w:drawing>
          <wp:inline distT="0" distB="0" distL="114300" distR="114300">
            <wp:extent cx="5755005" cy="817245"/>
            <wp:effectExtent l="0" t="0" r="571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755005" cy="817245"/>
                    </a:xfrm>
                    <a:prstGeom prst="rect">
                      <a:avLst/>
                    </a:prstGeom>
                    <a:noFill/>
                    <a:ln>
                      <a:noFill/>
                    </a:ln>
                  </pic:spPr>
                </pic:pic>
              </a:graphicData>
            </a:graphic>
          </wp:inline>
        </w:drawing>
      </w:r>
    </w:p>
    <w:p w14:paraId="0992B768">
      <w:pPr>
        <w:pStyle w:val="10"/>
        <w:adjustRightInd w:val="0"/>
        <w:snapToGrid w:val="0"/>
        <w:rPr>
          <w:rFonts w:hint="eastAsia" w:ascii="方正小标宋简体" w:eastAsia="方正小标宋简体"/>
          <w:b/>
          <w:bCs/>
          <w:color w:val="auto"/>
          <w:spacing w:val="-20"/>
          <w:sz w:val="32"/>
          <w:highlight w:val="none"/>
        </w:rPr>
      </w:pPr>
      <w:r>
        <w:rPr>
          <w:rFonts w:ascii="宋体" w:hAnsi="宋体"/>
          <w:b/>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161925</wp:posOffset>
                </wp:positionV>
                <wp:extent cx="5600700" cy="635"/>
                <wp:effectExtent l="0" t="31750" r="7620" b="43815"/>
                <wp:wrapNone/>
                <wp:docPr id="4" name="直接连接符 4"/>
                <wp:cNvGraphicFramePr/>
                <a:graphic xmlns:a="http://schemas.openxmlformats.org/drawingml/2006/main">
                  <a:graphicData uri="http://schemas.microsoft.com/office/word/2010/wordprocessingShape">
                    <wps:wsp>
                      <wps:cNvCnPr/>
                      <wps:spPr>
                        <a:xfrm flipV="1">
                          <a:off x="0" y="0"/>
                          <a:ext cx="5600700" cy="635"/>
                        </a:xfrm>
                        <a:prstGeom prst="line">
                          <a:avLst/>
                        </a:prstGeom>
                        <a:ln w="63500" cap="flat" cmpd="tri">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6pt;margin-top:12.75pt;height:0.05pt;width:441pt;z-index:251659264;mso-width-relative:page;mso-height-relative:page;" filled="f" stroked="t" coordsize="21600,21600" o:gfxdata="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Rn8J1QAAAAgBAAAPAAAAAAAAAAEAIAAAACIAAABkcnMvZG93bnJl&#10;di54bWxQSwECFAAUAAAACACHTuJAAhvjwwACAAD/AwAADgAAAAAAAAABACAAAAAkAQAAZHJzL2Uy&#10;b0RvYy54bWxQSwUGAAAAAAYABgBZAQAAlgUAAAAA&#10;">
                <v:fill on="f" focussize="0,0"/>
                <v:stroke weight="5pt" color="#FF0000" linestyle="thickBetweenThin" joinstyle="round"/>
                <v:imagedata o:title=""/>
                <o:lock v:ext="edit" aspectratio="f"/>
              </v:line>
            </w:pict>
          </mc:Fallback>
        </mc:AlternateContent>
      </w:r>
    </w:p>
    <w:p w14:paraId="4AFD5B70">
      <w:pPr>
        <w:spacing w:before="156" w:beforeLines="50"/>
        <w:jc w:val="both"/>
        <w:rPr>
          <w:rFonts w:hint="eastAsia" w:ascii="宋体" w:hAnsi="宋体"/>
          <w:b/>
          <w:color w:val="auto"/>
          <w:sz w:val="84"/>
          <w:szCs w:val="84"/>
          <w:highlight w:val="none"/>
        </w:rPr>
      </w:pPr>
    </w:p>
    <w:p w14:paraId="15B6E3AF">
      <w:pPr>
        <w:spacing w:before="156" w:beforeLines="50"/>
        <w:jc w:val="center"/>
        <w:rPr>
          <w:rFonts w:hint="eastAsia" w:ascii="宋体" w:hAnsi="宋体"/>
          <w:b/>
          <w:color w:val="auto"/>
          <w:sz w:val="84"/>
          <w:szCs w:val="84"/>
          <w:highlight w:val="none"/>
        </w:rPr>
      </w:pPr>
      <w:r>
        <w:rPr>
          <w:rFonts w:hint="eastAsia" w:ascii="宋体" w:hAnsi="宋体"/>
          <w:b/>
          <w:color w:val="auto"/>
          <w:sz w:val="84"/>
          <w:szCs w:val="84"/>
          <w:highlight w:val="none"/>
        </w:rPr>
        <w:t>竞争性</w:t>
      </w:r>
      <w:r>
        <w:rPr>
          <w:rFonts w:hint="eastAsia" w:ascii="宋体" w:hAnsi="宋体"/>
          <w:b/>
          <w:color w:val="auto"/>
          <w:sz w:val="84"/>
          <w:szCs w:val="84"/>
          <w:highlight w:val="none"/>
          <w:lang w:eastAsia="zh-CN"/>
        </w:rPr>
        <w:t>谈判</w:t>
      </w:r>
      <w:r>
        <w:rPr>
          <w:rFonts w:hint="eastAsia" w:ascii="宋体" w:hAnsi="宋体"/>
          <w:b/>
          <w:color w:val="auto"/>
          <w:sz w:val="84"/>
          <w:szCs w:val="84"/>
          <w:highlight w:val="none"/>
        </w:rPr>
        <w:t>采购文件</w:t>
      </w:r>
    </w:p>
    <w:p w14:paraId="59A9B7BA">
      <w:pPr>
        <w:rPr>
          <w:rFonts w:hint="eastAsia"/>
          <w:color w:val="auto"/>
          <w:sz w:val="32"/>
          <w:szCs w:val="32"/>
          <w:highlight w:val="none"/>
        </w:rPr>
      </w:pPr>
    </w:p>
    <w:p w14:paraId="73091102">
      <w:pPr>
        <w:rPr>
          <w:rFonts w:hint="eastAsia"/>
          <w:color w:val="auto"/>
          <w:sz w:val="32"/>
          <w:szCs w:val="32"/>
          <w:highlight w:val="none"/>
        </w:rPr>
      </w:pPr>
    </w:p>
    <w:p w14:paraId="496F9464">
      <w:pPr>
        <w:pStyle w:val="6"/>
        <w:rPr>
          <w:rFonts w:hint="eastAsia"/>
          <w:color w:val="auto"/>
          <w:highlight w:val="none"/>
        </w:rPr>
      </w:pPr>
    </w:p>
    <w:p w14:paraId="4658DAE5">
      <w:pPr>
        <w:ind w:left="2564" w:leftChars="456" w:hanging="1606" w:hangingChars="500"/>
        <w:rPr>
          <w:rFonts w:hint="eastAsia" w:eastAsiaTheme="minorEastAsia"/>
          <w:color w:val="auto"/>
          <w:sz w:val="32"/>
          <w:szCs w:val="32"/>
          <w:highlight w:val="none"/>
          <w:u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合浦廉州中学科普体验馆设备采购</w:t>
      </w:r>
    </w:p>
    <w:p w14:paraId="1D448DFC">
      <w:pPr>
        <w:spacing w:line="360" w:lineRule="auto"/>
        <w:ind w:firstLine="2249" w:firstLineChars="700"/>
        <w:jc w:val="left"/>
        <w:rPr>
          <w:rFonts w:hint="eastAsia" w:ascii="宋体" w:hAnsi="宋体" w:cs="宋体"/>
          <w:b/>
          <w:color w:val="auto"/>
          <w:sz w:val="32"/>
          <w:szCs w:val="32"/>
          <w:highlight w:val="none"/>
          <w:u w:val="none"/>
        </w:rPr>
      </w:pPr>
    </w:p>
    <w:p w14:paraId="75DBA843">
      <w:pPr>
        <w:spacing w:line="360" w:lineRule="auto"/>
        <w:ind w:firstLine="964" w:firstLineChars="300"/>
        <w:jc w:val="left"/>
        <w:rPr>
          <w:rFonts w:hint="eastAsia" w:ascii="宋体" w:hAnsi="宋体" w:cs="宋体" w:eastAsiaTheme="minorEastAsia"/>
          <w:b/>
          <w:color w:val="auto"/>
          <w:sz w:val="32"/>
          <w:szCs w:val="32"/>
          <w:highlight w:val="none"/>
          <w:u w:val="none"/>
          <w:lang w:eastAsia="zh-CN"/>
        </w:rPr>
      </w:pPr>
      <w:r>
        <w:rPr>
          <w:rFonts w:hint="eastAsia" w:ascii="宋体" w:hAnsi="宋体" w:cs="宋体"/>
          <w:b/>
          <w:color w:val="auto"/>
          <w:sz w:val="32"/>
          <w:szCs w:val="32"/>
          <w:highlight w:val="none"/>
          <w:u w:val="none"/>
        </w:rPr>
        <w:t>项目编号：BHZC2024-J1-210330-ZZYG</w:t>
      </w:r>
    </w:p>
    <w:p w14:paraId="370BBCE7">
      <w:pPr>
        <w:spacing w:line="360" w:lineRule="auto"/>
        <w:ind w:firstLine="723" w:firstLineChars="225"/>
        <w:jc w:val="left"/>
        <w:rPr>
          <w:rFonts w:hint="eastAsia" w:ascii="宋体" w:hAnsi="宋体" w:cs="宋体"/>
          <w:b/>
          <w:color w:val="auto"/>
          <w:sz w:val="32"/>
          <w:szCs w:val="32"/>
          <w:highlight w:val="none"/>
          <w:u w:val="none"/>
        </w:rPr>
      </w:pPr>
    </w:p>
    <w:p w14:paraId="40CA1291">
      <w:pPr>
        <w:spacing w:line="360" w:lineRule="auto"/>
        <w:ind w:left="1602" w:leftChars="610" w:hanging="321" w:hangingChars="100"/>
        <w:rPr>
          <w:rFonts w:hint="eastAsia" w:ascii="宋体" w:hAnsi="宋体" w:cs="宋体" w:eastAsiaTheme="minorEastAsia"/>
          <w:b/>
          <w:color w:val="auto"/>
          <w:sz w:val="32"/>
          <w:szCs w:val="32"/>
          <w:highlight w:val="none"/>
          <w:u w:val="none"/>
          <w:lang w:val="en-US" w:eastAsia="zh-CN"/>
        </w:rPr>
      </w:pPr>
    </w:p>
    <w:p w14:paraId="21A7F20B">
      <w:pPr>
        <w:spacing w:line="360" w:lineRule="auto"/>
        <w:ind w:firstLine="723" w:firstLineChars="225"/>
        <w:jc w:val="left"/>
        <w:rPr>
          <w:rFonts w:hint="eastAsia" w:ascii="宋体" w:hAnsi="宋体" w:cs="宋体"/>
          <w:b/>
          <w:color w:val="auto"/>
          <w:sz w:val="32"/>
          <w:szCs w:val="32"/>
          <w:highlight w:val="none"/>
          <w:u w:val="none"/>
        </w:rPr>
      </w:pPr>
    </w:p>
    <w:p w14:paraId="1268B185">
      <w:pPr>
        <w:spacing w:line="360" w:lineRule="auto"/>
        <w:ind w:firstLine="723" w:firstLineChars="225"/>
        <w:jc w:val="left"/>
        <w:rPr>
          <w:rFonts w:hint="eastAsia" w:ascii="宋体" w:hAnsi="宋体" w:cs="宋体"/>
          <w:b/>
          <w:color w:val="auto"/>
          <w:sz w:val="32"/>
          <w:szCs w:val="32"/>
          <w:highlight w:val="none"/>
          <w:u w:val="none"/>
        </w:rPr>
      </w:pPr>
    </w:p>
    <w:p w14:paraId="4552A3E7">
      <w:pPr>
        <w:spacing w:line="360" w:lineRule="auto"/>
        <w:ind w:firstLine="723" w:firstLineChars="225"/>
        <w:jc w:val="left"/>
        <w:rPr>
          <w:rFonts w:hint="eastAsia" w:ascii="宋体" w:hAnsi="宋体" w:cs="宋体"/>
          <w:b/>
          <w:color w:val="auto"/>
          <w:sz w:val="32"/>
          <w:szCs w:val="32"/>
          <w:highlight w:val="none"/>
          <w:u w:val="none"/>
        </w:rPr>
      </w:pPr>
      <w:r>
        <w:rPr>
          <w:rFonts w:ascii="宋体" w:hAnsi="宋体"/>
          <w:b/>
          <w:color w:val="auto"/>
          <w:sz w:val="32"/>
          <w:highlight w:val="none"/>
          <w:u w:val="none"/>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167005</wp:posOffset>
                </wp:positionV>
                <wp:extent cx="5600700" cy="635"/>
                <wp:effectExtent l="0" t="31750" r="7620" b="43815"/>
                <wp:wrapNone/>
                <wp:docPr id="6" name="直接连接符 6"/>
                <wp:cNvGraphicFramePr/>
                <a:graphic xmlns:a="http://schemas.openxmlformats.org/drawingml/2006/main">
                  <a:graphicData uri="http://schemas.microsoft.com/office/word/2010/wordprocessingShape">
                    <wps:wsp>
                      <wps:cNvCnPr/>
                      <wps:spPr>
                        <a:xfrm flipV="1">
                          <a:off x="0" y="0"/>
                          <a:ext cx="5600700" cy="635"/>
                        </a:xfrm>
                        <a:prstGeom prst="line">
                          <a:avLst/>
                        </a:prstGeom>
                        <a:ln w="63500" cap="flat" cmpd="tri">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2pt;margin-top:13.15pt;height:0.05pt;width:441pt;z-index:251662336;mso-width-relative:page;mso-height-relative:page;" filled="f" stroked="t" coordsize="21600,21600" o:gfxdata="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sicy1gAAAAkBAAAPAAAAAAAAAAEAIAAAACIAAABkcnMvZG93bnJl&#10;di54bWxQSwECFAAUAAAACACHTuJAaeu1hP8BAAD/AwAADgAAAAAAAAABACAAAAAlAQAAZHJzL2Uy&#10;b0RvYy54bWxQSwUGAAAAAAYABgBZAQAAlgUAAAAA&#10;">
                <v:fill on="f" focussize="0,0"/>
                <v:stroke weight="5pt" color="#FF0000" linestyle="thickBetweenThin" joinstyle="round"/>
                <v:imagedata o:title=""/>
                <o:lock v:ext="edit" aspectratio="f"/>
              </v:line>
            </w:pict>
          </mc:Fallback>
        </mc:AlternateContent>
      </w:r>
      <w:r>
        <w:rPr>
          <w:rFonts w:ascii="宋体" w:hAnsi="宋体"/>
          <w:b/>
          <w:color w:val="auto"/>
          <w:sz w:val="32"/>
          <w:highlight w:val="none"/>
          <w:u w:val="none"/>
        </w:rPr>
        <mc:AlternateContent>
          <mc:Choice Requires="wps">
            <w:drawing>
              <wp:anchor distT="0" distB="0" distL="114300" distR="114300" simplePos="0" relativeHeight="251661312" behindDoc="0" locked="0" layoutInCell="1" allowOverlap="1">
                <wp:simplePos x="0" y="0"/>
                <wp:positionH relativeFrom="column">
                  <wp:posOffset>1028065</wp:posOffset>
                </wp:positionH>
                <wp:positionV relativeFrom="paragraph">
                  <wp:posOffset>8824595</wp:posOffset>
                </wp:positionV>
                <wp:extent cx="5600700" cy="635"/>
                <wp:effectExtent l="0" t="31750" r="7620" b="43815"/>
                <wp:wrapNone/>
                <wp:docPr id="5" name="直接连接符 5"/>
                <wp:cNvGraphicFramePr/>
                <a:graphic xmlns:a="http://schemas.openxmlformats.org/drawingml/2006/main">
                  <a:graphicData uri="http://schemas.microsoft.com/office/word/2010/wordprocessingShape">
                    <wps:wsp>
                      <wps:cNvCnPr/>
                      <wps:spPr>
                        <a:xfrm flipV="1">
                          <a:off x="0" y="0"/>
                          <a:ext cx="5600700" cy="635"/>
                        </a:xfrm>
                        <a:prstGeom prst="line">
                          <a:avLst/>
                        </a:prstGeom>
                        <a:ln w="63500" cap="flat" cmpd="tri">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0.95pt;margin-top:694.85pt;height:0.05pt;width:441pt;z-index:251661312;mso-width-relative:page;mso-height-relative:page;" filled="f" stroked="t" coordsize="21600,21600" o:gfxdata="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dTfV1wAAAA4BAAAPAAAAAAAAAAEAIAAAACIAAABkcnMvZG93&#10;bnJldi54bWxQSwECFAAUAAAACACHTuJAF+DwDQECAAD/AwAADgAAAAAAAAABACAAAAAmAQAAZHJz&#10;L2Uyb0RvYy54bWxQSwUGAAAAAAYABgBZAQAAmQUAAAAA&#10;">
                <v:fill on="f" focussize="0,0"/>
                <v:stroke weight="5pt" color="#FF0000" linestyle="thickBetweenThin" joinstyle="round"/>
                <v:imagedata o:title=""/>
                <o:lock v:ext="edit" aspectratio="f"/>
              </v:line>
            </w:pict>
          </mc:Fallback>
        </mc:AlternateContent>
      </w:r>
    </w:p>
    <w:p w14:paraId="35781539">
      <w:pPr>
        <w:spacing w:line="360" w:lineRule="auto"/>
        <w:ind w:firstLine="1928" w:firstLineChars="600"/>
        <w:jc w:val="left"/>
        <w:rPr>
          <w:rFonts w:hint="eastAsia" w:ascii="宋体" w:hAnsi="宋体" w:cs="宋体"/>
          <w:b/>
          <w:color w:val="auto"/>
          <w:sz w:val="32"/>
          <w:szCs w:val="32"/>
          <w:highlight w:val="none"/>
          <w:u w:val="none"/>
        </w:rPr>
      </w:pPr>
      <w:r>
        <w:rPr>
          <w:rFonts w:hint="eastAsia" w:ascii="宋体" w:hAnsi="宋体" w:cs="宋体"/>
          <w:b/>
          <w:color w:val="auto"/>
          <w:sz w:val="32"/>
          <w:szCs w:val="32"/>
          <w:highlight w:val="none"/>
          <w:u w:val="none"/>
        </w:rPr>
        <w:t>采购单位：</w:t>
      </w:r>
      <w:r>
        <w:rPr>
          <w:rFonts w:hint="eastAsia" w:ascii="宋体" w:hAnsi="宋体" w:cs="宋体"/>
          <w:b/>
          <w:color w:val="auto"/>
          <w:sz w:val="32"/>
          <w:szCs w:val="32"/>
          <w:highlight w:val="none"/>
          <w:u w:val="none"/>
          <w:lang w:val="en-US" w:eastAsia="zh-CN"/>
        </w:rPr>
        <w:t>合浦廉州中学</w:t>
      </w:r>
    </w:p>
    <w:p w14:paraId="69A3D941">
      <w:pPr>
        <w:spacing w:line="360" w:lineRule="auto"/>
        <w:ind w:firstLine="1928" w:firstLineChars="600"/>
        <w:jc w:val="left"/>
        <w:rPr>
          <w:rFonts w:hint="eastAsia"/>
          <w:b/>
          <w:bCs/>
          <w:color w:val="auto"/>
          <w:sz w:val="32"/>
          <w:szCs w:val="32"/>
          <w:highlight w:val="none"/>
          <w:u w:val="none"/>
        </w:rPr>
      </w:pPr>
      <w:r>
        <w:rPr>
          <w:rFonts w:hint="eastAsia" w:ascii="宋体" w:hAnsi="宋体" w:cs="宋体"/>
          <w:b/>
          <w:color w:val="auto"/>
          <w:sz w:val="32"/>
          <w:szCs w:val="32"/>
          <w:highlight w:val="none"/>
          <w:u w:val="none"/>
        </w:rPr>
        <w:t>采购代理机构：</w:t>
      </w:r>
      <w:r>
        <w:rPr>
          <w:rFonts w:hint="eastAsia" w:ascii="宋体" w:hAnsi="宋体" w:cs="宋体"/>
          <w:b/>
          <w:color w:val="auto"/>
          <w:sz w:val="32"/>
          <w:szCs w:val="32"/>
          <w:highlight w:val="none"/>
          <w:u w:val="none"/>
          <w:lang w:eastAsia="zh-CN"/>
        </w:rPr>
        <w:t>广西中之元工程管理有限公司</w:t>
      </w:r>
      <w:r>
        <w:rPr>
          <w:rFonts w:hint="eastAsia"/>
          <w:b/>
          <w:bCs/>
          <w:color w:val="auto"/>
          <w:sz w:val="32"/>
          <w:szCs w:val="32"/>
          <w:highlight w:val="none"/>
          <w:u w:val="none"/>
        </w:rPr>
        <w:t xml:space="preserve"> </w:t>
      </w:r>
    </w:p>
    <w:p w14:paraId="2C43C823">
      <w:pPr>
        <w:jc w:val="center"/>
        <w:rPr>
          <w:rFonts w:hint="eastAsia" w:eastAsia="宋体"/>
          <w:b/>
          <w:bCs/>
          <w:color w:val="auto"/>
          <w:sz w:val="32"/>
          <w:szCs w:val="32"/>
          <w:highlight w:val="none"/>
          <w:lang w:eastAsia="zh-CN"/>
        </w:rPr>
      </w:pPr>
      <w:r>
        <w:rPr>
          <w:rFonts w:hint="eastAsia"/>
          <w:b/>
          <w:bCs/>
          <w:color w:val="auto"/>
          <w:sz w:val="32"/>
          <w:szCs w:val="32"/>
          <w:highlight w:val="none"/>
        </w:rPr>
        <w:t xml:space="preserve"> </w:t>
      </w:r>
      <w:r>
        <w:rPr>
          <w:rFonts w:hint="eastAsia"/>
          <w:b/>
          <w:bCs/>
          <w:color w:val="auto"/>
          <w:sz w:val="32"/>
          <w:szCs w:val="32"/>
          <w:highlight w:val="none"/>
          <w:lang w:eastAsia="zh-CN"/>
        </w:rPr>
        <w:t>202</w:t>
      </w:r>
      <w:r>
        <w:rPr>
          <w:rFonts w:hint="eastAsia"/>
          <w:b/>
          <w:bCs/>
          <w:color w:val="auto"/>
          <w:sz w:val="32"/>
          <w:szCs w:val="32"/>
          <w:highlight w:val="none"/>
          <w:lang w:val="en-US" w:eastAsia="zh-CN"/>
        </w:rPr>
        <w:t>4</w:t>
      </w:r>
      <w:r>
        <w:rPr>
          <w:rFonts w:hint="eastAsia"/>
          <w:b/>
          <w:bCs/>
          <w:color w:val="auto"/>
          <w:sz w:val="32"/>
          <w:szCs w:val="32"/>
          <w:highlight w:val="none"/>
          <w:lang w:eastAsia="zh-CN"/>
        </w:rPr>
        <w:t>年</w:t>
      </w:r>
      <w:r>
        <w:rPr>
          <w:rFonts w:hint="eastAsia"/>
          <w:b/>
          <w:bCs/>
          <w:color w:val="auto"/>
          <w:sz w:val="32"/>
          <w:szCs w:val="32"/>
          <w:highlight w:val="none"/>
          <w:lang w:val="en-US" w:eastAsia="zh-CN"/>
        </w:rPr>
        <w:t>11</w:t>
      </w:r>
      <w:r>
        <w:rPr>
          <w:rFonts w:hint="eastAsia"/>
          <w:b/>
          <w:bCs/>
          <w:color w:val="auto"/>
          <w:sz w:val="32"/>
          <w:szCs w:val="32"/>
          <w:highlight w:val="none"/>
          <w:lang w:eastAsia="zh-CN"/>
        </w:rPr>
        <w:t>月</w:t>
      </w:r>
    </w:p>
    <w:p w14:paraId="60735099">
      <w:pPr>
        <w:jc w:val="center"/>
        <w:rPr>
          <w:rFonts w:hint="eastAsia" w:ascii="宋体" w:hAnsi="宋体" w:eastAsia="宋体" w:cs="宋体"/>
          <w:b/>
          <w:bCs/>
          <w:color w:val="auto"/>
          <w:sz w:val="36"/>
          <w:szCs w:val="36"/>
          <w:highlight w:val="none"/>
          <w:lang w:eastAsia="zh-CN"/>
        </w:rPr>
        <w:sectPr>
          <w:pgSz w:w="11906" w:h="16838"/>
          <w:pgMar w:top="1247" w:right="1247" w:bottom="1247" w:left="1247" w:header="851" w:footer="992" w:gutter="0"/>
          <w:cols w:space="425" w:num="1"/>
          <w:docGrid w:type="lines" w:linePitch="312" w:charSpace="0"/>
        </w:sectPr>
      </w:pPr>
    </w:p>
    <w:p w14:paraId="423CE962">
      <w:pPr>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录</w:t>
      </w:r>
    </w:p>
    <w:p w14:paraId="64E17753">
      <w:pPr>
        <w:pStyle w:val="6"/>
        <w:ind w:left="0" w:leftChars="0" w:firstLine="0" w:firstLineChars="0"/>
        <w:rPr>
          <w:rFonts w:hint="eastAsia" w:ascii="宋体" w:hAnsi="宋体" w:eastAsia="宋体" w:cs="宋体"/>
          <w:b/>
          <w:bCs/>
          <w:color w:val="auto"/>
          <w:sz w:val="36"/>
          <w:szCs w:val="36"/>
          <w:highlight w:val="none"/>
          <w:lang w:eastAsia="zh-CN"/>
        </w:rPr>
      </w:pPr>
    </w:p>
    <w:p w14:paraId="3B73FEAA">
      <w:pPr>
        <w:pStyle w:val="14"/>
        <w:tabs>
          <w:tab w:val="right" w:leader="dot" w:pos="963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TOC \o "1-1" \h \u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_Toc6880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val="en-US" w:eastAsia="zh-CN"/>
        </w:rPr>
        <w:t>第一章  竞争性谈判公告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_Toc6880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eastAsia="zh-CN"/>
        </w:rPr>
        <w:fldChar w:fldCharType="end"/>
      </w:r>
    </w:p>
    <w:p w14:paraId="66BD05B4">
      <w:pPr>
        <w:pStyle w:val="14"/>
        <w:tabs>
          <w:tab w:val="right" w:leader="dot" w:pos="963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_Toc19050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val="en-US" w:eastAsia="zh-CN"/>
        </w:rPr>
        <w:t>第二章  谈判供应商</w:t>
      </w:r>
      <w:bookmarkStart w:id="102" w:name="_GoBack"/>
      <w:bookmarkEnd w:id="102"/>
      <w:r>
        <w:rPr>
          <w:rFonts w:hint="eastAsia" w:ascii="宋体" w:hAnsi="宋体" w:eastAsia="宋体" w:cs="宋体"/>
          <w:color w:val="auto"/>
          <w:sz w:val="28"/>
          <w:szCs w:val="28"/>
          <w:highlight w:val="none"/>
          <w:lang w:val="en-US" w:eastAsia="zh-CN"/>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_Toc19050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eastAsia="zh-CN"/>
        </w:rPr>
        <w:fldChar w:fldCharType="end"/>
      </w:r>
    </w:p>
    <w:p w14:paraId="166E9CCC">
      <w:pPr>
        <w:pStyle w:val="14"/>
        <w:tabs>
          <w:tab w:val="right" w:leader="dot" w:pos="963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_Toc19056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val="en-US" w:eastAsia="zh-CN"/>
        </w:rPr>
        <w:t>第三章  采购项目需求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_Toc19056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eastAsia="zh-CN"/>
        </w:rPr>
        <w:fldChar w:fldCharType="end"/>
      </w:r>
    </w:p>
    <w:p w14:paraId="29928AE7">
      <w:pPr>
        <w:pStyle w:val="14"/>
        <w:tabs>
          <w:tab w:val="right" w:leader="dot" w:pos="9638"/>
        </w:tabs>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_Toc6559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eastAsia="zh-CN"/>
        </w:rPr>
        <w:t>第四章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竞争性谈判响应文件格式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fldChar w:fldCharType="end"/>
      </w:r>
      <w:r>
        <w:rPr>
          <w:rFonts w:hint="eastAsia" w:ascii="宋体" w:hAnsi="宋体" w:eastAsia="宋体" w:cs="宋体"/>
          <w:color w:val="auto"/>
          <w:sz w:val="28"/>
          <w:szCs w:val="28"/>
          <w:highlight w:val="none"/>
          <w:lang w:val="en-US" w:eastAsia="zh-CN"/>
        </w:rPr>
        <w:t>5</w:t>
      </w:r>
    </w:p>
    <w:p w14:paraId="037F1506">
      <w:pPr>
        <w:pStyle w:val="14"/>
        <w:tabs>
          <w:tab w:val="right" w:leader="dot" w:pos="9638"/>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_Toc3262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rPr>
        <w:t>第五章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eastAsia="zh-CN"/>
        </w:rPr>
        <w:fldChar w:fldCharType="end"/>
      </w:r>
    </w:p>
    <w:p w14:paraId="5AC10102">
      <w:pPr>
        <w:pStyle w:val="14"/>
        <w:tabs>
          <w:tab w:val="right" w:leader="dot" w:pos="9638"/>
        </w:tabs>
        <w:rPr>
          <w:color w:val="auto"/>
          <w:highlight w:val="none"/>
        </w:rPr>
      </w:pPr>
      <w:r>
        <w:rPr>
          <w:rFonts w:hint="eastAsia" w:ascii="宋体" w:hAnsi="宋体" w:eastAsia="宋体" w:cs="宋体"/>
          <w:color w:val="auto"/>
          <w:sz w:val="28"/>
          <w:szCs w:val="28"/>
          <w:highlight w:val="none"/>
          <w:lang w:eastAsia="zh-CN"/>
        </w:rPr>
        <w:fldChar w:fldCharType="begin"/>
      </w:r>
      <w:r>
        <w:rPr>
          <w:rFonts w:hint="eastAsia" w:ascii="宋体" w:hAnsi="宋体" w:eastAsia="宋体" w:cs="宋体"/>
          <w:color w:val="auto"/>
          <w:sz w:val="28"/>
          <w:szCs w:val="28"/>
          <w:highlight w:val="none"/>
          <w:lang w:eastAsia="zh-CN"/>
        </w:rPr>
        <w:instrText xml:space="preserve"> HYPERLINK \l _Toc26122 </w:instrText>
      </w:r>
      <w:r>
        <w:rPr>
          <w:rFonts w:hint="eastAsia" w:ascii="宋体" w:hAnsi="宋体" w:eastAsia="宋体" w:cs="宋体"/>
          <w:color w:val="auto"/>
          <w:sz w:val="28"/>
          <w:szCs w:val="28"/>
          <w:highlight w:val="none"/>
          <w:lang w:eastAsia="zh-CN"/>
        </w:rPr>
        <w:fldChar w:fldCharType="separate"/>
      </w:r>
      <w:r>
        <w:rPr>
          <w:rFonts w:hint="eastAsia" w:ascii="宋体" w:hAnsi="宋体" w:eastAsia="宋体" w:cs="宋体"/>
          <w:color w:val="auto"/>
          <w:sz w:val="28"/>
          <w:szCs w:val="28"/>
          <w:highlight w:val="none"/>
          <w:lang w:eastAsia="zh-CN"/>
        </w:rPr>
        <w:t>第六章</w:t>
      </w:r>
      <w:r>
        <w:rPr>
          <w:rFonts w:hint="eastAsia" w:ascii="宋体" w:hAnsi="宋体" w:eastAsia="宋体" w:cs="宋体"/>
          <w:color w:val="auto"/>
          <w:sz w:val="28"/>
          <w:szCs w:val="28"/>
          <w:highlight w:val="none"/>
          <w:lang w:val="en-US" w:eastAsia="zh-CN"/>
        </w:rPr>
        <w:t xml:space="preserve">  评定标准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_Toc26122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eastAsia="zh-CN"/>
        </w:rPr>
        <w:fldChar w:fldCharType="end"/>
      </w:r>
    </w:p>
    <w:p w14:paraId="5F5B6B2F">
      <w:pPr>
        <w:pStyle w:val="6"/>
        <w:rPr>
          <w:rFonts w:hint="eastAsia" w:ascii="宋体" w:hAnsi="宋体" w:eastAsia="宋体" w:cs="宋体"/>
          <w:color w:val="auto"/>
          <w:sz w:val="28"/>
          <w:szCs w:val="28"/>
          <w:highlight w:val="none"/>
          <w:lang w:eastAsia="zh-CN"/>
        </w:rPr>
      </w:pPr>
      <w:r>
        <w:rPr>
          <w:rFonts w:hint="eastAsia" w:ascii="宋体" w:hAnsi="宋体" w:eastAsia="宋体" w:cs="宋体"/>
          <w:color w:val="auto"/>
          <w:szCs w:val="28"/>
          <w:highlight w:val="none"/>
          <w:lang w:eastAsia="zh-CN"/>
        </w:rPr>
        <w:fldChar w:fldCharType="end"/>
      </w:r>
    </w:p>
    <w:p w14:paraId="52ECB97F">
      <w:pPr>
        <w:pStyle w:val="2"/>
        <w:bidi w:val="0"/>
        <w:rPr>
          <w:rFonts w:hint="eastAsia"/>
          <w:color w:val="auto"/>
          <w:highlight w:val="none"/>
          <w:lang w:val="en-US" w:eastAsia="zh-CN"/>
        </w:rPr>
        <w:sectPr>
          <w:footerReference r:id="rId3" w:type="default"/>
          <w:pgSz w:w="11906" w:h="16838"/>
          <w:pgMar w:top="1247" w:right="1247" w:bottom="1247" w:left="1247" w:header="851" w:footer="992" w:gutter="0"/>
          <w:pgNumType w:start="1"/>
          <w:cols w:space="425" w:num="1"/>
          <w:docGrid w:type="lines" w:linePitch="312" w:charSpace="0"/>
        </w:sectPr>
      </w:pPr>
    </w:p>
    <w:p w14:paraId="239CF90D">
      <w:pPr>
        <w:pStyle w:val="2"/>
        <w:bidi w:val="0"/>
        <w:rPr>
          <w:rFonts w:hint="default"/>
          <w:color w:val="auto"/>
          <w:highlight w:val="none"/>
          <w:lang w:val="en-US" w:eastAsia="zh-CN"/>
        </w:rPr>
      </w:pPr>
      <w:bookmarkStart w:id="0" w:name="_Toc6880"/>
      <w:r>
        <w:rPr>
          <w:rFonts w:hint="eastAsia"/>
          <w:color w:val="auto"/>
          <w:highlight w:val="none"/>
          <w:lang w:val="en-US" w:eastAsia="zh-CN"/>
        </w:rPr>
        <w:t>第一章  竞争性谈判公告</w:t>
      </w:r>
      <w:bookmarkEnd w:id="0"/>
    </w:p>
    <w:p w14:paraId="07953F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eastAsiaTheme="minorEastAsia"/>
          <w:b/>
          <w:bCs/>
          <w:color w:val="auto"/>
          <w:sz w:val="28"/>
          <w:szCs w:val="28"/>
          <w:highlight w:val="none"/>
          <w:lang w:val="en-US" w:eastAsia="zh-CN"/>
        </w:rPr>
      </w:pPr>
      <w:r>
        <w:rPr>
          <w:rFonts w:hint="eastAsia" w:ascii="宋体" w:hAnsi="宋体" w:cs="宋体"/>
          <w:b/>
          <w:bCs/>
          <w:color w:val="auto"/>
          <w:sz w:val="28"/>
          <w:szCs w:val="28"/>
          <w:highlight w:val="none"/>
          <w:lang w:eastAsia="zh-CN"/>
        </w:rPr>
        <w:t>合浦廉州中学科普体验馆设备采购</w:t>
      </w:r>
      <w:r>
        <w:rPr>
          <w:rFonts w:hint="eastAsia" w:ascii="宋体" w:hAnsi="宋体" w:cs="宋体"/>
          <w:b/>
          <w:bCs/>
          <w:color w:val="auto"/>
          <w:sz w:val="28"/>
          <w:szCs w:val="28"/>
          <w:highlight w:val="none"/>
        </w:rPr>
        <w:t>竞争性谈判公告</w:t>
      </w:r>
      <w:r>
        <w:rPr>
          <w:rFonts w:hint="eastAsia" w:ascii="宋体" w:hAnsi="宋体" w:cs="宋体"/>
          <w:b/>
          <w:bCs/>
          <w:color w:val="auto"/>
          <w:sz w:val="28"/>
          <w:szCs w:val="28"/>
          <w:highlight w:val="none"/>
          <w:lang w:eastAsia="zh-CN"/>
        </w:rPr>
        <w:t>（远程异地评标</w:t>
      </w:r>
      <w:r>
        <w:rPr>
          <w:b/>
          <w:bCs/>
          <w:spacing w:val="-5"/>
          <w:sz w:val="30"/>
          <w:szCs w:val="30"/>
        </w:rPr>
        <w:t>项目</w:t>
      </w:r>
      <w:r>
        <w:rPr>
          <w:rFonts w:hint="eastAsia" w:ascii="宋体" w:hAnsi="宋体" w:cs="宋体"/>
          <w:b/>
          <w:bCs/>
          <w:color w:val="auto"/>
          <w:sz w:val="28"/>
          <w:szCs w:val="28"/>
          <w:highlight w:val="none"/>
          <w:lang w:eastAsia="zh-CN"/>
        </w:rPr>
        <w:t>）</w:t>
      </w:r>
    </w:p>
    <w:p w14:paraId="714E2470">
      <w:pPr>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highlight w:val="none"/>
        </w:rPr>
      </w:pPr>
    </w:p>
    <w:p w14:paraId="676362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0991239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eastAsia="zh-CN"/>
        </w:rPr>
        <w:t>合浦廉州中学科普体验馆设备采购</w:t>
      </w:r>
      <w:r>
        <w:rPr>
          <w:rFonts w:hint="eastAsia" w:ascii="宋体" w:hAnsi="宋体" w:eastAsia="宋体" w:cs="宋体"/>
          <w:color w:val="auto"/>
          <w:sz w:val="22"/>
          <w:szCs w:val="22"/>
          <w:highlight w:val="none"/>
        </w:rPr>
        <w:t>采购项目的潜在供应商</w:t>
      </w:r>
      <w:r>
        <w:rPr>
          <w:rFonts w:hint="eastAsia" w:ascii="宋体" w:hAnsi="宋体" w:eastAsia="宋体" w:cs="宋体"/>
          <w:color w:val="auto"/>
          <w:sz w:val="22"/>
          <w:szCs w:val="22"/>
          <w:highlight w:val="none"/>
          <w:lang w:eastAsia="zh-CN"/>
        </w:rPr>
        <w:t>应在广西政府采购云平台（http://www.gcy.zfcg.gxzf.gov.cn/）</w:t>
      </w:r>
      <w:r>
        <w:rPr>
          <w:rFonts w:hint="eastAsia" w:ascii="宋体" w:hAnsi="宋体" w:eastAsia="宋体" w:cs="宋体"/>
          <w:color w:val="auto"/>
          <w:sz w:val="22"/>
          <w:szCs w:val="22"/>
          <w:highlight w:val="none"/>
          <w:u w:val="none"/>
        </w:rPr>
        <w:fldChar w:fldCharType="begin"/>
      </w:r>
      <w:r>
        <w:rPr>
          <w:rFonts w:hint="eastAsia" w:ascii="宋体" w:hAnsi="宋体" w:eastAsia="宋体" w:cs="宋体"/>
          <w:color w:val="auto"/>
          <w:sz w:val="22"/>
          <w:szCs w:val="22"/>
          <w:highlight w:val="none"/>
          <w:u w:val="none"/>
        </w:rPr>
        <w:instrText xml:space="preserve"> HYPERLINK "https://www.zcygov.cn/）获取采购文件，并于2021年" </w:instrText>
      </w:r>
      <w:r>
        <w:rPr>
          <w:rFonts w:hint="eastAsia" w:ascii="宋体" w:hAnsi="宋体" w:eastAsia="宋体" w:cs="宋体"/>
          <w:color w:val="auto"/>
          <w:sz w:val="22"/>
          <w:szCs w:val="22"/>
          <w:highlight w:val="none"/>
          <w:u w:val="none"/>
        </w:rPr>
        <w:fldChar w:fldCharType="separate"/>
      </w:r>
      <w:r>
        <w:rPr>
          <w:rStyle w:val="21"/>
          <w:rFonts w:hint="eastAsia" w:ascii="宋体" w:hAnsi="宋体" w:eastAsia="宋体" w:cs="宋体"/>
          <w:color w:val="auto"/>
          <w:sz w:val="22"/>
          <w:szCs w:val="22"/>
          <w:highlight w:val="none"/>
          <w:u w:val="none"/>
        </w:rPr>
        <w:t>获取采购文件，并于</w:t>
      </w:r>
      <w:r>
        <w:rPr>
          <w:rStyle w:val="21"/>
          <w:rFonts w:hint="eastAsia" w:ascii="宋体" w:hAnsi="宋体" w:eastAsia="宋体" w:cs="宋体"/>
          <w:color w:val="auto"/>
          <w:sz w:val="22"/>
          <w:szCs w:val="22"/>
          <w:highlight w:val="none"/>
          <w:u w:val="none"/>
          <w:lang w:eastAsia="zh-CN"/>
        </w:rPr>
        <w:t>202</w:t>
      </w:r>
      <w:r>
        <w:rPr>
          <w:rStyle w:val="21"/>
          <w:rFonts w:hint="eastAsia" w:ascii="宋体" w:hAnsi="宋体" w:eastAsia="宋体" w:cs="宋体"/>
          <w:color w:val="auto"/>
          <w:sz w:val="22"/>
          <w:szCs w:val="22"/>
          <w:highlight w:val="none"/>
          <w:u w:val="none"/>
          <w:lang w:val="en-US" w:eastAsia="zh-CN"/>
        </w:rPr>
        <w:t>4</w:t>
      </w:r>
      <w:r>
        <w:rPr>
          <w:rStyle w:val="21"/>
          <w:rFonts w:hint="eastAsia" w:ascii="宋体" w:hAnsi="宋体" w:eastAsia="宋体" w:cs="宋体"/>
          <w:color w:val="auto"/>
          <w:sz w:val="22"/>
          <w:szCs w:val="22"/>
          <w:highlight w:val="none"/>
          <w:u w:val="none"/>
          <w:lang w:eastAsia="zh-CN"/>
        </w:rPr>
        <w:t>年</w:t>
      </w:r>
      <w:r>
        <w:rPr>
          <w:rFonts w:hint="eastAsia" w:ascii="宋体" w:hAnsi="宋体" w:eastAsia="宋体" w:cs="宋体"/>
          <w:color w:val="auto"/>
          <w:sz w:val="22"/>
          <w:szCs w:val="22"/>
          <w:highlight w:val="none"/>
          <w:u w:val="none"/>
        </w:rPr>
        <w:fldChar w:fldCharType="end"/>
      </w:r>
      <w:r>
        <w:rPr>
          <w:rFonts w:hint="eastAsia" w:ascii="宋体" w:hAnsi="宋体" w:eastAsia="宋体" w:cs="宋体"/>
          <w:color w:val="auto"/>
          <w:sz w:val="22"/>
          <w:szCs w:val="22"/>
          <w:highlight w:val="none"/>
          <w:u w:val="none"/>
          <w:lang w:val="en-US" w:eastAsia="zh-CN"/>
        </w:rPr>
        <w:t>12</w:t>
      </w:r>
      <w:r>
        <w:rPr>
          <w:rFonts w:hint="eastAsia" w:ascii="宋体" w:hAnsi="宋体" w:eastAsia="宋体" w:cs="宋体"/>
          <w:color w:val="auto"/>
          <w:sz w:val="22"/>
          <w:szCs w:val="22"/>
          <w:highlight w:val="none"/>
          <w:u w:val="none"/>
          <w:lang w:eastAsia="zh-CN"/>
        </w:rPr>
        <w:t>月</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lang w:eastAsia="zh-CN"/>
        </w:rPr>
        <w:t>日</w:t>
      </w:r>
      <w:r>
        <w:rPr>
          <w:rFonts w:hint="eastAsia" w:ascii="宋体" w:hAnsi="宋体" w:eastAsia="宋体" w:cs="宋体"/>
          <w:color w:val="auto"/>
          <w:sz w:val="22"/>
          <w:szCs w:val="22"/>
          <w:highlight w:val="none"/>
          <w:u w:val="none"/>
          <w:lang w:val="en-US" w:eastAsia="zh-CN"/>
        </w:rPr>
        <w:t>09点00</w:t>
      </w:r>
      <w:r>
        <w:rPr>
          <w:rFonts w:hint="eastAsia" w:ascii="宋体" w:hAnsi="宋体" w:eastAsia="宋体" w:cs="宋体"/>
          <w:color w:val="auto"/>
          <w:sz w:val="22"/>
          <w:szCs w:val="22"/>
          <w:highlight w:val="none"/>
          <w:u w:val="none"/>
          <w:lang w:eastAsia="zh-CN"/>
        </w:rPr>
        <w:t>分</w:t>
      </w:r>
      <w:r>
        <w:rPr>
          <w:rFonts w:hint="eastAsia" w:ascii="宋体" w:hAnsi="宋体" w:eastAsia="宋体" w:cs="宋体"/>
          <w:bCs/>
          <w:color w:val="auto"/>
          <w:sz w:val="22"/>
          <w:szCs w:val="22"/>
          <w:highlight w:val="none"/>
        </w:rPr>
        <w:t>（北京时间）前提交响应文件</w:t>
      </w:r>
      <w:r>
        <w:rPr>
          <w:rFonts w:hint="eastAsia" w:ascii="宋体" w:hAnsi="宋体" w:eastAsia="宋体" w:cs="宋体"/>
          <w:color w:val="auto"/>
          <w:sz w:val="22"/>
          <w:szCs w:val="22"/>
          <w:highlight w:val="none"/>
        </w:rPr>
        <w:t>。</w:t>
      </w:r>
    </w:p>
    <w:p w14:paraId="69D65250">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Fonts w:hint="eastAsia" w:ascii="宋体" w:hAnsi="宋体" w:eastAsia="宋体" w:cs="宋体"/>
          <w:i w:val="0"/>
          <w:caps w:val="0"/>
          <w:color w:val="auto"/>
          <w:spacing w:val="0"/>
          <w:sz w:val="22"/>
          <w:szCs w:val="22"/>
          <w:highlight w:val="none"/>
        </w:rPr>
      </w:pPr>
      <w:r>
        <w:rPr>
          <w:rStyle w:val="20"/>
          <w:rFonts w:hint="eastAsia" w:ascii="宋体" w:hAnsi="宋体" w:eastAsia="宋体" w:cs="宋体"/>
          <w:b/>
          <w:i w:val="0"/>
          <w:caps w:val="0"/>
          <w:color w:val="auto"/>
          <w:spacing w:val="0"/>
          <w:sz w:val="22"/>
          <w:szCs w:val="22"/>
          <w:highlight w:val="none"/>
        </w:rPr>
        <w:t>一、项目基本情况</w:t>
      </w:r>
    </w:p>
    <w:p w14:paraId="1749B9D1">
      <w:pPr>
        <w:pStyle w:val="24"/>
        <w:keepNext w:val="0"/>
        <w:keepLines w:val="0"/>
        <w:pageBreakBefore w:val="0"/>
        <w:widowControl w:val="0"/>
        <w:kinsoku/>
        <w:wordWrap/>
        <w:overflowPunct/>
        <w:topLinePunct w:val="0"/>
        <w:autoSpaceDE/>
        <w:autoSpaceDN/>
        <w:bidi w:val="0"/>
        <w:adjustRightInd w:val="0"/>
        <w:spacing w:after="0" w:afterLines="0" w:line="360" w:lineRule="exact"/>
        <w:ind w:firstLine="42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项目编号：BHZC2024-J1-210330-ZZYG</w:t>
      </w:r>
      <w:r>
        <w:rPr>
          <w:rFonts w:hint="eastAsia" w:ascii="宋体" w:hAnsi="宋体" w:eastAsia="宋体" w:cs="宋体"/>
          <w:b w:val="0"/>
          <w:bCs w:val="0"/>
          <w:color w:val="auto"/>
          <w:sz w:val="22"/>
          <w:szCs w:val="22"/>
          <w:highlight w:val="none"/>
          <w:lang w:eastAsia="zh-CN"/>
        </w:rPr>
        <w:t xml:space="preserve"> </w:t>
      </w:r>
    </w:p>
    <w:p w14:paraId="11EA1581">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val="0"/>
          <w:color w:val="auto"/>
          <w:sz w:val="22"/>
          <w:szCs w:val="22"/>
          <w:highlight w:val="none"/>
          <w:u w:val="single"/>
          <w:lang w:eastAsia="zh-CN"/>
        </w:rPr>
      </w:pPr>
      <w:r>
        <w:rPr>
          <w:rFonts w:hint="eastAsia" w:ascii="宋体" w:hAnsi="宋体" w:eastAsia="宋体" w:cs="宋体"/>
          <w:b w:val="0"/>
          <w:bCs w:val="0"/>
          <w:color w:val="auto"/>
          <w:sz w:val="22"/>
          <w:szCs w:val="22"/>
          <w:highlight w:val="none"/>
        </w:rPr>
        <w:t xml:space="preserve">项目名称: </w:t>
      </w:r>
      <w:r>
        <w:rPr>
          <w:rFonts w:hint="eastAsia" w:ascii="宋体" w:hAnsi="宋体" w:eastAsia="宋体" w:cs="宋体"/>
          <w:b w:val="0"/>
          <w:bCs w:val="0"/>
          <w:color w:val="auto"/>
          <w:sz w:val="22"/>
          <w:szCs w:val="22"/>
          <w:highlight w:val="none"/>
          <w:lang w:eastAsia="zh-CN"/>
        </w:rPr>
        <w:t>合浦廉州中学科普体验馆设备采购</w:t>
      </w:r>
    </w:p>
    <w:p w14:paraId="181104AB">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采购</w:t>
      </w:r>
      <w:r>
        <w:rPr>
          <w:rFonts w:hint="eastAsia" w:ascii="宋体" w:hAnsi="宋体" w:eastAsia="宋体" w:cs="宋体"/>
          <w:b w:val="0"/>
          <w:bCs w:val="0"/>
          <w:color w:val="auto"/>
          <w:sz w:val="22"/>
          <w:szCs w:val="22"/>
          <w:highlight w:val="none"/>
          <w:lang w:eastAsia="zh-CN"/>
        </w:rPr>
        <w:t xml:space="preserve">方式：竞争性谈判 </w:t>
      </w:r>
    </w:p>
    <w:p w14:paraId="77C0628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预算金额：</w:t>
      </w:r>
      <w:r>
        <w:rPr>
          <w:rFonts w:hint="eastAsia" w:ascii="宋体" w:hAnsi="宋体" w:eastAsia="宋体" w:cs="宋体"/>
          <w:color w:val="auto"/>
          <w:sz w:val="22"/>
          <w:szCs w:val="22"/>
          <w:highlight w:val="none"/>
          <w:lang w:val="en-US" w:eastAsia="zh-CN"/>
        </w:rPr>
        <w:t>2000000.00元</w:t>
      </w:r>
    </w:p>
    <w:p w14:paraId="2F9992C5">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最高限价：</w:t>
      </w:r>
      <w:r>
        <w:rPr>
          <w:rFonts w:hint="eastAsia" w:ascii="宋体" w:hAnsi="宋体" w:eastAsia="宋体" w:cs="宋体"/>
          <w:color w:val="auto"/>
          <w:sz w:val="22"/>
          <w:szCs w:val="22"/>
          <w:highlight w:val="none"/>
          <w:lang w:val="en-US" w:eastAsia="zh-CN"/>
        </w:rPr>
        <w:t xml:space="preserve">2000000.00元 </w:t>
      </w:r>
    </w:p>
    <w:p w14:paraId="67E51E96">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r>
        <w:rPr>
          <w:rFonts w:hint="eastAsia" w:ascii="宋体" w:hAnsi="宋体" w:eastAsia="宋体" w:cs="宋体"/>
          <w:color w:val="auto"/>
          <w:sz w:val="22"/>
          <w:szCs w:val="22"/>
          <w:highlight w:val="none"/>
          <w:lang w:eastAsia="zh-CN"/>
        </w:rPr>
        <w:t>采购</w:t>
      </w:r>
      <w:r>
        <w:rPr>
          <w:rFonts w:hint="eastAsia" w:ascii="宋体" w:hAnsi="宋体" w:eastAsia="宋体" w:cs="宋体"/>
          <w:b w:val="0"/>
          <w:bCs w:val="0"/>
          <w:color w:val="auto"/>
          <w:sz w:val="22"/>
          <w:szCs w:val="22"/>
          <w:highlight w:val="none"/>
          <w:lang w:eastAsia="zh-CN"/>
        </w:rPr>
        <w:t>科普体验馆设备</w:t>
      </w:r>
      <w:r>
        <w:rPr>
          <w:rFonts w:hint="eastAsia" w:ascii="宋体" w:hAnsi="宋体" w:eastAsia="宋体" w:cs="宋体"/>
          <w:b w:val="0"/>
          <w:bCs w:val="0"/>
          <w:color w:val="auto"/>
          <w:kern w:val="0"/>
          <w:sz w:val="22"/>
          <w:szCs w:val="22"/>
          <w:highlight w:val="none"/>
          <w:lang w:val="en-US" w:eastAsia="zh-CN" w:bidi="ar-SA"/>
        </w:rPr>
        <w:t>一批，</w:t>
      </w:r>
      <w:r>
        <w:rPr>
          <w:rFonts w:hint="eastAsia" w:ascii="宋体" w:hAnsi="宋体" w:eastAsia="宋体" w:cs="宋体"/>
          <w:color w:val="auto"/>
          <w:sz w:val="22"/>
          <w:szCs w:val="22"/>
          <w:highlight w:val="none"/>
        </w:rPr>
        <w:t>详见谈判文件。</w:t>
      </w:r>
    </w:p>
    <w:p w14:paraId="6B45D665">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合同履行期限：</w:t>
      </w:r>
      <w:r>
        <w:rPr>
          <w:rFonts w:hint="eastAsia" w:ascii="Calibri" w:hAnsi="Calibri"/>
          <w:color w:val="auto"/>
          <w:szCs w:val="22"/>
          <w:highlight w:val="none"/>
        </w:rPr>
        <w:t>自签订合同之日起</w:t>
      </w:r>
      <w:r>
        <w:rPr>
          <w:rFonts w:hint="eastAsia" w:ascii="Calibri" w:hAnsi="Calibri"/>
          <w:color w:val="auto"/>
          <w:szCs w:val="22"/>
          <w:highlight w:val="none"/>
          <w:u w:val="single"/>
          <w:lang w:val="en-US" w:eastAsia="zh-CN"/>
        </w:rPr>
        <w:t xml:space="preserve"> 50 </w:t>
      </w:r>
      <w:r>
        <w:rPr>
          <w:rFonts w:hint="eastAsia" w:ascii="Calibri" w:hAnsi="Calibri"/>
          <w:color w:val="auto"/>
          <w:szCs w:val="22"/>
          <w:highlight w:val="none"/>
          <w:lang w:eastAsia="zh-CN"/>
        </w:rPr>
        <w:t>个日历天</w:t>
      </w:r>
      <w:r>
        <w:rPr>
          <w:rFonts w:hint="eastAsia" w:ascii="Calibri" w:hAnsi="Calibri"/>
          <w:color w:val="auto"/>
          <w:szCs w:val="22"/>
          <w:highlight w:val="none"/>
        </w:rPr>
        <w:t>内</w:t>
      </w:r>
      <w:r>
        <w:rPr>
          <w:rFonts w:hint="eastAsia" w:ascii="Calibri" w:hAnsi="Calibri"/>
          <w:color w:val="auto"/>
          <w:szCs w:val="22"/>
          <w:highlight w:val="none"/>
          <w:lang w:eastAsia="zh-CN"/>
        </w:rPr>
        <w:t>完成</w:t>
      </w:r>
      <w:r>
        <w:rPr>
          <w:rFonts w:hint="eastAsia" w:ascii="宋体" w:hAnsi="宋体" w:eastAsia="宋体" w:cs="宋体"/>
          <w:color w:val="auto"/>
          <w:sz w:val="22"/>
          <w:szCs w:val="22"/>
          <w:highlight w:val="none"/>
          <w:lang w:eastAsia="zh-CN"/>
        </w:rPr>
        <w:t>。</w:t>
      </w:r>
    </w:p>
    <w:p w14:paraId="34B55CB5">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lang w:eastAsia="zh-CN"/>
        </w:rPr>
        <w:t>不</w:t>
      </w:r>
      <w:r>
        <w:rPr>
          <w:rFonts w:hint="eastAsia" w:ascii="宋体" w:hAnsi="宋体" w:eastAsia="宋体" w:cs="宋体"/>
          <w:color w:val="auto"/>
          <w:sz w:val="22"/>
          <w:szCs w:val="22"/>
          <w:highlight w:val="none"/>
        </w:rPr>
        <w:t>接受联合体。</w:t>
      </w:r>
    </w:p>
    <w:p w14:paraId="4C620D5A">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rPr>
      </w:pPr>
      <w:bookmarkStart w:id="1" w:name="_Toc35393630"/>
      <w:bookmarkStart w:id="2" w:name="_Toc28359090"/>
      <w:bookmarkStart w:id="3" w:name="_Toc35393799"/>
      <w:bookmarkStart w:id="4" w:name="_Toc28359013"/>
      <w:r>
        <w:rPr>
          <w:rStyle w:val="20"/>
          <w:rFonts w:hint="eastAsia" w:ascii="宋体" w:hAnsi="宋体" w:eastAsia="宋体" w:cs="宋体"/>
          <w:b/>
          <w:i w:val="0"/>
          <w:caps w:val="0"/>
          <w:color w:val="auto"/>
          <w:spacing w:val="0"/>
          <w:sz w:val="22"/>
          <w:szCs w:val="22"/>
          <w:highlight w:val="none"/>
        </w:rPr>
        <w:t>二、申请人的资格要求</w:t>
      </w:r>
      <w:bookmarkEnd w:id="1"/>
      <w:bookmarkEnd w:id="2"/>
      <w:bookmarkEnd w:id="3"/>
      <w:bookmarkEnd w:id="4"/>
    </w:p>
    <w:p w14:paraId="3603C44E">
      <w:pPr>
        <w:keepNext w:val="0"/>
        <w:keepLines w:val="0"/>
        <w:pageBreakBefore w:val="0"/>
        <w:widowControl w:val="0"/>
        <w:tabs>
          <w:tab w:val="left" w:pos="311"/>
        </w:tabs>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1.满足《中华人民共和国政府采购法》第二十二条规定；</w:t>
      </w:r>
    </w:p>
    <w:p w14:paraId="4581C8C9">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kern w:val="2"/>
          <w:sz w:val="22"/>
          <w:szCs w:val="22"/>
          <w:highlight w:val="none"/>
          <w:lang w:val="en-US" w:eastAsia="zh-CN" w:bidi="ar-SA"/>
        </w:rPr>
      </w:pPr>
      <w:bookmarkStart w:id="5" w:name="_Toc28359014"/>
      <w:bookmarkStart w:id="6" w:name="_Toc28359091"/>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kern w:val="2"/>
          <w:sz w:val="22"/>
          <w:szCs w:val="22"/>
          <w:highlight w:val="none"/>
          <w:lang w:val="en-US" w:eastAsia="zh-CN" w:bidi="ar-SA"/>
        </w:rPr>
        <w:t>.落实政府采购政策需满足的资格要求：本项目专门面向中小企业采购，供应商应为中小微企业或监狱企业或残疾人福利性单位；</w:t>
      </w:r>
    </w:p>
    <w:p w14:paraId="6CD368A9">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3.本项目的特定资格要求：已经依法获得书面推荐，并在规定时间内获取采购文件的供应商才有资格参与谈判</w:t>
      </w:r>
      <w:r>
        <w:rPr>
          <w:rFonts w:hint="eastAsia" w:ascii="宋体" w:hAnsi="宋体" w:eastAsia="宋体" w:cs="宋体"/>
          <w:b w:val="0"/>
          <w:bCs w:val="0"/>
          <w:color w:val="auto"/>
          <w:sz w:val="22"/>
          <w:szCs w:val="22"/>
          <w:highlight w:val="none"/>
          <w:lang w:eastAsia="zh-CN"/>
        </w:rPr>
        <w:t>。</w:t>
      </w:r>
    </w:p>
    <w:p w14:paraId="7E408F86">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rPr>
      </w:pPr>
      <w:bookmarkStart w:id="7" w:name="_Toc35393631"/>
      <w:bookmarkStart w:id="8" w:name="_Toc35393800"/>
      <w:r>
        <w:rPr>
          <w:rStyle w:val="20"/>
          <w:rFonts w:hint="eastAsia" w:ascii="宋体" w:hAnsi="宋体" w:eastAsia="宋体" w:cs="宋体"/>
          <w:b/>
          <w:i w:val="0"/>
          <w:caps w:val="0"/>
          <w:color w:val="auto"/>
          <w:spacing w:val="0"/>
          <w:sz w:val="22"/>
          <w:szCs w:val="22"/>
          <w:highlight w:val="none"/>
        </w:rPr>
        <w:t>三、获取采购文件</w:t>
      </w:r>
      <w:bookmarkEnd w:id="5"/>
      <w:bookmarkEnd w:id="6"/>
      <w:bookmarkEnd w:id="7"/>
      <w:bookmarkEnd w:id="8"/>
    </w:p>
    <w:p w14:paraId="2B0AD6B2">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1.时间：</w:t>
      </w:r>
      <w:r>
        <w:rPr>
          <w:rFonts w:hint="eastAsia" w:ascii="宋体" w:hAnsi="宋体" w:eastAsia="宋体" w:cs="宋体"/>
          <w:color w:val="auto"/>
          <w:sz w:val="22"/>
          <w:szCs w:val="22"/>
          <w:highlight w:val="none"/>
          <w:u w:val="single"/>
        </w:rPr>
        <w:t>202</w:t>
      </w:r>
      <w:r>
        <w:rPr>
          <w:rFonts w:hint="eastAsia" w:ascii="宋体" w:hAnsi="宋体" w:eastAsia="宋体" w:cs="宋体"/>
          <w:color w:val="auto"/>
          <w:sz w:val="22"/>
          <w:szCs w:val="22"/>
          <w:highlight w:val="none"/>
          <w:u w:val="single"/>
          <w:lang w:val="en-US" w:eastAsia="zh-CN"/>
        </w:rPr>
        <w:t>4</w:t>
      </w:r>
      <w:r>
        <w:rPr>
          <w:rFonts w:hint="eastAsia" w:ascii="宋体" w:hAnsi="宋体" w:eastAsia="宋体" w:cs="宋体"/>
          <w:color w:val="auto"/>
          <w:sz w:val="22"/>
          <w:szCs w:val="22"/>
          <w:highlight w:val="none"/>
          <w:u w:val="single"/>
        </w:rPr>
        <w:t>年</w:t>
      </w:r>
      <w:r>
        <w:rPr>
          <w:rFonts w:hint="eastAsia" w:ascii="宋体" w:hAnsi="宋体" w:eastAsia="宋体" w:cs="宋体"/>
          <w:color w:val="auto"/>
          <w:sz w:val="22"/>
          <w:szCs w:val="22"/>
          <w:highlight w:val="none"/>
          <w:u w:val="single"/>
          <w:lang w:val="en-US" w:eastAsia="zh-CN"/>
        </w:rPr>
        <w:t>11</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25</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rPr>
        <w:t>202</w:t>
      </w:r>
      <w:r>
        <w:rPr>
          <w:rFonts w:hint="eastAsia" w:ascii="宋体" w:hAnsi="宋体" w:eastAsia="宋体" w:cs="宋体"/>
          <w:color w:val="auto"/>
          <w:sz w:val="22"/>
          <w:szCs w:val="22"/>
          <w:highlight w:val="none"/>
          <w:u w:val="single"/>
          <w:lang w:val="en-US" w:eastAsia="zh-CN"/>
        </w:rPr>
        <w:t>4</w:t>
      </w:r>
      <w:r>
        <w:rPr>
          <w:rFonts w:hint="eastAsia" w:ascii="宋体" w:hAnsi="宋体" w:eastAsia="宋体" w:cs="宋体"/>
          <w:color w:val="auto"/>
          <w:sz w:val="22"/>
          <w:szCs w:val="22"/>
          <w:highlight w:val="none"/>
          <w:u w:val="single"/>
        </w:rPr>
        <w:t>年</w:t>
      </w:r>
      <w:r>
        <w:rPr>
          <w:rFonts w:hint="eastAsia" w:ascii="宋体" w:hAnsi="宋体" w:eastAsia="宋体" w:cs="宋体"/>
          <w:color w:val="auto"/>
          <w:sz w:val="22"/>
          <w:szCs w:val="22"/>
          <w:highlight w:val="none"/>
          <w:u w:val="single"/>
          <w:lang w:val="en-US" w:eastAsia="zh-CN"/>
        </w:rPr>
        <w:t>11</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 xml:space="preserve">28 </w:t>
      </w:r>
      <w:r>
        <w:rPr>
          <w:rFonts w:hint="eastAsia" w:ascii="宋体" w:hAnsi="宋体" w:eastAsia="宋体" w:cs="宋体"/>
          <w:color w:val="auto"/>
          <w:sz w:val="22"/>
          <w:szCs w:val="22"/>
          <w:highlight w:val="none"/>
          <w:u w:val="single"/>
        </w:rPr>
        <w:t>日</w:t>
      </w:r>
    </w:p>
    <w:p w14:paraId="0549B1D0">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2.地点：广西政府采购云平台（网址：http://www.gcy.zfcg.gxzf.gov.cn）</w:t>
      </w:r>
    </w:p>
    <w:p w14:paraId="525B8187">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3.方式：供应商登录广西政府采购云平台（网址：http://www.gcy.zfcg.gxzf.gov.cn）</w:t>
      </w:r>
      <w:r>
        <w:rPr>
          <w:rFonts w:hint="eastAsia" w:ascii="宋体" w:hAnsi="宋体" w:eastAsia="宋体" w:cs="宋体"/>
          <w:b w:val="0"/>
          <w:bCs w:val="0"/>
          <w:color w:val="auto"/>
          <w:sz w:val="22"/>
          <w:szCs w:val="22"/>
          <w:highlight w:val="none"/>
          <w:lang w:eastAsia="zh-CN"/>
        </w:rPr>
        <w:t>在线免费</w:t>
      </w:r>
      <w:r>
        <w:rPr>
          <w:rFonts w:hint="eastAsia" w:ascii="宋体" w:hAnsi="宋体" w:eastAsia="宋体" w:cs="宋体"/>
          <w:b w:val="0"/>
          <w:bCs w:val="0"/>
          <w:color w:val="auto"/>
          <w:sz w:val="22"/>
          <w:szCs w:val="22"/>
          <w:highlight w:val="none"/>
        </w:rPr>
        <w:t>获取采购文件；未注册的</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可在</w:t>
      </w:r>
      <w:r>
        <w:rPr>
          <w:rFonts w:hint="eastAsia" w:ascii="宋体" w:hAnsi="宋体" w:eastAsia="宋体" w:cs="宋体"/>
          <w:b w:val="0"/>
          <w:bCs w:val="0"/>
          <w:color w:val="auto"/>
          <w:sz w:val="22"/>
          <w:szCs w:val="22"/>
          <w:highlight w:val="none"/>
          <w:lang w:eastAsia="zh-CN"/>
        </w:rPr>
        <w:t>广西政府采购云平台</w:t>
      </w:r>
      <w:r>
        <w:rPr>
          <w:rFonts w:hint="eastAsia" w:ascii="宋体" w:hAnsi="宋体" w:eastAsia="宋体" w:cs="宋体"/>
          <w:b w:val="0"/>
          <w:bCs w:val="0"/>
          <w:color w:val="auto"/>
          <w:sz w:val="22"/>
          <w:szCs w:val="22"/>
          <w:highlight w:val="none"/>
        </w:rPr>
        <w:t>完成注册后再获取采购文件</w:t>
      </w:r>
      <w:r>
        <w:rPr>
          <w:rFonts w:hint="eastAsia" w:ascii="宋体" w:hAnsi="宋体" w:eastAsia="宋体" w:cs="宋体"/>
          <w:b w:val="0"/>
          <w:bCs w:val="0"/>
          <w:color w:val="auto"/>
          <w:sz w:val="22"/>
          <w:szCs w:val="22"/>
          <w:highlight w:val="none"/>
          <w:lang w:eastAsia="zh-CN"/>
        </w:rPr>
        <w:t>，非正式供应商在获取采购文件前应先成为正式供应商</w:t>
      </w:r>
      <w:r>
        <w:rPr>
          <w:rFonts w:hint="eastAsia" w:ascii="宋体" w:hAnsi="宋体" w:eastAsia="宋体" w:cs="宋体"/>
          <w:b w:val="0"/>
          <w:bCs w:val="0"/>
          <w:color w:val="auto"/>
          <w:sz w:val="22"/>
          <w:szCs w:val="22"/>
          <w:highlight w:val="none"/>
        </w:rPr>
        <w:t>。如在操作过程中遇到问题或需技术支持，请致电政采云客服热线：</w:t>
      </w:r>
      <w:r>
        <w:rPr>
          <w:rFonts w:hint="eastAsia" w:ascii="宋体" w:hAnsi="宋体" w:eastAsia="宋体" w:cs="宋体"/>
          <w:b w:val="0"/>
          <w:bCs w:val="0"/>
          <w:color w:val="auto"/>
          <w:sz w:val="22"/>
          <w:szCs w:val="22"/>
          <w:highlight w:val="none"/>
          <w:lang w:eastAsia="zh-CN"/>
        </w:rPr>
        <w:t>95763</w:t>
      </w:r>
      <w:r>
        <w:rPr>
          <w:rFonts w:hint="eastAsia" w:ascii="宋体" w:hAnsi="宋体" w:eastAsia="宋体" w:cs="宋体"/>
          <w:b w:val="0"/>
          <w:bCs w:val="0"/>
          <w:color w:val="auto"/>
          <w:sz w:val="22"/>
          <w:szCs w:val="22"/>
          <w:highlight w:val="none"/>
        </w:rPr>
        <w:t>。</w:t>
      </w:r>
    </w:p>
    <w:p w14:paraId="00EA3380">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4.售价：0.00元。</w:t>
      </w:r>
    </w:p>
    <w:p w14:paraId="34A7E468">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rPr>
      </w:pPr>
      <w:r>
        <w:rPr>
          <w:rStyle w:val="20"/>
          <w:rFonts w:hint="eastAsia" w:ascii="宋体" w:hAnsi="宋体" w:eastAsia="宋体" w:cs="宋体"/>
          <w:b/>
          <w:i w:val="0"/>
          <w:caps w:val="0"/>
          <w:color w:val="auto"/>
          <w:spacing w:val="0"/>
          <w:sz w:val="22"/>
          <w:szCs w:val="22"/>
          <w:highlight w:val="none"/>
        </w:rPr>
        <w:t>四、响应文件提交</w:t>
      </w:r>
    </w:p>
    <w:p w14:paraId="7A8461B7">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i w:val="0"/>
          <w:caps w:val="0"/>
          <w:color w:val="auto"/>
          <w:spacing w:val="0"/>
          <w:sz w:val="22"/>
          <w:szCs w:val="22"/>
          <w:highlight w:val="none"/>
        </w:rPr>
      </w:pPr>
      <w:r>
        <w:rPr>
          <w:rFonts w:hint="eastAsia" w:ascii="宋体" w:hAnsi="宋体" w:eastAsia="宋体" w:cs="宋体"/>
          <w:i w:val="0"/>
          <w:caps w:val="0"/>
          <w:color w:val="auto"/>
          <w:spacing w:val="0"/>
          <w:sz w:val="22"/>
          <w:szCs w:val="22"/>
          <w:highlight w:val="none"/>
        </w:rPr>
        <w:t>截止时间：</w:t>
      </w:r>
      <w:r>
        <w:rPr>
          <w:rFonts w:hint="eastAsia" w:ascii="宋体" w:hAnsi="宋体" w:eastAsia="宋体" w:cs="宋体"/>
          <w:i w:val="0"/>
          <w:caps w:val="0"/>
          <w:color w:val="auto"/>
          <w:spacing w:val="0"/>
          <w:sz w:val="22"/>
          <w:szCs w:val="22"/>
          <w:highlight w:val="none"/>
          <w:u w:val="single"/>
          <w:lang w:eastAsia="zh-CN"/>
        </w:rPr>
        <w:t>202</w:t>
      </w:r>
      <w:r>
        <w:rPr>
          <w:rFonts w:hint="eastAsia" w:eastAsia="宋体" w:cs="宋体"/>
          <w:i w:val="0"/>
          <w:caps w:val="0"/>
          <w:color w:val="auto"/>
          <w:spacing w:val="0"/>
          <w:sz w:val="22"/>
          <w:szCs w:val="22"/>
          <w:highlight w:val="none"/>
          <w:u w:val="single"/>
          <w:lang w:val="en-US" w:eastAsia="zh-CN"/>
        </w:rPr>
        <w:t>4</w:t>
      </w:r>
      <w:r>
        <w:rPr>
          <w:rFonts w:hint="eastAsia" w:ascii="宋体" w:hAnsi="宋体" w:eastAsia="宋体" w:cs="宋体"/>
          <w:i w:val="0"/>
          <w:caps w:val="0"/>
          <w:color w:val="auto"/>
          <w:spacing w:val="0"/>
          <w:sz w:val="22"/>
          <w:szCs w:val="22"/>
          <w:highlight w:val="none"/>
          <w:u w:val="single"/>
          <w:lang w:eastAsia="zh-CN"/>
        </w:rPr>
        <w:t>年</w:t>
      </w:r>
      <w:r>
        <w:rPr>
          <w:rFonts w:hint="eastAsia" w:eastAsia="宋体" w:cs="宋体"/>
          <w:i w:val="0"/>
          <w:caps w:val="0"/>
          <w:color w:val="auto"/>
          <w:spacing w:val="0"/>
          <w:sz w:val="22"/>
          <w:szCs w:val="22"/>
          <w:highlight w:val="none"/>
          <w:u w:val="single"/>
          <w:lang w:val="en-US" w:eastAsia="zh-CN"/>
        </w:rPr>
        <w:t>12</w:t>
      </w:r>
      <w:r>
        <w:rPr>
          <w:rFonts w:hint="eastAsia" w:ascii="宋体" w:hAnsi="宋体" w:eastAsia="宋体" w:cs="宋体"/>
          <w:i w:val="0"/>
          <w:caps w:val="0"/>
          <w:color w:val="auto"/>
          <w:spacing w:val="0"/>
          <w:sz w:val="22"/>
          <w:szCs w:val="22"/>
          <w:highlight w:val="none"/>
          <w:u w:val="single"/>
          <w:lang w:eastAsia="zh-CN"/>
        </w:rPr>
        <w:t>月</w:t>
      </w:r>
      <w:r>
        <w:rPr>
          <w:rFonts w:hint="eastAsia" w:eastAsia="宋体" w:cs="宋体"/>
          <w:i w:val="0"/>
          <w:caps w:val="0"/>
          <w:color w:val="auto"/>
          <w:spacing w:val="0"/>
          <w:sz w:val="22"/>
          <w:szCs w:val="22"/>
          <w:highlight w:val="none"/>
          <w:u w:val="single"/>
          <w:lang w:val="en-US" w:eastAsia="zh-CN"/>
        </w:rPr>
        <w:t>2</w:t>
      </w:r>
      <w:r>
        <w:rPr>
          <w:rFonts w:hint="eastAsia" w:ascii="宋体" w:hAnsi="宋体" w:eastAsia="宋体" w:cs="宋体"/>
          <w:i w:val="0"/>
          <w:caps w:val="0"/>
          <w:color w:val="auto"/>
          <w:spacing w:val="0"/>
          <w:sz w:val="22"/>
          <w:szCs w:val="22"/>
          <w:highlight w:val="none"/>
          <w:u w:val="single"/>
          <w:lang w:eastAsia="zh-CN"/>
        </w:rPr>
        <w:t>日</w:t>
      </w:r>
      <w:r>
        <w:rPr>
          <w:rFonts w:hint="eastAsia" w:eastAsia="宋体" w:cs="宋体"/>
          <w:i w:val="0"/>
          <w:caps w:val="0"/>
          <w:color w:val="auto"/>
          <w:spacing w:val="0"/>
          <w:sz w:val="22"/>
          <w:szCs w:val="22"/>
          <w:highlight w:val="none"/>
          <w:u w:val="single"/>
          <w:lang w:val="en-US" w:eastAsia="zh-CN"/>
        </w:rPr>
        <w:t>09</w:t>
      </w:r>
      <w:r>
        <w:rPr>
          <w:rFonts w:hint="eastAsia" w:ascii="宋体" w:hAnsi="宋体" w:eastAsia="宋体" w:cs="宋体"/>
          <w:i w:val="0"/>
          <w:caps w:val="0"/>
          <w:color w:val="auto"/>
          <w:spacing w:val="0"/>
          <w:sz w:val="22"/>
          <w:szCs w:val="22"/>
          <w:highlight w:val="none"/>
          <w:u w:val="single"/>
          <w:lang w:eastAsia="zh-CN"/>
        </w:rPr>
        <w:t>点</w:t>
      </w:r>
      <w:r>
        <w:rPr>
          <w:rFonts w:hint="eastAsia" w:eastAsia="宋体" w:cs="宋体"/>
          <w:i w:val="0"/>
          <w:caps w:val="0"/>
          <w:color w:val="auto"/>
          <w:spacing w:val="0"/>
          <w:sz w:val="22"/>
          <w:szCs w:val="22"/>
          <w:highlight w:val="none"/>
          <w:u w:val="single"/>
          <w:lang w:val="en-US" w:eastAsia="zh-CN"/>
        </w:rPr>
        <w:t>00</w:t>
      </w:r>
      <w:r>
        <w:rPr>
          <w:rFonts w:hint="eastAsia" w:ascii="宋体" w:hAnsi="宋体" w:eastAsia="宋体" w:cs="宋体"/>
          <w:i w:val="0"/>
          <w:caps w:val="0"/>
          <w:color w:val="auto"/>
          <w:spacing w:val="0"/>
          <w:sz w:val="22"/>
          <w:szCs w:val="22"/>
          <w:highlight w:val="none"/>
          <w:u w:val="single"/>
          <w:lang w:eastAsia="zh-CN"/>
        </w:rPr>
        <w:t>分</w:t>
      </w:r>
      <w:r>
        <w:rPr>
          <w:rFonts w:hint="eastAsia" w:ascii="宋体" w:hAnsi="宋体" w:eastAsia="宋体" w:cs="宋体"/>
          <w:i w:val="0"/>
          <w:caps w:val="0"/>
          <w:color w:val="auto"/>
          <w:spacing w:val="0"/>
          <w:sz w:val="22"/>
          <w:szCs w:val="22"/>
          <w:highlight w:val="none"/>
        </w:rPr>
        <w:t>（北京时间）</w:t>
      </w:r>
    </w:p>
    <w:p w14:paraId="5340E992">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i w:val="0"/>
          <w:caps w:val="0"/>
          <w:color w:val="auto"/>
          <w:spacing w:val="0"/>
          <w:sz w:val="22"/>
          <w:szCs w:val="22"/>
          <w:highlight w:val="none"/>
          <w:u w:val="none"/>
        </w:rPr>
      </w:pPr>
      <w:r>
        <w:rPr>
          <w:rFonts w:hint="eastAsia" w:ascii="宋体" w:hAnsi="宋体" w:eastAsia="宋体" w:cs="宋体"/>
          <w:i w:val="0"/>
          <w:caps w:val="0"/>
          <w:color w:val="auto"/>
          <w:spacing w:val="0"/>
          <w:sz w:val="22"/>
          <w:szCs w:val="22"/>
          <w:highlight w:val="none"/>
        </w:rPr>
        <w:t>地点：</w:t>
      </w:r>
      <w:r>
        <w:rPr>
          <w:rFonts w:hint="eastAsia" w:ascii="宋体" w:hAnsi="宋体" w:eastAsia="宋体" w:cs="宋体"/>
          <w:i w:val="0"/>
          <w:iCs w:val="0"/>
          <w:caps w:val="0"/>
          <w:color w:val="auto"/>
          <w:spacing w:val="0"/>
          <w:sz w:val="22"/>
          <w:szCs w:val="22"/>
          <w:highlight w:val="none"/>
        </w:rPr>
        <w:t>通过</w:t>
      </w:r>
      <w:r>
        <w:rPr>
          <w:rFonts w:hint="eastAsia" w:eastAsia="宋体" w:cs="宋体"/>
          <w:i w:val="0"/>
          <w:iCs w:val="0"/>
          <w:caps w:val="0"/>
          <w:color w:val="auto"/>
          <w:spacing w:val="0"/>
          <w:sz w:val="22"/>
          <w:szCs w:val="22"/>
          <w:highlight w:val="none"/>
          <w:lang w:eastAsia="zh-CN"/>
        </w:rPr>
        <w:t>广西政府采购云平台</w:t>
      </w:r>
      <w:r>
        <w:rPr>
          <w:rFonts w:hint="eastAsia" w:ascii="宋体" w:hAnsi="宋体" w:eastAsia="宋体" w:cs="宋体"/>
          <w:i w:val="0"/>
          <w:iCs w:val="0"/>
          <w:caps w:val="0"/>
          <w:color w:val="auto"/>
          <w:spacing w:val="0"/>
          <w:sz w:val="22"/>
          <w:szCs w:val="22"/>
          <w:highlight w:val="none"/>
        </w:rPr>
        <w:t>实行在线</w:t>
      </w:r>
      <w:r>
        <w:rPr>
          <w:rFonts w:hint="eastAsia" w:ascii="宋体" w:hAnsi="宋体" w:eastAsia="宋体" w:cs="宋体"/>
          <w:i w:val="0"/>
          <w:iCs w:val="0"/>
          <w:caps w:val="0"/>
          <w:color w:val="auto"/>
          <w:spacing w:val="0"/>
          <w:sz w:val="22"/>
          <w:szCs w:val="22"/>
          <w:highlight w:val="none"/>
          <w:lang w:eastAsia="zh-CN"/>
        </w:rPr>
        <w:t>谈判</w:t>
      </w:r>
      <w:r>
        <w:rPr>
          <w:rFonts w:hint="eastAsia" w:ascii="宋体" w:hAnsi="宋体" w:eastAsia="宋体" w:cs="宋体"/>
          <w:i w:val="0"/>
          <w:iCs w:val="0"/>
          <w:caps w:val="0"/>
          <w:color w:val="auto"/>
          <w:spacing w:val="0"/>
          <w:sz w:val="22"/>
          <w:szCs w:val="22"/>
          <w:highlight w:val="none"/>
        </w:rPr>
        <w:t>响应。</w:t>
      </w:r>
    </w:p>
    <w:p w14:paraId="4D1BF7D1">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lang w:val="en-US" w:eastAsia="zh-CN"/>
        </w:rPr>
      </w:pPr>
      <w:r>
        <w:rPr>
          <w:rStyle w:val="20"/>
          <w:rFonts w:hint="eastAsia" w:ascii="宋体" w:hAnsi="宋体" w:eastAsia="宋体" w:cs="宋体"/>
          <w:b/>
          <w:i w:val="0"/>
          <w:caps w:val="0"/>
          <w:color w:val="auto"/>
          <w:spacing w:val="0"/>
          <w:sz w:val="22"/>
          <w:szCs w:val="22"/>
          <w:highlight w:val="none"/>
        </w:rPr>
        <w:t>五、</w:t>
      </w:r>
      <w:r>
        <w:rPr>
          <w:rStyle w:val="20"/>
          <w:rFonts w:hint="eastAsia" w:ascii="宋体" w:hAnsi="宋体" w:eastAsia="宋体" w:cs="宋体"/>
          <w:b/>
          <w:i w:val="0"/>
          <w:caps w:val="0"/>
          <w:color w:val="auto"/>
          <w:spacing w:val="0"/>
          <w:sz w:val="22"/>
          <w:szCs w:val="22"/>
          <w:highlight w:val="none"/>
          <w:lang w:eastAsia="zh-CN"/>
        </w:rPr>
        <w:t>开启</w:t>
      </w:r>
    </w:p>
    <w:p w14:paraId="1C1879A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时间：</w:t>
      </w:r>
      <w:r>
        <w:rPr>
          <w:rFonts w:hint="eastAsia" w:ascii="宋体" w:hAnsi="宋体" w:eastAsia="宋体" w:cs="宋体"/>
          <w:i w:val="0"/>
          <w:caps w:val="0"/>
          <w:color w:val="auto"/>
          <w:spacing w:val="0"/>
          <w:sz w:val="22"/>
          <w:szCs w:val="22"/>
          <w:highlight w:val="none"/>
          <w:u w:val="single"/>
          <w:lang w:eastAsia="zh-CN"/>
        </w:rPr>
        <w:t>202</w:t>
      </w:r>
      <w:r>
        <w:rPr>
          <w:rFonts w:hint="eastAsia" w:eastAsia="宋体" w:cs="宋体"/>
          <w:i w:val="0"/>
          <w:caps w:val="0"/>
          <w:color w:val="auto"/>
          <w:spacing w:val="0"/>
          <w:sz w:val="22"/>
          <w:szCs w:val="22"/>
          <w:highlight w:val="none"/>
          <w:u w:val="single"/>
          <w:lang w:val="en-US" w:eastAsia="zh-CN"/>
        </w:rPr>
        <w:t>4</w:t>
      </w:r>
      <w:r>
        <w:rPr>
          <w:rFonts w:hint="eastAsia" w:ascii="宋体" w:hAnsi="宋体" w:eastAsia="宋体" w:cs="宋体"/>
          <w:i w:val="0"/>
          <w:caps w:val="0"/>
          <w:color w:val="auto"/>
          <w:spacing w:val="0"/>
          <w:sz w:val="22"/>
          <w:szCs w:val="22"/>
          <w:highlight w:val="none"/>
          <w:u w:val="single"/>
          <w:lang w:eastAsia="zh-CN"/>
        </w:rPr>
        <w:t>年</w:t>
      </w:r>
      <w:r>
        <w:rPr>
          <w:rFonts w:hint="eastAsia" w:eastAsia="宋体" w:cs="宋体"/>
          <w:i w:val="0"/>
          <w:caps w:val="0"/>
          <w:color w:val="auto"/>
          <w:spacing w:val="0"/>
          <w:sz w:val="22"/>
          <w:szCs w:val="22"/>
          <w:highlight w:val="none"/>
          <w:u w:val="single"/>
          <w:lang w:val="en-US" w:eastAsia="zh-CN"/>
        </w:rPr>
        <w:t>12</w:t>
      </w:r>
      <w:r>
        <w:rPr>
          <w:rFonts w:hint="eastAsia" w:ascii="宋体" w:hAnsi="宋体" w:eastAsia="宋体" w:cs="宋体"/>
          <w:i w:val="0"/>
          <w:caps w:val="0"/>
          <w:color w:val="auto"/>
          <w:spacing w:val="0"/>
          <w:sz w:val="22"/>
          <w:szCs w:val="22"/>
          <w:highlight w:val="none"/>
          <w:u w:val="single"/>
          <w:lang w:eastAsia="zh-CN"/>
        </w:rPr>
        <w:t>月</w:t>
      </w:r>
      <w:r>
        <w:rPr>
          <w:rFonts w:hint="eastAsia" w:eastAsia="宋体" w:cs="宋体"/>
          <w:i w:val="0"/>
          <w:caps w:val="0"/>
          <w:color w:val="auto"/>
          <w:spacing w:val="0"/>
          <w:sz w:val="22"/>
          <w:szCs w:val="22"/>
          <w:highlight w:val="none"/>
          <w:u w:val="single"/>
          <w:lang w:val="en-US" w:eastAsia="zh-CN"/>
        </w:rPr>
        <w:t xml:space="preserve">2 </w:t>
      </w:r>
      <w:r>
        <w:rPr>
          <w:rFonts w:hint="eastAsia" w:ascii="宋体" w:hAnsi="宋体" w:eastAsia="宋体" w:cs="宋体"/>
          <w:i w:val="0"/>
          <w:caps w:val="0"/>
          <w:color w:val="auto"/>
          <w:spacing w:val="0"/>
          <w:sz w:val="22"/>
          <w:szCs w:val="22"/>
          <w:highlight w:val="none"/>
          <w:u w:val="single"/>
          <w:lang w:eastAsia="zh-CN"/>
        </w:rPr>
        <w:t>日</w:t>
      </w:r>
      <w:r>
        <w:rPr>
          <w:rFonts w:hint="eastAsia" w:eastAsia="宋体" w:cs="宋体"/>
          <w:i w:val="0"/>
          <w:caps w:val="0"/>
          <w:color w:val="auto"/>
          <w:spacing w:val="0"/>
          <w:sz w:val="22"/>
          <w:szCs w:val="22"/>
          <w:highlight w:val="none"/>
          <w:u w:val="single"/>
          <w:lang w:val="en-US" w:eastAsia="zh-CN"/>
        </w:rPr>
        <w:t>09点00</w:t>
      </w:r>
      <w:r>
        <w:rPr>
          <w:rFonts w:hint="eastAsia" w:ascii="宋体" w:hAnsi="宋体" w:eastAsia="宋体" w:cs="宋体"/>
          <w:i w:val="0"/>
          <w:caps w:val="0"/>
          <w:color w:val="auto"/>
          <w:spacing w:val="0"/>
          <w:sz w:val="22"/>
          <w:szCs w:val="22"/>
          <w:highlight w:val="none"/>
          <w:u w:val="single"/>
          <w:lang w:eastAsia="zh-CN"/>
        </w:rPr>
        <w:t>分</w:t>
      </w:r>
      <w:r>
        <w:rPr>
          <w:rFonts w:hint="eastAsia" w:ascii="宋体" w:hAnsi="宋体" w:eastAsia="宋体" w:cs="宋体"/>
          <w:b w:val="0"/>
          <w:bCs w:val="0"/>
          <w:color w:val="auto"/>
          <w:kern w:val="0"/>
          <w:sz w:val="22"/>
          <w:szCs w:val="22"/>
          <w:highlight w:val="none"/>
          <w:lang w:val="en-US" w:eastAsia="zh-CN" w:bidi="ar-SA"/>
        </w:rPr>
        <w:t>（北京时间）</w:t>
      </w:r>
    </w:p>
    <w:p w14:paraId="469EC4E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b w:val="0"/>
          <w:bCs w:val="0"/>
          <w:color w:val="auto"/>
          <w:kern w:val="0"/>
          <w:sz w:val="22"/>
          <w:szCs w:val="22"/>
          <w:highlight w:val="none"/>
          <w:lang w:val="en-US" w:eastAsia="zh-CN" w:bidi="ar-SA"/>
        </w:rPr>
        <w:t>地点：通过</w:t>
      </w:r>
      <w:r>
        <w:rPr>
          <w:rFonts w:hint="eastAsia" w:eastAsia="宋体" w:cs="宋体"/>
          <w:b w:val="0"/>
          <w:bCs w:val="0"/>
          <w:color w:val="auto"/>
          <w:kern w:val="0"/>
          <w:sz w:val="22"/>
          <w:szCs w:val="22"/>
          <w:highlight w:val="none"/>
          <w:lang w:val="en-US" w:eastAsia="zh-CN" w:bidi="ar-SA"/>
        </w:rPr>
        <w:t>广西政府采购云平台</w:t>
      </w:r>
      <w:r>
        <w:rPr>
          <w:rFonts w:hint="eastAsia" w:ascii="宋体" w:hAnsi="宋体" w:eastAsia="宋体" w:cs="宋体"/>
          <w:b w:val="0"/>
          <w:bCs w:val="0"/>
          <w:color w:val="auto"/>
          <w:kern w:val="0"/>
          <w:sz w:val="22"/>
          <w:szCs w:val="22"/>
          <w:highlight w:val="none"/>
          <w:lang w:val="en-US" w:eastAsia="zh-CN" w:bidi="ar-SA"/>
        </w:rPr>
        <w:t>实行在线解密开启。</w:t>
      </w:r>
    </w:p>
    <w:p w14:paraId="543A5B09">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rPr>
      </w:pPr>
      <w:r>
        <w:rPr>
          <w:rStyle w:val="20"/>
          <w:rFonts w:hint="eastAsia" w:ascii="宋体" w:hAnsi="宋体" w:eastAsia="宋体" w:cs="宋体"/>
          <w:b/>
          <w:i w:val="0"/>
          <w:caps w:val="0"/>
          <w:color w:val="auto"/>
          <w:spacing w:val="0"/>
          <w:sz w:val="22"/>
          <w:szCs w:val="22"/>
          <w:highlight w:val="none"/>
          <w:lang w:eastAsia="zh-CN"/>
        </w:rPr>
        <w:t>六</w:t>
      </w:r>
      <w:r>
        <w:rPr>
          <w:rStyle w:val="20"/>
          <w:rFonts w:hint="eastAsia" w:ascii="宋体" w:hAnsi="宋体" w:eastAsia="宋体" w:cs="宋体"/>
          <w:b/>
          <w:i w:val="0"/>
          <w:caps w:val="0"/>
          <w:color w:val="auto"/>
          <w:spacing w:val="0"/>
          <w:sz w:val="22"/>
          <w:szCs w:val="22"/>
          <w:highlight w:val="none"/>
        </w:rPr>
        <w:t>、公告期限</w:t>
      </w:r>
    </w:p>
    <w:p w14:paraId="6C51DD0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Style w:val="20"/>
          <w:rFonts w:hint="eastAsia" w:ascii="宋体" w:hAnsi="宋体" w:eastAsia="宋体" w:cs="宋体"/>
          <w:b/>
          <w:i w:val="0"/>
          <w:caps w:val="0"/>
          <w:color w:val="auto"/>
          <w:spacing w:val="0"/>
          <w:sz w:val="22"/>
          <w:szCs w:val="22"/>
          <w:highlight w:val="none"/>
          <w:lang w:eastAsia="zh-CN"/>
        </w:rPr>
      </w:pPr>
      <w:r>
        <w:rPr>
          <w:rFonts w:hint="eastAsia" w:ascii="宋体" w:hAnsi="宋体" w:eastAsia="宋体" w:cs="宋体"/>
          <w:i w:val="0"/>
          <w:caps w:val="0"/>
          <w:color w:val="auto"/>
          <w:spacing w:val="0"/>
          <w:sz w:val="22"/>
          <w:szCs w:val="22"/>
          <w:highlight w:val="none"/>
          <w:u w:val="none"/>
        </w:rPr>
        <w:t>自本公告发布之日起3个工作日。</w:t>
      </w:r>
    </w:p>
    <w:p w14:paraId="6C770C95">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lang w:eastAsia="zh-CN"/>
        </w:rPr>
      </w:pPr>
      <w:r>
        <w:rPr>
          <w:rStyle w:val="20"/>
          <w:rFonts w:hint="eastAsia" w:ascii="宋体" w:hAnsi="宋体" w:eastAsia="宋体" w:cs="宋体"/>
          <w:b/>
          <w:i w:val="0"/>
          <w:caps w:val="0"/>
          <w:color w:val="auto"/>
          <w:spacing w:val="0"/>
          <w:sz w:val="22"/>
          <w:szCs w:val="22"/>
          <w:highlight w:val="none"/>
          <w:lang w:eastAsia="zh-CN"/>
        </w:rPr>
        <w:t>七、其他补充事宜</w:t>
      </w:r>
    </w:p>
    <w:p w14:paraId="3A3D8BB8">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本项目需要落实的政府采购政策：</w:t>
      </w:r>
      <w:r>
        <w:rPr>
          <w:rFonts w:hint="eastAsia" w:ascii="宋体" w:hAnsi="宋体" w:eastAsia="宋体" w:cs="宋体"/>
          <w:color w:val="auto"/>
          <w:sz w:val="22"/>
          <w:szCs w:val="22"/>
          <w:highlight w:val="none"/>
        </w:rPr>
        <w:t>《中华人民共和国政府采购法》、《中华人民共和国政府采购法实施条例》、《政府采购非招标采购方式管理办法》、《政府采购促进中小企业发展管理办法》（财库﹝2020﹞46 号）、《关于政府采购支持监狱企业发展有关问题的通知》 (财库[2014]68号)、《财库〔2017〕141号三部门联合发布关于促进残疾人就业政府采购政策的通知》等政府采购政策。</w:t>
      </w:r>
    </w:p>
    <w:p w14:paraId="1CD1F402">
      <w:pPr>
        <w:adjustRightInd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网上公告媒体查询：中国政府采购网（http://www.ccgp.gov.cn/）、广西壮族自治区政府 采 购 网 （ http://www.ccgp-guangxi.gov.cn/ ） </w:t>
      </w:r>
      <w:r>
        <w:rPr>
          <w:rFonts w:hint="eastAsia" w:ascii="宋体" w:hAnsi="宋体" w:eastAsia="宋体" w:cs="宋体"/>
          <w:color w:val="auto"/>
          <w:sz w:val="22"/>
          <w:szCs w:val="22"/>
          <w:highlight w:val="none"/>
          <w:lang w:eastAsia="zh-CN"/>
        </w:rPr>
        <w:t>。</w:t>
      </w:r>
    </w:p>
    <w:p w14:paraId="0F428FDD">
      <w:pPr>
        <w:adjustRightInd w:val="0"/>
        <w:snapToGrid w:val="0"/>
        <w:spacing w:line="360" w:lineRule="auto"/>
        <w:ind w:firstLine="440" w:firstLineChars="200"/>
        <w:rPr>
          <w:rFonts w:hint="eastAsia" w:ascii="宋体" w:hAnsi="宋体" w:eastAsia="宋体" w:cs="宋体"/>
          <w:i w:val="0"/>
          <w:caps w:val="0"/>
          <w:color w:val="auto"/>
          <w:spacing w:val="0"/>
          <w:sz w:val="22"/>
          <w:szCs w:val="22"/>
          <w:highlight w:val="none"/>
          <w:u w:val="none"/>
          <w:lang w:val="en-US" w:eastAsia="zh-CN"/>
        </w:rPr>
      </w:pPr>
      <w:r>
        <w:rPr>
          <w:rFonts w:hint="eastAsia" w:ascii="宋体" w:hAnsi="宋体" w:eastAsia="宋体" w:cs="宋体"/>
          <w:i w:val="0"/>
          <w:caps w:val="0"/>
          <w:color w:val="auto"/>
          <w:spacing w:val="0"/>
          <w:sz w:val="22"/>
          <w:szCs w:val="22"/>
          <w:highlight w:val="none"/>
          <w:u w:val="none"/>
          <w:lang w:val="en-US" w:eastAsia="zh-CN"/>
        </w:rPr>
        <w:t>3、本项目通过广西政府采购云平台实行在线投标响应（电子投标），具体操作流程详见谈判文件。</w:t>
      </w:r>
    </w:p>
    <w:p w14:paraId="13892590">
      <w:pPr>
        <w:pStyle w:val="1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exact"/>
        <w:ind w:left="0" w:right="0" w:firstLine="0"/>
        <w:textAlignment w:val="auto"/>
        <w:rPr>
          <w:rStyle w:val="20"/>
          <w:rFonts w:hint="eastAsia" w:ascii="宋体" w:hAnsi="宋体" w:eastAsia="宋体" w:cs="宋体"/>
          <w:b/>
          <w:i w:val="0"/>
          <w:caps w:val="0"/>
          <w:color w:val="auto"/>
          <w:spacing w:val="0"/>
          <w:sz w:val="22"/>
          <w:szCs w:val="22"/>
          <w:highlight w:val="none"/>
          <w:lang w:eastAsia="zh-CN"/>
        </w:rPr>
      </w:pPr>
      <w:r>
        <w:rPr>
          <w:rStyle w:val="20"/>
          <w:rFonts w:hint="eastAsia" w:ascii="宋体" w:hAnsi="宋体" w:eastAsia="宋体" w:cs="宋体"/>
          <w:b/>
          <w:i w:val="0"/>
          <w:caps w:val="0"/>
          <w:color w:val="auto"/>
          <w:spacing w:val="0"/>
          <w:sz w:val="22"/>
          <w:szCs w:val="22"/>
          <w:highlight w:val="none"/>
          <w:lang w:eastAsia="zh-CN"/>
        </w:rPr>
        <w:t>八、凡对本次采购提出询问，请按以下方式联系。</w:t>
      </w:r>
    </w:p>
    <w:p w14:paraId="4174407A">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b w:val="0"/>
          <w:color w:val="auto"/>
          <w:sz w:val="22"/>
          <w:szCs w:val="22"/>
          <w:highlight w:val="none"/>
        </w:rPr>
      </w:pPr>
      <w:bookmarkStart w:id="9" w:name="_Toc35393806"/>
      <w:bookmarkStart w:id="10" w:name="_Toc35393637"/>
      <w:bookmarkStart w:id="11" w:name="_Toc28359019"/>
      <w:bookmarkStart w:id="12" w:name="_Toc28359096"/>
      <w:r>
        <w:rPr>
          <w:rFonts w:hint="eastAsia" w:ascii="宋体" w:hAnsi="宋体" w:eastAsia="宋体" w:cs="宋体"/>
          <w:b w:val="0"/>
          <w:color w:val="auto"/>
          <w:sz w:val="22"/>
          <w:szCs w:val="22"/>
          <w:highlight w:val="none"/>
        </w:rPr>
        <w:t>1.采购人信息</w:t>
      </w:r>
      <w:bookmarkEnd w:id="9"/>
      <w:bookmarkEnd w:id="10"/>
      <w:bookmarkEnd w:id="11"/>
      <w:bookmarkEnd w:id="12"/>
    </w:p>
    <w:p w14:paraId="4C8AB9A4">
      <w:pPr>
        <w:pageBreakBefore w:val="0"/>
        <w:widowControl w:val="0"/>
        <w:kinsoku/>
        <w:wordWrap/>
        <w:overflowPunct/>
        <w:topLinePunct w:val="0"/>
        <w:autoSpaceDE/>
        <w:autoSpaceDN/>
        <w:bidi w:val="0"/>
        <w:snapToGrid w:val="0"/>
        <w:spacing w:line="360" w:lineRule="auto"/>
        <w:ind w:left="1054" w:leftChars="371" w:hanging="275" w:hangingChars="125"/>
        <w:jc w:val="left"/>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eastAsia="zh-CN"/>
        </w:rPr>
        <w:t>合浦廉州中学</w:t>
      </w:r>
    </w:p>
    <w:p w14:paraId="027865FF">
      <w:pPr>
        <w:pageBreakBefore w:val="0"/>
        <w:widowControl w:val="0"/>
        <w:kinsoku/>
        <w:wordWrap/>
        <w:overflowPunct/>
        <w:topLinePunct w:val="0"/>
        <w:autoSpaceDE/>
        <w:autoSpaceDN/>
        <w:bidi w:val="0"/>
        <w:snapToGrid w:val="0"/>
        <w:spacing w:line="360" w:lineRule="auto"/>
        <w:ind w:left="1054" w:leftChars="371" w:hanging="275" w:hangingChars="125"/>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址：合浦县内</w:t>
      </w:r>
    </w:p>
    <w:p w14:paraId="1BC1F34E">
      <w:pPr>
        <w:pageBreakBefore w:val="0"/>
        <w:widowControl w:val="0"/>
        <w:kinsoku/>
        <w:wordWrap/>
        <w:overflowPunct/>
        <w:topLinePunct w:val="0"/>
        <w:autoSpaceDE/>
        <w:autoSpaceDN/>
        <w:bidi w:val="0"/>
        <w:snapToGrid w:val="0"/>
        <w:spacing w:line="360" w:lineRule="auto"/>
        <w:ind w:left="1054" w:leftChars="371" w:hanging="275" w:hangingChars="125"/>
        <w:jc w:val="left"/>
        <w:textAlignment w:val="auto"/>
        <w:outlineLvl w:val="9"/>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rPr>
        <w:t>项目联系方式：0779-7282122</w:t>
      </w:r>
    </w:p>
    <w:p w14:paraId="014927C0">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b w:val="0"/>
          <w:color w:val="auto"/>
          <w:sz w:val="22"/>
          <w:szCs w:val="22"/>
          <w:highlight w:val="none"/>
          <w:u w:val="none"/>
        </w:rPr>
      </w:pPr>
      <w:bookmarkStart w:id="13" w:name="_Toc28359020"/>
      <w:bookmarkStart w:id="14" w:name="_Toc35393807"/>
      <w:bookmarkStart w:id="15" w:name="_Toc28359097"/>
      <w:bookmarkStart w:id="16" w:name="_Toc35393638"/>
      <w:r>
        <w:rPr>
          <w:rFonts w:hint="eastAsia" w:ascii="宋体" w:hAnsi="宋体" w:eastAsia="宋体" w:cs="宋体"/>
          <w:b w:val="0"/>
          <w:color w:val="auto"/>
          <w:sz w:val="22"/>
          <w:szCs w:val="22"/>
          <w:highlight w:val="none"/>
          <w:u w:val="none"/>
        </w:rPr>
        <w:t>2.采购代理机构信息</w:t>
      </w:r>
      <w:bookmarkEnd w:id="13"/>
      <w:bookmarkEnd w:id="14"/>
      <w:bookmarkEnd w:id="15"/>
      <w:bookmarkEnd w:id="16"/>
    </w:p>
    <w:p w14:paraId="3EFD321C">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名    称：</w:t>
      </w:r>
      <w:r>
        <w:rPr>
          <w:rFonts w:hint="eastAsia" w:ascii="宋体" w:hAnsi="宋体" w:eastAsia="宋体" w:cs="宋体"/>
          <w:color w:val="auto"/>
          <w:sz w:val="22"/>
          <w:szCs w:val="22"/>
          <w:highlight w:val="none"/>
          <w:u w:val="none"/>
          <w:lang w:eastAsia="zh-CN"/>
        </w:rPr>
        <w:t>广西中之元工程管理有限公司</w:t>
      </w:r>
      <w:r>
        <w:rPr>
          <w:rFonts w:hint="eastAsia" w:ascii="宋体" w:hAnsi="宋体" w:eastAsia="宋体" w:cs="宋体"/>
          <w:color w:val="auto"/>
          <w:sz w:val="22"/>
          <w:szCs w:val="22"/>
          <w:highlight w:val="none"/>
          <w:u w:val="none"/>
        </w:rPr>
        <w:t xml:space="preserve">  </w:t>
      </w:r>
    </w:p>
    <w:p w14:paraId="74B9520D">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　　址：</w:t>
      </w:r>
      <w:r>
        <w:rPr>
          <w:rFonts w:hint="eastAsia" w:ascii="宋体" w:hAnsi="宋体" w:eastAsia="宋体" w:cs="宋体"/>
          <w:color w:val="auto"/>
          <w:sz w:val="22"/>
          <w:szCs w:val="22"/>
          <w:highlight w:val="none"/>
          <w:u w:val="none"/>
          <w:lang w:eastAsia="zh-CN"/>
        </w:rPr>
        <w:t>广西合浦县</w:t>
      </w:r>
      <w:r>
        <w:rPr>
          <w:rFonts w:hint="eastAsia" w:ascii="宋体" w:hAnsi="宋体" w:eastAsia="宋体" w:cs="宋体"/>
          <w:color w:val="auto"/>
          <w:sz w:val="22"/>
          <w:szCs w:val="22"/>
          <w:highlight w:val="none"/>
          <w:u w:val="none"/>
          <w:lang w:val="en-US" w:eastAsia="zh-CN"/>
        </w:rPr>
        <w:t>廉州镇</w:t>
      </w:r>
      <w:r>
        <w:rPr>
          <w:rFonts w:hint="eastAsia" w:ascii="宋体" w:hAnsi="宋体" w:eastAsia="宋体" w:cs="宋体"/>
          <w:color w:val="auto"/>
          <w:sz w:val="22"/>
          <w:szCs w:val="22"/>
          <w:highlight w:val="none"/>
          <w:u w:val="none"/>
          <w:lang w:eastAsia="zh-CN"/>
        </w:rPr>
        <w:t>文昌新城2栋9号楼</w:t>
      </w:r>
    </w:p>
    <w:p w14:paraId="3BA0D226">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联系方式：</w:t>
      </w:r>
      <w:r>
        <w:rPr>
          <w:rFonts w:hint="eastAsia" w:ascii="宋体" w:hAnsi="宋体" w:eastAsia="宋体" w:cs="宋体"/>
          <w:color w:val="auto"/>
          <w:sz w:val="22"/>
          <w:szCs w:val="22"/>
          <w:highlight w:val="none"/>
          <w:u w:val="none"/>
          <w:lang w:eastAsia="zh-CN"/>
        </w:rPr>
        <w:t>0779-7200788</w:t>
      </w:r>
      <w:r>
        <w:rPr>
          <w:rFonts w:hint="eastAsia" w:ascii="宋体" w:hAnsi="宋体" w:eastAsia="宋体" w:cs="宋体"/>
          <w:color w:val="auto"/>
          <w:sz w:val="22"/>
          <w:szCs w:val="22"/>
          <w:highlight w:val="none"/>
          <w:u w:val="none"/>
        </w:rPr>
        <w:t xml:space="preserve"> </w:t>
      </w:r>
    </w:p>
    <w:p w14:paraId="51948081">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b w:val="0"/>
          <w:color w:val="auto"/>
          <w:sz w:val="22"/>
          <w:szCs w:val="22"/>
          <w:highlight w:val="none"/>
          <w:u w:val="none"/>
        </w:rPr>
      </w:pPr>
      <w:bookmarkStart w:id="17" w:name="_Toc28359098"/>
      <w:bookmarkStart w:id="18" w:name="_Toc35393808"/>
      <w:bookmarkStart w:id="19" w:name="_Toc35393639"/>
      <w:bookmarkStart w:id="20" w:name="_Toc28359021"/>
      <w:r>
        <w:rPr>
          <w:rFonts w:hint="eastAsia" w:ascii="宋体" w:hAnsi="宋体" w:eastAsia="宋体" w:cs="宋体"/>
          <w:b w:val="0"/>
          <w:color w:val="auto"/>
          <w:sz w:val="22"/>
          <w:szCs w:val="22"/>
          <w:highlight w:val="none"/>
          <w:u w:val="none"/>
        </w:rPr>
        <w:t>3.项目联系方式</w:t>
      </w:r>
      <w:bookmarkEnd w:id="17"/>
      <w:bookmarkEnd w:id="18"/>
      <w:bookmarkEnd w:id="19"/>
      <w:bookmarkEnd w:id="20"/>
    </w:p>
    <w:p w14:paraId="35520924">
      <w:pPr>
        <w:pStyle w:val="10"/>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项目联系人：</w:t>
      </w:r>
      <w:r>
        <w:rPr>
          <w:rFonts w:hint="eastAsia" w:hAnsi="宋体" w:eastAsia="宋体" w:cs="宋体"/>
          <w:color w:val="auto"/>
          <w:sz w:val="22"/>
          <w:szCs w:val="22"/>
          <w:highlight w:val="none"/>
          <w:u w:val="none"/>
          <w:lang w:eastAsia="zh-CN"/>
        </w:rPr>
        <w:t>陈工</w:t>
      </w:r>
    </w:p>
    <w:p w14:paraId="53F67C9F">
      <w:pPr>
        <w:pageBreakBefore w:val="0"/>
        <w:widowControl w:val="0"/>
        <w:kinsoku/>
        <w:wordWrap/>
        <w:overflowPunct/>
        <w:topLinePunct w:val="0"/>
        <w:autoSpaceDE/>
        <w:autoSpaceDN/>
        <w:bidi w:val="0"/>
        <w:snapToGrid w:val="0"/>
        <w:spacing w:line="360" w:lineRule="auto"/>
        <w:ind w:firstLine="660" w:firstLineChars="300"/>
        <w:textAlignment w:val="auto"/>
        <w:outlineLvl w:val="9"/>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电　　 话：</w:t>
      </w:r>
      <w:r>
        <w:rPr>
          <w:rFonts w:hint="eastAsia" w:ascii="宋体" w:hAnsi="宋体" w:eastAsia="宋体" w:cs="宋体"/>
          <w:color w:val="auto"/>
          <w:sz w:val="22"/>
          <w:szCs w:val="22"/>
          <w:highlight w:val="none"/>
          <w:u w:val="none"/>
          <w:lang w:eastAsia="zh-CN"/>
        </w:rPr>
        <w:t>0779-7200788</w:t>
      </w:r>
    </w:p>
    <w:p w14:paraId="0A6D1A4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宋体" w:hAnsi="宋体" w:eastAsia="宋体" w:cs="宋体"/>
          <w:color w:val="auto"/>
          <w:sz w:val="22"/>
          <w:szCs w:val="22"/>
          <w:highlight w:val="none"/>
        </w:rPr>
      </w:pPr>
    </w:p>
    <w:p w14:paraId="4647B7B1">
      <w:pPr>
        <w:pStyle w:val="25"/>
        <w:pageBreakBefore w:val="0"/>
        <w:widowControl w:val="0"/>
        <w:kinsoku/>
        <w:wordWrap/>
        <w:overflowPunct/>
        <w:topLinePunct w:val="0"/>
        <w:autoSpaceDE/>
        <w:autoSpaceDN/>
        <w:bidi w:val="0"/>
        <w:textAlignment w:val="auto"/>
        <w:outlineLvl w:val="9"/>
        <w:rPr>
          <w:rFonts w:hint="eastAsia" w:ascii="宋体" w:hAnsi="宋体" w:eastAsia="宋体" w:cs="宋体"/>
          <w:color w:val="auto"/>
          <w:sz w:val="22"/>
          <w:szCs w:val="22"/>
          <w:highlight w:val="none"/>
        </w:rPr>
      </w:pPr>
    </w:p>
    <w:p w14:paraId="7686019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仿宋_GB2312"/>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cs="仿宋_GB2312"/>
          <w:color w:val="auto"/>
          <w:sz w:val="22"/>
          <w:szCs w:val="22"/>
          <w:highlight w:val="none"/>
        </w:rPr>
        <w:t xml:space="preserve">采购人（盖章）：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采购代理机构（盖章）：</w:t>
      </w:r>
    </w:p>
    <w:p w14:paraId="1824853B">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cs="仿宋_GB2312"/>
          <w:color w:val="auto"/>
          <w:sz w:val="22"/>
          <w:szCs w:val="22"/>
          <w:highlight w:val="none"/>
          <w:lang w:eastAsia="zh-CN"/>
        </w:rPr>
      </w:pPr>
      <w:r>
        <w:rPr>
          <w:rFonts w:hint="eastAsia" w:ascii="宋体" w:hAnsi="宋体" w:cs="仿宋_GB2312"/>
          <w:color w:val="auto"/>
          <w:sz w:val="22"/>
          <w:szCs w:val="22"/>
          <w:highlight w:val="none"/>
          <w:lang w:eastAsia="zh-CN"/>
        </w:rPr>
        <w:t>合浦廉州中学</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lang w:eastAsia="zh-CN"/>
        </w:rPr>
        <w:t>广西中之元工程管理有限公司</w:t>
      </w:r>
    </w:p>
    <w:p w14:paraId="5DC087A7">
      <w:pPr>
        <w:pageBreakBefore w:val="0"/>
        <w:widowControl w:val="0"/>
        <w:kinsoku/>
        <w:wordWrap/>
        <w:overflowPunct/>
        <w:topLinePunct w:val="0"/>
        <w:autoSpaceDE/>
        <w:autoSpaceDN/>
        <w:bidi w:val="0"/>
        <w:snapToGrid w:val="0"/>
        <w:spacing w:line="360" w:lineRule="exact"/>
        <w:ind w:firstLine="440" w:firstLineChars="200"/>
        <w:jc w:val="both"/>
        <w:textAlignment w:val="auto"/>
        <w:outlineLvl w:val="9"/>
        <w:rPr>
          <w:rFonts w:hint="eastAsia" w:ascii="宋体" w:hAnsi="宋体" w:eastAsia="宋体" w:cs="宋体"/>
          <w:color w:val="auto"/>
          <w:sz w:val="22"/>
          <w:szCs w:val="22"/>
          <w:highlight w:val="none"/>
        </w:rPr>
      </w:pPr>
      <w:r>
        <w:rPr>
          <w:rFonts w:hint="eastAsia" w:ascii="宋体" w:hAnsi="宋体" w:cs="仿宋_GB2312"/>
          <w:color w:val="auto"/>
          <w:sz w:val="22"/>
          <w:szCs w:val="22"/>
          <w:highlight w:val="none"/>
          <w:lang w:val="en-US" w:eastAsia="zh-CN"/>
        </w:rPr>
        <w:t>2024</w:t>
      </w:r>
      <w:r>
        <w:rPr>
          <w:rFonts w:hint="eastAsia" w:ascii="宋体" w:hAnsi="宋体" w:cs="仿宋_GB2312"/>
          <w:color w:val="auto"/>
          <w:sz w:val="22"/>
          <w:szCs w:val="22"/>
          <w:highlight w:val="none"/>
        </w:rPr>
        <w:t>年</w:t>
      </w:r>
      <w:r>
        <w:rPr>
          <w:rFonts w:hint="eastAsia" w:ascii="宋体" w:hAnsi="宋体" w:cs="仿宋_GB2312"/>
          <w:color w:val="auto"/>
          <w:sz w:val="22"/>
          <w:szCs w:val="22"/>
          <w:highlight w:val="none"/>
          <w:lang w:val="en-US" w:eastAsia="zh-CN"/>
        </w:rPr>
        <w:t>11</w:t>
      </w:r>
      <w:r>
        <w:rPr>
          <w:rFonts w:hint="eastAsia" w:ascii="宋体" w:hAnsi="宋体" w:cs="仿宋_GB2312"/>
          <w:color w:val="auto"/>
          <w:sz w:val="22"/>
          <w:szCs w:val="22"/>
          <w:highlight w:val="none"/>
        </w:rPr>
        <w:t>月</w:t>
      </w:r>
      <w:r>
        <w:rPr>
          <w:rFonts w:hint="eastAsia" w:ascii="宋体" w:hAnsi="宋体" w:cs="仿宋_GB2312"/>
          <w:color w:val="auto"/>
          <w:sz w:val="22"/>
          <w:szCs w:val="22"/>
          <w:highlight w:val="none"/>
          <w:lang w:val="en-US" w:eastAsia="zh-CN"/>
        </w:rPr>
        <w:t>25</w:t>
      </w:r>
      <w:r>
        <w:rPr>
          <w:rFonts w:hint="eastAsia" w:ascii="宋体" w:hAnsi="宋体" w:cs="仿宋_GB2312"/>
          <w:color w:val="auto"/>
          <w:sz w:val="22"/>
          <w:szCs w:val="22"/>
          <w:highlight w:val="none"/>
        </w:rPr>
        <w:t xml:space="preserve">日                        </w:t>
      </w:r>
      <w:r>
        <w:rPr>
          <w:rFonts w:hint="eastAsia" w:ascii="宋体" w:hAnsi="宋体" w:cs="仿宋_GB2312"/>
          <w:color w:val="auto"/>
          <w:sz w:val="22"/>
          <w:szCs w:val="22"/>
          <w:highlight w:val="none"/>
          <w:lang w:val="en-US" w:eastAsia="zh-CN"/>
        </w:rPr>
        <w:t xml:space="preserve">           2024</w:t>
      </w:r>
      <w:r>
        <w:rPr>
          <w:rFonts w:hint="eastAsia" w:ascii="宋体" w:hAnsi="宋体" w:cs="仿宋_GB2312"/>
          <w:color w:val="auto"/>
          <w:sz w:val="22"/>
          <w:szCs w:val="22"/>
          <w:highlight w:val="none"/>
        </w:rPr>
        <w:t>年</w:t>
      </w:r>
      <w:r>
        <w:rPr>
          <w:rFonts w:hint="eastAsia" w:ascii="宋体" w:hAnsi="宋体" w:cs="仿宋_GB2312"/>
          <w:color w:val="auto"/>
          <w:sz w:val="22"/>
          <w:szCs w:val="22"/>
          <w:highlight w:val="none"/>
          <w:lang w:val="en-US" w:eastAsia="zh-CN"/>
        </w:rPr>
        <w:t>11</w:t>
      </w:r>
      <w:r>
        <w:rPr>
          <w:rFonts w:hint="eastAsia" w:ascii="宋体" w:hAnsi="宋体" w:cs="仿宋_GB2312"/>
          <w:color w:val="auto"/>
          <w:sz w:val="22"/>
          <w:szCs w:val="22"/>
          <w:highlight w:val="none"/>
        </w:rPr>
        <w:t>月</w:t>
      </w:r>
      <w:r>
        <w:rPr>
          <w:rFonts w:hint="eastAsia" w:ascii="宋体" w:hAnsi="宋体" w:cs="仿宋_GB2312"/>
          <w:color w:val="auto"/>
          <w:sz w:val="22"/>
          <w:szCs w:val="22"/>
          <w:highlight w:val="none"/>
          <w:lang w:val="en-US" w:eastAsia="zh-CN"/>
        </w:rPr>
        <w:t>25</w:t>
      </w:r>
      <w:r>
        <w:rPr>
          <w:rFonts w:hint="eastAsia" w:ascii="宋体" w:hAnsi="宋体" w:cs="仿宋_GB2312"/>
          <w:color w:val="auto"/>
          <w:sz w:val="22"/>
          <w:szCs w:val="22"/>
          <w:highlight w:val="none"/>
        </w:rPr>
        <w:t>日</w:t>
      </w:r>
    </w:p>
    <w:p w14:paraId="02383A11">
      <w:pPr>
        <w:rPr>
          <w:rFonts w:hint="default" w:ascii="宋体" w:hAnsi="宋体" w:cs="宋体"/>
          <w:b/>
          <w:bCs/>
          <w:color w:val="auto"/>
          <w:sz w:val="22"/>
          <w:szCs w:val="22"/>
          <w:highlight w:val="none"/>
          <w:lang w:val="en-US" w:eastAsia="zh-CN"/>
        </w:rPr>
      </w:pPr>
      <w:r>
        <w:rPr>
          <w:rFonts w:hint="default" w:ascii="宋体" w:hAnsi="宋体" w:cs="宋体"/>
          <w:b/>
          <w:bCs/>
          <w:color w:val="auto"/>
          <w:sz w:val="22"/>
          <w:szCs w:val="22"/>
          <w:highlight w:val="none"/>
          <w:lang w:val="en-US" w:eastAsia="zh-CN"/>
        </w:rPr>
        <w:br w:type="page"/>
      </w:r>
    </w:p>
    <w:p w14:paraId="71BE9E92">
      <w:pPr>
        <w:pStyle w:val="2"/>
        <w:bidi w:val="0"/>
        <w:rPr>
          <w:rFonts w:hint="eastAsia"/>
          <w:color w:val="auto"/>
          <w:highlight w:val="none"/>
          <w:lang w:val="en-US" w:eastAsia="zh-CN"/>
        </w:rPr>
      </w:pPr>
      <w:bookmarkStart w:id="21" w:name="_Toc19050"/>
      <w:r>
        <w:rPr>
          <w:rFonts w:hint="eastAsia"/>
          <w:color w:val="auto"/>
          <w:highlight w:val="none"/>
          <w:lang w:val="en-US" w:eastAsia="zh-CN"/>
        </w:rPr>
        <w:t>第二章  谈判供应商须知</w:t>
      </w:r>
      <w:bookmarkEnd w:id="21"/>
    </w:p>
    <w:p w14:paraId="1E419F5A">
      <w:pPr>
        <w:pStyle w:val="6"/>
        <w:numPr>
          <w:ilvl w:val="0"/>
          <w:numId w:val="0"/>
        </w:numPr>
        <w:ind w:leftChars="0"/>
        <w:jc w:val="center"/>
        <w:rPr>
          <w:rFonts w:hint="eastAsia" w:ascii="宋体" w:hAnsi="宋体" w:eastAsia="宋体" w:cs="宋体"/>
          <w:color w:val="auto"/>
          <w:sz w:val="28"/>
          <w:szCs w:val="28"/>
          <w:highlight w:val="none"/>
          <w:lang w:val="en-US" w:eastAsia="zh-CN"/>
        </w:rPr>
      </w:pPr>
      <w:bookmarkStart w:id="22" w:name="_Toc254970667"/>
      <w:bookmarkStart w:id="23" w:name="_Toc254970526"/>
      <w:r>
        <w:rPr>
          <w:rFonts w:hint="eastAsia" w:ascii="宋体" w:hAnsi="宋体" w:eastAsia="宋体" w:cs="宋体"/>
          <w:color w:val="auto"/>
          <w:sz w:val="28"/>
          <w:szCs w:val="28"/>
          <w:highlight w:val="none"/>
          <w:lang w:val="en-US" w:eastAsia="zh-CN"/>
        </w:rPr>
        <w:t>谈判供应商须知前附表</w:t>
      </w:r>
      <w:bookmarkEnd w:id="22"/>
      <w:bookmarkEnd w:id="23"/>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8662"/>
      </w:tblGrid>
      <w:tr w14:paraId="72BF6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1900D0C">
            <w:pPr>
              <w:snapToGrid w:val="0"/>
              <w:spacing w:line="2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28A22898">
            <w:pPr>
              <w:snapToGrid w:val="0"/>
              <w:spacing w:line="2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内容</w:t>
            </w:r>
          </w:p>
        </w:tc>
      </w:tr>
      <w:tr w14:paraId="1187E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6BBC8B5">
            <w:pPr>
              <w:snapToGrid w:val="0"/>
              <w:spacing w:line="2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7D3CFDF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eastAsia="宋体" w:cs="宋体"/>
                <w:b w:val="0"/>
                <w:bCs w:val="0"/>
                <w:color w:val="auto"/>
                <w:sz w:val="22"/>
                <w:szCs w:val="22"/>
                <w:highlight w:val="none"/>
                <w:lang w:eastAsia="zh-CN"/>
              </w:rPr>
              <w:t>合浦廉州中学科普体验馆设备采购</w:t>
            </w:r>
          </w:p>
          <w:p w14:paraId="2B2116C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rPr>
              <w:t>项目编号：BHZC2024-J1-210330-ZZYG</w:t>
            </w:r>
          </w:p>
          <w:p w14:paraId="097DCE2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预算金额：</w:t>
            </w:r>
            <w:r>
              <w:rPr>
                <w:rFonts w:hint="eastAsia" w:ascii="宋体" w:hAnsi="宋体" w:eastAsia="宋体" w:cs="宋体"/>
                <w:color w:val="auto"/>
                <w:sz w:val="22"/>
                <w:szCs w:val="22"/>
                <w:highlight w:val="none"/>
                <w:lang w:val="en-US" w:eastAsia="zh-CN"/>
              </w:rPr>
              <w:t xml:space="preserve">2000000.00元 </w:t>
            </w:r>
          </w:p>
        </w:tc>
      </w:tr>
      <w:tr w14:paraId="270EF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B96A0E1">
            <w:pPr>
              <w:snapToGrid w:val="0"/>
              <w:spacing w:line="2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7EBE1363">
            <w:pPr>
              <w:keepNext w:val="0"/>
              <w:keepLines w:val="0"/>
              <w:pageBreakBefore w:val="0"/>
              <w:widowControl w:val="0"/>
              <w:kinsoku/>
              <w:wordWrap/>
              <w:overflowPunct/>
              <w:topLinePunct w:val="0"/>
              <w:bidi w:val="0"/>
              <w:adjustRightInd w:val="0"/>
              <w:snapToGrid w:val="0"/>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谈判供应商资格：</w:t>
            </w:r>
          </w:p>
          <w:p w14:paraId="7AA62F46">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1.满足《中华人民共和国政府采购法》第二十二条规定；</w:t>
            </w:r>
          </w:p>
          <w:p w14:paraId="0F8538D2">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cs="宋体"/>
                <w:b w:val="0"/>
                <w:bCs w:val="0"/>
                <w:color w:val="auto"/>
                <w:sz w:val="22"/>
                <w:szCs w:val="22"/>
                <w:highlight w:val="none"/>
              </w:rPr>
            </w:pPr>
            <w:bookmarkStart w:id="24" w:name="OLE_LINK2"/>
            <w:r>
              <w:rPr>
                <w:rFonts w:hint="eastAsia" w:ascii="宋体" w:hAnsi="宋体" w:cs="宋体"/>
                <w:b w:val="0"/>
                <w:bCs w:val="0"/>
                <w:color w:val="auto"/>
                <w:sz w:val="22"/>
                <w:szCs w:val="22"/>
                <w:highlight w:val="none"/>
              </w:rPr>
              <w:t>2.落实政府采购政策需满足的资格要求：本项目专门面向中小企业采购，供应商应为中小微企业或监狱企业或残疾人福利性单位；</w:t>
            </w:r>
          </w:p>
          <w:p w14:paraId="2C3CFBBF">
            <w:pPr>
              <w:pStyle w:val="24"/>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t>3.本项目的特定资格要求：已经依法获得书面推荐，并在规定时间内获取采购文件的供应商才有资格参与谈判</w:t>
            </w:r>
            <w:bookmarkEnd w:id="24"/>
            <w:r>
              <w:rPr>
                <w:rFonts w:hint="eastAsia" w:ascii="宋体" w:hAnsi="宋体" w:cs="宋体"/>
                <w:b w:val="0"/>
                <w:bCs w:val="0"/>
                <w:color w:val="auto"/>
                <w:sz w:val="22"/>
                <w:szCs w:val="22"/>
                <w:highlight w:val="none"/>
              </w:rPr>
              <w:t>。</w:t>
            </w:r>
          </w:p>
        </w:tc>
      </w:tr>
      <w:tr w14:paraId="30067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31C0E32">
            <w:pPr>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79769D5C">
            <w:pPr>
              <w:keepNext w:val="0"/>
              <w:keepLines w:val="0"/>
              <w:pageBreakBefore w:val="0"/>
              <w:widowControl w:val="0"/>
              <w:kinsoku/>
              <w:wordWrap/>
              <w:overflowPunct/>
              <w:topLinePunct w:val="0"/>
              <w:bidi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报价：谈判供应商</w:t>
            </w:r>
            <w:r>
              <w:rPr>
                <w:rFonts w:hint="eastAsia" w:ascii="宋体" w:hAnsi="宋体" w:cs="宋体"/>
                <w:color w:val="auto"/>
                <w:sz w:val="22"/>
                <w:szCs w:val="22"/>
                <w:highlight w:val="none"/>
                <w:lang w:eastAsia="zh-CN"/>
              </w:rPr>
              <w:t>应</w:t>
            </w:r>
            <w:r>
              <w:rPr>
                <w:rFonts w:hint="eastAsia" w:ascii="宋体" w:hAnsi="宋体" w:cs="宋体"/>
                <w:color w:val="auto"/>
                <w:sz w:val="22"/>
                <w:szCs w:val="22"/>
                <w:highlight w:val="none"/>
              </w:rPr>
              <w:t>就《采购需求》中所有的货物和服务内容做完整唯一报价。</w:t>
            </w:r>
          </w:p>
        </w:tc>
      </w:tr>
      <w:tr w14:paraId="6B948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A197D15">
            <w:pPr>
              <w:snapToGrid w:val="0"/>
              <w:spacing w:line="240" w:lineRule="auto"/>
              <w:jc w:val="center"/>
              <w:rPr>
                <w:rFonts w:hint="eastAsia"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646C9225">
            <w:pPr>
              <w:keepNext w:val="0"/>
              <w:keepLines w:val="0"/>
              <w:pageBreakBefore w:val="0"/>
              <w:widowControl w:val="0"/>
              <w:kinsoku/>
              <w:wordWrap/>
              <w:overflowPunct/>
              <w:topLinePunct w:val="0"/>
              <w:bidi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谈判前准备：</w:t>
            </w:r>
          </w:p>
          <w:p w14:paraId="213E3967">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1.本项目实行网上谈判，采用电子谈判响应文件。若供应商参与谈判，自行承担谈判一切费用。</w:t>
            </w:r>
          </w:p>
          <w:p w14:paraId="0980571B">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2.各供应商应在截标前应确保成为</w:t>
            </w:r>
            <w:bookmarkStart w:id="25" w:name="OLE_LINK1"/>
            <w:r>
              <w:rPr>
                <w:rFonts w:hint="eastAsia" w:ascii="宋体" w:hAnsi="宋体" w:cs="宋体"/>
                <w:color w:val="auto"/>
                <w:sz w:val="22"/>
                <w:szCs w:val="22"/>
                <w:highlight w:val="none"/>
                <w:lang w:eastAsia="zh-CN"/>
              </w:rPr>
              <w:t>广西政府采购云平台</w:t>
            </w:r>
            <w:bookmarkEnd w:id="25"/>
            <w:r>
              <w:rPr>
                <w:rFonts w:hint="eastAsia" w:ascii="宋体" w:hAnsi="宋体" w:cs="宋体"/>
                <w:color w:val="auto"/>
                <w:sz w:val="22"/>
                <w:szCs w:val="22"/>
                <w:highlight w:val="none"/>
              </w:rPr>
              <w:t>正式注册入库供应商，并完成CA数字证书申领。因未注册入库、未办理CA数字证书等原因造成无法谈判或谈判失败等后果由供应商自行承担。</w:t>
            </w:r>
          </w:p>
          <w:p w14:paraId="37A79544">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供应商将政采云电子交易客户端下载、安装完成后，可通过账号密码或CA登录客户端进行电子谈判响应文件制作。客户端请至北海市政府采购中心网站（http://xxgk.beihai.gov.cn/bhzcw/）下载专区查看，如有问题可拨打政采云客户服务热线</w:t>
            </w:r>
            <w:r>
              <w:rPr>
                <w:rFonts w:hint="eastAsia" w:ascii="宋体" w:hAnsi="宋体" w:cs="宋体"/>
                <w:color w:val="auto"/>
                <w:sz w:val="22"/>
                <w:szCs w:val="22"/>
                <w:highlight w:val="none"/>
                <w:lang w:eastAsia="zh-CN"/>
              </w:rPr>
              <w:t>95763</w:t>
            </w:r>
            <w:r>
              <w:rPr>
                <w:rFonts w:hint="eastAsia" w:ascii="宋体" w:hAnsi="宋体" w:cs="宋体"/>
                <w:color w:val="auto"/>
                <w:sz w:val="22"/>
                <w:szCs w:val="22"/>
                <w:highlight w:val="none"/>
              </w:rPr>
              <w:t>进行咨询。</w:t>
            </w:r>
          </w:p>
        </w:tc>
      </w:tr>
      <w:tr w14:paraId="61B15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6AC6605">
            <w:pPr>
              <w:snapToGrid w:val="0"/>
              <w:spacing w:line="240" w:lineRule="auto"/>
              <w:jc w:val="center"/>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4919E680">
            <w:pPr>
              <w:keepNext w:val="0"/>
              <w:keepLines w:val="0"/>
              <w:pageBreakBefore w:val="0"/>
              <w:widowControl w:val="0"/>
              <w:kinsoku/>
              <w:wordWrap/>
              <w:overflowPunct/>
              <w:topLinePunct w:val="0"/>
              <w:bidi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供应商应当准备电子谈判响应文件、可以准备以介质存储的数据电文形式的电子备份谈判响应文件：</w:t>
            </w:r>
          </w:p>
          <w:p w14:paraId="1C4337A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1.电子谈判响应文件按</w:t>
            </w:r>
            <w:r>
              <w:rPr>
                <w:rFonts w:hint="eastAsia" w:ascii="宋体" w:hAnsi="宋体" w:cs="宋体"/>
                <w:color w:val="auto"/>
                <w:sz w:val="22"/>
                <w:szCs w:val="22"/>
                <w:highlight w:val="none"/>
                <w:lang w:eastAsia="zh-CN"/>
              </w:rPr>
              <w:t>广西政府采购云</w:t>
            </w:r>
            <w:r>
              <w:rPr>
                <w:rFonts w:hint="eastAsia" w:ascii="宋体" w:hAnsi="宋体" w:cs="宋体"/>
                <w:color w:val="auto"/>
                <w:sz w:val="22"/>
                <w:szCs w:val="22"/>
                <w:highlight w:val="none"/>
              </w:rPr>
              <w:t>平台要求及本谈判文件要求制作、加密并递交。</w:t>
            </w:r>
          </w:p>
          <w:p w14:paraId="3D395988">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2.以介质存储的数据电文形式的电子备份谈判响应文件，按</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项目采购-电子招投标操作指南中上传的电子备份谈判响应文件格式，以DVD光盘或者U盘等形式提供。数量为1份。</w:t>
            </w:r>
          </w:p>
          <w:p w14:paraId="029459E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电子谈判响应文件启用顺序和效力。电子谈判响应文件的启用，按先后顺位分别为电子谈判响应文件、以介质存储的数据电文形式的电子备份谈判响应文件。顺位在先的谈判响应文件已按时解密的，下一顺位谈判响应文件自动失效。在下一顺位的谈判响应文件启用时，前一顺位的谈判响应文件自动失效。</w:t>
            </w:r>
          </w:p>
          <w:p w14:paraId="0A4AD2C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未传输递交电子谈判响应文件的，谈判无效。</w:t>
            </w:r>
          </w:p>
          <w:p w14:paraId="2244933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未按规定提供相应的备份谈判响应文件，造成项目开评标活动无法进行下去的，谈判无效。</w:t>
            </w:r>
          </w:p>
        </w:tc>
      </w:tr>
      <w:tr w14:paraId="178B7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CEF970F">
            <w:pPr>
              <w:snapToGrid w:val="0"/>
              <w:spacing w:line="260" w:lineRule="exact"/>
              <w:jc w:val="center"/>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15BB28B6">
            <w:pPr>
              <w:keepNext w:val="0"/>
              <w:keepLines w:val="0"/>
              <w:pageBreakBefore w:val="0"/>
              <w:widowControl w:val="0"/>
              <w:kinsoku/>
              <w:wordWrap/>
              <w:overflowPunct/>
              <w:topLinePunct w:val="0"/>
              <w:bidi w:val="0"/>
              <w:snapToGrid w:val="0"/>
              <w:spacing w:line="36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响应文件递交截止时间：</w:t>
            </w:r>
            <w:r>
              <w:rPr>
                <w:rFonts w:hint="eastAsia" w:ascii="宋体" w:hAnsi="宋体" w:cs="宋体"/>
                <w:color w:val="auto"/>
                <w:sz w:val="22"/>
                <w:szCs w:val="22"/>
                <w:highlight w:val="none"/>
                <w:lang w:eastAsia="zh-CN"/>
              </w:rPr>
              <w:t>202</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日</w:t>
            </w:r>
            <w:r>
              <w:rPr>
                <w:rFonts w:hint="eastAsia" w:ascii="宋体" w:hAnsi="宋体" w:cs="宋体"/>
                <w:color w:val="auto"/>
                <w:sz w:val="22"/>
                <w:szCs w:val="22"/>
                <w:highlight w:val="none"/>
                <w:lang w:val="en-US" w:eastAsia="zh-CN"/>
              </w:rPr>
              <w:t>09点00</w:t>
            </w:r>
            <w:r>
              <w:rPr>
                <w:rFonts w:hint="eastAsia" w:ascii="宋体" w:hAnsi="宋体" w:cs="宋体"/>
                <w:color w:val="auto"/>
                <w:sz w:val="22"/>
                <w:szCs w:val="22"/>
                <w:highlight w:val="none"/>
                <w:lang w:eastAsia="zh-CN"/>
              </w:rPr>
              <w:t>分</w:t>
            </w:r>
            <w:r>
              <w:rPr>
                <w:rFonts w:hint="eastAsia" w:ascii="宋体" w:hAnsi="宋体" w:cs="宋体"/>
                <w:bCs/>
                <w:color w:val="auto"/>
                <w:sz w:val="22"/>
                <w:szCs w:val="22"/>
                <w:highlight w:val="none"/>
              </w:rPr>
              <w:t>。</w:t>
            </w:r>
          </w:p>
          <w:p w14:paraId="116E47B9">
            <w:pPr>
              <w:keepNext w:val="0"/>
              <w:keepLines w:val="0"/>
              <w:pageBreakBefore w:val="0"/>
              <w:widowControl w:val="0"/>
              <w:kinsoku/>
              <w:wordWrap/>
              <w:overflowPunct/>
              <w:topLinePunct w:val="0"/>
              <w:bidi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lang w:eastAsia="zh-CN"/>
              </w:rPr>
              <w:t>通过广西政府采购云平台实行在线截标</w:t>
            </w:r>
            <w:r>
              <w:rPr>
                <w:rFonts w:hint="eastAsia" w:ascii="宋体" w:hAnsi="宋体" w:cs="宋体"/>
                <w:b w:val="0"/>
                <w:bCs/>
                <w:color w:val="auto"/>
                <w:spacing w:val="-12"/>
                <w:sz w:val="22"/>
                <w:szCs w:val="22"/>
                <w:highlight w:val="none"/>
              </w:rPr>
              <w:t>。</w:t>
            </w:r>
          </w:p>
        </w:tc>
      </w:tr>
      <w:tr w14:paraId="46988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C24AACB">
            <w:pPr>
              <w:snapToGrid w:val="0"/>
              <w:spacing w:line="260" w:lineRule="exact"/>
              <w:jc w:val="center"/>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lang w:val="en-US" w:eastAsia="zh-CN"/>
              </w:rPr>
              <w:t>7</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1C8D1C03">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响应文件有效期：响应文件递交截止日期后</w:t>
            </w:r>
            <w:r>
              <w:rPr>
                <w:rFonts w:hint="eastAsia" w:ascii="宋体" w:hAnsi="宋体" w:cs="宋体"/>
                <w:color w:val="auto"/>
                <w:sz w:val="22"/>
                <w:szCs w:val="22"/>
                <w:highlight w:val="none"/>
                <w:u w:val="single"/>
              </w:rPr>
              <w:t xml:space="preserve"> 60 </w:t>
            </w:r>
            <w:r>
              <w:rPr>
                <w:rFonts w:hint="eastAsia" w:ascii="宋体" w:hAnsi="宋体" w:cs="宋体"/>
                <w:color w:val="auto"/>
                <w:sz w:val="22"/>
                <w:szCs w:val="22"/>
                <w:highlight w:val="none"/>
              </w:rPr>
              <w:t>天。</w:t>
            </w:r>
          </w:p>
        </w:tc>
      </w:tr>
      <w:tr w14:paraId="3B99C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874CA9F">
            <w:pPr>
              <w:spacing w:line="360" w:lineRule="auto"/>
              <w:rPr>
                <w:rFonts w:hint="eastAsia" w:ascii="宋体" w:hAnsi="宋体" w:cs="宋体" w:eastAsiaTheme="minorEastAsia"/>
                <w:color w:val="auto"/>
                <w:sz w:val="22"/>
                <w:szCs w:val="22"/>
                <w:highlight w:val="none"/>
                <w:lang w:val="en-US" w:eastAsia="zh-CN"/>
              </w:rPr>
            </w:pPr>
            <w:r>
              <w:rPr>
                <w:rFonts w:hint="eastAsia"/>
                <w:color w:val="auto"/>
                <w:szCs w:val="21"/>
                <w:highlight w:val="none"/>
                <w:lang w:val="en-US" w:eastAsia="zh-CN"/>
              </w:rPr>
              <w:t>8</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11852F78">
            <w:pPr>
              <w:spacing w:line="360" w:lineRule="auto"/>
              <w:rPr>
                <w:rFonts w:hint="eastAsia" w:ascii="宋体" w:hAnsi="宋体" w:cs="宋体"/>
                <w:color w:val="auto"/>
                <w:sz w:val="22"/>
                <w:szCs w:val="22"/>
                <w:highlight w:val="none"/>
              </w:rPr>
            </w:pPr>
            <w:r>
              <w:rPr>
                <w:rFonts w:hint="eastAsia"/>
                <w:color w:val="auto"/>
                <w:szCs w:val="21"/>
                <w:highlight w:val="none"/>
                <w:lang w:eastAsia="zh-CN"/>
              </w:rPr>
              <w:t>谈判</w:t>
            </w:r>
            <w:r>
              <w:rPr>
                <w:color w:val="auto"/>
                <w:szCs w:val="21"/>
                <w:highlight w:val="none"/>
              </w:rPr>
              <w:t>保证金：</w:t>
            </w:r>
            <w:r>
              <w:rPr>
                <w:rFonts w:hint="eastAsia" w:ascii="宋体" w:hAnsi="宋体" w:cs="宋体"/>
                <w:color w:val="auto"/>
                <w:sz w:val="22"/>
                <w:szCs w:val="22"/>
                <w:highlight w:val="none"/>
              </w:rPr>
              <w:t>不收取</w:t>
            </w:r>
            <w:r>
              <w:rPr>
                <w:rFonts w:hint="eastAsia"/>
                <w:color w:val="auto"/>
                <w:szCs w:val="21"/>
                <w:highlight w:val="none"/>
              </w:rPr>
              <w:t>。</w:t>
            </w:r>
          </w:p>
        </w:tc>
      </w:tr>
      <w:tr w14:paraId="26E16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0CC43CA">
            <w:pPr>
              <w:snapToGrid w:val="0"/>
              <w:spacing w:line="2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2AEE1AE0">
            <w:pPr>
              <w:keepNext w:val="0"/>
              <w:keepLines w:val="0"/>
              <w:pageBreakBefore w:val="0"/>
              <w:widowControl w:val="0"/>
              <w:kinsoku/>
              <w:wordWrap/>
              <w:overflowPunct/>
              <w:topLinePunct w:val="0"/>
              <w:bidi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谈判时间：</w:t>
            </w:r>
            <w:r>
              <w:rPr>
                <w:rFonts w:hint="eastAsia" w:ascii="宋体" w:hAnsi="宋体" w:cs="宋体"/>
                <w:color w:val="auto"/>
                <w:sz w:val="22"/>
                <w:szCs w:val="22"/>
                <w:highlight w:val="none"/>
                <w:lang w:eastAsia="zh-CN"/>
              </w:rPr>
              <w:t>202</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日</w:t>
            </w:r>
            <w:r>
              <w:rPr>
                <w:rFonts w:hint="eastAsia" w:ascii="宋体" w:hAnsi="宋体" w:cs="宋体"/>
                <w:color w:val="auto"/>
                <w:sz w:val="22"/>
                <w:szCs w:val="22"/>
                <w:highlight w:val="none"/>
                <w:lang w:val="en-US" w:eastAsia="zh-CN"/>
              </w:rPr>
              <w:t>09点00</w:t>
            </w:r>
            <w:r>
              <w:rPr>
                <w:rFonts w:hint="eastAsia" w:ascii="宋体" w:hAnsi="宋体" w:cs="宋体"/>
                <w:color w:val="auto"/>
                <w:sz w:val="22"/>
                <w:szCs w:val="22"/>
                <w:highlight w:val="none"/>
                <w:lang w:eastAsia="zh-CN"/>
              </w:rPr>
              <w:t>分</w:t>
            </w:r>
            <w:r>
              <w:rPr>
                <w:rFonts w:hint="eastAsia" w:ascii="宋体" w:hAnsi="宋体" w:cs="宋体"/>
                <w:iCs/>
                <w:color w:val="auto"/>
                <w:sz w:val="22"/>
                <w:szCs w:val="22"/>
                <w:highlight w:val="none"/>
              </w:rPr>
              <w:t>响应</w:t>
            </w:r>
            <w:r>
              <w:rPr>
                <w:rFonts w:hint="eastAsia" w:ascii="宋体" w:hAnsi="宋体" w:cs="宋体"/>
                <w:color w:val="auto"/>
                <w:sz w:val="22"/>
                <w:szCs w:val="22"/>
                <w:highlight w:val="none"/>
              </w:rPr>
              <w:t>文件提交截止时间后</w:t>
            </w:r>
          </w:p>
          <w:p w14:paraId="329BEDA6">
            <w:pPr>
              <w:keepNext w:val="0"/>
              <w:keepLines w:val="0"/>
              <w:pageBreakBefore w:val="0"/>
              <w:widowControl w:val="0"/>
              <w:kinsoku/>
              <w:wordWrap/>
              <w:overflowPunct/>
              <w:topLinePunct w:val="0"/>
              <w:bidi w:val="0"/>
              <w:snapToGrid w:val="0"/>
              <w:spacing w:line="360" w:lineRule="exac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谈判地点：</w:t>
            </w:r>
            <w:r>
              <w:rPr>
                <w:rFonts w:hint="eastAsia" w:ascii="宋体" w:hAnsi="宋体" w:cs="宋体"/>
                <w:color w:val="auto"/>
                <w:sz w:val="22"/>
                <w:szCs w:val="22"/>
                <w:highlight w:val="none"/>
                <w:lang w:eastAsia="zh-CN"/>
              </w:rPr>
              <w:t>通过广西政府采购云平台实行在线谈判。</w:t>
            </w:r>
          </w:p>
        </w:tc>
      </w:tr>
      <w:tr w14:paraId="690FE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F1DE432">
            <w:pPr>
              <w:snapToGrid w:val="0"/>
              <w:spacing w:line="2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03EF3BB2">
            <w:pPr>
              <w:keepNext w:val="0"/>
              <w:keepLines w:val="0"/>
              <w:pageBreakBefore w:val="0"/>
              <w:widowControl w:val="0"/>
              <w:kinsoku/>
              <w:wordWrap/>
              <w:overflowPunct/>
              <w:topLinePunct w:val="0"/>
              <w:bidi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电子谈判响应文件解密时间：截标时间后</w:t>
            </w:r>
            <w:r>
              <w:rPr>
                <w:rFonts w:hint="eastAsia" w:ascii="宋体" w:hAnsi="宋体" w:cs="宋体"/>
                <w:color w:val="auto"/>
                <w:sz w:val="22"/>
                <w:szCs w:val="22"/>
                <w:highlight w:val="none"/>
                <w:lang w:val="en-US" w:eastAsia="zh-CN"/>
              </w:rPr>
              <w:t>30分钟</w:t>
            </w:r>
            <w:r>
              <w:rPr>
                <w:rFonts w:hint="eastAsia" w:ascii="宋体" w:hAnsi="宋体" w:cs="宋体"/>
                <w:color w:val="auto"/>
                <w:sz w:val="22"/>
                <w:szCs w:val="22"/>
                <w:highlight w:val="none"/>
              </w:rPr>
              <w:t>内，谈判供应商必须在此时间段内登录</w:t>
            </w:r>
            <w:r>
              <w:rPr>
                <w:rFonts w:hint="eastAsia" w:ascii="宋体" w:hAnsi="宋体" w:cs="宋体"/>
                <w:color w:val="auto"/>
                <w:sz w:val="22"/>
                <w:szCs w:val="22"/>
                <w:highlight w:val="none"/>
                <w:lang w:eastAsia="zh-CN"/>
              </w:rPr>
              <w:t>广西政府采购云</w:t>
            </w:r>
            <w:r>
              <w:rPr>
                <w:rFonts w:hint="eastAsia" w:ascii="宋体" w:hAnsi="宋体" w:cs="宋体"/>
                <w:color w:val="auto"/>
                <w:sz w:val="22"/>
                <w:szCs w:val="22"/>
                <w:highlight w:val="none"/>
              </w:rPr>
              <w:t>平台，用“项目采购-开标评标”功能完成电子谈判响应文件的解密。若谈判供应商在规定时间内未按时解密的，视为响应文件撤回。</w:t>
            </w:r>
          </w:p>
        </w:tc>
      </w:tr>
      <w:tr w14:paraId="0CBCD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0B0F509">
            <w:pPr>
              <w:snapToGrid w:val="0"/>
              <w:spacing w:line="2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12FD0E52">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评定标准：最低评标价法（详见第六章）</w:t>
            </w:r>
          </w:p>
        </w:tc>
      </w:tr>
      <w:tr w14:paraId="0A638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6F729D2">
            <w:pPr>
              <w:snapToGrid w:val="0"/>
              <w:spacing w:line="2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8662" w:type="dxa"/>
            <w:tcBorders>
              <w:top w:val="single" w:color="auto" w:sz="4" w:space="0"/>
              <w:left w:val="single" w:color="auto" w:sz="4" w:space="0"/>
              <w:bottom w:val="single" w:color="auto" w:sz="4" w:space="0"/>
              <w:right w:val="single" w:color="auto" w:sz="4" w:space="0"/>
            </w:tcBorders>
            <w:noWrap w:val="0"/>
            <w:vAlign w:val="center"/>
          </w:tcPr>
          <w:p w14:paraId="7EC30BD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eastAsia="宋体" w:cs="宋体"/>
                <w:i w:val="0"/>
                <w:caps w:val="0"/>
                <w:color w:val="auto"/>
                <w:spacing w:val="0"/>
                <w:sz w:val="22"/>
                <w:szCs w:val="22"/>
                <w:highlight w:val="none"/>
                <w:u w:val="none"/>
                <w:lang w:val="en-US" w:eastAsia="zh-CN"/>
              </w:rPr>
            </w:pPr>
            <w:r>
              <w:rPr>
                <w:rFonts w:hint="eastAsia" w:eastAsia="宋体" w:cs="宋体"/>
                <w:i w:val="0"/>
                <w:caps w:val="0"/>
                <w:color w:val="auto"/>
                <w:spacing w:val="0"/>
                <w:sz w:val="22"/>
                <w:szCs w:val="22"/>
                <w:highlight w:val="none"/>
                <w:u w:val="none"/>
                <w:lang w:val="en-US" w:eastAsia="zh-CN"/>
              </w:rPr>
              <w:t>在线投标响应（电子投标）说明</w:t>
            </w:r>
          </w:p>
          <w:p w14:paraId="2E7988B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rPr>
            </w:pPr>
            <w:r>
              <w:rPr>
                <w:rFonts w:hint="eastAsia" w:eastAsia="宋体" w:cs="宋体"/>
                <w:i w:val="0"/>
                <w:caps w:val="0"/>
                <w:color w:val="auto"/>
                <w:spacing w:val="0"/>
                <w:sz w:val="22"/>
                <w:szCs w:val="22"/>
                <w:highlight w:val="none"/>
                <w:u w:val="none"/>
                <w:lang w:val="en-US" w:eastAsia="zh-CN"/>
              </w:rPr>
              <w:t>（1）本项目通过</w:t>
            </w:r>
            <w:r>
              <w:rPr>
                <w:rFonts w:hint="eastAsia" w:ascii="宋体" w:hAnsi="宋体" w:cs="宋体"/>
                <w:color w:val="auto"/>
                <w:sz w:val="22"/>
                <w:szCs w:val="22"/>
                <w:highlight w:val="none"/>
                <w:lang w:eastAsia="zh-CN"/>
              </w:rPr>
              <w:t>广西政府采购云平台</w:t>
            </w:r>
            <w:r>
              <w:rPr>
                <w:rFonts w:hint="eastAsia" w:eastAsia="宋体" w:cs="宋体"/>
                <w:i w:val="0"/>
                <w:caps w:val="0"/>
                <w:color w:val="auto"/>
                <w:spacing w:val="0"/>
                <w:sz w:val="22"/>
                <w:szCs w:val="22"/>
                <w:highlight w:val="none"/>
                <w:u w:val="none"/>
                <w:lang w:val="en-US" w:eastAsia="zh-CN"/>
              </w:rPr>
              <w:t>实行在线</w:t>
            </w:r>
            <w:r>
              <w:rPr>
                <w:rFonts w:hint="eastAsia" w:ascii="宋体" w:hAnsi="宋体" w:eastAsia="宋体" w:cs="宋体"/>
                <w:i w:val="0"/>
                <w:caps w:val="0"/>
                <w:color w:val="auto"/>
                <w:spacing w:val="0"/>
                <w:sz w:val="22"/>
                <w:szCs w:val="22"/>
                <w:highlight w:val="none"/>
                <w:u w:val="none"/>
              </w:rPr>
              <w:t>投标响应（电子投标），供应商需要先安装“</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电子交易客户端”，并按照本谈判文件和</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的要求，通过“</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电子交易客户端”编制并加密投标文件。供应商未按规定编制并加密的投标文件，</w:t>
            </w:r>
            <w:r>
              <w:rPr>
                <w:rFonts w:hint="eastAsia" w:eastAsia="宋体" w:cs="宋体"/>
                <w:i w:val="0"/>
                <w:caps w:val="0"/>
                <w:color w:val="auto"/>
                <w:spacing w:val="0"/>
                <w:sz w:val="22"/>
                <w:szCs w:val="22"/>
                <w:highlight w:val="none"/>
                <w:u w:val="none"/>
                <w:lang w:eastAsia="zh-CN"/>
              </w:rPr>
              <w:t>广西政府采购云平台</w:t>
            </w:r>
            <w:r>
              <w:rPr>
                <w:rFonts w:hint="eastAsia" w:ascii="宋体" w:hAnsi="宋体" w:eastAsia="宋体" w:cs="宋体"/>
                <w:i w:val="0"/>
                <w:caps w:val="0"/>
                <w:color w:val="auto"/>
                <w:spacing w:val="0"/>
                <w:sz w:val="22"/>
                <w:szCs w:val="22"/>
                <w:highlight w:val="none"/>
                <w:u w:val="none"/>
              </w:rPr>
              <w:t>将予以拒收。</w:t>
            </w:r>
          </w:p>
          <w:p w14:paraId="07FE292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rPr>
            </w:pPr>
            <w:r>
              <w:rPr>
                <w:rFonts w:hint="eastAsia" w:ascii="宋体" w:hAnsi="宋体" w:eastAsia="宋体" w:cs="宋体"/>
                <w:i w:val="0"/>
                <w:caps w:val="0"/>
                <w:color w:val="auto"/>
                <w:spacing w:val="0"/>
                <w:sz w:val="22"/>
                <w:szCs w:val="22"/>
                <w:highlight w:val="none"/>
                <w:u w:val="none"/>
              </w:rPr>
              <w:t>“</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投标客户端时，建议使用WIN7及以上操作系统,通过</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参与在线投标时如遇平台技术问题详询</w:t>
            </w:r>
            <w:r>
              <w:rPr>
                <w:rFonts w:hint="eastAsia" w:eastAsia="宋体" w:cs="宋体"/>
                <w:i w:val="0"/>
                <w:caps w:val="0"/>
                <w:color w:val="auto"/>
                <w:spacing w:val="0"/>
                <w:sz w:val="22"/>
                <w:szCs w:val="22"/>
                <w:highlight w:val="none"/>
                <w:u w:val="none"/>
                <w:lang w:eastAsia="zh-CN"/>
              </w:rPr>
              <w:t>95763</w:t>
            </w:r>
            <w:r>
              <w:rPr>
                <w:rFonts w:hint="eastAsia" w:ascii="宋体" w:hAnsi="宋体" w:eastAsia="宋体" w:cs="宋体"/>
                <w:i w:val="0"/>
                <w:caps w:val="0"/>
                <w:color w:val="auto"/>
                <w:spacing w:val="0"/>
                <w:sz w:val="22"/>
                <w:szCs w:val="22"/>
                <w:highlight w:val="none"/>
                <w:u w:val="none"/>
              </w:rPr>
              <w:t>。</w:t>
            </w:r>
          </w:p>
          <w:p w14:paraId="4AF0D3A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lang w:eastAsia="zh-CN"/>
              </w:rPr>
            </w:pPr>
            <w:r>
              <w:rPr>
                <w:rFonts w:hint="eastAsia" w:ascii="宋体" w:hAnsi="宋体" w:eastAsia="宋体" w:cs="宋体"/>
                <w:i w:val="0"/>
                <w:caps w:val="0"/>
                <w:color w:val="auto"/>
                <w:spacing w:val="0"/>
                <w:sz w:val="22"/>
                <w:szCs w:val="22"/>
                <w:highlight w:val="none"/>
                <w:u w:val="none"/>
                <w:lang w:eastAsia="zh-CN"/>
              </w:rPr>
              <w:t>（</w:t>
            </w:r>
            <w:r>
              <w:rPr>
                <w:rFonts w:hint="eastAsia" w:ascii="宋体" w:hAnsi="宋体" w:eastAsia="宋体" w:cs="宋体"/>
                <w:i w:val="0"/>
                <w:caps w:val="0"/>
                <w:color w:val="auto"/>
                <w:spacing w:val="0"/>
                <w:sz w:val="22"/>
                <w:szCs w:val="22"/>
                <w:highlight w:val="none"/>
                <w:u w:val="none"/>
                <w:lang w:val="en-US" w:eastAsia="zh-CN"/>
              </w:rPr>
              <w:t>2</w:t>
            </w:r>
            <w:r>
              <w:rPr>
                <w:rFonts w:hint="eastAsia" w:ascii="宋体" w:hAnsi="宋体" w:eastAsia="宋体" w:cs="宋体"/>
                <w:i w:val="0"/>
                <w:caps w:val="0"/>
                <w:color w:val="auto"/>
                <w:spacing w:val="0"/>
                <w:sz w:val="22"/>
                <w:szCs w:val="22"/>
                <w:highlight w:val="none"/>
                <w:u w:val="none"/>
                <w:lang w:eastAsia="zh-CN"/>
              </w:rPr>
              <w:t>）</w:t>
            </w:r>
            <w:r>
              <w:rPr>
                <w:rFonts w:hint="eastAsia" w:ascii="宋体" w:hAnsi="宋体" w:eastAsia="宋体" w:cs="宋体"/>
                <w:i w:val="0"/>
                <w:caps w:val="0"/>
                <w:color w:val="auto"/>
                <w:spacing w:val="0"/>
                <w:sz w:val="22"/>
                <w:szCs w:val="22"/>
                <w:highlight w:val="none"/>
                <w:u w:val="none"/>
              </w:rPr>
              <w:t>为确保网上操作合法、有效和安全，谈判供应商应当在谈判截止时间前完成在“</w:t>
            </w:r>
            <w:r>
              <w:rPr>
                <w:rFonts w:hint="eastAsia" w:eastAsia="宋体" w:cs="宋体"/>
                <w:i w:val="0"/>
                <w:caps w:val="0"/>
                <w:color w:val="auto"/>
                <w:spacing w:val="0"/>
                <w:sz w:val="22"/>
                <w:szCs w:val="22"/>
                <w:highlight w:val="none"/>
                <w:u w:val="none"/>
                <w:lang w:eastAsia="zh-CN"/>
              </w:rPr>
              <w:t>广西</w:t>
            </w:r>
            <w:r>
              <w:rPr>
                <w:rFonts w:hint="eastAsia" w:ascii="宋体" w:hAnsi="宋体" w:eastAsia="宋体" w:cs="宋体"/>
                <w:i w:val="0"/>
                <w:caps w:val="0"/>
                <w:color w:val="auto"/>
                <w:spacing w:val="0"/>
                <w:sz w:val="22"/>
                <w:szCs w:val="22"/>
                <w:highlight w:val="none"/>
                <w:u w:val="none"/>
              </w:rPr>
              <w:t>政府采购云平台”的身份认证，确保在电子投标过程中能够对相关数据电文进行加密和使用电子签章。使用“</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rPr>
              <w:t>电子交易客户端”需要提前申领CA数字证书，申领流程请自行前往“北海市政府采购中心网站-相关下载- CA证书办理操作指南”进行查阅</w:t>
            </w:r>
            <w:r>
              <w:rPr>
                <w:rFonts w:hint="eastAsia" w:ascii="宋体" w:hAnsi="宋体" w:eastAsia="宋体" w:cs="宋体"/>
                <w:i w:val="0"/>
                <w:caps w:val="0"/>
                <w:color w:val="auto"/>
                <w:spacing w:val="0"/>
                <w:sz w:val="22"/>
                <w:szCs w:val="22"/>
                <w:highlight w:val="none"/>
                <w:u w:val="none"/>
                <w:lang w:eastAsia="zh-CN"/>
              </w:rPr>
              <w:t>；</w:t>
            </w:r>
          </w:p>
          <w:p w14:paraId="79F044F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lang w:eastAsia="zh-CN"/>
              </w:rPr>
            </w:pPr>
            <w:r>
              <w:rPr>
                <w:rFonts w:hint="eastAsia" w:ascii="宋体" w:hAnsi="宋体" w:eastAsia="宋体" w:cs="宋体"/>
                <w:i w:val="0"/>
                <w:caps w:val="0"/>
                <w:color w:val="auto"/>
                <w:spacing w:val="0"/>
                <w:sz w:val="22"/>
                <w:szCs w:val="22"/>
                <w:highlight w:val="none"/>
                <w:u w:val="none"/>
                <w:lang w:eastAsia="zh-CN"/>
              </w:rPr>
              <w:t>（</w:t>
            </w:r>
            <w:r>
              <w:rPr>
                <w:rFonts w:hint="eastAsia" w:ascii="宋体" w:hAnsi="宋体" w:eastAsia="宋体" w:cs="宋体"/>
                <w:i w:val="0"/>
                <w:caps w:val="0"/>
                <w:color w:val="auto"/>
                <w:spacing w:val="0"/>
                <w:sz w:val="22"/>
                <w:szCs w:val="22"/>
                <w:highlight w:val="none"/>
                <w:u w:val="none"/>
                <w:lang w:val="en-US" w:eastAsia="zh-CN"/>
              </w:rPr>
              <w:t>3</w:t>
            </w:r>
            <w:r>
              <w:rPr>
                <w:rFonts w:hint="eastAsia" w:ascii="宋体" w:hAnsi="宋体" w:eastAsia="宋体" w:cs="宋体"/>
                <w:i w:val="0"/>
                <w:caps w:val="0"/>
                <w:color w:val="auto"/>
                <w:spacing w:val="0"/>
                <w:sz w:val="22"/>
                <w:szCs w:val="22"/>
                <w:highlight w:val="none"/>
                <w:u w:val="none"/>
                <w:lang w:eastAsia="zh-CN"/>
              </w:rPr>
              <w:t>）谈判供应商应当在谈判截止时间前，将生成的“电子谈判响应文件”上传递交至</w:t>
            </w:r>
            <w:r>
              <w:rPr>
                <w:rFonts w:hint="eastAsia" w:ascii="宋体" w:hAnsi="宋体" w:cs="宋体"/>
                <w:color w:val="auto"/>
                <w:sz w:val="22"/>
                <w:szCs w:val="22"/>
                <w:highlight w:val="none"/>
                <w:lang w:eastAsia="zh-CN"/>
              </w:rPr>
              <w:t>广西政府采购云平台</w:t>
            </w:r>
            <w:r>
              <w:rPr>
                <w:rFonts w:hint="eastAsia" w:ascii="宋体" w:hAnsi="宋体" w:eastAsia="宋体" w:cs="宋体"/>
                <w:i w:val="0"/>
                <w:caps w:val="0"/>
                <w:color w:val="auto"/>
                <w:spacing w:val="0"/>
                <w:sz w:val="22"/>
                <w:szCs w:val="22"/>
                <w:highlight w:val="none"/>
                <w:u w:val="none"/>
                <w:lang w:eastAsia="zh-CN"/>
              </w:rPr>
              <w:t>。谈判截止时间前可以补充、修改或者撤回电子谈判响应文件。补充或者修改电子谈判响应文件的，应当先行撤回原文件，补充、修改后重新传输递交，谈判截止时间前未完成传输的，视为撤回谈判响应文件。</w:t>
            </w:r>
          </w:p>
          <w:p w14:paraId="425ED74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rPr>
            </w:pPr>
            <w:r>
              <w:rPr>
                <w:rFonts w:hint="eastAsia" w:eastAsia="宋体" w:cs="宋体"/>
                <w:i w:val="0"/>
                <w:caps w:val="0"/>
                <w:color w:val="auto"/>
                <w:spacing w:val="0"/>
                <w:sz w:val="22"/>
                <w:szCs w:val="22"/>
                <w:highlight w:val="none"/>
                <w:u w:val="none"/>
                <w:lang w:eastAsia="zh-CN"/>
              </w:rPr>
              <w:t>（</w:t>
            </w:r>
            <w:r>
              <w:rPr>
                <w:rFonts w:hint="eastAsia" w:eastAsia="宋体" w:cs="宋体"/>
                <w:i w:val="0"/>
                <w:caps w:val="0"/>
                <w:color w:val="auto"/>
                <w:spacing w:val="0"/>
                <w:sz w:val="22"/>
                <w:szCs w:val="22"/>
                <w:highlight w:val="none"/>
                <w:u w:val="none"/>
                <w:lang w:val="en-US" w:eastAsia="zh-CN"/>
              </w:rPr>
              <w:t>4</w:t>
            </w:r>
            <w:r>
              <w:rPr>
                <w:rFonts w:hint="eastAsia" w:eastAsia="宋体" w:cs="宋体"/>
                <w:i w:val="0"/>
                <w:caps w:val="0"/>
                <w:color w:val="auto"/>
                <w:spacing w:val="0"/>
                <w:sz w:val="22"/>
                <w:szCs w:val="22"/>
                <w:highlight w:val="none"/>
                <w:u w:val="none"/>
                <w:lang w:eastAsia="zh-CN"/>
              </w:rPr>
              <w:t>）</w:t>
            </w:r>
            <w:r>
              <w:rPr>
                <w:rFonts w:hint="eastAsia" w:ascii="宋体" w:hAnsi="宋体" w:eastAsia="宋体" w:cs="宋体"/>
                <w:i w:val="0"/>
                <w:caps w:val="0"/>
                <w:color w:val="auto"/>
                <w:spacing w:val="0"/>
                <w:sz w:val="22"/>
                <w:szCs w:val="22"/>
                <w:highlight w:val="none"/>
                <w:u w:val="none"/>
              </w:rPr>
              <w:t>谈判供应商可以提供以介质（U盘或光盘等）存储的数据电文形成的电子备份谈判响应文件。电子备份谈判响应文件应当在谈判截止时间前按要求密封并送达</w:t>
            </w:r>
            <w:r>
              <w:rPr>
                <w:rFonts w:hint="eastAsia" w:eastAsia="宋体" w:cs="宋体"/>
                <w:i w:val="0"/>
                <w:caps w:val="0"/>
                <w:color w:val="auto"/>
                <w:spacing w:val="0"/>
                <w:sz w:val="22"/>
                <w:szCs w:val="22"/>
                <w:highlight w:val="none"/>
                <w:u w:val="none"/>
                <w:lang w:eastAsia="zh-CN"/>
              </w:rPr>
              <w:t>广西中之元工程管理有限公司（广西合浦县文昌新城2栋9号楼）</w:t>
            </w:r>
            <w:r>
              <w:rPr>
                <w:rFonts w:hint="eastAsia" w:ascii="宋体" w:hAnsi="宋体" w:eastAsia="宋体" w:cs="宋体"/>
                <w:i w:val="0"/>
                <w:caps w:val="0"/>
                <w:color w:val="auto"/>
                <w:spacing w:val="0"/>
                <w:sz w:val="22"/>
                <w:szCs w:val="22"/>
                <w:highlight w:val="none"/>
                <w:u w:val="none"/>
              </w:rPr>
              <w:t>，逾期送达或未按要求密封将被拒收。电子备份谈判响应文件应当密封包装并在包装上标注投标项目名称、谈判供应商名称并加盖公章。</w:t>
            </w:r>
          </w:p>
          <w:p w14:paraId="22A6C6A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rPr>
            </w:pPr>
            <w:r>
              <w:rPr>
                <w:rFonts w:hint="eastAsia" w:ascii="宋体" w:hAnsi="宋体" w:eastAsia="宋体" w:cs="宋体"/>
                <w:i w:val="0"/>
                <w:caps w:val="0"/>
                <w:color w:val="auto"/>
                <w:spacing w:val="0"/>
                <w:sz w:val="22"/>
                <w:szCs w:val="22"/>
                <w:highlight w:val="none"/>
                <w:u w:val="none"/>
              </w:rPr>
              <w:t>邮寄地址：广西合浦县文昌新城2栋9号楼，联系人：</w:t>
            </w:r>
            <w:r>
              <w:rPr>
                <w:rFonts w:hint="eastAsia" w:eastAsia="宋体" w:cs="宋体"/>
                <w:i w:val="0"/>
                <w:caps w:val="0"/>
                <w:color w:val="auto"/>
                <w:spacing w:val="0"/>
                <w:sz w:val="22"/>
                <w:szCs w:val="22"/>
                <w:highlight w:val="none"/>
                <w:u w:val="none"/>
                <w:lang w:eastAsia="zh-CN"/>
              </w:rPr>
              <w:t>陈工</w:t>
            </w:r>
            <w:r>
              <w:rPr>
                <w:rFonts w:hint="eastAsia" w:ascii="宋体" w:hAnsi="宋体" w:eastAsia="宋体" w:cs="宋体"/>
                <w:i w:val="0"/>
                <w:caps w:val="0"/>
                <w:color w:val="auto"/>
                <w:spacing w:val="0"/>
                <w:sz w:val="22"/>
                <w:szCs w:val="22"/>
                <w:highlight w:val="none"/>
                <w:u w:val="none"/>
              </w:rPr>
              <w:t>，电话：</w:t>
            </w:r>
            <w:r>
              <w:rPr>
                <w:rFonts w:hint="eastAsia" w:eastAsia="宋体" w:cs="宋体"/>
                <w:i w:val="0"/>
                <w:caps w:val="0"/>
                <w:color w:val="auto"/>
                <w:spacing w:val="0"/>
                <w:sz w:val="22"/>
                <w:szCs w:val="22"/>
                <w:highlight w:val="none"/>
                <w:u w:val="none"/>
                <w:lang w:eastAsia="zh-CN"/>
              </w:rPr>
              <w:t>0779-7200788</w:t>
            </w:r>
            <w:r>
              <w:rPr>
                <w:rFonts w:hint="eastAsia" w:ascii="宋体" w:hAnsi="宋体" w:eastAsia="宋体" w:cs="宋体"/>
                <w:i w:val="0"/>
                <w:caps w:val="0"/>
                <w:color w:val="auto"/>
                <w:spacing w:val="0"/>
                <w:sz w:val="22"/>
                <w:szCs w:val="22"/>
                <w:highlight w:val="none"/>
                <w:u w:val="none"/>
              </w:rPr>
              <w:t>。</w:t>
            </w:r>
          </w:p>
          <w:p w14:paraId="3F74C1D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i w:val="0"/>
                <w:caps w:val="0"/>
                <w:color w:val="auto"/>
                <w:spacing w:val="0"/>
                <w:sz w:val="22"/>
                <w:szCs w:val="22"/>
                <w:highlight w:val="none"/>
                <w:u w:val="none"/>
              </w:rPr>
            </w:pPr>
            <w:r>
              <w:rPr>
                <w:rFonts w:hint="eastAsia" w:ascii="宋体" w:hAnsi="宋体" w:eastAsia="宋体" w:cs="宋体"/>
                <w:i w:val="0"/>
                <w:caps w:val="0"/>
                <w:color w:val="auto"/>
                <w:spacing w:val="0"/>
                <w:sz w:val="22"/>
                <w:szCs w:val="22"/>
                <w:highlight w:val="none"/>
                <w:u w:val="none"/>
              </w:rPr>
              <w:t>拒收到付邮件，通过邮寄方式送达的，请合理安排邮寄时间，因邮寄原因未能在规定时间内送达的后果由投标供应商自行承担。</w:t>
            </w:r>
          </w:p>
          <w:p w14:paraId="67A1BF8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cs="宋体"/>
                <w:color w:val="auto"/>
                <w:sz w:val="22"/>
                <w:szCs w:val="22"/>
                <w:highlight w:val="none"/>
              </w:rPr>
            </w:pPr>
            <w:r>
              <w:rPr>
                <w:rFonts w:hint="eastAsia" w:eastAsia="宋体" w:cs="宋体"/>
                <w:i w:val="0"/>
                <w:caps w:val="0"/>
                <w:color w:val="auto"/>
                <w:spacing w:val="0"/>
                <w:sz w:val="22"/>
                <w:szCs w:val="22"/>
                <w:highlight w:val="none"/>
                <w:u w:val="none"/>
                <w:lang w:eastAsia="zh-CN"/>
              </w:rPr>
              <w:t>（</w:t>
            </w:r>
            <w:r>
              <w:rPr>
                <w:rFonts w:hint="eastAsia" w:eastAsia="宋体" w:cs="宋体"/>
                <w:i w:val="0"/>
                <w:caps w:val="0"/>
                <w:color w:val="auto"/>
                <w:spacing w:val="0"/>
                <w:sz w:val="22"/>
                <w:szCs w:val="22"/>
                <w:highlight w:val="none"/>
                <w:u w:val="none"/>
                <w:lang w:val="en-US" w:eastAsia="zh-CN"/>
              </w:rPr>
              <w:t>5</w:t>
            </w:r>
            <w:r>
              <w:rPr>
                <w:rFonts w:hint="eastAsia" w:eastAsia="宋体" w:cs="宋体"/>
                <w:i w:val="0"/>
                <w:caps w:val="0"/>
                <w:color w:val="auto"/>
                <w:spacing w:val="0"/>
                <w:sz w:val="22"/>
                <w:szCs w:val="22"/>
                <w:highlight w:val="none"/>
                <w:u w:val="none"/>
                <w:lang w:eastAsia="zh-CN"/>
              </w:rPr>
              <w:t>）通过“</w:t>
            </w:r>
            <w:r>
              <w:rPr>
                <w:rFonts w:hint="eastAsia" w:ascii="宋体" w:hAnsi="宋体" w:cs="宋体"/>
                <w:color w:val="auto"/>
                <w:sz w:val="22"/>
                <w:szCs w:val="22"/>
                <w:highlight w:val="none"/>
                <w:lang w:eastAsia="zh-CN"/>
              </w:rPr>
              <w:t>广西政府采购云平台</w:t>
            </w:r>
            <w:r>
              <w:rPr>
                <w:rFonts w:hint="eastAsia" w:eastAsia="宋体" w:cs="宋体"/>
                <w:i w:val="0"/>
                <w:caps w:val="0"/>
                <w:color w:val="auto"/>
                <w:spacing w:val="0"/>
                <w:sz w:val="22"/>
                <w:szCs w:val="22"/>
                <w:highlight w:val="none"/>
                <w:u w:val="none"/>
                <w:lang w:eastAsia="zh-CN"/>
              </w:rPr>
              <w:t>”上传递交的“电子加密谈判响应文件”无法按时解密，</w:t>
            </w:r>
            <w:r>
              <w:rPr>
                <w:rFonts w:hint="eastAsia" w:ascii="宋体" w:hAnsi="宋体" w:eastAsia="宋体" w:cs="宋体"/>
                <w:i w:val="0"/>
                <w:caps w:val="0"/>
                <w:color w:val="auto"/>
                <w:spacing w:val="0"/>
                <w:sz w:val="22"/>
                <w:szCs w:val="22"/>
                <w:highlight w:val="none"/>
                <w:u w:val="none"/>
              </w:rPr>
              <w:t>谈判供应商</w:t>
            </w:r>
            <w:r>
              <w:rPr>
                <w:rFonts w:hint="eastAsia" w:eastAsia="宋体" w:cs="宋体"/>
                <w:i w:val="0"/>
                <w:caps w:val="0"/>
                <w:color w:val="auto"/>
                <w:spacing w:val="0"/>
                <w:sz w:val="22"/>
                <w:szCs w:val="22"/>
                <w:highlight w:val="none"/>
                <w:u w:val="none"/>
                <w:lang w:eastAsia="zh-CN"/>
              </w:rPr>
              <w:t>递交了电子备份谈判响应文件的，以电子备份谈判响应文件为依据，否则视为谈判响应文件撤回。通过</w:t>
            </w:r>
            <w:r>
              <w:rPr>
                <w:rFonts w:hint="eastAsia" w:ascii="宋体" w:hAnsi="宋体" w:cs="宋体"/>
                <w:color w:val="auto"/>
                <w:sz w:val="22"/>
                <w:szCs w:val="22"/>
                <w:highlight w:val="none"/>
                <w:lang w:eastAsia="zh-CN"/>
              </w:rPr>
              <w:t>广西政府采购云平台</w:t>
            </w:r>
            <w:r>
              <w:rPr>
                <w:rFonts w:hint="eastAsia" w:eastAsia="宋体" w:cs="宋体"/>
                <w:i w:val="0"/>
                <w:caps w:val="0"/>
                <w:color w:val="auto"/>
                <w:spacing w:val="0"/>
                <w:sz w:val="22"/>
                <w:szCs w:val="22"/>
                <w:highlight w:val="none"/>
                <w:u w:val="none"/>
                <w:lang w:eastAsia="zh-CN"/>
              </w:rPr>
              <w:t>上传递交的电子加密谈判响应文件已按时解密的，电子备份谈判响应文件自动失效。</w:t>
            </w:r>
            <w:r>
              <w:rPr>
                <w:rFonts w:hint="eastAsia" w:ascii="宋体" w:hAnsi="宋体" w:eastAsia="宋体" w:cs="宋体"/>
                <w:i w:val="0"/>
                <w:caps w:val="0"/>
                <w:color w:val="auto"/>
                <w:spacing w:val="0"/>
                <w:sz w:val="22"/>
                <w:szCs w:val="22"/>
                <w:highlight w:val="none"/>
                <w:u w:val="none"/>
              </w:rPr>
              <w:t>谈判供应商</w:t>
            </w:r>
            <w:r>
              <w:rPr>
                <w:rFonts w:hint="eastAsia" w:eastAsia="宋体" w:cs="宋体"/>
                <w:i w:val="0"/>
                <w:caps w:val="0"/>
                <w:color w:val="auto"/>
                <w:spacing w:val="0"/>
                <w:sz w:val="22"/>
                <w:szCs w:val="22"/>
                <w:highlight w:val="none"/>
                <w:u w:val="none"/>
                <w:lang w:eastAsia="zh-CN"/>
              </w:rPr>
              <w:t>仅递交电子备份谈判响应文件的，谈判无效。</w:t>
            </w:r>
          </w:p>
        </w:tc>
      </w:tr>
    </w:tbl>
    <w:p w14:paraId="5107B922">
      <w:pPr>
        <w:pStyle w:val="6"/>
        <w:numPr>
          <w:ilvl w:val="0"/>
          <w:numId w:val="0"/>
        </w:numPr>
        <w:ind w:leftChars="0"/>
        <w:jc w:val="both"/>
        <w:rPr>
          <w:rFonts w:hint="eastAsia" w:ascii="宋体" w:hAnsi="宋体" w:eastAsia="宋体" w:cs="宋体"/>
          <w:color w:val="auto"/>
          <w:sz w:val="28"/>
          <w:szCs w:val="28"/>
          <w:highlight w:val="none"/>
          <w:lang w:val="en-US" w:eastAsia="zh-CN"/>
        </w:rPr>
      </w:pPr>
    </w:p>
    <w:p w14:paraId="3249F057">
      <w:pPr>
        <w:rPr>
          <w:rFonts w:hint="default"/>
          <w:color w:val="auto"/>
          <w:highlight w:val="none"/>
          <w:lang w:val="en-US" w:eastAsia="zh-CN"/>
        </w:rPr>
      </w:pPr>
      <w:r>
        <w:rPr>
          <w:rFonts w:hint="default"/>
          <w:color w:val="auto"/>
          <w:highlight w:val="none"/>
          <w:lang w:val="en-US" w:eastAsia="zh-CN"/>
        </w:rPr>
        <w:br w:type="page"/>
      </w:r>
    </w:p>
    <w:p w14:paraId="2700DC04">
      <w:pPr>
        <w:pStyle w:val="6"/>
        <w:numPr>
          <w:ilvl w:val="0"/>
          <w:numId w:val="0"/>
        </w:numPr>
        <w:ind w:leftChars="0"/>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谈判供应商须知</w:t>
      </w:r>
    </w:p>
    <w:p w14:paraId="2ADE7B57">
      <w:pPr>
        <w:adjustRightInd w:val="0"/>
        <w:snapToGrid w:val="0"/>
        <w:spacing w:line="360" w:lineRule="exact"/>
        <w:ind w:firstLine="442" w:firstLineChars="200"/>
        <w:rPr>
          <w:rFonts w:hint="eastAsia" w:ascii="宋体" w:hAnsi="宋体" w:cs="宋体"/>
          <w:b/>
          <w:color w:val="auto"/>
          <w:sz w:val="22"/>
          <w:szCs w:val="22"/>
          <w:highlight w:val="none"/>
        </w:rPr>
      </w:pPr>
    </w:p>
    <w:p w14:paraId="24C2759D">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一.总　则</w:t>
      </w:r>
    </w:p>
    <w:p w14:paraId="16DEF979">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 适用范围</w:t>
      </w:r>
    </w:p>
    <w:p w14:paraId="3FC0157C">
      <w:pPr>
        <w:pStyle w:val="10"/>
        <w:adjustRightInd w:val="0"/>
        <w:snapToGrid w:val="0"/>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 xml:space="preserve">    1.1项目名称</w:t>
      </w:r>
      <w:r>
        <w:rPr>
          <w:rFonts w:hint="eastAsia" w:ascii="宋体" w:hAnsi="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合浦廉州中学科普体验馆设备采购</w:t>
      </w:r>
    </w:p>
    <w:p w14:paraId="50A96B95">
      <w:pPr>
        <w:pStyle w:val="10"/>
        <w:adjustRightInd w:val="0"/>
        <w:snapToGrid w:val="0"/>
        <w:spacing w:line="360" w:lineRule="auto"/>
        <w:ind w:firstLine="871" w:firstLineChars="396"/>
        <w:rPr>
          <w:rFonts w:hint="eastAsia" w:hAnsi="宋体" w:cs="宋体"/>
          <w:color w:val="auto"/>
          <w:sz w:val="22"/>
          <w:szCs w:val="22"/>
          <w:highlight w:val="yellow"/>
        </w:rPr>
      </w:pPr>
      <w:r>
        <w:rPr>
          <w:rFonts w:hint="eastAsia" w:hAnsi="宋体" w:cs="宋体"/>
          <w:color w:val="auto"/>
          <w:sz w:val="22"/>
          <w:szCs w:val="22"/>
          <w:highlight w:val="none"/>
        </w:rPr>
        <w:t>项目编号</w:t>
      </w:r>
      <w:r>
        <w:rPr>
          <w:rFonts w:hint="eastAsia" w:hAnsi="宋体" w:cs="宋体"/>
          <w:color w:val="auto"/>
          <w:sz w:val="22"/>
          <w:szCs w:val="22"/>
          <w:highlight w:val="none"/>
          <w:lang w:eastAsia="zh-CN"/>
        </w:rPr>
        <w:t>：BHZC2024-J1-210330-ZZYG</w:t>
      </w:r>
    </w:p>
    <w:p w14:paraId="73205C29">
      <w:pPr>
        <w:adjustRightInd w:val="0"/>
        <w:snapToGrid w:val="0"/>
        <w:spacing w:line="360" w:lineRule="auto"/>
        <w:ind w:firstLine="880" w:firstLineChars="400"/>
        <w:rPr>
          <w:rFonts w:hint="eastAsia" w:ascii="宋体" w:hAnsi="宋体" w:cs="宋体"/>
          <w:color w:val="auto"/>
          <w:sz w:val="22"/>
          <w:szCs w:val="22"/>
          <w:highlight w:val="none"/>
        </w:rPr>
      </w:pPr>
      <w:r>
        <w:rPr>
          <w:rFonts w:hint="eastAsia" w:ascii="宋体" w:hAnsi="宋体" w:cs="宋体"/>
          <w:color w:val="auto"/>
          <w:sz w:val="22"/>
          <w:szCs w:val="22"/>
          <w:highlight w:val="none"/>
        </w:rPr>
        <w:t>本文件仅适用于本文件中所叙述的货物类政府采购项目。</w:t>
      </w:r>
    </w:p>
    <w:p w14:paraId="3BB17BD8">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 定义</w:t>
      </w:r>
    </w:p>
    <w:p w14:paraId="4394C322">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2.1“采购人”是指：</w:t>
      </w:r>
      <w:r>
        <w:rPr>
          <w:rFonts w:hint="eastAsia" w:ascii="宋体" w:hAnsi="宋体" w:cs="宋体"/>
          <w:color w:val="auto"/>
          <w:sz w:val="22"/>
          <w:szCs w:val="22"/>
          <w:highlight w:val="none"/>
          <w:lang w:eastAsia="zh-CN"/>
        </w:rPr>
        <w:t>合浦廉州中学</w:t>
      </w:r>
      <w:r>
        <w:rPr>
          <w:rFonts w:hint="eastAsia" w:ascii="宋体" w:hAnsi="宋体" w:cs="宋体"/>
          <w:color w:val="auto"/>
          <w:sz w:val="22"/>
          <w:szCs w:val="22"/>
          <w:highlight w:val="none"/>
        </w:rPr>
        <w:t>。</w:t>
      </w:r>
    </w:p>
    <w:p w14:paraId="6405FFB8">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2.2“采购代理机构”是指：</w:t>
      </w:r>
      <w:r>
        <w:rPr>
          <w:rFonts w:hint="eastAsia" w:ascii="宋体" w:hAnsi="宋体" w:cs="宋体"/>
          <w:color w:val="auto"/>
          <w:sz w:val="22"/>
          <w:szCs w:val="22"/>
          <w:highlight w:val="none"/>
          <w:lang w:eastAsia="zh-CN"/>
        </w:rPr>
        <w:t>广西中之元工程管理有限公司</w:t>
      </w:r>
      <w:r>
        <w:rPr>
          <w:rFonts w:hint="eastAsia" w:ascii="宋体" w:hAnsi="宋体" w:cs="宋体"/>
          <w:color w:val="auto"/>
          <w:sz w:val="22"/>
          <w:szCs w:val="22"/>
          <w:highlight w:val="none"/>
        </w:rPr>
        <w:t>。</w:t>
      </w:r>
    </w:p>
    <w:p w14:paraId="11D5338A">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2.3“谈判供应商”是指响应本文件要求，参加谈判的法人或者其他组织和自然人。如果该供应商在本次谈判中成交,即成为“成交供应商”。</w:t>
      </w:r>
    </w:p>
    <w:p w14:paraId="2D6EE572">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2.4“货物”是指各种形态和种类的物品，包括原材料、燃料、设备、产品等。</w:t>
      </w:r>
    </w:p>
    <w:p w14:paraId="6145EB6D">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2.5“服务”是指除货物和工程以外的其他政府采购对象。</w:t>
      </w:r>
    </w:p>
    <w:p w14:paraId="0C371AFB">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2.6“竞争性谈判响应文件”是指：供应商根据本文件要求，编制包含报价、技术和服务等所有内容的文件。</w:t>
      </w:r>
    </w:p>
    <w:p w14:paraId="6486583C">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2.7“▲”系指实质性要求条款。</w:t>
      </w:r>
    </w:p>
    <w:p w14:paraId="6044B68F">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3. 谈判供应商的基本条件</w:t>
      </w:r>
    </w:p>
    <w:p w14:paraId="2E86FC73">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3.1谈判供应商资格：具备《中华人民共和国政府采购法》第二十二条</w:t>
      </w:r>
      <w:r>
        <w:rPr>
          <w:rFonts w:hint="eastAsia" w:ascii="宋体" w:hAnsi="宋体" w:cs="宋体"/>
          <w:color w:val="auto"/>
          <w:kern w:val="0"/>
          <w:sz w:val="22"/>
          <w:szCs w:val="22"/>
          <w:highlight w:val="none"/>
        </w:rPr>
        <w:t>【（一）具有独立承</w:t>
      </w:r>
      <w:r>
        <w:rPr>
          <w:rFonts w:hint="eastAsia" w:ascii="宋体" w:hAnsi="宋体" w:cs="宋体"/>
          <w:color w:val="auto"/>
          <w:kern w:val="0"/>
          <w:sz w:val="22"/>
          <w:szCs w:val="22"/>
          <w:highlight w:val="none"/>
          <w:lang w:eastAsia="zh-CN"/>
        </w:rPr>
        <w:t>担</w:t>
      </w:r>
      <w:r>
        <w:rPr>
          <w:rFonts w:hint="eastAsia" w:ascii="宋体" w:hAnsi="宋体" w:cs="宋体"/>
          <w:color w:val="auto"/>
          <w:kern w:val="0"/>
          <w:sz w:val="22"/>
          <w:szCs w:val="22"/>
          <w:highlight w:val="none"/>
        </w:rPr>
        <w:t>民事责任的能力；（二）具有良好的商业信誉和健全的财务制度；（三）具有履行合同所必需的设备和专业技术能力；（四）有依法缴纳税收和社会保障资金的良好记录；（五）参加政府采购活动前三年内，在经营活动中没有重大的违法记录；（六）法律、行政法规规定的其他条件。】</w:t>
      </w:r>
      <w:r>
        <w:rPr>
          <w:rFonts w:hint="eastAsia" w:ascii="宋体" w:hAnsi="宋体" w:cs="宋体"/>
          <w:color w:val="auto"/>
          <w:sz w:val="22"/>
          <w:szCs w:val="22"/>
          <w:highlight w:val="none"/>
        </w:rPr>
        <w:t>所规定的条件，且承诺履行谈判文件的各项规定</w:t>
      </w:r>
      <w:r>
        <w:rPr>
          <w:rFonts w:hint="eastAsia" w:ascii="宋体" w:hAnsi="宋体" w:cs="宋体"/>
          <w:color w:val="auto"/>
          <w:kern w:val="0"/>
          <w:sz w:val="22"/>
          <w:szCs w:val="22"/>
          <w:highlight w:val="none"/>
        </w:rPr>
        <w:t>的供应商</w:t>
      </w:r>
      <w:r>
        <w:rPr>
          <w:rFonts w:hint="eastAsia" w:ascii="宋体" w:hAnsi="宋体" w:cs="宋体"/>
          <w:color w:val="auto"/>
          <w:sz w:val="22"/>
          <w:szCs w:val="22"/>
          <w:highlight w:val="none"/>
        </w:rPr>
        <w:t>。</w:t>
      </w:r>
    </w:p>
    <w:p w14:paraId="376F4FC4">
      <w:pPr>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ascii="宋体" w:hAnsi="宋体" w:cs="宋体"/>
          <w:color w:val="auto"/>
          <w:sz w:val="22"/>
          <w:szCs w:val="22"/>
          <w:highlight w:val="none"/>
          <w:lang w:eastAsia="zh-CN"/>
        </w:rPr>
        <w:t>。</w:t>
      </w:r>
    </w:p>
    <w:p w14:paraId="0337BA75">
      <w:pPr>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3.2</w:t>
      </w:r>
      <w:r>
        <w:rPr>
          <w:rFonts w:hint="eastAsia" w:ascii="宋体" w:hAnsi="宋体" w:cs="宋体"/>
          <w:color w:val="auto"/>
          <w:sz w:val="22"/>
          <w:szCs w:val="22"/>
          <w:highlight w:val="none"/>
          <w:lang w:eastAsia="zh-CN"/>
        </w:rPr>
        <w:t>其他</w:t>
      </w:r>
      <w:r>
        <w:rPr>
          <w:rFonts w:hint="eastAsia" w:ascii="宋体" w:hAnsi="宋体" w:cs="宋体"/>
          <w:color w:val="auto"/>
          <w:sz w:val="22"/>
          <w:szCs w:val="22"/>
          <w:highlight w:val="none"/>
        </w:rPr>
        <w:t>：</w:t>
      </w:r>
    </w:p>
    <w:p w14:paraId="0AF83296">
      <w:pPr>
        <w:adjustRightInd w:val="0"/>
        <w:snapToGrid w:val="0"/>
        <w:spacing w:line="360" w:lineRule="auto"/>
        <w:ind w:firstLine="440" w:firstLineChars="20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3.2.1落实政府采购政策需满足的资格要求：本项目专门面向中小企业采购，供应商应为中小微企业或监狱企业或残疾人福利性单位；</w:t>
      </w:r>
    </w:p>
    <w:p w14:paraId="5D3F1D30">
      <w:pPr>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3.2.2本项目的特定资格要求：已经依法获得书面推荐，并在规定时间内获取采购文件的供应商才有资格参与谈判</w:t>
      </w:r>
      <w:r>
        <w:rPr>
          <w:rFonts w:hint="eastAsia" w:ascii="宋体" w:hAnsi="宋体" w:cs="宋体"/>
          <w:color w:val="auto"/>
          <w:sz w:val="22"/>
          <w:szCs w:val="22"/>
          <w:highlight w:val="none"/>
          <w:lang w:eastAsia="zh-CN"/>
        </w:rPr>
        <w:t>。</w:t>
      </w:r>
    </w:p>
    <w:p w14:paraId="7C2214D6">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注：特别说明：</w:t>
      </w:r>
    </w:p>
    <w:p w14:paraId="5C35CF1F">
      <w:pPr>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多家供应商参加谈判，同一品牌同一型号产品只能由一家供应商参加，如果有多家代理商参加同一品牌同一型号产品谈判的，应当作为一个供应商计算。谈判时，取其中通过资格审查后的报价最低一家为有效供应商；当报价相同时，则以技术标最优一家为有效供应商；均相同时，由谈判小组集体决定。</w:t>
      </w:r>
    </w:p>
    <w:p w14:paraId="732CD659">
      <w:pPr>
        <w:adjustRightInd w:val="0"/>
        <w:snapToGrid w:val="0"/>
        <w:spacing w:line="360" w:lineRule="auto"/>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多家代理商或经销商参加谈判，如其中两家或两家以上供应商存在分级代理或代销关系，且提供的是其所代理品牌产品的，谈判时，谈判小组按上述规定确定其中一家为有效供应商。</w:t>
      </w:r>
    </w:p>
    <w:p w14:paraId="53B1332F">
      <w:pPr>
        <w:adjustRightInd w:val="0"/>
        <w:snapToGrid w:val="0"/>
        <w:spacing w:line="360" w:lineRule="auto"/>
        <w:ind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非单一产品采购项目中，多家供应商提供的核心产品品牌相同的，视为提供相同品牌产品。</w:t>
      </w:r>
    </w:p>
    <w:p w14:paraId="1426A760">
      <w:pPr>
        <w:pStyle w:val="10"/>
        <w:adjustRightInd w:val="0"/>
        <w:snapToGrid w:val="0"/>
        <w:spacing w:line="360" w:lineRule="auto"/>
        <w:ind w:left="2" w:leftChars="1" w:firstLine="660" w:firstLineChars="300"/>
        <w:rPr>
          <w:rFonts w:hint="eastAsia" w:hAnsi="宋体" w:cs="宋体"/>
          <w:color w:val="auto"/>
          <w:sz w:val="22"/>
          <w:szCs w:val="22"/>
          <w:highlight w:val="none"/>
        </w:rPr>
      </w:pPr>
      <w:r>
        <w:rPr>
          <w:rFonts w:hint="eastAsia" w:hAnsi="宋体" w:cs="宋体"/>
          <w:color w:val="auto"/>
          <w:sz w:val="22"/>
          <w:szCs w:val="22"/>
          <w:highlight w:val="none"/>
        </w:rPr>
        <w:t>2.谈判响应供应商所使用的资格、信誉、荣誉、业绩与企业认证必须为本法人所拥有。谈判响应供应商所使用的采购项目实施人员必须为本法人员工（或必须为本法人或控股公司正式员工）。</w:t>
      </w:r>
    </w:p>
    <w:p w14:paraId="1C0C900D">
      <w:pPr>
        <w:pStyle w:val="10"/>
        <w:adjustRightInd w:val="0"/>
        <w:snapToGrid w:val="0"/>
        <w:spacing w:line="360" w:lineRule="auto"/>
        <w:ind w:left="2" w:leftChars="1" w:firstLine="440" w:firstLineChars="200"/>
        <w:rPr>
          <w:rFonts w:hint="eastAsia" w:hAnsi="宋体" w:cs="宋体"/>
          <w:color w:val="auto"/>
          <w:sz w:val="22"/>
          <w:szCs w:val="22"/>
          <w:highlight w:val="none"/>
        </w:rPr>
      </w:pPr>
      <w:r>
        <w:rPr>
          <w:rFonts w:hint="eastAsia" w:hAnsi="宋体" w:cs="宋体"/>
          <w:color w:val="auto"/>
          <w:sz w:val="22"/>
          <w:szCs w:val="22"/>
          <w:highlight w:val="none"/>
        </w:rPr>
        <w:t>▲3.谈判响应供应商应仔细阅读谈判文件的所有内容，按照谈判文件的要求提交谈判响应文件，并对所提供的全部资料的真实性承担法律责任。</w:t>
      </w:r>
    </w:p>
    <w:p w14:paraId="3B446994">
      <w:pPr>
        <w:pStyle w:val="10"/>
        <w:adjustRightInd w:val="0"/>
        <w:snapToGrid w:val="0"/>
        <w:spacing w:line="360" w:lineRule="auto"/>
        <w:ind w:left="2" w:leftChars="1" w:firstLine="440" w:firstLineChars="200"/>
        <w:rPr>
          <w:rFonts w:hint="eastAsia" w:hAnsi="宋体" w:cs="宋体"/>
          <w:color w:val="auto"/>
          <w:sz w:val="22"/>
          <w:szCs w:val="22"/>
          <w:highlight w:val="none"/>
        </w:rPr>
      </w:pPr>
      <w:r>
        <w:rPr>
          <w:rFonts w:hint="eastAsia" w:hAnsi="宋体" w:cs="宋体"/>
          <w:color w:val="auto"/>
          <w:sz w:val="22"/>
          <w:szCs w:val="22"/>
          <w:highlight w:val="none"/>
        </w:rPr>
        <w:t>▲4.谈判响应供应商在竞争性谈判采购活动中提供任何虚假材料,其谈判或成交无效，并报监管部门查处。</w:t>
      </w:r>
    </w:p>
    <w:p w14:paraId="2E2C4DF5">
      <w:pPr>
        <w:adjustRightInd w:val="0"/>
        <w:snapToGrid w:val="0"/>
        <w:spacing w:line="360" w:lineRule="auto"/>
        <w:ind w:firstLine="433" w:firstLineChars="196"/>
        <w:rPr>
          <w:rFonts w:hint="eastAsia" w:ascii="宋体" w:hAnsi="宋体" w:cs="宋体"/>
          <w:b/>
          <w:color w:val="auto"/>
          <w:sz w:val="22"/>
          <w:szCs w:val="22"/>
          <w:highlight w:val="none"/>
        </w:rPr>
      </w:pPr>
      <w:r>
        <w:rPr>
          <w:rFonts w:hint="eastAsia" w:ascii="宋体" w:hAnsi="宋体" w:cs="宋体"/>
          <w:b/>
          <w:color w:val="auto"/>
          <w:sz w:val="22"/>
          <w:szCs w:val="22"/>
          <w:highlight w:val="none"/>
        </w:rPr>
        <w:t>4. 谈判费用、竞争性谈判公告、竞争性谈判文件的澄清和修改</w:t>
      </w:r>
    </w:p>
    <w:p w14:paraId="3E41CD38">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4.1谈判费用：谈判供应商应自行承担所有与编写和提交竞争性谈判响应文件有关的费用，不论谈判结果如何，采购人和采购代理机构在任何情况下无义务和责任承担此类费用。</w:t>
      </w:r>
    </w:p>
    <w:p w14:paraId="521B87BB">
      <w:pPr>
        <w:pStyle w:val="10"/>
        <w:adjustRightInd w:val="0"/>
        <w:snapToGrid w:val="0"/>
        <w:spacing w:line="360" w:lineRule="auto"/>
        <w:ind w:firstLine="420"/>
        <w:rPr>
          <w:rFonts w:hint="eastAsia" w:hAnsi="宋体" w:cs="宋体"/>
          <w:color w:val="auto"/>
          <w:sz w:val="22"/>
          <w:szCs w:val="22"/>
          <w:highlight w:val="none"/>
        </w:rPr>
      </w:pPr>
      <w:r>
        <w:rPr>
          <w:rFonts w:hint="eastAsia" w:hAnsi="宋体" w:cs="宋体"/>
          <w:color w:val="auto"/>
          <w:sz w:val="22"/>
          <w:szCs w:val="22"/>
          <w:highlight w:val="none"/>
        </w:rPr>
        <w:t>4.2</w:t>
      </w:r>
      <w:r>
        <w:rPr>
          <w:rFonts w:hint="eastAsia" w:hAnsi="宋体" w:cs="宋体"/>
          <w:b/>
          <w:color w:val="auto"/>
          <w:sz w:val="22"/>
          <w:szCs w:val="22"/>
          <w:highlight w:val="none"/>
        </w:rPr>
        <w:t>竞争性谈判公告</w:t>
      </w:r>
      <w:r>
        <w:rPr>
          <w:rFonts w:hint="eastAsia" w:hAnsi="宋体" w:cs="宋体"/>
          <w:color w:val="auto"/>
          <w:sz w:val="22"/>
          <w:szCs w:val="22"/>
          <w:highlight w:val="none"/>
        </w:rPr>
        <w:t>：见</w:t>
      </w:r>
      <w:r>
        <w:rPr>
          <w:rFonts w:hint="eastAsia" w:hAnsi="宋体" w:cs="宋体"/>
          <w:color w:val="auto"/>
          <w:sz w:val="22"/>
          <w:szCs w:val="22"/>
          <w:highlight w:val="none"/>
          <w:lang w:eastAsia="zh-CN"/>
        </w:rPr>
        <w:t>广西壮族自治区政府采购网（zfcg.gxzf.gov.cn）、中国政府采购网（www.ccgp.gov.cn）</w:t>
      </w:r>
      <w:r>
        <w:rPr>
          <w:rFonts w:hint="eastAsia" w:hAnsi="宋体" w:cs="宋体"/>
          <w:color w:val="auto"/>
          <w:sz w:val="22"/>
          <w:szCs w:val="22"/>
          <w:highlight w:val="none"/>
        </w:rPr>
        <w:t>。</w:t>
      </w:r>
    </w:p>
    <w:p w14:paraId="7C1F8A84">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t>4.3</w:t>
      </w:r>
      <w:r>
        <w:rPr>
          <w:rFonts w:hint="eastAsia" w:ascii="宋体" w:hAnsi="宋体" w:cs="宋体"/>
          <w:color w:val="auto"/>
          <w:sz w:val="22"/>
          <w:szCs w:val="22"/>
          <w:highlight w:val="none"/>
        </w:rPr>
        <w:t>竞争性谈判文件的澄清和修改：</w:t>
      </w:r>
    </w:p>
    <w:p w14:paraId="303D0149">
      <w:pPr>
        <w:pStyle w:val="10"/>
        <w:adjustRightInd w:val="0"/>
        <w:snapToGrid w:val="0"/>
        <w:spacing w:line="360" w:lineRule="auto"/>
        <w:ind w:firstLine="420"/>
        <w:rPr>
          <w:rFonts w:hint="eastAsia" w:hAnsi="宋体" w:cs="宋体"/>
          <w:color w:val="auto"/>
          <w:sz w:val="22"/>
          <w:szCs w:val="22"/>
          <w:highlight w:val="none"/>
        </w:rPr>
      </w:pPr>
      <w:r>
        <w:rPr>
          <w:rFonts w:hint="eastAsia" w:hAnsi="宋体" w:cs="宋体"/>
          <w:color w:val="auto"/>
          <w:sz w:val="22"/>
          <w:szCs w:val="22"/>
          <w:highlight w:val="none"/>
        </w:rPr>
        <w:t>4.3.1谈判供应商应认真审核《采购需求》中的技术参数、配置及要求，如发现表中技术参数、配置有误或要求不合理的，谈判供应商必须在规定的时间前要求澄清，否则，由此产生的后果由谈判供应商负责。</w:t>
      </w:r>
    </w:p>
    <w:p w14:paraId="22E3282C">
      <w:pPr>
        <w:pStyle w:val="10"/>
        <w:adjustRightInd w:val="0"/>
        <w:snapToGrid w:val="0"/>
        <w:spacing w:line="360" w:lineRule="auto"/>
        <w:ind w:firstLine="420"/>
        <w:rPr>
          <w:rFonts w:hint="eastAsia" w:hAnsi="宋体" w:cs="宋体"/>
          <w:color w:val="auto"/>
          <w:sz w:val="22"/>
          <w:szCs w:val="22"/>
          <w:highlight w:val="none"/>
        </w:rPr>
      </w:pPr>
      <w:r>
        <w:rPr>
          <w:rFonts w:hint="eastAsia" w:hAnsi="宋体" w:cs="宋体"/>
          <w:color w:val="auto"/>
          <w:sz w:val="22"/>
          <w:szCs w:val="22"/>
          <w:highlight w:val="none"/>
        </w:rPr>
        <w:t>4.3.2任何要求澄清竞争性谈判文件的谈判供应商，均应在响应文件递交截止日期二日前的正常工作时间以传真等书面形式通知采购代理机构，同时认定其他澄清方式为无效。采购代理机构将以书面形式予以答复。</w:t>
      </w:r>
    </w:p>
    <w:p w14:paraId="4B3F0260">
      <w:pPr>
        <w:adjustRightInd w:val="0"/>
        <w:snapToGrid w:val="0"/>
        <w:spacing w:line="360" w:lineRule="auto"/>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4.3.3采购代理机构对已发出的谈判文件进行必要澄清或者修改的，在竞争性谈判文件要求提交竞争性谈判响应文件截止时间三个工作日前（不足三个工作日顺延），在</w:t>
      </w:r>
      <w:r>
        <w:rPr>
          <w:rFonts w:hint="eastAsia" w:ascii="宋体" w:hAnsi="宋体" w:cs="宋体"/>
          <w:color w:val="auto"/>
          <w:sz w:val="22"/>
          <w:szCs w:val="22"/>
          <w:highlight w:val="none"/>
          <w:lang w:eastAsia="zh-CN"/>
        </w:rPr>
        <w:t>广西壮族自治区政府采购网（zfcg.gxzf.gov.cn）、中国政府采购网（www.ccgp.gov.cn）</w:t>
      </w:r>
      <w:r>
        <w:rPr>
          <w:rFonts w:hint="eastAsia" w:ascii="宋体" w:hAnsi="宋体" w:cs="宋体"/>
          <w:color w:val="auto"/>
          <w:sz w:val="22"/>
          <w:szCs w:val="22"/>
          <w:highlight w:val="none"/>
        </w:rPr>
        <w:t>上发布更正公告，并以书面形式通知所有竞争性谈判文件收受人。该澄清或者修改的内容为竞争性谈判文件的组成部分。</w:t>
      </w:r>
    </w:p>
    <w:p w14:paraId="038B7DE8">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4.3.4采购代理机构可视具体情况，延长响应文件递交截止时间和谈判时间。采购代理机构至少在竞争性谈判文件要求提交竞争性谈判响应文件的截止时间一日前，将变更时间书面通知所有竞争性谈判文件收受人，并在</w:t>
      </w:r>
      <w:r>
        <w:rPr>
          <w:rFonts w:hint="eastAsia" w:ascii="宋体" w:hAnsi="宋体" w:cs="宋体"/>
          <w:color w:val="auto"/>
          <w:sz w:val="22"/>
          <w:szCs w:val="22"/>
          <w:highlight w:val="none"/>
          <w:lang w:eastAsia="zh-CN"/>
        </w:rPr>
        <w:t>广西壮族自治区政府采购网（zfcg.gxzf.gov.cn）、中国政府采购网（www.ccgp.gov.cn）</w:t>
      </w:r>
      <w:r>
        <w:rPr>
          <w:rFonts w:hint="eastAsia" w:ascii="宋体" w:hAnsi="宋体" w:cs="宋体"/>
          <w:color w:val="auto"/>
          <w:sz w:val="22"/>
          <w:szCs w:val="22"/>
          <w:highlight w:val="none"/>
        </w:rPr>
        <w:t>上发布变更公告。</w:t>
      </w:r>
    </w:p>
    <w:p w14:paraId="36960231">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二.竞争性谈判响应文件的编制</w:t>
      </w:r>
    </w:p>
    <w:p w14:paraId="42AB9DEC">
      <w:pPr>
        <w:adjustRightInd w:val="0"/>
        <w:snapToGrid w:val="0"/>
        <w:spacing w:line="360" w:lineRule="auto"/>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5.竞争性谈判响应文件编制基本要求</w:t>
      </w:r>
    </w:p>
    <w:p w14:paraId="15F33CDF">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5.1</w:t>
      </w:r>
      <w:r>
        <w:rPr>
          <w:rFonts w:hint="eastAsia" w:ascii="宋体" w:hAnsi="宋体" w:cs="宋体"/>
          <w:b/>
          <w:bCs/>
          <w:color w:val="auto"/>
          <w:sz w:val="22"/>
          <w:szCs w:val="22"/>
          <w:highlight w:val="none"/>
        </w:rPr>
        <w:t>本项目实行在线谈判，谈判供应商应当准备电子谈判响应文件、可以准备以介质存储的数据电文形式的电子备份谈判响应文件两类。</w:t>
      </w:r>
    </w:p>
    <w:p w14:paraId="65A681C8">
      <w:pPr>
        <w:adjustRightInd w:val="0"/>
        <w:snapToGrid w:val="0"/>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电子谈判响应文件按广西政府采购云平台要求及本谈判文件要求制作、加密并递交。具体操作流程可参考《政府采购项目电子交易管理操作指南-供应商》，指南可在“北海市政府采购中心网站-办事指南-政府采购项目电子交易管理操作指南”下载。</w:t>
      </w:r>
    </w:p>
    <w:p w14:paraId="4D082136">
      <w:pPr>
        <w:adjustRightInd w:val="0"/>
        <w:snapToGrid w:val="0"/>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5.3 电子备份谈判响应文件为上传广西政府采购云平台的谈判响应文件电子版，按照本谈判文件要求制作。</w:t>
      </w:r>
    </w:p>
    <w:p w14:paraId="3BB883C8">
      <w:pPr>
        <w:adjustRightInd w:val="0"/>
        <w:snapToGrid w:val="0"/>
        <w:spacing w:line="360" w:lineRule="auto"/>
        <w:ind w:firstLine="440" w:firstLineChars="200"/>
        <w:rPr>
          <w:rFonts w:hint="default"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lang w:val="en-US" w:eastAsia="zh-CN"/>
        </w:rPr>
        <w:t>5.4</w:t>
      </w:r>
      <w:r>
        <w:rPr>
          <w:rFonts w:hint="eastAsia" w:ascii="宋体" w:hAnsi="宋体" w:cs="宋体"/>
          <w:b/>
          <w:bCs/>
          <w:color w:val="auto"/>
          <w:sz w:val="22"/>
          <w:szCs w:val="22"/>
          <w:highlight w:val="none"/>
          <w:lang w:val="en-US" w:eastAsia="zh-CN"/>
        </w:rPr>
        <w:t>谈判响应文件启用顺序和效力：谈判响应文件的启用，按先后顺位分别为电子谈判响应文件、以介质存储的数据电文形式的电子备份谈判响应文件。全部谈判供应商的电子谈判响应文件均已按时解密的，以介质存储的数据电文形式的电子备份谈判响应文件自动失效。如果某位谈判供应商的电子谈判响应文件无法按时解密的，其电子谈判响应文件为无效，启用以介质存储的数据电文形式的电子备份谈判响应文件。谈判供应商仅递交电子备份谈判响应文件的，谈判无效。</w:t>
      </w:r>
    </w:p>
    <w:p w14:paraId="005D1337">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539973FA">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谈判供应商应认真阅读、并充分理解本文件的全部内容（包括所有的澄清、更改、补充、答疑等内容），承诺并履行本文件中各项条款规定及要求。</w:t>
      </w:r>
    </w:p>
    <w:p w14:paraId="44595934">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竞争性谈判响应文件必须按本文件的全部内容，包括所有的澄清、更改、补充、答疑等内容及附件进行编制。</w:t>
      </w:r>
    </w:p>
    <w:p w14:paraId="12B696F5">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如因谈判供应商只填写和提供了本文件要求的部分内容和附件，而给谈判小组评审造成困难，其可能导致的结果和责任由谈判供应商自行承担。</w:t>
      </w:r>
    </w:p>
    <w:p w14:paraId="76AC7E5E">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竞争性谈判响应文件的组成：竞争性谈判响应文件应分为</w:t>
      </w:r>
      <w:r>
        <w:rPr>
          <w:rFonts w:hint="eastAsia" w:ascii="宋体" w:hAnsi="宋体" w:cs="宋体"/>
          <w:color w:val="auto"/>
          <w:sz w:val="22"/>
          <w:szCs w:val="22"/>
          <w:highlight w:val="none"/>
          <w:lang w:eastAsia="zh-CN"/>
        </w:rPr>
        <w:t>资格文件、</w:t>
      </w:r>
      <w:r>
        <w:rPr>
          <w:rFonts w:hint="eastAsia" w:ascii="宋体" w:hAnsi="宋体" w:cs="宋体"/>
          <w:color w:val="auto"/>
          <w:sz w:val="22"/>
          <w:szCs w:val="22"/>
          <w:highlight w:val="none"/>
        </w:rPr>
        <w:t>价格文件和商务技术文件</w:t>
      </w:r>
      <w:r>
        <w:rPr>
          <w:rFonts w:hint="eastAsia" w:ascii="宋体" w:hAnsi="宋体" w:cs="宋体"/>
          <w:color w:val="auto"/>
          <w:sz w:val="22"/>
          <w:szCs w:val="22"/>
          <w:highlight w:val="none"/>
          <w:lang w:eastAsia="zh-CN"/>
        </w:rPr>
        <w:t>三</w:t>
      </w:r>
      <w:r>
        <w:rPr>
          <w:rFonts w:hint="eastAsia" w:ascii="宋体" w:hAnsi="宋体" w:cs="宋体"/>
          <w:color w:val="auto"/>
          <w:sz w:val="22"/>
          <w:szCs w:val="22"/>
          <w:highlight w:val="none"/>
        </w:rPr>
        <w:t>个部分组成。供应商应仔细阅读采购文件的所有内容，按谈判文件的要求，详细编制谈判响应文件（包含电子谈判响应文件和电子备份谈判响应文件）。</w:t>
      </w:r>
    </w:p>
    <w:p w14:paraId="5DB6AE75">
      <w:pPr>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5.6.1</w:t>
      </w:r>
      <w:r>
        <w:rPr>
          <w:rFonts w:hint="eastAsia" w:ascii="宋体" w:hAnsi="宋体" w:eastAsia="宋体" w:cs="宋体"/>
          <w:b/>
          <w:color w:val="auto"/>
          <w:sz w:val="22"/>
          <w:szCs w:val="22"/>
          <w:highlight w:val="none"/>
          <w:lang w:eastAsia="zh-CN"/>
        </w:rPr>
        <w:t>资格文件</w:t>
      </w:r>
    </w:p>
    <w:p w14:paraId="1A66CAE1">
      <w:pPr>
        <w:spacing w:line="360" w:lineRule="auto"/>
        <w:ind w:firstLine="220" w:firstLineChars="100"/>
        <w:rPr>
          <w:rFonts w:hint="eastAsia" w:ascii="宋体" w:hAnsi="宋体" w:cs="宋体"/>
          <w:b/>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rPr>
        <w:t>北海市政府采购供应商信用承诺函</w:t>
      </w:r>
      <w:r>
        <w:rPr>
          <w:rFonts w:hint="eastAsia" w:ascii="宋体" w:hAnsi="宋体" w:cs="宋体"/>
          <w:b/>
          <w:bCs/>
          <w:color w:val="auto"/>
          <w:sz w:val="22"/>
          <w:szCs w:val="22"/>
          <w:highlight w:val="none"/>
        </w:rPr>
        <w:t>（必须提供</w:t>
      </w:r>
      <w:r>
        <w:rPr>
          <w:rFonts w:hint="eastAsia" w:ascii="宋体" w:hAnsi="宋体" w:cs="宋体"/>
          <w:b/>
          <w:color w:val="auto"/>
          <w:szCs w:val="21"/>
          <w:highlight w:val="none"/>
        </w:rPr>
        <w:t>，格式见第四章</w:t>
      </w:r>
      <w:r>
        <w:rPr>
          <w:rFonts w:hint="eastAsia" w:ascii="宋体" w:hAnsi="宋体" w:cs="宋体"/>
          <w:b/>
          <w:bCs/>
          <w:color w:val="auto"/>
          <w:sz w:val="22"/>
          <w:szCs w:val="22"/>
          <w:highlight w:val="none"/>
        </w:rPr>
        <w:t>）；</w:t>
      </w:r>
    </w:p>
    <w:p w14:paraId="2492491B">
      <w:pPr>
        <w:pStyle w:val="6"/>
        <w:numPr>
          <w:ilvl w:val="0"/>
          <w:numId w:val="1"/>
        </w:numPr>
        <w:spacing w:line="360" w:lineRule="auto"/>
        <w:ind w:left="0" w:leftChars="0" w:firstLine="440" w:firstLineChars="200"/>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中小企业声明函或残疾人福利性单位声明函</w:t>
      </w:r>
      <w:bookmarkStart w:id="26" w:name="OLE_LINK4"/>
      <w:r>
        <w:rPr>
          <w:rFonts w:hint="eastAsia" w:ascii="宋体" w:hAnsi="宋体" w:eastAsia="宋体" w:cs="宋体"/>
          <w:b/>
          <w:bCs w:val="0"/>
          <w:color w:val="auto"/>
          <w:kern w:val="2"/>
          <w:sz w:val="22"/>
          <w:szCs w:val="22"/>
          <w:highlight w:val="none"/>
          <w:lang w:val="en-US" w:eastAsia="zh-CN" w:bidi="ar-SA"/>
        </w:rPr>
        <w:t>（</w:t>
      </w:r>
      <w:r>
        <w:rPr>
          <w:rFonts w:hint="eastAsia" w:ascii="宋体" w:hAnsi="宋体" w:eastAsia="宋体" w:cs="宋体"/>
          <w:b/>
          <w:bCs w:val="0"/>
          <w:color w:val="auto"/>
          <w:sz w:val="22"/>
          <w:szCs w:val="22"/>
          <w:highlight w:val="none"/>
        </w:rPr>
        <w:t>必须提供</w:t>
      </w:r>
      <w:r>
        <w:rPr>
          <w:rFonts w:hint="eastAsia" w:ascii="宋体" w:hAnsi="宋体" w:eastAsia="宋体" w:cs="宋体"/>
          <w:b/>
          <w:bCs w:val="0"/>
          <w:color w:val="auto"/>
          <w:kern w:val="2"/>
          <w:sz w:val="22"/>
          <w:szCs w:val="22"/>
          <w:highlight w:val="none"/>
          <w:lang w:val="en-US" w:eastAsia="zh-CN" w:bidi="ar-SA"/>
        </w:rPr>
        <w:t>）</w:t>
      </w:r>
      <w:r>
        <w:rPr>
          <w:rFonts w:hint="eastAsia" w:ascii="宋体" w:hAnsi="宋体" w:eastAsia="宋体" w:cs="宋体"/>
          <w:b w:val="0"/>
          <w:bCs/>
          <w:color w:val="auto"/>
          <w:kern w:val="2"/>
          <w:sz w:val="22"/>
          <w:szCs w:val="22"/>
          <w:highlight w:val="none"/>
          <w:lang w:val="en-US" w:eastAsia="zh-CN" w:bidi="ar-SA"/>
        </w:rPr>
        <w:t>；</w:t>
      </w:r>
      <w:bookmarkEnd w:id="26"/>
    </w:p>
    <w:p w14:paraId="46428697">
      <w:pPr>
        <w:pStyle w:val="6"/>
        <w:numPr>
          <w:ilvl w:val="0"/>
          <w:numId w:val="1"/>
        </w:numPr>
        <w:spacing w:line="360" w:lineRule="auto"/>
        <w:ind w:left="0" w:leftChars="0" w:firstLine="440" w:firstLineChars="200"/>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竞争性谈判邀请函</w:t>
      </w:r>
      <w:r>
        <w:rPr>
          <w:rFonts w:hint="eastAsia" w:ascii="宋体" w:hAnsi="宋体" w:eastAsia="宋体" w:cs="宋体"/>
          <w:b/>
          <w:bCs w:val="0"/>
          <w:color w:val="auto"/>
          <w:kern w:val="2"/>
          <w:sz w:val="22"/>
          <w:szCs w:val="22"/>
          <w:highlight w:val="none"/>
          <w:lang w:val="en-US" w:eastAsia="zh-CN" w:bidi="ar-SA"/>
        </w:rPr>
        <w:t>（</w:t>
      </w:r>
      <w:r>
        <w:rPr>
          <w:rFonts w:hint="eastAsia" w:ascii="宋体" w:hAnsi="宋体" w:eastAsia="宋体" w:cs="宋体"/>
          <w:b/>
          <w:bCs w:val="0"/>
          <w:color w:val="auto"/>
          <w:sz w:val="22"/>
          <w:szCs w:val="22"/>
          <w:highlight w:val="none"/>
        </w:rPr>
        <w:t>必须提供</w:t>
      </w:r>
      <w:r>
        <w:rPr>
          <w:rFonts w:hint="eastAsia" w:ascii="宋体" w:hAnsi="宋体" w:eastAsia="宋体" w:cs="宋体"/>
          <w:b/>
          <w:bCs w:val="0"/>
          <w:color w:val="auto"/>
          <w:kern w:val="2"/>
          <w:sz w:val="22"/>
          <w:szCs w:val="22"/>
          <w:highlight w:val="none"/>
          <w:lang w:val="en-US" w:eastAsia="zh-CN" w:bidi="ar-SA"/>
        </w:rPr>
        <w:t>）</w:t>
      </w:r>
      <w:r>
        <w:rPr>
          <w:rFonts w:hint="eastAsia" w:ascii="宋体" w:hAnsi="宋体" w:eastAsia="宋体" w:cs="宋体"/>
          <w:b w:val="0"/>
          <w:bCs/>
          <w:color w:val="auto"/>
          <w:kern w:val="2"/>
          <w:sz w:val="22"/>
          <w:szCs w:val="22"/>
          <w:highlight w:val="none"/>
          <w:lang w:val="en-US" w:eastAsia="zh-CN" w:bidi="ar-SA"/>
        </w:rPr>
        <w:t>；</w:t>
      </w:r>
    </w:p>
    <w:p w14:paraId="5E5A9A8A">
      <w:pPr>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5.6.2</w:t>
      </w:r>
      <w:r>
        <w:rPr>
          <w:rFonts w:hint="eastAsia" w:ascii="宋体" w:hAnsi="宋体" w:eastAsia="宋体" w:cs="宋体"/>
          <w:b/>
          <w:color w:val="auto"/>
          <w:sz w:val="22"/>
          <w:szCs w:val="22"/>
          <w:highlight w:val="none"/>
        </w:rPr>
        <w:t>价格文件</w:t>
      </w:r>
    </w:p>
    <w:p w14:paraId="263A8213">
      <w:pPr>
        <w:adjustRightInd w:val="0"/>
        <w:snapToGrid w:val="0"/>
        <w:spacing w:line="360" w:lineRule="auto"/>
        <w:ind w:firstLine="220" w:firstLineChars="1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▲（1）报价表（附件1）</w:t>
      </w:r>
      <w:r>
        <w:rPr>
          <w:rFonts w:hint="eastAsia" w:ascii="宋体" w:hAnsi="宋体" w:eastAsia="宋体" w:cs="宋体"/>
          <w:b/>
          <w:color w:val="auto"/>
          <w:sz w:val="22"/>
          <w:szCs w:val="22"/>
          <w:highlight w:val="none"/>
        </w:rPr>
        <w:t>（</w:t>
      </w:r>
      <w:bookmarkStart w:id="27" w:name="OLE_LINK3"/>
      <w:r>
        <w:rPr>
          <w:rFonts w:hint="eastAsia" w:ascii="宋体" w:hAnsi="宋体" w:eastAsia="宋体" w:cs="宋体"/>
          <w:b/>
          <w:color w:val="auto"/>
          <w:sz w:val="22"/>
          <w:szCs w:val="22"/>
          <w:highlight w:val="none"/>
        </w:rPr>
        <w:t>必须提供</w:t>
      </w:r>
      <w:bookmarkEnd w:id="27"/>
      <w:r>
        <w:rPr>
          <w:rFonts w:hint="eastAsia" w:ascii="宋体" w:hAnsi="宋体" w:eastAsia="宋体" w:cs="宋体"/>
          <w:b/>
          <w:color w:val="auto"/>
          <w:sz w:val="22"/>
          <w:szCs w:val="22"/>
          <w:highlight w:val="none"/>
        </w:rPr>
        <w:t>）；</w:t>
      </w:r>
    </w:p>
    <w:p w14:paraId="69CBE0E6">
      <w:pPr>
        <w:adjustRightInd w:val="0"/>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5.6.</w:t>
      </w: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 xml:space="preserve"> 商务技术文件</w:t>
      </w:r>
      <w:r>
        <w:rPr>
          <w:rFonts w:hint="eastAsia" w:ascii="宋体" w:hAnsi="宋体" w:eastAsia="宋体" w:cs="宋体"/>
          <w:color w:val="auto"/>
          <w:sz w:val="22"/>
          <w:szCs w:val="22"/>
          <w:highlight w:val="none"/>
        </w:rPr>
        <w:t xml:space="preserve">（应该有的必须提供,如未提供,谈判小组有权拒绝其竞争性谈判响应文件） </w:t>
      </w:r>
    </w:p>
    <w:p w14:paraId="58B9B82F">
      <w:pPr>
        <w:adjustRightInd w:val="0"/>
        <w:snapToGrid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▲（1）谈判书（附件</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（必须提供）；</w:t>
      </w:r>
    </w:p>
    <w:p w14:paraId="285C031A">
      <w:pPr>
        <w:adjustRightInd w:val="0"/>
        <w:snapToGrid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▲（2）商务、技术响应、偏离情况说明表（附件</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（必须提供）；</w:t>
      </w:r>
    </w:p>
    <w:p w14:paraId="4CF30991">
      <w:pPr>
        <w:adjustRightInd w:val="0"/>
        <w:snapToGrid w:val="0"/>
        <w:spacing w:line="360" w:lineRule="auto"/>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法定代表人(负责人)授权委托书原件和委托代理人身份证复印件（</w:t>
      </w:r>
      <w:r>
        <w:rPr>
          <w:rFonts w:hint="eastAsia" w:ascii="宋体" w:hAnsi="宋体" w:eastAsia="宋体" w:cs="宋体"/>
          <w:b/>
          <w:color w:val="auto"/>
          <w:sz w:val="22"/>
          <w:szCs w:val="22"/>
          <w:highlight w:val="none"/>
        </w:rPr>
        <w:t>委托代理时</w:t>
      </w:r>
      <w:r>
        <w:rPr>
          <w:rFonts w:hint="eastAsia" w:ascii="宋体" w:hAnsi="宋体" w:eastAsia="宋体" w:cs="宋体"/>
          <w:b/>
          <w:bCs/>
          <w:color w:val="auto"/>
          <w:sz w:val="22"/>
          <w:szCs w:val="22"/>
          <w:highlight w:val="none"/>
        </w:rPr>
        <w:t>必须提供</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21EAD0F">
      <w:pPr>
        <w:adjustRightInd w:val="0"/>
        <w:snapToGrid w:val="0"/>
        <w:spacing w:line="360" w:lineRule="auto"/>
        <w:ind w:firstLine="220" w:firstLineChars="1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▲（4）法定代表人(负责人)身份证复印件</w:t>
      </w:r>
      <w:r>
        <w:rPr>
          <w:rFonts w:hint="eastAsia" w:ascii="宋体" w:hAnsi="宋体" w:eastAsia="宋体" w:cs="宋体"/>
          <w:b/>
          <w:color w:val="auto"/>
          <w:sz w:val="22"/>
          <w:szCs w:val="22"/>
          <w:highlight w:val="none"/>
        </w:rPr>
        <w:t>【法定代表人(负责人)参加谈判时，必须提供】；</w:t>
      </w:r>
    </w:p>
    <w:p w14:paraId="1214826A">
      <w:pPr>
        <w:adjustRightInd w:val="0"/>
        <w:snapToGrid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）承诺函（</w:t>
      </w:r>
      <w:r>
        <w:rPr>
          <w:rFonts w:hint="eastAsia" w:ascii="宋体" w:hAnsi="宋体" w:cs="宋体"/>
          <w:color w:val="auto"/>
          <w:highlight w:val="none"/>
        </w:rPr>
        <w:t>格式见第四章</w:t>
      </w:r>
      <w:r>
        <w:rPr>
          <w:rFonts w:hint="eastAsia" w:ascii="宋体" w:hAnsi="宋体" w:cs="宋体"/>
          <w:color w:val="auto"/>
          <w:szCs w:val="21"/>
          <w:highlight w:val="none"/>
        </w:rPr>
        <w:t>）</w:t>
      </w:r>
      <w:r>
        <w:rPr>
          <w:rFonts w:hint="eastAsia" w:ascii="宋体" w:hAnsi="宋体" w:cs="宋体"/>
          <w:b/>
          <w:color w:val="auto"/>
          <w:szCs w:val="21"/>
          <w:highlight w:val="none"/>
        </w:rPr>
        <w:t>（必须提供）</w:t>
      </w:r>
      <w:r>
        <w:rPr>
          <w:rFonts w:hint="eastAsia" w:ascii="宋体" w:hAnsi="宋体" w:eastAsia="宋体" w:cs="宋体"/>
          <w:b/>
          <w:color w:val="auto"/>
          <w:sz w:val="22"/>
          <w:szCs w:val="22"/>
          <w:highlight w:val="none"/>
        </w:rPr>
        <w:t>；</w:t>
      </w:r>
    </w:p>
    <w:p w14:paraId="05871F42">
      <w:pPr>
        <w:adjustRightInd w:val="0"/>
        <w:snapToGrid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）售后服务承诺书（内容可以是提供的切实可行的售后服务和优惠承诺）（附件</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（格式自拟，必须提供）</w:t>
      </w:r>
      <w:r>
        <w:rPr>
          <w:rFonts w:hint="eastAsia" w:ascii="宋体" w:hAnsi="宋体" w:eastAsia="宋体" w:cs="宋体"/>
          <w:color w:val="auto"/>
          <w:sz w:val="22"/>
          <w:szCs w:val="22"/>
          <w:highlight w:val="none"/>
        </w:rPr>
        <w:t>；</w:t>
      </w:r>
    </w:p>
    <w:p w14:paraId="04101887">
      <w:pPr>
        <w:adjustRightInd w:val="0"/>
        <w:snapToGrid w:val="0"/>
        <w:spacing w:line="360" w:lineRule="auto"/>
        <w:ind w:firstLine="220" w:firstLineChars="1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）产品质量保证书（附件</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（必须提供）；</w:t>
      </w:r>
    </w:p>
    <w:p w14:paraId="49AAF977">
      <w:pPr>
        <w:pStyle w:val="6"/>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（8）采购需求中要求必须提供的材料等</w:t>
      </w:r>
      <w:r>
        <w:rPr>
          <w:rFonts w:hint="eastAsia" w:ascii="宋体" w:hAnsi="宋体" w:eastAsia="宋体" w:cs="宋体"/>
          <w:b/>
          <w:bCs/>
          <w:color w:val="auto"/>
          <w:sz w:val="22"/>
          <w:szCs w:val="22"/>
          <w:highlight w:val="none"/>
          <w:lang w:val="en-US" w:eastAsia="zh-CN"/>
        </w:rPr>
        <w:t>（如有规定,则必须提供）</w:t>
      </w:r>
      <w:r>
        <w:rPr>
          <w:rFonts w:hint="eastAsia" w:ascii="宋体" w:hAnsi="宋体" w:eastAsia="宋体" w:cs="宋体"/>
          <w:color w:val="auto"/>
          <w:sz w:val="22"/>
          <w:szCs w:val="22"/>
          <w:highlight w:val="none"/>
          <w:lang w:val="en-US" w:eastAsia="zh-CN"/>
        </w:rPr>
        <w:t>；</w:t>
      </w:r>
    </w:p>
    <w:p w14:paraId="12494C79">
      <w:pPr>
        <w:numPr>
          <w:ilvl w:val="0"/>
          <w:numId w:val="0"/>
        </w:num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生产、销售许可证</w:t>
      </w:r>
      <w:r>
        <w:rPr>
          <w:rFonts w:hint="eastAsia" w:ascii="宋体" w:hAnsi="宋体" w:cs="宋体"/>
          <w:color w:val="auto"/>
          <w:highlight w:val="none"/>
        </w:rPr>
        <w:t>（如国家实行强制性要求的，则必须提供）</w:t>
      </w:r>
      <w:r>
        <w:rPr>
          <w:rFonts w:hint="eastAsia" w:ascii="宋体" w:hAnsi="宋体" w:eastAsia="宋体" w:cs="宋体"/>
          <w:color w:val="auto"/>
          <w:sz w:val="22"/>
          <w:szCs w:val="22"/>
          <w:highlight w:val="none"/>
        </w:rPr>
        <w:t>；</w:t>
      </w:r>
    </w:p>
    <w:p w14:paraId="476B47EF">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）货物制造、检验、测试、验收执行的标准；</w:t>
      </w:r>
    </w:p>
    <w:p w14:paraId="50AF001C">
      <w:pPr>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）货物认证、检测报告、鉴定证书等；</w:t>
      </w:r>
    </w:p>
    <w:p w14:paraId="31F830A5">
      <w:pPr>
        <w:pStyle w:val="6"/>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谈判供应商认为需要提供的有关资料。</w:t>
      </w:r>
    </w:p>
    <w:p w14:paraId="3AF7306A">
      <w:pPr>
        <w:pStyle w:val="10"/>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jc w:val="left"/>
        <w:textAlignment w:val="auto"/>
        <w:rPr>
          <w:rFonts w:hint="eastAsia" w:hAnsi="宋体" w:cs="宋体"/>
          <w:b/>
          <w:color w:val="auto"/>
          <w:sz w:val="22"/>
          <w:szCs w:val="22"/>
          <w:highlight w:val="none"/>
        </w:rPr>
      </w:pPr>
      <w:r>
        <w:rPr>
          <w:rFonts w:hint="eastAsia" w:hAnsi="宋体" w:cs="宋体"/>
          <w:b/>
          <w:color w:val="auto"/>
          <w:sz w:val="22"/>
          <w:szCs w:val="22"/>
          <w:highlight w:val="none"/>
        </w:rPr>
        <w:t>特别说明：（1）</w:t>
      </w:r>
      <w:r>
        <w:rPr>
          <w:rFonts w:hint="eastAsia" w:hAnsi="宋体" w:cs="宋体"/>
          <w:b/>
          <w:color w:val="auto"/>
          <w:sz w:val="22"/>
          <w:szCs w:val="22"/>
          <w:highlight w:val="none"/>
          <w:u w:val="single"/>
        </w:rPr>
        <w:t>响应文件中所须加盖公章部分均采用CA签章。若谈判文件中有专门标注的某关联点，并要求供应商在电子投标系统中作出谈判响应的，如供应商未对关联点进行响应或者在响应文件其它内容进行描述，造成电子评审不能查询的责任由供应商自行承担。</w:t>
      </w:r>
    </w:p>
    <w:p w14:paraId="7F30B651">
      <w:pPr>
        <w:pStyle w:val="10"/>
        <w:keepNext w:val="0"/>
        <w:keepLines w:val="0"/>
        <w:pageBreakBefore w:val="0"/>
        <w:widowControl w:val="0"/>
        <w:kinsoku/>
        <w:wordWrap/>
        <w:overflowPunct/>
        <w:topLinePunct w:val="0"/>
        <w:autoSpaceDE/>
        <w:autoSpaceDN/>
        <w:bidi w:val="0"/>
        <w:adjustRightInd w:val="0"/>
        <w:snapToGrid w:val="0"/>
        <w:spacing w:line="360" w:lineRule="auto"/>
        <w:ind w:left="103" w:leftChars="49" w:firstLine="329" w:firstLineChars="149"/>
        <w:jc w:val="left"/>
        <w:textAlignment w:val="auto"/>
        <w:rPr>
          <w:rFonts w:hint="eastAsia" w:hAnsi="宋体" w:cs="宋体"/>
          <w:b/>
          <w:color w:val="auto"/>
          <w:sz w:val="22"/>
          <w:szCs w:val="22"/>
          <w:highlight w:val="none"/>
          <w:u w:val="single"/>
        </w:rPr>
      </w:pPr>
      <w:r>
        <w:rPr>
          <w:rFonts w:hint="eastAsia" w:hAnsi="宋体" w:cs="宋体"/>
          <w:b/>
          <w:color w:val="auto"/>
          <w:sz w:val="22"/>
          <w:szCs w:val="22"/>
          <w:highlight w:val="none"/>
        </w:rPr>
        <w:t>（2）</w:t>
      </w:r>
      <w:r>
        <w:rPr>
          <w:rFonts w:hint="eastAsia" w:hAnsi="宋体" w:cs="宋体"/>
          <w:b/>
          <w:color w:val="auto"/>
          <w:sz w:val="22"/>
          <w:szCs w:val="22"/>
          <w:highlight w:val="none"/>
          <w:u w:val="single"/>
        </w:rPr>
        <w:t>谈判文件要求提供的各种复印件，须加盖谈判供应商CA签章，否则其无效。</w:t>
      </w:r>
    </w:p>
    <w:p w14:paraId="7A75273F">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none"/>
        </w:rPr>
        <w:t>（</w:t>
      </w:r>
      <w:r>
        <w:rPr>
          <w:rFonts w:hint="eastAsia" w:ascii="宋体" w:hAnsi="宋体" w:cs="宋体"/>
          <w:b/>
          <w:color w:val="auto"/>
          <w:sz w:val="22"/>
          <w:szCs w:val="22"/>
          <w:highlight w:val="none"/>
          <w:u w:val="none"/>
          <w:lang w:val="en-US" w:eastAsia="zh-CN"/>
        </w:rPr>
        <w:t>3</w:t>
      </w:r>
      <w:r>
        <w:rPr>
          <w:rFonts w:hint="eastAsia" w:ascii="宋体" w:hAnsi="宋体" w:cs="宋体"/>
          <w:b/>
          <w:color w:val="auto"/>
          <w:sz w:val="22"/>
          <w:szCs w:val="22"/>
          <w:highlight w:val="none"/>
          <w:u w:val="none"/>
        </w:rPr>
        <w:t>）</w:t>
      </w:r>
      <w:r>
        <w:rPr>
          <w:rFonts w:hint="eastAsia" w:ascii="宋体" w:hAnsi="宋体" w:cs="宋体"/>
          <w:b/>
          <w:color w:val="auto"/>
          <w:sz w:val="22"/>
          <w:szCs w:val="22"/>
          <w:highlight w:val="none"/>
          <w:u w:val="single"/>
        </w:rPr>
        <w:t>谈判文件要求“必须提供”的证明等材料，谈判供应商必须全部提供，缺一不可，否则谈判无效。</w:t>
      </w:r>
    </w:p>
    <w:p w14:paraId="0DE2D806">
      <w:pPr>
        <w:pStyle w:val="6"/>
        <w:keepNext w:val="0"/>
        <w:keepLines w:val="0"/>
        <w:pageBreakBefore w:val="0"/>
        <w:widowControl w:val="0"/>
        <w:kinsoku/>
        <w:wordWrap/>
        <w:overflowPunct/>
        <w:topLinePunct w:val="0"/>
        <w:autoSpaceDE/>
        <w:autoSpaceDN/>
        <w:bidi w:val="0"/>
        <w:spacing w:line="360" w:lineRule="auto"/>
        <w:textAlignment w:val="auto"/>
        <w:rPr>
          <w:rFonts w:hint="eastAsia"/>
          <w:color w:val="auto"/>
          <w:highlight w:val="none"/>
        </w:rPr>
      </w:pPr>
      <w:r>
        <w:rPr>
          <w:rFonts w:hint="eastAsia" w:ascii="宋体" w:hAnsi="宋体" w:cs="宋体" w:eastAsiaTheme="minorEastAsia"/>
          <w:b/>
          <w:color w:val="auto"/>
          <w:kern w:val="2"/>
          <w:sz w:val="22"/>
          <w:szCs w:val="22"/>
          <w:highlight w:val="none"/>
          <w:lang w:val="en-US" w:eastAsia="zh-CN" w:bidi="ar-SA"/>
        </w:rPr>
        <w:t>（4）</w:t>
      </w:r>
      <w:r>
        <w:rPr>
          <w:rFonts w:hint="eastAsia" w:ascii="宋体" w:hAnsi="宋体" w:cs="宋体" w:eastAsiaTheme="minorEastAsia"/>
          <w:b/>
          <w:color w:val="auto"/>
          <w:kern w:val="2"/>
          <w:sz w:val="22"/>
          <w:szCs w:val="22"/>
          <w:highlight w:val="none"/>
          <w:u w:val="single"/>
          <w:lang w:val="en-US" w:eastAsia="zh-CN" w:bidi="ar-SA"/>
        </w:rPr>
        <w:t>谈判文件要求法定代表人（负责人）或委托代理人签字的部分必须签字，无签字的视为无效。</w:t>
      </w:r>
    </w:p>
    <w:p w14:paraId="4D8F95A6">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 计量单位</w:t>
      </w:r>
    </w:p>
    <w:p w14:paraId="2E1021DC">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6.1除技术要求中另有规定外，本文件所要求使用的计量单位均应采用国家法定计量单位。</w:t>
      </w:r>
    </w:p>
    <w:p w14:paraId="427C55E2">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三.报价要求</w:t>
      </w:r>
    </w:p>
    <w:p w14:paraId="79EBC29E">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7.1对于本文件中未列明，而谈判供应商认为必需的费用也需列入总报价。在合同实施时，采购人将不予支付成交供应商没有列入的项目费用，并认为此项目的费用已包括在总报价中。</w:t>
      </w:r>
    </w:p>
    <w:p w14:paraId="25F7E058">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7.2成交供应商负责本项目所需货物的制造、运输、售后服务等全部工作。</w:t>
      </w:r>
    </w:p>
    <w:p w14:paraId="0774163B">
      <w:pPr>
        <w:pStyle w:val="10"/>
        <w:adjustRightInd w:val="0"/>
        <w:snapToGrid w:val="0"/>
        <w:spacing w:line="360" w:lineRule="auto"/>
        <w:ind w:firstLine="440" w:firstLineChars="200"/>
        <w:rPr>
          <w:rFonts w:hint="eastAsia" w:hAnsi="宋体" w:cs="宋体"/>
          <w:color w:val="auto"/>
          <w:spacing w:val="-4"/>
          <w:sz w:val="22"/>
          <w:szCs w:val="22"/>
          <w:highlight w:val="none"/>
        </w:rPr>
      </w:pPr>
      <w:r>
        <w:rPr>
          <w:rFonts w:hint="eastAsia" w:hAnsi="宋体" w:cs="宋体"/>
          <w:color w:val="auto"/>
          <w:sz w:val="22"/>
          <w:szCs w:val="22"/>
          <w:highlight w:val="none"/>
        </w:rPr>
        <w:t>7.3</w:t>
      </w:r>
      <w:r>
        <w:rPr>
          <w:rFonts w:hint="eastAsia" w:hAnsi="宋体" w:cs="宋体"/>
          <w:color w:val="auto"/>
          <w:spacing w:val="-4"/>
          <w:sz w:val="22"/>
          <w:szCs w:val="22"/>
          <w:highlight w:val="none"/>
        </w:rPr>
        <w:t>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14:paraId="0B13BA78">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7.4报价：谈判供应商可就《采购需求》中所有的货物和服务内容作完整唯一报价，也可对某个分标或几个分标的货物和服务内容按分标分别作完整唯一报价。</w:t>
      </w:r>
    </w:p>
    <w:p w14:paraId="0C6397C5">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四.竞争性谈判响应文件的封装和递交</w:t>
      </w:r>
    </w:p>
    <w:p w14:paraId="4D3B7281">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 xml:space="preserve"> 竞争性谈判响应文件的封装</w:t>
      </w:r>
    </w:p>
    <w:p w14:paraId="132E0342">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（1）电子谈判响应文件中须加盖供应商公章部分均采用 CA 签章，并根据“政府采购项目电子交易管理操作指南-供应商” 及本谈判文件规定的格式和顺序编制电子谈判响应文件并进行关联定位，以便谈判小组在评时时，点击评分项可直接定位到该评分项内容。如对谈判文件的某项要求，供应商的电子谈判响应文件未能关联定位提供相应的内容与其对应，则谈判小组在评审时如做出对供应商不利的评审由供应商自行承担。电子谈判响应文件如内容不完整、编排混乱导致谈判响应文件被误读、漏读，或者在按采购文件规定的部位查找不到相关内容的，由供应商自行承担。</w:t>
      </w:r>
    </w:p>
    <w:p w14:paraId="5CB589BC">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（2）CA 签章上目前没有法人（负责人）或授权代表签字信息，供应商在谈判响应文件中涉及到签字的位置</w:t>
      </w:r>
      <w:r>
        <w:rPr>
          <w:rFonts w:hint="eastAsia" w:ascii="宋体" w:hAnsi="宋体" w:cs="宋体"/>
          <w:color w:val="auto"/>
          <w:sz w:val="22"/>
          <w:szCs w:val="22"/>
          <w:highlight w:val="none"/>
          <w:lang w:eastAsia="zh-CN"/>
        </w:rPr>
        <w:t>必须签字</w:t>
      </w:r>
      <w:r>
        <w:rPr>
          <w:rFonts w:hint="eastAsia" w:ascii="宋体" w:hAnsi="宋体" w:cs="宋体"/>
          <w:color w:val="auto"/>
          <w:sz w:val="22"/>
          <w:szCs w:val="22"/>
          <w:highlight w:val="none"/>
        </w:rPr>
        <w:t>。</w:t>
      </w:r>
    </w:p>
    <w:p w14:paraId="45D83ADE">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（3）谈判响应文件不得涂改，若有修改错漏处，须法定代表人（负责人）或授权委托人签字。谈判响应文件因字迹潦草或表达不清所引起的后果由供应商负责。</w:t>
      </w:r>
    </w:p>
    <w:p w14:paraId="100AB91D">
      <w:pPr>
        <w:keepNext w:val="0"/>
        <w:keepLines w:val="0"/>
        <w:pageBreakBefore w:val="0"/>
        <w:widowControl w:val="0"/>
        <w:kinsoku/>
        <w:wordWrap/>
        <w:overflowPunct/>
        <w:topLinePunct w:val="0"/>
        <w:bidi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8.2</w:t>
      </w:r>
      <w:r>
        <w:rPr>
          <w:rFonts w:hint="eastAsia" w:ascii="宋体" w:hAnsi="宋体" w:cs="宋体"/>
          <w:color w:val="auto"/>
          <w:sz w:val="22"/>
          <w:szCs w:val="22"/>
          <w:highlight w:val="none"/>
        </w:rPr>
        <w:t>供应商应当准备电子谈判响应文件、可以准备以介质存储的数据电文形式的电子备份谈判响应文件：</w:t>
      </w:r>
    </w:p>
    <w:p w14:paraId="7411705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电子谈判响应文件按</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要求及本谈判文件要求制作、加密并递交。</w:t>
      </w:r>
    </w:p>
    <w:p w14:paraId="468B719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以介质存储的数据电文形式的电子备份谈判响应文件，按</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项目采购-电子招投标操作指南中上传的电子备份谈判响应文件格式，以DVD光盘或者U盘等形式提供。数量为1份。</w:t>
      </w:r>
    </w:p>
    <w:p w14:paraId="64F223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电子谈判响应文件启用顺序和效力。电子谈判响应文件的启用，按先后顺位分别为电子谈判响应文件、以介质存储的数据电文形式的电子备份谈判响应文件。顺位在先的谈判响应文件已按时解密的，下一顺位谈判响应文件自动失效。在下一顺位的谈判响应文件启用时，前一顺位的谈判响应文件自动失效。</w:t>
      </w:r>
    </w:p>
    <w:p w14:paraId="3B5CBE5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未传输递交电子谈判响应文件的，谈判无效。</w:t>
      </w:r>
    </w:p>
    <w:p w14:paraId="0691479A">
      <w:pPr>
        <w:adjustRightInd w:val="0"/>
        <w:snapToGrid w:val="0"/>
        <w:spacing w:line="360" w:lineRule="auto"/>
        <w:ind w:firstLine="440" w:firstLineChars="200"/>
        <w:rPr>
          <w:rFonts w:hint="default"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rPr>
        <w:t>未按规定提供相应的备份谈判响应文件，造成项目开评标活动无法进行下去的，谈判无效。</w:t>
      </w:r>
    </w:p>
    <w:p w14:paraId="2C825CF6">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 竞争性谈判响应文件的递交</w:t>
      </w:r>
    </w:p>
    <w:p w14:paraId="7A0517C4">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9.1所有竞争性谈判响应文件应于竞争性谈判文件中规定的时间前上传递交至</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w:t>
      </w:r>
    </w:p>
    <w:p w14:paraId="3868695D">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电子</w:t>
      </w:r>
      <w:r>
        <w:rPr>
          <w:rFonts w:hint="eastAsia" w:ascii="宋体" w:hAnsi="宋体" w:cs="宋体"/>
          <w:color w:val="auto"/>
          <w:sz w:val="22"/>
          <w:szCs w:val="22"/>
          <w:highlight w:val="none"/>
          <w:lang w:eastAsia="zh-CN"/>
        </w:rPr>
        <w:t>谈判</w:t>
      </w:r>
      <w:r>
        <w:rPr>
          <w:rFonts w:hint="eastAsia" w:ascii="宋体" w:hAnsi="宋体" w:cs="宋体"/>
          <w:color w:val="auto"/>
          <w:sz w:val="22"/>
          <w:szCs w:val="22"/>
          <w:highlight w:val="none"/>
        </w:rPr>
        <w:t>文件的相关说明</w:t>
      </w:r>
    </w:p>
    <w:p w14:paraId="676C2EE2">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供应商进行电子投标应安装客户端软件，并按照采购文件和电子交易平台的要求编制并加密谈判响应文件。供应商未按规定加密的谈判响应文件，电子交易平台将拒收。供应商应当在谈判截止时间前完成谈判响应文件的传输递交，且可以补充、修改或者撤回谈判响应文件。补充或者修改谈判响应文件的，应当先行撤回原文件，补充、修改后重新传输递交。谈判截止时间前未完成传输的，视为撤回谈判响应文件。谈判截止时间后递交的谈判响应文件，电子交易平台将拒收。</w:t>
      </w:r>
    </w:p>
    <w:p w14:paraId="22418A28">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（2）如有特殊情况，采购代理机构延长截止时间和开标时间，采购代理机构和供应商的权利和义务将受到新的截止时间和开标时间的约束。</w:t>
      </w:r>
    </w:p>
    <w:p w14:paraId="176DC847">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9.2竞争性谈判响应文件从响应文件递交截止日期后</w:t>
      </w:r>
      <w:r>
        <w:rPr>
          <w:rFonts w:hint="eastAsia" w:ascii="宋体" w:hAnsi="宋体" w:cs="宋体"/>
          <w:color w:val="auto"/>
          <w:sz w:val="22"/>
          <w:szCs w:val="22"/>
          <w:highlight w:val="none"/>
          <w:u w:val="single"/>
        </w:rPr>
        <w:t xml:space="preserve"> 60 </w:t>
      </w:r>
      <w:r>
        <w:rPr>
          <w:rFonts w:hint="eastAsia" w:ascii="宋体" w:hAnsi="宋体" w:cs="宋体"/>
          <w:color w:val="auto"/>
          <w:sz w:val="22"/>
          <w:szCs w:val="22"/>
          <w:highlight w:val="none"/>
        </w:rPr>
        <w:t>天内有效。</w:t>
      </w:r>
    </w:p>
    <w:p w14:paraId="3022A081">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10.迟交的竞争性谈判响应文件</w:t>
      </w:r>
    </w:p>
    <w:p w14:paraId="511C3F20">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10.1在本文件要求竞争性谈判响应文件提交截止时间后送达的竞争性谈判响应文件为无效文件，采购代理机构将拒收。</w:t>
      </w:r>
    </w:p>
    <w:p w14:paraId="61EF5218">
      <w:pPr>
        <w:pStyle w:val="6"/>
        <w:spacing w:line="360" w:lineRule="auto"/>
        <w:rPr>
          <w:rFonts w:hint="default" w:eastAsiaTheme="minorEastAsia"/>
          <w:color w:val="auto"/>
          <w:highlight w:val="none"/>
          <w:lang w:val="en-US" w:eastAsia="zh-CN"/>
        </w:rPr>
      </w:pPr>
      <w:r>
        <w:rPr>
          <w:rFonts w:hint="eastAsia" w:ascii="宋体" w:hAnsi="宋体" w:cs="宋体"/>
          <w:color w:val="auto"/>
          <w:sz w:val="22"/>
          <w:szCs w:val="22"/>
          <w:highlight w:val="none"/>
          <w:lang w:val="en-US" w:eastAsia="zh-CN"/>
        </w:rPr>
        <w:t>11.1谈判</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lang w:val="en-US" w:eastAsia="zh-CN"/>
        </w:rPr>
        <w:t>不收取</w:t>
      </w:r>
      <w:r>
        <w:rPr>
          <w:rFonts w:hint="eastAsia" w:ascii="宋体" w:hAnsi="宋体" w:eastAsia="宋体" w:cs="宋体"/>
          <w:bCs/>
          <w:color w:val="auto"/>
          <w:sz w:val="22"/>
          <w:szCs w:val="22"/>
          <w:highlight w:val="none"/>
        </w:rPr>
        <w:t>。</w:t>
      </w:r>
    </w:p>
    <w:p w14:paraId="6F43AABB">
      <w:pPr>
        <w:tabs>
          <w:tab w:val="left" w:pos="975"/>
        </w:tabs>
        <w:adjustRightInd w:val="0"/>
        <w:snapToGrid w:val="0"/>
        <w:spacing w:line="360" w:lineRule="auto"/>
        <w:ind w:firstLine="433" w:firstLineChars="196"/>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color w:val="auto"/>
          <w:kern w:val="0"/>
          <w:sz w:val="22"/>
          <w:szCs w:val="22"/>
          <w:highlight w:val="none"/>
        </w:rPr>
        <w:t>在采购过程中符合竞争要求的供应商或者报价未超过采购预算的供应商不足3家的</w:t>
      </w:r>
      <w:r>
        <w:rPr>
          <w:rFonts w:hint="eastAsia" w:ascii="宋体" w:hAnsi="宋体" w:cs="宋体"/>
          <w:b/>
          <w:bCs/>
          <w:color w:val="auto"/>
          <w:sz w:val="22"/>
          <w:szCs w:val="22"/>
          <w:highlight w:val="none"/>
        </w:rPr>
        <w:t>，采购代理机构将按政府采购管理的有关规定处理。</w:t>
      </w:r>
    </w:p>
    <w:p w14:paraId="0E4CAF66">
      <w:pPr>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五.谈判程序及评定标准</w:t>
      </w:r>
    </w:p>
    <w:p w14:paraId="3631509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12．谈判程序</w:t>
      </w:r>
    </w:p>
    <w:p w14:paraId="7926F94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12.1谈判响应文件递交截止时间后，主持人宣布谈判开始。</w:t>
      </w:r>
    </w:p>
    <w:p w14:paraId="25B9C6E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12.2供应商登录</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，用“项目采购-开标评标”功能对电子谈判响应文件进行在线解密。在线解密电子谈判响应文件时间为开标时间起</w:t>
      </w:r>
      <w:r>
        <w:rPr>
          <w:rFonts w:hint="eastAsia" w:ascii="宋体" w:hAnsi="宋体" w:cs="宋体"/>
          <w:color w:val="auto"/>
          <w:sz w:val="22"/>
          <w:szCs w:val="22"/>
          <w:highlight w:val="none"/>
          <w:lang w:val="en-US" w:eastAsia="zh-CN"/>
        </w:rPr>
        <w:t>30分钟</w:t>
      </w:r>
      <w:r>
        <w:rPr>
          <w:rFonts w:hint="eastAsia" w:ascii="宋体" w:hAnsi="宋体" w:cs="宋体"/>
          <w:color w:val="auto"/>
          <w:sz w:val="22"/>
          <w:szCs w:val="22"/>
          <w:highlight w:val="none"/>
        </w:rPr>
        <w:t>内。</w:t>
      </w:r>
    </w:p>
    <w:p w14:paraId="05BEE303">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12.3谈判小组对谈判响应文件进行评估和比较。</w:t>
      </w:r>
    </w:p>
    <w:p w14:paraId="7267073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12.4以</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中“项目采购”应用模块获取谈判文件顺序确定各供应商谈判、顺序。</w:t>
      </w:r>
    </w:p>
    <w:p w14:paraId="21DC12C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12.5谈判小组与单一供应商分别进行谈判。（谈判时供应商的技术资料、价格和其他信息在评审、谈判过程中保密）</w:t>
      </w:r>
    </w:p>
    <w:p w14:paraId="7E4C549D">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12.6谈判小组要求所有实质性响应的供应商在规定时间内提交最后报价（只公开最后报价，最后报价原则上不得高于初次报价）。</w:t>
      </w:r>
    </w:p>
    <w:p w14:paraId="3ED4EDA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12.7由谈判小组采用最低评标价法对提交最后报价的供应商的响应文件和最后报价进行评审，在符合采购需求、质量和服务要求的前提下，按评审价从低到高的顺序推荐确定成交候选供应商。</w:t>
      </w:r>
    </w:p>
    <w:p w14:paraId="4AF40808">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特别说明：政采云公司如对电子化谈判及评审程序有调整的，按调整后的程序操作。</w:t>
      </w:r>
    </w:p>
    <w:p w14:paraId="7A4251F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13.采购过程中出现以下情形，导致电子交易平台无法正常运行，或者无法保证电子交易的公平、公正和安全时，采购组织机构可中止电子交易活动：</w:t>
      </w:r>
    </w:p>
    <w:p w14:paraId="60D553C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13.1电子交易平台发生故障而无法登录访问的； </w:t>
      </w:r>
    </w:p>
    <w:p w14:paraId="2A105BF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13.2电子交易平台应用或数据库出现错误，不能进行正常操作的；</w:t>
      </w:r>
    </w:p>
    <w:p w14:paraId="50422E09">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13.3电子交易平台发现严重安全漏洞，有潜在泄密危险的；</w:t>
      </w:r>
    </w:p>
    <w:p w14:paraId="1E2A15E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13.4病毒发作导致不能进行正常操作的； </w:t>
      </w:r>
    </w:p>
    <w:p w14:paraId="39985E2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13.5其他无法保证电子交易的公平、公正和安全的情况。</w:t>
      </w:r>
    </w:p>
    <w:p w14:paraId="42695A98">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5E5276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14．谈判内容</w:t>
      </w:r>
    </w:p>
    <w:p w14:paraId="0D2C05B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14.1本次谈判内容为在谈判文件范围内就供应商的谈判响应文件，谈判小组与供应商在技术、价格、服务、合同等问题进行谈判，最终确定成交与否。</w:t>
      </w:r>
    </w:p>
    <w:p w14:paraId="1EB366EF">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14.2谈判应作书面记录，供应商并就谈判内容作出书面承诺，并由供应商法定代表人或其授权委托人签字后生效，作为谈判响应文件的一部分。</w:t>
      </w:r>
    </w:p>
    <w:p w14:paraId="559796C7">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14.3谈判文件有实质性变动的，谈判小组以书面形式通知所有参加谈判的供应商。</w:t>
      </w:r>
    </w:p>
    <w:p w14:paraId="1A9D23C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15．谈判</w:t>
      </w:r>
    </w:p>
    <w:p w14:paraId="1A91533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15.1谈判小组由采购人、采购代理机构依法组建，负责评审活动。谈判小组遵循公开、公平、公正、科学合理、竞争择优的原则。</w:t>
      </w:r>
    </w:p>
    <w:p w14:paraId="7545E7B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15.2谈判小组由采购人代表和有关方面专家组成，成员人数为3人以上单数。</w:t>
      </w:r>
    </w:p>
    <w:p w14:paraId="37C35FA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15.3谈判小组负责对供应商资格的最终审定。</w:t>
      </w:r>
    </w:p>
    <w:p w14:paraId="719F1B6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15.4谈判小组可以要求供应商对其谈判响应文件中含义不明确的内容作必要的澄清或者说明，但澄清或者说明不得超过谈判响应文件的范围或者改变谈判响应文件的实质性内容。</w:t>
      </w:r>
    </w:p>
    <w:p w14:paraId="6574AA8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15.5谈判小组对谈判响应文件的判定，只依据谈判响应文件和谈判文件内容本身，不依据任何外来证明。</w:t>
      </w:r>
    </w:p>
    <w:p w14:paraId="4FA5762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15.6谈判小组不向落标方解释落标的原因，不退还谈判响应文件。</w:t>
      </w:r>
    </w:p>
    <w:p w14:paraId="45AEA02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16.1资格性审查</w:t>
      </w:r>
    </w:p>
    <w:p w14:paraId="6EF050E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4EDB4DEA">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16.2符合性审查</w:t>
      </w:r>
    </w:p>
    <w:p w14:paraId="338A472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4758949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16.3如果谈判响应文件实质不响应谈判文件的各项要求，谈判小组将予以拒绝，并且不允许供应商通过修改或撤销其不符合要求的差异或保留，使之成为具有响应性的谈判。</w:t>
      </w:r>
    </w:p>
    <w:p w14:paraId="5E501F6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17. 对明显的文字和计算错误的修正原则</w:t>
      </w:r>
    </w:p>
    <w:p w14:paraId="0748F55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17.1谈判响应文件中报价一览表（报价表）内容与谈判响应文件中相应内容不一致的，以报价一览表（报价表）为准；</w:t>
      </w:r>
    </w:p>
    <w:p w14:paraId="2280943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17.2大写金额和小写金额不一致的，以大写金额为准；</w:t>
      </w:r>
    </w:p>
    <w:p w14:paraId="5161C68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17.3单价金额小数点或者百分比有明显错位的，以开标一览表的总价为准，并修改单价；</w:t>
      </w:r>
    </w:p>
    <w:p w14:paraId="20F385A3">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17.4总价金额与按单价汇总金额不一致的，以单价金额计算结果为准。</w:t>
      </w:r>
    </w:p>
    <w:p w14:paraId="19D1B6F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同时出现两种以上不一致的，按照前款规定的顺序修正。修正后的报价经谈判响应人确认后产生约束力，谈判响应人不确认的，其谈判无效。</w:t>
      </w:r>
    </w:p>
    <w:p w14:paraId="39FDB1C3">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18.谈判响应文件的评审、比较和否决</w:t>
      </w:r>
    </w:p>
    <w:p w14:paraId="079D5EDA">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18.1谈判小组将对在实质上响应谈判文件要求的谈判响应文件进行评审。</w:t>
      </w:r>
    </w:p>
    <w:p w14:paraId="298FD63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18.2在评审过程中，谈判小组可以书面形式要求供应商就谈判响应文件含义不明确的内容进行书面说明并提供相关材料。</w:t>
      </w:r>
    </w:p>
    <w:p w14:paraId="6C9744D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18.3在谈判过程中，如发现与谈判文件要求相偏离的，谈判小组应对其偏离情形进行必要的书面核实。</w:t>
      </w:r>
    </w:p>
    <w:p w14:paraId="3DA8E15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18.4在评审过程中，如属于实质性偏离或符合无效响应条件的，应当询问相关供应商，并允许其进行陈述申辩，但不允许对偏离条款撤回。</w:t>
      </w:r>
    </w:p>
    <w:p w14:paraId="080474DA">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18.5 报价审核。对符合采购需求且通过商务技术（资信）评审的</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的报价的合理性、准确性等进行审查核实。</w:t>
      </w:r>
    </w:p>
    <w:p w14:paraId="7667E72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谈判小组认为供应商的报价明显低于其他通过符合性审查供应商的报价，有可能影响产品质量或者不能诚信履约的，应当要求其在谈判现场合理的时间内通过</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提供线上说明，必要时提交相关证明材料。</w:t>
      </w:r>
    </w:p>
    <w:p w14:paraId="7C4E77F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根据财政部发布的《政府采购促进中小企业发展管理办法》规定，对于非专门面向中小企业的项目，对小型和微型企业产品的价格给予一定的扣除，用扣除后的价格参与评审。</w:t>
      </w:r>
    </w:p>
    <w:p w14:paraId="1B9B469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18.6评标委员会依据谈判文件规定的评定标准和方法，对谈判响应文件进行评审后，向本中心提供书面谈判报告，并按评审价从低到高的顺序推荐成交候选供应商。</w:t>
      </w:r>
    </w:p>
    <w:p w14:paraId="0CEA82B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19.谈判响应文件的澄清</w:t>
      </w:r>
    </w:p>
    <w:p w14:paraId="4B4A3CAA">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为有利于对谈判响应文件的比较和评议，谈判小组可要求供应商对谈判响应文件进行澄清，必要时谈判小组可要求供应商对澄清的问题作出书面答复。</w:t>
      </w:r>
    </w:p>
    <w:p w14:paraId="4213392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评审中需要供应商对谈判响应文件作出澄清、说明或者补正的，谈判小组和供应商应当通过</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交换数据电文。给予供应商提交澄清说明或补正的时间不少于半小时，供应商已经明确表示澄清说明或补正完毕的除外。</w:t>
      </w:r>
    </w:p>
    <w:p w14:paraId="232C5CF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供应商通过</w:t>
      </w:r>
      <w:r>
        <w:rPr>
          <w:rFonts w:hint="eastAsia" w:ascii="宋体" w:hAnsi="宋体" w:cs="宋体"/>
          <w:color w:val="auto"/>
          <w:sz w:val="22"/>
          <w:szCs w:val="22"/>
          <w:highlight w:val="none"/>
          <w:lang w:eastAsia="zh-CN"/>
        </w:rPr>
        <w:t>广西政府采购云平台</w:t>
      </w:r>
      <w:r>
        <w:rPr>
          <w:rFonts w:hint="eastAsia" w:ascii="宋体" w:hAnsi="宋体" w:cs="宋体"/>
          <w:color w:val="auto"/>
          <w:sz w:val="22"/>
          <w:szCs w:val="22"/>
          <w:highlight w:val="none"/>
        </w:rPr>
        <w:t>交换的数据电文必须进行电子签章。</w:t>
      </w:r>
    </w:p>
    <w:p w14:paraId="676DC9F7">
      <w:pPr>
        <w:pStyle w:val="10"/>
        <w:adjustRightInd w:val="0"/>
        <w:snapToGrid w:val="0"/>
        <w:spacing w:line="360" w:lineRule="auto"/>
        <w:ind w:firstLine="442" w:firstLineChars="200"/>
        <w:rPr>
          <w:rFonts w:hint="eastAsia" w:hAnsi="宋体" w:cs="宋体"/>
          <w:color w:val="auto"/>
          <w:sz w:val="22"/>
          <w:szCs w:val="22"/>
          <w:highlight w:val="none"/>
        </w:rPr>
      </w:pPr>
      <w:r>
        <w:rPr>
          <w:rFonts w:hint="eastAsia" w:hAnsi="宋体" w:cs="宋体"/>
          <w:b/>
          <w:color w:val="auto"/>
          <w:sz w:val="22"/>
          <w:szCs w:val="22"/>
          <w:highlight w:val="none"/>
        </w:rPr>
        <w:t>六.无效谈判条款</w:t>
      </w:r>
    </w:p>
    <w:p w14:paraId="51BB3084">
      <w:pPr>
        <w:adjustRightInd w:val="0"/>
        <w:snapToGrid w:val="0"/>
        <w:spacing w:line="360" w:lineRule="auto"/>
        <w:ind w:firstLine="331" w:firstLineChars="150"/>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lang w:val="en-US" w:eastAsia="zh-CN"/>
        </w:rPr>
        <w:t>20</w:t>
      </w:r>
      <w:r>
        <w:rPr>
          <w:rFonts w:hint="eastAsia" w:ascii="宋体" w:hAnsi="宋体" w:cs="宋体"/>
          <w:b/>
          <w:bCs/>
          <w:color w:val="auto"/>
          <w:kern w:val="0"/>
          <w:sz w:val="22"/>
          <w:szCs w:val="22"/>
          <w:highlight w:val="none"/>
        </w:rPr>
        <w:t>.1谈判响应文件如有下列情况之一，在评审中按照无效谈判处理：</w:t>
      </w:r>
    </w:p>
    <w:p w14:paraId="5E2340A2">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）未按照谈判文件规定要求签署、盖章的；</w:t>
      </w:r>
    </w:p>
    <w:p w14:paraId="7CE9B829">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）不具备谈判文件中规定资格要求的；</w:t>
      </w:r>
    </w:p>
    <w:p w14:paraId="31AEB81B">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）关联供应商参加同一合同项或分标下政府采购活动的：</w:t>
      </w:r>
    </w:p>
    <w:p w14:paraId="588088F7">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①单位负责人为同一人或者存在直接控股、管理关系的不同的供应商，参加同一合同项或分标下的政府采购活动的；</w:t>
      </w:r>
    </w:p>
    <w:p w14:paraId="1D2EEDC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②生产厂商授权给供应商后自己又参加同一合同项或分标下的政府采购活动的；</w:t>
      </w:r>
    </w:p>
    <w:p w14:paraId="4CD7974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③生产厂商对同一品牌同一型号的货物，委托多于一个的代理商参加谈判的；</w:t>
      </w:r>
    </w:p>
    <w:p w14:paraId="7B3862E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④不符合法律、法规的；</w:t>
      </w:r>
    </w:p>
    <w:p w14:paraId="129C29C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⑤不符合谈判文件中规定的实质性要求并且在谈判规定的时间内无法说明和补充的。</w:t>
      </w:r>
    </w:p>
    <w:p w14:paraId="57EDF538">
      <w:pPr>
        <w:adjustRightInd w:val="0"/>
        <w:snapToGrid w:val="0"/>
        <w:spacing w:line="360" w:lineRule="auto"/>
        <w:ind w:firstLine="331" w:firstLineChars="15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20</w:t>
      </w:r>
      <w:r>
        <w:rPr>
          <w:rFonts w:hint="eastAsia" w:ascii="宋体" w:hAnsi="宋体" w:cs="宋体"/>
          <w:b/>
          <w:bCs/>
          <w:color w:val="auto"/>
          <w:kern w:val="0"/>
          <w:sz w:val="22"/>
          <w:szCs w:val="22"/>
          <w:highlight w:val="none"/>
        </w:rPr>
        <w:t>.2谈判采购项目出现下列情形之一的，谈判予以废止：</w:t>
      </w:r>
    </w:p>
    <w:p w14:paraId="261D6D77">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（1）出现影响采购公正的违法、违规行为的；</w:t>
      </w:r>
    </w:p>
    <w:p w14:paraId="0FCD8358">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（2）谈判供应商的最后报价均超过了采购预算，采购人不能支付的；</w:t>
      </w:r>
    </w:p>
    <w:p w14:paraId="7EAFA614">
      <w:pPr>
        <w:adjustRightInd w:val="0"/>
        <w:snapToGrid w:val="0"/>
        <w:spacing w:line="360" w:lineRule="auto"/>
        <w:ind w:firstLine="330" w:firstLine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（3）因重大变故，采购任务取消的。</w:t>
      </w:r>
    </w:p>
    <w:p w14:paraId="58EA29A3">
      <w:pPr>
        <w:keepNext w:val="0"/>
        <w:keepLines w:val="0"/>
        <w:pageBreakBefore w:val="0"/>
        <w:widowControl w:val="0"/>
        <w:kinsoku/>
        <w:wordWrap/>
        <w:overflowPunct/>
        <w:topLinePunct w:val="0"/>
        <w:autoSpaceDE/>
        <w:autoSpaceDN/>
        <w:bidi w:val="0"/>
        <w:adjustRightInd w:val="0"/>
        <w:snapToGrid w:val="0"/>
        <w:spacing w:line="360" w:lineRule="auto"/>
        <w:ind w:firstLine="331" w:firstLineChars="150"/>
        <w:jc w:val="left"/>
        <w:textAlignment w:val="auto"/>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20</w:t>
      </w:r>
      <w:r>
        <w:rPr>
          <w:rFonts w:hint="eastAsia" w:ascii="宋体" w:hAnsi="宋体" w:cs="宋体"/>
          <w:b/>
          <w:bCs/>
          <w:color w:val="auto"/>
          <w:kern w:val="0"/>
          <w:sz w:val="22"/>
          <w:szCs w:val="22"/>
          <w:highlight w:val="none"/>
        </w:rPr>
        <w:t>.3 供应商有以下情形之一的，视为相互串通，谈判响应文件作无效处理：</w:t>
      </w:r>
    </w:p>
    <w:p w14:paraId="032A3411">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（1）不同供应商的谈判响应文件由同一单位或者个人编制；或不同供应商报名的IP地址一致的；</w:t>
      </w:r>
    </w:p>
    <w:p w14:paraId="710EDE23">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（2）不同供应商委托同一单位或者个人办理竞标事宜；</w:t>
      </w:r>
    </w:p>
    <w:p w14:paraId="5089F38B">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（3）不同的供应商的谈判响应文件载明的项目管理员为同一个人；</w:t>
      </w:r>
    </w:p>
    <w:p w14:paraId="786B2C2D">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（4）不同供应商的谈判响应文件异常一致或谈判报价呈规律性差异；</w:t>
      </w:r>
    </w:p>
    <w:p w14:paraId="50D79A0A">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（5）不同供应商的谈判响应文件相互混装；</w:t>
      </w:r>
    </w:p>
    <w:p w14:paraId="0B76DC61">
      <w:pPr>
        <w:keepNext w:val="0"/>
        <w:keepLines w:val="0"/>
        <w:pageBreakBefore w:val="0"/>
        <w:widowControl w:val="0"/>
        <w:kinsoku/>
        <w:wordWrap/>
        <w:overflowPunct/>
        <w:topLinePunct w:val="0"/>
        <w:autoSpaceDE/>
        <w:autoSpaceDN/>
        <w:bidi w:val="0"/>
        <w:adjustRightInd w:val="0"/>
        <w:snapToGrid w:val="0"/>
        <w:spacing w:line="360" w:lineRule="auto"/>
        <w:ind w:firstLine="331" w:firstLineChars="150"/>
        <w:jc w:val="left"/>
        <w:textAlignment w:val="auto"/>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20</w:t>
      </w:r>
      <w:r>
        <w:rPr>
          <w:rFonts w:hint="eastAsia" w:ascii="宋体" w:hAnsi="宋体" w:cs="宋体"/>
          <w:b/>
          <w:bCs/>
          <w:color w:val="auto"/>
          <w:kern w:val="0"/>
          <w:sz w:val="22"/>
          <w:szCs w:val="22"/>
          <w:highlight w:val="none"/>
        </w:rPr>
        <w:t>.4供应商有下列情形之一的，属于恶意串通行为：</w:t>
      </w:r>
    </w:p>
    <w:p w14:paraId="65DCB6C7">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（1）供应商直接或者间接从采购人或者采购代理机构处获得其他供应商的相关信息并修改其谈判文件或者响应文件；</w:t>
      </w:r>
    </w:p>
    <w:p w14:paraId="7781F77D">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（2）供应商按照采购人或者采购代理机构的授意撤换、修改谈判文件或者响应文件；</w:t>
      </w:r>
    </w:p>
    <w:p w14:paraId="1547C6C0">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（3）供应商之间协商报价、技术方案等谈判文件或者响应文件的实质性内容；</w:t>
      </w:r>
    </w:p>
    <w:p w14:paraId="12C7C6C4">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（4）属于同一集团、协会、商会等组织成员的供应商按照该组织要求协同参加政府采购活动；</w:t>
      </w:r>
    </w:p>
    <w:p w14:paraId="208E6B23">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（5）供应商之间事先约定一致抬高或者压低谈判报价,或者在谈判项目中事先约定轮流以高价位或者低价位成交,或者事先约定由某一特定供应商成交,然后再参加谈判；</w:t>
      </w:r>
    </w:p>
    <w:p w14:paraId="54DC3A4C">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（6）供应商之间商定部分供应商放弃参加政府采购活动或者放弃成交；</w:t>
      </w:r>
    </w:p>
    <w:p w14:paraId="79F99C23">
      <w:pPr>
        <w:keepNext w:val="0"/>
        <w:keepLines w:val="0"/>
        <w:pageBreakBefore w:val="0"/>
        <w:widowControl w:val="0"/>
        <w:kinsoku/>
        <w:wordWrap/>
        <w:overflowPunct/>
        <w:topLinePunct w:val="0"/>
        <w:autoSpaceDE/>
        <w:autoSpaceDN/>
        <w:bidi w:val="0"/>
        <w:adjustRightInd w:val="0"/>
        <w:snapToGrid w:val="0"/>
        <w:spacing w:line="360" w:lineRule="auto"/>
        <w:ind w:firstLine="330" w:firstLineChars="15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（7）供应商与采购人或者采购代理机构之间、供应商相互之间，为谋求特定供应商成交或者排斥其他供应商的其他串通行为。</w:t>
      </w:r>
    </w:p>
    <w:p w14:paraId="57AAEA4F">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七.确定成交供应商办法</w:t>
      </w:r>
    </w:p>
    <w:p w14:paraId="01E0053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rPr>
        <w:t>根据以下原则确定成交供应商：</w:t>
      </w:r>
    </w:p>
    <w:p w14:paraId="79920147">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质量和服务均能满足</w:t>
      </w:r>
      <w:r>
        <w:rPr>
          <w:rFonts w:hint="eastAsia" w:ascii="宋体" w:hAnsi="宋体" w:cs="宋体"/>
          <w:color w:val="auto"/>
          <w:sz w:val="22"/>
          <w:szCs w:val="22"/>
          <w:highlight w:val="none"/>
        </w:rPr>
        <w:t>竞争性谈判文件</w:t>
      </w:r>
      <w:r>
        <w:rPr>
          <w:rFonts w:hint="eastAsia" w:ascii="宋体" w:hAnsi="宋体" w:cs="宋体"/>
          <w:color w:val="auto"/>
          <w:kern w:val="0"/>
          <w:sz w:val="22"/>
          <w:szCs w:val="22"/>
          <w:highlight w:val="none"/>
        </w:rPr>
        <w:t>实质性响应要求的供应商中按最后报价最低的原则确定成交供应商。</w:t>
      </w:r>
    </w:p>
    <w:p w14:paraId="4AE96B18">
      <w:pPr>
        <w:pStyle w:val="10"/>
        <w:keepNext w:val="0"/>
        <w:keepLines w:val="0"/>
        <w:pageBreakBefore w:val="0"/>
        <w:widowControl w:val="0"/>
        <w:kinsoku/>
        <w:wordWrap/>
        <w:overflowPunct/>
        <w:topLinePunct w:val="0"/>
        <w:autoSpaceDE/>
        <w:autoSpaceDN/>
        <w:bidi w:val="0"/>
        <w:adjustRightInd w:val="0"/>
        <w:snapToGrid w:val="0"/>
        <w:spacing w:line="360" w:lineRule="auto"/>
        <w:ind w:firstLine="433" w:firstLineChars="196"/>
        <w:textAlignment w:val="auto"/>
        <w:rPr>
          <w:rFonts w:hint="eastAsia" w:hAnsi="宋体" w:cs="宋体"/>
          <w:b/>
          <w:color w:val="auto"/>
          <w:sz w:val="22"/>
          <w:szCs w:val="22"/>
          <w:highlight w:val="none"/>
        </w:rPr>
      </w:pPr>
      <w:r>
        <w:rPr>
          <w:rFonts w:hint="eastAsia" w:hAnsi="宋体" w:cs="宋体"/>
          <w:b/>
          <w:color w:val="auto"/>
          <w:sz w:val="22"/>
          <w:szCs w:val="22"/>
          <w:highlight w:val="none"/>
        </w:rPr>
        <w:t>八.成交公告</w:t>
      </w:r>
    </w:p>
    <w:p w14:paraId="1FA58345">
      <w:pPr>
        <w:pStyle w:val="10"/>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lang w:val="en-US" w:eastAsia="zh-CN"/>
        </w:rPr>
        <w:t>22</w:t>
      </w:r>
      <w:r>
        <w:rPr>
          <w:rFonts w:hint="eastAsia" w:hAnsi="宋体" w:cs="宋体"/>
          <w:color w:val="auto"/>
          <w:sz w:val="22"/>
          <w:szCs w:val="22"/>
          <w:highlight w:val="none"/>
        </w:rPr>
        <w:t>.1采购代理机构在评审结束后2个工作日内将谈判评审报告送采购人确认，</w:t>
      </w:r>
      <w:r>
        <w:rPr>
          <w:rFonts w:hint="eastAsia" w:hAnsi="宋体" w:cs="宋体"/>
          <w:color w:val="auto"/>
          <w:kern w:val="0"/>
          <w:sz w:val="22"/>
          <w:szCs w:val="22"/>
          <w:highlight w:val="none"/>
        </w:rPr>
        <w:t>采购人</w:t>
      </w:r>
      <w:r>
        <w:rPr>
          <w:rFonts w:hint="eastAsia" w:hAnsi="宋体" w:cs="宋体"/>
          <w:color w:val="auto"/>
          <w:sz w:val="22"/>
          <w:szCs w:val="22"/>
          <w:highlight w:val="none"/>
        </w:rPr>
        <w:t>确认后，成交公告将在</w:t>
      </w:r>
      <w:r>
        <w:rPr>
          <w:rFonts w:hint="eastAsia" w:hAnsi="宋体" w:cs="宋体"/>
          <w:bCs/>
          <w:color w:val="auto"/>
          <w:sz w:val="22"/>
          <w:szCs w:val="22"/>
          <w:highlight w:val="none"/>
          <w:lang w:eastAsia="zh-CN"/>
        </w:rPr>
        <w:t>广西壮族自治区政府采购网（zfcg.gxzf.gov.cn）、中国政府采购网（www.ccgp.gov.cn）</w:t>
      </w:r>
      <w:r>
        <w:rPr>
          <w:rFonts w:hint="eastAsia" w:hAnsi="宋体" w:cs="宋体"/>
          <w:color w:val="auto"/>
          <w:sz w:val="22"/>
          <w:szCs w:val="22"/>
          <w:highlight w:val="none"/>
        </w:rPr>
        <w:t>上发布，</w:t>
      </w:r>
      <w:r>
        <w:rPr>
          <w:rFonts w:hint="eastAsia" w:hAnsi="宋体" w:cs="宋体"/>
          <w:color w:val="auto"/>
          <w:kern w:val="0"/>
          <w:sz w:val="22"/>
          <w:szCs w:val="22"/>
          <w:highlight w:val="none"/>
        </w:rPr>
        <w:t>同时向成交供应商发出成交通知书</w:t>
      </w:r>
      <w:r>
        <w:rPr>
          <w:rFonts w:hint="eastAsia" w:hAnsi="宋体" w:cs="宋体"/>
          <w:color w:val="auto"/>
          <w:sz w:val="22"/>
          <w:szCs w:val="22"/>
          <w:highlight w:val="none"/>
        </w:rPr>
        <w:t>。</w:t>
      </w:r>
    </w:p>
    <w:p w14:paraId="1F1102A3">
      <w:pPr>
        <w:pStyle w:val="10"/>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hAnsi="宋体" w:cs="宋体"/>
          <w:bCs/>
          <w:color w:val="auto"/>
          <w:sz w:val="22"/>
          <w:szCs w:val="22"/>
          <w:highlight w:val="none"/>
        </w:rPr>
      </w:pPr>
      <w:r>
        <w:rPr>
          <w:rFonts w:hint="eastAsia" w:hAnsi="宋体" w:cs="宋体"/>
          <w:color w:val="auto"/>
          <w:sz w:val="22"/>
          <w:szCs w:val="22"/>
          <w:highlight w:val="none"/>
          <w:lang w:val="en-US" w:eastAsia="zh-CN"/>
        </w:rPr>
        <w:t>22</w:t>
      </w:r>
      <w:r>
        <w:rPr>
          <w:rFonts w:hint="eastAsia" w:hAnsi="宋体" w:cs="宋体"/>
          <w:color w:val="auto"/>
          <w:sz w:val="22"/>
          <w:szCs w:val="22"/>
          <w:highlight w:val="none"/>
        </w:rPr>
        <w:t>.2谈判供应商如对成交公告有异议，可</w:t>
      </w:r>
      <w:r>
        <w:rPr>
          <w:rFonts w:hint="eastAsia" w:hAnsi="宋体" w:cs="宋体"/>
          <w:bCs/>
          <w:color w:val="auto"/>
          <w:sz w:val="22"/>
          <w:szCs w:val="22"/>
          <w:highlight w:val="none"/>
        </w:rPr>
        <w:t>以在成交公告期满之日起七个工作日内以书面形式向采购代理机构提出质疑。采购代理机构将在收到</w:t>
      </w:r>
      <w:r>
        <w:rPr>
          <w:rFonts w:hint="eastAsia" w:hAnsi="宋体" w:cs="宋体"/>
          <w:color w:val="auto"/>
          <w:sz w:val="22"/>
          <w:szCs w:val="22"/>
          <w:highlight w:val="none"/>
        </w:rPr>
        <w:t>谈判供应商</w:t>
      </w:r>
      <w:r>
        <w:rPr>
          <w:rFonts w:hint="eastAsia" w:hAnsi="宋体" w:cs="宋体"/>
          <w:bCs/>
          <w:color w:val="auto"/>
          <w:sz w:val="22"/>
          <w:szCs w:val="22"/>
          <w:highlight w:val="none"/>
        </w:rPr>
        <w:t>的书面质疑后七个工作日内做出答复，但答复的内容不得涉及商业秘密。</w:t>
      </w:r>
    </w:p>
    <w:p w14:paraId="5B69DA17">
      <w:pPr>
        <w:pStyle w:val="10"/>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lang w:val="en-US" w:eastAsia="zh-CN"/>
        </w:rPr>
        <w:t>22</w:t>
      </w:r>
      <w:r>
        <w:rPr>
          <w:rFonts w:hint="eastAsia" w:hAnsi="宋体" w:cs="宋体"/>
          <w:color w:val="auto"/>
          <w:sz w:val="22"/>
          <w:szCs w:val="22"/>
          <w:highlight w:val="none"/>
        </w:rPr>
        <w:t>.3质疑谈判供应商必须首先经过质疑程序，在对采购代理机构的答复不满意或者采购代理机构未在规定的时间内做出答复的，可以在答复期满后十五个工作日内书面向</w:t>
      </w:r>
      <w:r>
        <w:rPr>
          <w:rFonts w:hint="eastAsia" w:hAnsi="宋体" w:cs="宋体"/>
          <w:color w:val="auto"/>
          <w:sz w:val="22"/>
          <w:szCs w:val="22"/>
          <w:highlight w:val="none"/>
          <w:lang w:eastAsia="zh-CN"/>
        </w:rPr>
        <w:t>采购人相关</w:t>
      </w:r>
      <w:r>
        <w:rPr>
          <w:rFonts w:hint="eastAsia" w:hAnsi="宋体" w:cs="宋体"/>
          <w:color w:val="auto"/>
          <w:sz w:val="22"/>
          <w:szCs w:val="22"/>
          <w:highlight w:val="none"/>
        </w:rPr>
        <w:t>部门投诉。</w:t>
      </w:r>
    </w:p>
    <w:p w14:paraId="76785F1D">
      <w:pPr>
        <w:keepNext w:val="0"/>
        <w:keepLines w:val="0"/>
        <w:pageBreakBefore w:val="0"/>
        <w:widowControl w:val="0"/>
        <w:kinsoku/>
        <w:wordWrap/>
        <w:overflowPunct/>
        <w:topLinePunct w:val="0"/>
        <w:autoSpaceDE/>
        <w:autoSpaceDN/>
        <w:bidi w:val="0"/>
        <w:adjustRightInd w:val="0"/>
        <w:snapToGrid w:val="0"/>
        <w:spacing w:line="360" w:lineRule="auto"/>
        <w:ind w:firstLine="440"/>
        <w:textAlignment w:val="auto"/>
        <w:rPr>
          <w:rFonts w:hint="eastAsia" w:ascii="宋体" w:hAnsi="宋体" w:cs="宋体" w:eastAsiaTheme="minorEastAsia"/>
          <w:bCs/>
          <w:color w:val="auto"/>
          <w:sz w:val="22"/>
          <w:szCs w:val="22"/>
          <w:highlight w:val="none"/>
          <w:lang w:eastAsia="zh-CN"/>
        </w:rPr>
      </w:pPr>
      <w:r>
        <w:rPr>
          <w:rFonts w:hint="eastAsia" w:ascii="宋体" w:hAnsi="宋体" w:cs="宋体"/>
          <w:color w:val="auto"/>
          <w:sz w:val="22"/>
          <w:szCs w:val="22"/>
          <w:highlight w:val="none"/>
        </w:rPr>
        <w:t>质疑联系部门及电话为：</w:t>
      </w:r>
      <w:r>
        <w:rPr>
          <w:rFonts w:hint="eastAsia" w:ascii="宋体" w:hAnsi="宋体" w:cs="宋体"/>
          <w:color w:val="auto"/>
          <w:sz w:val="22"/>
          <w:szCs w:val="22"/>
          <w:highlight w:val="none"/>
          <w:lang w:eastAsia="zh-CN"/>
        </w:rPr>
        <w:t>广西中之元工程管理有限公司</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bCs/>
          <w:color w:val="auto"/>
          <w:sz w:val="22"/>
          <w:szCs w:val="22"/>
          <w:highlight w:val="none"/>
          <w:lang w:eastAsia="zh-CN"/>
        </w:rPr>
        <w:t>0779-7200788</w:t>
      </w:r>
    </w:p>
    <w:p w14:paraId="5C202AFE">
      <w:pPr>
        <w:keepNext w:val="0"/>
        <w:keepLines w:val="0"/>
        <w:pageBreakBefore w:val="0"/>
        <w:widowControl w:val="0"/>
        <w:kinsoku/>
        <w:wordWrap/>
        <w:overflowPunct/>
        <w:topLinePunct w:val="0"/>
        <w:autoSpaceDE/>
        <w:autoSpaceDN/>
        <w:bidi w:val="0"/>
        <w:adjustRightInd w:val="0"/>
        <w:snapToGrid w:val="0"/>
        <w:spacing w:line="360" w:lineRule="auto"/>
        <w:ind w:left="-61" w:leftChars="-29" w:firstLine="440" w:firstLineChars="200"/>
        <w:textAlignment w:val="auto"/>
        <w:rPr>
          <w:rFonts w:hint="default" w:ascii="宋体" w:hAnsi="宋体" w:cs="宋体"/>
          <w:b/>
          <w:bCs/>
          <w:color w:val="auto"/>
          <w:sz w:val="22"/>
          <w:szCs w:val="22"/>
          <w:highlight w:val="none"/>
          <w:lang w:val="en-US"/>
        </w:rPr>
      </w:pPr>
      <w:r>
        <w:rPr>
          <w:rFonts w:hint="eastAsia" w:ascii="宋体" w:hAnsi="宋体" w:cs="宋体"/>
          <w:bCs/>
          <w:color w:val="auto"/>
          <w:sz w:val="22"/>
          <w:szCs w:val="22"/>
          <w:highlight w:val="none"/>
        </w:rPr>
        <w:t>投诉联系部</w:t>
      </w:r>
      <w:r>
        <w:rPr>
          <w:rFonts w:hint="eastAsia" w:ascii="宋体" w:hAnsi="宋体" w:cs="宋体"/>
          <w:color w:val="auto"/>
          <w:sz w:val="22"/>
          <w:szCs w:val="22"/>
          <w:highlight w:val="none"/>
        </w:rPr>
        <w:t>门及电话为：</w:t>
      </w:r>
      <w:r>
        <w:rPr>
          <w:rFonts w:hint="eastAsia" w:ascii="宋体" w:hAnsi="宋体" w:eastAsia="宋体" w:cs="宋体"/>
          <w:b w:val="0"/>
          <w:bCs/>
          <w:color w:val="auto"/>
          <w:kern w:val="2"/>
          <w:sz w:val="22"/>
          <w:szCs w:val="22"/>
          <w:highlight w:val="none"/>
          <w:lang w:val="en-US" w:eastAsia="zh-CN" w:bidi="ar-SA"/>
        </w:rPr>
        <w:t>合浦县财政局政府采购监督管理部门     0779-7213187</w:t>
      </w:r>
    </w:p>
    <w:p w14:paraId="17E8FEA9">
      <w:pPr>
        <w:keepNext w:val="0"/>
        <w:keepLines w:val="0"/>
        <w:pageBreakBefore w:val="0"/>
        <w:widowControl w:val="0"/>
        <w:kinsoku/>
        <w:wordWrap/>
        <w:overflowPunct/>
        <w:topLinePunct w:val="0"/>
        <w:autoSpaceDE/>
        <w:autoSpaceDN/>
        <w:bidi w:val="0"/>
        <w:adjustRightInd w:val="0"/>
        <w:snapToGrid w:val="0"/>
        <w:spacing w:line="360" w:lineRule="auto"/>
        <w:ind w:left="-61" w:leftChars="-29" w:firstLine="442" w:firstLineChars="200"/>
        <w:textAlignment w:val="auto"/>
        <w:rPr>
          <w:rFonts w:hint="eastAsia" w:ascii="宋体" w:hAnsi="宋体" w:cs="宋体"/>
          <w:b/>
          <w:color w:val="auto"/>
          <w:spacing w:val="4"/>
          <w:sz w:val="22"/>
          <w:szCs w:val="22"/>
          <w:highlight w:val="none"/>
        </w:rPr>
      </w:pPr>
      <w:r>
        <w:rPr>
          <w:rFonts w:hint="eastAsia" w:ascii="宋体" w:hAnsi="宋体" w:cs="宋体"/>
          <w:b/>
          <w:bCs/>
          <w:color w:val="auto"/>
          <w:sz w:val="22"/>
          <w:szCs w:val="22"/>
          <w:highlight w:val="none"/>
        </w:rPr>
        <w:t>九.</w:t>
      </w:r>
      <w:r>
        <w:rPr>
          <w:rFonts w:hint="eastAsia" w:ascii="宋体" w:hAnsi="宋体" w:cs="宋体"/>
          <w:b/>
          <w:color w:val="auto"/>
          <w:spacing w:val="4"/>
          <w:sz w:val="22"/>
          <w:szCs w:val="22"/>
          <w:highlight w:val="none"/>
        </w:rPr>
        <w:t>质量保证金</w:t>
      </w:r>
    </w:p>
    <w:p w14:paraId="5589878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cs="宋体" w:eastAsiaTheme="minorEastAsia"/>
          <w:color w:val="auto"/>
          <w:sz w:val="22"/>
          <w:szCs w:val="22"/>
          <w:highlight w:val="none"/>
          <w:lang w:eastAsia="zh-CN"/>
        </w:rPr>
      </w:pPr>
      <w:r>
        <w:rPr>
          <w:rFonts w:hint="eastAsia" w:ascii="宋体" w:hAnsi="宋体" w:cs="宋体"/>
          <w:bCs/>
          <w:color w:val="auto"/>
          <w:sz w:val="22"/>
          <w:szCs w:val="22"/>
          <w:highlight w:val="none"/>
          <w:lang w:val="en-US" w:eastAsia="zh-CN"/>
        </w:rPr>
        <w:t>23</w:t>
      </w: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eastAsia="zh-CN"/>
        </w:rPr>
        <w:t>本项目不收取</w:t>
      </w:r>
      <w:r>
        <w:rPr>
          <w:rFonts w:hint="eastAsia" w:ascii="宋体" w:hAnsi="宋体" w:cs="宋体"/>
          <w:color w:val="auto"/>
          <w:sz w:val="22"/>
          <w:szCs w:val="22"/>
          <w:highlight w:val="none"/>
        </w:rPr>
        <w:t>质量保证金</w:t>
      </w:r>
      <w:r>
        <w:rPr>
          <w:rFonts w:hint="eastAsia" w:ascii="宋体" w:hAnsi="宋体" w:cs="宋体"/>
          <w:color w:val="auto"/>
          <w:sz w:val="22"/>
          <w:szCs w:val="22"/>
          <w:highlight w:val="none"/>
          <w:lang w:eastAsia="zh-CN"/>
        </w:rPr>
        <w:t>。</w:t>
      </w:r>
    </w:p>
    <w:p w14:paraId="6C586E11">
      <w:pPr>
        <w:pStyle w:val="10"/>
        <w:spacing w:line="360" w:lineRule="auto"/>
        <w:ind w:firstLine="458" w:firstLineChars="200"/>
        <w:outlineLvl w:val="2"/>
        <w:rPr>
          <w:rFonts w:hint="eastAsia" w:ascii="宋体" w:hAnsi="宋体" w:cs="宋体" w:eastAsiaTheme="minorEastAsia"/>
          <w:b/>
          <w:color w:val="auto"/>
          <w:spacing w:val="4"/>
          <w:kern w:val="2"/>
          <w:sz w:val="22"/>
          <w:szCs w:val="22"/>
          <w:highlight w:val="none"/>
          <w:lang w:val="en-US" w:eastAsia="zh-CN" w:bidi="ar-SA"/>
        </w:rPr>
      </w:pPr>
      <w:bookmarkStart w:id="28" w:name="_Toc292469144"/>
      <w:bookmarkStart w:id="29" w:name="_Toc362426447"/>
      <w:bookmarkStart w:id="30" w:name="_Toc332786166"/>
      <w:r>
        <w:rPr>
          <w:rFonts w:hint="eastAsia" w:hAnsi="宋体" w:cs="宋体"/>
          <w:b/>
          <w:color w:val="auto"/>
          <w:spacing w:val="4"/>
          <w:kern w:val="2"/>
          <w:sz w:val="22"/>
          <w:szCs w:val="22"/>
          <w:highlight w:val="none"/>
          <w:lang w:val="en-US" w:eastAsia="zh-CN" w:bidi="ar-SA"/>
        </w:rPr>
        <w:t>十</w:t>
      </w:r>
      <w:r>
        <w:rPr>
          <w:rFonts w:hint="eastAsia" w:ascii="宋体" w:hAnsi="宋体" w:cs="宋体" w:eastAsiaTheme="minorEastAsia"/>
          <w:b/>
          <w:color w:val="auto"/>
          <w:spacing w:val="4"/>
          <w:kern w:val="2"/>
          <w:sz w:val="22"/>
          <w:szCs w:val="22"/>
          <w:highlight w:val="none"/>
          <w:lang w:val="en-US" w:eastAsia="zh-CN" w:bidi="ar-SA"/>
        </w:rPr>
        <w:t>.</w:t>
      </w:r>
      <w:r>
        <w:rPr>
          <w:rFonts w:hint="eastAsia" w:hAnsi="宋体" w:cs="宋体"/>
          <w:b/>
          <w:color w:val="auto"/>
          <w:spacing w:val="4"/>
          <w:kern w:val="2"/>
          <w:sz w:val="22"/>
          <w:szCs w:val="22"/>
          <w:highlight w:val="none"/>
          <w:lang w:val="en-US" w:eastAsia="zh-CN" w:bidi="ar-SA"/>
        </w:rPr>
        <w:t>谈判</w:t>
      </w:r>
      <w:r>
        <w:rPr>
          <w:rFonts w:hint="eastAsia" w:ascii="宋体" w:hAnsi="宋体" w:cs="宋体" w:eastAsiaTheme="minorEastAsia"/>
          <w:b/>
          <w:color w:val="auto"/>
          <w:spacing w:val="4"/>
          <w:kern w:val="2"/>
          <w:sz w:val="22"/>
          <w:szCs w:val="22"/>
          <w:highlight w:val="none"/>
          <w:lang w:val="en-US" w:eastAsia="zh-CN" w:bidi="ar-SA"/>
        </w:rPr>
        <w:t>保证金</w:t>
      </w:r>
      <w:bookmarkEnd w:id="28"/>
      <w:bookmarkEnd w:id="29"/>
      <w:bookmarkEnd w:id="30"/>
    </w:p>
    <w:p w14:paraId="2B8AC22D">
      <w:pPr>
        <w:pStyle w:val="10"/>
        <w:spacing w:line="360" w:lineRule="auto"/>
        <w:ind w:firstLine="420"/>
        <w:rPr>
          <w:rFonts w:hint="eastAsia" w:hAnsi="宋体"/>
          <w:b/>
          <w:color w:val="auto"/>
          <w:sz w:val="22"/>
          <w:szCs w:val="22"/>
          <w:highlight w:val="none"/>
        </w:rPr>
      </w:pPr>
      <w:r>
        <w:rPr>
          <w:rFonts w:hint="eastAsia" w:hAnsi="宋体"/>
          <w:color w:val="auto"/>
          <w:spacing w:val="-4"/>
          <w:sz w:val="22"/>
          <w:szCs w:val="22"/>
          <w:highlight w:val="none"/>
          <w:lang w:val="en-US" w:eastAsia="zh-CN"/>
        </w:rPr>
        <w:t>24</w:t>
      </w:r>
      <w:r>
        <w:rPr>
          <w:rFonts w:hint="eastAsia" w:hAnsi="宋体"/>
          <w:color w:val="auto"/>
          <w:spacing w:val="-4"/>
          <w:sz w:val="22"/>
          <w:szCs w:val="22"/>
          <w:highlight w:val="none"/>
        </w:rPr>
        <w:t>.1</w:t>
      </w:r>
      <w:r>
        <w:rPr>
          <w:rFonts w:hint="eastAsia" w:hAnsi="宋体" w:cs="Arial"/>
          <w:color w:val="auto"/>
          <w:sz w:val="22"/>
          <w:szCs w:val="22"/>
          <w:highlight w:val="none"/>
          <w:lang w:eastAsia="zh-CN"/>
        </w:rPr>
        <w:t>谈判</w:t>
      </w:r>
      <w:r>
        <w:rPr>
          <w:rFonts w:hint="eastAsia" w:hAnsi="宋体" w:cs="Arial"/>
          <w:color w:val="auto"/>
          <w:sz w:val="22"/>
          <w:szCs w:val="22"/>
          <w:highlight w:val="none"/>
        </w:rPr>
        <w:t>保证金</w:t>
      </w:r>
      <w:r>
        <w:rPr>
          <w:rFonts w:hint="eastAsia" w:hAnsi="宋体" w:cs="Arial"/>
          <w:color w:val="auto"/>
          <w:sz w:val="22"/>
          <w:szCs w:val="22"/>
          <w:highlight w:val="none"/>
          <w:lang w:eastAsia="zh-CN"/>
        </w:rPr>
        <w:t>详见谈判供应商须知</w:t>
      </w:r>
      <w:r>
        <w:rPr>
          <w:rFonts w:hint="eastAsia" w:hAnsi="宋体"/>
          <w:b/>
          <w:color w:val="auto"/>
          <w:sz w:val="22"/>
          <w:szCs w:val="22"/>
          <w:highlight w:val="none"/>
        </w:rPr>
        <w:t>。</w:t>
      </w:r>
    </w:p>
    <w:p w14:paraId="6B19E63A">
      <w:pPr>
        <w:pStyle w:val="10"/>
        <w:spacing w:line="360" w:lineRule="auto"/>
        <w:ind w:firstLine="420"/>
        <w:rPr>
          <w:rFonts w:hint="eastAsia" w:hAnsi="宋体"/>
          <w:color w:val="auto"/>
          <w:sz w:val="22"/>
          <w:szCs w:val="22"/>
          <w:highlight w:val="none"/>
        </w:rPr>
      </w:pPr>
      <w:r>
        <w:rPr>
          <w:rFonts w:hint="eastAsia" w:hAnsi="宋体"/>
          <w:color w:val="auto"/>
          <w:sz w:val="22"/>
          <w:szCs w:val="22"/>
          <w:highlight w:val="none"/>
          <w:lang w:val="en-US" w:eastAsia="zh-CN"/>
        </w:rPr>
        <w:t>24</w:t>
      </w:r>
      <w:r>
        <w:rPr>
          <w:rFonts w:hint="eastAsia" w:hAnsi="宋体"/>
          <w:color w:val="auto"/>
          <w:sz w:val="22"/>
          <w:szCs w:val="22"/>
          <w:highlight w:val="none"/>
        </w:rPr>
        <w:t>.2投标人应按前附表第</w:t>
      </w:r>
      <w:r>
        <w:rPr>
          <w:rFonts w:hint="eastAsia" w:hAnsi="宋体"/>
          <w:color w:val="auto"/>
          <w:sz w:val="22"/>
          <w:szCs w:val="22"/>
          <w:highlight w:val="none"/>
          <w:lang w:val="en-US" w:eastAsia="zh-CN"/>
        </w:rPr>
        <w:t>8</w:t>
      </w:r>
      <w:r>
        <w:rPr>
          <w:rFonts w:hint="eastAsia" w:hAnsi="宋体"/>
          <w:color w:val="auto"/>
          <w:sz w:val="22"/>
          <w:szCs w:val="22"/>
          <w:highlight w:val="none"/>
        </w:rPr>
        <w:t>项的规定提交</w:t>
      </w:r>
      <w:r>
        <w:rPr>
          <w:rFonts w:hint="eastAsia" w:hAnsi="宋体"/>
          <w:color w:val="auto"/>
          <w:sz w:val="22"/>
          <w:szCs w:val="22"/>
          <w:highlight w:val="none"/>
          <w:lang w:eastAsia="zh-CN"/>
        </w:rPr>
        <w:t>谈判</w:t>
      </w:r>
      <w:r>
        <w:rPr>
          <w:rFonts w:hint="eastAsia" w:hAnsi="宋体"/>
          <w:color w:val="auto"/>
          <w:sz w:val="22"/>
          <w:szCs w:val="22"/>
          <w:highlight w:val="none"/>
        </w:rPr>
        <w:t>标保证金，此</w:t>
      </w:r>
      <w:r>
        <w:rPr>
          <w:rFonts w:hint="eastAsia" w:hAnsi="宋体"/>
          <w:color w:val="auto"/>
          <w:sz w:val="22"/>
          <w:szCs w:val="22"/>
          <w:highlight w:val="none"/>
          <w:lang w:eastAsia="zh-CN"/>
        </w:rPr>
        <w:t>谈判</w:t>
      </w:r>
      <w:r>
        <w:rPr>
          <w:rFonts w:hint="eastAsia" w:hAnsi="宋体"/>
          <w:color w:val="auto"/>
          <w:sz w:val="22"/>
          <w:szCs w:val="22"/>
          <w:highlight w:val="none"/>
        </w:rPr>
        <w:t>保证金是</w:t>
      </w:r>
      <w:r>
        <w:rPr>
          <w:rFonts w:hint="eastAsia" w:hAnsi="宋体"/>
          <w:color w:val="auto"/>
          <w:sz w:val="22"/>
          <w:szCs w:val="22"/>
          <w:highlight w:val="none"/>
          <w:lang w:eastAsia="zh-CN"/>
        </w:rPr>
        <w:t>谈判</w:t>
      </w:r>
      <w:r>
        <w:rPr>
          <w:rFonts w:hint="eastAsia" w:hAnsi="宋体"/>
          <w:color w:val="auto"/>
          <w:sz w:val="22"/>
          <w:szCs w:val="22"/>
          <w:highlight w:val="none"/>
        </w:rPr>
        <w:t>文件的一个组成部分。</w:t>
      </w:r>
      <w:r>
        <w:rPr>
          <w:rFonts w:hint="eastAsia" w:hAnsi="宋体"/>
          <w:color w:val="auto"/>
          <w:sz w:val="22"/>
          <w:szCs w:val="22"/>
          <w:highlight w:val="none"/>
          <w:lang w:eastAsia="zh-CN"/>
        </w:rPr>
        <w:t>供应商</w:t>
      </w:r>
      <w:r>
        <w:rPr>
          <w:rFonts w:hint="eastAsia" w:hAnsi="宋体"/>
          <w:color w:val="auto"/>
          <w:sz w:val="22"/>
          <w:szCs w:val="22"/>
          <w:highlight w:val="none"/>
        </w:rPr>
        <w:t>递交</w:t>
      </w:r>
      <w:r>
        <w:rPr>
          <w:rFonts w:hint="eastAsia" w:hAnsi="宋体"/>
          <w:color w:val="auto"/>
          <w:sz w:val="22"/>
          <w:szCs w:val="22"/>
          <w:highlight w:val="none"/>
          <w:lang w:eastAsia="zh-CN"/>
        </w:rPr>
        <w:t>谈判</w:t>
      </w:r>
      <w:r>
        <w:rPr>
          <w:rFonts w:hint="eastAsia" w:hAnsi="宋体"/>
          <w:color w:val="auto"/>
          <w:sz w:val="22"/>
          <w:szCs w:val="22"/>
          <w:highlight w:val="none"/>
        </w:rPr>
        <w:t>保证金后，须在截标前从</w:t>
      </w:r>
      <w:r>
        <w:rPr>
          <w:rFonts w:hint="eastAsia" w:hAnsi="宋体"/>
          <w:b/>
          <w:color w:val="auto"/>
          <w:sz w:val="22"/>
          <w:szCs w:val="22"/>
          <w:highlight w:val="none"/>
        </w:rPr>
        <w:t>基本账户以转账</w:t>
      </w:r>
      <w:r>
        <w:rPr>
          <w:rFonts w:hint="eastAsia" w:hAnsi="宋体"/>
          <w:color w:val="auto"/>
          <w:sz w:val="22"/>
          <w:szCs w:val="22"/>
          <w:highlight w:val="none"/>
        </w:rPr>
        <w:t>的形式足额缴纳到</w:t>
      </w:r>
      <w:r>
        <w:rPr>
          <w:rFonts w:hint="eastAsia" w:hAnsi="宋体"/>
          <w:color w:val="auto"/>
          <w:sz w:val="22"/>
          <w:szCs w:val="22"/>
          <w:highlight w:val="none"/>
          <w:lang w:eastAsia="zh-CN"/>
        </w:rPr>
        <w:t>广西中之元工程管理有限公司基本</w:t>
      </w:r>
      <w:r>
        <w:rPr>
          <w:rFonts w:hint="eastAsia" w:hAnsi="宋体"/>
          <w:color w:val="auto"/>
          <w:sz w:val="22"/>
          <w:szCs w:val="22"/>
          <w:highlight w:val="none"/>
        </w:rPr>
        <w:t>账户（以到账为准，且须注明项目名称及项目编号）。</w:t>
      </w:r>
    </w:p>
    <w:p w14:paraId="3D5F3880">
      <w:pPr>
        <w:pStyle w:val="10"/>
        <w:spacing w:line="360" w:lineRule="auto"/>
        <w:ind w:firstLine="420"/>
        <w:rPr>
          <w:rFonts w:hint="eastAsia" w:hAnsi="宋体"/>
          <w:color w:val="auto"/>
          <w:sz w:val="22"/>
          <w:szCs w:val="22"/>
          <w:highlight w:val="none"/>
        </w:rPr>
      </w:pPr>
      <w:r>
        <w:rPr>
          <w:rFonts w:hint="eastAsia" w:hAnsi="宋体"/>
          <w:color w:val="auto"/>
          <w:sz w:val="22"/>
          <w:szCs w:val="22"/>
          <w:highlight w:val="none"/>
          <w:lang w:val="en-US" w:eastAsia="zh-CN"/>
        </w:rPr>
        <w:t>24</w:t>
      </w:r>
      <w:r>
        <w:rPr>
          <w:rFonts w:hint="eastAsia" w:hAnsi="宋体"/>
          <w:color w:val="auto"/>
          <w:sz w:val="22"/>
          <w:szCs w:val="22"/>
          <w:highlight w:val="none"/>
        </w:rPr>
        <w:t>.3</w:t>
      </w:r>
      <w:r>
        <w:rPr>
          <w:rFonts w:hint="eastAsia" w:hAnsi="宋体"/>
          <w:b/>
          <w:color w:val="auto"/>
          <w:sz w:val="22"/>
          <w:szCs w:val="22"/>
          <w:highlight w:val="none"/>
        </w:rPr>
        <w:t>对未按</w:t>
      </w:r>
      <w:r>
        <w:rPr>
          <w:rFonts w:hint="eastAsia" w:hAnsi="宋体"/>
          <w:b/>
          <w:color w:val="auto"/>
          <w:sz w:val="22"/>
          <w:szCs w:val="22"/>
          <w:highlight w:val="none"/>
          <w:lang w:eastAsia="zh-CN"/>
        </w:rPr>
        <w:t>谈判</w:t>
      </w:r>
      <w:r>
        <w:rPr>
          <w:rFonts w:hint="eastAsia" w:hAnsi="宋体"/>
          <w:b/>
          <w:color w:val="auto"/>
          <w:sz w:val="22"/>
          <w:szCs w:val="22"/>
          <w:highlight w:val="none"/>
        </w:rPr>
        <w:t>文件要求交纳</w:t>
      </w:r>
      <w:r>
        <w:rPr>
          <w:rFonts w:hint="eastAsia" w:hAnsi="宋体"/>
          <w:b/>
          <w:color w:val="auto"/>
          <w:sz w:val="22"/>
          <w:szCs w:val="22"/>
          <w:highlight w:val="none"/>
          <w:lang w:eastAsia="zh-CN"/>
        </w:rPr>
        <w:t>谈判</w:t>
      </w:r>
      <w:r>
        <w:rPr>
          <w:rFonts w:hint="eastAsia" w:hAnsi="宋体"/>
          <w:b/>
          <w:color w:val="auto"/>
          <w:sz w:val="22"/>
          <w:szCs w:val="22"/>
          <w:highlight w:val="none"/>
        </w:rPr>
        <w:t>保证金的</w:t>
      </w:r>
      <w:r>
        <w:rPr>
          <w:rFonts w:hint="eastAsia" w:hAnsi="宋体"/>
          <w:b/>
          <w:color w:val="auto"/>
          <w:sz w:val="22"/>
          <w:szCs w:val="22"/>
          <w:highlight w:val="none"/>
          <w:lang w:eastAsia="zh-CN"/>
        </w:rPr>
        <w:t>谈判</w:t>
      </w:r>
      <w:r>
        <w:rPr>
          <w:rFonts w:hint="eastAsia" w:hAnsi="宋体"/>
          <w:b/>
          <w:color w:val="auto"/>
          <w:sz w:val="22"/>
          <w:szCs w:val="22"/>
          <w:highlight w:val="none"/>
        </w:rPr>
        <w:t>文件，采购代理机构将视其为不响应</w:t>
      </w:r>
      <w:r>
        <w:rPr>
          <w:rFonts w:hint="eastAsia" w:hAnsi="宋体"/>
          <w:b/>
          <w:color w:val="auto"/>
          <w:sz w:val="22"/>
          <w:szCs w:val="22"/>
          <w:highlight w:val="none"/>
          <w:lang w:eastAsia="zh-CN"/>
        </w:rPr>
        <w:t>采购</w:t>
      </w:r>
      <w:r>
        <w:rPr>
          <w:rFonts w:hint="eastAsia" w:hAnsi="宋体"/>
          <w:b/>
          <w:color w:val="auto"/>
          <w:sz w:val="22"/>
          <w:szCs w:val="22"/>
          <w:highlight w:val="none"/>
        </w:rPr>
        <w:t>文件而予以拒绝。</w:t>
      </w:r>
    </w:p>
    <w:p w14:paraId="0E126A67">
      <w:pPr>
        <w:pStyle w:val="10"/>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lang w:val="en-US" w:eastAsia="zh-CN"/>
        </w:rPr>
        <w:t>24</w:t>
      </w:r>
      <w:r>
        <w:rPr>
          <w:rFonts w:hint="eastAsia" w:hAnsi="宋体"/>
          <w:color w:val="auto"/>
          <w:sz w:val="22"/>
          <w:szCs w:val="22"/>
          <w:highlight w:val="none"/>
        </w:rPr>
        <w:t>．4未</w:t>
      </w:r>
      <w:r>
        <w:rPr>
          <w:rFonts w:hint="eastAsia" w:hAnsi="宋体"/>
          <w:color w:val="auto"/>
          <w:sz w:val="22"/>
          <w:szCs w:val="22"/>
          <w:highlight w:val="none"/>
          <w:lang w:eastAsia="zh-CN"/>
        </w:rPr>
        <w:t>成交供应商</w:t>
      </w:r>
      <w:r>
        <w:rPr>
          <w:rFonts w:hint="eastAsia" w:hAnsi="宋体"/>
          <w:color w:val="auto"/>
          <w:sz w:val="22"/>
          <w:szCs w:val="22"/>
          <w:highlight w:val="none"/>
        </w:rPr>
        <w:t>的</w:t>
      </w:r>
      <w:r>
        <w:rPr>
          <w:rFonts w:hint="eastAsia" w:hAnsi="宋体"/>
          <w:color w:val="auto"/>
          <w:sz w:val="22"/>
          <w:szCs w:val="22"/>
          <w:highlight w:val="none"/>
          <w:lang w:eastAsia="zh-CN"/>
        </w:rPr>
        <w:t>谈判</w:t>
      </w:r>
      <w:r>
        <w:rPr>
          <w:rFonts w:hint="eastAsia" w:hAnsi="宋体"/>
          <w:color w:val="auto"/>
          <w:sz w:val="22"/>
          <w:szCs w:val="22"/>
          <w:highlight w:val="none"/>
        </w:rPr>
        <w:t>保证金，将在</w:t>
      </w:r>
      <w:r>
        <w:rPr>
          <w:rFonts w:hint="eastAsia" w:hAnsi="宋体"/>
          <w:color w:val="auto"/>
          <w:sz w:val="22"/>
          <w:szCs w:val="22"/>
          <w:highlight w:val="none"/>
          <w:lang w:eastAsia="zh-CN"/>
        </w:rPr>
        <w:t>成交</w:t>
      </w:r>
      <w:r>
        <w:rPr>
          <w:rFonts w:hint="eastAsia" w:hAnsi="宋体"/>
          <w:color w:val="auto"/>
          <w:sz w:val="22"/>
          <w:szCs w:val="22"/>
          <w:highlight w:val="none"/>
        </w:rPr>
        <w:t>通知书发出后5日内予以退还。</w:t>
      </w:r>
      <w:r>
        <w:rPr>
          <w:rFonts w:hint="eastAsia" w:hAnsi="宋体"/>
          <w:color w:val="auto"/>
          <w:sz w:val="22"/>
          <w:szCs w:val="22"/>
          <w:highlight w:val="none"/>
          <w:lang w:eastAsia="zh-CN"/>
        </w:rPr>
        <w:t>成交供应商</w:t>
      </w:r>
      <w:r>
        <w:rPr>
          <w:rFonts w:hint="eastAsia" w:hAnsi="宋体"/>
          <w:color w:val="auto"/>
          <w:sz w:val="22"/>
          <w:szCs w:val="22"/>
          <w:highlight w:val="none"/>
        </w:rPr>
        <w:t>的</w:t>
      </w:r>
      <w:r>
        <w:rPr>
          <w:rFonts w:hint="eastAsia" w:hAnsi="宋体"/>
          <w:color w:val="auto"/>
          <w:sz w:val="22"/>
          <w:szCs w:val="22"/>
          <w:highlight w:val="none"/>
          <w:lang w:eastAsia="zh-CN"/>
        </w:rPr>
        <w:t>谈判</w:t>
      </w:r>
      <w:r>
        <w:rPr>
          <w:rFonts w:hint="eastAsia" w:hAnsi="宋体"/>
          <w:color w:val="auto"/>
          <w:sz w:val="22"/>
          <w:szCs w:val="22"/>
          <w:highlight w:val="none"/>
        </w:rPr>
        <w:t>保证金将在签订合同后5日内予以退还。</w:t>
      </w:r>
    </w:p>
    <w:p w14:paraId="6724C6CF">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24.5</w:t>
      </w:r>
      <w:r>
        <w:rPr>
          <w:rFonts w:hint="eastAsia" w:ascii="宋体" w:hAnsi="宋体" w:cs="宋体"/>
          <w:b/>
          <w:color w:val="auto"/>
          <w:sz w:val="22"/>
          <w:szCs w:val="22"/>
          <w:highlight w:val="none"/>
        </w:rPr>
        <w:t>有下列情形之一的，不予退还响应保证金：</w:t>
      </w:r>
    </w:p>
    <w:p w14:paraId="49AC9806">
      <w:pPr>
        <w:pStyle w:val="5"/>
        <w:keepNext/>
        <w:keepLines/>
        <w:pageBreakBefore w:val="0"/>
        <w:widowControl w:val="0"/>
        <w:kinsoku/>
        <w:wordWrap/>
        <w:overflowPunct/>
        <w:topLinePunct w:val="0"/>
        <w:autoSpaceDE/>
        <w:autoSpaceDN/>
        <w:bidi w:val="0"/>
        <w:adjustRightInd/>
        <w:snapToGrid/>
        <w:spacing w:line="312" w:lineRule="auto"/>
        <w:ind w:left="0" w:firstLine="440" w:firstLineChars="200"/>
        <w:textAlignment w:val="auto"/>
        <w:rPr>
          <w:rFonts w:hint="eastAsia" w:ascii="宋体" w:hAnsi="宋体" w:cs="Courier New" w:eastAsiaTheme="minorEastAsia"/>
          <w:b w:val="0"/>
          <w:bCs w:val="0"/>
          <w:color w:val="auto"/>
          <w:kern w:val="2"/>
          <w:sz w:val="22"/>
          <w:szCs w:val="22"/>
          <w:highlight w:val="none"/>
          <w:lang w:val="en-US" w:eastAsia="zh-CN" w:bidi="ar-SA"/>
        </w:rPr>
      </w:pPr>
      <w:r>
        <w:rPr>
          <w:rFonts w:hint="eastAsia" w:ascii="宋体" w:hAnsi="宋体" w:cs="Courier New" w:eastAsiaTheme="minorEastAsia"/>
          <w:b w:val="0"/>
          <w:bCs w:val="0"/>
          <w:color w:val="auto"/>
          <w:kern w:val="2"/>
          <w:sz w:val="22"/>
          <w:szCs w:val="22"/>
          <w:highlight w:val="none"/>
          <w:lang w:val="en-US" w:eastAsia="zh-CN" w:bidi="ar-SA"/>
        </w:rPr>
        <w:t>（1）供应商在提交响应文件截止时间后撤回响应文件的，但采取竞争性谈判方式采购且在提交最后报价之前退出谈判的情况除外；</w:t>
      </w:r>
    </w:p>
    <w:p w14:paraId="7B963063">
      <w:pPr>
        <w:pStyle w:val="5"/>
        <w:keepNext/>
        <w:keepLines/>
        <w:pageBreakBefore w:val="0"/>
        <w:widowControl w:val="0"/>
        <w:kinsoku/>
        <w:wordWrap/>
        <w:overflowPunct/>
        <w:topLinePunct w:val="0"/>
        <w:autoSpaceDE/>
        <w:autoSpaceDN/>
        <w:bidi w:val="0"/>
        <w:adjustRightInd/>
        <w:snapToGrid/>
        <w:spacing w:line="312" w:lineRule="auto"/>
        <w:ind w:left="0" w:firstLine="440" w:firstLineChars="200"/>
        <w:textAlignment w:val="auto"/>
        <w:rPr>
          <w:rFonts w:hint="eastAsia" w:ascii="宋体" w:hAnsi="宋体" w:cs="Courier New" w:eastAsiaTheme="minorEastAsia"/>
          <w:b w:val="0"/>
          <w:bCs w:val="0"/>
          <w:color w:val="auto"/>
          <w:kern w:val="2"/>
          <w:sz w:val="22"/>
          <w:szCs w:val="22"/>
          <w:highlight w:val="none"/>
          <w:lang w:val="en-US" w:eastAsia="zh-CN" w:bidi="ar-SA"/>
        </w:rPr>
      </w:pPr>
      <w:r>
        <w:rPr>
          <w:rFonts w:hint="eastAsia" w:ascii="宋体" w:hAnsi="宋体" w:cs="Courier New" w:eastAsiaTheme="minorEastAsia"/>
          <w:b w:val="0"/>
          <w:bCs w:val="0"/>
          <w:color w:val="auto"/>
          <w:kern w:val="2"/>
          <w:sz w:val="22"/>
          <w:szCs w:val="22"/>
          <w:highlight w:val="none"/>
          <w:lang w:val="en-US" w:eastAsia="zh-CN" w:bidi="ar-SA"/>
        </w:rPr>
        <w:t>（2）供应商在响应文件中提供虚假材料的；</w:t>
      </w:r>
    </w:p>
    <w:p w14:paraId="2E99DD56">
      <w:pPr>
        <w:pStyle w:val="5"/>
        <w:keepNext/>
        <w:keepLines/>
        <w:pageBreakBefore w:val="0"/>
        <w:widowControl w:val="0"/>
        <w:kinsoku/>
        <w:wordWrap/>
        <w:overflowPunct/>
        <w:topLinePunct w:val="0"/>
        <w:autoSpaceDE/>
        <w:autoSpaceDN/>
        <w:bidi w:val="0"/>
        <w:adjustRightInd/>
        <w:snapToGrid/>
        <w:spacing w:line="312" w:lineRule="auto"/>
        <w:ind w:left="0" w:firstLine="440" w:firstLineChars="200"/>
        <w:textAlignment w:val="auto"/>
        <w:rPr>
          <w:rFonts w:hint="eastAsia" w:ascii="宋体" w:hAnsi="宋体" w:cs="Courier New" w:eastAsiaTheme="minorEastAsia"/>
          <w:b w:val="0"/>
          <w:bCs w:val="0"/>
          <w:color w:val="auto"/>
          <w:kern w:val="2"/>
          <w:sz w:val="22"/>
          <w:szCs w:val="22"/>
          <w:highlight w:val="none"/>
          <w:lang w:val="en-US" w:eastAsia="zh-CN" w:bidi="ar-SA"/>
        </w:rPr>
      </w:pPr>
      <w:r>
        <w:rPr>
          <w:rFonts w:hint="eastAsia" w:ascii="宋体" w:hAnsi="宋体" w:cs="Courier New" w:eastAsiaTheme="minorEastAsia"/>
          <w:b w:val="0"/>
          <w:bCs w:val="0"/>
          <w:color w:val="auto"/>
          <w:kern w:val="2"/>
          <w:sz w:val="22"/>
          <w:szCs w:val="22"/>
          <w:highlight w:val="none"/>
          <w:lang w:val="en-US" w:eastAsia="zh-CN" w:bidi="ar-SA"/>
        </w:rPr>
        <w:t>（3）除因不可抗力或采购文件认可的情形外，成交供应商不与采购人签订合同的；</w:t>
      </w:r>
    </w:p>
    <w:p w14:paraId="2F80C28F">
      <w:pPr>
        <w:pStyle w:val="5"/>
        <w:keepNext/>
        <w:keepLines/>
        <w:pageBreakBefore w:val="0"/>
        <w:widowControl w:val="0"/>
        <w:kinsoku/>
        <w:wordWrap/>
        <w:overflowPunct/>
        <w:topLinePunct w:val="0"/>
        <w:autoSpaceDE/>
        <w:autoSpaceDN/>
        <w:bidi w:val="0"/>
        <w:adjustRightInd/>
        <w:snapToGrid/>
        <w:spacing w:line="312" w:lineRule="auto"/>
        <w:ind w:left="0" w:firstLine="440" w:firstLineChars="200"/>
        <w:textAlignment w:val="auto"/>
        <w:rPr>
          <w:rFonts w:hint="eastAsia" w:ascii="宋体" w:hAnsi="宋体" w:cs="Courier New" w:eastAsiaTheme="minorEastAsia"/>
          <w:b w:val="0"/>
          <w:bCs w:val="0"/>
          <w:color w:val="auto"/>
          <w:kern w:val="2"/>
          <w:sz w:val="22"/>
          <w:szCs w:val="22"/>
          <w:highlight w:val="none"/>
          <w:lang w:val="en-US" w:eastAsia="zh-CN" w:bidi="ar-SA"/>
        </w:rPr>
      </w:pPr>
      <w:r>
        <w:rPr>
          <w:rFonts w:hint="eastAsia" w:ascii="宋体" w:hAnsi="宋体" w:cs="Courier New" w:eastAsiaTheme="minorEastAsia"/>
          <w:b w:val="0"/>
          <w:bCs w:val="0"/>
          <w:color w:val="auto"/>
          <w:kern w:val="2"/>
          <w:sz w:val="22"/>
          <w:szCs w:val="22"/>
          <w:highlight w:val="none"/>
          <w:lang w:val="en-US" w:eastAsia="zh-CN" w:bidi="ar-SA"/>
        </w:rPr>
        <w:t>（4）供应商与采购人、其他供应商或者采购代理机构恶意串通的；</w:t>
      </w:r>
    </w:p>
    <w:p w14:paraId="73F00CE1">
      <w:pPr>
        <w:pStyle w:val="5"/>
        <w:keepNext/>
        <w:keepLines/>
        <w:pageBreakBefore w:val="0"/>
        <w:widowControl w:val="0"/>
        <w:kinsoku/>
        <w:wordWrap/>
        <w:overflowPunct/>
        <w:topLinePunct w:val="0"/>
        <w:autoSpaceDE/>
        <w:autoSpaceDN/>
        <w:bidi w:val="0"/>
        <w:adjustRightInd/>
        <w:snapToGrid/>
        <w:spacing w:line="312" w:lineRule="auto"/>
        <w:ind w:left="0" w:firstLine="440" w:firstLineChars="200"/>
        <w:textAlignment w:val="auto"/>
        <w:rPr>
          <w:rFonts w:hint="eastAsia" w:ascii="宋体" w:hAnsi="宋体" w:cs="宋体"/>
          <w:b/>
          <w:color w:val="auto"/>
          <w:sz w:val="22"/>
          <w:szCs w:val="22"/>
          <w:highlight w:val="none"/>
        </w:rPr>
      </w:pPr>
      <w:r>
        <w:rPr>
          <w:rFonts w:hint="eastAsia" w:ascii="宋体" w:hAnsi="宋体" w:cs="Courier New" w:eastAsiaTheme="minorEastAsia"/>
          <w:b w:val="0"/>
          <w:bCs w:val="0"/>
          <w:color w:val="auto"/>
          <w:kern w:val="2"/>
          <w:sz w:val="22"/>
          <w:szCs w:val="22"/>
          <w:highlight w:val="none"/>
          <w:lang w:val="en-US" w:eastAsia="zh-CN" w:bidi="ar-SA"/>
        </w:rPr>
        <w:t>（5）采购文件规定的其他情形。</w:t>
      </w:r>
    </w:p>
    <w:p w14:paraId="039CEE74">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p>
    <w:p w14:paraId="6445237E">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十</w:t>
      </w:r>
      <w:r>
        <w:rPr>
          <w:rFonts w:hint="eastAsia" w:ascii="宋体" w:hAnsi="宋体" w:cs="宋体"/>
          <w:b/>
          <w:color w:val="auto"/>
          <w:sz w:val="22"/>
          <w:szCs w:val="22"/>
          <w:highlight w:val="none"/>
          <w:lang w:eastAsia="zh-CN"/>
        </w:rPr>
        <w:t>一</w:t>
      </w:r>
      <w:r>
        <w:rPr>
          <w:rFonts w:hint="eastAsia" w:ascii="宋体" w:hAnsi="宋体" w:cs="宋体"/>
          <w:b/>
          <w:color w:val="auto"/>
          <w:sz w:val="22"/>
          <w:szCs w:val="22"/>
          <w:highlight w:val="none"/>
        </w:rPr>
        <w:t>.签订合同</w:t>
      </w:r>
    </w:p>
    <w:p w14:paraId="50641B04">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385" w:firstLineChars="175"/>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.1成交供应商自成交通知书发出之日起</w:t>
      </w:r>
      <w:r>
        <w:rPr>
          <w:rFonts w:hint="eastAsia" w:ascii="宋体" w:hAnsi="宋体" w:cs="宋体"/>
          <w:color w:val="auto"/>
          <w:sz w:val="22"/>
          <w:szCs w:val="22"/>
          <w:highlight w:val="none"/>
          <w:lang w:val="en-US" w:eastAsia="zh-CN"/>
        </w:rPr>
        <w:t>8个工作日</w:t>
      </w:r>
      <w:r>
        <w:rPr>
          <w:rFonts w:hint="eastAsia" w:ascii="宋体" w:hAnsi="宋体" w:cs="宋体"/>
          <w:color w:val="auto"/>
          <w:sz w:val="22"/>
          <w:szCs w:val="22"/>
          <w:highlight w:val="none"/>
        </w:rPr>
        <w:t>内与采购人签订政府采购合同。</w:t>
      </w:r>
    </w:p>
    <w:p w14:paraId="5FFC79E1">
      <w:pPr>
        <w:keepNext w:val="0"/>
        <w:keepLines w:val="0"/>
        <w:pageBreakBefore w:val="0"/>
        <w:widowControl w:val="0"/>
        <w:kinsoku/>
        <w:wordWrap/>
        <w:overflowPunct/>
        <w:topLinePunct w:val="0"/>
        <w:autoSpaceDE/>
        <w:autoSpaceDN/>
        <w:bidi w:val="0"/>
        <w:adjustRightInd w:val="0"/>
        <w:snapToGrid w:val="0"/>
        <w:spacing w:line="360" w:lineRule="auto"/>
        <w:ind w:firstLine="495" w:firstLineChars="225"/>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.2</w:t>
      </w:r>
      <w:r>
        <w:rPr>
          <w:rFonts w:hint="eastAsia" w:ascii="宋体" w:hAnsi="宋体" w:cs="宋体"/>
          <w:color w:val="auto"/>
          <w:kern w:val="0"/>
          <w:sz w:val="22"/>
          <w:szCs w:val="22"/>
          <w:highlight w:val="none"/>
        </w:rPr>
        <w:t>成交供应商拒绝签订政府采购合同的</w:t>
      </w:r>
      <w:r>
        <w:rPr>
          <w:rFonts w:hint="eastAsia" w:ascii="宋体" w:hAnsi="宋体" w:cs="宋体"/>
          <w:color w:val="auto"/>
          <w:sz w:val="22"/>
          <w:szCs w:val="22"/>
          <w:highlight w:val="none"/>
        </w:rPr>
        <w:t>，采购人可以根据谈判评审报告确定成交供应商之后排名第一的成交候选人</w:t>
      </w:r>
      <w:r>
        <w:rPr>
          <w:rFonts w:hint="eastAsia" w:ascii="宋体" w:hAnsi="宋体" w:cs="宋体"/>
          <w:color w:val="auto"/>
          <w:kern w:val="0"/>
          <w:sz w:val="22"/>
          <w:szCs w:val="22"/>
          <w:highlight w:val="none"/>
        </w:rPr>
        <w:t>作为</w:t>
      </w:r>
      <w:r>
        <w:rPr>
          <w:rFonts w:hint="eastAsia" w:ascii="宋体" w:hAnsi="宋体" w:cs="宋体"/>
          <w:color w:val="auto"/>
          <w:sz w:val="22"/>
          <w:szCs w:val="22"/>
          <w:highlight w:val="none"/>
        </w:rPr>
        <w:t>成交供应商</w:t>
      </w:r>
      <w:r>
        <w:rPr>
          <w:rFonts w:hint="eastAsia" w:ascii="宋体" w:hAnsi="宋体" w:cs="宋体"/>
          <w:color w:val="auto"/>
          <w:kern w:val="0"/>
          <w:sz w:val="22"/>
          <w:szCs w:val="22"/>
          <w:highlight w:val="none"/>
        </w:rPr>
        <w:t>并签订政府采购合同，也可以重新开展采购活动。拒绝签订政府采购合同的成交供应商不得参加该项目重新开展的采购活动。</w:t>
      </w:r>
    </w:p>
    <w:p w14:paraId="6892E83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b w:val="0"/>
          <w:bCs/>
          <w:color w:val="auto"/>
          <w:sz w:val="22"/>
          <w:szCs w:val="22"/>
          <w:highlight w:val="none"/>
          <w:lang w:val="en-US" w:eastAsia="zh-CN"/>
        </w:rPr>
        <w:t>25</w:t>
      </w:r>
      <w:r>
        <w:rPr>
          <w:rFonts w:hint="eastAsia" w:ascii="宋体" w:hAnsi="宋体" w:cs="宋体"/>
          <w:b w:val="0"/>
          <w:bCs/>
          <w:color w:val="auto"/>
          <w:sz w:val="22"/>
          <w:szCs w:val="22"/>
          <w:highlight w:val="none"/>
        </w:rPr>
        <w:t>.3</w:t>
      </w:r>
      <w:r>
        <w:rPr>
          <w:rFonts w:hint="eastAsia" w:ascii="宋体" w:hAnsi="宋体" w:cs="宋体"/>
          <w:color w:val="auto"/>
          <w:kern w:val="0"/>
          <w:sz w:val="22"/>
          <w:szCs w:val="22"/>
          <w:highlight w:val="none"/>
        </w:rPr>
        <w:t>成交供应商拒绝签订政府采购合同的，给采购人造成其损失的，还应当赔偿损失，并作为不良行为记录在案。</w:t>
      </w:r>
    </w:p>
    <w:p w14:paraId="02FB7C39">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十</w:t>
      </w:r>
      <w:r>
        <w:rPr>
          <w:rFonts w:hint="eastAsia" w:ascii="宋体" w:hAnsi="宋体" w:cs="宋体"/>
          <w:b/>
          <w:color w:val="auto"/>
          <w:sz w:val="22"/>
          <w:szCs w:val="22"/>
          <w:highlight w:val="none"/>
          <w:lang w:eastAsia="zh-CN"/>
        </w:rPr>
        <w:t>二</w:t>
      </w:r>
      <w:r>
        <w:rPr>
          <w:rFonts w:hint="eastAsia" w:ascii="宋体" w:hAnsi="宋体" w:cs="宋体"/>
          <w:b/>
          <w:color w:val="auto"/>
          <w:sz w:val="22"/>
          <w:szCs w:val="22"/>
          <w:highlight w:val="none"/>
        </w:rPr>
        <w:t>、适用法律</w:t>
      </w:r>
    </w:p>
    <w:p w14:paraId="2FCA8F17">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26</w:t>
      </w:r>
      <w:r>
        <w:rPr>
          <w:rFonts w:hint="eastAsia" w:ascii="宋体" w:hAnsi="宋体" w:cs="宋体"/>
          <w:color w:val="auto"/>
          <w:sz w:val="22"/>
          <w:szCs w:val="22"/>
          <w:highlight w:val="none"/>
        </w:rPr>
        <w:t>.采购当事人的一切活动均适用于《中华人民共和国政府采购法》、《中华人民共和国政府采购法实施条例》和《政府采购非招标采购方式管理办法》等相关规定。最终谈判结束后，谈判小组不得再与谈判供应商进行任何形式的商谈。</w:t>
      </w:r>
    </w:p>
    <w:p w14:paraId="05B07CCF">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十</w:t>
      </w:r>
      <w:r>
        <w:rPr>
          <w:rFonts w:hint="eastAsia" w:ascii="宋体" w:hAnsi="宋体" w:cs="宋体"/>
          <w:b/>
          <w:color w:val="auto"/>
          <w:sz w:val="22"/>
          <w:szCs w:val="22"/>
          <w:highlight w:val="none"/>
          <w:lang w:eastAsia="zh-CN"/>
        </w:rPr>
        <w:t>三</w:t>
      </w:r>
      <w:r>
        <w:rPr>
          <w:rFonts w:hint="eastAsia" w:ascii="宋体" w:hAnsi="宋体" w:cs="宋体"/>
          <w:b/>
          <w:color w:val="auto"/>
          <w:sz w:val="22"/>
          <w:szCs w:val="22"/>
          <w:highlight w:val="none"/>
        </w:rPr>
        <w:t>、其他事项</w:t>
      </w:r>
    </w:p>
    <w:p w14:paraId="78F4E0E7">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cs="宋体"/>
          <w:b/>
          <w:color w:val="auto"/>
          <w:sz w:val="22"/>
          <w:szCs w:val="22"/>
          <w:highlight w:val="none"/>
        </w:rPr>
      </w:pPr>
      <w:r>
        <w:rPr>
          <w:rFonts w:hint="eastAsia" w:ascii="宋体" w:hAnsi="宋体" w:cs="宋体"/>
          <w:b/>
          <w:bCs/>
          <w:color w:val="auto"/>
          <w:sz w:val="22"/>
          <w:szCs w:val="22"/>
          <w:highlight w:val="none"/>
          <w:lang w:val="en-US" w:eastAsia="zh-CN"/>
        </w:rPr>
        <w:t>27</w:t>
      </w:r>
      <w:r>
        <w:rPr>
          <w:rFonts w:hint="eastAsia" w:ascii="宋体" w:hAnsi="宋体" w:cs="宋体"/>
          <w:b/>
          <w:bCs/>
          <w:color w:val="auto"/>
          <w:sz w:val="22"/>
          <w:szCs w:val="22"/>
          <w:highlight w:val="none"/>
        </w:rPr>
        <w:t>.1</w:t>
      </w:r>
      <w:r>
        <w:rPr>
          <w:rFonts w:hint="eastAsia" w:ascii="宋体" w:hAnsi="宋体" w:cs="宋体"/>
          <w:b/>
          <w:color w:val="auto"/>
          <w:sz w:val="22"/>
          <w:szCs w:val="22"/>
          <w:highlight w:val="none"/>
        </w:rPr>
        <w:t>采购代理服务费的收取</w:t>
      </w:r>
    </w:p>
    <w:p w14:paraId="3B2C2676">
      <w:pPr>
        <w:pStyle w:val="10"/>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采购代理机构按规定向成交供应商收取</w:t>
      </w:r>
      <w:r>
        <w:rPr>
          <w:rFonts w:hint="eastAsia" w:hAnsi="宋体" w:cs="宋体"/>
          <w:color w:val="auto"/>
          <w:sz w:val="22"/>
          <w:szCs w:val="22"/>
          <w:highlight w:val="none"/>
          <w:lang w:eastAsia="zh-CN"/>
        </w:rPr>
        <w:t>采购</w:t>
      </w:r>
      <w:r>
        <w:rPr>
          <w:rFonts w:hint="eastAsia" w:ascii="宋体" w:hAnsi="宋体" w:cs="宋体"/>
          <w:color w:val="auto"/>
          <w:sz w:val="22"/>
          <w:szCs w:val="22"/>
          <w:highlight w:val="none"/>
        </w:rPr>
        <w:t>代理服务费。签订合同前，成交供应商应向采购代理机构一次性付清</w:t>
      </w:r>
      <w:r>
        <w:rPr>
          <w:rFonts w:hint="eastAsia" w:hAnsi="宋体" w:cs="宋体"/>
          <w:color w:val="auto"/>
          <w:sz w:val="22"/>
          <w:szCs w:val="22"/>
          <w:highlight w:val="none"/>
          <w:lang w:eastAsia="zh-CN"/>
        </w:rPr>
        <w:t>采购</w:t>
      </w:r>
      <w:r>
        <w:rPr>
          <w:rFonts w:hint="eastAsia" w:ascii="宋体" w:hAnsi="宋体" w:cs="宋体"/>
          <w:color w:val="auto"/>
          <w:sz w:val="22"/>
          <w:szCs w:val="22"/>
          <w:highlight w:val="none"/>
        </w:rPr>
        <w:t>代理服务费。代理服务收费标准，按照国家计价格[2002]1980号文招标代理服务收费标准</w:t>
      </w:r>
      <w:r>
        <w:rPr>
          <w:rFonts w:hint="eastAsia" w:ascii="宋体" w:hAnsi="宋体" w:cs="宋体"/>
          <w:color w:val="auto"/>
          <w:kern w:val="0"/>
          <w:sz w:val="22"/>
          <w:szCs w:val="22"/>
          <w:highlight w:val="none"/>
        </w:rPr>
        <w:t>货物类标准收费。</w:t>
      </w:r>
    </w:p>
    <w:p w14:paraId="2F795CA6">
      <w:pPr>
        <w:pStyle w:val="10"/>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hAnsi="宋体" w:cs="宋体"/>
          <w:bCs/>
          <w:color w:val="auto"/>
          <w:sz w:val="22"/>
          <w:szCs w:val="22"/>
          <w:highlight w:val="none"/>
        </w:rPr>
      </w:pPr>
      <w:r>
        <w:rPr>
          <w:rFonts w:hint="eastAsia" w:hAnsi="宋体" w:cs="宋体"/>
          <w:b/>
          <w:color w:val="auto"/>
          <w:sz w:val="22"/>
          <w:szCs w:val="22"/>
          <w:highlight w:val="none"/>
          <w:lang w:val="en-US" w:eastAsia="zh-CN"/>
        </w:rPr>
        <w:t>27</w:t>
      </w:r>
      <w:r>
        <w:rPr>
          <w:rFonts w:hint="eastAsia" w:hAnsi="宋体" w:cs="宋体"/>
          <w:b/>
          <w:color w:val="auto"/>
          <w:sz w:val="22"/>
          <w:szCs w:val="22"/>
          <w:highlight w:val="none"/>
        </w:rPr>
        <w:t>.2.解释权</w:t>
      </w:r>
    </w:p>
    <w:p w14:paraId="5372F2C2">
      <w:pPr>
        <w:pStyle w:val="10"/>
        <w:keepNext w:val="0"/>
        <w:keepLines w:val="0"/>
        <w:pageBreakBefore w:val="0"/>
        <w:widowControl w:val="0"/>
        <w:kinsoku/>
        <w:wordWrap/>
        <w:overflowPunct/>
        <w:topLinePunct w:val="0"/>
        <w:autoSpaceDE/>
        <w:autoSpaceDN/>
        <w:bidi w:val="0"/>
        <w:adjustRightInd w:val="0"/>
        <w:snapToGrid w:val="0"/>
        <w:spacing w:line="360" w:lineRule="auto"/>
        <w:ind w:firstLine="424" w:firstLineChars="200"/>
        <w:textAlignment w:val="auto"/>
        <w:rPr>
          <w:rFonts w:hint="eastAsia" w:hAnsi="宋体" w:cs="宋体"/>
          <w:color w:val="auto"/>
          <w:spacing w:val="-4"/>
          <w:sz w:val="22"/>
          <w:szCs w:val="22"/>
          <w:highlight w:val="none"/>
        </w:rPr>
      </w:pPr>
      <w:r>
        <w:rPr>
          <w:rFonts w:hint="eastAsia" w:hAnsi="宋体" w:cs="宋体"/>
          <w:color w:val="auto"/>
          <w:spacing w:val="-4"/>
          <w:sz w:val="22"/>
          <w:szCs w:val="22"/>
          <w:highlight w:val="none"/>
        </w:rPr>
        <w:t>本</w:t>
      </w:r>
      <w:r>
        <w:rPr>
          <w:rFonts w:hint="eastAsia" w:hAnsi="宋体" w:cs="宋体"/>
          <w:color w:val="auto"/>
          <w:sz w:val="22"/>
          <w:szCs w:val="22"/>
          <w:highlight w:val="none"/>
        </w:rPr>
        <w:t>竞争性谈判文件解</w:t>
      </w:r>
      <w:r>
        <w:rPr>
          <w:rFonts w:hint="eastAsia" w:hAnsi="宋体" w:cs="宋体"/>
          <w:color w:val="auto"/>
          <w:spacing w:val="-4"/>
          <w:sz w:val="22"/>
          <w:szCs w:val="22"/>
          <w:highlight w:val="none"/>
        </w:rPr>
        <w:t>释权属采购代理机构。</w:t>
      </w:r>
    </w:p>
    <w:p w14:paraId="5196AB36">
      <w:pPr>
        <w:pStyle w:val="10"/>
        <w:keepNext w:val="0"/>
        <w:keepLines w:val="0"/>
        <w:pageBreakBefore w:val="0"/>
        <w:widowControl w:val="0"/>
        <w:kinsoku/>
        <w:wordWrap/>
        <w:overflowPunct/>
        <w:topLinePunct w:val="0"/>
        <w:autoSpaceDE/>
        <w:autoSpaceDN/>
        <w:bidi w:val="0"/>
        <w:adjustRightInd w:val="0"/>
        <w:snapToGrid w:val="0"/>
        <w:spacing w:line="360" w:lineRule="auto"/>
        <w:ind w:firstLine="433" w:firstLineChars="196"/>
        <w:textAlignment w:val="auto"/>
        <w:rPr>
          <w:rFonts w:hint="eastAsia" w:hAnsi="宋体" w:cs="宋体"/>
          <w:color w:val="auto"/>
          <w:sz w:val="22"/>
          <w:szCs w:val="22"/>
          <w:highlight w:val="none"/>
        </w:rPr>
      </w:pPr>
      <w:r>
        <w:rPr>
          <w:rFonts w:hint="eastAsia" w:hAnsi="宋体" w:cs="宋体"/>
          <w:b/>
          <w:color w:val="auto"/>
          <w:sz w:val="22"/>
          <w:szCs w:val="22"/>
          <w:highlight w:val="none"/>
          <w:lang w:val="en-US" w:eastAsia="zh-CN"/>
        </w:rPr>
        <w:t>27</w:t>
      </w:r>
      <w:r>
        <w:rPr>
          <w:rFonts w:hint="eastAsia" w:hAnsi="宋体" w:cs="宋体"/>
          <w:b/>
          <w:color w:val="auto"/>
          <w:sz w:val="22"/>
          <w:szCs w:val="22"/>
          <w:highlight w:val="none"/>
        </w:rPr>
        <w:t>.3.有关事宜</w:t>
      </w:r>
    </w:p>
    <w:p w14:paraId="1EBA3F5C">
      <w:pPr>
        <w:pStyle w:val="10"/>
        <w:keepNext w:val="0"/>
        <w:keepLines w:val="0"/>
        <w:pageBreakBefore w:val="0"/>
        <w:widowControl w:val="0"/>
        <w:kinsoku/>
        <w:wordWrap/>
        <w:overflowPunct/>
        <w:topLinePunct w:val="0"/>
        <w:autoSpaceDE/>
        <w:autoSpaceDN/>
        <w:bidi w:val="0"/>
        <w:adjustRightInd w:val="0"/>
        <w:snapToGrid w:val="0"/>
        <w:spacing w:line="360" w:lineRule="auto"/>
        <w:ind w:firstLine="433" w:firstLineChars="197"/>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所有与本竞争性谈判文件有关的函件请按下列通讯地址联系：</w:t>
      </w:r>
    </w:p>
    <w:p w14:paraId="2DA37CCA">
      <w:pPr>
        <w:pStyle w:val="10"/>
        <w:keepNext w:val="0"/>
        <w:keepLines w:val="0"/>
        <w:pageBreakBefore w:val="0"/>
        <w:widowControl w:val="0"/>
        <w:tabs>
          <w:tab w:val="left" w:pos="1990"/>
        </w:tabs>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hAnsi="宋体" w:eastAsia="宋体" w:cs="宋体"/>
          <w:color w:val="auto"/>
          <w:sz w:val="22"/>
          <w:szCs w:val="22"/>
          <w:highlight w:val="none"/>
          <w:lang w:eastAsia="zh-CN"/>
        </w:rPr>
        <w:t>代理公司：广西中之元工程管理有限公司</w:t>
      </w:r>
    </w:p>
    <w:p w14:paraId="32AB4355">
      <w:pPr>
        <w:pStyle w:val="10"/>
        <w:keepNext w:val="0"/>
        <w:keepLines w:val="0"/>
        <w:pageBreakBefore w:val="0"/>
        <w:widowControl w:val="0"/>
        <w:tabs>
          <w:tab w:val="left" w:pos="1990"/>
        </w:tabs>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邮政编码：536</w:t>
      </w:r>
      <w:r>
        <w:rPr>
          <w:rFonts w:hint="eastAsia"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00</w:t>
      </w:r>
    </w:p>
    <w:p w14:paraId="61150C90">
      <w:pPr>
        <w:pStyle w:val="10"/>
        <w:keepNext w:val="0"/>
        <w:keepLines w:val="0"/>
        <w:pageBreakBefore w:val="0"/>
        <w:widowControl w:val="0"/>
        <w:tabs>
          <w:tab w:val="left" w:pos="1990"/>
        </w:tabs>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spacing w:val="-4"/>
          <w:sz w:val="22"/>
          <w:szCs w:val="22"/>
          <w:highlight w:val="none"/>
          <w:lang w:eastAsia="zh-CN"/>
        </w:rPr>
      </w:pPr>
      <w:r>
        <w:rPr>
          <w:rFonts w:hint="eastAsia" w:ascii="宋体" w:hAnsi="宋体" w:eastAsia="宋体" w:cs="宋体"/>
          <w:color w:val="auto"/>
          <w:sz w:val="22"/>
          <w:szCs w:val="22"/>
          <w:highlight w:val="none"/>
        </w:rPr>
        <w:t>通讯地址：广西合浦县</w:t>
      </w:r>
      <w:r>
        <w:rPr>
          <w:rFonts w:hint="eastAsia" w:hAnsi="宋体" w:eastAsia="宋体" w:cs="宋体"/>
          <w:color w:val="auto"/>
          <w:sz w:val="22"/>
          <w:szCs w:val="22"/>
          <w:highlight w:val="none"/>
          <w:lang w:val="en-US" w:eastAsia="zh-CN"/>
        </w:rPr>
        <w:t>廉州镇</w:t>
      </w:r>
      <w:r>
        <w:rPr>
          <w:rFonts w:hint="eastAsia" w:ascii="宋体" w:hAnsi="宋体" w:eastAsia="宋体" w:cs="宋体"/>
          <w:color w:val="auto"/>
          <w:sz w:val="22"/>
          <w:szCs w:val="22"/>
          <w:highlight w:val="none"/>
        </w:rPr>
        <w:t>文昌新城2栋9号楼</w:t>
      </w:r>
    </w:p>
    <w:p w14:paraId="5D883A43">
      <w:pPr>
        <w:pStyle w:val="6"/>
        <w:keepNext w:val="0"/>
        <w:keepLines w:val="0"/>
        <w:pageBreakBefore w:val="0"/>
        <w:widowControl w:val="0"/>
        <w:numPr>
          <w:ilvl w:val="0"/>
          <w:numId w:val="0"/>
        </w:numPr>
        <w:kinsoku/>
        <w:wordWrap/>
        <w:overflowPunct/>
        <w:topLinePunct w:val="0"/>
        <w:autoSpaceDE/>
        <w:autoSpaceDN/>
        <w:bidi w:val="0"/>
        <w:spacing w:line="360" w:lineRule="auto"/>
        <w:ind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电话/传真：</w:t>
      </w:r>
      <w:r>
        <w:rPr>
          <w:rFonts w:hint="eastAsia" w:ascii="宋体" w:hAnsi="宋体" w:eastAsia="宋体" w:cs="宋体"/>
          <w:color w:val="auto"/>
          <w:sz w:val="22"/>
          <w:szCs w:val="22"/>
          <w:highlight w:val="none"/>
          <w:lang w:eastAsia="zh-CN"/>
        </w:rPr>
        <w:t>0779-7200788</w:t>
      </w:r>
      <w:r>
        <w:rPr>
          <w:rFonts w:hint="eastAsia" w:ascii="宋体" w:hAnsi="宋体" w:eastAsia="宋体" w:cs="宋体"/>
          <w:color w:val="auto"/>
          <w:sz w:val="22"/>
          <w:szCs w:val="22"/>
          <w:highlight w:val="none"/>
        </w:rPr>
        <w:t xml:space="preserve"> </w:t>
      </w:r>
    </w:p>
    <w:p w14:paraId="7636D169">
      <w:pPr>
        <w:jc w:val="center"/>
        <w:rPr>
          <w:rFonts w:hint="eastAsia" w:ascii="宋体" w:hAnsi="宋体" w:cs="宋体"/>
          <w:color w:val="auto"/>
          <w:sz w:val="22"/>
          <w:szCs w:val="22"/>
          <w:highlight w:val="none"/>
        </w:rPr>
      </w:pPr>
      <w:r>
        <w:rPr>
          <w:rFonts w:hint="eastAsia" w:hAnsi="宋体" w:cs="宋体"/>
          <w:color w:val="auto"/>
          <w:sz w:val="22"/>
          <w:szCs w:val="22"/>
          <w:highlight w:val="none"/>
        </w:rPr>
        <w:br w:type="page"/>
      </w:r>
      <w:bookmarkStart w:id="31" w:name="_Toc19056"/>
      <w:r>
        <w:rPr>
          <w:rStyle w:val="26"/>
          <w:rFonts w:hint="eastAsia"/>
          <w:color w:val="auto"/>
          <w:highlight w:val="none"/>
          <w:lang w:val="en-US" w:eastAsia="zh-CN"/>
        </w:rPr>
        <w:t>第三章  采购项目需求</w:t>
      </w:r>
      <w:bookmarkEnd w:id="31"/>
    </w:p>
    <w:p w14:paraId="6A63CDB2">
      <w:pPr>
        <w:tabs>
          <w:tab w:val="left" w:pos="180"/>
          <w:tab w:val="left" w:pos="1620"/>
        </w:tabs>
        <w:adjustRightInd w:val="0"/>
        <w:snapToGrid w:val="0"/>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采购预算（人民币）：</w:t>
      </w:r>
      <w:r>
        <w:rPr>
          <w:rFonts w:hint="eastAsia" w:ascii="宋体" w:hAnsi="宋体" w:eastAsia="宋体" w:cs="宋体"/>
          <w:color w:val="auto"/>
          <w:sz w:val="22"/>
          <w:szCs w:val="22"/>
          <w:highlight w:val="none"/>
          <w:lang w:val="en-US" w:eastAsia="zh-CN"/>
        </w:rPr>
        <w:t>2000000.00.00</w:t>
      </w:r>
      <w:r>
        <w:rPr>
          <w:rFonts w:hint="eastAsia" w:ascii="宋体" w:hAnsi="宋体" w:cs="宋体"/>
          <w:color w:val="auto"/>
          <w:sz w:val="22"/>
          <w:szCs w:val="22"/>
          <w:highlight w:val="none"/>
          <w:lang w:eastAsia="zh-CN"/>
        </w:rPr>
        <w:t>元</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竞</w:t>
      </w:r>
      <w:r>
        <w:rPr>
          <w:rFonts w:hint="eastAsia" w:ascii="宋体" w:hAnsi="宋体" w:cs="宋体"/>
          <w:color w:val="auto"/>
          <w:sz w:val="22"/>
          <w:szCs w:val="22"/>
          <w:highlight w:val="none"/>
        </w:rPr>
        <w:t>标人的最终报价超过项目最高限价的，</w:t>
      </w:r>
      <w:r>
        <w:rPr>
          <w:rFonts w:hint="eastAsia" w:ascii="宋体" w:hAnsi="宋体" w:cs="宋体"/>
          <w:color w:val="auto"/>
          <w:sz w:val="22"/>
          <w:szCs w:val="22"/>
          <w:highlight w:val="none"/>
          <w:lang w:eastAsia="zh-CN"/>
        </w:rPr>
        <w:t>竞</w:t>
      </w:r>
      <w:r>
        <w:rPr>
          <w:rFonts w:hint="eastAsia" w:ascii="宋体" w:hAnsi="宋体" w:cs="宋体"/>
          <w:color w:val="auto"/>
          <w:sz w:val="22"/>
          <w:szCs w:val="22"/>
          <w:highlight w:val="none"/>
        </w:rPr>
        <w:t>标无效。</w:t>
      </w:r>
    </w:p>
    <w:p w14:paraId="7EE51D6E">
      <w:pPr>
        <w:tabs>
          <w:tab w:val="left" w:pos="180"/>
          <w:tab w:val="left" w:pos="1620"/>
        </w:tabs>
        <w:adjustRightInd w:val="0"/>
        <w:snapToGrid w:val="0"/>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项目类别：</w:t>
      </w:r>
      <w:r>
        <w:rPr>
          <w:rFonts w:hint="eastAsia" w:ascii="宋体" w:hAnsi="宋体" w:cs="宋体"/>
          <w:color w:val="auto"/>
          <w:sz w:val="22"/>
          <w:szCs w:val="22"/>
          <w:highlight w:val="none"/>
          <w:u w:val="single"/>
        </w:rPr>
        <w:t xml:space="preserve"> 货物类 </w:t>
      </w:r>
    </w:p>
    <w:p w14:paraId="5894761E">
      <w:pPr>
        <w:pStyle w:val="33"/>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、下表中的品牌型号、技术参数仅起参考作用，投标人可选用其他品牌型号替代，但这些替代的产品要实质上相当于或优于参考品牌型号及其技术参数性能（配置）要求。</w:t>
      </w:r>
    </w:p>
    <w:p w14:paraId="64EB1C36">
      <w:pPr>
        <w:pStyle w:val="33"/>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本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14:paraId="766458CA">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根据《关于印发中小企业划型标准规定的通知》（工信部联企业[2011]300号）规定的划分标准，本</w:t>
      </w:r>
      <w:r>
        <w:rPr>
          <w:rFonts w:hint="eastAsia" w:ascii="宋体" w:hAnsi="宋体" w:eastAsia="宋体" w:cs="宋体"/>
          <w:b w:val="0"/>
          <w:bCs w:val="0"/>
          <w:color w:val="auto"/>
          <w:sz w:val="21"/>
          <w:szCs w:val="21"/>
          <w:highlight w:val="none"/>
          <w:lang w:val="en-US" w:eastAsia="zh-CN"/>
        </w:rPr>
        <w:t>项目所有采购标的对应的中小企业划分标准所属行业为工业。</w:t>
      </w:r>
    </w:p>
    <w:p w14:paraId="3C0F9968">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6、产品参数带“</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”的技术参数，必须满足否则谈判无效。</w:t>
      </w:r>
    </w:p>
    <w:tbl>
      <w:tblPr>
        <w:tblStyle w:val="16"/>
        <w:tblpPr w:leftFromText="180" w:rightFromText="180" w:vertAnchor="text" w:horzAnchor="page" w:tblpX="947" w:tblpY="598"/>
        <w:tblOverlap w:val="never"/>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825"/>
        <w:gridCol w:w="7404"/>
        <w:gridCol w:w="648"/>
        <w:gridCol w:w="708"/>
      </w:tblGrid>
      <w:tr w14:paraId="0A5E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5C9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FBA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321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参数要求</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E38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CC6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20A0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8D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DF2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桌面式虚拟现实一体机裸眼3D设备</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A4B81">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桌面一体机式VR设备，系统为一体化设计，可自由调整使用角度，设备配置不小于27英寸的高清立体显示电脑一体机，实现软件资源的裸眼3D显示技术展示，无需佩戴3D眼镜即可观看到虚拟现实出屏和临场感效果；</w:t>
            </w:r>
          </w:p>
          <w:p w14:paraId="64AC43A0">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2、桌面式虚拟现实操作平台设备1套，包括：27英寸的高清立体显示电脑一体机、空间交互笔1支、电源适配器1个、AC连接线1根。</w:t>
            </w:r>
          </w:p>
          <w:p w14:paraId="7E3553C5">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3、系统硬件配置：</w:t>
            </w:r>
          </w:p>
          <w:p w14:paraId="37821E3E">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（1）支持Windows 10操作系统；</w:t>
            </w:r>
          </w:p>
          <w:p w14:paraId="19667BA6">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（2）CPU：性能不低于intel I7-12700F，不低于十二核心二十线程，性能核基本频率不低于2.1GHz</w:t>
            </w:r>
          </w:p>
          <w:p w14:paraId="2B715BE5">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（3）硬盘：≥512GB SSD；</w:t>
            </w:r>
          </w:p>
          <w:p w14:paraId="52FCB750">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（4）内存：≥16 GB DDR5；</w:t>
            </w:r>
          </w:p>
          <w:p w14:paraId="5BA35630">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（5）显卡：相当于或优于QUADRO T1000，专业图形显卡，显存不低于4GB DDR6</w:t>
            </w:r>
          </w:p>
          <w:p w14:paraId="480D470A">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（6）端口: USB 3.0* 2个、USB 2.0* 5个 、MiniDP*2；</w:t>
            </w:r>
          </w:p>
          <w:p w14:paraId="2F7E0B78">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（7）网络：支持以太网连接，支持802.11a/b/g/n/ac高速无线传输，支持蓝牙4.0。</w:t>
            </w:r>
          </w:p>
          <w:p w14:paraId="0C43641C">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（8）内置两个扬声器，阻抗不低于8欧姆，功耗不超过3W。</w:t>
            </w:r>
          </w:p>
          <w:p w14:paraId="7A0D006E">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4、显示参数</w:t>
            </w:r>
          </w:p>
          <w:p w14:paraId="1E5736CA">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显示技术：采用27英寸电控可切换式液晶光栅裸眼3D显示技术（非贴膜式柱镜光栅技术），裸眼3D显示屏具有2D工作模式与3D工作模式，在2D工作模式下，显示屏分辨率及清晰度不受任何影响，可通过软件自动控制或者使用按键任意切换显示屏的2D与3D工作模式；3D显示刷新率≥60hz，2D显示分辨率:不低于3840*2160；（需提供具备CMA或CNAS认证的第三方检测机构出具的检测报告以验证参数）；</w:t>
            </w:r>
          </w:p>
          <w:p w14:paraId="3F589CE9">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（2）裸眼3D显示屏尺寸：≥27英寸；</w:t>
            </w:r>
          </w:p>
          <w:p w14:paraId="30FAE675">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（3）对比度：≥1000:1(typ.) ；</w:t>
            </w:r>
          </w:p>
          <w:p w14:paraId="4B456CEB">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（4）2D可视角度：水平≥85° 垂直≥80°；</w:t>
            </w:r>
          </w:p>
          <w:p w14:paraId="7FFF2806">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（5）响应时间：≤14ms(GTG)；</w:t>
            </w:r>
          </w:p>
          <w:p w14:paraId="3A94F548">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（6）3D串扰度：≤2.5%；</w:t>
            </w:r>
          </w:p>
          <w:p w14:paraId="75673BF4">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（7）3D观看视角：水平≥±20°；</w:t>
            </w:r>
          </w:p>
          <w:p w14:paraId="69930126">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5、硬件设备功能要求：</w:t>
            </w:r>
          </w:p>
          <w:p w14:paraId="215D95DA">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具有虚拟现实显示方式与普通2D显示方式，当打开3D内容软件，显示方式由普通2D显示屏方式自动切换成3D显示方式，眼球追踪系统追踪到主观看者眼球后即可单人观看裸眼3D显示效果；当关闭3D内容软件后，显示方式自动切换至普通2D显示方式；</w:t>
            </w:r>
          </w:p>
          <w:p w14:paraId="41D6E0CA">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（2）具有眼球追踪功能，裸眼3D显示系统能够根据眼球追踪系统实时探测到的人眼位置进行3D图像精准处理，使观看者能够实时观看到清晰的3D立体图像；</w:t>
            </w:r>
          </w:p>
          <w:p w14:paraId="4987182F">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（3）支持左右格式的3D信号源；</w:t>
            </w:r>
          </w:p>
          <w:p w14:paraId="2956F011">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（4）支持2D/3D自动切换；</w:t>
            </w:r>
          </w:p>
          <w:p w14:paraId="2D43A823">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（5）具有按键切换2D与3D工作模式功能；</w:t>
            </w:r>
          </w:p>
          <w:p w14:paraId="0FCC8EA7">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▲（6）电容式触控：为保证课堂的使用和互动，整机具备电容触控技术，支持10点触控，触控响应时间≤25ms。（需提供具备CMA或CNAS认证的第三方检测机构出具的检测报告以验证参数）</w:t>
            </w:r>
          </w:p>
          <w:p w14:paraId="682B4FE1">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6、裸眼式3D显示跟踪系统</w:t>
            </w:r>
          </w:p>
          <w:p w14:paraId="438BDCC0">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（1）3D显示追踪系统支持一键控制信号源切换；</w:t>
            </w:r>
          </w:p>
          <w:p w14:paraId="4068FC3E">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3D显示跟踪系统包含：≥3组红外传感器，每组红外传感器都包含2个同步双目相机，单组红外传感器即可实现对目标物的实时跟踪；3组红外传感器协同工作，可提升对目标物追踪的覆盖范围及追踪系统的精度（提供设备实际图片佐证，并同时提供具备CMA或CNAS认证的第三方检测机构出具的检测报告以验证参数）；</w:t>
            </w:r>
          </w:p>
          <w:p w14:paraId="53CD9D0D">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（3）3D显示跟踪系统的追踪系统可实时输出当前显示系统的姿态信息，并将当前显示系统的姿态信息映射到虚拟场景，获得最精准的3D显示图像；</w:t>
            </w:r>
          </w:p>
          <w:p w14:paraId="050D2562">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（4）3D显示跟踪系统支持全屏3D，60Hz或以上刷新率。</w:t>
            </w:r>
          </w:p>
          <w:p w14:paraId="23819A87">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（5）3D工作温度：10℃~40℃；</w:t>
            </w:r>
          </w:p>
          <w:p w14:paraId="4D3EDD95">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7、配件功能</w:t>
            </w:r>
          </w:p>
          <w:p w14:paraId="38F09D90">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系统配备空间交互笔：支持6自由度坐标轴和空中姿态追踪；追踪精度&lt;1mm,角度精度&lt;0.1度；空间交互笔与主机采用有线连接方式保证信号稳定；空间交互笔无需电池供电；采用握笔式设计，空间交互笔内置振动器，可以通过震动方式来反馈用户操作。（需提供具备CMA或CNAS认证的第三方检测机构出具的检测报告以验证参数）</w:t>
            </w:r>
          </w:p>
          <w:p w14:paraId="7D0C2D7B">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8、智慧物联控制系统参数</w:t>
            </w:r>
          </w:p>
          <w:p w14:paraId="01FBDA8F">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系统内置智慧物联控制系统，不依赖任何外部有线网络、蓝牙、WIFI设备，支持同一空间内大于60台以上的桌面式VR设备进行自动自组网络，配合教师端及学生端智能控制软件，可实现教师机对学生机的运行状态进行：开机、关机、静默模式控制，同时，教师机也可对学生机进行：全局控制、分组控制、单台设备控制。（需提供具备CMA或CNAS认证的第三方检测机构出具的检测报告以验证参数）</w:t>
            </w:r>
          </w:p>
          <w:p w14:paraId="77A57436">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内置有智慧物联控制系统教师端软件；通过该控制软件可以实现教师机对学生机当前状态的查询及状态的控制，教师机对学生机的控制方式支持：全局控制、分组控制、单台机器控制，教师机可对学生机实施的状态控制可包含：控制学生机开机、关机、静默等多种模式；</w:t>
            </w:r>
          </w:p>
          <w:p w14:paraId="12F64517">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9、内置XR控制面板工具软件，通过可视化界面操作，使用者可快速、便捷地对桌面一体机进行硬件及环境检测、功能验证、故障自动修复、故障排查等工作。含五个模块，分别为：本机接线图（可查看机器侧面和背面硬件接口示意图）、系统信息查看（可实时检测系统信息、设备信息、服务状态、屏幕信息、电源等信息）、空间定位笔查看（可实时查看定位笔的连接状态、姿态数据是否正常，按键功能是否正常，可调节测试震动强度等）、追踪系统测试（可实时确认追踪系统功能调用是否正常，连接上定位笔，将定位笔置入追踪范围内可检测追踪状态及定位笔空间坐标值、旋转值的变化是否正常）、系统监测模块（可实时监测CPU使用率、GPU使用率、内存使用率、CPU温度、磁盘读取速度、磁盘写入速度、网络接收速度、网络发送速度）。</w:t>
            </w:r>
          </w:p>
          <w:p w14:paraId="33FDACDB">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10、内置XR投屏工具软件，可搭配外接AR摄像头和外接大屏扩展显示，实现AR功能效果展示，即在一体机端交互拖动3D模型，可以在外接大屏同步观看3D模型被拖出屏幕到现实空间中的视觉效果，结合现实环境进行AR效果教学或展示；可搭配带3D显示功能的大屏做扩屏模式显示，实现立体3d的VR投屏功能。</w:t>
            </w:r>
          </w:p>
          <w:p w14:paraId="7C7E0F3A">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◆11、内置主体印象VR体验软件，是一款示范展示裸眼3D VR交互一体机的显示效果和交互方式的体验软件。软件同时支持键鼠、触控和射线笔三种交互方式；场景主界面通过魔法书翻页切换模块，魔法书翻到各个模块，点击进入相应模块；（为保障教学质量，此项</w:t>
            </w:r>
            <w:r>
              <w:rPr>
                <w:rFonts w:hint="eastAsia" w:ascii="宋体" w:hAnsi="宋体" w:eastAsia="宋体" w:cs="宋体"/>
                <w:i w:val="0"/>
                <w:iCs w:val="0"/>
                <w:color w:val="auto"/>
                <w:sz w:val="21"/>
                <w:szCs w:val="21"/>
                <w:highlight w:val="none"/>
                <w:u w:val="none"/>
                <w:lang w:eastAsia="zh-CN"/>
              </w:rPr>
              <w:t>成交后</w:t>
            </w:r>
            <w:r>
              <w:rPr>
                <w:rFonts w:hint="eastAsia" w:ascii="宋体" w:hAnsi="宋体" w:eastAsia="宋体" w:cs="宋体"/>
                <w:i w:val="0"/>
                <w:iCs w:val="0"/>
                <w:color w:val="auto"/>
                <w:sz w:val="21"/>
                <w:szCs w:val="21"/>
                <w:highlight w:val="none"/>
                <w:u w:val="none"/>
              </w:rPr>
              <w:t>需要提供视频演示）</w:t>
            </w:r>
          </w:p>
          <w:p w14:paraId="7B558A98">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场景主界面有可交互物体，点击中键可拿起放大镜，调整射线笔的角度，同时可以调整放大镜的角度，放到任一物体上方都能放大观察使用；点击中键拿起鹅毛笔，可在书面进行书写；烛台、盒子等桌子上的物体，可任意点击、拿起观察，有物理碰撞效果，松手后掉落到当前位置，再次返回此界面，可重置所有物体；</w:t>
            </w:r>
          </w:p>
          <w:p w14:paraId="3D50169C">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金刚鹦鹉模块：点击魔法书页的鹦鹉进入金刚鹦鹉场景，场景包含金刚鹦鹉和大树背景；鹦鹉站在树枝上，当没有和鹦鹉接触时，鹦鹉会随机做出几个待机动作，包含：歪头、煽翅膀、挠头、左右摇晃、翅膀抖动、嘴巴张开、俯身等动作；用户可以用射线笔抓取树枝来逗鹦鹉，鹦鹉会根据树枝的力道和逗的位置的不同来做出不同的反应；鹦鹉可以绕树飞行一圈和绕着树枝飞行；场景配上热带雨林的背景声，鹦鹉在做出叫声的时候，可模拟“快和我说说话”“你好”“hello”等声音；具有鹦鹉学舌功能，可以模仿用户的声音；</w:t>
            </w:r>
          </w:p>
          <w:p w14:paraId="1C44D596">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太阳系模块：模块包含太阳、地球、水星、土星、木星、金星、火星、天王星、海王星、月球等太阳系主要星体。模块可以精确展示太阳系星体运行轨迹，通过调节时间速率，可以精确查看任意时间点的星体运行轨迹关系；模块可以选择单个星体，具有剖视功能，点击可查看星体内部结构；</w:t>
            </w:r>
          </w:p>
          <w:p w14:paraId="1B9C555F">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眼睛模块：模块包含眼球的生理结构展示，具有剖面展示和分层展示功能；模块包含角膜、虹膜、巩膜、房水、睫状体、脉络膜、视网膜、晶状体、玻璃体和眼球外肌等结构组成；所有模型可支持自由拖动、旋转、缩放，并且选中任一模型均显示标签指引对应部件名称；</w:t>
            </w:r>
          </w:p>
          <w:p w14:paraId="4C5B58A3">
            <w:pPr>
              <w:tabs>
                <w:tab w:val="left" w:pos="0"/>
              </w:tabs>
              <w:ind w:firstLine="420" w:firstLineChars="200"/>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机械模块：模块包含机械盘的结构展示，支持整体移动机械盘展示和单独移动机械盘零件展示；机械盘支持爆炸方式展示单个零件，零件数量不低于200个；所有零件模型可支持自由拖动、旋转、缩放；具有机械盘运行动画展示功能，展示机械盘上所有零件的运行动画；（为保证软件质量，此项需投标人提供视频/现场演示）</w:t>
            </w:r>
          </w:p>
          <w:p w14:paraId="6628B358">
            <w:pPr>
              <w:tabs>
                <w:tab w:val="left" w:pos="0"/>
              </w:tabs>
              <w:ind w:firstLine="420" w:firstLineChars="200"/>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6）VR立体拼图游戏模块：游戏包含文物、建筑、动物、服饰、机械等3D物体的碎片拼图，至少包含5种3D模型物体的拼图；拼图按照碎片数量分为一星、二星和三星难度；用户选择可拼接到一起的碎片，逐渐拼成立体的完整模型来完成游戏，在拼接过程中，用户可以任意旋转模型以便更好的完成任务；游戏分别有背景音乐、拼接音效等，增加游戏乐趣；游戏拼接成功后有完成特效，增加用户成就感；具有整理功能，快速将碎片整理至初始状态；游戏具有记录进度功能，用户可以选择从上次的进度开始还是重新开始游戏</w:t>
            </w:r>
            <w:r>
              <w:rPr>
                <w:rFonts w:hint="eastAsia" w:ascii="宋体" w:hAnsi="宋体" w:eastAsia="宋体" w:cs="宋体"/>
                <w:i w:val="0"/>
                <w:iCs w:val="0"/>
                <w:color w:val="auto"/>
                <w:sz w:val="21"/>
                <w:szCs w:val="21"/>
                <w:highlight w:val="none"/>
                <w:u w:val="none"/>
                <w:lang w:eastAsia="zh-CN"/>
              </w:rPr>
              <w:t>。</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21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C1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8F6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53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AB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桌面式虚拟现实一体机</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F0AF4">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1.桌面一体机式VR设备系统为一体化设计，可自由调整使用角度，设备配置不小于</w:t>
            </w:r>
            <w:r>
              <w:rPr>
                <w:rFonts w:hint="eastAsia" w:ascii="宋体" w:hAnsi="宋体" w:eastAsia="宋体" w:cs="宋体"/>
                <w:b w:val="0"/>
                <w:bCs w:val="0"/>
                <w:color w:val="auto"/>
                <w:kern w:val="0"/>
                <w:sz w:val="21"/>
                <w:szCs w:val="21"/>
                <w:highlight w:val="none"/>
              </w:rPr>
              <w:t>27英寸的高清立体显示电脑一体机</w:t>
            </w:r>
            <w:r>
              <w:rPr>
                <w:rFonts w:hint="eastAsia" w:ascii="宋体" w:hAnsi="宋体" w:eastAsia="宋体" w:cs="宋体"/>
                <w:b w:val="0"/>
                <w:bCs w:val="0"/>
                <w:color w:val="auto"/>
                <w:sz w:val="21"/>
                <w:szCs w:val="21"/>
                <w:highlight w:val="none"/>
              </w:rPr>
              <w:t>，实现软件资源的立体展示，搭配位置追踪元件的3D光学追踪眼镜实现虚拟现实出屏和临场感效果；</w:t>
            </w:r>
          </w:p>
          <w:p w14:paraId="22EA8419">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2.桌面式虚拟现实操作平台设备1套，包括：</w:t>
            </w:r>
            <w:r>
              <w:rPr>
                <w:rFonts w:hint="eastAsia" w:ascii="宋体" w:hAnsi="宋体" w:eastAsia="宋体" w:cs="宋体"/>
                <w:b w:val="0"/>
                <w:bCs w:val="0"/>
                <w:color w:val="auto"/>
                <w:kern w:val="0"/>
                <w:sz w:val="21"/>
                <w:szCs w:val="21"/>
                <w:highlight w:val="none"/>
              </w:rPr>
              <w:t>27英寸的高清立体显示电脑一体机</w:t>
            </w:r>
            <w:r>
              <w:rPr>
                <w:rFonts w:hint="eastAsia" w:ascii="宋体" w:hAnsi="宋体" w:eastAsia="宋体" w:cs="宋体"/>
                <w:b w:val="0"/>
                <w:bCs w:val="0"/>
                <w:color w:val="auto"/>
                <w:sz w:val="21"/>
                <w:szCs w:val="21"/>
                <w:highlight w:val="none"/>
              </w:rPr>
              <w:t>、</w:t>
            </w:r>
            <w:bookmarkStart w:id="32" w:name="_Hlk129181395"/>
            <w:r>
              <w:rPr>
                <w:rFonts w:hint="eastAsia" w:ascii="宋体" w:hAnsi="宋体" w:eastAsia="宋体" w:cs="宋体"/>
                <w:b w:val="0"/>
                <w:bCs w:val="0"/>
                <w:color w:val="auto"/>
                <w:sz w:val="21"/>
                <w:szCs w:val="21"/>
                <w:highlight w:val="none"/>
                <w:lang w:val="en-US" w:eastAsia="zh-CN"/>
              </w:rPr>
              <w:t>3D</w:t>
            </w:r>
            <w:r>
              <w:rPr>
                <w:rFonts w:hint="eastAsia" w:ascii="宋体" w:hAnsi="宋体" w:eastAsia="宋体" w:cs="宋体"/>
                <w:b w:val="0"/>
                <w:bCs w:val="0"/>
                <w:color w:val="auto"/>
                <w:sz w:val="21"/>
                <w:szCs w:val="21"/>
                <w:highlight w:val="none"/>
              </w:rPr>
              <w:t>光学追踪眼镜</w:t>
            </w:r>
            <w:bookmarkEnd w:id="32"/>
            <w:r>
              <w:rPr>
                <w:rFonts w:hint="eastAsia" w:ascii="宋体" w:hAnsi="宋体" w:eastAsia="宋体" w:cs="宋体"/>
                <w:b w:val="0"/>
                <w:bCs w:val="0"/>
                <w:color w:val="auto"/>
                <w:sz w:val="21"/>
                <w:szCs w:val="21"/>
                <w:highlight w:val="none"/>
              </w:rPr>
              <w:t>1副</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3D光学</w:t>
            </w:r>
            <w:r>
              <w:rPr>
                <w:rFonts w:hint="eastAsia" w:ascii="宋体" w:hAnsi="宋体" w:eastAsia="宋体" w:cs="宋体"/>
                <w:b w:val="0"/>
                <w:bCs w:val="0"/>
                <w:color w:val="auto"/>
                <w:sz w:val="21"/>
                <w:szCs w:val="21"/>
                <w:highlight w:val="none"/>
              </w:rPr>
              <w:t>非</w:t>
            </w:r>
            <w:r>
              <w:rPr>
                <w:rFonts w:hint="eastAsia" w:ascii="宋体" w:hAnsi="宋体" w:eastAsia="宋体" w:cs="宋体"/>
                <w:b w:val="0"/>
                <w:bCs w:val="0"/>
                <w:color w:val="auto"/>
                <w:sz w:val="21"/>
                <w:szCs w:val="21"/>
                <w:highlight w:val="none"/>
                <w:lang w:val="en-US" w:eastAsia="zh-CN"/>
              </w:rPr>
              <w:t>追</w:t>
            </w:r>
            <w:r>
              <w:rPr>
                <w:rFonts w:hint="eastAsia" w:ascii="宋体" w:hAnsi="宋体" w:eastAsia="宋体" w:cs="宋体"/>
                <w:b w:val="0"/>
                <w:bCs w:val="0"/>
                <w:color w:val="auto"/>
                <w:sz w:val="21"/>
                <w:szCs w:val="21"/>
                <w:highlight w:val="none"/>
              </w:rPr>
              <w:t>踪眼镜2副、空间交互笔1支、电源适配器1个、AC连接线1根。</w:t>
            </w:r>
          </w:p>
          <w:p w14:paraId="126FC63A">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3.系统硬件配置：</w:t>
            </w:r>
          </w:p>
          <w:p w14:paraId="7D968101">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（1）支持Windows 10操作系统；</w:t>
            </w:r>
          </w:p>
          <w:p w14:paraId="170A010C">
            <w:pPr>
              <w:widowControl/>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（2）CPU：相当于或优于intel I5-9400F，不低于六核心六线程，主频不低于2.9GHz</w:t>
            </w:r>
            <w:r>
              <w:rPr>
                <w:rFonts w:hint="eastAsia" w:ascii="宋体" w:hAnsi="宋体" w:eastAsia="宋体" w:cs="宋体"/>
                <w:b w:val="0"/>
                <w:bCs w:val="0"/>
                <w:color w:val="auto"/>
                <w:sz w:val="21"/>
                <w:szCs w:val="21"/>
                <w:highlight w:val="none"/>
                <w:lang w:eastAsia="zh-CN"/>
              </w:rPr>
              <w:t>；</w:t>
            </w:r>
          </w:p>
          <w:p w14:paraId="6F91A511">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（3）硬盘：≥512G</w:t>
            </w:r>
            <w:r>
              <w:rPr>
                <w:rFonts w:hint="eastAsia" w:ascii="宋体" w:hAnsi="宋体" w:eastAsia="宋体" w:cs="宋体"/>
                <w:b w:val="0"/>
                <w:bCs w:val="0"/>
                <w:color w:val="auto"/>
                <w:sz w:val="21"/>
                <w:szCs w:val="21"/>
                <w:highlight w:val="none"/>
                <w:lang w:val="en-US" w:eastAsia="zh-CN"/>
              </w:rPr>
              <w:t>B</w:t>
            </w:r>
            <w:r>
              <w:rPr>
                <w:rFonts w:hint="eastAsia" w:ascii="宋体" w:hAnsi="宋体" w:eastAsia="宋体" w:cs="宋体"/>
                <w:b w:val="0"/>
                <w:bCs w:val="0"/>
                <w:color w:val="auto"/>
                <w:sz w:val="21"/>
                <w:szCs w:val="21"/>
                <w:highlight w:val="none"/>
              </w:rPr>
              <w:t xml:space="preserve"> SSD；</w:t>
            </w:r>
          </w:p>
          <w:p w14:paraId="5ED09AB4">
            <w:pPr>
              <w:widowControl/>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（4）内存：≥16G</w:t>
            </w:r>
            <w:r>
              <w:rPr>
                <w:rFonts w:hint="eastAsia" w:ascii="宋体" w:hAnsi="宋体" w:eastAsia="宋体" w:cs="宋体"/>
                <w:b w:val="0"/>
                <w:bCs w:val="0"/>
                <w:color w:val="auto"/>
                <w:sz w:val="21"/>
                <w:szCs w:val="21"/>
                <w:highlight w:val="none"/>
                <w:lang w:val="en-US" w:eastAsia="zh-CN"/>
              </w:rPr>
              <w:t xml:space="preserve">B </w:t>
            </w:r>
            <w:r>
              <w:rPr>
                <w:rFonts w:hint="eastAsia" w:ascii="宋体" w:hAnsi="宋体" w:eastAsia="宋体" w:cs="宋体"/>
                <w:b w:val="0"/>
                <w:bCs w:val="0"/>
                <w:color w:val="auto"/>
                <w:sz w:val="21"/>
                <w:szCs w:val="21"/>
                <w:highlight w:val="none"/>
              </w:rPr>
              <w:t>DDR4</w:t>
            </w:r>
            <w:r>
              <w:rPr>
                <w:rFonts w:hint="eastAsia" w:ascii="宋体" w:hAnsi="宋体" w:eastAsia="宋体" w:cs="宋体"/>
                <w:b w:val="0"/>
                <w:bCs w:val="0"/>
                <w:color w:val="auto"/>
                <w:sz w:val="21"/>
                <w:szCs w:val="21"/>
                <w:highlight w:val="none"/>
                <w:lang w:eastAsia="zh-CN"/>
              </w:rPr>
              <w:t>；</w:t>
            </w:r>
          </w:p>
          <w:p w14:paraId="70A37CAF">
            <w:pPr>
              <w:widowControl/>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（5）显卡：相当于或优于QUADRO T1000，专业图形显卡，显存不低于4GB DDR6</w:t>
            </w:r>
            <w:r>
              <w:rPr>
                <w:rFonts w:hint="eastAsia" w:ascii="宋体" w:hAnsi="宋体" w:eastAsia="宋体" w:cs="宋体"/>
                <w:b w:val="0"/>
                <w:bCs w:val="0"/>
                <w:color w:val="auto"/>
                <w:sz w:val="21"/>
                <w:szCs w:val="21"/>
                <w:highlight w:val="none"/>
                <w:lang w:eastAsia="zh-CN"/>
              </w:rPr>
              <w:t>；</w:t>
            </w:r>
          </w:p>
          <w:p w14:paraId="6ACA23EB">
            <w:pPr>
              <w:widowControl/>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（6）分辨率：不低于1920*1080，亮度不低于400cd/㎡，对比度不低于1000:1</w:t>
            </w:r>
            <w:r>
              <w:rPr>
                <w:rFonts w:hint="eastAsia" w:ascii="宋体" w:hAnsi="宋体" w:eastAsia="宋体" w:cs="宋体"/>
                <w:b w:val="0"/>
                <w:bCs w:val="0"/>
                <w:color w:val="auto"/>
                <w:sz w:val="21"/>
                <w:szCs w:val="21"/>
                <w:highlight w:val="none"/>
                <w:lang w:eastAsia="zh-CN"/>
              </w:rPr>
              <w:t>；</w:t>
            </w:r>
          </w:p>
          <w:p w14:paraId="7BFA7F19">
            <w:pPr>
              <w:widowControl/>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（7）刷新率不低于 120Hz</w:t>
            </w:r>
            <w:r>
              <w:rPr>
                <w:rFonts w:hint="eastAsia" w:ascii="宋体" w:hAnsi="宋体" w:eastAsia="宋体" w:cs="宋体"/>
                <w:b w:val="0"/>
                <w:bCs w:val="0"/>
                <w:color w:val="auto"/>
                <w:sz w:val="21"/>
                <w:szCs w:val="21"/>
                <w:highlight w:val="none"/>
                <w:lang w:eastAsia="zh-CN"/>
              </w:rPr>
              <w:t>；</w:t>
            </w:r>
          </w:p>
          <w:p w14:paraId="795EDB69">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（8）设备具备不低于2个USB3.0端口、不低于5个USB2.0端口、不低于2个MiniDP输出端口；</w:t>
            </w:r>
          </w:p>
          <w:p w14:paraId="065B3589">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（9）支持以太网连接，支持802.11a/b/g/n</w:t>
            </w:r>
            <w:r>
              <w:rPr>
                <w:rFonts w:hint="eastAsia" w:ascii="宋体" w:hAnsi="宋体" w:eastAsia="宋体" w:cs="宋体"/>
                <w:b w:val="0"/>
                <w:bCs w:val="0"/>
                <w:color w:val="auto"/>
                <w:sz w:val="21"/>
                <w:szCs w:val="21"/>
                <w:highlight w:val="none"/>
                <w:lang w:val="en-US" w:eastAsia="zh-CN"/>
              </w:rPr>
              <w:t>/ac</w:t>
            </w:r>
            <w:r>
              <w:rPr>
                <w:rFonts w:hint="eastAsia" w:ascii="宋体" w:hAnsi="宋体" w:eastAsia="宋体" w:cs="宋体"/>
                <w:b w:val="0"/>
                <w:bCs w:val="0"/>
                <w:color w:val="auto"/>
                <w:sz w:val="21"/>
                <w:szCs w:val="21"/>
                <w:highlight w:val="none"/>
              </w:rPr>
              <w:t>高速无线传输，支持蓝牙4.0；</w:t>
            </w:r>
          </w:p>
          <w:p w14:paraId="2F44536D">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（10）内置两个8欧3瓦的扬声器</w:t>
            </w:r>
          </w:p>
          <w:p w14:paraId="5F727269">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4.硬件设备功能要求：</w:t>
            </w:r>
          </w:p>
          <w:p w14:paraId="15B5229B">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具有虚拟现实显示方式与普通显示方式自动切换功能，当3D光学追踪眼镜出现在屏幕传感器捕捉范围内，显示方式由普通显示屏方式自动切换成3D显示方式，当3D光学追踪眼镜在屏幕传感器之外，显示方式自动切换至普通显示方式。</w:t>
            </w:r>
          </w:p>
          <w:p w14:paraId="4C0730DD">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（2）支持播放上下、左右格式的3D视频资源；</w:t>
            </w:r>
          </w:p>
          <w:p w14:paraId="3B932160">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（3）支持按键式2D/3D切换；</w:t>
            </w:r>
          </w:p>
          <w:p w14:paraId="5DB5E305">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5.显示、跟踪系统参数</w:t>
            </w:r>
          </w:p>
          <w:p w14:paraId="4BC2CFD6">
            <w:pPr>
              <w:widowControl/>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（1）3D显示跟踪系统内置NVIDIA 3D vision处理系统和3D同步蓝牙信号发射系统，3D同步信号有效覆盖范围≥10米，信号传输稳定，抗干扰；</w:t>
            </w:r>
            <w:r>
              <w:rPr>
                <w:rFonts w:hint="eastAsia" w:ascii="宋体" w:hAnsi="宋体" w:eastAsia="宋体" w:cs="宋体"/>
                <w:b w:val="0"/>
                <w:bCs w:val="0"/>
                <w:color w:val="auto"/>
                <w:sz w:val="21"/>
                <w:szCs w:val="21"/>
                <w:highlight w:val="none"/>
                <w:lang w:eastAsia="zh-CN"/>
              </w:rPr>
              <w:t>；</w:t>
            </w:r>
          </w:p>
          <w:p w14:paraId="18A01DE6">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rPr>
              <w:t>（2）3D显示追踪系统至少包含2路HDMI输入接口，且每一路HDMI接口都支持120hz信号源输入（需提供具备CMA或CNAS认证的第三方检测机构出具的检测报告以验证参数）；</w:t>
            </w:r>
          </w:p>
          <w:p w14:paraId="54132C00">
            <w:pPr>
              <w:widowControl/>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（3）3D显示追踪系统支持一键控制信号源切换</w:t>
            </w:r>
            <w:r>
              <w:rPr>
                <w:rFonts w:hint="eastAsia" w:ascii="宋体" w:hAnsi="宋体" w:eastAsia="宋体" w:cs="宋体"/>
                <w:b w:val="0"/>
                <w:bCs w:val="0"/>
                <w:color w:val="auto"/>
                <w:sz w:val="21"/>
                <w:szCs w:val="21"/>
                <w:highlight w:val="none"/>
                <w:lang w:eastAsia="zh-CN"/>
              </w:rPr>
              <w:t>；</w:t>
            </w:r>
          </w:p>
          <w:p w14:paraId="37C1A2B6">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跟踪系统包含：≥3组红外传感器，每组红外传感器都包含2个同步双目相机，单组红外传感器即可实现对目标物的实时跟踪；3组红外传感器协同工作，可提升对目标物追踪的覆盖范围及追踪系统的精度（需提供具备CMA或CNAS认证的第三方检测机构出具的检测报告以验证参数）；</w:t>
            </w:r>
          </w:p>
          <w:p w14:paraId="344C28FA">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）跟踪系统包含：≥3组红外光源阵列，每组红外光源阵列配置有4个红外光源灯，均匀分布保证光照亮度（需提供具备CMA或CNAS认证的第三方检测机构出具的检测报告以验证参数）；</w:t>
            </w:r>
          </w:p>
          <w:p w14:paraId="6931604A">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）3D显示跟踪系统的追踪系统可实时输出当前显示系统的姿态信息，并将当前显示系统的姿态信息映射到虚拟场景，获得最精准的3D显示图像；</w:t>
            </w:r>
          </w:p>
          <w:p w14:paraId="626C0709">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）3D显示系统支持窗口/全屏3D，120Hz或以上刷新率；</w:t>
            </w:r>
          </w:p>
          <w:p w14:paraId="6A3EBF03">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（8）3D工作温度：10℃~40℃；</w:t>
            </w:r>
          </w:p>
          <w:p w14:paraId="4995C196">
            <w:pPr>
              <w:widowControl/>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6.配套</w:t>
            </w:r>
            <w:r>
              <w:rPr>
                <w:rFonts w:hint="eastAsia" w:ascii="宋体" w:hAnsi="宋体" w:eastAsia="宋体" w:cs="宋体"/>
                <w:b w:val="0"/>
                <w:bCs w:val="0"/>
                <w:color w:val="auto"/>
                <w:sz w:val="21"/>
                <w:szCs w:val="21"/>
                <w:highlight w:val="none"/>
                <w:lang w:val="en-US" w:eastAsia="zh-CN"/>
              </w:rPr>
              <w:t>3D</w:t>
            </w:r>
            <w:r>
              <w:rPr>
                <w:rFonts w:hint="eastAsia" w:ascii="宋体" w:hAnsi="宋体" w:eastAsia="宋体" w:cs="宋体"/>
                <w:b w:val="0"/>
                <w:bCs w:val="0"/>
                <w:color w:val="auto"/>
                <w:sz w:val="21"/>
                <w:szCs w:val="21"/>
                <w:highlight w:val="none"/>
              </w:rPr>
              <w:t>光学追踪眼镜设备参数要求</w:t>
            </w:r>
            <w:r>
              <w:rPr>
                <w:rFonts w:hint="eastAsia" w:ascii="宋体" w:hAnsi="宋体" w:eastAsia="宋体" w:cs="宋体"/>
                <w:b w:val="0"/>
                <w:bCs w:val="0"/>
                <w:color w:val="auto"/>
                <w:sz w:val="21"/>
                <w:szCs w:val="21"/>
                <w:highlight w:val="none"/>
                <w:lang w:eastAsia="zh-CN"/>
              </w:rPr>
              <w:t>；</w:t>
            </w:r>
          </w:p>
          <w:p w14:paraId="48B34FFA">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rPr>
              <w:t>（1）精准追踪定位：蓝牙眼镜结构具备≥5个追踪Mark点，追踪系统捕捉到任意3点即可实现精准追踪定位；（需提供具备CMA或CNAS认证的第三方检测机构出具的检测报告以验证参数）</w:t>
            </w:r>
          </w:p>
          <w:p w14:paraId="21D6F52F">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（2）采用蓝牙技术传输：采用蓝牙技术传输3D同步信号，3D同步信号传输稳定，不受环境光影响，有效覆盖距离≥10米；</w:t>
            </w:r>
          </w:p>
          <w:p w14:paraId="1DB03AB1">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（3）同步连接：支持在蓝牙信号有效覆盖范围内≥200副以上的蓝牙眼镜同时链接观看3D图像；</w:t>
            </w:r>
          </w:p>
          <w:p w14:paraId="557B1B32">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（4）多功能按键：具有一个开关按键，可以执行蓝牙眼镜开启、关闭、蓝牙配对的功能；</w:t>
            </w:r>
          </w:p>
          <w:p w14:paraId="54F814C7">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（5）配备电池：蓝牙眼镜配置有可更换的RS2032纽扣电池，电池有效工作时间≥100</w:t>
            </w:r>
            <w:r>
              <w:rPr>
                <w:rFonts w:hint="eastAsia" w:ascii="宋体" w:hAnsi="宋体" w:eastAsia="宋体" w:cs="宋体"/>
                <w:b w:val="0"/>
                <w:bCs w:val="0"/>
                <w:color w:val="auto"/>
                <w:sz w:val="21"/>
                <w:szCs w:val="21"/>
                <w:highlight w:val="none"/>
                <w:lang w:val="en-US" w:eastAsia="zh-CN"/>
              </w:rPr>
              <w:t>小时</w:t>
            </w:r>
            <w:r>
              <w:rPr>
                <w:rFonts w:hint="eastAsia" w:ascii="宋体" w:hAnsi="宋体" w:eastAsia="宋体" w:cs="宋体"/>
                <w:b w:val="0"/>
                <w:bCs w:val="0"/>
                <w:color w:val="auto"/>
                <w:sz w:val="21"/>
                <w:szCs w:val="21"/>
                <w:highlight w:val="none"/>
              </w:rPr>
              <w:t>；</w:t>
            </w:r>
          </w:p>
          <w:p w14:paraId="5EC56554">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（6）自动关闭：蓝牙眼镜具有在没有蓝牙信号的情况下，自动关闭蓝牙系统的功能，以节约系统功耗；</w:t>
            </w:r>
          </w:p>
          <w:p w14:paraId="6AB4C2B1">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7.配套空间交互笔设备参数要求</w:t>
            </w:r>
          </w:p>
          <w:p w14:paraId="1383952B">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（1）握笔式设计：空间交互笔外形采用握笔式设计，具有3个可由用户自定义的操作按键，符合人体工学设计；</w:t>
            </w:r>
          </w:p>
          <w:p w14:paraId="02BB9630">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（2）内置高精度传感器：空间交互笔内置高精度传感器，能够实时智能感知操控目标的当前的姿态数据，数据刷新率≥100hz；</w:t>
            </w:r>
          </w:p>
          <w:p w14:paraId="742C1E13">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（3）精准追踪定位：空间交互笔具有2个主动式红外追踪Mark点，任意一点进入追踪视野，均可实现对交互笔的精准追踪定位；</w:t>
            </w:r>
          </w:p>
          <w:p w14:paraId="183E9F8E">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（4）光学追踪定位系统：空间交互笔配合光学追踪定位系统工作，可实现位置追踪精度≤1m</w:t>
            </w:r>
            <w:r>
              <w:rPr>
                <w:rFonts w:hint="eastAsia" w:ascii="宋体" w:hAnsi="宋体" w:eastAsia="宋体" w:cs="宋体"/>
                <w:b w:val="0"/>
                <w:bCs w:val="0"/>
                <w:color w:val="auto"/>
                <w:sz w:val="21"/>
                <w:szCs w:val="21"/>
                <w:highlight w:val="none"/>
                <w:lang w:val="en-US" w:eastAsia="zh-CN"/>
              </w:rPr>
              <w:t>m</w:t>
            </w:r>
            <w:r>
              <w:rPr>
                <w:rFonts w:hint="eastAsia" w:ascii="宋体" w:hAnsi="宋体" w:eastAsia="宋体" w:cs="宋体"/>
                <w:b w:val="0"/>
                <w:bCs w:val="0"/>
                <w:color w:val="auto"/>
                <w:sz w:val="21"/>
                <w:szCs w:val="21"/>
                <w:highlight w:val="none"/>
              </w:rPr>
              <w:t>,角度精度≤0.1度；</w:t>
            </w:r>
          </w:p>
          <w:p w14:paraId="038D7284">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（5）USB有线连接：空间交互笔采用USB有线连接，数据传输稳定，防丢失，免充电；</w:t>
            </w:r>
          </w:p>
          <w:p w14:paraId="09660B36">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（6）内置振动器：空间交互笔内置振动器，可以通过震动方式来反馈用户操作；</w:t>
            </w:r>
          </w:p>
          <w:p w14:paraId="2040343B">
            <w:pPr>
              <w:widowControl/>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8.智慧物联控制系统参数</w:t>
            </w:r>
          </w:p>
          <w:p w14:paraId="621DBA2B">
            <w:pPr>
              <w:widowControl/>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系统内置智慧物联控制系统，不依赖任何外部有线网络、蓝牙、WIFI设备，支持同一空间内大于60台以上的桌面式VR设备进行自动自组网络，配合教师端及学生端智能控制软件，可实现教师机对学生机的运行状态进行：开机、关机、静默模式控制，同时，教师机也可对学生机进行：全局控制、分组控制、单台设备控制。</w:t>
            </w:r>
          </w:p>
          <w:p w14:paraId="6B88D09D">
            <w:pPr>
              <w:pStyle w:val="29"/>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内置</w:t>
            </w:r>
            <w:r>
              <w:rPr>
                <w:rFonts w:hint="eastAsia" w:ascii="宋体" w:hAnsi="宋体" w:eastAsia="宋体" w:cs="宋体"/>
                <w:b w:val="0"/>
                <w:bCs w:val="0"/>
                <w:color w:val="auto"/>
                <w:kern w:val="0"/>
                <w:sz w:val="21"/>
                <w:szCs w:val="21"/>
                <w:highlight w:val="none"/>
              </w:rPr>
              <w:t>有智慧物联控制系统学生端软件；通过该学生端软件可以设置该机器在智慧物联控制系统内的网络信息、本机身份信息、分组定义信息等，并接受教师机的实时控制；（需提供具备CMA或CNAS认证的第三方检测机构出具的检测报告以验证参数）。</w:t>
            </w:r>
          </w:p>
          <w:p w14:paraId="38D652E8">
            <w:pPr>
              <w:widowControl/>
              <w:ind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w:t>
            </w:r>
            <w:r>
              <w:rPr>
                <w:rFonts w:hint="eastAsia" w:ascii="宋体" w:hAnsi="宋体" w:eastAsia="宋体" w:cs="宋体"/>
                <w:b w:val="0"/>
                <w:bCs w:val="0"/>
                <w:color w:val="auto"/>
                <w:sz w:val="21"/>
                <w:szCs w:val="21"/>
                <w:highlight w:val="none"/>
                <w:lang w:val="en-US" w:eastAsia="zh-CN"/>
              </w:rPr>
              <w:t>9.内置</w:t>
            </w:r>
            <w:r>
              <w:rPr>
                <w:rFonts w:hint="eastAsia" w:ascii="宋体" w:hAnsi="宋体" w:eastAsia="宋体" w:cs="宋体"/>
                <w:b w:val="0"/>
                <w:bCs w:val="0"/>
                <w:color w:val="auto"/>
                <w:kern w:val="0"/>
                <w:sz w:val="21"/>
                <w:szCs w:val="21"/>
                <w:highlight w:val="none"/>
                <w:lang w:val="en-US" w:eastAsia="zh-CN"/>
              </w:rPr>
              <w:t>XR控制面板</w:t>
            </w:r>
            <w:r>
              <w:rPr>
                <w:rFonts w:hint="eastAsia" w:ascii="宋体" w:hAnsi="宋体" w:eastAsia="宋体" w:cs="宋体"/>
                <w:b w:val="0"/>
                <w:bCs w:val="0"/>
                <w:color w:val="auto"/>
                <w:kern w:val="0"/>
                <w:sz w:val="21"/>
                <w:szCs w:val="21"/>
                <w:highlight w:val="none"/>
              </w:rPr>
              <w:t>工具软件</w:t>
            </w:r>
            <w:r>
              <w:rPr>
                <w:rFonts w:hint="eastAsia" w:ascii="宋体" w:hAnsi="宋体" w:eastAsia="宋体" w:cs="宋体"/>
                <w:b w:val="0"/>
                <w:bCs w:val="0"/>
                <w:color w:val="auto"/>
                <w:sz w:val="21"/>
                <w:szCs w:val="21"/>
                <w:highlight w:val="none"/>
                <w:lang w:val="en-US" w:eastAsia="zh-CN"/>
              </w:rPr>
              <w:t>，通过可视化界面操作，使用者可快速、便捷地对桌面一体机进行硬件及环境检测、功能验证、故障自动修复、故障排查等工作。含五个模块，分别为：本机接线图（可查看机器侧面和背面硬件接口示意图）、系统信息查看（可实时检测系统信息、设备信息、服务状态、屏幕信息、电源等信息）、立体效果测试（可佩戴 3D 眼镜查看模型显示的立体效果是否正常）、空间定位笔查看（可实时查看定位笔的连接状态、姿态数据是否正常，按键功能是否正常，可调节测试震动强度等）、追踪系统测试（可实时确认追踪系统功能调用是否正常；将追踪眼镜置入追踪范围内可检测追踪状态及眼镜空间坐标值的变化是否正常；连接上定位笔，将定位笔置入追踪范围内可检测追踪状态及定位笔空间坐标值、旋转值的变化是否正常）。</w:t>
            </w:r>
            <w:r>
              <w:rPr>
                <w:rFonts w:hint="eastAsia" w:ascii="宋体" w:hAnsi="宋体" w:eastAsia="宋体" w:cs="宋体"/>
                <w:i w:val="0"/>
                <w:iCs w:val="0"/>
                <w:color w:val="auto"/>
                <w:sz w:val="21"/>
                <w:szCs w:val="21"/>
                <w:highlight w:val="none"/>
                <w:u w:val="none"/>
              </w:rPr>
              <w:t>（为保障教学质量，此项</w:t>
            </w:r>
            <w:r>
              <w:rPr>
                <w:rFonts w:hint="eastAsia" w:ascii="宋体" w:hAnsi="宋体" w:eastAsia="宋体" w:cs="宋体"/>
                <w:i w:val="0"/>
                <w:iCs w:val="0"/>
                <w:color w:val="auto"/>
                <w:sz w:val="21"/>
                <w:szCs w:val="21"/>
                <w:highlight w:val="none"/>
                <w:u w:val="none"/>
                <w:lang w:eastAsia="zh-CN"/>
              </w:rPr>
              <w:t>成交后</w:t>
            </w:r>
            <w:r>
              <w:rPr>
                <w:rFonts w:hint="eastAsia" w:ascii="宋体" w:hAnsi="宋体" w:eastAsia="宋体" w:cs="宋体"/>
                <w:i w:val="0"/>
                <w:iCs w:val="0"/>
                <w:color w:val="auto"/>
                <w:sz w:val="21"/>
                <w:szCs w:val="21"/>
                <w:highlight w:val="none"/>
                <w:u w:val="none"/>
              </w:rPr>
              <w:t>需要提供视频演示）</w:t>
            </w:r>
          </w:p>
          <w:p w14:paraId="65AA825B">
            <w:pPr>
              <w:widowControl/>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可提供Unity3D、C++等常见开发平台的SDK，支持二次开发；Unity3D支持2017及以上版本，不限制Unity版本，有中英文版本SDK适配文档，支持编辑器下开启立体预览。（需提供代码截图、中英文文档在线截图、编辑器下开启立体预览功能PDF介绍文档或视频等证明材料）</w:t>
            </w:r>
          </w:p>
          <w:p w14:paraId="283955ED">
            <w:pPr>
              <w:widowControl/>
              <w:ind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◆11.配套VR功能验证操作类软件，以VR模型和交互操作为核心，演示验证交互操作，并通过交互操作加深用户的直观体验。（为保障教学质量，此项</w:t>
            </w:r>
            <w:r>
              <w:rPr>
                <w:rFonts w:hint="eastAsia" w:ascii="宋体" w:hAnsi="宋体" w:eastAsia="宋体" w:cs="宋体"/>
                <w:i w:val="0"/>
                <w:iCs w:val="0"/>
                <w:color w:val="auto"/>
                <w:sz w:val="21"/>
                <w:szCs w:val="21"/>
                <w:highlight w:val="none"/>
                <w:u w:val="none"/>
                <w:lang w:eastAsia="zh-CN"/>
              </w:rPr>
              <w:t>成交后</w:t>
            </w:r>
            <w:r>
              <w:rPr>
                <w:rFonts w:hint="eastAsia" w:ascii="宋体" w:hAnsi="宋体" w:eastAsia="宋体" w:cs="宋体"/>
                <w:i w:val="0"/>
                <w:iCs w:val="0"/>
                <w:color w:val="auto"/>
                <w:sz w:val="21"/>
                <w:szCs w:val="21"/>
                <w:highlight w:val="none"/>
                <w:u w:val="none"/>
              </w:rPr>
              <w:t>需要提供视频演示）</w:t>
            </w:r>
          </w:p>
          <w:p w14:paraId="5F7701CB">
            <w:pPr>
              <w:widowControl/>
              <w:ind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（1）活动场景：利用VR一体机的特点，用户可以感受丰富多彩的物体近在眼前的效果，还可以抓起活动的物体，并360观察它的形态和动作。</w:t>
            </w:r>
          </w:p>
          <w:p w14:paraId="2EEB42FD">
            <w:pPr>
              <w:widowControl/>
              <w:ind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结构探索：利用VR一体机的特点，探索模块包含某一个剖面的整体及分层展示两部分，整体模型上均标注序号，点击序号可旋转视角到指定结构，并显示对应的结构名称和注释。剖面结构可分层展开，所有分开展示的剖面模型均可自由拖动旋转缩放，并且选中任一模型，均显示对应结构名称及结构注释。</w:t>
            </w:r>
          </w:p>
          <w:p w14:paraId="0C8722E3">
            <w:pPr>
              <w:widowControl/>
              <w:ind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（3）结构模型：解密模块，展示了三种假想结构模型，并剖面展示了其内部结构。</w:t>
            </w:r>
          </w:p>
          <w:p w14:paraId="5CBC4F71">
            <w:pPr>
              <w:widowControl/>
              <w:ind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（4）传导模型：独特树突模块，展示了内部及外部结构，并使用动画及特效展示传导过程，从树突传导到胞体，再传导到轴突的过程。</w:t>
            </w:r>
          </w:p>
          <w:p w14:paraId="0B6D7828">
            <w:pPr>
              <w:widowControl/>
              <w:ind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（5）突触模型:突触模块，展示两个突触的典型结构。</w:t>
            </w:r>
          </w:p>
          <w:p w14:paraId="56A8B530">
            <w:pPr>
              <w:widowControl/>
              <w:ind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◆12. 配套VR功能验证操作类软件，以VR模型和交互操作为核心，演示验证交互操作，并通过交互操作加深用户的直观体验。（为保障教学质量，此项</w:t>
            </w:r>
            <w:r>
              <w:rPr>
                <w:rFonts w:hint="eastAsia" w:ascii="宋体" w:hAnsi="宋体" w:eastAsia="宋体" w:cs="宋体"/>
                <w:i w:val="0"/>
                <w:iCs w:val="0"/>
                <w:color w:val="auto"/>
                <w:sz w:val="21"/>
                <w:szCs w:val="21"/>
                <w:highlight w:val="none"/>
                <w:u w:val="none"/>
                <w:lang w:eastAsia="zh-CN"/>
              </w:rPr>
              <w:t>成交后</w:t>
            </w:r>
            <w:r>
              <w:rPr>
                <w:rFonts w:hint="eastAsia" w:ascii="宋体" w:hAnsi="宋体" w:eastAsia="宋体" w:cs="宋体"/>
                <w:i w:val="0"/>
                <w:iCs w:val="0"/>
                <w:color w:val="auto"/>
                <w:sz w:val="21"/>
                <w:szCs w:val="21"/>
                <w:highlight w:val="none"/>
                <w:u w:val="none"/>
              </w:rPr>
              <w:t>需要提供视频演示）</w:t>
            </w:r>
          </w:p>
          <w:p w14:paraId="2CD083F6">
            <w:pPr>
              <w:widowControl/>
              <w:ind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（1）拆卸流程：以主流的总成进行建模，真实模拟标准拆卸流程；软件提供工具和具体操作的文字图形提示，相应模型操作部位高亮特效提示，真实还原拆卸体验。</w:t>
            </w:r>
          </w:p>
          <w:p w14:paraId="4BE8A269">
            <w:pPr>
              <w:widowControl/>
              <w:ind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（2）安装流程：需包含臂结构安装、臂结构仿真功能；臂安装需要按正确顺序安装各个臂零部件，完成臂安装后能进行仿真，臂仿真可以控制臂四个轴向运动，通过四轴控制臂机构进行工件搬运仿真。</w:t>
            </w:r>
          </w:p>
          <w:p w14:paraId="58916D99">
            <w:pPr>
              <w:widowControl/>
              <w:ind w:firstLine="420" w:firstLineChars="200"/>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（3）连接流程：仿真电路，真实的模拟在实物连接中的各种情况，比如选取1个元件、2个元件、3个或者4个元件连接时，给出各种连接情况下的结果。</w:t>
            </w:r>
          </w:p>
          <w:p w14:paraId="352C6B58">
            <w:pPr>
              <w:widowControl/>
              <w:ind w:firstLine="420" w:firstLineChars="200"/>
              <w:textAlignment w:val="center"/>
              <w:rPr>
                <w:rFonts w:hint="eastAsia" w:ascii="宋体" w:hAnsi="宋体" w:eastAsia="宋体" w:cs="宋体"/>
                <w:sz w:val="21"/>
                <w:szCs w:val="21"/>
                <w:highlight w:val="none"/>
              </w:rPr>
            </w:pPr>
            <w:r>
              <w:rPr>
                <w:rFonts w:hint="eastAsia" w:ascii="宋体" w:hAnsi="宋体" w:eastAsia="宋体" w:cs="宋体"/>
                <w:i w:val="0"/>
                <w:iCs w:val="0"/>
                <w:color w:val="auto"/>
                <w:sz w:val="21"/>
                <w:szCs w:val="21"/>
                <w:highlight w:val="none"/>
                <w:u w:val="none"/>
              </w:rPr>
              <w:t>（4）爆炸展示流程：机械机构，展现运行和爆炸状态，爆炸后可以随意抓取某个零件进行放大缩小和旋转，并提示零件名称。还原按钮可以让爆炸开的减速机回到初始状态，让用户看到机器的内部结构和运行原理。</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3E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E8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4F03D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B1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94E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一体机备用观察眼镜</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D08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1、采用主动式蓝牙3D眼镜技术，信号传输稳定，无干扰，有效覆盖距离≥10米；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2、对比度：1000:1，透过率≥38%，串扰度：≤1.5%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3、电池：CR2032,电池有效工作时间 ≥ 100hr;</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4、镜框材质：环保PC。</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A5E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02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r w14:paraId="405E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50E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751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教师端增强现实套装</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7A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1、软件是一个教师教学展示工具，允许老师将VR教学内容显示给全班同学看。学生将看到二维图像，因此不需要佩戴眼镜。这个工具允许两种演示设置: 标准视图（显示教师在屏幕上看到的内容）和增强现实视图（显示虚拟内容与真实内容结合呈现的内容）。具体要求：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（1）将教师机的操作过程投射到另外一个屏幕或者第二台监视器上面。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（2）将真实环境与虚拟图层叠加后展现给学生。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（3）可以录制课程学习过程，可供以后使用。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2、摄像头+支架：增强现实摄像头：支持1080p 全高清视频录制（高达 1920 x 1080 像素）采用USB接口，带有自动降噪功能的内置双重立体声麦克风支持与VR互动一体机的配套使用，实现增强现实功能，将虚拟内容与现实拍摄场景叠加融合显示。支架：材质：合金脚管节数：≥4节最大管径：≥20mm 最小管径：≥12mm 折合高度：≥47cm 最低工作高度：≥45cm 最高工作高度：≥150cm 脚管锁类型：板扣云台类型：三维云台螺丝尺寸：≥1/4 承重：≥3kg。</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5BC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FC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7B2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82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71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拓展屏增强现实软件</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DB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软件是一个教师教学展示工具，允许老师将VR教学内容显示给全班同学看。学生将看到二维图像，因此不需要佩戴眼镜。这个工具允许两种演示设置: 标准视图（显示教师在屏幕上看到的内容）和增强现实视图（显示虚拟内容与真实内容结合呈现的内容）。具体要求：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（1）将教师机的操作过程投射到另外一个屏幕或者第二台监视器上面。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（2）将真实环境与虚拟图层叠加后展现给学生。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（3）可以录制课程学习过程，可供以后使用。</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17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A6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0EAF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6F1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48A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85寸3D交互大屏</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5D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显示区域对角线尺寸不小于 85 英寸；85英寸显示尺寸不低于1872mm*1053mm；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主动式3D液晶显示技术，物理分辨率≥3840*2160；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支持主动式蓝牙3D眼镜，3D串扰度≤2%；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支持帧序列格式的3D内容；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整机背光亮度≥350cd/m2，对比度≥5000:1；寿命≥30000小时；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整机可视角度≥178°（水平）/178°（垂直）；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HDMI2.0接口，支持4K@60Hz输入；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支持H.264、VP9、H.265等全4K；格式硬解码（特别支持H.265 4K@60Hz 10bit超高清解码，支持所有4K片源）；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系统参数：整机内置嵌入式系统。采用 Android8.0 及以上系统，内存容量≥3GB，存储容量≥16GB；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安卓系统硬件接口：HDMI IN*3, 多媒体USB2.0*1, USB2.0*1, USB3.0*1, EARPHONE*1, TF卡槽*1,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RJ45 OUT*1, RJ45 IN*1, 3D GLASS*1, SPDIF OUT*1, VGA*1, RS232*1;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整机支持双系统运行，可通过选配 OPS 支持 Windows/Android8.0双系统操作，其中 Windows 版本不低于 Windows10；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带有飞鼠功能 （飞鼠无缝切换（安卓和OPS）可在安卓系统和OPS之间无缝切换，省去用户反复拔插的过程，提高用户体验感）；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触摸采用红外识别技术，支持最大20点触摸，可实现对象的拖动，放大缩小旋转等；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触摸感应功能，在使用触摸时，自动降低亮度，有效保护使用者的视力；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一个触摸框可以在多个信号源下进行切换使用，根据当前信号源自动切换对应触摸接口；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书写屏表面硬度≥7H；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远程开关机切换信号，实现集控管理（针对多台）；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 OPS电脑通过IO的检测以及控制，实现一键开关机功能；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可开启自动识别信号源，自动接入信号时，自动跳转到插入的信号源通道；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 多功能一体化设计：集电脑、电视、电子白板、功放音响和教学资源库为一体；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 多媒体接口，具有电影、音乐图片和文本播放功能支持，支持 U盘， USB 移动硬盘，读卡器等 USB 存储设备；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 防眩光玻璃，观看舒适，有效保护师生视力；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 按键式一键切换2D/3D功能；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 支持RS232串口智能控制2D/3D显示模式；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 内置两个扬声器，功耗不低于15W；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 整机输入电源：100-240V ~ 50/60Hz；整机功耗：≤350W；待机功耗：≤0.5W；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 整机质保期2 年。</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C6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5D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83F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23C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BE7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3D大屏眼镜</w:t>
            </w:r>
          </w:p>
        </w:tc>
        <w:tc>
          <w:tcPr>
            <w:tcW w:w="7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59E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1、采用主动式蓝牙3D眼镜技术，信号传输稳定，无干扰，有效覆盖距离≥10米；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2、对比度：1000:1，透过率≥38%，串扰度：≤1.5%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3、电池：CR2032,电池有效工作时间 ≥ 100hr;</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4、镜框材质;环保PC。</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385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34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r>
      <w:tr w14:paraId="3950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2"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E3F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EB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大屏移动支架</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4D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尺寸：长1060mm宽465mm高1590-1980mm；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净重：27.5kg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材质：金属；</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适配屏幕尺寸：65英寸55英寸85英寸75英寸100英寸60英寸70英寸58英寸；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配件类别：移动落地电视挂架适用机型；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适用机型：商业显示曲面电视平板电视智能电视智慧屏游戏电视电脑显示器</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7D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7E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6C8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11C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82A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桌面式VR交互体验平板</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ADF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一、整体设计要求：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1.3D显示单元、计算单元、图像渲染单元采用一体式设计，非分体插件式设计，显示尺寸：15.6英寸；3D显示物理分辨率≥1920*1080；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2.3D显示系统采用全高清偏振式3D显示技术；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3.可实现AR/VR交互操作；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4.系统内置3D播放器，支持播放上下、左右3D视频资源；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支持2D/3D自动切换；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6.支持键鼠、触摸、光学追踪操控笔三种交互方式；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7.支持虚拟现实3D显示方式与普通2D显示方式自动切换功能，当3D追踪眼镜离开屏幕范围时自动切换到普通2D显示模式；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支持独立的电源键、独立的二合一音量+/-键；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9.设备内置两个8欧1瓦的扬声器；内置双数字麦克风；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10.设备内置高清摄像头，图形图像处理软件：支持自定义设置拍照像素500万像素/300万像素/200万像素等，支持人脸检测，支持快门声音控制，支持拍照倒计时器设置关闭/2秒/5秒/10秒，支持自拍镜功能。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支持优于或等于65W 快充技术，支持PD3.0（PPS）协议；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3D工作温度：10℃~40℃；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二、PAD参数：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▲1.SOC≥高通骁龙865平台，八核64位处理器，GPU≥Adreno 650，ROM（存储容量）≥256GB UFS3.1；内存≥8GB LPDDR5；算力≥15TOPS；（需提供具备CMA或CNAS认证的第三方检测机构出具的检测报告以验证参数）；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▲2.采用专用NPU，支持机器AI学习；DPU≥Adreno 995；（需提供具备CMA或CNAS认证的第三方检测机构出具的检测报告以验证参数）；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◆3.定位系统：GPS+BDS（北斗）；</w:t>
            </w:r>
            <w:r>
              <w:rPr>
                <w:rFonts w:hint="eastAsia" w:ascii="宋体" w:hAnsi="宋体" w:eastAsia="宋体" w:cs="宋体"/>
                <w:i w:val="0"/>
                <w:iCs w:val="0"/>
                <w:color w:val="000000"/>
                <w:kern w:val="0"/>
                <w:sz w:val="21"/>
                <w:szCs w:val="21"/>
                <w:highlight w:val="none"/>
                <w:u w:val="none"/>
                <w:lang w:val="en-US" w:eastAsia="zh-CN" w:bidi="ar"/>
              </w:rPr>
              <w:t>（为保障教学质量，此项成交后需要提供视频演示）；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4.电池容量≥58.85Wh(额定容量)；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5.操作系统：支持android10及以上版本；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6.设备端口: USB 3.1 TypeA* 2个、USB 3.1 TypeC* 2个 、HDMI out*1、TF card socket*1、Earphone jack&amp;MIC*1；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7.支持以太网连接，支持802.11a/b/g/n/ac/ax 80MHz频宽高速无线传输，支持蓝牙5.1以上；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三、空间定位跟踪系统参数：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空间定位跟踪系统包含：≥3个独立的空间定位追踪红外传感器，每个红外传感器都单独配1颗高亮红外LED灯；3个红外传感器协同工作，可提升对目标物追踪的覆盖范围及追踪系统的精度；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2.3D显示跟踪系统的追踪系统可实时输出当前显示系统的姿态信息，并将当前显示系统的姿态信息映射到虚拟场景，获得最精准的3D显示图像；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3.3D显示跟踪系统支持全屏3D；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四、光学追踪及3D眼镜参数：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系统配备3D光学追踪眼镜,采用轻便的偏光式3D眼镜，无需电池及开关，即戴即用，免开关、免维护；具有5个追踪mark点设计，3点以上即准确判断眼镜位置,从而转换不同视角下的显示内容；（需提供具备CMA或CNAS认证的第三方检测机构出具的检测报告以验证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系统配备空间交互笔:支持6自由度坐标轴和空中姿态转动；追踪精度&lt;1mm,角度精度&lt;0.1度；空间交互笔与主机采用有线连接方式保证信号稳定；空间交互笔无需电池供电；采用握笔式设计，空间交互笔内置振动器,可以通过震动方式来反馈用户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3.设备具备头部3D眼镜位置追踪功能；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五、配套软件：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◆1、自带有应用中心软件：支持单个应用软件一键安装、一键更新、一键启动等操作，支持待更新的所有应用软件一键更新；支持应用中心版</w:t>
            </w:r>
            <w:r>
              <w:rPr>
                <w:rFonts w:hint="eastAsia" w:ascii="宋体" w:hAnsi="宋体" w:eastAsia="宋体" w:cs="宋体"/>
                <w:i w:val="0"/>
                <w:iCs w:val="0"/>
                <w:color w:val="000000"/>
                <w:kern w:val="0"/>
                <w:sz w:val="21"/>
                <w:szCs w:val="21"/>
                <w:highlight w:val="none"/>
                <w:u w:val="none"/>
                <w:lang w:val="en-US" w:eastAsia="zh-CN" w:bidi="ar"/>
              </w:rPr>
              <w:t>本状态检查更新，包含不低于10款学习/教育类型内容软件供用户下载/购买；（为保障教学质量，此项成交后需要提供视频演示）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◆2、SDK开发包支持M系列Mac平台下开发；支持串流调试（免编译在平板上预览效果）；（为保障教学质量，此项成交后需要提供视频演示）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◆3、自带有立体视频播放器，支持左右、上下格式的视频及图片立体播放；（为保障教学质量，此项成交后需要提供视频演示）</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7CE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2C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1BEF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86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6B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高中物理VR实验资源</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9AC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 软件要求提供与国家课程标准中知识点同步的实验，完整实验数量不少于100个，充分呈现课本中的演示实验与学生分组实验。软件内容要求支持在实验目录页即可直接查看具体的实验内容简介，可查看的内容简介至少应包含：实验简介、实验目的、实验器材、实验步骤、实验结论、实验原理。方便老师在使用中快速了解具体实验内容，提高老师课堂教学效率。</w:t>
            </w:r>
          </w:p>
          <w:p w14:paraId="2D06743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 要求所有实验中的模型为3D高精度模型，为学生直观的展示物理实验的抽象概念，通过虚拟仿真的方式呈现难以理解的抽象化的实验原理、微观现象及类似气流流动、看不见摸不着的磁场以磁力线等不可视场景的可视化展示。如：示波管原理、波的叠加、用铁屑模拟磁感线，验证环形电流的磁场方向等实验，学生可以直观的观察真实的实验现象和实验结果；</w:t>
            </w:r>
          </w:p>
          <w:p w14:paraId="67079B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3. 软件要求提供的中学物理实验内容模块需根据知识点分类，其中包含力与物体平衡、动量、光学、热学、电磁学、直线运动、曲线运动、牛顿运动定律、功和机械能、机械振动机械波、原子物理等实验内容与实验场景。其中需包含实验：研究平抛运动、静电屏蔽、验证环形电流的磁场方向、磁电式电表、观察运动电子在磁场中的偏转、螺旋测微器、溴蒸汽的扩散、水槽中波的干涉。</w:t>
            </w:r>
          </w:p>
          <w:p w14:paraId="1155A6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4. 要求所有实验支持在任意视角下对实验进行观察和交互式操作。要求所有实验中的模型为3D高精度模型，实验模型高保真。支持用户从任意视角、任意距离观察实验台；学生能够随时随地验证自己的想法， 无需受到特定的实验室环境和器材限制。</w:t>
            </w:r>
          </w:p>
          <w:p w14:paraId="58451B5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5.软件要求在保持既有实验场景内容的前提下，支持通过3D红外眼镜的摘戴实现硬件屏幕的2D/3D出屏效果的切换，且切换后仍可继续进行原有实验步骤的交互操作。</w:t>
            </w:r>
          </w:p>
          <w:p w14:paraId="37C55B5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6. 软件要求支持在3D视角下通过交互笔对实验进行观察和交互式操作，支持用户平移、旋转视角，实现实验空间中的空间平移操作。在实验操作中，根据实验的观察需求，支持通过交互笔按钮多角度移动实验台进行实验现象观察。</w:t>
            </w:r>
          </w:p>
          <w:p w14:paraId="697C64A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7.软件要求满足多种教学场景，包括但不限于：普通PC平面显示输出、桌面交互一体机屏外3D显示输出。要求实验操作既可以通过佩戴3D红外眼镜通过交互笔进行深度交互式操作，同时又可以支持在硬件中通过鼠标独立进行实验交互操作。</w:t>
            </w:r>
          </w:p>
          <w:p w14:paraId="2BEA706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sz w:val="21"/>
                <w:szCs w:val="21"/>
                <w:highlight w:val="none"/>
                <w:u w:val="none"/>
              </w:rPr>
              <w:t>8.软件要求提供对应的软件著作权证书复印件，加盖原厂鲜章。</w:t>
            </w:r>
          </w:p>
        </w:tc>
        <w:tc>
          <w:tcPr>
            <w:tcW w:w="648" w:type="dxa"/>
            <w:vMerge w:val="restart"/>
            <w:tcBorders>
              <w:top w:val="single" w:color="000000" w:sz="4" w:space="0"/>
              <w:left w:val="single" w:color="000000" w:sz="4" w:space="0"/>
              <w:right w:val="single" w:color="000000" w:sz="4" w:space="0"/>
            </w:tcBorders>
            <w:shd w:val="clear" w:color="auto" w:fill="FFFFFF"/>
            <w:vAlign w:val="center"/>
          </w:tcPr>
          <w:p w14:paraId="2074E8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vMerge w:val="restart"/>
            <w:tcBorders>
              <w:top w:val="single" w:color="000000" w:sz="4" w:space="0"/>
              <w:left w:val="single" w:color="000000" w:sz="4" w:space="0"/>
              <w:right w:val="single" w:color="000000" w:sz="4" w:space="0"/>
            </w:tcBorders>
            <w:shd w:val="clear" w:color="auto" w:fill="auto"/>
            <w:vAlign w:val="center"/>
          </w:tcPr>
          <w:p w14:paraId="69AD00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4643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A54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5B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高中化学VR实验资源</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249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软件要求提供与国家课程标准中知识点同步的实验，完整实验数量不少于100个，充分呈现课本中的演示实验与学生分组实验。软件内容要求支持在实验目录页即可直接查看具体的实验内容简介，可查看的内容简介至少应包含：实验简介、实验目的、实验器材、实验步骤、实验结论、实验原理。方便老师在使用中快速了解具体实验内容，提高老师课堂教学效率。</w:t>
            </w:r>
          </w:p>
          <w:p w14:paraId="5500872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 要求所有实验中的模型为3D高精度模型，不仅能重现化学反应的效果，更可深入微观世界观察元素的化学反应过程，如实验中的爆炸、火星喷溅、燃烧、有毒有害气体等反应能呈现出逼真的实验现象和严谨的实验结果，却不用担心出现实验意外，如：铝热反应、钠与水反应、电镀铜、钠与氯气反应、浓硫酸与铜反应等实验。</w:t>
            </w:r>
          </w:p>
          <w:p w14:paraId="03BE487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 软件要求学科实验内容模块需根据知识点分类，其中包括化学实验、化学基本概念、重要的无机物、物质结构与性质、化学反应原理、有机化学基础、化学与技术、化学与生活等实验内容与实验场景。其中需包含实验：钠与水反应、过氧化钠与水反应、氨气溶于水的喷泉实验、钾分别与氧气和水反应、钠与氯气反应、乙醇与金属钠的反应、电镀铜、乙醛的消去反应。</w:t>
            </w:r>
          </w:p>
          <w:p w14:paraId="538BB4C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 要求所有实验支持在任意视角下对实验进行观察和交互式操作。要求所有实验中的模型为3D高精度模型，实验模型高保真。支持用户从任意视角、任意距离观察实验台；学生能够随时随地验证自己的想法， 无需受到特定的实验室环境和器材限制。</w:t>
            </w:r>
          </w:p>
          <w:p w14:paraId="3EC87FF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5.软件要求在保持既有实验场景内容的前提下，支持通过3D红外眼镜的摘戴实现硬件屏幕的2D/3D出屏效果的切换，且切换后仍可继续进行原有实验步骤的交互操作。</w:t>
            </w:r>
          </w:p>
          <w:p w14:paraId="18E9BC0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 软件要求支持在3D视角下通过交互笔对实验进行观察和交互式操作，支持用户平移、旋转视角，实现实验空间中的空间平移操作。在实验操作中，根据实验的观察需求，支持通过交互笔按钮多角度移动实验台进行实验现象观察。</w:t>
            </w:r>
          </w:p>
          <w:p w14:paraId="6F22BD5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软件要求满足多种教学场景，包括但不限于：普通PC平面显示输出、桌面交互一体机屏外3D显示输出。要求实验操作既可以通过佩戴3D红外眼镜通过交互笔进行深度交互式操作，同时又可以支持在硬件中通过鼠标独立进行实验交互操作。</w:t>
            </w:r>
          </w:p>
          <w:p w14:paraId="49B17CC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8.软件要求提供对应的软件著作权证书复印件，加盖原厂鲜章。</w:t>
            </w:r>
          </w:p>
        </w:tc>
        <w:tc>
          <w:tcPr>
            <w:tcW w:w="648" w:type="dxa"/>
            <w:vMerge w:val="continue"/>
            <w:tcBorders>
              <w:left w:val="single" w:color="000000" w:sz="4" w:space="0"/>
              <w:right w:val="single" w:color="000000" w:sz="4" w:space="0"/>
            </w:tcBorders>
            <w:shd w:val="clear" w:color="auto" w:fill="FFFFFF"/>
            <w:vAlign w:val="center"/>
          </w:tcPr>
          <w:p w14:paraId="2BBDE2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8" w:type="dxa"/>
            <w:vMerge w:val="continue"/>
            <w:tcBorders>
              <w:left w:val="single" w:color="000000" w:sz="4" w:space="0"/>
              <w:right w:val="single" w:color="000000" w:sz="4" w:space="0"/>
            </w:tcBorders>
            <w:shd w:val="clear" w:color="auto" w:fill="auto"/>
            <w:vAlign w:val="center"/>
          </w:tcPr>
          <w:p w14:paraId="47D135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307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7C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7B4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高中生物VR实验资源</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91C7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软件要求提供与国家课程标准中知识点同步的实验，完整实验数量不少于40个，充分呈现课本中的演示实验与学生分组实验。软件内容要求支持在实验目录页即可直接查看具体的实验内容简介，可查看的内容简介至少应包含：实验简介、实验目的、实验器材、实验步骤、注意事项、讨论与思考。方便老师在使用中快速了解具体实验内容，提高老师课堂教学效率。</w:t>
            </w:r>
          </w:p>
          <w:p w14:paraId="37B5EEF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 软件要求提供的中学生物实验内容模块需根据知识点分类，其中包含分子与细胞、遗传与进化、稳态与调节、生物与环境、生物技术与工程等实验内容与实验场景。其中需包含实验：用高倍显微镜观察动物细胞、绿叶中色素的提取和分离、性状分离比的模拟、建立减数分裂中染色体变化的模型。</w:t>
            </w:r>
          </w:p>
          <w:p w14:paraId="4609120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 要求所有实验支持在任意视角下对实验进行观察和交互式操作。要求所有实验中的模型为3D高精度模型，实验模型高保真。支持用户从任意视角、任意距离观察实验台；学生能够随时随地验证自己的想法， 无需受到特定的实验室环境和器材限制。</w:t>
            </w:r>
          </w:p>
          <w:p w14:paraId="7AA3125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4.软件要求在保持既有实验场景内容的前提下，支持通过3D红外眼镜的摘戴实现硬件屏幕的2D/3D出屏效果的切换，且切换后仍可继续进行原有实验步骤的交互操作。</w:t>
            </w:r>
          </w:p>
          <w:p w14:paraId="6617CA2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 软件要求支持在3D视角下通过交互笔对实验进行观察和交互式操作，支持用户平移、旋转视角，实现实验空间中的空间平移操作。在实验操作中，根据实验的观察需求，支持通过交互笔按钮多角度移动实验台进行实验现象观察。</w:t>
            </w:r>
          </w:p>
          <w:p w14:paraId="630C906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软件要求满足多种教学场景，包括但不限于：普通PC平面显示输出、桌面交互一体机屏外3D显示输出。要求实验操作既可以通过佩戴3D红外眼镜通过交互笔进行深度交互式操作，同时又可以支持在硬件中通过鼠标独立进行实验交互操作。</w:t>
            </w:r>
          </w:p>
          <w:p w14:paraId="6FB00A4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7.软件要求提供对应的软件著作权证书复印件，加盖原厂鲜章。</w:t>
            </w:r>
          </w:p>
        </w:tc>
        <w:tc>
          <w:tcPr>
            <w:tcW w:w="648" w:type="dxa"/>
            <w:vMerge w:val="continue"/>
            <w:tcBorders>
              <w:left w:val="single" w:color="000000" w:sz="4" w:space="0"/>
              <w:bottom w:val="single" w:color="000000" w:sz="4" w:space="0"/>
              <w:right w:val="single" w:color="000000" w:sz="4" w:space="0"/>
            </w:tcBorders>
            <w:shd w:val="clear" w:color="auto" w:fill="FFFFFF"/>
            <w:vAlign w:val="center"/>
          </w:tcPr>
          <w:p w14:paraId="2FCEFC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8" w:type="dxa"/>
            <w:vMerge w:val="continue"/>
            <w:tcBorders>
              <w:left w:val="single" w:color="000000" w:sz="4" w:space="0"/>
              <w:bottom w:val="single" w:color="000000" w:sz="4" w:space="0"/>
              <w:right w:val="single" w:color="000000" w:sz="4" w:space="0"/>
            </w:tcBorders>
            <w:shd w:val="clear" w:color="auto" w:fill="auto"/>
            <w:vAlign w:val="center"/>
          </w:tcPr>
          <w:p w14:paraId="2C8678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D28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798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B57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物质结构与性质</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7F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软件要求提供和高中化学贴合的专题知识点，需包含：结构与性质、分子结构与性质、晶体结构与性质三个知识专题。提供的内容需支持学生进行探究式学习，不是单一的视频、图片或PPT资源，支持学生对软件内容进行深度交互操作。提供的资源数量要求不少于90个，其中原子结构与性质专题中的资源数量不少于40个，分子结构与性质专题中的资源数量不少于30个，晶体结构与性质专题中的资源数量不少于10个。模块内容充分展现了课本中教学所需的物质结构资源，并提供详尽的辅助信息，包括：原理信息提示语、成键过程描述、分析形成过程描述、键的极性描述、分子极性描述、晶体计算描述以及同类晶体基本信息等内容。支持学生对软件内容进行深度交互操作，涵盖3D模型、可交互式计算过程等内容，能够逼真准确的呈现模型结构、成键过程及计算过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在原子结构与性质专题中，需提供原子轨道、构造原理、电子填充、坐标轴等4个方面的教学资源。需支持可交互式原子轨道填充，提供电子排布式与排布图。通过微观模型展示不可见的原子构造，通过过程化的电子排布辅助理解构造原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软件要求在晶体结构与性质专题中能通过3D模型及可视化计算方式使得抽象的计算过程与相关物性能够具现地、过程化地进行展示，如，晶胞堆积、原子配位数计算、晶胞中原子数计算、空间利用率计算等抽象知识内容。要求提供：面心立方最密堆积（铜型）、简单立方堆积（钋型）、金刚石、石墨、NaCl形粒子晶体等相关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4.软件要求在保持既有实验场景内容的前提下，支持通过3D红外眼镜的摘戴实现硬件屏幕的2D/3D出屏效果的切换，且切换后仍可继续进行原有实验步骤的交互操作。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软件要求支持在3D视角下通过交互笔对实验进行观察和交互式操作，支持用户平移、旋转视角，实现实验空间中的空间平移操作。在实验操作中，根据实验的观察需求，支持通过交互笔按钮多角度移动实验台进行实验现象观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软件要求满足多种教学场景，包括但不限于：普通PC平面显示输出、桌面交互一体机屏外3D显示输出。要求实验操作既可以通过佩戴3D红外眼镜通过交互笔进行深度交互式操作，同时又可以支持在硬件中通过鼠标独立进行实验交互操作。</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503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41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r>
      <w:tr w14:paraId="0DB9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25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5AC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高中地理VR资源精品版</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62F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1.软件应支持运行于桌面级虚拟现实设备，使用者戴上3D眼镜即可观看到模型的出屏或景深效果；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2.软件应支持利用触控笔实现三维操控，使用触控笔可虚拟“拿起”3D模型，对其进行360°观察及放大、缩小的操作，并能够对模型进行拆分与组合。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3.软件应具备土壤课程，支持动态演示岩石风化的过程，支持观察五色土并探究形成原因；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4.软件应提供水循环课程，支持在课程中学习水循环的各个环节；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5.软件应提供热力环流课程中热力环流的模拟实验，要求场景支持构建单圈热力环流、双圈热力环流构建方式。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6.软件应支持虚拟沙盘、情景推演，可利用自建数据模型智能模拟、计算某产业生产过程引发的数据变化，及其影响。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课程资源要求：要求提供配套高中课程资源不少于11课，课程应依据普通高中地理课程标准开发，应包含“太阳系、地球的公转运动、热力环流、天气系统、水循环、洋流、喀斯特地貌地上、土壤、地震、农业区位因素及变化、海洋权益”等教学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8.要求提供带有“地理VR”或“虚拟现实地理”或“地理混合现实”字样的软件著作权证书复印件，加盖制造厂商公章。</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1FF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3D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r>
      <w:tr w14:paraId="118C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A38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E17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高中历史VR资源精品版</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FE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1.软件应支持运行于桌面级虚拟现实设备，使用者戴上3D眼镜即可观看到模型的出屏或景深效果；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2.软件应支持利用触控笔实现三维操控，使用触控笔可虚拟“拿起”3D模型，对其进行360°观察及放大、缩小的操作，并能够对模型进行拆分与组合。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软件应支持展示、备课、授课三种应用模式的选择。备课模式下，可一键导入PPT课件，自由组合编辑系统中的各类资源,将自有资源与系统资源相互关联，实现知识结构图与其他类型资源、时间轴与历史地图组合、文献材料与3D历史文物模型等多种组合。在授课模式下，可播放备课模式下生成的课件，使用者可通过抓取、旋转、缩放、拖动等交互操作，灵活调取展示各类备课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4.软件应具备中国历史时间轴、世界历史时间轴，支持显示本课时间轴；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软件应具备良渚遗址场景，应包含瑶山祭坛、外围水利系统、城墙与内外城等五大模块，应支持通过不同场景的切换实现漫游，应支持通过抓取、旋转、缩放等交互操作，对文物模型进行360度细节观察，并通过点击触发动画演示，了解良渚古城的空间规划结构。（为保证软件质量，此项需提供视频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软件应具备还原航船从西班牙出发的虚拟场景，应支持以任务探究的方式串联知识点，引导体验者主动学习相关内容，可通过内外部的切换实现场景漫游，结合点击、移动等操作全方位沉浸式感受15世纪末16世纪初航船的历史情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高中历史VR教学系统应按照《普通高中历史课程标准》要求，涵盖统编高中历史教科书《中外历史纲要》上下册内容，软件应对3D历史地图、3D历史场景、知识结构、时间轴、实物史料、文献史料、图像史料、历史解释等历史教学素材和资源进行系统整合。要求至少包含高中历史VR课程数量不少于22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8.要求提供带有“历史VR”或“虚拟现实历史”或“历史混合现实”字样的软件著作权证书复印件，加盖制造厂商公章。</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F8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75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r>
      <w:tr w14:paraId="64CF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5EC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F46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VR红色教育展馆软件</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CE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一、总体要求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1.1产品采用主流虚拟引擎制作工具，确保技术先进。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1.2软件需根据历史知识点内容的不同，贴切内容采用多种表现形式结合的教学方式。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1.3软件支持在无网络环境中运行。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1.4软件需支持windows或安卓系统部署。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1.5需包含历届中共代表大会相关信息或会议所产生的决议或文件展示。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二、内容组成要求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软件需包含红军长征路、红军武器库、历届中共代表大会，以及以红色虚拟展馆的形式展现历史上的珍贵资料，具体要求如下：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2.1红军长征路：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（1）需以虚拟沙盘的形式直观展现红军的长征路线，并配有文字介绍，使用户深刻了解红军长征的艰辛与不易；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（2）针对红军长征过程中发生的重大历史事件，需采用虚拟场景漫游、文字介绍、音频等多种形式相结合的方式来展现。重大历史事件需包括但不限于：四渡赤水、飞夺泸定桥等。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 红军武器库：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▲（1）武器类型需包括但不限于：冷兵器（大刀）、枪械（步马枪、机枪、手枪）、手榴弹、炮弹（迫击炮）等；（为保证软件质量，此项需提供截图证明）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（2）武器展现形式需包括但不限于：模型展示、武器参数文字介绍、武器使用演示动画或视频、武器使用模拟体验等。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2.3红色虚拟展馆：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（1）红色展馆需以虚拟场景漫游的形式展现。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（2）红色展馆中需展示红军先辈们所使用过的武器装备，针对每个武器装备均可单独查看其3D模型，且模型支持任意缩放、移动。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（3）红色展馆中需配置革命人物的文献或影像资料，针对每个资料均可单独查看。</w:t>
            </w:r>
          </w:p>
        </w:tc>
        <w:tc>
          <w:tcPr>
            <w:tcW w:w="648" w:type="dxa"/>
            <w:vMerge w:val="restart"/>
            <w:tcBorders>
              <w:top w:val="single" w:color="000000" w:sz="4" w:space="0"/>
              <w:left w:val="single" w:color="000000" w:sz="4" w:space="0"/>
              <w:right w:val="single" w:color="000000" w:sz="4" w:space="0"/>
            </w:tcBorders>
            <w:shd w:val="clear" w:color="auto" w:fill="FFFFFF"/>
            <w:vAlign w:val="center"/>
          </w:tcPr>
          <w:p w14:paraId="66EB8C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vMerge w:val="restart"/>
            <w:tcBorders>
              <w:top w:val="single" w:color="000000" w:sz="4" w:space="0"/>
              <w:left w:val="single" w:color="000000" w:sz="4" w:space="0"/>
              <w:right w:val="single" w:color="000000" w:sz="4" w:space="0"/>
            </w:tcBorders>
            <w:shd w:val="clear" w:color="auto" w:fill="auto"/>
            <w:vAlign w:val="center"/>
          </w:tcPr>
          <w:p w14:paraId="77DD43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r>
      <w:tr w14:paraId="3785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60B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844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海洋生物VR科普软件</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0B8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软件内部要求包含海底生物、海洋刺胞生物、海洋棘皮动物、海洋软体动物、海洋鱼类、海洋节肢动物、海洋爬行动物、海洋哺乳动物、海洋大型植物等多类型的海洋生物。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1.海洋刺胞生物至少有珊瑚、钵水母纲、水螅纲等3种生物类型。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2.海洋棘皮动物至少有海百合纲、海星纲、蛇尾纲、海胆纲、海参纲等5中动物类型。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3.海洋软体动物至少有多板纲、双壳纲、腹足纲、头足纲等4种动物类型。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4.海洋鱼类至少有文昌鱼纲、圆口纲、软骨鱼纲、硬骨鱼纲等4种鱼类。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5.海洋节肢动物至少有十足目、口足目等2种动物类型。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6.海洋爬行动物至少有龟鳖目、蛇目等2种类型。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7.海洋哺乳动物至少有鲸目、鳍脚目等2种类型。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8.海洋大型植物至少有绿藻门、褐藻门、红藻门、维管 植物等4种类型。</w:t>
            </w:r>
          </w:p>
        </w:tc>
        <w:tc>
          <w:tcPr>
            <w:tcW w:w="648" w:type="dxa"/>
            <w:vMerge w:val="continue"/>
            <w:tcBorders>
              <w:left w:val="single" w:color="000000" w:sz="4" w:space="0"/>
              <w:right w:val="single" w:color="000000" w:sz="4" w:space="0"/>
            </w:tcBorders>
            <w:shd w:val="clear" w:color="auto" w:fill="FFFFFF"/>
            <w:vAlign w:val="center"/>
          </w:tcPr>
          <w:p w14:paraId="43BD3E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8" w:type="dxa"/>
            <w:vMerge w:val="continue"/>
            <w:tcBorders>
              <w:left w:val="single" w:color="000000" w:sz="4" w:space="0"/>
              <w:right w:val="single" w:color="000000" w:sz="4" w:space="0"/>
            </w:tcBorders>
            <w:shd w:val="clear" w:color="auto" w:fill="auto"/>
            <w:vAlign w:val="center"/>
          </w:tcPr>
          <w:p w14:paraId="090170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54CC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811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15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基础教育示范软件</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8B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一、总体要求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软件需将VR技术与教学知识点相结合，将埃及金字塔的主要结构、天体运动规律、曹冲称象的思维逻辑、潜艇操作原理及动植物细胞结构以虚拟3D的方式进行呈现，以便学生快速掌握历史、地理、自然科学等知识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1.2为满足用户的多样性需求，软件需包含中、英文版本，可进行中英文版本的自由切换。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1.3为保证教学效果更好的呈现，软件同时有对应的音效。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二、内容要求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软件需包含埃及文明、宇宙科学、曹冲称象、自然科学及生物科学五个部分，展示方式在达到教学目的的同时，要具有课堂趣味性。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2.1埃及文明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（1）软件需要包含古埃及文明介绍，包括但不限于金字塔内、外部环境，神庙，古埃及人等。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（2）金字塔内部包括长廊、国王墓地、王后墓地的结构及文字介绍，通过三者的模型搭建，清晰直观得表现三者内部的结构关联。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2.2宇宙科学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（1）软件需包含行星序列、太阳系运动、地日运动、地月系统、地球预览等内容。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（2）行星序列按照一定规律排列，同时对每个行星都有相应的名称和文字介绍，以便更好的理解八大行星的特征。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（3）太阳系运动包含八大行星，配合动画和特效，展示运动原理，同时表现八大行星绕日运动的区别。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（4）地日运动包含地球绕日公转的同时进行自转，由公转所产生的春分、夏至、秋分、冬至四个节气。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（5）地月运动包含日食、月食、月相变化、潮汐效应，以及月相小游戏，利用全方位的动态动画对地月运动内容进行展示，增强课堂的趣味性。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（6）地球简介包括预览基础知识以及进入教学模式，教学模式中能够在模型上同步实现光照、经纬网、温度带的展示，让学生对地球形成体系化的认识。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2.3曹冲称象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软件需包含但不限于大象、船、画线笔、石头、秤及秤砣，除了必须称象的工具以外，还有外在背景环境的搭建，使整体协调统一。学生可体验整个曹冲称象的过程：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（1）把大象放置到小船上，在船身稳定后，在船身和水平面相接处，划一道红色记号；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（2）把象移下船，船身上浮，红线离水面有一定距离；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（3）点击光亮处往船上填石头，直到红线变绿；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（4）停止投石，开始称船上石头的总重量；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（5）右边放置石头，左边移动秤砣，直至平衡，重复操作，直到所有石头重量称完；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（6）得到大象重量。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2.4自然科学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（1）软件应包括但不限于潜艇的外观、荷花的组成、桃子的内部结构、鱼类的介绍。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对潜艇进行外观展示、内部剖面展示、浮沉原理展示，特别在潜艇浮沉操作过程中，对尾舱水量、中舱水量、首舱水量进行增减，可以模拟潜艇在水中下沉、上浮的状态，并自由调节。（为保证软件质量，此项需提供视频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（2）从桃树、桃子到果皮、种子，将桃各个组成部位细化展示，同时从桃果实形成的过程进行详细的介绍，对桃的整个体系完整认识，帮助学生提升对桃的认知。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（4）对几种鱼类的生长环境、外部特征、分布范围进行图文介绍，通过360°旋转、拖拽，清晰直观的认识了解几种鱼的外部特征。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2.5生物科学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（1）软件包括但不于体细胞、植物细胞、脱氧核糖核酸的介绍，拥有全动态的模型内容展示，可以生动的体现整个细胞的各个部位的功能动画。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体细胞进行整体、剖面的展示和认知介绍，对内部组成细胞膜、细胞质、细胞核、细胞骨架以及细胞器进行展示和文字介绍，重点突出细胞器的功能以及内部联系。（为保证软件质量，此项需提供视频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（3）植物细胞进行整体、剖面的展示和认知介绍，对内部组成细胞壁、细胞膜、细胞质、细胞核、细胞骨架以及细胞器进行展示和认知介绍，重点突出细胞器的功能以及内部联系。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（4）脱氧核糖核酸的整体和组成结构进行展示和认知介绍。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（5）对蕨类植物、种子植物、苔藓植物、藻类植物进行展示和认知介绍。</w:t>
            </w:r>
          </w:p>
        </w:tc>
        <w:tc>
          <w:tcPr>
            <w:tcW w:w="648" w:type="dxa"/>
            <w:vMerge w:val="continue"/>
            <w:tcBorders>
              <w:left w:val="single" w:color="000000" w:sz="4" w:space="0"/>
              <w:bottom w:val="single" w:color="000000" w:sz="4" w:space="0"/>
              <w:right w:val="single" w:color="000000" w:sz="4" w:space="0"/>
            </w:tcBorders>
            <w:shd w:val="clear" w:color="auto" w:fill="FFFFFF"/>
            <w:vAlign w:val="center"/>
          </w:tcPr>
          <w:p w14:paraId="67DBA9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708" w:type="dxa"/>
            <w:vMerge w:val="continue"/>
            <w:tcBorders>
              <w:left w:val="single" w:color="000000" w:sz="4" w:space="0"/>
              <w:bottom w:val="single" w:color="000000" w:sz="4" w:space="0"/>
              <w:right w:val="single" w:color="000000" w:sz="4" w:space="0"/>
            </w:tcBorders>
            <w:shd w:val="clear" w:color="auto" w:fill="auto"/>
            <w:vAlign w:val="center"/>
          </w:tcPr>
          <w:p w14:paraId="1273D0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74D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6F0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7BF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智能制造VR科普软件</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D0D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智能制造VR体验软件，以VR模型和交互操作为核心，通过对新能源汽车驱动电机的拆卸、齿轮减速机的工作原理/爆炸展示、电路搭建功能的展示、液压机械臂安装与仿真，提升用户对智能制造元件结构和工作原理的理解，并通过交互操作加深用户的直观体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（1）驱动电机拆卸以国内主流的纯电动汽车动力总成进行建模，真实模拟标准拆卸流程；软件提供工具和具体操作的文字图形提示，相应模型操作部位高亮特效提示，真实还原拆卸体验。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液压机械臂需包含机械臂安装、机械臂仿真功能；机械臂安装需要按正确顺序安装各个机械臂零部件，完成机械臂安装后能进行仿真，机械臂仿真可以控制机械臂四个轴向运动，通过四轴控制机械臂进行工件搬运仿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（3）电路的连接以物理实验中常用的灯泡、电池、开关建模，真实的模拟在实物连接中的各种情况，比如选取1个元件、2个元件、3个或者4个元件连接时，给出各种连接情况下的结果。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齿轮减速机以二级直齿减速机1:1建模，展现减速机的运行和爆炸状态，爆炸后可以随意抓取某个零件进行放大缩小和旋转，并提示零件名称。还原按钮可以让爆炸开的减速机回到初始状态，让用户看到减速机的内部结构和运行原理。</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21E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50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r>
      <w:tr w14:paraId="2D02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BF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75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中小学溺水安全教育仿真系统</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21F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一、运行环境要求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1.1可基于桌面式VR交互设备及移动式VR交互平板设备运行，方便教师课堂教学。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1.2系统无需连接服务器，在无网络环境中即可运行。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二、功能要求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系统需模拟包含溺水报警、常用救生器材科普、隐患排查、溺水救援、心肺复苏等内容，使学员学习溺水的预防、抢救措施、溺水逃生技巧等各个领域的知识内容，同时也能结合所学安全教育内容进行交互性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2.2溺水报警：模拟报警流程，学员可通过电话进行报警，并进行报警问答。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2.3救生器材：救生器材的科普，救生器材包括但不限于呼吸器、心纤除颤器、救生圈、救生衣、木棍，介绍方式需包含文字介绍、动画演示、模型展示。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隐患排查：模拟河边场景，通过让学员在场景中自由走动寻找河边可能会发生溺水的地点，来使学员加强对溺水安全问题的认知。系统需设置隐患点包括但不限于在池塘边抓鱼、在池塘边的楼梯上玩耍、翻越池塘边的栏杆、摘取池塘里的荷花、在河边的石头上打闹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2.5溺水救援：救援方式包括但不限于救生圈救援、救生衣救援、木板救援、木棍救援、请求大人救援等。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2.6心肺复苏：模拟心肺复苏操作流程，学员可实时查看溺水者的生命值。</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51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D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r>
      <w:tr w14:paraId="3EDC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B7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EA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中小学火灾安全教育仿真系统</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65A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一、运行环境要求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1.1可基于桌面式VR交互设备及移动式VR交互平板设备运行，方便教师课堂教学。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1.2系统无需连接服务器，在无网络环境中即可运行。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二、功能要求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系统需模拟包含火灾报警、小火扑灭、灭火道具、火场逃生、隐患排查等内容，使学生在教学中学习火灾的预防、灭火措施、火灾逃生技巧等各个领域的知识内容，同时也能结合所学安全教育内容进行交互性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2.2火灾报警：模拟报警流程，学员可通过电话进行报警，并进行报警问答。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2.3小火扑灭：通过模拟现实生活中常遇的各类火灾的紧急处理方法，使学员学会根据不同类型的火灾选择不同的灭火方式，例如插座着火，可选用灭火器灭火。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2.4灭火道具演示：介绍生活中常见的灭火道具，包括但不限于灭火器、水、沙土等，每种灭火道具的教学形式需包含但不限于模型展示、模型交互（可任意的旋转、拖拽）、适用范围、模型动画演示等。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2.5火场逃生模拟：需模拟2种或以上火灾逃生场景，例如学员常遇的学校、家庭火灾场景，每一个模拟场景均需设定逃生时间，学员须在规定的时间内完成逃生任务。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2.6火灾隐患排查：通过在模拟场景中进行火灾隐患点的查找，使学员在生活中可对火灾进行预防，需设置不少于8处隐患点供学员进行查找认知。</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6E2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A7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r>
      <w:tr w14:paraId="57D3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DD4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07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生物医疗VR科普软件</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E02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生物医疗VR科普软件，通过VR模型展示、VR模型交互对生物医疗的相关内容进行科普，使用户对生物医疗的基本知识产生直观形象的认知，提高用户对生物医疗知识的兴趣。软件以VR模型展示和交互操作为核心，通过对海底世界的展示，人类眼球的剖面结构展示及眼球多结构分散展示，新冠病毒假想模型的整体及内部结构的展示，神经元的神经传导效果展示及神经元的整体结构展示、神经突触的结构展示，提高用户对生物医疗类知识的直观体验，将漆黑的海底世界、难以接触到的眼球结构、有生物危险性的病毒及微观的人体神经结构等，清晰形象的展示出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（1）海底世界：海底世界模块包含海底生物的活动场景，利用VR一体机的特点，用户可以感受丰富多彩的海洋生物近在眼前的效果 ，还可以抓起游过的生物，360观察它的形态和动作。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眼球探索：眼球探索模块包含眼球剖面的整体及分层展示两部分，眼球整体模型上均标注序号，点击序号可旋转视角到指定结构，并显示对应的结构名称和注释。眼球剖面结构可分层展开，所有分开展示的眼球剖面模型均可自由拖动旋转缩放，并且选中任一模型，均显示对应结构名称及结构注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（3）解密新冠病毒：解密新冠病毒模块，展示了三种新冠病毒的假想结构模型，并剖面展示了新冠病毒的内部结构。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（4）独特的神经元：独特的神经元模块，展示了神经元的内部及外部结构，并使用动画及特效展示神经冲动的传导过程，神经冲动从神经元的树突传导到胞体，再传导到轴突的过程。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（5）⼤脑的交通要塞:突触模块，展示了神经末梢的两个突触的典型结构。</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75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2A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r>
      <w:tr w14:paraId="4569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95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2A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解析控制台系统</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340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本地化私有部署，C/S架构，方便部署安装。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可部署在全息VR桌面一体机，支持对一体机上面的VR应用的配置与管控。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云端序列号激活模式，为了保证账户安全，激活时需要联网验证。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激活码采用4重加密算法，与教师端深度绑定。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教师端支持自动显示IP地址，方便学生端获取。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教师端支持学生端动态列表显示，可显示已连接的学生端列表，教师端和学生端均支持全息VR桌面一体机设备及PC设备。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教师端显示的学生端列表可支持缩略图，且支持动态更新，动态刷新学生端最新画面。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教师端支持学生端动态列表拓展显示，可以缩略图方式同时显示不小于10组学生机画面。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教师端可对学生机进行全选及多选操作。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教师端可远程关闭学生端电脑。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教师端可远程开启指定学生端及一次性开启所有学生端所安装的指定VR课程软件及普通基础程序软件。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教师端可查看学生端已安装的软件，并以图表的形式进行显示，支持动态配置学生端软件列表。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添加学生端列表时支持智能获取所添加应用图标。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教师端可远程锁定学生端，禁止学生操作鼠标键盘。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 教师端可远程解锁学生端，允许学生自由操作鼠标键盘。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教师端可将全息VR桌面一体机画面广播到学生端，学生端可同步看到教师端的交互操作。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 教师端可拉取指定学生机画面，在教师端实时观看学生端操作，支持将某学生端画面分享到大屏及投影系统，供全班人观看。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 教师端支持全屏观看模式，可全屏观看某一学生实时画面。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 学生端可输入学生姓名和教师端IP，输入正确后可连接到教师端。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 学生端链接后教师端可更改任意学生端姓名。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 学生端首次链接成功后可自动记录教师端IP，再次链接时不用重复填写。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 支持全局快捷键，可通过快捷键一键触发和结束全局广播及全局锁定。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 支持动态配置全局快捷键，可自定义快捷键。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 支持语音播报，在使用快捷键时可播报对应语音。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 支持授权释放，可在已授权的机器上进行授权释放，释放后的激活码可以用于新设备软件激活，剩余授权时间自动继承。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26. 支持动态像素检测，信号传输时只传输有像素变化的区域。</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4E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46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r>
      <w:tr w14:paraId="025E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EA1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01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24口接入交换机</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30D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1.交换容量 ≥396Gbps；转发性能 ≥108Mpps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2.提供≥24千兆电口+4个千兆光口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3.支持静态路由、RIPv1/v2/ng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4.内置智能图形化管理中心，支持Telemetry技术，可通过GRPC协议将交换机的实时资源信息与告警信息上送至运维平台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5.支持快速环网保护协议，支持ERPS环网协议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6.支持CLI、Telnet、Console、SNMP、web网管等多种管理方式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7.支持Internet宽带接入，主要支持中小企业网用户的千兆接入，支持VOD等多媒体服务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8.支持创新的IRF（Intelligent Resilient Framework，智能弹性架构）技术，用户可以将多台交换机连接，形成一个逻辑上的独立实体</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73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17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CEB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08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C2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显示器</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12D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≥27英寸,分辨率≥1920x1080，液晶显示器</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A6B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C4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2614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C7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04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65E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规格：WDH/600mm×600mm×2045mm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配置：2块固定层板/1条标准10A六插电源插座/2把220V交流散热风扇/50套M6安装套件。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描述：机柜采用全模块化组装结构，内置4根19寸标高42U（1U=44.45mm）安装立柱；前门为单开带锁钢制嵌边式玻璃门，侧门和后门为快速拆卸式钢制门，机柜静态载重达到850KG</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F0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00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27D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E76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DCA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教师桌（讲台）</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8DA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约1200W600D750H；2.材质：面板采用25mm厚优质密度板双面三聚氰饰面，其余板材采用15mm厚优质密度板双面三聚氰胺饰面，桌面封边采用2.0mm厚；3∶1配料PVC经模具生产封边，其余采用1.0mm厚3∶1配料PVC封边，所有封经高温全自动机器封边，经久耐用，不易脱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工作台设计∶左侧为主机柜，右侧为设备柜内分两层；桌前后均配门板；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3.配件∶柜门铰链采用缓冲液压型铰链，或相当于96铝合金接手，一锁通，优质连接五金配件。</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BA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88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B60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4B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4E2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教师椅</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B6A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椅背曲线靠背，贴合人体背部 靠背可倾斜15%  1.2mm烤漆钢架椅腿，高温烤漆防锈耐刮，稳固称重，贴合扶手 扶手可调节，前后移动。定型海绵高密度面料柔软舒适透气 亲肤 弹性坐垫</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9F1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6A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538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D80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798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六边形学生桌</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46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面板采用25mm厚密度板，背板采用15mm厚密度板，抗弯力强，不易变形；2、耐磨性强，承载能力强，绿色环保，也没有有害物质溢出。3、桌面采用约2.0mm厚3:1配料PVC封边经200度高温胶全自动机器直封边. 侧翻桌钢架两边脚采用优质高精度冷轧钢经及塑胶配件而成，钢架两边脚使用椭圆管弯制成人字形，脚管采用优质钢管（50×25×1.2m）(50X25XT1.2m),表面采用防锈静电喷涂处理。两脚管距成度角65°，主横梁采用优质梅花管经夹具焊接，精磨，表面再经防锈静电喷涂处理，实用牢固，承受力大，梅花管尺寸：30MM*33MM*23MM*1.2MM，二层书网采用优质钢板(厚度为0.6mm)经模具成型与圆管组成表面采用防锈静电喷涂处理，外观设计采用人体工程理念及个性化需求，整件产品拼接好，接缝齐整，整体颜色基本相符，过渡自然;台架有拉杆拆叠装置，脚轮采用万向脚轮带刹车，造型美观大方，有现代特色。 </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76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4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03B0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6E4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785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学生椅</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B8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椅背曲线靠背，贴合人体背部 靠背可倾斜15%  1.2mm烤漆钢架椅腿，高温烤漆防锈耐刮，稳固称重，贴合扶手 扶手可调节，前后移动。定型海绵高密度面料柔软舒适透气 亲肤 弹性坐垫</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9B0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1E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r>
    </w:tbl>
    <w:p w14:paraId="1F193930">
      <w:pPr>
        <w:rPr>
          <w:rFonts w:hint="eastAsia"/>
        </w:rPr>
      </w:pPr>
    </w:p>
    <w:p w14:paraId="3DFB07E0">
      <w:pPr>
        <w:rPr>
          <w:rFonts w:hint="eastAsia"/>
        </w:rPr>
      </w:pPr>
    </w:p>
    <w:p w14:paraId="2453F19C">
      <w:pPr>
        <w:rPr>
          <w:rFonts w:hint="eastAsia"/>
        </w:rPr>
      </w:pPr>
    </w:p>
    <w:tbl>
      <w:tblPr>
        <w:tblStyle w:val="17"/>
        <w:tblW w:w="10140"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0"/>
      </w:tblGrid>
      <w:tr w14:paraId="2BA4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40" w:type="dxa"/>
            <w:vAlign w:val="center"/>
          </w:tcPr>
          <w:p w14:paraId="03A32220">
            <w:pPr>
              <w:jc w:val="left"/>
              <w:rPr>
                <w:rFonts w:hint="eastAsia" w:ascii="宋体" w:hAnsi="宋体" w:eastAsia="宋体" w:cs="宋体"/>
                <w:color w:val="auto"/>
                <w:kern w:val="0"/>
                <w:sz w:val="20"/>
                <w:szCs w:val="20"/>
                <w:highlight w:val="none"/>
                <w:lang w:val="en-US" w:eastAsia="zh-CN" w:bidi="ar-SA"/>
              </w:rPr>
            </w:pPr>
            <w:bookmarkStart w:id="33" w:name="_Toc6559"/>
            <w:r>
              <w:rPr>
                <w:rFonts w:hint="eastAsia" w:ascii="宋体" w:hAnsi="宋体" w:cs="宋体"/>
                <w:b/>
                <w:bCs w:val="0"/>
                <w:color w:val="auto"/>
                <w:szCs w:val="21"/>
                <w:highlight w:val="none"/>
                <w:lang w:bidi="en-US"/>
              </w:rPr>
              <w:t>商务要求：</w:t>
            </w:r>
          </w:p>
        </w:tc>
      </w:tr>
      <w:tr w14:paraId="3BD4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0" w:type="dxa"/>
            <w:vAlign w:val="center"/>
          </w:tcPr>
          <w:p w14:paraId="19D75F5C">
            <w:pPr>
              <w:pStyle w:val="10"/>
              <w:snapToGrid w:val="0"/>
              <w:spacing w:line="400" w:lineRule="exact"/>
              <w:ind w:firstLine="420" w:firstLineChars="200"/>
              <w:rPr>
                <w:rFonts w:hint="eastAsia" w:ascii="宋体" w:hAnsi="宋体" w:eastAsia="宋体" w:cs="宋体"/>
                <w:color w:val="auto"/>
                <w:kern w:val="0"/>
                <w:sz w:val="20"/>
                <w:szCs w:val="20"/>
                <w:highlight w:val="none"/>
                <w:lang w:val="en-US" w:eastAsia="zh-CN" w:bidi="ar-SA"/>
              </w:rPr>
            </w:pPr>
            <w:r>
              <w:rPr>
                <w:rFonts w:hint="eastAsia" w:hAnsi="宋体" w:cs="宋体"/>
                <w:color w:val="auto"/>
                <w:highlight w:val="none"/>
              </w:rPr>
              <w:t>本项目实行总承包报价；包括货物采购、运输、保管、设计、施工、安装、调试、验收等各种费用和售后服务、税金及其它所有成本费用的总和。竞标人应充分考虑施工期间各类材料的市场价格变化和可能的国家政策性调整，确定风险系数，对本项目的所有内容范围的货物及服务进行总承包报价。为确保产品质量，本项目采购人不承诺和保证最低价中标。</w:t>
            </w:r>
          </w:p>
        </w:tc>
      </w:tr>
      <w:tr w14:paraId="7779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0" w:type="dxa"/>
            <w:vAlign w:val="center"/>
          </w:tcPr>
          <w:p w14:paraId="7AD919E5">
            <w:pPr>
              <w:pStyle w:val="10"/>
              <w:snapToGrid w:val="0"/>
              <w:spacing w:line="400" w:lineRule="exact"/>
              <w:ind w:firstLine="420" w:firstLineChars="200"/>
              <w:rPr>
                <w:rFonts w:hint="eastAsia" w:ascii="宋体" w:hAnsi="宋体" w:cs="宋体" w:eastAsiaTheme="minorEastAsia"/>
                <w:color w:val="auto"/>
                <w:kern w:val="2"/>
                <w:sz w:val="21"/>
                <w:szCs w:val="21"/>
                <w:highlight w:val="none"/>
                <w:lang w:val="en-US" w:eastAsia="zh-CN" w:bidi="ar-SA"/>
              </w:rPr>
            </w:pPr>
            <w:r>
              <w:rPr>
                <w:rFonts w:hint="eastAsia" w:hAnsi="宋体" w:cs="宋体"/>
                <w:color w:val="auto"/>
                <w:highlight w:val="none"/>
              </w:rPr>
              <w:t>质保期：</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1</w:t>
            </w:r>
            <w:r>
              <w:rPr>
                <w:rFonts w:hint="eastAsia" w:hAnsi="宋体" w:cs="宋体"/>
                <w:color w:val="auto"/>
                <w:highlight w:val="none"/>
                <w:u w:val="single"/>
              </w:rPr>
              <w:t xml:space="preserve"> </w:t>
            </w:r>
            <w:r>
              <w:rPr>
                <w:rFonts w:hint="eastAsia" w:hAnsi="宋体" w:cs="宋体"/>
                <w:color w:val="auto"/>
                <w:highlight w:val="none"/>
              </w:rPr>
              <w:t>年。质保期内免费</w:t>
            </w:r>
            <w:r>
              <w:rPr>
                <w:rFonts w:hint="eastAsia" w:hAnsi="宋体" w:cs="宋体"/>
                <w:b/>
                <w:bCs/>
                <w:color w:val="auto"/>
                <w:highlight w:val="none"/>
              </w:rPr>
              <w:t>升级、</w:t>
            </w:r>
            <w:r>
              <w:rPr>
                <w:rFonts w:hint="eastAsia" w:hAnsi="宋体" w:cs="宋体"/>
                <w:color w:val="auto"/>
                <w:highlight w:val="none"/>
              </w:rPr>
              <w:t>维修、更换配件。质保期内如出现系统问题或设备故障的，免费提供相同规格型号的不低于原设备性能要求的替代品使用或者冗余服务。质保期内如出现无法修复系统问题或设备故障的，免费更换相同规格型号的设备。</w:t>
            </w:r>
          </w:p>
        </w:tc>
      </w:tr>
      <w:tr w14:paraId="3552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0" w:type="dxa"/>
            <w:vAlign w:val="center"/>
          </w:tcPr>
          <w:p w14:paraId="2CC013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1、交付使用期：</w:t>
            </w:r>
            <w:r>
              <w:rPr>
                <w:rFonts w:hint="eastAsia" w:ascii="宋体" w:hAnsi="宋体" w:cs="宋体"/>
                <w:color w:val="auto"/>
                <w:szCs w:val="21"/>
                <w:highlight w:val="none"/>
                <w:lang w:eastAsia="zh-CN"/>
              </w:rPr>
              <w:t>自</w:t>
            </w:r>
            <w:r>
              <w:rPr>
                <w:rFonts w:hint="eastAsia" w:ascii="宋体" w:hAnsi="宋体" w:cs="宋体"/>
                <w:color w:val="auto"/>
                <w:szCs w:val="21"/>
                <w:highlight w:val="none"/>
              </w:rPr>
              <w:t>合同签订之日起</w:t>
            </w:r>
            <w:r>
              <w:rPr>
                <w:rFonts w:hint="eastAsia" w:ascii="宋体" w:hAnsi="宋体" w:cs="宋体"/>
                <w:color w:val="auto"/>
                <w:szCs w:val="21"/>
                <w:highlight w:val="none"/>
                <w:u w:val="single"/>
                <w:lang w:val="en-US" w:eastAsia="zh-CN"/>
              </w:rPr>
              <w:t xml:space="preserve"> 50个日历天</w:t>
            </w:r>
            <w:r>
              <w:rPr>
                <w:rFonts w:hint="eastAsia" w:ascii="宋体" w:hAnsi="宋体" w:cs="宋体"/>
                <w:color w:val="auto"/>
                <w:szCs w:val="21"/>
                <w:highlight w:val="none"/>
                <w:u w:val="single"/>
              </w:rPr>
              <w:t>内</w:t>
            </w:r>
            <w:r>
              <w:rPr>
                <w:rFonts w:hint="eastAsia" w:ascii="宋体" w:hAnsi="宋体" w:cs="宋体"/>
                <w:color w:val="auto"/>
                <w:szCs w:val="21"/>
                <w:highlight w:val="none"/>
              </w:rPr>
              <w:t>完成。</w:t>
            </w:r>
          </w:p>
          <w:p w14:paraId="35D86267">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2、签订合同日期：自成交</w:t>
            </w:r>
            <w:r>
              <w:rPr>
                <w:rFonts w:hint="eastAsia" w:ascii="宋体" w:hAnsi="宋体" w:cs="宋体"/>
                <w:color w:val="auto"/>
                <w:szCs w:val="21"/>
                <w:highlight w:val="none"/>
                <w:lang w:eastAsia="zh-CN"/>
              </w:rPr>
              <w:t>通知书</w:t>
            </w:r>
            <w:r>
              <w:rPr>
                <w:rFonts w:hint="eastAsia" w:ascii="宋体" w:hAnsi="宋体" w:cs="宋体"/>
                <w:color w:val="auto"/>
                <w:szCs w:val="21"/>
                <w:highlight w:val="none"/>
              </w:rPr>
              <w:t>发出之日起</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个</w:t>
            </w:r>
            <w:r>
              <w:rPr>
                <w:rFonts w:hint="eastAsia" w:ascii="宋体" w:hAnsi="宋体" w:cs="宋体"/>
                <w:color w:val="auto"/>
                <w:szCs w:val="21"/>
                <w:highlight w:val="none"/>
                <w:lang w:eastAsia="zh-CN"/>
              </w:rPr>
              <w:t>日历天</w:t>
            </w:r>
            <w:r>
              <w:rPr>
                <w:rFonts w:hint="eastAsia" w:ascii="宋体" w:hAnsi="宋体" w:cs="宋体"/>
                <w:color w:val="auto"/>
                <w:szCs w:val="21"/>
                <w:highlight w:val="none"/>
              </w:rPr>
              <w:t>内</w:t>
            </w:r>
          </w:p>
          <w:p w14:paraId="33EBDE3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3、交货地点：采购</w:t>
            </w:r>
            <w:r>
              <w:rPr>
                <w:rFonts w:hint="eastAsia" w:ascii="宋体" w:hAnsi="宋体" w:cs="宋体"/>
                <w:color w:val="auto"/>
                <w:szCs w:val="21"/>
                <w:highlight w:val="none"/>
                <w:lang w:eastAsia="zh-CN"/>
              </w:rPr>
              <w:t>单位</w:t>
            </w:r>
            <w:r>
              <w:rPr>
                <w:rFonts w:hint="eastAsia" w:ascii="宋体" w:hAnsi="宋体" w:cs="宋体"/>
                <w:color w:val="auto"/>
                <w:szCs w:val="21"/>
                <w:highlight w:val="none"/>
              </w:rPr>
              <w:t>指定地点。</w:t>
            </w:r>
          </w:p>
          <w:p w14:paraId="73829F6E">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4、支付方式：</w:t>
            </w:r>
            <w:r>
              <w:rPr>
                <w:rFonts w:hint="eastAsia" w:ascii="宋体" w:hAnsi="宋体" w:cs="宋体"/>
                <w:color w:val="auto"/>
                <w:szCs w:val="21"/>
                <w:highlight w:val="none"/>
                <w:lang w:eastAsia="zh-CN"/>
              </w:rPr>
              <w:t>产品验收合格后一年内付清</w:t>
            </w:r>
            <w:r>
              <w:rPr>
                <w:rFonts w:hint="eastAsia" w:ascii="宋体" w:hAnsi="宋体" w:cs="宋体"/>
                <w:color w:val="auto"/>
                <w:szCs w:val="21"/>
                <w:highlight w:val="none"/>
              </w:rPr>
              <w:t>。</w:t>
            </w:r>
          </w:p>
        </w:tc>
      </w:tr>
      <w:tr w14:paraId="015D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0" w:type="dxa"/>
            <w:vAlign w:val="center"/>
          </w:tcPr>
          <w:p w14:paraId="58EDCDDA">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技术要求：</w:t>
            </w:r>
          </w:p>
          <w:p w14:paraId="0230EC0F">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1、产品要求：</w:t>
            </w:r>
            <w:r>
              <w:rPr>
                <w:rFonts w:hint="eastAsia" w:ascii="宋体" w:hAnsi="宋体" w:cs="宋体"/>
                <w:color w:val="auto"/>
                <w:szCs w:val="21"/>
                <w:highlight w:val="none"/>
                <w:lang w:eastAsia="zh-CN"/>
              </w:rPr>
              <w:t>供应商所提供的货物型号、品牌、技术规格、技术参数等质量必须与本次采购要求和承诺相一致。供应商所提供货物是全新的、未使用过的，货物的配置为原厂原装，拒绝拼凑，完全符合合同规定的质量、规格和性能的要求。所供产品实质性满足采购方所要求的产品的所有参数要求，对于产品要求提供文件说明的相关文件、证书给予证明。对不能满足参数要求或无法提供相关文件说明的，或者无法正常交货影响采购方使用的视为虚假应标，采购方有权取消供应商的成交资格，并按相关规定报财政进行相应处理、处罚。</w:t>
            </w:r>
          </w:p>
          <w:p w14:paraId="3E68223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2、乙方交货前应对产品作出全面检查和对验收文件进行整理列出清单，作为甲方收货验收和使用的技术条件依据，检验的结果应随货物交甲方；</w:t>
            </w:r>
          </w:p>
          <w:p w14:paraId="723BBD1B">
            <w:pPr>
              <w:spacing w:line="400" w:lineRule="exac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3、甲方对乙方所交货物依照采购文件上的技术规格要求和国家有关标准进行现场验收，性能达到技术要求的，给予签收。验收不合格的不予签收，后果由乙方负责。中标人所供产品实质性满足</w:t>
            </w:r>
            <w:r>
              <w:rPr>
                <w:rFonts w:hint="eastAsia" w:ascii="宋体" w:hAnsi="宋体" w:cs="宋体"/>
                <w:color w:val="auto"/>
                <w:szCs w:val="21"/>
                <w:highlight w:val="none"/>
                <w:lang w:eastAsia="zh-CN"/>
              </w:rPr>
              <w:t>采购方</w:t>
            </w:r>
            <w:r>
              <w:rPr>
                <w:rFonts w:hint="eastAsia" w:ascii="宋体" w:hAnsi="宋体" w:cs="宋体"/>
                <w:color w:val="auto"/>
                <w:szCs w:val="21"/>
                <w:highlight w:val="none"/>
              </w:rPr>
              <w:t>所要求的产品的所有参数和商务要求</w:t>
            </w:r>
            <w:r>
              <w:rPr>
                <w:rFonts w:hint="eastAsia" w:ascii="宋体" w:hAnsi="宋体" w:cs="宋体"/>
                <w:color w:val="auto"/>
                <w:szCs w:val="21"/>
                <w:highlight w:val="none"/>
                <w:lang w:eastAsia="zh-CN"/>
              </w:rPr>
              <w:t>采购方</w:t>
            </w:r>
            <w:r>
              <w:rPr>
                <w:rFonts w:hint="eastAsia" w:ascii="宋体" w:hAnsi="宋体" w:cs="宋体"/>
                <w:color w:val="auto"/>
                <w:szCs w:val="21"/>
                <w:highlight w:val="none"/>
              </w:rPr>
              <w:t>才给予签收，否则不给予验收</w:t>
            </w:r>
            <w:r>
              <w:rPr>
                <w:rFonts w:hint="eastAsia" w:ascii="宋体" w:hAnsi="宋体" w:cs="宋体"/>
                <w:color w:val="auto"/>
                <w:szCs w:val="21"/>
                <w:highlight w:val="none"/>
                <w:lang w:eastAsia="zh-CN"/>
              </w:rPr>
              <w:t>。</w:t>
            </w:r>
          </w:p>
          <w:p w14:paraId="0E986B25">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4、遇到需要对商品进行故障处理，在质保期内提供7x24小时提供免费维护服务。对于到达指定现场后如超过48小时仍无法解决，则向用户提出明确解决方案，并免费提供与中标产品同等质量、性能的备用设备/系统（由此产生的运输、人工等一切费用由中标人承担）直至故障排除，否则中标人应赔偿相应损失。货物需要培训的，应免费对采购方进行培训，以保证采购方能自主熟练操作。 </w:t>
            </w:r>
          </w:p>
          <w:p w14:paraId="78EEF9D9">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5、标注“▲”、“◆”为重要技术参数指标。其中标注“▲”需要提供包含相关指标项的证明材料，证明材料可以使用官方网站截图或产品白皮书或第三方机构检验报告或其他相关证明材料。</w:t>
            </w:r>
          </w:p>
          <w:p w14:paraId="73B7BE94">
            <w:pPr>
              <w:spacing w:line="400" w:lineRule="exact"/>
              <w:rPr>
                <w:rFonts w:hint="eastAsia"/>
                <w:lang w:val="en-US" w:eastAsia="zh-CN"/>
              </w:rPr>
            </w:pPr>
            <w:r>
              <w:rPr>
                <w:rFonts w:hint="eastAsia" w:ascii="宋体" w:hAnsi="宋体" w:cs="宋体"/>
                <w:color w:val="auto"/>
                <w:szCs w:val="21"/>
                <w:highlight w:val="none"/>
                <w:lang w:val="en-US" w:eastAsia="zh-CN"/>
              </w:rPr>
              <w:t>标注“◆”需要提供视频演示证明材料(成交后提供）。投标人承诺在中标后3个工作日内到采购单位使用交付设备进行现场演示，如演示不满足此功能要求，采购人将上报相关监督管理部门。</w:t>
            </w:r>
          </w:p>
        </w:tc>
      </w:tr>
    </w:tbl>
    <w:p w14:paraId="6632F2FA">
      <w:pPr>
        <w:pStyle w:val="2"/>
        <w:bidi w:val="0"/>
        <w:rPr>
          <w:rFonts w:hint="eastAsia"/>
          <w:color w:val="auto"/>
          <w:highlight w:val="none"/>
          <w:lang w:eastAsia="zh-CN"/>
        </w:rPr>
      </w:pPr>
    </w:p>
    <w:p w14:paraId="03688C3B">
      <w:pPr>
        <w:pStyle w:val="2"/>
        <w:bidi w:val="0"/>
        <w:rPr>
          <w:rFonts w:hint="eastAsia"/>
          <w:color w:val="auto"/>
          <w:highlight w:val="none"/>
        </w:rPr>
      </w:pPr>
      <w:r>
        <w:rPr>
          <w:rFonts w:hint="eastAsia"/>
          <w:color w:val="auto"/>
          <w:highlight w:val="none"/>
          <w:lang w:eastAsia="zh-CN"/>
        </w:rPr>
        <w:t>第四章</w:t>
      </w:r>
      <w:r>
        <w:rPr>
          <w:rFonts w:hint="eastAsia"/>
          <w:color w:val="auto"/>
          <w:highlight w:val="none"/>
          <w:lang w:val="en-US" w:eastAsia="zh-CN"/>
        </w:rPr>
        <w:t xml:space="preserve">  </w:t>
      </w:r>
      <w:r>
        <w:rPr>
          <w:rFonts w:hint="eastAsia"/>
          <w:color w:val="auto"/>
          <w:highlight w:val="none"/>
          <w:lang w:eastAsia="zh-CN"/>
        </w:rPr>
        <w:t>竞争性谈判响应文件格式</w:t>
      </w:r>
      <w:bookmarkEnd w:id="33"/>
    </w:p>
    <w:p w14:paraId="0ED51D03">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325" w:firstLineChars="147"/>
        <w:textAlignment w:val="auto"/>
        <w:outlineLvl w:val="9"/>
        <w:rPr>
          <w:rFonts w:hint="eastAsia" w:ascii="宋体" w:hAnsi="宋体" w:cs="宋体"/>
          <w:b/>
          <w:bCs/>
          <w:color w:val="auto"/>
          <w:sz w:val="22"/>
          <w:szCs w:val="22"/>
          <w:highlight w:val="none"/>
        </w:rPr>
      </w:pPr>
      <w:bookmarkStart w:id="34" w:name="_Toc25837"/>
    </w:p>
    <w:bookmarkEnd w:id="34"/>
    <w:p w14:paraId="55F90D8E">
      <w:pPr>
        <w:keepNext w:val="0"/>
        <w:keepLines w:val="0"/>
        <w:pageBreakBefore w:val="0"/>
        <w:widowControl w:val="0"/>
        <w:kinsoku/>
        <w:wordWrap/>
        <w:overflowPunct/>
        <w:topLinePunct w:val="0"/>
        <w:autoSpaceDE/>
        <w:autoSpaceDN/>
        <w:bidi w:val="0"/>
        <w:adjustRightInd/>
        <w:snapToGrid w:val="0"/>
        <w:spacing w:before="156" w:beforeLines="50" w:after="50" w:line="360" w:lineRule="exact"/>
        <w:ind w:firstLine="413" w:firstLineChars="147"/>
        <w:textAlignment w:val="auto"/>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一、 </w:t>
      </w:r>
      <w:r>
        <w:rPr>
          <w:rFonts w:hint="eastAsia" w:ascii="宋体" w:hAnsi="宋体" w:cs="宋体"/>
          <w:b/>
          <w:color w:val="auto"/>
          <w:sz w:val="28"/>
          <w:szCs w:val="28"/>
          <w:highlight w:val="none"/>
        </w:rPr>
        <w:t>竞争性谈判响应文件封面</w:t>
      </w:r>
      <w:r>
        <w:rPr>
          <w:rFonts w:hint="eastAsia" w:ascii="宋体" w:hAnsi="宋体" w:cs="宋体"/>
          <w:b/>
          <w:bCs/>
          <w:color w:val="auto"/>
          <w:sz w:val="28"/>
          <w:szCs w:val="28"/>
          <w:highlight w:val="none"/>
        </w:rPr>
        <w:t>格式</w:t>
      </w:r>
    </w:p>
    <w:p w14:paraId="22D87FC8">
      <w:pPr>
        <w:snapToGrid w:val="0"/>
        <w:spacing w:before="156" w:beforeLines="50" w:after="50" w:line="360" w:lineRule="exact"/>
        <w:rPr>
          <w:rFonts w:hint="eastAsia" w:ascii="宋体" w:hAnsi="宋体" w:cs="宋体"/>
          <w:b/>
          <w:color w:val="auto"/>
          <w:sz w:val="28"/>
          <w:szCs w:val="28"/>
          <w:highlight w:val="none"/>
        </w:rPr>
      </w:pPr>
    </w:p>
    <w:p w14:paraId="5ABB9FD5">
      <w:pPr>
        <w:snapToGrid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竞争性谈判响应文件</w:t>
      </w:r>
    </w:p>
    <w:p w14:paraId="4483B84A">
      <w:pPr>
        <w:snapToGrid w:val="0"/>
        <w:spacing w:line="360" w:lineRule="auto"/>
        <w:rPr>
          <w:rFonts w:hint="eastAsia" w:ascii="宋体" w:hAnsi="宋体" w:eastAsia="宋体" w:cs="宋体"/>
          <w:bCs/>
          <w:color w:val="auto"/>
          <w:sz w:val="28"/>
          <w:szCs w:val="28"/>
          <w:highlight w:val="none"/>
        </w:rPr>
      </w:pPr>
    </w:p>
    <w:p w14:paraId="7D59E63C">
      <w:pPr>
        <w:snapToGrid w:val="0"/>
        <w:spacing w:line="360" w:lineRule="auto"/>
        <w:rPr>
          <w:rFonts w:hint="eastAsia" w:ascii="宋体" w:hAnsi="宋体" w:eastAsia="宋体" w:cs="宋体"/>
          <w:bCs/>
          <w:color w:val="auto"/>
          <w:sz w:val="28"/>
          <w:szCs w:val="28"/>
          <w:highlight w:val="none"/>
        </w:rPr>
      </w:pPr>
    </w:p>
    <w:p w14:paraId="0929998E">
      <w:pPr>
        <w:snapToGrid w:val="0"/>
        <w:spacing w:line="360" w:lineRule="auto"/>
        <w:rPr>
          <w:rFonts w:hint="eastAsia" w:ascii="宋体" w:hAnsi="宋体" w:eastAsia="宋体" w:cs="宋体"/>
          <w:bCs/>
          <w:color w:val="auto"/>
          <w:sz w:val="28"/>
          <w:szCs w:val="28"/>
          <w:highlight w:val="none"/>
        </w:rPr>
      </w:pPr>
    </w:p>
    <w:p w14:paraId="1AAF7258">
      <w:pPr>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61A839B4">
      <w:pPr>
        <w:snapToGrid w:val="0"/>
        <w:spacing w:line="360" w:lineRule="auto"/>
        <w:ind w:firstLine="420" w:firstLineChars="150"/>
        <w:rPr>
          <w:rFonts w:hint="eastAsia" w:ascii="宋体" w:hAnsi="宋体" w:eastAsia="宋体" w:cs="宋体"/>
          <w:bCs/>
          <w:color w:val="auto"/>
          <w:sz w:val="28"/>
          <w:szCs w:val="28"/>
          <w:highlight w:val="none"/>
        </w:rPr>
      </w:pPr>
    </w:p>
    <w:p w14:paraId="3E7C33B5">
      <w:pPr>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1D82A9DE">
      <w:pPr>
        <w:snapToGrid w:val="0"/>
        <w:spacing w:line="360" w:lineRule="auto"/>
        <w:ind w:firstLine="420" w:firstLineChars="150"/>
        <w:rPr>
          <w:rFonts w:hint="eastAsia" w:ascii="宋体" w:hAnsi="宋体" w:eastAsia="宋体" w:cs="宋体"/>
          <w:bCs/>
          <w:color w:val="auto"/>
          <w:sz w:val="28"/>
          <w:szCs w:val="28"/>
          <w:highlight w:val="none"/>
        </w:rPr>
      </w:pPr>
    </w:p>
    <w:p w14:paraId="5369FFF6">
      <w:pPr>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60CE1FF2">
      <w:pPr>
        <w:snapToGrid w:val="0"/>
        <w:spacing w:line="360" w:lineRule="auto"/>
        <w:rPr>
          <w:rFonts w:hint="eastAsia" w:ascii="宋体" w:hAnsi="宋体" w:eastAsia="宋体" w:cs="宋体"/>
          <w:bCs/>
          <w:color w:val="auto"/>
          <w:sz w:val="28"/>
          <w:szCs w:val="28"/>
          <w:highlight w:val="none"/>
        </w:rPr>
      </w:pPr>
    </w:p>
    <w:p w14:paraId="2A20B68B">
      <w:pPr>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445ABECF">
      <w:pPr>
        <w:snapToGrid w:val="0"/>
        <w:spacing w:line="360" w:lineRule="auto"/>
        <w:rPr>
          <w:rFonts w:hint="eastAsia" w:ascii="宋体" w:hAnsi="宋体" w:eastAsia="宋体" w:cs="宋体"/>
          <w:bCs/>
          <w:color w:val="auto"/>
          <w:sz w:val="28"/>
          <w:szCs w:val="28"/>
          <w:highlight w:val="none"/>
        </w:rPr>
      </w:pPr>
    </w:p>
    <w:p w14:paraId="3E36D8D8">
      <w:pPr>
        <w:snapToGrid w:val="0"/>
        <w:spacing w:line="360" w:lineRule="auto"/>
        <w:ind w:firstLine="420" w:firstLineChars="15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响应文件提交截止时间前不得解密</w:t>
      </w:r>
    </w:p>
    <w:p w14:paraId="36617D4A">
      <w:pPr>
        <w:snapToGrid w:val="0"/>
        <w:spacing w:line="360" w:lineRule="auto"/>
        <w:ind w:firstLine="4760" w:firstLineChars="1700"/>
        <w:jc w:val="center"/>
        <w:rPr>
          <w:rFonts w:hint="eastAsia" w:ascii="宋体" w:hAnsi="宋体" w:eastAsia="宋体" w:cs="宋体"/>
          <w:bCs/>
          <w:color w:val="auto"/>
          <w:sz w:val="28"/>
          <w:szCs w:val="28"/>
          <w:highlight w:val="none"/>
        </w:rPr>
      </w:pPr>
    </w:p>
    <w:p w14:paraId="16B6DCFC">
      <w:pPr>
        <w:keepNext w:val="0"/>
        <w:keepLines w:val="0"/>
        <w:pageBreakBefore w:val="0"/>
        <w:widowControl w:val="0"/>
        <w:kinsoku/>
        <w:wordWrap/>
        <w:overflowPunct/>
        <w:topLinePunct w:val="0"/>
        <w:autoSpaceDE/>
        <w:autoSpaceDN/>
        <w:bidi w:val="0"/>
        <w:adjustRightInd/>
        <w:snapToGrid w:val="0"/>
        <w:spacing w:before="156" w:beforeLines="50" w:after="50" w:line="360" w:lineRule="exact"/>
        <w:jc w:val="center"/>
        <w:textAlignment w:val="auto"/>
        <w:outlineLvl w:val="9"/>
        <w:rPr>
          <w:rFonts w:hint="eastAsia" w:ascii="宋体" w:hAnsi="宋体" w:cs="宋体"/>
          <w:color w:val="auto"/>
          <w:sz w:val="22"/>
          <w:szCs w:val="22"/>
          <w:highlight w:val="none"/>
        </w:rPr>
      </w:pPr>
      <w:r>
        <w:rPr>
          <w:rFonts w:hint="eastAsia" w:ascii="宋体" w:hAnsi="宋体" w:eastAsia="宋体" w:cs="宋体"/>
          <w:bCs/>
          <w:color w:val="auto"/>
          <w:sz w:val="28"/>
          <w:szCs w:val="28"/>
          <w:highlight w:val="none"/>
        </w:rPr>
        <w:t>年    月    日</w:t>
      </w:r>
    </w:p>
    <w:p w14:paraId="5F0570E2">
      <w:pPr>
        <w:spacing w:line="52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24E0F0CF">
      <w:pPr>
        <w:spacing w:line="520" w:lineRule="exact"/>
        <w:rPr>
          <w:rFonts w:hint="eastAsia" w:ascii="宋体" w:hAnsi="宋体" w:cs="宋体"/>
          <w:b/>
          <w:color w:val="auto"/>
          <w:sz w:val="28"/>
          <w:szCs w:val="28"/>
          <w:highlight w:val="none"/>
        </w:rPr>
      </w:pPr>
    </w:p>
    <w:p w14:paraId="62E8A46E">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二、附  件</w:t>
      </w:r>
    </w:p>
    <w:p w14:paraId="750566CE">
      <w:pPr>
        <w:spacing w:line="5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附件1 </w:t>
      </w:r>
    </w:p>
    <w:p w14:paraId="584A3182">
      <w:pPr>
        <w:spacing w:line="52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报价表（一般货物类）</w:t>
      </w:r>
    </w:p>
    <w:p w14:paraId="18B581FE">
      <w:pPr>
        <w:spacing w:before="156" w:beforeLines="50" w:after="156" w:afterLines="50" w:line="360" w:lineRule="exact"/>
        <w:rPr>
          <w:rFonts w:hint="eastAsia" w:ascii="宋体" w:hAnsi="宋体" w:cs="宋体"/>
          <w:color w:val="auto"/>
          <w:szCs w:val="21"/>
          <w:highlight w:val="none"/>
        </w:rPr>
      </w:pPr>
    </w:p>
    <w:p w14:paraId="01AB64EE">
      <w:pPr>
        <w:spacing w:before="156" w:beforeLines="50" w:after="156" w:afterLines="50"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u w:val="single"/>
        </w:rPr>
        <w:t xml:space="preserve">                 </w:t>
      </w:r>
    </w:p>
    <w:p w14:paraId="27918BEA">
      <w:pPr>
        <w:spacing w:before="156" w:beforeLines="50" w:after="156" w:afterLines="50"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917"/>
        <w:gridCol w:w="1141"/>
        <w:gridCol w:w="655"/>
        <w:gridCol w:w="819"/>
        <w:gridCol w:w="1818"/>
        <w:gridCol w:w="927"/>
        <w:gridCol w:w="1457"/>
        <w:gridCol w:w="1032"/>
      </w:tblGrid>
      <w:tr w14:paraId="4027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19" w:type="dxa"/>
            <w:tcBorders>
              <w:bottom w:val="single" w:color="auto" w:sz="4" w:space="0"/>
            </w:tcBorders>
            <w:noWrap w:val="0"/>
            <w:vAlign w:val="center"/>
          </w:tcPr>
          <w:p w14:paraId="66F9C1C3">
            <w:pPr>
              <w:pStyle w:val="10"/>
              <w:spacing w:line="360" w:lineRule="exact"/>
              <w:jc w:val="center"/>
              <w:rPr>
                <w:rFonts w:hint="eastAsia" w:hAnsi="宋体" w:cs="宋体"/>
                <w:color w:val="auto"/>
                <w:spacing w:val="-20"/>
                <w:sz w:val="22"/>
                <w:szCs w:val="22"/>
                <w:highlight w:val="none"/>
              </w:rPr>
            </w:pPr>
            <w:r>
              <w:rPr>
                <w:rFonts w:hint="eastAsia" w:hAnsi="宋体" w:cs="宋体"/>
                <w:color w:val="auto"/>
                <w:spacing w:val="-20"/>
                <w:sz w:val="22"/>
                <w:szCs w:val="22"/>
                <w:highlight w:val="none"/>
              </w:rPr>
              <w:t>序号</w:t>
            </w:r>
          </w:p>
        </w:tc>
        <w:tc>
          <w:tcPr>
            <w:tcW w:w="917" w:type="dxa"/>
            <w:tcBorders>
              <w:bottom w:val="single" w:color="auto" w:sz="4" w:space="0"/>
            </w:tcBorders>
            <w:noWrap w:val="0"/>
            <w:vAlign w:val="center"/>
          </w:tcPr>
          <w:p w14:paraId="67CCA10B">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货物</w:t>
            </w:r>
          </w:p>
          <w:p w14:paraId="25694AA7">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名称</w:t>
            </w:r>
          </w:p>
        </w:tc>
        <w:tc>
          <w:tcPr>
            <w:tcW w:w="1141" w:type="dxa"/>
            <w:tcBorders>
              <w:bottom w:val="single" w:color="auto" w:sz="4" w:space="0"/>
            </w:tcBorders>
            <w:noWrap w:val="0"/>
            <w:vAlign w:val="center"/>
          </w:tcPr>
          <w:p w14:paraId="10AACEA4">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品牌、型号规格、生产厂家</w:t>
            </w:r>
          </w:p>
        </w:tc>
        <w:tc>
          <w:tcPr>
            <w:tcW w:w="655" w:type="dxa"/>
            <w:tcBorders>
              <w:bottom w:val="single" w:color="auto" w:sz="4" w:space="0"/>
            </w:tcBorders>
            <w:noWrap w:val="0"/>
            <w:vAlign w:val="center"/>
          </w:tcPr>
          <w:p w14:paraId="7FC9430F">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数量①</w:t>
            </w:r>
          </w:p>
        </w:tc>
        <w:tc>
          <w:tcPr>
            <w:tcW w:w="819" w:type="dxa"/>
            <w:tcBorders>
              <w:bottom w:val="single" w:color="auto" w:sz="4" w:space="0"/>
            </w:tcBorders>
            <w:noWrap w:val="0"/>
            <w:vAlign w:val="center"/>
          </w:tcPr>
          <w:p w14:paraId="0154F882">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单位</w:t>
            </w:r>
          </w:p>
        </w:tc>
        <w:tc>
          <w:tcPr>
            <w:tcW w:w="1818" w:type="dxa"/>
            <w:tcBorders>
              <w:bottom w:val="single" w:color="auto" w:sz="4" w:space="0"/>
            </w:tcBorders>
            <w:noWrap w:val="0"/>
            <w:vAlign w:val="center"/>
          </w:tcPr>
          <w:p w14:paraId="7CCB0AF8">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技术参数及性能配置要求</w:t>
            </w:r>
          </w:p>
        </w:tc>
        <w:tc>
          <w:tcPr>
            <w:tcW w:w="927" w:type="dxa"/>
            <w:tcBorders>
              <w:bottom w:val="single" w:color="auto" w:sz="4" w:space="0"/>
            </w:tcBorders>
            <w:noWrap w:val="0"/>
            <w:vAlign w:val="center"/>
          </w:tcPr>
          <w:p w14:paraId="648FF08E">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单价②</w:t>
            </w:r>
          </w:p>
          <w:p w14:paraId="125A6D87">
            <w:pPr>
              <w:tabs>
                <w:tab w:val="left" w:pos="180"/>
                <w:tab w:val="left" w:pos="1620"/>
              </w:tabs>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（元）</w:t>
            </w:r>
          </w:p>
        </w:tc>
        <w:tc>
          <w:tcPr>
            <w:tcW w:w="1457" w:type="dxa"/>
            <w:tcBorders>
              <w:bottom w:val="single" w:color="auto" w:sz="4" w:space="0"/>
            </w:tcBorders>
            <w:noWrap w:val="0"/>
            <w:vAlign w:val="center"/>
          </w:tcPr>
          <w:p w14:paraId="6983A771">
            <w:pPr>
              <w:pStyle w:val="10"/>
              <w:spacing w:line="360" w:lineRule="exact"/>
              <w:jc w:val="center"/>
              <w:rPr>
                <w:rFonts w:hint="eastAsia" w:hAnsi="宋体" w:cs="宋体"/>
                <w:color w:val="auto"/>
                <w:sz w:val="22"/>
                <w:szCs w:val="22"/>
                <w:highlight w:val="none"/>
              </w:rPr>
            </w:pPr>
            <w:r>
              <w:rPr>
                <w:rFonts w:hint="eastAsia" w:hAnsi="宋体" w:cs="宋体"/>
                <w:color w:val="auto"/>
                <w:sz w:val="22"/>
                <w:szCs w:val="22"/>
                <w:highlight w:val="none"/>
              </w:rPr>
              <w:t>单项合价</w:t>
            </w:r>
          </w:p>
          <w:p w14:paraId="35D03DF2">
            <w:pPr>
              <w:pStyle w:val="10"/>
              <w:spacing w:line="360" w:lineRule="exact"/>
              <w:jc w:val="center"/>
              <w:rPr>
                <w:rFonts w:hint="eastAsia" w:hAnsi="宋体" w:cs="宋体"/>
                <w:color w:val="auto"/>
                <w:sz w:val="22"/>
                <w:szCs w:val="22"/>
                <w:highlight w:val="none"/>
              </w:rPr>
            </w:pPr>
            <w:r>
              <w:rPr>
                <w:rFonts w:hint="eastAsia" w:hAnsi="宋体" w:cs="宋体"/>
                <w:color w:val="auto"/>
                <w:sz w:val="22"/>
                <w:szCs w:val="22"/>
                <w:highlight w:val="none"/>
              </w:rPr>
              <w:t>（元）</w:t>
            </w:r>
          </w:p>
          <w:p w14:paraId="19E53FAB">
            <w:pPr>
              <w:pStyle w:val="10"/>
              <w:spacing w:line="360" w:lineRule="exact"/>
              <w:jc w:val="center"/>
              <w:rPr>
                <w:rFonts w:hint="eastAsia" w:hAnsi="宋体" w:cs="宋体"/>
                <w:color w:val="auto"/>
                <w:sz w:val="22"/>
                <w:szCs w:val="22"/>
                <w:highlight w:val="none"/>
              </w:rPr>
            </w:pPr>
            <w:r>
              <w:rPr>
                <w:rFonts w:hint="eastAsia" w:hAnsi="宋体" w:cs="宋体"/>
                <w:color w:val="auto"/>
                <w:sz w:val="22"/>
                <w:szCs w:val="22"/>
                <w:highlight w:val="none"/>
              </w:rPr>
              <w:t>③=①×②</w:t>
            </w:r>
          </w:p>
        </w:tc>
        <w:tc>
          <w:tcPr>
            <w:tcW w:w="1032" w:type="dxa"/>
            <w:tcBorders>
              <w:bottom w:val="single" w:color="auto" w:sz="4" w:space="0"/>
            </w:tcBorders>
            <w:noWrap w:val="0"/>
            <w:vAlign w:val="center"/>
          </w:tcPr>
          <w:p w14:paraId="59BB013B">
            <w:pPr>
              <w:pStyle w:val="10"/>
              <w:spacing w:line="360" w:lineRule="exact"/>
              <w:jc w:val="center"/>
              <w:rPr>
                <w:rFonts w:hint="eastAsia" w:hAnsi="宋体" w:cs="宋体"/>
                <w:color w:val="auto"/>
                <w:sz w:val="22"/>
                <w:szCs w:val="22"/>
                <w:highlight w:val="none"/>
              </w:rPr>
            </w:pPr>
            <w:r>
              <w:rPr>
                <w:rFonts w:hint="eastAsia" w:hAnsi="宋体" w:cs="宋体"/>
                <w:color w:val="auto"/>
                <w:sz w:val="22"/>
                <w:szCs w:val="22"/>
                <w:highlight w:val="none"/>
              </w:rPr>
              <w:t>备注</w:t>
            </w:r>
          </w:p>
        </w:tc>
      </w:tr>
      <w:tr w14:paraId="313A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14:paraId="351BE2D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17" w:type="dxa"/>
            <w:noWrap w:val="0"/>
            <w:vAlign w:val="center"/>
          </w:tcPr>
          <w:p w14:paraId="232D72C7">
            <w:pPr>
              <w:jc w:val="center"/>
              <w:rPr>
                <w:rFonts w:hint="eastAsia" w:ascii="宋体" w:hAnsi="宋体" w:cs="宋体"/>
                <w:color w:val="auto"/>
                <w:sz w:val="22"/>
                <w:szCs w:val="22"/>
                <w:highlight w:val="none"/>
              </w:rPr>
            </w:pPr>
          </w:p>
        </w:tc>
        <w:tc>
          <w:tcPr>
            <w:tcW w:w="1141" w:type="dxa"/>
            <w:noWrap w:val="0"/>
            <w:vAlign w:val="center"/>
          </w:tcPr>
          <w:p w14:paraId="5009B55C">
            <w:pPr>
              <w:jc w:val="center"/>
              <w:rPr>
                <w:rFonts w:hint="eastAsia" w:ascii="宋体" w:hAnsi="宋体" w:cs="宋体"/>
                <w:color w:val="auto"/>
                <w:sz w:val="22"/>
                <w:szCs w:val="22"/>
                <w:highlight w:val="none"/>
              </w:rPr>
            </w:pPr>
          </w:p>
        </w:tc>
        <w:tc>
          <w:tcPr>
            <w:tcW w:w="655" w:type="dxa"/>
            <w:noWrap w:val="0"/>
            <w:vAlign w:val="center"/>
          </w:tcPr>
          <w:p w14:paraId="2049B5D9">
            <w:pPr>
              <w:pStyle w:val="10"/>
              <w:rPr>
                <w:rFonts w:hint="eastAsia" w:hAnsi="宋体" w:cs="宋体"/>
                <w:color w:val="auto"/>
                <w:sz w:val="22"/>
                <w:szCs w:val="22"/>
                <w:highlight w:val="none"/>
              </w:rPr>
            </w:pPr>
          </w:p>
        </w:tc>
        <w:tc>
          <w:tcPr>
            <w:tcW w:w="819" w:type="dxa"/>
            <w:noWrap w:val="0"/>
            <w:vAlign w:val="center"/>
          </w:tcPr>
          <w:p w14:paraId="507140E6">
            <w:pPr>
              <w:pStyle w:val="10"/>
              <w:rPr>
                <w:rFonts w:hint="eastAsia" w:hAnsi="宋体" w:cs="宋体"/>
                <w:color w:val="auto"/>
                <w:sz w:val="22"/>
                <w:szCs w:val="22"/>
                <w:highlight w:val="none"/>
              </w:rPr>
            </w:pPr>
          </w:p>
        </w:tc>
        <w:tc>
          <w:tcPr>
            <w:tcW w:w="1818" w:type="dxa"/>
            <w:noWrap w:val="0"/>
            <w:vAlign w:val="center"/>
          </w:tcPr>
          <w:p w14:paraId="5D7DFB57">
            <w:pPr>
              <w:pStyle w:val="10"/>
              <w:rPr>
                <w:rFonts w:hint="eastAsia" w:hAnsi="宋体" w:cs="宋体"/>
                <w:color w:val="auto"/>
                <w:sz w:val="22"/>
                <w:szCs w:val="22"/>
                <w:highlight w:val="none"/>
              </w:rPr>
            </w:pPr>
          </w:p>
        </w:tc>
        <w:tc>
          <w:tcPr>
            <w:tcW w:w="927" w:type="dxa"/>
            <w:noWrap w:val="0"/>
            <w:vAlign w:val="center"/>
          </w:tcPr>
          <w:p w14:paraId="7A415251">
            <w:pPr>
              <w:pStyle w:val="10"/>
              <w:rPr>
                <w:rFonts w:hint="eastAsia" w:hAnsi="宋体" w:cs="宋体"/>
                <w:color w:val="auto"/>
                <w:sz w:val="22"/>
                <w:szCs w:val="22"/>
                <w:highlight w:val="none"/>
              </w:rPr>
            </w:pPr>
          </w:p>
        </w:tc>
        <w:tc>
          <w:tcPr>
            <w:tcW w:w="1457" w:type="dxa"/>
            <w:noWrap w:val="0"/>
            <w:vAlign w:val="center"/>
          </w:tcPr>
          <w:p w14:paraId="6D8139A5">
            <w:pPr>
              <w:pStyle w:val="10"/>
              <w:rPr>
                <w:rFonts w:hint="eastAsia" w:hAnsi="宋体" w:cs="宋体"/>
                <w:color w:val="auto"/>
                <w:sz w:val="22"/>
                <w:szCs w:val="22"/>
                <w:highlight w:val="none"/>
              </w:rPr>
            </w:pPr>
          </w:p>
        </w:tc>
        <w:tc>
          <w:tcPr>
            <w:tcW w:w="1032" w:type="dxa"/>
            <w:noWrap w:val="0"/>
            <w:vAlign w:val="center"/>
          </w:tcPr>
          <w:p w14:paraId="751B76A3">
            <w:pPr>
              <w:pStyle w:val="10"/>
              <w:rPr>
                <w:rFonts w:hint="eastAsia" w:hAnsi="宋体" w:cs="宋体"/>
                <w:color w:val="auto"/>
                <w:spacing w:val="-6"/>
                <w:sz w:val="22"/>
                <w:szCs w:val="22"/>
                <w:highlight w:val="none"/>
              </w:rPr>
            </w:pPr>
          </w:p>
        </w:tc>
      </w:tr>
      <w:tr w14:paraId="42F4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14:paraId="4BC3611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917" w:type="dxa"/>
            <w:noWrap w:val="0"/>
            <w:vAlign w:val="center"/>
          </w:tcPr>
          <w:p w14:paraId="7D914565">
            <w:pPr>
              <w:jc w:val="center"/>
              <w:rPr>
                <w:rFonts w:hint="eastAsia" w:ascii="宋体" w:hAnsi="宋体" w:cs="宋体"/>
                <w:color w:val="auto"/>
                <w:sz w:val="22"/>
                <w:szCs w:val="22"/>
                <w:highlight w:val="none"/>
              </w:rPr>
            </w:pPr>
          </w:p>
        </w:tc>
        <w:tc>
          <w:tcPr>
            <w:tcW w:w="1141" w:type="dxa"/>
            <w:noWrap w:val="0"/>
            <w:vAlign w:val="center"/>
          </w:tcPr>
          <w:p w14:paraId="0C33FDFF">
            <w:pPr>
              <w:jc w:val="center"/>
              <w:rPr>
                <w:rFonts w:hint="eastAsia" w:ascii="宋体" w:hAnsi="宋体" w:cs="宋体"/>
                <w:color w:val="auto"/>
                <w:sz w:val="22"/>
                <w:szCs w:val="22"/>
                <w:highlight w:val="none"/>
              </w:rPr>
            </w:pPr>
          </w:p>
        </w:tc>
        <w:tc>
          <w:tcPr>
            <w:tcW w:w="655" w:type="dxa"/>
            <w:noWrap w:val="0"/>
            <w:vAlign w:val="center"/>
          </w:tcPr>
          <w:p w14:paraId="135D6B7A">
            <w:pPr>
              <w:pStyle w:val="10"/>
              <w:rPr>
                <w:rFonts w:hint="eastAsia" w:hAnsi="宋体" w:cs="宋体"/>
                <w:color w:val="auto"/>
                <w:sz w:val="22"/>
                <w:szCs w:val="22"/>
                <w:highlight w:val="none"/>
              </w:rPr>
            </w:pPr>
          </w:p>
        </w:tc>
        <w:tc>
          <w:tcPr>
            <w:tcW w:w="819" w:type="dxa"/>
            <w:noWrap w:val="0"/>
            <w:vAlign w:val="center"/>
          </w:tcPr>
          <w:p w14:paraId="364625E4">
            <w:pPr>
              <w:pStyle w:val="10"/>
              <w:rPr>
                <w:rFonts w:hint="eastAsia" w:hAnsi="宋体" w:cs="宋体"/>
                <w:color w:val="auto"/>
                <w:sz w:val="22"/>
                <w:szCs w:val="22"/>
                <w:highlight w:val="none"/>
              </w:rPr>
            </w:pPr>
          </w:p>
        </w:tc>
        <w:tc>
          <w:tcPr>
            <w:tcW w:w="1818" w:type="dxa"/>
            <w:noWrap w:val="0"/>
            <w:vAlign w:val="center"/>
          </w:tcPr>
          <w:p w14:paraId="723B771B">
            <w:pPr>
              <w:pStyle w:val="10"/>
              <w:rPr>
                <w:rFonts w:hint="eastAsia" w:hAnsi="宋体" w:cs="宋体"/>
                <w:color w:val="auto"/>
                <w:sz w:val="22"/>
                <w:szCs w:val="22"/>
                <w:highlight w:val="none"/>
              </w:rPr>
            </w:pPr>
          </w:p>
        </w:tc>
        <w:tc>
          <w:tcPr>
            <w:tcW w:w="927" w:type="dxa"/>
            <w:noWrap w:val="0"/>
            <w:vAlign w:val="center"/>
          </w:tcPr>
          <w:p w14:paraId="76B37090">
            <w:pPr>
              <w:pStyle w:val="10"/>
              <w:rPr>
                <w:rFonts w:hint="eastAsia" w:hAnsi="宋体" w:cs="宋体"/>
                <w:color w:val="auto"/>
                <w:sz w:val="22"/>
                <w:szCs w:val="22"/>
                <w:highlight w:val="none"/>
              </w:rPr>
            </w:pPr>
          </w:p>
        </w:tc>
        <w:tc>
          <w:tcPr>
            <w:tcW w:w="1457" w:type="dxa"/>
            <w:noWrap w:val="0"/>
            <w:vAlign w:val="center"/>
          </w:tcPr>
          <w:p w14:paraId="4AA9ADBF">
            <w:pPr>
              <w:pStyle w:val="10"/>
              <w:rPr>
                <w:rFonts w:hint="eastAsia" w:hAnsi="宋体" w:cs="宋体"/>
                <w:color w:val="auto"/>
                <w:sz w:val="22"/>
                <w:szCs w:val="22"/>
                <w:highlight w:val="none"/>
              </w:rPr>
            </w:pPr>
          </w:p>
        </w:tc>
        <w:tc>
          <w:tcPr>
            <w:tcW w:w="1032" w:type="dxa"/>
            <w:noWrap w:val="0"/>
            <w:vAlign w:val="center"/>
          </w:tcPr>
          <w:p w14:paraId="653ACE12">
            <w:pPr>
              <w:pStyle w:val="10"/>
              <w:rPr>
                <w:rFonts w:hint="eastAsia" w:hAnsi="宋体" w:cs="宋体"/>
                <w:color w:val="auto"/>
                <w:spacing w:val="-6"/>
                <w:sz w:val="22"/>
                <w:szCs w:val="22"/>
                <w:highlight w:val="none"/>
              </w:rPr>
            </w:pPr>
          </w:p>
        </w:tc>
      </w:tr>
      <w:tr w14:paraId="41D4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14:paraId="4CA70CD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N</w:t>
            </w:r>
          </w:p>
        </w:tc>
        <w:tc>
          <w:tcPr>
            <w:tcW w:w="917" w:type="dxa"/>
            <w:noWrap w:val="0"/>
            <w:vAlign w:val="center"/>
          </w:tcPr>
          <w:p w14:paraId="6EB8F071">
            <w:pPr>
              <w:jc w:val="center"/>
              <w:rPr>
                <w:rFonts w:hint="eastAsia" w:ascii="宋体" w:hAnsi="宋体" w:cs="宋体"/>
                <w:color w:val="auto"/>
                <w:sz w:val="22"/>
                <w:szCs w:val="22"/>
                <w:highlight w:val="none"/>
              </w:rPr>
            </w:pPr>
          </w:p>
        </w:tc>
        <w:tc>
          <w:tcPr>
            <w:tcW w:w="1141" w:type="dxa"/>
            <w:noWrap w:val="0"/>
            <w:vAlign w:val="center"/>
          </w:tcPr>
          <w:p w14:paraId="378FC5F4">
            <w:pPr>
              <w:jc w:val="center"/>
              <w:rPr>
                <w:rFonts w:hint="eastAsia" w:ascii="宋体" w:hAnsi="宋体" w:cs="宋体"/>
                <w:color w:val="auto"/>
                <w:sz w:val="22"/>
                <w:szCs w:val="22"/>
                <w:highlight w:val="none"/>
              </w:rPr>
            </w:pPr>
          </w:p>
        </w:tc>
        <w:tc>
          <w:tcPr>
            <w:tcW w:w="655" w:type="dxa"/>
            <w:noWrap w:val="0"/>
            <w:vAlign w:val="center"/>
          </w:tcPr>
          <w:p w14:paraId="36DFEFC3">
            <w:pPr>
              <w:pStyle w:val="10"/>
              <w:rPr>
                <w:rFonts w:hint="eastAsia" w:hAnsi="宋体" w:cs="宋体"/>
                <w:color w:val="auto"/>
                <w:sz w:val="22"/>
                <w:szCs w:val="22"/>
                <w:highlight w:val="none"/>
              </w:rPr>
            </w:pPr>
          </w:p>
        </w:tc>
        <w:tc>
          <w:tcPr>
            <w:tcW w:w="819" w:type="dxa"/>
            <w:noWrap w:val="0"/>
            <w:vAlign w:val="center"/>
          </w:tcPr>
          <w:p w14:paraId="4D95C97E">
            <w:pPr>
              <w:pStyle w:val="10"/>
              <w:rPr>
                <w:rFonts w:hint="eastAsia" w:hAnsi="宋体" w:cs="宋体"/>
                <w:color w:val="auto"/>
                <w:sz w:val="22"/>
                <w:szCs w:val="22"/>
                <w:highlight w:val="none"/>
              </w:rPr>
            </w:pPr>
          </w:p>
        </w:tc>
        <w:tc>
          <w:tcPr>
            <w:tcW w:w="1818" w:type="dxa"/>
            <w:noWrap w:val="0"/>
            <w:vAlign w:val="center"/>
          </w:tcPr>
          <w:p w14:paraId="00F8FFE3">
            <w:pPr>
              <w:pStyle w:val="10"/>
              <w:rPr>
                <w:rFonts w:hint="eastAsia" w:hAnsi="宋体" w:cs="宋体"/>
                <w:color w:val="auto"/>
                <w:sz w:val="22"/>
                <w:szCs w:val="22"/>
                <w:highlight w:val="none"/>
              </w:rPr>
            </w:pPr>
          </w:p>
        </w:tc>
        <w:tc>
          <w:tcPr>
            <w:tcW w:w="927" w:type="dxa"/>
            <w:noWrap w:val="0"/>
            <w:vAlign w:val="center"/>
          </w:tcPr>
          <w:p w14:paraId="6F444205">
            <w:pPr>
              <w:pStyle w:val="10"/>
              <w:rPr>
                <w:rFonts w:hint="eastAsia" w:hAnsi="宋体" w:cs="宋体"/>
                <w:color w:val="auto"/>
                <w:sz w:val="22"/>
                <w:szCs w:val="22"/>
                <w:highlight w:val="none"/>
              </w:rPr>
            </w:pPr>
          </w:p>
        </w:tc>
        <w:tc>
          <w:tcPr>
            <w:tcW w:w="1457" w:type="dxa"/>
            <w:noWrap w:val="0"/>
            <w:vAlign w:val="center"/>
          </w:tcPr>
          <w:p w14:paraId="67BA14C5">
            <w:pPr>
              <w:pStyle w:val="10"/>
              <w:rPr>
                <w:rFonts w:hint="eastAsia" w:hAnsi="宋体" w:cs="宋体"/>
                <w:color w:val="auto"/>
                <w:sz w:val="22"/>
                <w:szCs w:val="22"/>
                <w:highlight w:val="none"/>
              </w:rPr>
            </w:pPr>
          </w:p>
        </w:tc>
        <w:tc>
          <w:tcPr>
            <w:tcW w:w="1032" w:type="dxa"/>
            <w:noWrap w:val="0"/>
            <w:vAlign w:val="center"/>
          </w:tcPr>
          <w:p w14:paraId="6B193838">
            <w:pPr>
              <w:pStyle w:val="10"/>
              <w:rPr>
                <w:rFonts w:hint="eastAsia" w:hAnsi="宋体" w:cs="宋体"/>
                <w:color w:val="auto"/>
                <w:spacing w:val="-6"/>
                <w:sz w:val="22"/>
                <w:szCs w:val="22"/>
                <w:highlight w:val="none"/>
              </w:rPr>
            </w:pPr>
          </w:p>
        </w:tc>
      </w:tr>
      <w:tr w14:paraId="6E31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14:paraId="5A597224">
            <w:pPr>
              <w:pStyle w:val="10"/>
              <w:rPr>
                <w:rFonts w:hint="eastAsia" w:hAnsi="宋体" w:cs="宋体"/>
                <w:color w:val="auto"/>
                <w:spacing w:val="-6"/>
                <w:sz w:val="22"/>
                <w:szCs w:val="22"/>
                <w:highlight w:val="none"/>
              </w:rPr>
            </w:pPr>
            <w:r>
              <w:rPr>
                <w:rFonts w:hint="eastAsia" w:hAnsi="宋体" w:cs="宋体"/>
                <w:color w:val="auto"/>
                <w:spacing w:val="-6"/>
                <w:sz w:val="22"/>
                <w:szCs w:val="22"/>
                <w:highlight w:val="none"/>
              </w:rPr>
              <w:t>总报价（人民币大写）：                                           （</w:t>
            </w:r>
            <w:r>
              <w:rPr>
                <w:rFonts w:hint="eastAsia" w:hAnsi="宋体" w:cs="宋体"/>
                <w:color w:val="auto"/>
                <w:spacing w:val="-6"/>
                <w:sz w:val="22"/>
                <w:szCs w:val="22"/>
                <w:highlight w:val="none"/>
                <w:lang w:val="en-US" w:eastAsia="zh-CN"/>
              </w:rPr>
              <w:t>¥</w:t>
            </w:r>
            <w:r>
              <w:rPr>
                <w:rFonts w:hint="eastAsia" w:hAnsi="宋体" w:cs="宋体"/>
                <w:color w:val="auto"/>
                <w:spacing w:val="-6"/>
                <w:sz w:val="22"/>
                <w:szCs w:val="22"/>
                <w:highlight w:val="none"/>
              </w:rPr>
              <w:t xml:space="preserve">             元）</w:t>
            </w:r>
          </w:p>
        </w:tc>
      </w:tr>
      <w:tr w14:paraId="2546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14:paraId="1849FADC">
            <w:pPr>
              <w:pStyle w:val="10"/>
              <w:rPr>
                <w:rFonts w:hint="eastAsia" w:hAnsi="宋体" w:cs="宋体"/>
                <w:color w:val="auto"/>
                <w:spacing w:val="-6"/>
                <w:sz w:val="22"/>
                <w:szCs w:val="22"/>
                <w:highlight w:val="none"/>
              </w:rPr>
            </w:pPr>
            <w:r>
              <w:rPr>
                <w:rFonts w:hint="eastAsia" w:hAnsi="宋体" w:cs="宋体"/>
                <w:color w:val="auto"/>
                <w:spacing w:val="-6"/>
                <w:sz w:val="22"/>
                <w:szCs w:val="22"/>
                <w:highlight w:val="none"/>
              </w:rPr>
              <w:t>交货</w:t>
            </w:r>
            <w:r>
              <w:rPr>
                <w:rFonts w:hint="eastAsia" w:hAnsi="宋体" w:cs="宋体"/>
                <w:color w:val="auto"/>
                <w:spacing w:val="-6"/>
                <w:sz w:val="22"/>
                <w:szCs w:val="22"/>
                <w:highlight w:val="none"/>
                <w:lang w:eastAsia="zh-CN"/>
              </w:rPr>
              <w:t>期</w:t>
            </w:r>
            <w:r>
              <w:rPr>
                <w:rFonts w:hint="eastAsia" w:hAnsi="宋体" w:cs="宋体"/>
                <w:color w:val="auto"/>
                <w:spacing w:val="-6"/>
                <w:sz w:val="22"/>
                <w:szCs w:val="22"/>
                <w:highlight w:val="none"/>
              </w:rPr>
              <w:t>：</w:t>
            </w:r>
          </w:p>
        </w:tc>
      </w:tr>
      <w:tr w14:paraId="5857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14:paraId="272277AE">
            <w:pPr>
              <w:pStyle w:val="10"/>
              <w:rPr>
                <w:rFonts w:hint="eastAsia" w:hAnsi="宋体" w:cs="宋体"/>
                <w:color w:val="auto"/>
                <w:spacing w:val="-6"/>
                <w:sz w:val="22"/>
                <w:szCs w:val="22"/>
                <w:highlight w:val="none"/>
              </w:rPr>
            </w:pPr>
            <w:r>
              <w:rPr>
                <w:rFonts w:hint="eastAsia" w:hAnsi="宋体" w:cs="宋体"/>
                <w:color w:val="auto"/>
                <w:spacing w:val="-6"/>
                <w:sz w:val="22"/>
                <w:szCs w:val="22"/>
                <w:highlight w:val="none"/>
              </w:rPr>
              <w:t>交货地点：</w:t>
            </w:r>
          </w:p>
        </w:tc>
      </w:tr>
    </w:tbl>
    <w:p w14:paraId="1ED4C443">
      <w:pPr>
        <w:numPr>
          <w:ilvl w:val="0"/>
          <w:numId w:val="0"/>
        </w:numPr>
        <w:spacing w:line="500" w:lineRule="exact"/>
        <w:rPr>
          <w:rFonts w:hint="eastAsia" w:ascii="宋体" w:hAnsi="宋体"/>
          <w:color w:val="auto"/>
          <w:szCs w:val="21"/>
          <w:highlight w:val="none"/>
          <w:lang w:eastAsia="zh-CN"/>
        </w:rPr>
      </w:pPr>
      <w:r>
        <w:rPr>
          <w:rFonts w:hint="eastAsia" w:ascii="宋体" w:hAnsi="宋体"/>
          <w:color w:val="auto"/>
          <w:szCs w:val="21"/>
          <w:highlight w:val="none"/>
          <w:lang w:eastAsia="zh-CN"/>
        </w:rPr>
        <w:t>注：</w:t>
      </w:r>
    </w:p>
    <w:p w14:paraId="454D769D">
      <w:pPr>
        <w:spacing w:line="5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1、所有价格均用人民币表示，单位为元，精确到</w:t>
      </w:r>
      <w:r>
        <w:rPr>
          <w:rFonts w:hint="eastAsia" w:ascii="宋体" w:hAnsi="宋体" w:cs="宋体"/>
          <w:color w:val="auto"/>
          <w:sz w:val="22"/>
          <w:szCs w:val="22"/>
          <w:highlight w:val="none"/>
          <w:lang w:eastAsia="zh-CN"/>
        </w:rPr>
        <w:t>小</w:t>
      </w:r>
      <w:r>
        <w:rPr>
          <w:rFonts w:hint="eastAsia" w:ascii="宋体" w:hAnsi="宋体" w:cs="宋体"/>
          <w:color w:val="auto"/>
          <w:sz w:val="22"/>
          <w:szCs w:val="22"/>
          <w:highlight w:val="none"/>
        </w:rPr>
        <w:t>数</w:t>
      </w:r>
      <w:r>
        <w:rPr>
          <w:rFonts w:hint="eastAsia" w:ascii="宋体" w:hAnsi="宋体" w:cs="宋体"/>
          <w:color w:val="auto"/>
          <w:sz w:val="22"/>
          <w:szCs w:val="22"/>
          <w:highlight w:val="none"/>
          <w:lang w:eastAsia="zh-CN"/>
        </w:rPr>
        <w:t>点后两位</w:t>
      </w:r>
      <w:r>
        <w:rPr>
          <w:rFonts w:hint="eastAsia" w:ascii="宋体" w:hAnsi="宋体" w:cs="宋体"/>
          <w:color w:val="auto"/>
          <w:sz w:val="22"/>
          <w:szCs w:val="22"/>
          <w:highlight w:val="none"/>
        </w:rPr>
        <w:t>。</w:t>
      </w:r>
    </w:p>
    <w:p w14:paraId="778D95B4">
      <w:pPr>
        <w:spacing w:line="500" w:lineRule="exact"/>
        <w:ind w:firstLine="431" w:firstLineChars="196"/>
        <w:rPr>
          <w:rFonts w:hint="eastAsia" w:ascii="宋体" w:hAnsi="宋体" w:cs="宋体"/>
          <w:color w:val="auto"/>
          <w:sz w:val="22"/>
          <w:szCs w:val="22"/>
          <w:highlight w:val="none"/>
        </w:rPr>
      </w:pPr>
      <w:r>
        <w:rPr>
          <w:rFonts w:hint="eastAsia" w:ascii="宋体" w:hAnsi="宋体" w:cs="宋体"/>
          <w:bCs/>
          <w:color w:val="auto"/>
          <w:sz w:val="22"/>
          <w:szCs w:val="22"/>
          <w:highlight w:val="none"/>
        </w:rPr>
        <w:t>2、报价指货物、服务、随配附件、备品备件、工具、货物运抵指定交货地点、安装、调试的各种费用和售后服务、税金及其它所有成本、费用的总和</w:t>
      </w:r>
      <w:r>
        <w:rPr>
          <w:rFonts w:hint="eastAsia" w:ascii="宋体" w:hAnsi="宋体" w:cs="宋体"/>
          <w:color w:val="auto"/>
          <w:sz w:val="22"/>
          <w:szCs w:val="22"/>
          <w:highlight w:val="none"/>
        </w:rPr>
        <w:t>。</w:t>
      </w:r>
    </w:p>
    <w:p w14:paraId="59B4EBAD">
      <w:pPr>
        <w:pStyle w:val="10"/>
        <w:spacing w:line="500" w:lineRule="exact"/>
        <w:ind w:firstLine="440" w:firstLineChars="200"/>
        <w:rPr>
          <w:rFonts w:hint="eastAsia" w:hAnsi="宋体" w:cs="宋体"/>
          <w:color w:val="auto"/>
          <w:sz w:val="22"/>
          <w:szCs w:val="22"/>
          <w:highlight w:val="none"/>
          <w:u w:val="single"/>
        </w:rPr>
      </w:pPr>
      <w:r>
        <w:rPr>
          <w:rFonts w:hint="eastAsia" w:hAnsi="宋体" w:cs="宋体"/>
          <w:color w:val="auto"/>
          <w:sz w:val="22"/>
          <w:szCs w:val="22"/>
          <w:highlight w:val="none"/>
        </w:rPr>
        <w:t>法定代表人或委托代理人（签字）:</w:t>
      </w:r>
      <w:r>
        <w:rPr>
          <w:rFonts w:hint="eastAsia" w:hAnsi="宋体" w:cs="宋体"/>
          <w:color w:val="auto"/>
          <w:sz w:val="22"/>
          <w:szCs w:val="22"/>
          <w:highlight w:val="none"/>
          <w:u w:val="single"/>
        </w:rPr>
        <w:t xml:space="preserve">              </w:t>
      </w:r>
    </w:p>
    <w:p w14:paraId="0BFE71C5">
      <w:pPr>
        <w:pStyle w:val="10"/>
        <w:spacing w:line="500" w:lineRule="exact"/>
        <w:ind w:firstLine="440" w:firstLineChars="200"/>
        <w:rPr>
          <w:rFonts w:hint="eastAsia" w:hAnsi="宋体" w:cs="宋体"/>
          <w:color w:val="auto"/>
          <w:sz w:val="22"/>
          <w:szCs w:val="22"/>
          <w:highlight w:val="none"/>
          <w:u w:val="single"/>
        </w:rPr>
      </w:pPr>
      <w:r>
        <w:rPr>
          <w:rFonts w:hint="eastAsia" w:hAnsi="宋体" w:cs="宋体"/>
          <w:color w:val="auto"/>
          <w:sz w:val="22"/>
          <w:szCs w:val="22"/>
          <w:highlight w:val="none"/>
        </w:rPr>
        <w:t>谈判供应商名称（盖章）：</w:t>
      </w:r>
      <w:r>
        <w:rPr>
          <w:rFonts w:hint="eastAsia" w:hAnsi="宋体" w:cs="宋体"/>
          <w:color w:val="auto"/>
          <w:sz w:val="22"/>
          <w:szCs w:val="22"/>
          <w:highlight w:val="none"/>
          <w:u w:val="single"/>
        </w:rPr>
        <w:t xml:space="preserve">       </w:t>
      </w:r>
    </w:p>
    <w:p w14:paraId="6F2C8221">
      <w:pPr>
        <w:spacing w:line="5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报价时间：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3532D705">
      <w:pPr>
        <w:spacing w:line="520" w:lineRule="exact"/>
        <w:rPr>
          <w:rFonts w:hint="eastAsia" w:ascii="宋体" w:hAnsi="宋体" w:cs="宋体"/>
          <w:b/>
          <w:color w:val="auto"/>
          <w:szCs w:val="21"/>
          <w:highlight w:val="none"/>
        </w:rPr>
      </w:pPr>
    </w:p>
    <w:p w14:paraId="6640C456">
      <w:pPr>
        <w:spacing w:line="500" w:lineRule="exact"/>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41D28C05">
      <w:pPr>
        <w:spacing w:line="600" w:lineRule="exact"/>
        <w:rPr>
          <w:rFonts w:hint="eastAsia" w:ascii="方正宋黑简体" w:hAnsi="宋体" w:eastAsia="方正宋黑简体"/>
          <w:b/>
          <w:color w:val="auto"/>
          <w:szCs w:val="21"/>
          <w:highlight w:val="none"/>
          <w:lang w:eastAsia="zh-CN"/>
        </w:rPr>
      </w:pPr>
      <w:r>
        <w:rPr>
          <w:rFonts w:hint="eastAsia" w:ascii="方正宋黑简体" w:hAnsi="宋体" w:eastAsia="方正宋黑简体"/>
          <w:b/>
          <w:color w:val="auto"/>
          <w:szCs w:val="21"/>
          <w:highlight w:val="none"/>
        </w:rPr>
        <w:t>附件</w:t>
      </w:r>
      <w:r>
        <w:rPr>
          <w:rFonts w:hint="eastAsia" w:ascii="方正宋黑简体" w:hAnsi="宋体" w:eastAsia="方正宋黑简体"/>
          <w:b/>
          <w:color w:val="auto"/>
          <w:szCs w:val="21"/>
          <w:highlight w:val="none"/>
          <w:lang w:val="en-US" w:eastAsia="zh-CN"/>
        </w:rPr>
        <w:t>2</w:t>
      </w:r>
    </w:p>
    <w:p w14:paraId="1DF41DED">
      <w:pPr>
        <w:spacing w:line="600" w:lineRule="exact"/>
        <w:ind w:left="420" w:hanging="420"/>
        <w:jc w:val="center"/>
        <w:rPr>
          <w:rFonts w:hint="eastAsia" w:ascii="方正小标宋简体" w:hAnsi="宋体" w:eastAsia="方正小标宋简体"/>
          <w:color w:val="auto"/>
          <w:kern w:val="0"/>
          <w:sz w:val="36"/>
          <w:szCs w:val="36"/>
          <w:highlight w:val="none"/>
        </w:rPr>
      </w:pPr>
      <w:r>
        <w:rPr>
          <w:rFonts w:hint="eastAsia" w:ascii="方正小标宋简体" w:hAnsi="宋体" w:eastAsia="方正小标宋简体"/>
          <w:color w:val="auto"/>
          <w:kern w:val="0"/>
          <w:sz w:val="36"/>
          <w:szCs w:val="36"/>
          <w:highlight w:val="none"/>
        </w:rPr>
        <w:t>中小企业声明函</w:t>
      </w:r>
    </w:p>
    <w:p w14:paraId="2D59549E">
      <w:pPr>
        <w:pStyle w:val="15"/>
        <w:widowControl w:val="0"/>
        <w:adjustRightInd w:val="0"/>
        <w:snapToGrid w:val="0"/>
        <w:spacing w:before="0" w:beforeAutospacing="0" w:after="0" w:afterAutospacing="0"/>
        <w:jc w:val="center"/>
        <w:rPr>
          <w:rFonts w:hint="eastAsia"/>
          <w:color w:val="auto"/>
          <w:kern w:val="2"/>
          <w:sz w:val="21"/>
          <w:szCs w:val="21"/>
          <w:highlight w:val="none"/>
        </w:rPr>
      </w:pPr>
    </w:p>
    <w:p w14:paraId="5A2D2754">
      <w:pPr>
        <w:pStyle w:val="15"/>
        <w:widowControl w:val="0"/>
        <w:adjustRightInd w:val="0"/>
        <w:snapToGrid w:val="0"/>
        <w:spacing w:before="0" w:beforeAutospacing="0" w:after="0" w:afterAutospacing="0" w:line="360" w:lineRule="exact"/>
        <w:rPr>
          <w:rFonts w:hint="eastAsia"/>
          <w:color w:val="auto"/>
          <w:kern w:val="2"/>
          <w:sz w:val="21"/>
          <w:szCs w:val="21"/>
          <w:highlight w:val="none"/>
        </w:rPr>
      </w:pPr>
    </w:p>
    <w:p w14:paraId="354ED85E">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color w:val="auto"/>
          <w:kern w:val="2"/>
          <w:sz w:val="22"/>
          <w:szCs w:val="22"/>
          <w:highlight w:val="none"/>
        </w:rPr>
      </w:pPr>
      <w:r>
        <w:rPr>
          <w:rFonts w:hint="eastAsia"/>
          <w:color w:val="auto"/>
          <w:kern w:val="2"/>
          <w:sz w:val="21"/>
          <w:szCs w:val="21"/>
          <w:highlight w:val="none"/>
        </w:rPr>
        <w:t>　　</w:t>
      </w:r>
      <w:r>
        <w:rPr>
          <w:rFonts w:hint="eastAsia" w:ascii="宋体" w:hAnsi="宋体" w:eastAsia="宋体" w:cs="宋体"/>
          <w:color w:val="auto"/>
          <w:kern w:val="2"/>
          <w:sz w:val="22"/>
          <w:szCs w:val="22"/>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49BD308">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w:t>
      </w:r>
      <w:r>
        <w:rPr>
          <w:rFonts w:hint="eastAsia" w:ascii="宋体" w:hAnsi="宋体" w:eastAsia="宋体" w:cs="宋体"/>
          <w:color w:val="auto"/>
          <w:kern w:val="2"/>
          <w:sz w:val="22"/>
          <w:szCs w:val="22"/>
          <w:highlight w:val="none"/>
          <w:u w:val="single"/>
        </w:rPr>
        <w:t>（标的名称）</w:t>
      </w:r>
      <w:r>
        <w:rPr>
          <w:rFonts w:hint="eastAsia" w:ascii="宋体" w:hAnsi="宋体" w:eastAsia="宋体" w:cs="宋体"/>
          <w:color w:val="auto"/>
          <w:kern w:val="2"/>
          <w:sz w:val="22"/>
          <w:szCs w:val="22"/>
          <w:highlight w:val="none"/>
        </w:rPr>
        <w:t>，属于</w:t>
      </w:r>
      <w:r>
        <w:rPr>
          <w:rFonts w:hint="eastAsia" w:ascii="宋体" w:hAnsi="宋体" w:eastAsia="宋体" w:cs="宋体"/>
          <w:color w:val="auto"/>
          <w:kern w:val="2"/>
          <w:sz w:val="22"/>
          <w:szCs w:val="22"/>
          <w:highlight w:val="none"/>
          <w:u w:val="single"/>
        </w:rPr>
        <w:t>（采购文件中明确的所属行业）</w:t>
      </w:r>
      <w:r>
        <w:rPr>
          <w:rFonts w:hint="eastAsia" w:ascii="宋体" w:hAnsi="宋体" w:eastAsia="宋体" w:cs="宋体"/>
          <w:color w:val="auto"/>
          <w:kern w:val="2"/>
          <w:sz w:val="22"/>
          <w:szCs w:val="22"/>
          <w:highlight w:val="none"/>
        </w:rPr>
        <w:t>行业；制造商为</w:t>
      </w:r>
      <w:r>
        <w:rPr>
          <w:rFonts w:hint="eastAsia" w:ascii="宋体" w:hAnsi="宋体" w:eastAsia="宋体" w:cs="宋体"/>
          <w:color w:val="auto"/>
          <w:kern w:val="2"/>
          <w:sz w:val="22"/>
          <w:szCs w:val="22"/>
          <w:highlight w:val="none"/>
          <w:u w:val="single"/>
        </w:rPr>
        <w:t>（企业名称）</w:t>
      </w:r>
      <w:r>
        <w:rPr>
          <w:rFonts w:hint="eastAsia" w:ascii="宋体" w:hAnsi="宋体" w:eastAsia="宋体" w:cs="宋体"/>
          <w:color w:val="auto"/>
          <w:kern w:val="2"/>
          <w:sz w:val="22"/>
          <w:szCs w:val="22"/>
          <w:highlight w:val="none"/>
        </w:rPr>
        <w:t>，从业人员________人，营业收入为_________万元，资产总额为________万元，属于</w:t>
      </w:r>
      <w:r>
        <w:rPr>
          <w:rFonts w:hint="eastAsia" w:ascii="宋体" w:hAnsi="宋体" w:eastAsia="宋体" w:cs="宋体"/>
          <w:color w:val="auto"/>
          <w:kern w:val="2"/>
          <w:sz w:val="22"/>
          <w:szCs w:val="22"/>
          <w:highlight w:val="none"/>
          <w:u w:val="single"/>
        </w:rPr>
        <w:t>(中型企业、小型企业、微型企业)</w:t>
      </w:r>
      <w:r>
        <w:rPr>
          <w:rFonts w:hint="eastAsia" w:ascii="宋体" w:hAnsi="宋体" w:eastAsia="宋体" w:cs="宋体"/>
          <w:color w:val="auto"/>
          <w:kern w:val="2"/>
          <w:sz w:val="22"/>
          <w:szCs w:val="22"/>
          <w:highlight w:val="none"/>
        </w:rPr>
        <w:t>；</w:t>
      </w:r>
    </w:p>
    <w:p w14:paraId="591DEE59">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w:t>
      </w:r>
      <w:r>
        <w:rPr>
          <w:rFonts w:hint="eastAsia" w:ascii="宋体" w:hAnsi="宋体" w:eastAsia="宋体" w:cs="宋体"/>
          <w:color w:val="auto"/>
          <w:kern w:val="2"/>
          <w:sz w:val="22"/>
          <w:szCs w:val="22"/>
          <w:highlight w:val="none"/>
          <w:u w:val="single"/>
        </w:rPr>
        <w:t>（标的名称）</w:t>
      </w:r>
      <w:r>
        <w:rPr>
          <w:rFonts w:hint="eastAsia" w:ascii="宋体" w:hAnsi="宋体" w:eastAsia="宋体" w:cs="宋体"/>
          <w:color w:val="auto"/>
          <w:kern w:val="2"/>
          <w:sz w:val="22"/>
          <w:szCs w:val="22"/>
          <w:highlight w:val="none"/>
        </w:rPr>
        <w:t>，属于</w:t>
      </w:r>
      <w:r>
        <w:rPr>
          <w:rFonts w:hint="eastAsia" w:ascii="宋体" w:hAnsi="宋体" w:eastAsia="宋体" w:cs="宋体"/>
          <w:color w:val="auto"/>
          <w:kern w:val="2"/>
          <w:sz w:val="22"/>
          <w:szCs w:val="22"/>
          <w:highlight w:val="none"/>
          <w:u w:val="single"/>
        </w:rPr>
        <w:t>（采购文件中明确的所属行业）</w:t>
      </w:r>
      <w:r>
        <w:rPr>
          <w:rFonts w:hint="eastAsia" w:ascii="宋体" w:hAnsi="宋体" w:eastAsia="宋体" w:cs="宋体"/>
          <w:color w:val="auto"/>
          <w:kern w:val="2"/>
          <w:sz w:val="22"/>
          <w:szCs w:val="22"/>
          <w:highlight w:val="none"/>
        </w:rPr>
        <w:t>行业；制造商为</w:t>
      </w:r>
      <w:r>
        <w:rPr>
          <w:rFonts w:hint="eastAsia" w:ascii="宋体" w:hAnsi="宋体" w:eastAsia="宋体" w:cs="宋体"/>
          <w:color w:val="auto"/>
          <w:kern w:val="2"/>
          <w:sz w:val="22"/>
          <w:szCs w:val="22"/>
          <w:highlight w:val="none"/>
          <w:u w:val="single"/>
        </w:rPr>
        <w:t>（企业名称）</w:t>
      </w:r>
      <w:r>
        <w:rPr>
          <w:rFonts w:hint="eastAsia" w:ascii="宋体" w:hAnsi="宋体" w:eastAsia="宋体" w:cs="宋体"/>
          <w:color w:val="auto"/>
          <w:kern w:val="2"/>
          <w:sz w:val="22"/>
          <w:szCs w:val="22"/>
          <w:highlight w:val="none"/>
        </w:rPr>
        <w:t>，从业人员________人，营业收入为_________万元，资产总额为________万元，属于</w:t>
      </w:r>
      <w:r>
        <w:rPr>
          <w:rFonts w:hint="eastAsia" w:ascii="宋体" w:hAnsi="宋体" w:eastAsia="宋体" w:cs="宋体"/>
          <w:color w:val="auto"/>
          <w:kern w:val="2"/>
          <w:sz w:val="22"/>
          <w:szCs w:val="22"/>
          <w:highlight w:val="none"/>
          <w:u w:val="single"/>
        </w:rPr>
        <w:t>(中型企业、小型企业、微型企业)</w:t>
      </w:r>
      <w:r>
        <w:rPr>
          <w:rFonts w:hint="eastAsia" w:ascii="宋体" w:hAnsi="宋体" w:eastAsia="宋体" w:cs="宋体"/>
          <w:color w:val="auto"/>
          <w:kern w:val="2"/>
          <w:sz w:val="22"/>
          <w:szCs w:val="22"/>
          <w:highlight w:val="none"/>
        </w:rPr>
        <w:t>；</w:t>
      </w:r>
    </w:p>
    <w:p w14:paraId="391A8446">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w:t>
      </w:r>
    </w:p>
    <w:p w14:paraId="60E2E4EA">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以上企业，不属于大企业的分支机构，不存在控股股东为大企业的情形，也不存在与大企业的负责人为同一人的情形。</w:t>
      </w:r>
    </w:p>
    <w:p w14:paraId="651A0192">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本企业对上述声明内容的真实性负责。如有虚假，将依法承担相应责任。　　</w:t>
      </w:r>
    </w:p>
    <w:p w14:paraId="61C7C4A7">
      <w:pPr>
        <w:pStyle w:val="15"/>
        <w:widowControl w:val="0"/>
        <w:adjustRightInd w:val="0"/>
        <w:snapToGrid w:val="0"/>
        <w:spacing w:before="0" w:beforeAutospacing="0" w:after="0" w:afterAutospacing="0" w:line="360" w:lineRule="exact"/>
        <w:ind w:right="420"/>
        <w:jc w:val="center"/>
        <w:rPr>
          <w:rFonts w:hint="eastAsia" w:ascii="宋体" w:hAnsi="宋体" w:eastAsia="宋体" w:cs="宋体"/>
          <w:color w:val="auto"/>
          <w:kern w:val="2"/>
          <w:sz w:val="22"/>
          <w:szCs w:val="22"/>
          <w:highlight w:val="none"/>
        </w:rPr>
      </w:pPr>
    </w:p>
    <w:p w14:paraId="13B26E05">
      <w:pPr>
        <w:pStyle w:val="15"/>
        <w:widowControl w:val="0"/>
        <w:adjustRightInd w:val="0"/>
        <w:snapToGrid w:val="0"/>
        <w:spacing w:before="0" w:beforeAutospacing="0" w:after="0" w:afterAutospacing="0" w:line="360" w:lineRule="exact"/>
        <w:ind w:right="420" w:firstLine="5632" w:firstLineChars="2560"/>
        <w:rPr>
          <w:rFonts w:hint="eastAsia" w:ascii="宋体" w:hAnsi="宋体" w:eastAsia="宋体" w:cs="宋体"/>
          <w:color w:val="auto"/>
          <w:kern w:val="2"/>
          <w:sz w:val="22"/>
          <w:szCs w:val="22"/>
          <w:highlight w:val="none"/>
        </w:rPr>
      </w:pPr>
    </w:p>
    <w:p w14:paraId="1D2E8DDE">
      <w:pPr>
        <w:pStyle w:val="15"/>
        <w:widowControl w:val="0"/>
        <w:adjustRightInd w:val="0"/>
        <w:snapToGrid w:val="0"/>
        <w:spacing w:before="0" w:beforeAutospacing="0" w:after="0" w:afterAutospacing="0" w:line="360" w:lineRule="exact"/>
        <w:ind w:right="420" w:firstLine="5632" w:firstLineChars="256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企业名称（盖章）：　</w:t>
      </w:r>
    </w:p>
    <w:p w14:paraId="28C156DF">
      <w:pPr>
        <w:pStyle w:val="6"/>
        <w:adjustRightInd w:val="0"/>
        <w:snapToGrid w:val="0"/>
        <w:spacing w:line="360" w:lineRule="exact"/>
        <w:ind w:left="1413" w:leftChars="673" w:firstLine="6182" w:firstLineChars="281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年    月    日</w:t>
      </w:r>
    </w:p>
    <w:p w14:paraId="7032D9A1">
      <w:pPr>
        <w:pStyle w:val="15"/>
        <w:widowControl w:val="0"/>
        <w:adjustRightInd w:val="0"/>
        <w:snapToGrid w:val="0"/>
        <w:spacing w:before="0" w:beforeAutospacing="0" w:after="0" w:afterAutospacing="0" w:line="360" w:lineRule="exact"/>
        <w:ind w:right="420"/>
        <w:rPr>
          <w:rFonts w:hint="eastAsia" w:ascii="宋体" w:hAnsi="宋体" w:eastAsia="宋体" w:cs="宋体"/>
          <w:color w:val="auto"/>
          <w:kern w:val="2"/>
          <w:sz w:val="22"/>
          <w:szCs w:val="22"/>
          <w:highlight w:val="none"/>
        </w:rPr>
      </w:pPr>
    </w:p>
    <w:p w14:paraId="60829FE2">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p>
    <w:p w14:paraId="46E60381">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填写注意事项：</w:t>
      </w:r>
    </w:p>
    <w:p w14:paraId="7E1E1F01">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（1）从业人员、营业收入、资产总额填报上一年度数据，无上一年度数据的新成立企业可不填报。</w:t>
      </w:r>
    </w:p>
    <w:p w14:paraId="6CF6CDCF">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（2）供应商按照本办法规定提供声明函内容不实的，属于提供虚假材料谋取中标、成交，依照《中华人民共和国政府采购法》等国家有关规定追究相应责任。</w:t>
      </w:r>
    </w:p>
    <w:p w14:paraId="598E9F93">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（3）政府采购监督检查、投诉处理及政府采购行政处罚中对中小企业的认定，由货物制造商或者工程、服务供应商注册登记所在地的县级以上人民政府中小企业主管部门负责。</w:t>
      </w:r>
    </w:p>
    <w:p w14:paraId="5A4AE7D3">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40" w:firstLineChars="200"/>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（4）提供的货物有多项的，应将每项标的的企业具体情况均列明。多项货物由同一企业生产的，可以合并填写在一条情况说明中。</w:t>
      </w:r>
    </w:p>
    <w:p w14:paraId="6B4ADD8D">
      <w:pPr>
        <w:pStyle w:val="6"/>
        <w:rPr>
          <w:rFonts w:hint="eastAsia" w:ascii="宋体" w:hAnsi="宋体" w:cs="宋体"/>
          <w:b/>
          <w:color w:val="auto"/>
          <w:szCs w:val="21"/>
          <w:highlight w:val="none"/>
        </w:rPr>
      </w:pPr>
    </w:p>
    <w:p w14:paraId="63BF8A8D">
      <w:pPr>
        <w:pStyle w:val="6"/>
        <w:rPr>
          <w:rFonts w:hint="eastAsia" w:ascii="宋体" w:hAnsi="宋体" w:cs="宋体"/>
          <w:b/>
          <w:color w:val="auto"/>
          <w:szCs w:val="21"/>
          <w:highlight w:val="none"/>
        </w:rPr>
      </w:pPr>
    </w:p>
    <w:p w14:paraId="0672BEE7">
      <w:pPr>
        <w:pStyle w:val="6"/>
        <w:rPr>
          <w:rFonts w:hint="eastAsia" w:ascii="宋体" w:hAnsi="宋体" w:cs="宋体"/>
          <w:b/>
          <w:color w:val="auto"/>
          <w:szCs w:val="21"/>
          <w:highlight w:val="none"/>
        </w:rPr>
      </w:pPr>
    </w:p>
    <w:p w14:paraId="127A5530">
      <w:pPr>
        <w:pStyle w:val="15"/>
        <w:widowControl w:val="0"/>
        <w:adjustRightInd w:val="0"/>
        <w:snapToGrid w:val="0"/>
        <w:spacing w:before="0" w:beforeAutospacing="0" w:after="0" w:afterAutospacing="0" w:line="600" w:lineRule="exact"/>
        <w:ind w:firstLine="562"/>
        <w:jc w:val="center"/>
        <w:rPr>
          <w:rFonts w:hint="eastAsia" w:cs="宋体"/>
          <w:b/>
          <w:bCs/>
          <w:color w:val="auto"/>
          <w:kern w:val="2"/>
          <w:sz w:val="28"/>
          <w:szCs w:val="28"/>
          <w:highlight w:val="none"/>
        </w:rPr>
      </w:pPr>
      <w:r>
        <w:rPr>
          <w:rFonts w:hint="eastAsia" w:cs="宋体"/>
          <w:b/>
          <w:bCs/>
          <w:color w:val="auto"/>
          <w:kern w:val="2"/>
          <w:sz w:val="28"/>
          <w:szCs w:val="28"/>
          <w:highlight w:val="none"/>
        </w:rPr>
        <w:t>残疾人福利性单位声明函</w:t>
      </w:r>
    </w:p>
    <w:p w14:paraId="75EF53FE">
      <w:pPr>
        <w:spacing w:line="588" w:lineRule="exact"/>
        <w:rPr>
          <w:rFonts w:ascii="宋体" w:cs="宋体"/>
          <w:b/>
          <w:bCs/>
          <w:color w:val="auto"/>
          <w:spacing w:val="6"/>
          <w:highlight w:val="none"/>
        </w:rPr>
      </w:pPr>
    </w:p>
    <w:p w14:paraId="2F95D1A7">
      <w:pPr>
        <w:spacing w:line="588" w:lineRule="exact"/>
        <w:ind w:firstLine="464" w:firstLineChars="200"/>
        <w:rPr>
          <w:rFonts w:asci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w:t>
      </w: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rPr>
        <w:t>民政部</w:t>
      </w: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rPr>
        <w:t>中国残疾人联合会关于促进残疾人就业政府采购政策的通知》（财库</w:t>
      </w:r>
      <w:r>
        <w:rPr>
          <w:rFonts w:hint="eastAsia" w:ascii="宋体" w:hAnsi="宋体" w:cs="宋体"/>
          <w:color w:val="auto"/>
          <w:sz w:val="22"/>
          <w:szCs w:val="22"/>
          <w:highlight w:val="none"/>
        </w:rPr>
        <w:t>〔</w:t>
      </w:r>
      <w:r>
        <w:rPr>
          <w:rFonts w:ascii="宋体" w:hAnsi="宋体" w:cs="宋体"/>
          <w:color w:val="auto"/>
          <w:sz w:val="22"/>
          <w:szCs w:val="22"/>
          <w:highlight w:val="none"/>
        </w:rPr>
        <w:t>2017</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141</w:t>
      </w:r>
      <w:r>
        <w:rPr>
          <w:rFonts w:hint="eastAsia" w:ascii="宋体" w:hAnsi="宋体" w:cs="宋体"/>
          <w:color w:val="auto"/>
          <w:spacing w:val="6"/>
          <w:sz w:val="22"/>
          <w:szCs w:val="22"/>
          <w:highlight w:val="none"/>
        </w:rPr>
        <w:t>号）的规定，本单位为符合条件的残疾人福利性单位，且本单位参加</w:t>
      </w:r>
      <w:r>
        <w:rPr>
          <w:rFonts w:ascii="宋体" w:hAnsi="宋体" w:cs="宋体"/>
          <w:color w:val="auto"/>
          <w:spacing w:val="6"/>
          <w:sz w:val="22"/>
          <w:szCs w:val="22"/>
          <w:highlight w:val="none"/>
        </w:rPr>
        <w:t>______</w:t>
      </w:r>
      <w:r>
        <w:rPr>
          <w:rFonts w:hint="eastAsia" w:ascii="宋体" w:hAnsi="宋体" w:cs="宋体"/>
          <w:color w:val="auto"/>
          <w:spacing w:val="6"/>
          <w:sz w:val="22"/>
          <w:szCs w:val="22"/>
          <w:highlight w:val="none"/>
        </w:rPr>
        <w:t>单位的</w:t>
      </w:r>
      <w:r>
        <w:rPr>
          <w:rFonts w:ascii="宋体" w:hAnsi="宋体" w:cs="宋体"/>
          <w:color w:val="auto"/>
          <w:spacing w:val="6"/>
          <w:sz w:val="22"/>
          <w:szCs w:val="22"/>
          <w:highlight w:val="none"/>
        </w:rPr>
        <w:t>______</w:t>
      </w:r>
      <w:r>
        <w:rPr>
          <w:rFonts w:hint="eastAsia" w:ascii="宋体" w:hAnsi="宋体" w:cs="宋体"/>
          <w:color w:val="auto"/>
          <w:spacing w:val="6"/>
          <w:sz w:val="22"/>
          <w:szCs w:val="22"/>
          <w:highlight w:val="none"/>
        </w:rPr>
        <w:t>项目采购活动提供本单位制造的货物（由本单位承担工程</w:t>
      </w:r>
      <w:r>
        <w:rPr>
          <w:rFonts w:ascii="宋体" w:hAnsi="宋体" w:cs="宋体"/>
          <w:color w:val="auto"/>
          <w:spacing w:val="6"/>
          <w:sz w:val="22"/>
          <w:szCs w:val="22"/>
          <w:highlight w:val="none"/>
        </w:rPr>
        <w:t>/</w:t>
      </w:r>
      <w:r>
        <w:rPr>
          <w:rFonts w:hint="eastAsia" w:ascii="宋体" w:hAnsi="宋体" w:cs="宋体"/>
          <w:color w:val="auto"/>
          <w:spacing w:val="6"/>
          <w:sz w:val="22"/>
          <w:szCs w:val="22"/>
          <w:highlight w:val="none"/>
        </w:rPr>
        <w:t>提供服务），或者提供其他残疾人福利性单位制造的货物（不包括使用非残疾人福利性单位注册商标的货物）。</w:t>
      </w:r>
    </w:p>
    <w:p w14:paraId="586512E0">
      <w:pPr>
        <w:spacing w:line="588" w:lineRule="exact"/>
        <w:ind w:firstLine="464" w:firstLineChars="200"/>
        <w:rPr>
          <w:rFonts w:asci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53170E6D">
      <w:pPr>
        <w:spacing w:line="588" w:lineRule="exact"/>
        <w:rPr>
          <w:rFonts w:ascii="宋体" w:cs="宋体"/>
          <w:color w:val="auto"/>
          <w:spacing w:val="6"/>
          <w:sz w:val="22"/>
          <w:szCs w:val="22"/>
          <w:highlight w:val="none"/>
        </w:rPr>
      </w:pPr>
    </w:p>
    <w:p w14:paraId="27A9A0DA">
      <w:pPr>
        <w:tabs>
          <w:tab w:val="left" w:pos="4860"/>
        </w:tabs>
        <w:spacing w:line="588" w:lineRule="exact"/>
        <w:ind w:right="1560" w:firstLine="464" w:firstLineChars="200"/>
        <w:jc w:val="center"/>
        <w:rPr>
          <w:rFonts w:ascii="宋体" w:cs="宋体"/>
          <w:color w:val="auto"/>
          <w:spacing w:val="6"/>
          <w:sz w:val="22"/>
          <w:szCs w:val="22"/>
          <w:highlight w:val="none"/>
        </w:rPr>
      </w:pP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lang w:val="en-US" w:eastAsia="zh-CN"/>
        </w:rPr>
        <w:t xml:space="preserve">                      </w:t>
      </w:r>
      <w:r>
        <w:rPr>
          <w:rFonts w:hint="eastAsia" w:ascii="宋体" w:hAnsi="宋体" w:cs="宋体"/>
          <w:color w:val="auto"/>
          <w:spacing w:val="6"/>
          <w:sz w:val="22"/>
          <w:szCs w:val="22"/>
          <w:highlight w:val="none"/>
        </w:rPr>
        <w:t>单位名称（盖章）：</w:t>
      </w:r>
    </w:p>
    <w:p w14:paraId="39C53A3B">
      <w:pPr>
        <w:tabs>
          <w:tab w:val="left" w:pos="4860"/>
        </w:tabs>
        <w:spacing w:line="588" w:lineRule="exact"/>
        <w:ind w:right="1560" w:firstLine="464" w:firstLineChars="200"/>
        <w:jc w:val="center"/>
        <w:rPr>
          <w:rFonts w:ascii="宋体" w:cs="宋体"/>
          <w:color w:val="auto"/>
          <w:spacing w:val="6"/>
          <w:sz w:val="22"/>
          <w:szCs w:val="22"/>
          <w:highlight w:val="none"/>
        </w:rPr>
      </w:pP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lang w:val="en-US" w:eastAsia="zh-CN"/>
        </w:rPr>
        <w:t xml:space="preserve">                     </w:t>
      </w: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rPr>
        <w:t>日</w:t>
      </w:r>
      <w:r>
        <w:rPr>
          <w:rFonts w:ascii="宋体" w:hAnsi="宋体" w:cs="宋体"/>
          <w:color w:val="auto"/>
          <w:spacing w:val="6"/>
          <w:sz w:val="22"/>
          <w:szCs w:val="22"/>
          <w:highlight w:val="none"/>
        </w:rPr>
        <w:t xml:space="preserve">  </w:t>
      </w:r>
      <w:r>
        <w:rPr>
          <w:rFonts w:hint="eastAsia" w:ascii="宋体" w:hAnsi="宋体" w:cs="宋体"/>
          <w:color w:val="auto"/>
          <w:spacing w:val="6"/>
          <w:sz w:val="22"/>
          <w:szCs w:val="22"/>
          <w:highlight w:val="none"/>
        </w:rPr>
        <w:t>期：</w:t>
      </w:r>
    </w:p>
    <w:p w14:paraId="2AD14ACF">
      <w:pPr>
        <w:adjustRightInd w:val="0"/>
        <w:snapToGrid w:val="0"/>
        <w:spacing w:line="360" w:lineRule="exact"/>
        <w:ind w:firstLine="440" w:firstLineChars="200"/>
        <w:jc w:val="left"/>
        <w:rPr>
          <w:rFonts w:ascii="宋体" w:hAnsi="宋体"/>
          <w:color w:val="auto"/>
          <w:sz w:val="22"/>
          <w:szCs w:val="22"/>
          <w:highlight w:val="none"/>
        </w:rPr>
      </w:pPr>
    </w:p>
    <w:p w14:paraId="62D5DE6D">
      <w:pPr>
        <w:adjustRightInd w:val="0"/>
        <w:snapToGrid w:val="0"/>
        <w:spacing w:line="360" w:lineRule="exact"/>
        <w:ind w:firstLine="440" w:firstLineChars="200"/>
        <w:jc w:val="left"/>
        <w:rPr>
          <w:rFonts w:ascii="宋体" w:hAnsi="宋体"/>
          <w:color w:val="auto"/>
          <w:sz w:val="22"/>
          <w:szCs w:val="22"/>
          <w:highlight w:val="none"/>
        </w:rPr>
      </w:pPr>
    </w:p>
    <w:p w14:paraId="35EE54CE">
      <w:pPr>
        <w:adjustRightInd w:val="0"/>
        <w:snapToGrid w:val="0"/>
        <w:spacing w:line="36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享受政府采购支持政策的残疾人福利性单位应当同时满足以下条件：</w:t>
      </w:r>
    </w:p>
    <w:p w14:paraId="28186E73">
      <w:pPr>
        <w:adjustRightInd w:val="0"/>
        <w:snapToGrid w:val="0"/>
        <w:spacing w:line="3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①</w:t>
      </w:r>
      <w:r>
        <w:rPr>
          <w:rFonts w:ascii="宋体" w:hAnsi="宋体"/>
          <w:color w:val="auto"/>
          <w:sz w:val="22"/>
          <w:szCs w:val="22"/>
          <w:highlight w:val="none"/>
        </w:rPr>
        <w:t>安置的残疾人占本单位在职职工人数的比例不低于25%（含25%），并且安置的残疾人人数不少于10人（含10人）；</w:t>
      </w:r>
    </w:p>
    <w:p w14:paraId="7FD41A59">
      <w:pPr>
        <w:adjustRightInd w:val="0"/>
        <w:snapToGrid w:val="0"/>
        <w:spacing w:line="3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②</w:t>
      </w:r>
      <w:r>
        <w:rPr>
          <w:rFonts w:ascii="宋体" w:hAnsi="宋体"/>
          <w:color w:val="auto"/>
          <w:sz w:val="22"/>
          <w:szCs w:val="22"/>
          <w:highlight w:val="none"/>
        </w:rPr>
        <w:t>依法与安置的每位残疾人签订了一年以上（含一年）的劳动合同或服务协议；</w:t>
      </w:r>
    </w:p>
    <w:p w14:paraId="3C5F7EEF">
      <w:pPr>
        <w:adjustRightInd w:val="0"/>
        <w:snapToGrid w:val="0"/>
        <w:spacing w:line="3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③</w:t>
      </w:r>
      <w:r>
        <w:rPr>
          <w:rFonts w:ascii="宋体" w:hAnsi="宋体"/>
          <w:color w:val="auto"/>
          <w:sz w:val="22"/>
          <w:szCs w:val="22"/>
          <w:highlight w:val="none"/>
        </w:rPr>
        <w:t>为安置的每位残疾人按月足额缴纳了基本养老保险、基本医疗保险、失业保险、工伤保险和生育保险等社会保险费；</w:t>
      </w:r>
    </w:p>
    <w:p w14:paraId="13F8B7A5">
      <w:pPr>
        <w:adjustRightInd w:val="0"/>
        <w:snapToGrid w:val="0"/>
        <w:spacing w:line="3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④</w:t>
      </w:r>
      <w:r>
        <w:rPr>
          <w:rFonts w:ascii="宋体" w:hAnsi="宋体"/>
          <w:color w:val="auto"/>
          <w:sz w:val="22"/>
          <w:szCs w:val="22"/>
          <w:highlight w:val="none"/>
        </w:rPr>
        <w:t>通过银行等金融机构向安置的每位残疾人，按月支付了不低于单位所在区县适用的经省级人民政府批准的月最低工资标准的工资；</w:t>
      </w:r>
    </w:p>
    <w:p w14:paraId="46FDCB53">
      <w:pPr>
        <w:adjustRightInd w:val="0"/>
        <w:snapToGrid w:val="0"/>
        <w:spacing w:line="36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⑤</w:t>
      </w:r>
      <w:r>
        <w:rPr>
          <w:rFonts w:ascii="宋体" w:hAnsi="宋体"/>
          <w:color w:val="auto"/>
          <w:sz w:val="22"/>
          <w:szCs w:val="22"/>
          <w:highlight w:val="none"/>
        </w:rPr>
        <w:t>提供本单位制造的货物、承担的工程或者服务（以下简称产品），或者提供其他残疾人福利性单位制造的货物（不包括使用非残疾人福利性单位注册商标的货物）。</w:t>
      </w:r>
    </w:p>
    <w:p w14:paraId="3AE8422C">
      <w:pPr>
        <w:adjustRightInd w:val="0"/>
        <w:snapToGrid w:val="0"/>
        <w:spacing w:line="36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B462B6">
      <w:pPr>
        <w:pStyle w:val="10"/>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hAnsi="宋体"/>
          <w:color w:val="auto"/>
          <w:highlight w:val="none"/>
        </w:rPr>
      </w:pPr>
      <w:r>
        <w:rPr>
          <w:rFonts w:hAnsi="宋体"/>
          <w:color w:val="auto"/>
          <w:sz w:val="22"/>
          <w:szCs w:val="22"/>
          <w:highlight w:val="none"/>
        </w:rPr>
        <w:t>符合条件的残疾人福利性单位在参加政府采购活动时，应当提供本通知规定的《残疾人福利性单位声明函》</w:t>
      </w:r>
      <w:r>
        <w:rPr>
          <w:rFonts w:hint="eastAsia" w:hAnsi="宋体"/>
          <w:color w:val="auto"/>
          <w:sz w:val="22"/>
          <w:szCs w:val="22"/>
          <w:highlight w:val="none"/>
        </w:rPr>
        <w:t>。</w:t>
      </w:r>
    </w:p>
    <w:p w14:paraId="60D816F3">
      <w:pPr>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14:paraId="6DECB259">
      <w:pPr>
        <w:spacing w:line="500" w:lineRule="exact"/>
        <w:rPr>
          <w:rFonts w:hint="eastAsia" w:ascii="宋体" w:hAnsi="宋体" w:cs="宋体"/>
          <w:b/>
          <w:color w:val="auto"/>
          <w:szCs w:val="21"/>
          <w:highlight w:val="none"/>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             </w:t>
      </w:r>
    </w:p>
    <w:p w14:paraId="093229BF">
      <w:pPr>
        <w:spacing w:line="500" w:lineRule="exact"/>
        <w:rPr>
          <w:rFonts w:hint="eastAsia" w:ascii="宋体" w:hAnsi="宋体" w:cs="宋体"/>
          <w:color w:val="auto"/>
          <w:szCs w:val="21"/>
          <w:highlight w:val="none"/>
        </w:rPr>
      </w:pPr>
    </w:p>
    <w:p w14:paraId="2A4FD107">
      <w:pPr>
        <w:spacing w:line="52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谈 判 书</w:t>
      </w:r>
    </w:p>
    <w:p w14:paraId="4CE450AE">
      <w:pPr>
        <w:spacing w:line="520" w:lineRule="exact"/>
        <w:jc w:val="center"/>
        <w:rPr>
          <w:rFonts w:hint="eastAsia" w:ascii="宋体" w:hAnsi="宋体" w:cs="宋体"/>
          <w:b/>
          <w:color w:val="auto"/>
          <w:szCs w:val="21"/>
          <w:highlight w:val="none"/>
        </w:rPr>
      </w:pPr>
    </w:p>
    <w:p w14:paraId="68A0CDDC">
      <w:pPr>
        <w:pStyle w:val="10"/>
        <w:spacing w:line="520" w:lineRule="exact"/>
        <w:rPr>
          <w:rFonts w:hint="eastAsia" w:hAnsi="宋体" w:cs="宋体"/>
          <w:color w:val="auto"/>
          <w:sz w:val="22"/>
          <w:szCs w:val="22"/>
          <w:highlight w:val="none"/>
        </w:rPr>
      </w:pPr>
      <w:r>
        <w:rPr>
          <w:rFonts w:hint="eastAsia" w:hAnsi="宋体" w:cs="宋体"/>
          <w:color w:val="auto"/>
          <w:sz w:val="22"/>
          <w:szCs w:val="22"/>
          <w:highlight w:val="none"/>
          <w:u w:val="single"/>
        </w:rPr>
        <w:t>采购代理机构名称</w:t>
      </w:r>
      <w:r>
        <w:rPr>
          <w:rFonts w:hint="eastAsia" w:hAnsi="宋体" w:cs="宋体"/>
          <w:color w:val="auto"/>
          <w:sz w:val="22"/>
          <w:szCs w:val="22"/>
          <w:highlight w:val="none"/>
        </w:rPr>
        <w:t>：</w:t>
      </w:r>
    </w:p>
    <w:p w14:paraId="48E7EE2D">
      <w:pPr>
        <w:pStyle w:val="10"/>
        <w:spacing w:line="520" w:lineRule="exact"/>
        <w:ind w:firstLine="480"/>
        <w:rPr>
          <w:rFonts w:hint="eastAsia" w:hAnsi="宋体" w:cs="宋体"/>
          <w:color w:val="auto"/>
          <w:sz w:val="22"/>
          <w:szCs w:val="22"/>
          <w:highlight w:val="none"/>
        </w:rPr>
      </w:pPr>
      <w:r>
        <w:rPr>
          <w:rFonts w:hint="eastAsia" w:hAnsi="宋体" w:cs="宋体"/>
          <w:color w:val="auto"/>
          <w:sz w:val="22"/>
          <w:szCs w:val="22"/>
          <w:highlight w:val="none"/>
        </w:rPr>
        <w:t>依据贵方</w:t>
      </w:r>
      <w:r>
        <w:rPr>
          <w:rFonts w:hint="eastAsia" w:hAnsi="宋体" w:cs="宋体"/>
          <w:color w:val="auto"/>
          <w:sz w:val="22"/>
          <w:szCs w:val="22"/>
          <w:highlight w:val="none"/>
          <w:u w:val="single"/>
        </w:rPr>
        <w:t>（项目名称/项目编号）</w:t>
      </w:r>
      <w:r>
        <w:rPr>
          <w:rFonts w:hint="eastAsia" w:hAnsi="宋体" w:cs="宋体"/>
          <w:color w:val="auto"/>
          <w:sz w:val="22"/>
          <w:szCs w:val="22"/>
          <w:highlight w:val="none"/>
        </w:rPr>
        <w:t>项目政府采购的谈判邀请，我方</w:t>
      </w:r>
      <w:r>
        <w:rPr>
          <w:rFonts w:hint="eastAsia" w:hAnsi="宋体" w:cs="宋体"/>
          <w:color w:val="auto"/>
          <w:sz w:val="22"/>
          <w:szCs w:val="22"/>
          <w:highlight w:val="none"/>
          <w:u w:val="single"/>
        </w:rPr>
        <w:t>（姓名和职务）</w:t>
      </w:r>
      <w:r>
        <w:rPr>
          <w:rFonts w:hint="eastAsia" w:hAnsi="宋体" w:cs="宋体"/>
          <w:color w:val="auto"/>
          <w:sz w:val="22"/>
          <w:szCs w:val="22"/>
          <w:highlight w:val="none"/>
        </w:rPr>
        <w:t>经正式授权并代表本单位</w:t>
      </w:r>
      <w:r>
        <w:rPr>
          <w:rFonts w:hint="eastAsia" w:hAnsi="宋体" w:cs="宋体"/>
          <w:color w:val="auto"/>
          <w:sz w:val="22"/>
          <w:szCs w:val="22"/>
          <w:highlight w:val="none"/>
          <w:u w:val="single"/>
        </w:rPr>
        <w:t>（谈判供应商名称、地址）</w:t>
      </w:r>
      <w:r>
        <w:rPr>
          <w:rFonts w:hint="eastAsia" w:hAnsi="宋体" w:cs="宋体"/>
          <w:color w:val="auto"/>
          <w:sz w:val="22"/>
          <w:szCs w:val="22"/>
          <w:highlight w:val="none"/>
        </w:rPr>
        <w:t>提交下述竞争性谈判响应文件</w:t>
      </w:r>
      <w:r>
        <w:rPr>
          <w:rFonts w:hint="eastAsia" w:hAnsi="宋体" w:cs="宋体"/>
          <w:b/>
          <w:color w:val="auto"/>
          <w:sz w:val="22"/>
          <w:szCs w:val="22"/>
          <w:highlight w:val="none"/>
        </w:rPr>
        <w:t>（价格文件、商务技术文件）</w:t>
      </w:r>
      <w:r>
        <w:rPr>
          <w:rFonts w:hint="eastAsia" w:hAnsi="宋体" w:cs="宋体"/>
          <w:color w:val="auto"/>
          <w:sz w:val="22"/>
          <w:szCs w:val="22"/>
          <w:highlight w:val="none"/>
        </w:rPr>
        <w:t>。</w:t>
      </w:r>
    </w:p>
    <w:p w14:paraId="4DD46C17">
      <w:pPr>
        <w:pStyle w:val="10"/>
        <w:spacing w:line="520" w:lineRule="exact"/>
        <w:ind w:firstLine="480"/>
        <w:rPr>
          <w:rFonts w:hint="eastAsia" w:hAnsi="宋体" w:cs="宋体"/>
          <w:color w:val="auto"/>
          <w:sz w:val="22"/>
          <w:szCs w:val="22"/>
          <w:highlight w:val="none"/>
        </w:rPr>
      </w:pPr>
      <w:r>
        <w:rPr>
          <w:rFonts w:hint="eastAsia" w:hAnsi="宋体" w:cs="宋体"/>
          <w:color w:val="auto"/>
          <w:sz w:val="22"/>
          <w:szCs w:val="22"/>
          <w:highlight w:val="none"/>
        </w:rPr>
        <w:t>1. 报价表；</w:t>
      </w:r>
    </w:p>
    <w:p w14:paraId="5CC00983">
      <w:pPr>
        <w:pStyle w:val="10"/>
        <w:spacing w:line="520" w:lineRule="exact"/>
        <w:ind w:firstLine="480"/>
        <w:rPr>
          <w:rFonts w:hint="eastAsia" w:hAnsi="宋体" w:cs="宋体"/>
          <w:color w:val="auto"/>
          <w:sz w:val="22"/>
          <w:szCs w:val="22"/>
          <w:highlight w:val="none"/>
        </w:rPr>
      </w:pPr>
      <w:r>
        <w:rPr>
          <w:rFonts w:hint="eastAsia" w:hAnsi="宋体" w:cs="宋体"/>
          <w:color w:val="auto"/>
          <w:sz w:val="22"/>
          <w:szCs w:val="22"/>
          <w:highlight w:val="none"/>
        </w:rPr>
        <w:t>2. 商务、技术响应、偏离情况说明表；</w:t>
      </w:r>
    </w:p>
    <w:p w14:paraId="6D1D1400">
      <w:pPr>
        <w:pStyle w:val="10"/>
        <w:spacing w:line="520" w:lineRule="exact"/>
        <w:ind w:firstLine="480"/>
        <w:rPr>
          <w:rFonts w:hint="eastAsia" w:hAnsi="宋体" w:cs="宋体"/>
          <w:color w:val="auto"/>
          <w:sz w:val="22"/>
          <w:szCs w:val="22"/>
          <w:highlight w:val="none"/>
        </w:rPr>
      </w:pPr>
      <w:r>
        <w:rPr>
          <w:rFonts w:hint="eastAsia" w:hAnsi="宋体" w:cs="宋体"/>
          <w:color w:val="auto"/>
          <w:sz w:val="22"/>
          <w:szCs w:val="22"/>
          <w:highlight w:val="none"/>
        </w:rPr>
        <w:t>3. 资格证明文件；</w:t>
      </w:r>
    </w:p>
    <w:p w14:paraId="3B228EE8">
      <w:pPr>
        <w:pStyle w:val="10"/>
        <w:spacing w:line="520" w:lineRule="exact"/>
        <w:ind w:firstLine="480"/>
        <w:rPr>
          <w:rFonts w:hint="eastAsia" w:hAnsi="宋体" w:cs="宋体"/>
          <w:color w:val="auto"/>
          <w:sz w:val="22"/>
          <w:szCs w:val="22"/>
          <w:highlight w:val="none"/>
        </w:rPr>
      </w:pPr>
      <w:r>
        <w:rPr>
          <w:rFonts w:hint="eastAsia" w:hAnsi="宋体" w:cs="宋体"/>
          <w:color w:val="auto"/>
          <w:sz w:val="22"/>
          <w:szCs w:val="22"/>
          <w:highlight w:val="none"/>
        </w:rPr>
        <w:t>4. 按竞争性谈判文件谈判供应商须知和采购需求提供的有关文件；</w:t>
      </w:r>
    </w:p>
    <w:p w14:paraId="70D8C39F">
      <w:pPr>
        <w:pStyle w:val="10"/>
        <w:spacing w:line="520" w:lineRule="exact"/>
        <w:ind w:firstLine="330" w:firstLineChars="150"/>
        <w:rPr>
          <w:rFonts w:hint="eastAsia" w:hAnsi="宋体" w:cs="宋体"/>
          <w:color w:val="auto"/>
          <w:sz w:val="22"/>
          <w:szCs w:val="22"/>
          <w:highlight w:val="none"/>
        </w:rPr>
      </w:pPr>
      <w:r>
        <w:rPr>
          <w:rFonts w:hint="eastAsia" w:hAnsi="宋体" w:cs="宋体"/>
          <w:color w:val="auto"/>
          <w:sz w:val="22"/>
          <w:szCs w:val="22"/>
          <w:highlight w:val="none"/>
        </w:rPr>
        <w:t>在此，授权代表宣布同意如下：</w:t>
      </w:r>
    </w:p>
    <w:p w14:paraId="7A351206">
      <w:pPr>
        <w:pStyle w:val="10"/>
        <w:spacing w:line="520" w:lineRule="exact"/>
        <w:ind w:firstLine="550" w:firstLineChars="250"/>
        <w:rPr>
          <w:rFonts w:hint="eastAsia" w:hAnsi="宋体" w:cs="宋体"/>
          <w:color w:val="auto"/>
          <w:sz w:val="22"/>
          <w:szCs w:val="22"/>
          <w:highlight w:val="none"/>
        </w:rPr>
      </w:pPr>
      <w:r>
        <w:rPr>
          <w:rFonts w:hint="eastAsia" w:hAnsi="宋体" w:cs="宋体"/>
          <w:color w:val="auto"/>
          <w:sz w:val="22"/>
          <w:szCs w:val="22"/>
          <w:highlight w:val="none"/>
        </w:rPr>
        <w:t>1. 将按竞争性谈判文件的约定履行合同责任和义务；</w:t>
      </w:r>
    </w:p>
    <w:p w14:paraId="0A073962">
      <w:pPr>
        <w:pStyle w:val="10"/>
        <w:spacing w:line="520" w:lineRule="exact"/>
        <w:ind w:firstLine="565" w:firstLineChars="257"/>
        <w:rPr>
          <w:rFonts w:hint="eastAsia" w:hAnsi="宋体" w:cs="宋体"/>
          <w:color w:val="auto"/>
          <w:sz w:val="22"/>
          <w:szCs w:val="22"/>
          <w:highlight w:val="none"/>
        </w:rPr>
      </w:pPr>
      <w:r>
        <w:rPr>
          <w:rFonts w:hint="eastAsia" w:hAnsi="宋体" w:cs="宋体"/>
          <w:color w:val="auto"/>
          <w:sz w:val="22"/>
          <w:szCs w:val="22"/>
          <w:highlight w:val="none"/>
        </w:rPr>
        <w:t>2. 已详细审查全部竞争性谈判文件，包括</w:t>
      </w:r>
      <w:r>
        <w:rPr>
          <w:rFonts w:hint="eastAsia" w:hAnsi="宋体" w:cs="宋体"/>
          <w:color w:val="auto"/>
          <w:sz w:val="22"/>
          <w:szCs w:val="22"/>
          <w:highlight w:val="none"/>
          <w:u w:val="single"/>
        </w:rPr>
        <w:t>（补遗文件）（如果有的话）</w:t>
      </w:r>
      <w:r>
        <w:rPr>
          <w:rFonts w:hint="eastAsia" w:hAnsi="宋体" w:cs="宋体"/>
          <w:color w:val="auto"/>
          <w:sz w:val="22"/>
          <w:szCs w:val="22"/>
          <w:highlight w:val="none"/>
        </w:rPr>
        <w:t>；</w:t>
      </w:r>
    </w:p>
    <w:p w14:paraId="4042CEFB">
      <w:pPr>
        <w:pStyle w:val="10"/>
        <w:spacing w:line="520" w:lineRule="exact"/>
        <w:ind w:left="2" w:firstLine="563" w:firstLineChars="256"/>
        <w:rPr>
          <w:rFonts w:hint="eastAsia" w:hAnsi="宋体" w:cs="宋体"/>
          <w:color w:val="auto"/>
          <w:sz w:val="22"/>
          <w:szCs w:val="22"/>
          <w:highlight w:val="none"/>
        </w:rPr>
      </w:pPr>
      <w:r>
        <w:rPr>
          <w:rFonts w:hint="eastAsia" w:hAnsi="宋体" w:cs="宋体"/>
          <w:color w:val="auto"/>
          <w:sz w:val="22"/>
          <w:szCs w:val="22"/>
          <w:highlight w:val="none"/>
        </w:rPr>
        <w:t>3. 同意提供按照贵方可能要求的与其谈判有关的一切数据或资料；</w:t>
      </w:r>
    </w:p>
    <w:p w14:paraId="7E8F7270">
      <w:pPr>
        <w:pStyle w:val="10"/>
        <w:spacing w:line="520" w:lineRule="exact"/>
        <w:ind w:firstLine="594" w:firstLineChars="270"/>
        <w:rPr>
          <w:rFonts w:hint="eastAsia" w:hAnsi="宋体" w:cs="宋体"/>
          <w:color w:val="auto"/>
          <w:sz w:val="22"/>
          <w:szCs w:val="22"/>
          <w:highlight w:val="none"/>
          <w:u w:val="single"/>
        </w:rPr>
      </w:pPr>
      <w:r>
        <w:rPr>
          <w:rFonts w:hint="eastAsia" w:hAnsi="宋体" w:cs="宋体"/>
          <w:color w:val="auto"/>
          <w:sz w:val="22"/>
          <w:szCs w:val="22"/>
          <w:highlight w:val="none"/>
        </w:rPr>
        <w:t>4. 与本谈判有关的一切正式往来信函请寄：</w:t>
      </w:r>
      <w:r>
        <w:rPr>
          <w:rFonts w:hint="eastAsia" w:hAnsi="宋体" w:cs="宋体"/>
          <w:color w:val="auto"/>
          <w:sz w:val="22"/>
          <w:szCs w:val="22"/>
          <w:highlight w:val="none"/>
          <w:u w:val="single"/>
        </w:rPr>
        <w:t xml:space="preserve">                       </w:t>
      </w:r>
    </w:p>
    <w:p w14:paraId="7AEF6E15">
      <w:pPr>
        <w:pStyle w:val="10"/>
        <w:spacing w:line="520" w:lineRule="exact"/>
        <w:ind w:firstLine="840"/>
        <w:rPr>
          <w:rFonts w:hint="eastAsia" w:hAnsi="宋体" w:cs="宋体"/>
          <w:color w:val="auto"/>
          <w:sz w:val="22"/>
          <w:szCs w:val="22"/>
          <w:highlight w:val="none"/>
          <w:u w:val="single"/>
        </w:rPr>
      </w:pPr>
      <w:r>
        <w:rPr>
          <w:rFonts w:hint="eastAsia" w:hAnsi="宋体" w:cs="宋体"/>
          <w:color w:val="auto"/>
          <w:sz w:val="22"/>
          <w:szCs w:val="22"/>
          <w:highlight w:val="none"/>
        </w:rPr>
        <w:t>开户银行：</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 xml:space="preserve">  帐号/行号：</w:t>
      </w:r>
      <w:r>
        <w:rPr>
          <w:rFonts w:hint="eastAsia" w:hAnsi="宋体" w:cs="宋体"/>
          <w:color w:val="auto"/>
          <w:sz w:val="22"/>
          <w:szCs w:val="22"/>
          <w:highlight w:val="none"/>
          <w:u w:val="single"/>
        </w:rPr>
        <w:t xml:space="preserve">        </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u w:val="single"/>
        </w:rPr>
        <w:t xml:space="preserve">  </w:t>
      </w:r>
    </w:p>
    <w:p w14:paraId="31571C70">
      <w:pPr>
        <w:pStyle w:val="10"/>
        <w:spacing w:line="520" w:lineRule="exact"/>
        <w:ind w:firstLine="840"/>
        <w:rPr>
          <w:rFonts w:hint="eastAsia" w:hAnsi="宋体" w:cs="宋体"/>
          <w:color w:val="auto"/>
          <w:sz w:val="22"/>
          <w:szCs w:val="22"/>
          <w:highlight w:val="none"/>
        </w:rPr>
      </w:pPr>
      <w:r>
        <w:rPr>
          <w:rFonts w:hint="eastAsia" w:hAnsi="宋体" w:cs="宋体"/>
          <w:color w:val="auto"/>
          <w:sz w:val="22"/>
          <w:szCs w:val="22"/>
          <w:highlight w:val="none"/>
        </w:rPr>
        <w:t>电话/传真：</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 xml:space="preserve"> </w:t>
      </w:r>
      <w:r>
        <w:rPr>
          <w:rFonts w:hint="eastAsia" w:hAnsi="宋体" w:cs="宋体"/>
          <w:color w:val="auto"/>
          <w:sz w:val="22"/>
          <w:szCs w:val="22"/>
          <w:highlight w:val="none"/>
          <w:lang w:val="en-US" w:eastAsia="zh-CN"/>
        </w:rPr>
        <w:t xml:space="preserve"> </w:t>
      </w:r>
      <w:r>
        <w:rPr>
          <w:rFonts w:hint="eastAsia" w:hAnsi="宋体" w:cs="宋体"/>
          <w:color w:val="auto"/>
          <w:sz w:val="22"/>
          <w:szCs w:val="22"/>
          <w:highlight w:val="none"/>
        </w:rPr>
        <w:t>电子函件：</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 xml:space="preserve">              </w:t>
      </w:r>
    </w:p>
    <w:p w14:paraId="6D175CA1">
      <w:pPr>
        <w:pStyle w:val="10"/>
        <w:spacing w:line="520" w:lineRule="exact"/>
        <w:ind w:firstLine="840"/>
        <w:rPr>
          <w:rFonts w:hint="eastAsia" w:hAnsi="宋体" w:cs="宋体"/>
          <w:color w:val="auto"/>
          <w:sz w:val="22"/>
          <w:szCs w:val="22"/>
          <w:highlight w:val="none"/>
          <w:u w:val="single"/>
        </w:rPr>
      </w:pPr>
      <w:r>
        <w:rPr>
          <w:rFonts w:hint="eastAsia" w:hAnsi="宋体" w:cs="宋体"/>
          <w:color w:val="auto"/>
          <w:sz w:val="22"/>
          <w:szCs w:val="22"/>
          <w:highlight w:val="none"/>
        </w:rPr>
        <w:t>日期：</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年</w:t>
      </w:r>
      <w:r>
        <w:rPr>
          <w:rFonts w:hint="eastAsia" w:hAnsi="宋体" w:cs="宋体"/>
          <w:color w:val="auto"/>
          <w:sz w:val="22"/>
          <w:szCs w:val="22"/>
          <w:highlight w:val="none"/>
          <w:u w:val="single"/>
        </w:rPr>
        <w:t xml:space="preserve"> </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月</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日</w:t>
      </w:r>
    </w:p>
    <w:p w14:paraId="4BF07C5B">
      <w:pPr>
        <w:pStyle w:val="10"/>
        <w:spacing w:line="520" w:lineRule="exact"/>
        <w:ind w:firstLine="840"/>
        <w:rPr>
          <w:rFonts w:hint="eastAsia" w:hAnsi="宋体" w:cs="宋体"/>
          <w:color w:val="auto"/>
          <w:sz w:val="22"/>
          <w:szCs w:val="22"/>
          <w:highlight w:val="none"/>
          <w:u w:val="single"/>
        </w:rPr>
      </w:pPr>
      <w:r>
        <w:rPr>
          <w:rFonts w:hint="eastAsia" w:hAnsi="宋体" w:cs="宋体"/>
          <w:color w:val="auto"/>
          <w:sz w:val="22"/>
          <w:szCs w:val="22"/>
          <w:highlight w:val="none"/>
        </w:rPr>
        <w:t>法定代表人或委托代理人（被授权人）签字：</w:t>
      </w:r>
      <w:r>
        <w:rPr>
          <w:rFonts w:hint="eastAsia" w:hAnsi="宋体" w:cs="宋体"/>
          <w:color w:val="auto"/>
          <w:sz w:val="22"/>
          <w:szCs w:val="22"/>
          <w:highlight w:val="none"/>
          <w:u w:val="single"/>
        </w:rPr>
        <w:t xml:space="preserve">                    </w:t>
      </w:r>
    </w:p>
    <w:p w14:paraId="3BECCBB0">
      <w:pPr>
        <w:pStyle w:val="10"/>
        <w:spacing w:line="520" w:lineRule="exact"/>
        <w:ind w:firstLine="840"/>
        <w:rPr>
          <w:rFonts w:hint="eastAsia" w:hAnsi="宋体" w:cs="宋体"/>
          <w:color w:val="auto"/>
          <w:sz w:val="22"/>
          <w:szCs w:val="22"/>
          <w:highlight w:val="none"/>
        </w:rPr>
      </w:pPr>
      <w:r>
        <w:rPr>
          <w:rFonts w:hint="eastAsia" w:hAnsi="宋体" w:cs="宋体"/>
          <w:color w:val="auto"/>
          <w:sz w:val="22"/>
          <w:szCs w:val="22"/>
          <w:highlight w:val="none"/>
        </w:rPr>
        <w:t>谈判供应商名称（盖章）：</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 xml:space="preserve">                           </w:t>
      </w:r>
    </w:p>
    <w:p w14:paraId="5AC29466">
      <w:pPr>
        <w:pStyle w:val="10"/>
        <w:spacing w:line="520" w:lineRule="exact"/>
        <w:ind w:firstLine="840"/>
        <w:rPr>
          <w:rFonts w:hint="eastAsia" w:hAnsi="宋体" w:cs="宋体"/>
          <w:color w:val="auto"/>
          <w:sz w:val="22"/>
          <w:szCs w:val="22"/>
          <w:highlight w:val="none"/>
        </w:rPr>
      </w:pPr>
      <w:r>
        <w:rPr>
          <w:rFonts w:hint="eastAsia" w:hAnsi="宋体" w:cs="宋体"/>
          <w:color w:val="auto"/>
          <w:sz w:val="22"/>
          <w:szCs w:val="22"/>
          <w:highlight w:val="none"/>
        </w:rPr>
        <w:t xml:space="preserve">                     </w:t>
      </w:r>
    </w:p>
    <w:p w14:paraId="307FDDB0">
      <w:pPr>
        <w:adjustRightInd w:val="0"/>
        <w:snapToGrid w:val="0"/>
        <w:spacing w:line="300" w:lineRule="auto"/>
        <w:rPr>
          <w:rFonts w:hint="eastAsia" w:ascii="宋体" w:hAnsi="宋体" w:cs="宋体"/>
          <w:color w:val="auto"/>
          <w:szCs w:val="21"/>
          <w:highlight w:val="none"/>
        </w:rPr>
      </w:pPr>
      <w:r>
        <w:rPr>
          <w:rFonts w:hint="eastAsia" w:ascii="宋体" w:hAnsi="宋体" w:cs="宋体"/>
          <w:color w:val="auto"/>
          <w:szCs w:val="21"/>
          <w:highlight w:val="none"/>
        </w:rPr>
        <w:br w:type="page"/>
      </w:r>
    </w:p>
    <w:p w14:paraId="1F698DCB">
      <w:pPr>
        <w:adjustRightInd w:val="0"/>
        <w:snapToGrid w:val="0"/>
        <w:spacing w:line="300" w:lineRule="auto"/>
        <w:rPr>
          <w:rFonts w:hint="eastAsia" w:ascii="宋体" w:hAnsi="宋体" w:cs="宋体"/>
          <w:b/>
          <w:color w:val="auto"/>
          <w:szCs w:val="21"/>
          <w:highlight w:val="none"/>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xml:space="preserve">  </w:t>
      </w:r>
    </w:p>
    <w:p w14:paraId="0F3C36AF">
      <w:pPr>
        <w:spacing w:line="300" w:lineRule="auto"/>
        <w:rPr>
          <w:rFonts w:hint="eastAsia" w:ascii="宋体" w:hAnsi="宋体" w:cs="宋体"/>
          <w:b/>
          <w:color w:val="auto"/>
          <w:szCs w:val="21"/>
          <w:highlight w:val="none"/>
        </w:rPr>
      </w:pPr>
    </w:p>
    <w:p w14:paraId="3AF33EA6">
      <w:pPr>
        <w:spacing w:line="30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商务、技术响应、偏离情况说明表</w:t>
      </w:r>
    </w:p>
    <w:p w14:paraId="293C724E">
      <w:pPr>
        <w:spacing w:line="300" w:lineRule="auto"/>
        <w:rPr>
          <w:rFonts w:hint="eastAsia" w:ascii="宋体" w:hAnsi="宋体" w:cs="宋体"/>
          <w:color w:val="auto"/>
          <w:szCs w:val="21"/>
          <w:highlight w:val="none"/>
        </w:rPr>
      </w:pPr>
    </w:p>
    <w:p w14:paraId="76236899">
      <w:pPr>
        <w:spacing w:before="156" w:beforeLines="50" w:after="156" w:afterLines="50"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u w:val="single"/>
        </w:rPr>
        <w:t xml:space="preserve">                 </w:t>
      </w:r>
    </w:p>
    <w:p w14:paraId="56A75EB1">
      <w:pPr>
        <w:spacing w:before="156" w:beforeLines="50" w:after="156" w:afterLines="50"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56CD83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606" w:type="dxa"/>
            <w:noWrap w:val="0"/>
            <w:vAlign w:val="center"/>
          </w:tcPr>
          <w:p w14:paraId="089B0E30">
            <w:pPr>
              <w:jc w:val="center"/>
              <w:rPr>
                <w:rFonts w:hint="eastAsia" w:ascii="宋体" w:hAnsi="宋体" w:eastAsia="宋体" w:cs="宋体"/>
                <w:color w:val="auto"/>
                <w:sz w:val="22"/>
                <w:szCs w:val="22"/>
                <w:highlight w:val="none"/>
              </w:rPr>
            </w:pPr>
            <w:bookmarkStart w:id="35" w:name="_Toc254970588"/>
            <w:bookmarkStart w:id="36" w:name="_Toc173211900"/>
            <w:bookmarkStart w:id="37" w:name="_Toc405905876"/>
            <w:bookmarkStart w:id="38" w:name="_Toc19444"/>
            <w:bookmarkStart w:id="39" w:name="_Toc173066401"/>
            <w:bookmarkStart w:id="40" w:name="_Toc254970729"/>
            <w:r>
              <w:rPr>
                <w:rFonts w:hint="eastAsia" w:ascii="宋体" w:hAnsi="宋体" w:eastAsia="宋体" w:cs="宋体"/>
                <w:color w:val="auto"/>
                <w:sz w:val="22"/>
                <w:szCs w:val="22"/>
                <w:highlight w:val="none"/>
              </w:rPr>
              <w:t>序号</w:t>
            </w:r>
            <w:bookmarkEnd w:id="35"/>
            <w:bookmarkEnd w:id="36"/>
            <w:bookmarkEnd w:id="37"/>
            <w:bookmarkEnd w:id="38"/>
            <w:bookmarkEnd w:id="39"/>
            <w:bookmarkEnd w:id="40"/>
          </w:p>
        </w:tc>
        <w:tc>
          <w:tcPr>
            <w:tcW w:w="2809" w:type="dxa"/>
            <w:noWrap w:val="0"/>
            <w:vAlign w:val="center"/>
          </w:tcPr>
          <w:p w14:paraId="58FB50F7">
            <w:pPr>
              <w:jc w:val="center"/>
              <w:rPr>
                <w:rFonts w:hint="eastAsia" w:ascii="宋体" w:hAnsi="宋体" w:eastAsia="宋体" w:cs="宋体"/>
                <w:color w:val="auto"/>
                <w:sz w:val="22"/>
                <w:szCs w:val="22"/>
                <w:highlight w:val="none"/>
              </w:rPr>
            </w:pPr>
            <w:bookmarkStart w:id="41" w:name="_Toc254970730"/>
            <w:bookmarkStart w:id="42" w:name="_Toc1063"/>
            <w:bookmarkStart w:id="43" w:name="_Toc405905877"/>
            <w:bookmarkStart w:id="44" w:name="_Toc254970589"/>
            <w:bookmarkStart w:id="45" w:name="_Toc173066402"/>
            <w:bookmarkStart w:id="46" w:name="_Toc173211901"/>
            <w:r>
              <w:rPr>
                <w:rFonts w:hint="eastAsia" w:ascii="宋体" w:hAnsi="宋体" w:eastAsia="宋体" w:cs="宋体"/>
                <w:color w:val="auto"/>
                <w:sz w:val="22"/>
                <w:szCs w:val="22"/>
                <w:highlight w:val="none"/>
              </w:rPr>
              <w:t>竞争性谈判文件要求</w:t>
            </w:r>
            <w:bookmarkEnd w:id="41"/>
            <w:bookmarkEnd w:id="42"/>
            <w:bookmarkEnd w:id="43"/>
            <w:bookmarkEnd w:id="44"/>
            <w:bookmarkEnd w:id="45"/>
            <w:bookmarkEnd w:id="46"/>
          </w:p>
        </w:tc>
        <w:tc>
          <w:tcPr>
            <w:tcW w:w="2945" w:type="dxa"/>
            <w:noWrap w:val="0"/>
            <w:vAlign w:val="center"/>
          </w:tcPr>
          <w:p w14:paraId="7141E998">
            <w:pPr>
              <w:jc w:val="center"/>
              <w:rPr>
                <w:rFonts w:hint="eastAsia" w:ascii="宋体" w:hAnsi="宋体" w:eastAsia="宋体" w:cs="宋体"/>
                <w:color w:val="auto"/>
                <w:sz w:val="22"/>
                <w:szCs w:val="22"/>
                <w:highlight w:val="none"/>
              </w:rPr>
            </w:pPr>
            <w:bookmarkStart w:id="47" w:name="_Toc405905878"/>
            <w:bookmarkStart w:id="48" w:name="_Toc173066403"/>
            <w:bookmarkStart w:id="49" w:name="_Toc254970590"/>
            <w:bookmarkStart w:id="50" w:name="_Toc27805"/>
            <w:bookmarkStart w:id="51" w:name="_Toc254970731"/>
            <w:bookmarkStart w:id="52" w:name="_Toc173211902"/>
            <w:r>
              <w:rPr>
                <w:rFonts w:hint="eastAsia" w:ascii="宋体" w:hAnsi="宋体" w:eastAsia="宋体" w:cs="宋体"/>
                <w:color w:val="auto"/>
                <w:sz w:val="22"/>
                <w:szCs w:val="22"/>
                <w:highlight w:val="none"/>
              </w:rPr>
              <w:t>竞争性谈判响应文件具体响应</w:t>
            </w:r>
            <w:bookmarkEnd w:id="47"/>
            <w:bookmarkEnd w:id="48"/>
            <w:bookmarkEnd w:id="49"/>
            <w:bookmarkEnd w:id="50"/>
            <w:bookmarkEnd w:id="51"/>
            <w:bookmarkEnd w:id="52"/>
          </w:p>
        </w:tc>
        <w:tc>
          <w:tcPr>
            <w:tcW w:w="1464" w:type="dxa"/>
            <w:noWrap w:val="0"/>
            <w:vAlign w:val="center"/>
          </w:tcPr>
          <w:p w14:paraId="7CC2FF4C">
            <w:pPr>
              <w:jc w:val="center"/>
              <w:rPr>
                <w:rFonts w:hint="eastAsia" w:ascii="宋体" w:hAnsi="宋体" w:eastAsia="宋体" w:cs="宋体"/>
                <w:color w:val="auto"/>
                <w:sz w:val="22"/>
                <w:szCs w:val="22"/>
                <w:highlight w:val="none"/>
              </w:rPr>
            </w:pPr>
            <w:bookmarkStart w:id="53" w:name="_Toc405905879"/>
            <w:bookmarkStart w:id="54" w:name="_Toc173211903"/>
            <w:bookmarkStart w:id="55" w:name="_Toc173066404"/>
            <w:bookmarkStart w:id="56" w:name="_Toc254970591"/>
            <w:bookmarkStart w:id="57" w:name="_Toc25083"/>
            <w:bookmarkStart w:id="58" w:name="_Toc254970732"/>
            <w:r>
              <w:rPr>
                <w:rFonts w:hint="eastAsia" w:ascii="宋体" w:hAnsi="宋体" w:eastAsia="宋体" w:cs="宋体"/>
                <w:color w:val="auto"/>
                <w:sz w:val="22"/>
                <w:szCs w:val="22"/>
                <w:highlight w:val="none"/>
              </w:rPr>
              <w:t>响应/偏离</w:t>
            </w:r>
            <w:bookmarkEnd w:id="53"/>
            <w:bookmarkEnd w:id="54"/>
            <w:bookmarkEnd w:id="55"/>
            <w:bookmarkEnd w:id="56"/>
            <w:bookmarkEnd w:id="57"/>
            <w:bookmarkEnd w:id="58"/>
          </w:p>
        </w:tc>
        <w:tc>
          <w:tcPr>
            <w:tcW w:w="1361" w:type="dxa"/>
            <w:noWrap w:val="0"/>
            <w:vAlign w:val="center"/>
          </w:tcPr>
          <w:p w14:paraId="727411F7">
            <w:pPr>
              <w:jc w:val="center"/>
              <w:rPr>
                <w:rFonts w:hint="eastAsia" w:ascii="宋体" w:hAnsi="宋体" w:eastAsia="宋体" w:cs="宋体"/>
                <w:color w:val="auto"/>
                <w:sz w:val="22"/>
                <w:szCs w:val="22"/>
                <w:highlight w:val="none"/>
              </w:rPr>
            </w:pPr>
            <w:bookmarkStart w:id="59" w:name="_Toc254970592"/>
            <w:bookmarkStart w:id="60" w:name="_Toc254970733"/>
            <w:bookmarkStart w:id="61" w:name="_Toc173066405"/>
            <w:bookmarkStart w:id="62" w:name="_Toc173211904"/>
            <w:bookmarkStart w:id="63" w:name="_Toc405905880"/>
            <w:bookmarkStart w:id="64" w:name="_Toc4047"/>
            <w:r>
              <w:rPr>
                <w:rFonts w:hint="eastAsia" w:ascii="宋体" w:hAnsi="宋体" w:eastAsia="宋体" w:cs="宋体"/>
                <w:color w:val="auto"/>
                <w:sz w:val="22"/>
                <w:szCs w:val="22"/>
                <w:highlight w:val="none"/>
              </w:rPr>
              <w:t>说明</w:t>
            </w:r>
            <w:bookmarkEnd w:id="59"/>
            <w:bookmarkEnd w:id="60"/>
            <w:bookmarkEnd w:id="61"/>
            <w:bookmarkEnd w:id="62"/>
            <w:bookmarkEnd w:id="63"/>
            <w:bookmarkEnd w:id="64"/>
          </w:p>
        </w:tc>
      </w:tr>
      <w:tr w14:paraId="719C15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noWrap w:val="0"/>
            <w:vAlign w:val="center"/>
          </w:tcPr>
          <w:p w14:paraId="627531CA">
            <w:pPr>
              <w:jc w:val="center"/>
              <w:rPr>
                <w:rFonts w:hint="eastAsia" w:ascii="宋体" w:hAnsi="宋体" w:eastAsia="宋体" w:cs="宋体"/>
                <w:color w:val="auto"/>
                <w:sz w:val="22"/>
                <w:szCs w:val="22"/>
                <w:highlight w:val="none"/>
              </w:rPr>
            </w:pPr>
            <w:bookmarkStart w:id="65" w:name="_Toc19963"/>
            <w:bookmarkStart w:id="66" w:name="_Toc405905881"/>
            <w:r>
              <w:rPr>
                <w:rFonts w:hint="eastAsia" w:ascii="宋体" w:hAnsi="宋体" w:eastAsia="宋体" w:cs="宋体"/>
                <w:color w:val="auto"/>
                <w:sz w:val="22"/>
                <w:szCs w:val="22"/>
                <w:highlight w:val="none"/>
              </w:rPr>
              <w:t>商务部分</w:t>
            </w:r>
            <w:bookmarkEnd w:id="65"/>
            <w:bookmarkEnd w:id="66"/>
          </w:p>
        </w:tc>
      </w:tr>
      <w:tr w14:paraId="2AE3F6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24F9380B">
            <w:pPr>
              <w:jc w:val="center"/>
              <w:rPr>
                <w:rFonts w:hint="eastAsia" w:ascii="宋体" w:hAnsi="宋体" w:eastAsia="宋体" w:cs="宋体"/>
                <w:color w:val="auto"/>
                <w:sz w:val="22"/>
                <w:szCs w:val="22"/>
                <w:highlight w:val="none"/>
              </w:rPr>
            </w:pPr>
            <w:bookmarkStart w:id="67" w:name="_Toc173066406"/>
            <w:bookmarkStart w:id="68" w:name="_Toc254970734"/>
            <w:bookmarkStart w:id="69" w:name="_Toc405905882"/>
            <w:bookmarkStart w:id="70" w:name="_Toc173211905"/>
            <w:bookmarkStart w:id="71" w:name="_Toc10288"/>
            <w:bookmarkStart w:id="72" w:name="_Toc254970593"/>
            <w:r>
              <w:rPr>
                <w:rFonts w:hint="eastAsia" w:ascii="宋体" w:hAnsi="宋体" w:eastAsia="宋体" w:cs="宋体"/>
                <w:color w:val="auto"/>
                <w:sz w:val="22"/>
                <w:szCs w:val="22"/>
                <w:highlight w:val="none"/>
              </w:rPr>
              <w:t>1</w:t>
            </w:r>
            <w:bookmarkEnd w:id="67"/>
            <w:bookmarkEnd w:id="68"/>
            <w:bookmarkEnd w:id="69"/>
            <w:bookmarkEnd w:id="70"/>
            <w:bookmarkEnd w:id="71"/>
            <w:bookmarkEnd w:id="72"/>
          </w:p>
        </w:tc>
        <w:tc>
          <w:tcPr>
            <w:tcW w:w="2809" w:type="dxa"/>
            <w:noWrap w:val="0"/>
            <w:vAlign w:val="center"/>
          </w:tcPr>
          <w:p w14:paraId="2ED33682">
            <w:pPr>
              <w:jc w:val="center"/>
              <w:rPr>
                <w:rFonts w:hint="eastAsia" w:ascii="宋体" w:hAnsi="宋体" w:eastAsia="宋体" w:cs="宋体"/>
                <w:color w:val="auto"/>
                <w:sz w:val="22"/>
                <w:szCs w:val="22"/>
                <w:highlight w:val="none"/>
              </w:rPr>
            </w:pPr>
          </w:p>
        </w:tc>
        <w:tc>
          <w:tcPr>
            <w:tcW w:w="2945" w:type="dxa"/>
            <w:noWrap w:val="0"/>
            <w:vAlign w:val="center"/>
          </w:tcPr>
          <w:p w14:paraId="1CECAE40">
            <w:pPr>
              <w:jc w:val="center"/>
              <w:rPr>
                <w:rFonts w:hint="eastAsia" w:ascii="宋体" w:hAnsi="宋体" w:eastAsia="宋体" w:cs="宋体"/>
                <w:color w:val="auto"/>
                <w:sz w:val="22"/>
                <w:szCs w:val="22"/>
                <w:highlight w:val="none"/>
              </w:rPr>
            </w:pPr>
          </w:p>
        </w:tc>
        <w:tc>
          <w:tcPr>
            <w:tcW w:w="1464" w:type="dxa"/>
            <w:noWrap w:val="0"/>
            <w:vAlign w:val="center"/>
          </w:tcPr>
          <w:p w14:paraId="32E2DD85">
            <w:pPr>
              <w:jc w:val="center"/>
              <w:rPr>
                <w:rFonts w:hint="eastAsia" w:ascii="宋体" w:hAnsi="宋体" w:eastAsia="宋体" w:cs="宋体"/>
                <w:color w:val="auto"/>
                <w:sz w:val="22"/>
                <w:szCs w:val="22"/>
                <w:highlight w:val="none"/>
              </w:rPr>
            </w:pPr>
          </w:p>
        </w:tc>
        <w:tc>
          <w:tcPr>
            <w:tcW w:w="1361" w:type="dxa"/>
            <w:noWrap w:val="0"/>
            <w:vAlign w:val="center"/>
          </w:tcPr>
          <w:p w14:paraId="0881D108">
            <w:pPr>
              <w:jc w:val="center"/>
              <w:rPr>
                <w:rFonts w:hint="eastAsia" w:ascii="宋体" w:hAnsi="宋体" w:eastAsia="宋体" w:cs="宋体"/>
                <w:color w:val="auto"/>
                <w:sz w:val="22"/>
                <w:szCs w:val="22"/>
                <w:highlight w:val="none"/>
              </w:rPr>
            </w:pPr>
          </w:p>
        </w:tc>
      </w:tr>
      <w:tr w14:paraId="78A20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4BD81CFA">
            <w:pPr>
              <w:jc w:val="center"/>
              <w:rPr>
                <w:rFonts w:hint="eastAsia" w:ascii="宋体" w:hAnsi="宋体" w:eastAsia="宋体" w:cs="宋体"/>
                <w:color w:val="auto"/>
                <w:sz w:val="22"/>
                <w:szCs w:val="22"/>
                <w:highlight w:val="none"/>
              </w:rPr>
            </w:pPr>
            <w:bookmarkStart w:id="73" w:name="_Toc254970735"/>
            <w:bookmarkStart w:id="74" w:name="_Toc254970594"/>
            <w:bookmarkStart w:id="75" w:name="_Toc22610"/>
            <w:bookmarkStart w:id="76" w:name="_Toc173066407"/>
            <w:bookmarkStart w:id="77" w:name="_Toc173211906"/>
            <w:bookmarkStart w:id="78" w:name="_Toc405905883"/>
            <w:r>
              <w:rPr>
                <w:rFonts w:hint="eastAsia" w:ascii="宋体" w:hAnsi="宋体" w:eastAsia="宋体" w:cs="宋体"/>
                <w:color w:val="auto"/>
                <w:sz w:val="22"/>
                <w:szCs w:val="22"/>
                <w:highlight w:val="none"/>
              </w:rPr>
              <w:t>2</w:t>
            </w:r>
            <w:bookmarkEnd w:id="73"/>
            <w:bookmarkEnd w:id="74"/>
            <w:bookmarkEnd w:id="75"/>
            <w:bookmarkEnd w:id="76"/>
            <w:bookmarkEnd w:id="77"/>
            <w:bookmarkEnd w:id="78"/>
          </w:p>
        </w:tc>
        <w:tc>
          <w:tcPr>
            <w:tcW w:w="2809" w:type="dxa"/>
            <w:noWrap w:val="0"/>
            <w:vAlign w:val="center"/>
          </w:tcPr>
          <w:p w14:paraId="5BB871EE">
            <w:pPr>
              <w:jc w:val="center"/>
              <w:rPr>
                <w:rFonts w:hint="eastAsia" w:ascii="宋体" w:hAnsi="宋体" w:eastAsia="宋体" w:cs="宋体"/>
                <w:color w:val="auto"/>
                <w:sz w:val="22"/>
                <w:szCs w:val="22"/>
                <w:highlight w:val="none"/>
              </w:rPr>
            </w:pPr>
          </w:p>
        </w:tc>
        <w:tc>
          <w:tcPr>
            <w:tcW w:w="2945" w:type="dxa"/>
            <w:noWrap w:val="0"/>
            <w:vAlign w:val="center"/>
          </w:tcPr>
          <w:p w14:paraId="660ABD61">
            <w:pPr>
              <w:jc w:val="center"/>
              <w:rPr>
                <w:rFonts w:hint="eastAsia" w:ascii="宋体" w:hAnsi="宋体" w:eastAsia="宋体" w:cs="宋体"/>
                <w:color w:val="auto"/>
                <w:sz w:val="22"/>
                <w:szCs w:val="22"/>
                <w:highlight w:val="none"/>
              </w:rPr>
            </w:pPr>
          </w:p>
        </w:tc>
        <w:tc>
          <w:tcPr>
            <w:tcW w:w="1464" w:type="dxa"/>
            <w:noWrap w:val="0"/>
            <w:vAlign w:val="center"/>
          </w:tcPr>
          <w:p w14:paraId="54BBE05A">
            <w:pPr>
              <w:jc w:val="center"/>
              <w:rPr>
                <w:rFonts w:hint="eastAsia" w:ascii="宋体" w:hAnsi="宋体" w:eastAsia="宋体" w:cs="宋体"/>
                <w:color w:val="auto"/>
                <w:sz w:val="22"/>
                <w:szCs w:val="22"/>
                <w:highlight w:val="none"/>
              </w:rPr>
            </w:pPr>
          </w:p>
        </w:tc>
        <w:tc>
          <w:tcPr>
            <w:tcW w:w="1361" w:type="dxa"/>
            <w:noWrap w:val="0"/>
            <w:vAlign w:val="center"/>
          </w:tcPr>
          <w:p w14:paraId="26B85FDF">
            <w:pPr>
              <w:jc w:val="center"/>
              <w:rPr>
                <w:rFonts w:hint="eastAsia" w:ascii="宋体" w:hAnsi="宋体" w:eastAsia="宋体" w:cs="宋体"/>
                <w:color w:val="auto"/>
                <w:sz w:val="22"/>
                <w:szCs w:val="22"/>
                <w:highlight w:val="none"/>
              </w:rPr>
            </w:pPr>
          </w:p>
        </w:tc>
      </w:tr>
      <w:tr w14:paraId="50436D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6DF1AE1A">
            <w:pPr>
              <w:jc w:val="center"/>
              <w:rPr>
                <w:rFonts w:hint="eastAsia" w:ascii="宋体" w:hAnsi="宋体" w:eastAsia="宋体" w:cs="宋体"/>
                <w:color w:val="auto"/>
                <w:sz w:val="22"/>
                <w:szCs w:val="22"/>
                <w:highlight w:val="none"/>
              </w:rPr>
            </w:pPr>
            <w:bookmarkStart w:id="79" w:name="_Toc21722"/>
            <w:bookmarkStart w:id="80" w:name="_Toc173211907"/>
            <w:bookmarkStart w:id="81" w:name="_Toc405905884"/>
            <w:bookmarkStart w:id="82" w:name="_Toc173066408"/>
            <w:bookmarkStart w:id="83" w:name="_Toc254970595"/>
            <w:bookmarkStart w:id="84" w:name="_Toc254970736"/>
            <w:r>
              <w:rPr>
                <w:rFonts w:hint="eastAsia" w:ascii="宋体" w:hAnsi="宋体" w:eastAsia="宋体" w:cs="宋体"/>
                <w:color w:val="auto"/>
                <w:sz w:val="22"/>
                <w:szCs w:val="22"/>
                <w:highlight w:val="none"/>
              </w:rPr>
              <w:t>3</w:t>
            </w:r>
            <w:bookmarkEnd w:id="79"/>
            <w:bookmarkEnd w:id="80"/>
            <w:bookmarkEnd w:id="81"/>
            <w:bookmarkEnd w:id="82"/>
            <w:bookmarkEnd w:id="83"/>
            <w:bookmarkEnd w:id="84"/>
          </w:p>
        </w:tc>
        <w:tc>
          <w:tcPr>
            <w:tcW w:w="2809" w:type="dxa"/>
            <w:noWrap w:val="0"/>
            <w:vAlign w:val="center"/>
          </w:tcPr>
          <w:p w14:paraId="35793B04">
            <w:pPr>
              <w:jc w:val="center"/>
              <w:rPr>
                <w:rFonts w:hint="eastAsia" w:ascii="宋体" w:hAnsi="宋体" w:eastAsia="宋体" w:cs="宋体"/>
                <w:color w:val="auto"/>
                <w:sz w:val="22"/>
                <w:szCs w:val="22"/>
                <w:highlight w:val="none"/>
              </w:rPr>
            </w:pPr>
          </w:p>
        </w:tc>
        <w:tc>
          <w:tcPr>
            <w:tcW w:w="2945" w:type="dxa"/>
            <w:noWrap w:val="0"/>
            <w:vAlign w:val="center"/>
          </w:tcPr>
          <w:p w14:paraId="116E33B2">
            <w:pPr>
              <w:jc w:val="center"/>
              <w:rPr>
                <w:rFonts w:hint="eastAsia" w:ascii="宋体" w:hAnsi="宋体" w:eastAsia="宋体" w:cs="宋体"/>
                <w:color w:val="auto"/>
                <w:sz w:val="22"/>
                <w:szCs w:val="22"/>
                <w:highlight w:val="none"/>
              </w:rPr>
            </w:pPr>
          </w:p>
        </w:tc>
        <w:tc>
          <w:tcPr>
            <w:tcW w:w="1464" w:type="dxa"/>
            <w:noWrap w:val="0"/>
            <w:vAlign w:val="center"/>
          </w:tcPr>
          <w:p w14:paraId="111B9C68">
            <w:pPr>
              <w:jc w:val="center"/>
              <w:rPr>
                <w:rFonts w:hint="eastAsia" w:ascii="宋体" w:hAnsi="宋体" w:eastAsia="宋体" w:cs="宋体"/>
                <w:color w:val="auto"/>
                <w:sz w:val="22"/>
                <w:szCs w:val="22"/>
                <w:highlight w:val="none"/>
              </w:rPr>
            </w:pPr>
          </w:p>
        </w:tc>
        <w:tc>
          <w:tcPr>
            <w:tcW w:w="1361" w:type="dxa"/>
            <w:noWrap w:val="0"/>
            <w:vAlign w:val="center"/>
          </w:tcPr>
          <w:p w14:paraId="7649D96D">
            <w:pPr>
              <w:jc w:val="center"/>
              <w:rPr>
                <w:rFonts w:hint="eastAsia" w:ascii="宋体" w:hAnsi="宋体" w:eastAsia="宋体" w:cs="宋体"/>
                <w:color w:val="auto"/>
                <w:sz w:val="22"/>
                <w:szCs w:val="22"/>
                <w:highlight w:val="none"/>
              </w:rPr>
            </w:pPr>
          </w:p>
        </w:tc>
      </w:tr>
      <w:tr w14:paraId="49843C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3C2CA754">
            <w:pPr>
              <w:jc w:val="center"/>
              <w:rPr>
                <w:rFonts w:hint="eastAsia" w:ascii="宋体" w:hAnsi="宋体" w:eastAsia="宋体" w:cs="宋体"/>
                <w:color w:val="auto"/>
                <w:sz w:val="22"/>
                <w:szCs w:val="22"/>
                <w:highlight w:val="none"/>
              </w:rPr>
            </w:pPr>
            <w:bookmarkStart w:id="85" w:name="_Toc7400"/>
            <w:bookmarkStart w:id="86" w:name="_Toc405905885"/>
            <w:r>
              <w:rPr>
                <w:rFonts w:hint="eastAsia" w:ascii="宋体" w:hAnsi="宋体" w:eastAsia="宋体" w:cs="宋体"/>
                <w:color w:val="auto"/>
                <w:sz w:val="22"/>
                <w:szCs w:val="22"/>
                <w:highlight w:val="none"/>
              </w:rPr>
              <w:t>…</w:t>
            </w:r>
            <w:bookmarkEnd w:id="85"/>
            <w:bookmarkEnd w:id="86"/>
          </w:p>
        </w:tc>
        <w:tc>
          <w:tcPr>
            <w:tcW w:w="2809" w:type="dxa"/>
            <w:noWrap w:val="0"/>
            <w:vAlign w:val="center"/>
          </w:tcPr>
          <w:p w14:paraId="1F8E4574">
            <w:pPr>
              <w:jc w:val="center"/>
              <w:rPr>
                <w:rFonts w:hint="eastAsia" w:ascii="宋体" w:hAnsi="宋体" w:eastAsia="宋体" w:cs="宋体"/>
                <w:color w:val="auto"/>
                <w:sz w:val="22"/>
                <w:szCs w:val="22"/>
                <w:highlight w:val="none"/>
              </w:rPr>
            </w:pPr>
          </w:p>
        </w:tc>
        <w:tc>
          <w:tcPr>
            <w:tcW w:w="2945" w:type="dxa"/>
            <w:noWrap w:val="0"/>
            <w:vAlign w:val="center"/>
          </w:tcPr>
          <w:p w14:paraId="3BF85069">
            <w:pPr>
              <w:jc w:val="center"/>
              <w:rPr>
                <w:rFonts w:hint="eastAsia" w:ascii="宋体" w:hAnsi="宋体" w:eastAsia="宋体" w:cs="宋体"/>
                <w:color w:val="auto"/>
                <w:sz w:val="22"/>
                <w:szCs w:val="22"/>
                <w:highlight w:val="none"/>
              </w:rPr>
            </w:pPr>
          </w:p>
        </w:tc>
        <w:tc>
          <w:tcPr>
            <w:tcW w:w="1464" w:type="dxa"/>
            <w:noWrap w:val="0"/>
            <w:vAlign w:val="center"/>
          </w:tcPr>
          <w:p w14:paraId="76B50116">
            <w:pPr>
              <w:jc w:val="center"/>
              <w:rPr>
                <w:rFonts w:hint="eastAsia" w:ascii="宋体" w:hAnsi="宋体" w:eastAsia="宋体" w:cs="宋体"/>
                <w:color w:val="auto"/>
                <w:sz w:val="22"/>
                <w:szCs w:val="22"/>
                <w:highlight w:val="none"/>
              </w:rPr>
            </w:pPr>
          </w:p>
        </w:tc>
        <w:tc>
          <w:tcPr>
            <w:tcW w:w="1361" w:type="dxa"/>
            <w:noWrap w:val="0"/>
            <w:vAlign w:val="center"/>
          </w:tcPr>
          <w:p w14:paraId="3FC39605">
            <w:pPr>
              <w:jc w:val="center"/>
              <w:rPr>
                <w:rFonts w:hint="eastAsia" w:ascii="宋体" w:hAnsi="宋体" w:eastAsia="宋体" w:cs="宋体"/>
                <w:color w:val="auto"/>
                <w:sz w:val="22"/>
                <w:szCs w:val="22"/>
                <w:highlight w:val="none"/>
              </w:rPr>
            </w:pPr>
          </w:p>
        </w:tc>
      </w:tr>
      <w:tr w14:paraId="369580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noWrap w:val="0"/>
            <w:vAlign w:val="center"/>
          </w:tcPr>
          <w:p w14:paraId="281C755C">
            <w:pPr>
              <w:jc w:val="center"/>
              <w:rPr>
                <w:rFonts w:hint="eastAsia" w:ascii="宋体" w:hAnsi="宋体" w:eastAsia="宋体" w:cs="宋体"/>
                <w:color w:val="auto"/>
                <w:sz w:val="22"/>
                <w:szCs w:val="22"/>
                <w:highlight w:val="none"/>
              </w:rPr>
            </w:pPr>
            <w:bookmarkStart w:id="87" w:name="_Toc405905886"/>
            <w:bookmarkStart w:id="88" w:name="_Toc7806"/>
            <w:r>
              <w:rPr>
                <w:rFonts w:hint="eastAsia" w:ascii="宋体" w:hAnsi="宋体" w:eastAsia="宋体" w:cs="宋体"/>
                <w:color w:val="auto"/>
                <w:sz w:val="22"/>
                <w:szCs w:val="22"/>
                <w:highlight w:val="none"/>
              </w:rPr>
              <w:t>技术部分</w:t>
            </w:r>
            <w:bookmarkEnd w:id="87"/>
            <w:bookmarkEnd w:id="88"/>
          </w:p>
        </w:tc>
      </w:tr>
      <w:tr w14:paraId="460D1B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42D28758">
            <w:pPr>
              <w:jc w:val="center"/>
              <w:rPr>
                <w:rFonts w:hint="eastAsia" w:ascii="宋体" w:hAnsi="宋体" w:eastAsia="宋体" w:cs="宋体"/>
                <w:color w:val="auto"/>
                <w:sz w:val="22"/>
                <w:szCs w:val="22"/>
                <w:highlight w:val="none"/>
              </w:rPr>
            </w:pPr>
            <w:bookmarkStart w:id="89" w:name="_Toc5226"/>
            <w:bookmarkStart w:id="90" w:name="_Toc405905887"/>
            <w:r>
              <w:rPr>
                <w:rFonts w:hint="eastAsia" w:ascii="宋体" w:hAnsi="宋体" w:eastAsia="宋体" w:cs="宋体"/>
                <w:color w:val="auto"/>
                <w:sz w:val="22"/>
                <w:szCs w:val="22"/>
                <w:highlight w:val="none"/>
              </w:rPr>
              <w:t>1</w:t>
            </w:r>
            <w:bookmarkEnd w:id="89"/>
            <w:bookmarkEnd w:id="90"/>
          </w:p>
        </w:tc>
        <w:tc>
          <w:tcPr>
            <w:tcW w:w="2809" w:type="dxa"/>
            <w:noWrap w:val="0"/>
            <w:vAlign w:val="center"/>
          </w:tcPr>
          <w:p w14:paraId="68EC1E3C">
            <w:pPr>
              <w:jc w:val="center"/>
              <w:rPr>
                <w:rFonts w:hint="eastAsia" w:ascii="宋体" w:hAnsi="宋体" w:eastAsia="宋体" w:cs="宋体"/>
                <w:color w:val="auto"/>
                <w:sz w:val="22"/>
                <w:szCs w:val="22"/>
                <w:highlight w:val="none"/>
              </w:rPr>
            </w:pPr>
          </w:p>
        </w:tc>
        <w:tc>
          <w:tcPr>
            <w:tcW w:w="2945" w:type="dxa"/>
            <w:noWrap w:val="0"/>
            <w:vAlign w:val="center"/>
          </w:tcPr>
          <w:p w14:paraId="0828F793">
            <w:pPr>
              <w:jc w:val="center"/>
              <w:rPr>
                <w:rFonts w:hint="eastAsia" w:ascii="宋体" w:hAnsi="宋体" w:eastAsia="宋体" w:cs="宋体"/>
                <w:color w:val="auto"/>
                <w:sz w:val="22"/>
                <w:szCs w:val="22"/>
                <w:highlight w:val="none"/>
              </w:rPr>
            </w:pPr>
          </w:p>
        </w:tc>
        <w:tc>
          <w:tcPr>
            <w:tcW w:w="1464" w:type="dxa"/>
            <w:noWrap w:val="0"/>
            <w:vAlign w:val="center"/>
          </w:tcPr>
          <w:p w14:paraId="2B97DC39">
            <w:pPr>
              <w:jc w:val="center"/>
              <w:rPr>
                <w:rFonts w:hint="eastAsia" w:ascii="宋体" w:hAnsi="宋体" w:eastAsia="宋体" w:cs="宋体"/>
                <w:color w:val="auto"/>
                <w:sz w:val="22"/>
                <w:szCs w:val="22"/>
                <w:highlight w:val="none"/>
              </w:rPr>
            </w:pPr>
          </w:p>
        </w:tc>
        <w:tc>
          <w:tcPr>
            <w:tcW w:w="1361" w:type="dxa"/>
            <w:noWrap w:val="0"/>
            <w:vAlign w:val="center"/>
          </w:tcPr>
          <w:p w14:paraId="4B43B7A0">
            <w:pPr>
              <w:jc w:val="center"/>
              <w:rPr>
                <w:rFonts w:hint="eastAsia" w:ascii="宋体" w:hAnsi="宋体" w:eastAsia="宋体" w:cs="宋体"/>
                <w:color w:val="auto"/>
                <w:sz w:val="22"/>
                <w:szCs w:val="22"/>
                <w:highlight w:val="none"/>
              </w:rPr>
            </w:pPr>
          </w:p>
        </w:tc>
      </w:tr>
      <w:tr w14:paraId="3A03DA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408739F0">
            <w:pPr>
              <w:jc w:val="center"/>
              <w:rPr>
                <w:rFonts w:hint="eastAsia" w:ascii="宋体" w:hAnsi="宋体" w:eastAsia="宋体" w:cs="宋体"/>
                <w:color w:val="auto"/>
                <w:sz w:val="22"/>
                <w:szCs w:val="22"/>
                <w:highlight w:val="none"/>
              </w:rPr>
            </w:pPr>
            <w:bookmarkStart w:id="91" w:name="_Toc27344"/>
            <w:bookmarkStart w:id="92" w:name="_Toc405905888"/>
            <w:r>
              <w:rPr>
                <w:rFonts w:hint="eastAsia" w:ascii="宋体" w:hAnsi="宋体" w:eastAsia="宋体" w:cs="宋体"/>
                <w:color w:val="auto"/>
                <w:sz w:val="22"/>
                <w:szCs w:val="22"/>
                <w:highlight w:val="none"/>
              </w:rPr>
              <w:t>2</w:t>
            </w:r>
            <w:bookmarkEnd w:id="91"/>
            <w:bookmarkEnd w:id="92"/>
          </w:p>
        </w:tc>
        <w:tc>
          <w:tcPr>
            <w:tcW w:w="2809" w:type="dxa"/>
            <w:noWrap w:val="0"/>
            <w:vAlign w:val="center"/>
          </w:tcPr>
          <w:p w14:paraId="0E9C9E06">
            <w:pPr>
              <w:jc w:val="center"/>
              <w:rPr>
                <w:rFonts w:hint="eastAsia" w:ascii="宋体" w:hAnsi="宋体" w:eastAsia="宋体" w:cs="宋体"/>
                <w:color w:val="auto"/>
                <w:sz w:val="22"/>
                <w:szCs w:val="22"/>
                <w:highlight w:val="none"/>
              </w:rPr>
            </w:pPr>
          </w:p>
        </w:tc>
        <w:tc>
          <w:tcPr>
            <w:tcW w:w="2945" w:type="dxa"/>
            <w:noWrap w:val="0"/>
            <w:vAlign w:val="center"/>
          </w:tcPr>
          <w:p w14:paraId="6775F569">
            <w:pPr>
              <w:jc w:val="center"/>
              <w:rPr>
                <w:rFonts w:hint="eastAsia" w:ascii="宋体" w:hAnsi="宋体" w:eastAsia="宋体" w:cs="宋体"/>
                <w:color w:val="auto"/>
                <w:sz w:val="22"/>
                <w:szCs w:val="22"/>
                <w:highlight w:val="none"/>
              </w:rPr>
            </w:pPr>
          </w:p>
        </w:tc>
        <w:tc>
          <w:tcPr>
            <w:tcW w:w="1464" w:type="dxa"/>
            <w:noWrap w:val="0"/>
            <w:vAlign w:val="center"/>
          </w:tcPr>
          <w:p w14:paraId="698E1274">
            <w:pPr>
              <w:jc w:val="center"/>
              <w:rPr>
                <w:rFonts w:hint="eastAsia" w:ascii="宋体" w:hAnsi="宋体" w:eastAsia="宋体" w:cs="宋体"/>
                <w:color w:val="auto"/>
                <w:sz w:val="22"/>
                <w:szCs w:val="22"/>
                <w:highlight w:val="none"/>
              </w:rPr>
            </w:pPr>
          </w:p>
        </w:tc>
        <w:tc>
          <w:tcPr>
            <w:tcW w:w="1361" w:type="dxa"/>
            <w:noWrap w:val="0"/>
            <w:vAlign w:val="center"/>
          </w:tcPr>
          <w:p w14:paraId="781C27B1">
            <w:pPr>
              <w:jc w:val="center"/>
              <w:rPr>
                <w:rFonts w:hint="eastAsia" w:ascii="宋体" w:hAnsi="宋体" w:eastAsia="宋体" w:cs="宋体"/>
                <w:color w:val="auto"/>
                <w:sz w:val="22"/>
                <w:szCs w:val="22"/>
                <w:highlight w:val="none"/>
              </w:rPr>
            </w:pPr>
          </w:p>
        </w:tc>
      </w:tr>
      <w:tr w14:paraId="7E0C99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6F7A4C6E">
            <w:pPr>
              <w:jc w:val="center"/>
              <w:rPr>
                <w:rFonts w:hint="eastAsia" w:ascii="宋体" w:hAnsi="宋体" w:eastAsia="宋体" w:cs="宋体"/>
                <w:color w:val="auto"/>
                <w:sz w:val="22"/>
                <w:szCs w:val="22"/>
                <w:highlight w:val="none"/>
              </w:rPr>
            </w:pPr>
            <w:bookmarkStart w:id="93" w:name="_Toc1677"/>
            <w:bookmarkStart w:id="94" w:name="_Toc405905889"/>
            <w:r>
              <w:rPr>
                <w:rFonts w:hint="eastAsia" w:ascii="宋体" w:hAnsi="宋体" w:eastAsia="宋体" w:cs="宋体"/>
                <w:color w:val="auto"/>
                <w:sz w:val="22"/>
                <w:szCs w:val="22"/>
                <w:highlight w:val="none"/>
              </w:rPr>
              <w:t>3</w:t>
            </w:r>
            <w:bookmarkEnd w:id="93"/>
            <w:bookmarkEnd w:id="94"/>
          </w:p>
        </w:tc>
        <w:tc>
          <w:tcPr>
            <w:tcW w:w="2809" w:type="dxa"/>
            <w:noWrap w:val="0"/>
            <w:vAlign w:val="center"/>
          </w:tcPr>
          <w:p w14:paraId="6B9F3584">
            <w:pPr>
              <w:jc w:val="center"/>
              <w:rPr>
                <w:rFonts w:hint="eastAsia" w:ascii="宋体" w:hAnsi="宋体" w:eastAsia="宋体" w:cs="宋体"/>
                <w:color w:val="auto"/>
                <w:sz w:val="22"/>
                <w:szCs w:val="22"/>
                <w:highlight w:val="none"/>
              </w:rPr>
            </w:pPr>
          </w:p>
        </w:tc>
        <w:tc>
          <w:tcPr>
            <w:tcW w:w="2945" w:type="dxa"/>
            <w:noWrap w:val="0"/>
            <w:vAlign w:val="center"/>
          </w:tcPr>
          <w:p w14:paraId="642E6862">
            <w:pPr>
              <w:jc w:val="center"/>
              <w:rPr>
                <w:rFonts w:hint="eastAsia" w:ascii="宋体" w:hAnsi="宋体" w:eastAsia="宋体" w:cs="宋体"/>
                <w:color w:val="auto"/>
                <w:sz w:val="22"/>
                <w:szCs w:val="22"/>
                <w:highlight w:val="none"/>
              </w:rPr>
            </w:pPr>
          </w:p>
        </w:tc>
        <w:tc>
          <w:tcPr>
            <w:tcW w:w="1464" w:type="dxa"/>
            <w:noWrap w:val="0"/>
            <w:vAlign w:val="center"/>
          </w:tcPr>
          <w:p w14:paraId="00CD622C">
            <w:pPr>
              <w:jc w:val="center"/>
              <w:rPr>
                <w:rFonts w:hint="eastAsia" w:ascii="宋体" w:hAnsi="宋体" w:eastAsia="宋体" w:cs="宋体"/>
                <w:color w:val="auto"/>
                <w:sz w:val="22"/>
                <w:szCs w:val="22"/>
                <w:highlight w:val="none"/>
              </w:rPr>
            </w:pPr>
          </w:p>
        </w:tc>
        <w:tc>
          <w:tcPr>
            <w:tcW w:w="1361" w:type="dxa"/>
            <w:noWrap w:val="0"/>
            <w:vAlign w:val="center"/>
          </w:tcPr>
          <w:p w14:paraId="243C2F81">
            <w:pPr>
              <w:jc w:val="center"/>
              <w:rPr>
                <w:rFonts w:hint="eastAsia" w:ascii="宋体" w:hAnsi="宋体" w:eastAsia="宋体" w:cs="宋体"/>
                <w:color w:val="auto"/>
                <w:sz w:val="22"/>
                <w:szCs w:val="22"/>
                <w:highlight w:val="none"/>
              </w:rPr>
            </w:pPr>
          </w:p>
        </w:tc>
      </w:tr>
      <w:tr w14:paraId="1C9C78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42CB5FE3">
            <w:pPr>
              <w:jc w:val="center"/>
              <w:rPr>
                <w:rFonts w:hint="eastAsia" w:ascii="宋体" w:hAnsi="宋体" w:eastAsia="宋体" w:cs="宋体"/>
                <w:color w:val="auto"/>
                <w:sz w:val="22"/>
                <w:szCs w:val="22"/>
                <w:highlight w:val="none"/>
              </w:rPr>
            </w:pPr>
            <w:bookmarkStart w:id="95" w:name="_Toc16441"/>
            <w:bookmarkStart w:id="96" w:name="_Toc405905890"/>
            <w:r>
              <w:rPr>
                <w:rFonts w:hint="eastAsia" w:ascii="宋体" w:hAnsi="宋体" w:eastAsia="宋体" w:cs="宋体"/>
                <w:color w:val="auto"/>
                <w:sz w:val="22"/>
                <w:szCs w:val="22"/>
                <w:highlight w:val="none"/>
              </w:rPr>
              <w:t>…</w:t>
            </w:r>
            <w:bookmarkEnd w:id="95"/>
            <w:bookmarkEnd w:id="96"/>
          </w:p>
        </w:tc>
        <w:tc>
          <w:tcPr>
            <w:tcW w:w="2809" w:type="dxa"/>
            <w:noWrap w:val="0"/>
            <w:vAlign w:val="center"/>
          </w:tcPr>
          <w:p w14:paraId="5594F20B">
            <w:pPr>
              <w:jc w:val="center"/>
              <w:rPr>
                <w:rFonts w:hint="eastAsia" w:ascii="宋体" w:hAnsi="宋体" w:eastAsia="宋体" w:cs="宋体"/>
                <w:color w:val="auto"/>
                <w:sz w:val="22"/>
                <w:szCs w:val="22"/>
                <w:highlight w:val="none"/>
              </w:rPr>
            </w:pPr>
          </w:p>
        </w:tc>
        <w:tc>
          <w:tcPr>
            <w:tcW w:w="2945" w:type="dxa"/>
            <w:noWrap w:val="0"/>
            <w:vAlign w:val="center"/>
          </w:tcPr>
          <w:p w14:paraId="054F763B">
            <w:pPr>
              <w:jc w:val="center"/>
              <w:rPr>
                <w:rFonts w:hint="eastAsia" w:ascii="宋体" w:hAnsi="宋体" w:eastAsia="宋体" w:cs="宋体"/>
                <w:color w:val="auto"/>
                <w:sz w:val="22"/>
                <w:szCs w:val="22"/>
                <w:highlight w:val="none"/>
              </w:rPr>
            </w:pPr>
          </w:p>
        </w:tc>
        <w:tc>
          <w:tcPr>
            <w:tcW w:w="1464" w:type="dxa"/>
            <w:tcBorders>
              <w:right w:val="single" w:color="auto" w:sz="4" w:space="0"/>
            </w:tcBorders>
            <w:noWrap w:val="0"/>
            <w:vAlign w:val="center"/>
          </w:tcPr>
          <w:p w14:paraId="2918A5AF">
            <w:pPr>
              <w:jc w:val="center"/>
              <w:rPr>
                <w:rFonts w:hint="eastAsia" w:ascii="宋体" w:hAnsi="宋体" w:eastAsia="宋体" w:cs="宋体"/>
                <w:color w:val="auto"/>
                <w:sz w:val="22"/>
                <w:szCs w:val="22"/>
                <w:highlight w:val="none"/>
              </w:rPr>
            </w:pPr>
          </w:p>
        </w:tc>
        <w:tc>
          <w:tcPr>
            <w:tcW w:w="1361" w:type="dxa"/>
            <w:tcBorders>
              <w:left w:val="single" w:color="auto" w:sz="4" w:space="0"/>
            </w:tcBorders>
            <w:noWrap w:val="0"/>
            <w:vAlign w:val="center"/>
          </w:tcPr>
          <w:p w14:paraId="73D947D9">
            <w:pPr>
              <w:jc w:val="center"/>
              <w:rPr>
                <w:rFonts w:hint="eastAsia" w:ascii="宋体" w:hAnsi="宋体" w:eastAsia="宋体" w:cs="宋体"/>
                <w:color w:val="auto"/>
                <w:sz w:val="22"/>
                <w:szCs w:val="22"/>
                <w:highlight w:val="none"/>
              </w:rPr>
            </w:pPr>
          </w:p>
        </w:tc>
      </w:tr>
    </w:tbl>
    <w:p w14:paraId="331A2FF7">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说明：1.应写明竞争性谈判响应文件对商务与技术要求的响应和偏离情况</w:t>
      </w:r>
      <w:r>
        <w:rPr>
          <w:rFonts w:hint="eastAsia" w:ascii="宋体" w:hAnsi="宋体" w:cs="宋体"/>
          <w:bCs/>
          <w:color w:val="auto"/>
          <w:sz w:val="22"/>
          <w:szCs w:val="22"/>
          <w:highlight w:val="none"/>
        </w:rPr>
        <w:t>；</w:t>
      </w:r>
    </w:p>
    <w:p w14:paraId="2703C466">
      <w:pPr>
        <w:pStyle w:val="9"/>
        <w:spacing w:line="3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14:paraId="37D06B5E">
      <w:pPr>
        <w:pStyle w:val="10"/>
        <w:spacing w:line="360" w:lineRule="exact"/>
        <w:rPr>
          <w:rFonts w:hint="eastAsia" w:hAnsi="宋体" w:cs="宋体"/>
          <w:color w:val="auto"/>
          <w:sz w:val="22"/>
          <w:szCs w:val="22"/>
          <w:highlight w:val="none"/>
        </w:rPr>
      </w:pPr>
    </w:p>
    <w:p w14:paraId="359E7586">
      <w:pPr>
        <w:pStyle w:val="10"/>
        <w:spacing w:line="360" w:lineRule="exact"/>
        <w:ind w:firstLine="4730" w:firstLineChars="2150"/>
        <w:rPr>
          <w:rFonts w:hint="eastAsia" w:hAnsi="宋体" w:cs="宋体"/>
          <w:color w:val="auto"/>
          <w:sz w:val="22"/>
          <w:szCs w:val="22"/>
          <w:highlight w:val="none"/>
        </w:rPr>
      </w:pPr>
      <w:r>
        <w:rPr>
          <w:rFonts w:hint="eastAsia" w:hAnsi="宋体" w:cs="宋体"/>
          <w:color w:val="auto"/>
          <w:sz w:val="22"/>
          <w:szCs w:val="22"/>
          <w:highlight w:val="none"/>
        </w:rPr>
        <w:t>法定代表人或委托代理人签字:</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 xml:space="preserve">  </w:t>
      </w:r>
    </w:p>
    <w:p w14:paraId="269F56D0">
      <w:pPr>
        <w:pStyle w:val="10"/>
        <w:spacing w:line="360" w:lineRule="exact"/>
        <w:ind w:firstLine="1540" w:firstLineChars="700"/>
        <w:rPr>
          <w:rFonts w:hint="eastAsia" w:hAnsi="宋体" w:cs="宋体"/>
          <w:color w:val="auto"/>
          <w:sz w:val="22"/>
          <w:szCs w:val="22"/>
          <w:highlight w:val="none"/>
        </w:rPr>
      </w:pPr>
    </w:p>
    <w:p w14:paraId="60C484EE">
      <w:pPr>
        <w:pStyle w:val="10"/>
        <w:spacing w:line="360" w:lineRule="exact"/>
        <w:ind w:firstLine="5940" w:firstLineChars="2700"/>
        <w:rPr>
          <w:rFonts w:hint="eastAsia" w:hAnsi="宋体" w:cs="宋体"/>
          <w:color w:val="auto"/>
          <w:sz w:val="22"/>
          <w:szCs w:val="22"/>
          <w:highlight w:val="none"/>
          <w:u w:val="single"/>
        </w:rPr>
      </w:pP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年</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月</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日</w:t>
      </w:r>
    </w:p>
    <w:p w14:paraId="5B1819DB">
      <w:pPr>
        <w:spacing w:line="300" w:lineRule="auto"/>
        <w:rPr>
          <w:rFonts w:hint="eastAsia" w:ascii="宋体" w:hAnsi="宋体" w:cs="宋体"/>
          <w:color w:val="auto"/>
          <w:sz w:val="22"/>
          <w:szCs w:val="22"/>
          <w:highlight w:val="none"/>
        </w:rPr>
      </w:pPr>
    </w:p>
    <w:p w14:paraId="6B91ED7D">
      <w:pPr>
        <w:spacing w:line="300" w:lineRule="auto"/>
        <w:rPr>
          <w:rFonts w:hint="eastAsia" w:ascii="宋体" w:hAnsi="宋体" w:cs="宋体"/>
          <w:color w:val="auto"/>
          <w:szCs w:val="21"/>
          <w:highlight w:val="none"/>
        </w:rPr>
      </w:pPr>
    </w:p>
    <w:p w14:paraId="16ED7E4F">
      <w:pPr>
        <w:spacing w:line="600" w:lineRule="exact"/>
        <w:rPr>
          <w:rFonts w:hint="eastAsia" w:ascii="宋体" w:hAnsi="宋体" w:cs="宋体" w:eastAsiaTheme="minorEastAsia"/>
          <w:b/>
          <w:color w:val="auto"/>
          <w:szCs w:val="21"/>
          <w:highlight w:val="none"/>
          <w:lang w:eastAsia="zh-CN"/>
        </w:rPr>
      </w:pPr>
      <w:r>
        <w:rPr>
          <w:rFonts w:hint="eastAsia" w:ascii="宋体" w:hAnsi="宋体" w:cs="宋体"/>
          <w:b/>
          <w:color w:val="auto"/>
          <w:szCs w:val="21"/>
          <w:highlight w:val="none"/>
        </w:rPr>
        <w:br w:type="page"/>
      </w: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5</w:t>
      </w:r>
    </w:p>
    <w:p w14:paraId="73E6E049">
      <w:pPr>
        <w:adjustRightInd w:val="0"/>
        <w:snapToGrid w:val="0"/>
        <w:spacing w:line="60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法定代表人授权委托书</w:t>
      </w:r>
    </w:p>
    <w:p w14:paraId="25775447">
      <w:pPr>
        <w:adjustRightInd w:val="0"/>
        <w:snapToGrid w:val="0"/>
        <w:spacing w:line="520" w:lineRule="exact"/>
        <w:rPr>
          <w:rFonts w:hint="eastAsia" w:ascii="宋体" w:hAnsi="宋体" w:cs="宋体"/>
          <w:color w:val="auto"/>
          <w:szCs w:val="21"/>
          <w:highlight w:val="none"/>
        </w:rPr>
      </w:pPr>
    </w:p>
    <w:p w14:paraId="4C5EAC19">
      <w:pPr>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采购代理机构名称</w:t>
      </w:r>
      <w:r>
        <w:rPr>
          <w:rFonts w:hint="eastAsia" w:ascii="宋体" w:hAnsi="宋体" w:cs="宋体"/>
          <w:color w:val="auto"/>
          <w:sz w:val="22"/>
          <w:szCs w:val="22"/>
          <w:highlight w:val="none"/>
        </w:rPr>
        <w:t>：</w:t>
      </w:r>
    </w:p>
    <w:p w14:paraId="6F73C5BB">
      <w:pPr>
        <w:spacing w:line="5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兹授权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同志为我公司参加贵单位组织的</w:t>
      </w:r>
      <w:r>
        <w:rPr>
          <w:rFonts w:hint="eastAsia" w:ascii="宋体" w:hAnsi="宋体" w:cs="宋体"/>
          <w:color w:val="auto"/>
          <w:sz w:val="22"/>
          <w:szCs w:val="22"/>
          <w:highlight w:val="none"/>
          <w:u w:val="single"/>
        </w:rPr>
        <w:t>（项目名称、项目编号）竞争性谈判</w:t>
      </w:r>
      <w:r>
        <w:rPr>
          <w:rFonts w:hint="eastAsia" w:ascii="宋体" w:hAnsi="宋体" w:cs="宋体"/>
          <w:color w:val="auto"/>
          <w:sz w:val="22"/>
          <w:szCs w:val="22"/>
          <w:highlight w:val="none"/>
        </w:rPr>
        <w:t>采购活动的委托代理人，全权代表我公司处理在该项目活动中的一切事宜。代理期限从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日起至</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日止。 </w:t>
      </w:r>
    </w:p>
    <w:p w14:paraId="02A67D13">
      <w:pPr>
        <w:spacing w:line="520" w:lineRule="exact"/>
        <w:rPr>
          <w:rFonts w:hint="eastAsia" w:ascii="宋体" w:hAnsi="宋体" w:cs="宋体"/>
          <w:color w:val="auto"/>
          <w:sz w:val="22"/>
          <w:szCs w:val="22"/>
          <w:highlight w:val="none"/>
        </w:rPr>
      </w:pPr>
    </w:p>
    <w:p w14:paraId="539B07FB">
      <w:pPr>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谈判供应商（盖章）：</w:t>
      </w:r>
      <w:r>
        <w:rPr>
          <w:rFonts w:hint="eastAsia" w:ascii="宋体" w:hAnsi="宋体" w:cs="宋体"/>
          <w:color w:val="auto"/>
          <w:sz w:val="22"/>
          <w:szCs w:val="22"/>
          <w:highlight w:val="none"/>
          <w:u w:val="single"/>
        </w:rPr>
        <w:t xml:space="preserve">               </w:t>
      </w:r>
    </w:p>
    <w:p w14:paraId="3E486F89">
      <w:pPr>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法定代表人(负责人)（签字或盖章）：</w:t>
      </w:r>
      <w:r>
        <w:rPr>
          <w:rFonts w:hint="eastAsia" w:ascii="宋体" w:hAnsi="宋体" w:cs="宋体"/>
          <w:color w:val="auto"/>
          <w:sz w:val="22"/>
          <w:szCs w:val="22"/>
          <w:highlight w:val="none"/>
          <w:u w:val="single"/>
        </w:rPr>
        <w:t xml:space="preserve">       </w:t>
      </w:r>
    </w:p>
    <w:p w14:paraId="2277014F">
      <w:pPr>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签发日期：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39B45F0F">
      <w:pPr>
        <w:spacing w:line="520" w:lineRule="exact"/>
        <w:rPr>
          <w:rFonts w:hint="eastAsia" w:ascii="宋体" w:hAnsi="宋体" w:cs="宋体"/>
          <w:color w:val="auto"/>
          <w:sz w:val="22"/>
          <w:szCs w:val="22"/>
          <w:highlight w:val="none"/>
        </w:rPr>
      </w:pPr>
    </w:p>
    <w:p w14:paraId="042A0564">
      <w:pPr>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附：委托代理人工作单位</w:t>
      </w:r>
      <w:r>
        <w:rPr>
          <w:rFonts w:hint="eastAsia" w:ascii="宋体" w:hAnsi="宋体" w:cs="宋体"/>
          <w:color w:val="auto"/>
          <w:sz w:val="22"/>
          <w:szCs w:val="22"/>
          <w:highlight w:val="none"/>
          <w:u w:val="single"/>
        </w:rPr>
        <w:t xml:space="preserve">               </w:t>
      </w:r>
    </w:p>
    <w:p w14:paraId="4C6FBFC9">
      <w:pPr>
        <w:spacing w:line="5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p>
    <w:p w14:paraId="64D4FEA1">
      <w:pPr>
        <w:adjustRightInd w:val="0"/>
        <w:snapToGrid w:val="0"/>
        <w:spacing w:line="52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tbl>
      <w:tblPr>
        <w:tblStyle w:val="1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5"/>
      </w:tblGrid>
      <w:tr w14:paraId="4E6E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8555" w:type="dxa"/>
            <w:noWrap w:val="0"/>
            <w:vAlign w:val="top"/>
          </w:tcPr>
          <w:p w14:paraId="56868F0E">
            <w:pPr>
              <w:spacing w:line="30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粘贴委托代理人的正面及反面身份证复印件</w:t>
            </w:r>
          </w:p>
        </w:tc>
      </w:tr>
    </w:tbl>
    <w:p w14:paraId="061A1448">
      <w:pPr>
        <w:autoSpaceDE w:val="0"/>
        <w:autoSpaceDN w:val="0"/>
        <w:spacing w:line="300" w:lineRule="auto"/>
        <w:ind w:left="480" w:hanging="480"/>
        <w:rPr>
          <w:rFonts w:hint="eastAsia" w:ascii="宋体" w:hAnsi="宋体" w:cs="宋体"/>
          <w:color w:val="auto"/>
          <w:szCs w:val="21"/>
          <w:highlight w:val="none"/>
        </w:rPr>
      </w:pPr>
    </w:p>
    <w:p w14:paraId="388960FE">
      <w:pPr>
        <w:jc w:val="center"/>
        <w:rPr>
          <w:rFonts w:hint="eastAsia" w:ascii="宋体" w:hAnsi="宋体" w:cs="宋体"/>
          <w:color w:val="auto"/>
          <w:sz w:val="36"/>
          <w:szCs w:val="36"/>
          <w:highlight w:val="none"/>
        </w:rPr>
      </w:pPr>
    </w:p>
    <w:p w14:paraId="354EF2BE">
      <w:pPr>
        <w:jc w:val="center"/>
        <w:rPr>
          <w:rFonts w:hint="eastAsia" w:ascii="宋体" w:hAnsi="宋体" w:cs="宋体"/>
          <w:color w:val="auto"/>
          <w:sz w:val="36"/>
          <w:szCs w:val="36"/>
          <w:highlight w:val="none"/>
        </w:rPr>
      </w:pPr>
    </w:p>
    <w:p w14:paraId="5239C54B">
      <w:pPr>
        <w:jc w:val="center"/>
        <w:rPr>
          <w:rFonts w:hint="eastAsia" w:ascii="宋体" w:hAnsi="宋体" w:cs="宋体"/>
          <w:color w:val="auto"/>
          <w:sz w:val="36"/>
          <w:szCs w:val="36"/>
          <w:highlight w:val="none"/>
        </w:rPr>
      </w:pPr>
    </w:p>
    <w:p w14:paraId="6890AD0F">
      <w:pPr>
        <w:pStyle w:val="6"/>
        <w:overflowPunct w:val="0"/>
        <w:spacing w:line="360" w:lineRule="exact"/>
        <w:ind w:firstLine="0"/>
        <w:rPr>
          <w:rFonts w:hint="eastAsia" w:ascii="宋体" w:hAnsi="宋体" w:cs="宋体"/>
          <w:b/>
          <w:color w:val="auto"/>
          <w:szCs w:val="21"/>
          <w:highlight w:val="none"/>
        </w:rPr>
      </w:pPr>
    </w:p>
    <w:p w14:paraId="071D8329">
      <w:pPr>
        <w:pStyle w:val="6"/>
        <w:overflowPunct w:val="0"/>
        <w:spacing w:line="560" w:lineRule="exact"/>
        <w:ind w:firstLine="0"/>
        <w:rPr>
          <w:rFonts w:hint="eastAsia" w:ascii="宋体" w:hAnsi="宋体" w:cs="宋体" w:eastAsiaTheme="minorEastAsia"/>
          <w:b/>
          <w:color w:val="auto"/>
          <w:szCs w:val="21"/>
          <w:highlight w:val="none"/>
          <w:lang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6</w:t>
      </w:r>
    </w:p>
    <w:p w14:paraId="22A7036B">
      <w:pPr>
        <w:pStyle w:val="6"/>
        <w:overflowPunct w:val="0"/>
        <w:spacing w:line="560" w:lineRule="exact"/>
        <w:ind w:firstLine="0"/>
        <w:rPr>
          <w:rFonts w:hint="eastAsia" w:ascii="宋体" w:hAnsi="宋体" w:cs="宋体"/>
          <w:b/>
          <w:color w:val="auto"/>
          <w:szCs w:val="21"/>
          <w:highlight w:val="none"/>
        </w:rPr>
      </w:pPr>
    </w:p>
    <w:p w14:paraId="03C6B39E">
      <w:pPr>
        <w:adjustRightInd w:val="0"/>
        <w:snapToGrid w:val="0"/>
        <w:spacing w:line="276"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北海市政府采购供应商信用承诺函（格式）</w:t>
      </w:r>
    </w:p>
    <w:p w14:paraId="2A27E83B">
      <w:pPr>
        <w:widowControl/>
        <w:ind w:firstLine="420" w:firstLineChars="200"/>
        <w:jc w:val="left"/>
        <w:rPr>
          <w:rFonts w:hint="eastAsia" w:ascii="宋体" w:hAnsi="宋体" w:cs="宋体"/>
          <w:color w:val="auto"/>
          <w:kern w:val="0"/>
          <w:szCs w:val="21"/>
          <w:highlight w:val="none"/>
        </w:rPr>
      </w:pPr>
    </w:p>
    <w:p w14:paraId="6BFEEAE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lang w:eastAsia="zh-CN"/>
        </w:rPr>
        <w:t>广西中之元工程管理有限公司</w:t>
      </w:r>
      <w:r>
        <w:rPr>
          <w:rFonts w:hint="eastAsia" w:ascii="宋体" w:hAnsi="宋体" w:cs="宋体"/>
          <w:color w:val="auto"/>
          <w:kern w:val="0"/>
          <w:szCs w:val="21"/>
          <w:highlight w:val="none"/>
        </w:rPr>
        <w:t>：</w:t>
      </w:r>
    </w:p>
    <w:p w14:paraId="515E1769">
      <w:pPr>
        <w:widowControl/>
        <w:ind w:firstLine="420" w:firstLineChars="200"/>
        <w:jc w:val="left"/>
        <w:rPr>
          <w:rFonts w:hint="eastAsia" w:ascii="宋体" w:hAnsi="宋体" w:cs="宋体"/>
          <w:color w:val="auto"/>
          <w:kern w:val="0"/>
          <w:szCs w:val="21"/>
          <w:highlight w:val="none"/>
        </w:rPr>
      </w:pPr>
    </w:p>
    <w:p w14:paraId="31C89915">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p>
    <w:p w14:paraId="401A47F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统一社会信用代码：</w:t>
      </w:r>
    </w:p>
    <w:p w14:paraId="68A32F1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供应商地址：</w:t>
      </w:r>
    </w:p>
    <w:p w14:paraId="75052C5B">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DBDE1F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1.我单位具有符合采购文件资格要求独立承担民事责任的能力。</w:t>
      </w:r>
    </w:p>
    <w:p w14:paraId="7DCC621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2.我单位具有符合采购文件资格要求的财务状况报告。</w:t>
      </w:r>
    </w:p>
    <w:p w14:paraId="7A7B8DC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3.我单位具有符合采购文件资格要求的依法缴纳税收和社会保障记录的良好记录。</w:t>
      </w:r>
    </w:p>
    <w:p w14:paraId="48E6FEB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4.我单位具有符合采购文件资格要求履行合同所必需的设备和专业技术能力。</w:t>
      </w:r>
    </w:p>
    <w:p w14:paraId="07F025D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5.参加政府采购活动前三年内，在经营活动中没有重大违法记录。</w:t>
      </w:r>
    </w:p>
    <w:p w14:paraId="4006D0D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若我单位承诺不实，自愿承担提供虚假材料谋取中标、成交的法律责任。</w:t>
      </w:r>
    </w:p>
    <w:p w14:paraId="46752767">
      <w:pPr>
        <w:widowControl/>
        <w:ind w:firstLine="420" w:firstLineChars="200"/>
        <w:jc w:val="left"/>
        <w:rPr>
          <w:rFonts w:hint="eastAsia" w:ascii="宋体" w:hAnsi="宋体" w:cs="宋体"/>
          <w:color w:val="auto"/>
          <w:kern w:val="0"/>
          <w:szCs w:val="21"/>
          <w:highlight w:val="none"/>
        </w:rPr>
      </w:pPr>
    </w:p>
    <w:p w14:paraId="333BDF10">
      <w:pPr>
        <w:widowControl/>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14:paraId="6A761A39">
      <w:pPr>
        <w:widowControl/>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法定代表人或授权代表(签名)：</w:t>
      </w:r>
    </w:p>
    <w:p w14:paraId="6D4918D7">
      <w:pPr>
        <w:widowControl/>
        <w:ind w:firstLine="420" w:firstLineChars="200"/>
        <w:jc w:val="left"/>
        <w:rPr>
          <w:rFonts w:hint="eastAsia" w:ascii="宋体" w:hAnsi="宋体" w:cs="宋体"/>
          <w:color w:val="auto"/>
          <w:kern w:val="0"/>
          <w:szCs w:val="21"/>
          <w:highlight w:val="none"/>
        </w:rPr>
      </w:pPr>
    </w:p>
    <w:p w14:paraId="3820591D">
      <w:pPr>
        <w:widowControl/>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w:t>
      </w:r>
    </w:p>
    <w:p w14:paraId="33284221">
      <w:pPr>
        <w:widowControl/>
        <w:ind w:firstLine="420" w:firstLineChars="200"/>
        <w:jc w:val="left"/>
        <w:rPr>
          <w:rFonts w:hint="eastAsia" w:ascii="宋体" w:hAnsi="宋体" w:cs="宋体"/>
          <w:color w:val="auto"/>
          <w:kern w:val="0"/>
          <w:szCs w:val="21"/>
          <w:highlight w:val="none"/>
        </w:rPr>
      </w:pPr>
    </w:p>
    <w:p w14:paraId="63715D6C">
      <w:pPr>
        <w:widowControl/>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注：1.供应商须在谈判响应文件中按此模板提供承诺函，未提供视为未实质性响应谈判文件要求，按无效谈判响应处理。</w:t>
      </w:r>
    </w:p>
    <w:p w14:paraId="72C6010A">
      <w:pPr>
        <w:widowControl/>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2.供应商的法定代表人（其他组织的为负责人）或者授权代表的签名或盖章应真实、有效，如由授权代表签名或盖章的，应提供“法定代表人授权书”。</w:t>
      </w:r>
    </w:p>
    <w:p w14:paraId="2D0D03EF">
      <w:pPr>
        <w:pStyle w:val="6"/>
        <w:overflowPunct w:val="0"/>
        <w:adjustRightInd w:val="0"/>
        <w:snapToGrid w:val="0"/>
        <w:spacing w:line="360" w:lineRule="exact"/>
        <w:ind w:firstLine="0"/>
        <w:rPr>
          <w:rFonts w:hint="eastAsia" w:ascii="宋体" w:hAnsi="宋体" w:cs="宋体"/>
          <w:b/>
          <w:color w:val="auto"/>
          <w:sz w:val="22"/>
          <w:szCs w:val="22"/>
          <w:highlight w:val="none"/>
        </w:rPr>
      </w:pPr>
    </w:p>
    <w:p w14:paraId="0A76AEAF">
      <w:pPr>
        <w:pStyle w:val="6"/>
        <w:overflowPunct w:val="0"/>
        <w:adjustRightInd w:val="0"/>
        <w:snapToGrid w:val="0"/>
        <w:spacing w:line="360" w:lineRule="exact"/>
        <w:ind w:firstLine="0"/>
        <w:rPr>
          <w:rFonts w:hint="eastAsia" w:ascii="宋体" w:hAnsi="宋体" w:cs="宋体"/>
          <w:b/>
          <w:color w:val="auto"/>
          <w:sz w:val="22"/>
          <w:szCs w:val="22"/>
          <w:highlight w:val="none"/>
        </w:rPr>
      </w:pPr>
    </w:p>
    <w:p w14:paraId="78B9DA57">
      <w:pPr>
        <w:pStyle w:val="6"/>
        <w:overflowPunct w:val="0"/>
        <w:adjustRightInd w:val="0"/>
        <w:snapToGrid w:val="0"/>
        <w:spacing w:line="360" w:lineRule="exact"/>
        <w:ind w:firstLine="0"/>
        <w:rPr>
          <w:rFonts w:hint="eastAsia" w:ascii="宋体" w:hAnsi="宋体" w:cs="宋体"/>
          <w:b/>
          <w:color w:val="auto"/>
          <w:sz w:val="22"/>
          <w:szCs w:val="22"/>
          <w:highlight w:val="none"/>
        </w:rPr>
      </w:pPr>
    </w:p>
    <w:p w14:paraId="55C949FB">
      <w:pPr>
        <w:pStyle w:val="6"/>
        <w:overflowPunct w:val="0"/>
        <w:adjustRightInd w:val="0"/>
        <w:snapToGrid w:val="0"/>
        <w:spacing w:line="360" w:lineRule="exact"/>
        <w:ind w:firstLine="0"/>
        <w:rPr>
          <w:rFonts w:hint="eastAsia" w:ascii="宋体" w:hAnsi="宋体" w:cs="宋体"/>
          <w:b/>
          <w:color w:val="auto"/>
          <w:sz w:val="22"/>
          <w:szCs w:val="22"/>
          <w:highlight w:val="none"/>
        </w:rPr>
      </w:pPr>
    </w:p>
    <w:p w14:paraId="3B34372B">
      <w:pPr>
        <w:pStyle w:val="6"/>
        <w:overflowPunct w:val="0"/>
        <w:adjustRightInd w:val="0"/>
        <w:snapToGrid w:val="0"/>
        <w:spacing w:line="360" w:lineRule="exact"/>
        <w:ind w:firstLine="0"/>
        <w:rPr>
          <w:rFonts w:hint="eastAsia" w:ascii="宋体" w:hAnsi="宋体" w:cs="宋体"/>
          <w:b/>
          <w:color w:val="auto"/>
          <w:sz w:val="22"/>
          <w:szCs w:val="22"/>
          <w:highlight w:val="none"/>
        </w:rPr>
      </w:pPr>
    </w:p>
    <w:p w14:paraId="2990BE97">
      <w:pPr>
        <w:pStyle w:val="6"/>
        <w:overflowPunct w:val="0"/>
        <w:spacing w:line="600" w:lineRule="exact"/>
        <w:ind w:firstLine="0"/>
        <w:rPr>
          <w:rFonts w:hint="eastAsia" w:ascii="宋体" w:hAnsi="宋体" w:cs="宋体"/>
          <w:b/>
          <w:color w:val="auto"/>
          <w:sz w:val="22"/>
          <w:szCs w:val="22"/>
          <w:highlight w:val="none"/>
        </w:rPr>
      </w:pPr>
    </w:p>
    <w:p w14:paraId="4C347918">
      <w:pPr>
        <w:pStyle w:val="6"/>
        <w:overflowPunct w:val="0"/>
        <w:spacing w:line="600" w:lineRule="exact"/>
        <w:ind w:firstLine="0"/>
        <w:rPr>
          <w:rFonts w:hint="eastAsia" w:ascii="宋体" w:hAnsi="宋体" w:cs="宋体"/>
          <w:b/>
          <w:color w:val="auto"/>
          <w:szCs w:val="21"/>
          <w:highlight w:val="none"/>
        </w:rPr>
      </w:pPr>
    </w:p>
    <w:p w14:paraId="64382A5C">
      <w:pPr>
        <w:spacing w:line="300" w:lineRule="auto"/>
        <w:rPr>
          <w:rFonts w:hint="eastAsia" w:ascii="宋体" w:hAnsi="宋体" w:cs="宋体"/>
          <w:color w:val="auto"/>
          <w:sz w:val="22"/>
          <w:szCs w:val="22"/>
          <w:highlight w:val="none"/>
        </w:rPr>
      </w:pPr>
      <w:r>
        <w:rPr>
          <w:rFonts w:hint="eastAsia" w:ascii="宋体" w:hAnsi="宋体" w:cs="宋体"/>
          <w:b/>
          <w:color w:val="auto"/>
          <w:szCs w:val="21"/>
          <w:highlight w:val="none"/>
        </w:rPr>
        <w:br w:type="page"/>
      </w:r>
    </w:p>
    <w:p w14:paraId="2643604B">
      <w:pPr>
        <w:spacing w:line="600" w:lineRule="exac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7</w:t>
      </w:r>
    </w:p>
    <w:p w14:paraId="72960947">
      <w:pPr>
        <w:pStyle w:val="10"/>
        <w:adjustRightInd w:val="0"/>
        <w:snapToGrid w:val="0"/>
        <w:spacing w:line="600" w:lineRule="exact"/>
        <w:jc w:val="center"/>
        <w:rPr>
          <w:rFonts w:hint="eastAsia" w:hAnsi="宋体" w:cs="宋体"/>
          <w:color w:val="auto"/>
          <w:sz w:val="30"/>
          <w:szCs w:val="30"/>
          <w:highlight w:val="none"/>
        </w:rPr>
      </w:pPr>
      <w:r>
        <w:rPr>
          <w:rFonts w:hint="eastAsia" w:hAnsi="宋体" w:cs="宋体"/>
          <w:color w:val="auto"/>
          <w:sz w:val="30"/>
          <w:szCs w:val="30"/>
          <w:highlight w:val="none"/>
        </w:rPr>
        <w:t>售后服务承诺书</w:t>
      </w:r>
    </w:p>
    <w:p w14:paraId="12B59390">
      <w:pPr>
        <w:spacing w:line="360" w:lineRule="exact"/>
        <w:rPr>
          <w:rFonts w:hint="eastAsia" w:ascii="宋体" w:hAnsi="宋体" w:cs="宋体"/>
          <w:color w:val="auto"/>
          <w:sz w:val="22"/>
          <w:szCs w:val="22"/>
          <w:highlight w:val="none"/>
        </w:rPr>
      </w:pPr>
    </w:p>
    <w:p w14:paraId="7E46F08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b/>
          <w:color w:val="auto"/>
          <w:kern w:val="0"/>
          <w:sz w:val="22"/>
          <w:szCs w:val="22"/>
          <w:highlight w:val="none"/>
        </w:rPr>
      </w:pPr>
      <w:r>
        <w:rPr>
          <w:rFonts w:hint="eastAsia" w:ascii="宋体" w:hAnsi="宋体" w:cs="宋体"/>
          <w:color w:val="auto"/>
          <w:sz w:val="22"/>
          <w:szCs w:val="22"/>
          <w:highlight w:val="none"/>
        </w:rPr>
        <w:t>【由谈判供应商按《项目需求》售后服务要求自行填写，提供的切实可行的售后服务和优惠承诺，保证交货期的措施（必要时提供生产计划周期表）】</w:t>
      </w:r>
    </w:p>
    <w:p w14:paraId="77BA5D99">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6CC11C49">
      <w:pPr>
        <w:spacing w:line="600" w:lineRule="exac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8</w:t>
      </w:r>
    </w:p>
    <w:p w14:paraId="000C29AE">
      <w:pPr>
        <w:spacing w:line="600" w:lineRule="exact"/>
        <w:ind w:left="420" w:hanging="420"/>
        <w:jc w:val="center"/>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产品质量保证书</w:t>
      </w:r>
    </w:p>
    <w:p w14:paraId="0C5A2F6C">
      <w:pPr>
        <w:spacing w:line="360" w:lineRule="exact"/>
        <w:ind w:left="420" w:hanging="420"/>
        <w:jc w:val="center"/>
        <w:rPr>
          <w:rFonts w:hint="eastAsia" w:ascii="宋体" w:hAnsi="宋体" w:cs="宋体"/>
          <w:b/>
          <w:color w:val="auto"/>
          <w:kern w:val="0"/>
          <w:sz w:val="24"/>
          <w:highlight w:val="none"/>
        </w:rPr>
      </w:pPr>
    </w:p>
    <w:p w14:paraId="218DC461">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 xml:space="preserve">致              </w:t>
      </w:r>
      <w:r>
        <w:rPr>
          <w:rFonts w:hint="eastAsia" w:ascii="宋体" w:hAnsi="宋体" w:cs="宋体"/>
          <w:color w:val="auto"/>
          <w:kern w:val="0"/>
          <w:sz w:val="22"/>
          <w:szCs w:val="22"/>
          <w:highlight w:val="none"/>
        </w:rPr>
        <w:t xml:space="preserve"> ：</w:t>
      </w:r>
    </w:p>
    <w:p w14:paraId="3431E477">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我公司在此向贵方承诺：</w:t>
      </w:r>
    </w:p>
    <w:p w14:paraId="7D2558C9">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我方参与谈判的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项目（编号</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），一旦成交，我方保证按照谈判文件和谈判响应文件的要求提供合格的产品，如出现弄虚作假，包括掺杂、掺假、以假充真、以次充好、以不合格产品冒充合格产品的，我方愿按《政府采购法》、《</w:t>
      </w:r>
      <w:r>
        <w:rPr>
          <w:rFonts w:hint="eastAsia" w:ascii="宋体" w:hAnsi="宋体" w:cs="宋体"/>
          <w:color w:val="auto"/>
          <w:kern w:val="0"/>
          <w:sz w:val="22"/>
          <w:szCs w:val="22"/>
          <w:highlight w:val="none"/>
          <w:lang w:eastAsia="zh-CN"/>
        </w:rPr>
        <w:t>民法典</w:t>
      </w:r>
      <w:r>
        <w:rPr>
          <w:rFonts w:hint="eastAsia" w:ascii="宋体" w:hAnsi="宋体" w:cs="宋体"/>
          <w:color w:val="auto"/>
          <w:kern w:val="0"/>
          <w:sz w:val="22"/>
          <w:szCs w:val="22"/>
          <w:highlight w:val="none"/>
        </w:rPr>
        <w:t>》、《产品质量法》、《消费者权益保护法》等法律法规规定，承担相应的经济责任和法律责任。</w:t>
      </w:r>
    </w:p>
    <w:p w14:paraId="2CEF5163">
      <w:pPr>
        <w:spacing w:line="300" w:lineRule="auto"/>
        <w:rPr>
          <w:rFonts w:hint="eastAsia" w:ascii="宋体" w:hAnsi="宋体" w:cs="宋体"/>
          <w:color w:val="auto"/>
          <w:kern w:val="0"/>
          <w:sz w:val="28"/>
          <w:szCs w:val="28"/>
          <w:highlight w:val="none"/>
        </w:rPr>
      </w:pPr>
    </w:p>
    <w:p w14:paraId="777C9C91">
      <w:pPr>
        <w:spacing w:line="300" w:lineRule="auto"/>
        <w:ind w:hanging="420"/>
        <w:rPr>
          <w:rFonts w:hint="eastAsia" w:ascii="宋体" w:hAnsi="宋体" w:cs="宋体"/>
          <w:color w:val="auto"/>
          <w:kern w:val="0"/>
          <w:sz w:val="28"/>
          <w:szCs w:val="28"/>
          <w:highlight w:val="none"/>
        </w:rPr>
      </w:pPr>
    </w:p>
    <w:p w14:paraId="051699AB">
      <w:pPr>
        <w:spacing w:line="300" w:lineRule="auto"/>
        <w:ind w:left="420" w:hanging="420"/>
        <w:jc w:val="center"/>
        <w:rPr>
          <w:rFonts w:hint="eastAsia" w:ascii="宋体" w:hAnsi="宋体" w:cs="宋体"/>
          <w:b/>
          <w:color w:val="auto"/>
          <w:kern w:val="0"/>
          <w:sz w:val="32"/>
          <w:szCs w:val="32"/>
          <w:highlight w:val="none"/>
        </w:rPr>
      </w:pPr>
    </w:p>
    <w:p w14:paraId="211FC95A">
      <w:pPr>
        <w:spacing w:line="300" w:lineRule="auto"/>
        <w:ind w:left="420" w:hanging="420"/>
        <w:jc w:val="center"/>
        <w:rPr>
          <w:rFonts w:hint="eastAsia" w:ascii="宋体" w:hAnsi="宋体" w:cs="宋体"/>
          <w:b/>
          <w:color w:val="auto"/>
          <w:kern w:val="0"/>
          <w:sz w:val="32"/>
          <w:szCs w:val="32"/>
          <w:highlight w:val="none"/>
        </w:rPr>
      </w:pPr>
    </w:p>
    <w:p w14:paraId="5B1A6A2A">
      <w:pPr>
        <w:spacing w:line="300" w:lineRule="auto"/>
        <w:ind w:left="420" w:hanging="420"/>
        <w:jc w:val="center"/>
        <w:rPr>
          <w:rFonts w:hint="eastAsia" w:ascii="宋体" w:hAnsi="宋体" w:cs="宋体"/>
          <w:b/>
          <w:color w:val="auto"/>
          <w:kern w:val="0"/>
          <w:sz w:val="32"/>
          <w:szCs w:val="32"/>
          <w:highlight w:val="none"/>
        </w:rPr>
      </w:pPr>
    </w:p>
    <w:p w14:paraId="76C72D6E">
      <w:pPr>
        <w:spacing w:line="300" w:lineRule="auto"/>
        <w:ind w:left="420" w:hanging="420"/>
        <w:jc w:val="center"/>
        <w:rPr>
          <w:rFonts w:hint="eastAsia" w:ascii="宋体" w:hAnsi="宋体" w:cs="宋体"/>
          <w:b/>
          <w:color w:val="auto"/>
          <w:kern w:val="0"/>
          <w:sz w:val="32"/>
          <w:szCs w:val="32"/>
          <w:highlight w:val="none"/>
        </w:rPr>
      </w:pPr>
    </w:p>
    <w:p w14:paraId="4A0ABD6F">
      <w:pPr>
        <w:spacing w:line="300" w:lineRule="auto"/>
        <w:ind w:left="420" w:hanging="420"/>
        <w:jc w:val="center"/>
        <w:rPr>
          <w:rFonts w:hint="eastAsia" w:ascii="宋体" w:hAnsi="宋体" w:cs="宋体"/>
          <w:b/>
          <w:color w:val="auto"/>
          <w:kern w:val="0"/>
          <w:sz w:val="32"/>
          <w:szCs w:val="32"/>
          <w:highlight w:val="none"/>
        </w:rPr>
      </w:pPr>
    </w:p>
    <w:p w14:paraId="4978C094">
      <w:pPr>
        <w:spacing w:line="300" w:lineRule="auto"/>
        <w:jc w:val="both"/>
        <w:rPr>
          <w:rFonts w:hint="eastAsia" w:ascii="宋体" w:hAnsi="宋体" w:cs="宋体"/>
          <w:b/>
          <w:color w:val="auto"/>
          <w:kern w:val="0"/>
          <w:sz w:val="32"/>
          <w:szCs w:val="32"/>
          <w:highlight w:val="none"/>
        </w:rPr>
      </w:pPr>
    </w:p>
    <w:p w14:paraId="1BF64C35">
      <w:pPr>
        <w:spacing w:line="300" w:lineRule="auto"/>
        <w:jc w:val="both"/>
        <w:rPr>
          <w:rFonts w:hint="eastAsia" w:ascii="宋体" w:hAnsi="宋体" w:cs="宋体"/>
          <w:b/>
          <w:color w:val="auto"/>
          <w:kern w:val="0"/>
          <w:sz w:val="32"/>
          <w:szCs w:val="32"/>
          <w:highlight w:val="none"/>
        </w:rPr>
      </w:pPr>
    </w:p>
    <w:p w14:paraId="59A52D6A">
      <w:pPr>
        <w:spacing w:line="300" w:lineRule="auto"/>
        <w:rPr>
          <w:rFonts w:hint="eastAsia" w:ascii="宋体" w:hAnsi="宋体" w:cs="宋体"/>
          <w:b/>
          <w:color w:val="auto"/>
          <w:kern w:val="0"/>
          <w:sz w:val="32"/>
          <w:szCs w:val="32"/>
          <w:highlight w:val="none"/>
        </w:rPr>
      </w:pPr>
    </w:p>
    <w:p w14:paraId="23EFAFFC">
      <w:pPr>
        <w:pStyle w:val="10"/>
        <w:adjustRightInd w:val="0"/>
        <w:snapToGrid w:val="0"/>
        <w:ind w:firstLine="442" w:firstLineChars="201"/>
        <w:rPr>
          <w:rFonts w:hint="eastAsia" w:hAnsi="宋体" w:cs="宋体"/>
          <w:color w:val="auto"/>
          <w:sz w:val="22"/>
          <w:szCs w:val="22"/>
          <w:highlight w:val="none"/>
        </w:rPr>
      </w:pPr>
      <w:r>
        <w:rPr>
          <w:rFonts w:hint="eastAsia" w:hAnsi="宋体" w:cs="宋体"/>
          <w:color w:val="auto"/>
          <w:sz w:val="22"/>
          <w:szCs w:val="22"/>
          <w:highlight w:val="none"/>
        </w:rPr>
        <w:t>谈判供应商（章）：</w:t>
      </w:r>
      <w:r>
        <w:rPr>
          <w:rFonts w:hint="eastAsia" w:hAnsi="宋体" w:cs="宋体"/>
          <w:color w:val="auto"/>
          <w:sz w:val="22"/>
          <w:szCs w:val="22"/>
          <w:highlight w:val="none"/>
          <w:u w:val="single"/>
        </w:rPr>
        <w:t xml:space="preserve">                                        </w:t>
      </w:r>
    </w:p>
    <w:p w14:paraId="132721A0">
      <w:pPr>
        <w:pStyle w:val="10"/>
        <w:adjustRightInd w:val="0"/>
        <w:snapToGrid w:val="0"/>
        <w:ind w:firstLine="442" w:firstLineChars="201"/>
        <w:rPr>
          <w:rFonts w:hint="eastAsia" w:hAnsi="宋体" w:cs="宋体"/>
          <w:color w:val="auto"/>
          <w:sz w:val="22"/>
          <w:szCs w:val="22"/>
          <w:highlight w:val="none"/>
        </w:rPr>
      </w:pPr>
    </w:p>
    <w:p w14:paraId="20B71EBA">
      <w:pPr>
        <w:pStyle w:val="10"/>
        <w:adjustRightInd w:val="0"/>
        <w:snapToGrid w:val="0"/>
        <w:ind w:firstLine="442" w:firstLineChars="201"/>
        <w:rPr>
          <w:rFonts w:hint="eastAsia" w:hAnsi="宋体" w:cs="宋体"/>
          <w:color w:val="auto"/>
          <w:sz w:val="22"/>
          <w:szCs w:val="22"/>
          <w:highlight w:val="none"/>
          <w:u w:val="single"/>
        </w:rPr>
      </w:pPr>
      <w:r>
        <w:rPr>
          <w:rFonts w:hint="eastAsia" w:hAnsi="宋体" w:cs="宋体"/>
          <w:color w:val="auto"/>
          <w:sz w:val="22"/>
          <w:szCs w:val="22"/>
          <w:highlight w:val="none"/>
        </w:rPr>
        <w:t>法定代表人或委托代理人（签字）：</w:t>
      </w:r>
      <w:r>
        <w:rPr>
          <w:rFonts w:hint="eastAsia" w:hAnsi="宋体" w:cs="宋体"/>
          <w:color w:val="auto"/>
          <w:sz w:val="22"/>
          <w:szCs w:val="22"/>
          <w:highlight w:val="none"/>
          <w:u w:val="single"/>
        </w:rPr>
        <w:t xml:space="preserve">                           </w:t>
      </w:r>
    </w:p>
    <w:p w14:paraId="67A57C87">
      <w:pPr>
        <w:pStyle w:val="10"/>
        <w:adjustRightInd w:val="0"/>
        <w:snapToGrid w:val="0"/>
        <w:ind w:firstLine="444" w:firstLineChars="201"/>
        <w:rPr>
          <w:rFonts w:hint="eastAsia" w:hAnsi="宋体" w:cs="宋体"/>
          <w:b/>
          <w:color w:val="auto"/>
          <w:sz w:val="22"/>
          <w:szCs w:val="22"/>
          <w:highlight w:val="none"/>
        </w:rPr>
      </w:pPr>
    </w:p>
    <w:p w14:paraId="4B9043EE">
      <w:pPr>
        <w:pStyle w:val="10"/>
        <w:adjustRightInd w:val="0"/>
        <w:snapToGrid w:val="0"/>
        <w:ind w:firstLine="442" w:firstLineChars="201"/>
        <w:rPr>
          <w:rFonts w:hint="eastAsia" w:hAnsi="宋体" w:cs="宋体"/>
          <w:color w:val="auto"/>
          <w:sz w:val="22"/>
          <w:szCs w:val="22"/>
          <w:highlight w:val="none"/>
          <w:u w:val="single"/>
        </w:rPr>
      </w:pPr>
      <w:r>
        <w:rPr>
          <w:rFonts w:hint="eastAsia" w:hAnsi="宋体" w:cs="宋体"/>
          <w:color w:val="auto"/>
          <w:sz w:val="22"/>
          <w:szCs w:val="22"/>
          <w:highlight w:val="none"/>
        </w:rPr>
        <w:t>日期</w:t>
      </w:r>
      <w:r>
        <w:rPr>
          <w:rFonts w:hint="eastAsia" w:hAnsi="宋体" w:cs="宋体"/>
          <w:color w:val="auto"/>
          <w:sz w:val="22"/>
          <w:szCs w:val="22"/>
          <w:highlight w:val="none"/>
          <w:u w:val="single"/>
        </w:rPr>
        <w:t xml:space="preserve">                                                      </w:t>
      </w:r>
    </w:p>
    <w:p w14:paraId="095619E6">
      <w:pPr>
        <w:rPr>
          <w:rFonts w:hint="eastAsia" w:ascii="宋体" w:hAnsi="宋体" w:cs="宋体"/>
          <w:color w:val="auto"/>
          <w:highlight w:val="none"/>
        </w:rPr>
      </w:pPr>
    </w:p>
    <w:p w14:paraId="6311E269">
      <w:pPr>
        <w:spacing w:line="600" w:lineRule="exact"/>
        <w:rPr>
          <w:rFonts w:hint="eastAsia" w:ascii="宋体" w:hAnsi="宋体" w:eastAsia="宋体" w:cs="宋体"/>
          <w:b/>
          <w:color w:val="auto"/>
          <w:szCs w:val="21"/>
          <w:highlight w:val="none"/>
          <w:lang w:eastAsia="zh-CN"/>
        </w:rPr>
      </w:pPr>
      <w:r>
        <w:rPr>
          <w:rFonts w:hint="eastAsia" w:ascii="宋体" w:hAnsi="宋体" w:cs="宋体"/>
          <w:color w:val="auto"/>
          <w:highlight w:val="none"/>
        </w:rPr>
        <w:br w:type="page"/>
      </w:r>
    </w:p>
    <w:p w14:paraId="2C760C8F">
      <w:pPr>
        <w:spacing w:line="300" w:lineRule="auto"/>
        <w:rPr>
          <w:rFonts w:hint="eastAsia" w:ascii="宋体" w:hAnsi="宋体" w:cs="宋体" w:eastAsiaTheme="minorEastAsia"/>
          <w:b/>
          <w:color w:val="auto"/>
          <w:kern w:val="0"/>
          <w:szCs w:val="21"/>
          <w:highlight w:val="none"/>
          <w:lang w:eastAsia="zh-CN"/>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9</w:t>
      </w:r>
    </w:p>
    <w:p w14:paraId="72BB1BB6">
      <w:pPr>
        <w:snapToGrid w:val="0"/>
        <w:spacing w:before="156" w:beforeLines="50" w:after="50"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承诺函</w:t>
      </w:r>
    </w:p>
    <w:p w14:paraId="23D20C90">
      <w:pPr>
        <w:pStyle w:val="10"/>
        <w:spacing w:line="400" w:lineRule="exact"/>
        <w:ind w:firstLine="420" w:firstLineChars="200"/>
        <w:rPr>
          <w:rFonts w:hint="eastAsia" w:hAnsi="宋体" w:cs="宋体"/>
          <w:color w:val="auto"/>
          <w:highlight w:val="none"/>
        </w:rPr>
      </w:pPr>
      <w:r>
        <w:rPr>
          <w:rFonts w:hint="eastAsia" w:hAnsi="宋体" w:cs="宋体"/>
          <w:color w:val="auto"/>
          <w:highlight w:val="none"/>
          <w:u w:val="single"/>
          <w:lang w:eastAsia="zh-CN"/>
        </w:rPr>
        <w:t>广西中之元工程管理有限公司</w:t>
      </w:r>
      <w:r>
        <w:rPr>
          <w:rFonts w:hint="eastAsia" w:hAnsi="宋体" w:cs="宋体"/>
          <w:color w:val="auto"/>
          <w:highlight w:val="none"/>
        </w:rPr>
        <w:t>：</w:t>
      </w:r>
    </w:p>
    <w:p w14:paraId="060E7CA1">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我方作为本次采购项目的谈判供应商，根据谈判文件要求，现郑重承诺如下：</w:t>
      </w:r>
    </w:p>
    <w:p w14:paraId="73564C46">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0A24F55F">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二、参加本次谈判采购活动，不存在与单位负责人为同一人或者存在直接控股、管理关系的其他供应商参与同一合同项下的政府采购活动的行为。</w:t>
      </w:r>
    </w:p>
    <w:p w14:paraId="774FC8CD">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三、为采购项目提供整体设计、规范编制或者项目管理、监理、检测等服务的供应商，不得再参加该采购项目的其他采购活动，我方承诺不属于此类禁止参加本项目的供应商。</w:t>
      </w:r>
    </w:p>
    <w:p w14:paraId="69A3F864">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四、参加本次谈判采购活动，不存在和其他供应商在同一合同项下的采购项目中，同时委托同一个自然人、同一家庭的人员、同一单位的人员作为代理人的行为。</w:t>
      </w:r>
    </w:p>
    <w:p w14:paraId="1B507007">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五、谈判响应文件中提供的能够给予我方带来优惠、好处的任何材料资料和技术、服务、商务、响应产品等响应承诺情况都是真实的、有效的、合法的。</w:t>
      </w:r>
    </w:p>
    <w:p w14:paraId="0D1B0DE4">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16AE9D11">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七、国家或行业主管部门对采购产品的技术标准、质量标准和资格资质条件等有强制性规定的，我方承诺符合其要求。</w:t>
      </w:r>
    </w:p>
    <w:p w14:paraId="5555A425">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八、参加本次谈判采购活动，我方完全同意谈判文件第二章关于“谈判费用”、“质量（履约）保证金”等实质性要求，并承诺严格按照谈判文件要求履行。</w:t>
      </w:r>
    </w:p>
    <w:p w14:paraId="495C2235">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445B22F0">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我方对上述承诺的内容事项真实性负责。如经查实上述承诺的内容事项存在虚假，我方愿意接受以提供虚假材料谋取成交追究法律责任。</w:t>
      </w:r>
    </w:p>
    <w:p w14:paraId="477D83E8">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谈判供应商（公章）：</w:t>
      </w:r>
    </w:p>
    <w:p w14:paraId="4C718648">
      <w:pPr>
        <w:pStyle w:val="10"/>
        <w:spacing w:line="400" w:lineRule="exact"/>
        <w:ind w:firstLine="420" w:firstLineChars="200"/>
        <w:rPr>
          <w:rFonts w:hint="eastAsia" w:hAnsi="宋体" w:cs="宋体"/>
          <w:color w:val="auto"/>
          <w:highlight w:val="none"/>
        </w:rPr>
      </w:pPr>
      <w:r>
        <w:rPr>
          <w:rFonts w:hint="eastAsia" w:hAnsi="宋体" w:cs="宋体"/>
          <w:color w:val="auto"/>
          <w:highlight w:val="none"/>
        </w:rPr>
        <w:t>法定代表人（负责人）或委托代理人签名：</w:t>
      </w:r>
    </w:p>
    <w:p w14:paraId="18791E8F">
      <w:pPr>
        <w:pStyle w:val="10"/>
        <w:spacing w:line="400" w:lineRule="exact"/>
        <w:ind w:firstLine="420" w:firstLineChars="200"/>
        <w:rPr>
          <w:rFonts w:hint="eastAsia" w:hAnsi="宋体" w:cs="宋体"/>
          <w:b/>
          <w:color w:val="auto"/>
          <w:kern w:val="0"/>
          <w:highlight w:val="none"/>
        </w:rPr>
      </w:pPr>
      <w:r>
        <w:rPr>
          <w:rFonts w:hint="eastAsia" w:hAnsi="宋体" w:cs="宋体"/>
          <w:color w:val="auto"/>
          <w:highlight w:val="none"/>
        </w:rPr>
        <w:t>日期：</w:t>
      </w:r>
    </w:p>
    <w:p w14:paraId="0C76199F">
      <w:pPr>
        <w:spacing w:line="600" w:lineRule="exact"/>
        <w:jc w:val="center"/>
        <w:rPr>
          <w:rFonts w:hint="eastAsia" w:ascii="宋体" w:hAnsi="宋体" w:cs="宋体"/>
          <w:color w:val="auto"/>
          <w:kern w:val="0"/>
          <w:sz w:val="30"/>
          <w:szCs w:val="30"/>
          <w:highlight w:val="none"/>
        </w:rPr>
      </w:pPr>
    </w:p>
    <w:p w14:paraId="50BC745D">
      <w:pPr>
        <w:spacing w:line="600" w:lineRule="exact"/>
        <w:jc w:val="center"/>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谈判供应商的资格证明文件</w:t>
      </w:r>
    </w:p>
    <w:p w14:paraId="07DFF3B0">
      <w:pPr>
        <w:keepNext w:val="0"/>
        <w:keepLines w:val="0"/>
        <w:pageBreakBefore w:val="0"/>
        <w:widowControl w:val="0"/>
        <w:kinsoku/>
        <w:wordWrap/>
        <w:overflowPunct/>
        <w:topLinePunct w:val="0"/>
        <w:autoSpaceDE/>
        <w:autoSpaceDN/>
        <w:bidi w:val="0"/>
        <w:adjustRightInd/>
        <w:snapToGrid/>
        <w:spacing w:before="0" w:after="0" w:line="360" w:lineRule="exact"/>
        <w:textAlignment w:val="auto"/>
        <w:outlineLvl w:val="9"/>
        <w:rPr>
          <w:rFonts w:hint="eastAsia" w:ascii="宋体" w:hAnsi="宋体" w:cs="宋体"/>
          <w:b w:val="0"/>
          <w:color w:val="auto"/>
          <w:kern w:val="2"/>
          <w:sz w:val="21"/>
          <w:szCs w:val="21"/>
          <w:highlight w:val="none"/>
        </w:rPr>
      </w:pPr>
    </w:p>
    <w:p w14:paraId="01A468DC">
      <w:pPr>
        <w:jc w:val="center"/>
        <w:rPr>
          <w:rFonts w:hint="eastAsia" w:ascii="宋体" w:hAnsi="宋体" w:eastAsia="宋体" w:cs="宋体"/>
          <w:color w:val="auto"/>
          <w:sz w:val="22"/>
          <w:szCs w:val="22"/>
          <w:highlight w:val="none"/>
        </w:rPr>
      </w:pPr>
      <w:bookmarkStart w:id="97" w:name="_Toc28539"/>
      <w:r>
        <w:rPr>
          <w:rFonts w:hint="eastAsia" w:ascii="宋体" w:hAnsi="宋体" w:eastAsia="宋体" w:cs="宋体"/>
          <w:color w:val="auto"/>
          <w:sz w:val="22"/>
          <w:szCs w:val="22"/>
          <w:highlight w:val="none"/>
        </w:rPr>
        <w:t>（注：按照谈判供应商须知5.6商务技术文件要求提供，其中必须提供的资料，谈判供应商必须全部提供，否则谈判无效）。</w:t>
      </w:r>
      <w:bookmarkEnd w:id="97"/>
    </w:p>
    <w:p w14:paraId="1A59C6D2">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right="420" w:firstLine="482" w:firstLineChars="200"/>
        <w:textAlignment w:val="auto"/>
        <w:rPr>
          <w:rFonts w:hint="eastAsia" w:ascii="宋体" w:hAnsi="宋体" w:eastAsia="宋体" w:cs="宋体"/>
          <w:color w:val="auto"/>
          <w:kern w:val="2"/>
          <w:sz w:val="22"/>
          <w:szCs w:val="22"/>
          <w:highlight w:val="none"/>
        </w:rPr>
      </w:pPr>
      <w:r>
        <w:rPr>
          <w:rFonts w:hint="eastAsia" w:ascii="宋体" w:hAnsi="宋体" w:cs="宋体"/>
          <w:b/>
          <w:color w:val="auto"/>
          <w:szCs w:val="21"/>
          <w:highlight w:val="none"/>
        </w:rPr>
        <w:br w:type="page"/>
      </w:r>
    </w:p>
    <w:p w14:paraId="0A205A6A">
      <w:pPr>
        <w:pStyle w:val="2"/>
        <w:bidi w:val="0"/>
        <w:rPr>
          <w:rFonts w:hint="eastAsia"/>
          <w:color w:val="auto"/>
          <w:highlight w:val="none"/>
        </w:rPr>
      </w:pPr>
      <w:bookmarkStart w:id="98" w:name="_Toc3262"/>
      <w:bookmarkStart w:id="99" w:name="_Toc1048"/>
      <w:r>
        <w:rPr>
          <w:rFonts w:hint="eastAsia"/>
          <w:color w:val="auto"/>
          <w:highlight w:val="none"/>
        </w:rPr>
        <w:t>第五章  合同主要条款</w:t>
      </w:r>
      <w:bookmarkEnd w:id="98"/>
      <w:bookmarkEnd w:id="99"/>
    </w:p>
    <w:p w14:paraId="345391A9">
      <w:pPr>
        <w:keepNext w:val="0"/>
        <w:keepLines w:val="0"/>
        <w:pageBreakBefore w:val="0"/>
        <w:widowControl w:val="0"/>
        <w:kinsoku/>
        <w:wordWrap/>
        <w:overflowPunct/>
        <w:topLinePunct w:val="0"/>
        <w:autoSpaceDE/>
        <w:autoSpaceDN/>
        <w:bidi w:val="0"/>
        <w:adjustRightInd/>
        <w:snapToGrid/>
        <w:spacing w:before="0" w:after="0" w:line="600" w:lineRule="exact"/>
        <w:textAlignment w:val="auto"/>
        <w:outlineLvl w:val="9"/>
        <w:rPr>
          <w:rFonts w:hint="eastAsia" w:ascii="宋体" w:hAnsi="宋体" w:cs="宋体"/>
          <w:b w:val="0"/>
          <w:color w:val="auto"/>
          <w:kern w:val="0"/>
          <w:sz w:val="36"/>
          <w:szCs w:val="36"/>
          <w:highlight w:val="none"/>
        </w:rPr>
      </w:pPr>
      <w:bookmarkStart w:id="100" w:name="_Toc31109"/>
    </w:p>
    <w:p w14:paraId="4B64ED55">
      <w:pPr>
        <w:keepNext w:val="0"/>
        <w:keepLines w:val="0"/>
        <w:pageBreakBefore w:val="0"/>
        <w:widowControl w:val="0"/>
        <w:kinsoku/>
        <w:wordWrap/>
        <w:overflowPunct/>
        <w:topLinePunct w:val="0"/>
        <w:autoSpaceDE/>
        <w:autoSpaceDN/>
        <w:bidi w:val="0"/>
        <w:adjustRightInd/>
        <w:snapToGrid/>
        <w:spacing w:before="0" w:after="0" w:line="600" w:lineRule="exact"/>
        <w:textAlignment w:val="auto"/>
        <w:outlineLvl w:val="9"/>
        <w:rPr>
          <w:rFonts w:hint="eastAsia" w:ascii="宋体" w:hAnsi="宋体" w:cs="宋体"/>
          <w:b w:val="0"/>
          <w:color w:val="auto"/>
          <w:kern w:val="0"/>
          <w:sz w:val="36"/>
          <w:szCs w:val="36"/>
          <w:highlight w:val="none"/>
        </w:rPr>
      </w:pPr>
    </w:p>
    <w:p w14:paraId="602428AE">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政府采购合同</w:t>
      </w:r>
      <w:bookmarkEnd w:id="100"/>
    </w:p>
    <w:p w14:paraId="3648D9E8">
      <w:pPr>
        <w:pStyle w:val="10"/>
        <w:spacing w:line="600" w:lineRule="exact"/>
        <w:rPr>
          <w:rFonts w:hint="eastAsia" w:hAnsi="宋体" w:cs="宋体"/>
          <w:color w:val="auto"/>
          <w:highlight w:val="none"/>
        </w:rPr>
      </w:pPr>
    </w:p>
    <w:p w14:paraId="34A051DF">
      <w:pPr>
        <w:pStyle w:val="10"/>
        <w:spacing w:line="600" w:lineRule="exact"/>
        <w:rPr>
          <w:rFonts w:hint="eastAsia" w:hAnsi="宋体" w:cs="宋体"/>
          <w:color w:val="auto"/>
          <w:highlight w:val="none"/>
        </w:rPr>
      </w:pPr>
    </w:p>
    <w:p w14:paraId="7225D8D3">
      <w:pPr>
        <w:pStyle w:val="10"/>
        <w:spacing w:line="600" w:lineRule="exact"/>
        <w:rPr>
          <w:rFonts w:hint="eastAsia" w:hAnsi="宋体" w:cs="宋体"/>
          <w:color w:val="auto"/>
          <w:highlight w:val="none"/>
        </w:rPr>
      </w:pPr>
    </w:p>
    <w:p w14:paraId="76AD9E23">
      <w:pPr>
        <w:pStyle w:val="10"/>
        <w:spacing w:line="600" w:lineRule="exact"/>
        <w:rPr>
          <w:rFonts w:hint="eastAsia" w:hAnsi="宋体" w:cs="宋体"/>
          <w:color w:val="auto"/>
          <w:highlight w:val="none"/>
        </w:rPr>
      </w:pPr>
    </w:p>
    <w:p w14:paraId="7ACF67A7">
      <w:pPr>
        <w:pStyle w:val="10"/>
        <w:spacing w:line="600" w:lineRule="exact"/>
        <w:rPr>
          <w:rFonts w:hint="eastAsia" w:hAnsi="宋体" w:cs="宋体"/>
          <w:color w:val="auto"/>
          <w:highlight w:val="none"/>
        </w:rPr>
      </w:pPr>
    </w:p>
    <w:p w14:paraId="6CE6C67B">
      <w:pPr>
        <w:pStyle w:val="10"/>
        <w:spacing w:line="700" w:lineRule="exact"/>
        <w:ind w:firstLine="1799" w:firstLineChars="640"/>
        <w:rPr>
          <w:rFonts w:hint="eastAsia" w:hAnsi="宋体" w:cs="宋体"/>
          <w:b/>
          <w:color w:val="auto"/>
          <w:sz w:val="28"/>
          <w:szCs w:val="28"/>
          <w:highlight w:val="none"/>
          <w:u w:val="single"/>
        </w:rPr>
      </w:pPr>
      <w:r>
        <w:rPr>
          <w:rFonts w:hint="eastAsia" w:hAnsi="宋体" w:cs="宋体"/>
          <w:b/>
          <w:color w:val="auto"/>
          <w:sz w:val="28"/>
          <w:szCs w:val="28"/>
          <w:highlight w:val="none"/>
        </w:rPr>
        <w:t>合同名称：</w:t>
      </w:r>
      <w:r>
        <w:rPr>
          <w:rFonts w:hint="eastAsia" w:hAnsi="宋体" w:cs="宋体"/>
          <w:b/>
          <w:color w:val="auto"/>
          <w:sz w:val="28"/>
          <w:szCs w:val="28"/>
          <w:highlight w:val="none"/>
          <w:u w:val="single"/>
        </w:rPr>
        <w:t xml:space="preserve">                          </w:t>
      </w:r>
    </w:p>
    <w:p w14:paraId="660570B9">
      <w:pPr>
        <w:pStyle w:val="10"/>
        <w:spacing w:line="700" w:lineRule="exact"/>
        <w:ind w:firstLine="1799" w:firstLineChars="640"/>
        <w:rPr>
          <w:rFonts w:hint="eastAsia" w:hAnsi="宋体" w:cs="宋体"/>
          <w:b/>
          <w:color w:val="auto"/>
          <w:sz w:val="28"/>
          <w:szCs w:val="28"/>
          <w:highlight w:val="none"/>
          <w:u w:val="single"/>
        </w:rPr>
      </w:pPr>
      <w:r>
        <w:rPr>
          <w:rFonts w:hint="eastAsia" w:hAnsi="宋体" w:cs="宋体"/>
          <w:b/>
          <w:color w:val="auto"/>
          <w:sz w:val="28"/>
          <w:szCs w:val="28"/>
          <w:highlight w:val="none"/>
        </w:rPr>
        <w:t>合同编号：</w:t>
      </w:r>
      <w:r>
        <w:rPr>
          <w:rFonts w:hint="eastAsia" w:hAnsi="宋体" w:cs="宋体"/>
          <w:b/>
          <w:color w:val="auto"/>
          <w:sz w:val="28"/>
          <w:szCs w:val="28"/>
          <w:highlight w:val="none"/>
          <w:u w:val="single"/>
        </w:rPr>
        <w:t xml:space="preserve">                          </w:t>
      </w:r>
    </w:p>
    <w:p w14:paraId="35DD5CC5">
      <w:pPr>
        <w:pStyle w:val="10"/>
        <w:spacing w:line="700" w:lineRule="exact"/>
        <w:ind w:firstLine="1799" w:firstLineChars="640"/>
        <w:rPr>
          <w:rFonts w:hint="eastAsia" w:hAnsi="宋体" w:cs="宋体"/>
          <w:b/>
          <w:color w:val="auto"/>
          <w:sz w:val="28"/>
          <w:szCs w:val="28"/>
          <w:highlight w:val="none"/>
        </w:rPr>
      </w:pPr>
    </w:p>
    <w:p w14:paraId="395E27C3">
      <w:pPr>
        <w:pStyle w:val="10"/>
        <w:spacing w:line="700" w:lineRule="exact"/>
        <w:ind w:firstLine="1799" w:firstLineChars="640"/>
        <w:rPr>
          <w:rFonts w:hint="eastAsia" w:hAnsi="宋体" w:cs="宋体"/>
          <w:b/>
          <w:color w:val="auto"/>
          <w:sz w:val="28"/>
          <w:szCs w:val="28"/>
          <w:highlight w:val="none"/>
        </w:rPr>
      </w:pPr>
      <w:r>
        <w:rPr>
          <w:rFonts w:hint="eastAsia" w:hAnsi="宋体" w:cs="宋体"/>
          <w:b/>
          <w:color w:val="auto"/>
          <w:sz w:val="28"/>
          <w:szCs w:val="28"/>
          <w:highlight w:val="none"/>
        </w:rPr>
        <w:t>采购人（甲方）</w:t>
      </w:r>
      <w:r>
        <w:rPr>
          <w:rFonts w:hint="eastAsia" w:hAnsi="宋体" w:cs="宋体"/>
          <w:b/>
          <w:color w:val="auto"/>
          <w:sz w:val="28"/>
          <w:szCs w:val="28"/>
          <w:highlight w:val="none"/>
          <w:u w:val="single"/>
        </w:rPr>
        <w:t xml:space="preserve">                      </w:t>
      </w:r>
    </w:p>
    <w:p w14:paraId="08774687">
      <w:pPr>
        <w:pStyle w:val="10"/>
        <w:spacing w:line="700" w:lineRule="exact"/>
        <w:ind w:firstLine="1799" w:firstLineChars="640"/>
        <w:rPr>
          <w:rFonts w:hint="eastAsia" w:hAnsi="宋体" w:cs="宋体"/>
          <w:b/>
          <w:color w:val="auto"/>
          <w:sz w:val="28"/>
          <w:szCs w:val="28"/>
          <w:highlight w:val="none"/>
        </w:rPr>
      </w:pPr>
      <w:r>
        <w:rPr>
          <w:rFonts w:hint="eastAsia" w:hAnsi="宋体" w:cs="宋体"/>
          <w:b/>
          <w:color w:val="auto"/>
          <w:sz w:val="28"/>
          <w:szCs w:val="28"/>
          <w:highlight w:val="none"/>
        </w:rPr>
        <w:t>供 应 商（乙方）</w:t>
      </w:r>
      <w:r>
        <w:rPr>
          <w:rFonts w:hint="eastAsia" w:hAnsi="宋体" w:cs="宋体"/>
          <w:b/>
          <w:color w:val="auto"/>
          <w:sz w:val="28"/>
          <w:szCs w:val="28"/>
          <w:highlight w:val="none"/>
          <w:u w:val="single"/>
        </w:rPr>
        <w:t xml:space="preserve">                    </w:t>
      </w:r>
    </w:p>
    <w:p w14:paraId="753EC67A">
      <w:pPr>
        <w:pStyle w:val="10"/>
        <w:spacing w:line="700" w:lineRule="exact"/>
        <w:ind w:firstLine="1799" w:firstLineChars="640"/>
        <w:rPr>
          <w:rFonts w:hint="eastAsia" w:hAnsi="宋体" w:cs="宋体"/>
          <w:b/>
          <w:color w:val="auto"/>
          <w:sz w:val="28"/>
          <w:szCs w:val="28"/>
          <w:highlight w:val="none"/>
        </w:rPr>
      </w:pPr>
    </w:p>
    <w:p w14:paraId="5EF08A1E">
      <w:pPr>
        <w:pStyle w:val="10"/>
        <w:spacing w:line="700" w:lineRule="exact"/>
        <w:ind w:firstLine="1799" w:firstLineChars="640"/>
        <w:rPr>
          <w:rFonts w:hint="eastAsia" w:hAnsi="宋体" w:cs="宋体"/>
          <w:b/>
          <w:color w:val="auto"/>
          <w:sz w:val="28"/>
          <w:szCs w:val="28"/>
          <w:highlight w:val="none"/>
          <w:u w:val="single"/>
        </w:rPr>
      </w:pPr>
      <w:r>
        <w:rPr>
          <w:rFonts w:hint="eastAsia" w:hAnsi="宋体" w:cs="宋体"/>
          <w:b/>
          <w:color w:val="auto"/>
          <w:sz w:val="28"/>
          <w:szCs w:val="28"/>
          <w:highlight w:val="none"/>
        </w:rPr>
        <w:t>签订合同地点：</w:t>
      </w:r>
      <w:r>
        <w:rPr>
          <w:rFonts w:hint="eastAsia" w:hAnsi="宋体" w:cs="宋体"/>
          <w:b/>
          <w:color w:val="auto"/>
          <w:sz w:val="28"/>
          <w:szCs w:val="28"/>
          <w:highlight w:val="none"/>
          <w:u w:val="single"/>
        </w:rPr>
        <w:t xml:space="preserve">                      </w:t>
      </w:r>
    </w:p>
    <w:p w14:paraId="31AA955F">
      <w:pPr>
        <w:pStyle w:val="10"/>
        <w:spacing w:line="700" w:lineRule="exact"/>
        <w:ind w:firstLine="1799" w:firstLineChars="640"/>
        <w:rPr>
          <w:rFonts w:hint="eastAsia" w:hAnsi="宋体" w:cs="宋体"/>
          <w:b/>
          <w:color w:val="auto"/>
          <w:sz w:val="28"/>
          <w:szCs w:val="28"/>
          <w:highlight w:val="none"/>
        </w:rPr>
      </w:pPr>
      <w:r>
        <w:rPr>
          <w:rFonts w:hint="eastAsia" w:hAnsi="宋体" w:cs="宋体"/>
          <w:b/>
          <w:color w:val="auto"/>
          <w:sz w:val="28"/>
          <w:szCs w:val="28"/>
          <w:highlight w:val="none"/>
        </w:rPr>
        <w:t>签订合同时间：</w:t>
      </w:r>
      <w:r>
        <w:rPr>
          <w:rFonts w:hint="eastAsia" w:hAnsi="宋体" w:cs="宋体"/>
          <w:b/>
          <w:color w:val="auto"/>
          <w:sz w:val="28"/>
          <w:szCs w:val="28"/>
          <w:highlight w:val="none"/>
          <w:u w:val="single"/>
        </w:rPr>
        <w:t xml:space="preserve">                      </w:t>
      </w:r>
    </w:p>
    <w:p w14:paraId="26FF42BD">
      <w:pPr>
        <w:pStyle w:val="10"/>
        <w:jc w:val="center"/>
        <w:rPr>
          <w:rFonts w:hint="eastAsia" w:hAnsi="宋体" w:cs="宋体"/>
          <w:color w:val="auto"/>
          <w:highlight w:val="none"/>
        </w:rPr>
      </w:pPr>
      <w:r>
        <w:rPr>
          <w:rFonts w:hint="eastAsia" w:hAnsi="宋体" w:cs="宋体"/>
          <w:color w:val="auto"/>
          <w:highlight w:val="none"/>
        </w:rPr>
        <w:t xml:space="preserve"> </w:t>
      </w:r>
    </w:p>
    <w:p w14:paraId="5D2DD8C9">
      <w:pPr>
        <w:pStyle w:val="10"/>
        <w:rPr>
          <w:rFonts w:hint="eastAsia" w:hAnsi="宋体" w:cs="宋体"/>
          <w:color w:val="auto"/>
          <w:highlight w:val="none"/>
        </w:rPr>
      </w:pPr>
    </w:p>
    <w:p w14:paraId="4302DDAC">
      <w:pPr>
        <w:pStyle w:val="10"/>
        <w:spacing w:line="360" w:lineRule="exact"/>
        <w:ind w:firstLine="420" w:firstLineChars="200"/>
        <w:rPr>
          <w:rFonts w:hint="eastAsia" w:hAnsi="宋体" w:cs="宋体"/>
          <w:color w:val="auto"/>
          <w:highlight w:val="none"/>
        </w:rPr>
      </w:pPr>
    </w:p>
    <w:p w14:paraId="2DC93437">
      <w:pPr>
        <w:spacing w:line="600" w:lineRule="exact"/>
        <w:jc w:val="both"/>
        <w:rPr>
          <w:rFonts w:hint="eastAsia" w:ascii="宋体" w:hAnsi="宋体" w:cs="宋体"/>
          <w:color w:val="auto"/>
          <w:kern w:val="0"/>
          <w:sz w:val="36"/>
          <w:szCs w:val="36"/>
          <w:highlight w:val="none"/>
        </w:rPr>
      </w:pPr>
    </w:p>
    <w:p w14:paraId="54A148CA">
      <w:pPr>
        <w:spacing w:line="600" w:lineRule="exact"/>
        <w:jc w:val="both"/>
        <w:rPr>
          <w:rFonts w:hint="eastAsia" w:ascii="宋体" w:hAnsi="宋体" w:cs="宋体"/>
          <w:color w:val="auto"/>
          <w:kern w:val="0"/>
          <w:sz w:val="36"/>
          <w:szCs w:val="36"/>
          <w:highlight w:val="none"/>
        </w:rPr>
      </w:pPr>
    </w:p>
    <w:p w14:paraId="132E87C2">
      <w:pP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br w:type="page"/>
      </w:r>
    </w:p>
    <w:p w14:paraId="34A9523C">
      <w:pPr>
        <w:spacing w:line="600" w:lineRule="exact"/>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采购合同文本</w:t>
      </w:r>
    </w:p>
    <w:p w14:paraId="21418319">
      <w:pPr>
        <w:snapToGrid w:val="0"/>
        <w:spacing w:before="156" w:beforeLines="50" w:after="156" w:afterLines="50" w:line="600" w:lineRule="exact"/>
        <w:jc w:val="center"/>
        <w:rPr>
          <w:rFonts w:hint="eastAsia" w:ascii="宋体" w:hAnsi="宋体" w:cs="宋体"/>
          <w:color w:val="auto"/>
          <w:szCs w:val="21"/>
          <w:highlight w:val="none"/>
        </w:rPr>
      </w:pPr>
      <w:r>
        <w:rPr>
          <w:rFonts w:hint="eastAsia" w:ascii="宋体" w:hAnsi="宋体" w:cs="宋体"/>
          <w:b/>
          <w:bCs/>
          <w:color w:val="auto"/>
          <w:sz w:val="32"/>
          <w:szCs w:val="32"/>
          <w:highlight w:val="none"/>
        </w:rPr>
        <w:t>政府采购合同</w:t>
      </w:r>
    </w:p>
    <w:p w14:paraId="6E3A566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rPr>
        <w:t>合同编号：</w:t>
      </w:r>
      <w:r>
        <w:rPr>
          <w:rFonts w:hint="eastAsia" w:ascii="宋体" w:hAnsi="宋体" w:cs="宋体"/>
          <w:bCs/>
          <w:color w:val="auto"/>
          <w:sz w:val="22"/>
          <w:szCs w:val="22"/>
          <w:highlight w:val="none"/>
          <w:u w:val="single"/>
        </w:rPr>
        <w:t xml:space="preserve">                  </w:t>
      </w:r>
      <w:r>
        <w:rPr>
          <w:rFonts w:hint="eastAsia" w:ascii="宋体" w:hAnsi="宋体" w:eastAsia="宋体" w:cs="宋体"/>
          <w:bCs/>
          <w:color w:val="auto"/>
          <w:sz w:val="22"/>
          <w:szCs w:val="22"/>
          <w:highlight w:val="none"/>
          <w:lang w:val="en-US" w:eastAsia="zh-CN"/>
        </w:rPr>
        <w:t xml:space="preserve">                       采购计划编号：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6B60A8EE">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采购人（甲方）：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5EA270BD">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供应商（乙方）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0EECEE4A">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7D821EF7">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cs="宋体"/>
          <w:color w:val="auto"/>
          <w:sz w:val="22"/>
          <w:szCs w:val="22"/>
          <w:highlight w:val="none"/>
          <w:u w:val="single"/>
        </w:rPr>
      </w:pPr>
      <w:r>
        <w:rPr>
          <w:rFonts w:hint="eastAsia" w:ascii="宋体" w:hAnsi="宋体" w:cs="宋体"/>
          <w:color w:val="auto"/>
          <w:spacing w:val="-20"/>
          <w:sz w:val="22"/>
          <w:szCs w:val="22"/>
          <w:highlight w:val="none"/>
        </w:rPr>
        <w:t>项 目 编 号</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p>
    <w:p w14:paraId="651E214A">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签订地点 ：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6D96B0EC">
      <w:pPr>
        <w:keepNext w:val="0"/>
        <w:keepLines w:val="0"/>
        <w:pageBreakBefore w:val="0"/>
        <w:widowControl w:val="0"/>
        <w:kinsoku/>
        <w:wordWrap/>
        <w:overflowPunct/>
        <w:topLinePunct w:val="0"/>
        <w:autoSpaceDE/>
        <w:autoSpaceDN/>
        <w:bidi w:val="0"/>
        <w:snapToGrid w:val="0"/>
        <w:spacing w:line="360" w:lineRule="exact"/>
        <w:textAlignment w:val="auto"/>
        <w:rPr>
          <w:rFonts w:hint="default" w:ascii="宋体" w:hAnsi="宋体" w:cs="宋体" w:eastAsiaTheme="minorEastAsia"/>
          <w:color w:val="auto"/>
          <w:sz w:val="22"/>
          <w:szCs w:val="22"/>
          <w:highlight w:val="none"/>
          <w:u w:val="single"/>
          <w:lang w:val="en-US" w:eastAsia="zh-CN"/>
        </w:rPr>
      </w:pPr>
      <w:r>
        <w:rPr>
          <w:rFonts w:hint="eastAsia" w:ascii="宋体" w:hAnsi="宋体" w:cs="宋体"/>
          <w:color w:val="auto"/>
          <w:sz w:val="22"/>
          <w:szCs w:val="22"/>
          <w:highlight w:val="none"/>
        </w:rPr>
        <w:t xml:space="preserve">签订时间：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p>
    <w:p w14:paraId="646B925C">
      <w:pPr>
        <w:snapToGrid w:val="0"/>
        <w:spacing w:line="360" w:lineRule="exact"/>
        <w:rPr>
          <w:rFonts w:hint="eastAsia" w:ascii="宋体" w:hAnsi="宋体" w:cs="宋体"/>
          <w:color w:val="auto"/>
          <w:sz w:val="22"/>
          <w:szCs w:val="22"/>
          <w:highlight w:val="none"/>
        </w:rPr>
      </w:pPr>
    </w:p>
    <w:p w14:paraId="11547A36">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根据《中华人民共和国政府采购法》、《中华人民共和国</w:t>
      </w:r>
      <w:r>
        <w:rPr>
          <w:rFonts w:hint="eastAsia" w:ascii="宋体" w:hAnsi="宋体" w:cs="宋体"/>
          <w:color w:val="auto"/>
          <w:sz w:val="22"/>
          <w:szCs w:val="22"/>
          <w:highlight w:val="none"/>
          <w:lang w:eastAsia="zh-CN"/>
        </w:rPr>
        <w:t>民法典</w:t>
      </w:r>
      <w:r>
        <w:rPr>
          <w:rFonts w:hint="eastAsia" w:ascii="宋体" w:hAnsi="宋体" w:cs="宋体"/>
          <w:color w:val="auto"/>
          <w:sz w:val="22"/>
          <w:szCs w:val="22"/>
          <w:highlight w:val="none"/>
        </w:rPr>
        <w:t>》等法律、法规规定，按照竞争性谈判文件（以下简称“谈判文件”）规定条款和成交供应商竞争性谈判响应文件（以下简称“响应文件”）及其承诺，甲乙双方签订本合同。</w:t>
      </w:r>
    </w:p>
    <w:p w14:paraId="0019B42C">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第一条　合同标的</w:t>
      </w:r>
    </w:p>
    <w:p w14:paraId="3DC3F6B8">
      <w:pPr>
        <w:keepNext w:val="0"/>
        <w:keepLines w:val="0"/>
        <w:pageBreakBefore w:val="0"/>
        <w:widowControl w:val="0"/>
        <w:kinsoku/>
        <w:wordWrap/>
        <w:overflowPunct/>
        <w:topLinePunct w:val="0"/>
        <w:autoSpaceDE/>
        <w:autoSpaceDN/>
        <w:bidi w:val="0"/>
        <w:adjustRightInd w:val="0"/>
        <w:snapToGrid w:val="0"/>
        <w:spacing w:after="156" w:afterLines="50"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1.供货一览表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52"/>
        <w:gridCol w:w="1042"/>
        <w:gridCol w:w="1148"/>
        <w:gridCol w:w="1147"/>
        <w:gridCol w:w="657"/>
        <w:gridCol w:w="1041"/>
        <w:gridCol w:w="1066"/>
        <w:gridCol w:w="1405"/>
      </w:tblGrid>
      <w:tr w14:paraId="136E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27" w:type="dxa"/>
            <w:noWrap w:val="0"/>
            <w:vAlign w:val="center"/>
          </w:tcPr>
          <w:p w14:paraId="095800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252" w:type="dxa"/>
            <w:noWrap w:val="0"/>
            <w:vAlign w:val="center"/>
          </w:tcPr>
          <w:p w14:paraId="74045E2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产品</w:t>
            </w:r>
          </w:p>
          <w:p w14:paraId="06BC11F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名称</w:t>
            </w:r>
          </w:p>
        </w:tc>
        <w:tc>
          <w:tcPr>
            <w:tcW w:w="1042" w:type="dxa"/>
            <w:noWrap w:val="0"/>
            <w:vAlign w:val="center"/>
          </w:tcPr>
          <w:p w14:paraId="1680445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商标</w:t>
            </w:r>
          </w:p>
          <w:p w14:paraId="77C8013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品牌</w:t>
            </w:r>
          </w:p>
        </w:tc>
        <w:tc>
          <w:tcPr>
            <w:tcW w:w="1148" w:type="dxa"/>
            <w:noWrap w:val="0"/>
            <w:vAlign w:val="center"/>
          </w:tcPr>
          <w:p w14:paraId="7CC4FB0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规格</w:t>
            </w:r>
          </w:p>
          <w:p w14:paraId="2F8266C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型号</w:t>
            </w:r>
          </w:p>
        </w:tc>
        <w:tc>
          <w:tcPr>
            <w:tcW w:w="1147" w:type="dxa"/>
            <w:noWrap w:val="0"/>
            <w:vAlign w:val="center"/>
          </w:tcPr>
          <w:p w14:paraId="69907D2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生产</w:t>
            </w:r>
          </w:p>
          <w:p w14:paraId="2A247BD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厂家</w:t>
            </w:r>
          </w:p>
        </w:tc>
        <w:tc>
          <w:tcPr>
            <w:tcW w:w="657" w:type="dxa"/>
            <w:noWrap w:val="0"/>
            <w:vAlign w:val="center"/>
          </w:tcPr>
          <w:p w14:paraId="3E0C180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数  量</w:t>
            </w:r>
          </w:p>
        </w:tc>
        <w:tc>
          <w:tcPr>
            <w:tcW w:w="1041" w:type="dxa"/>
            <w:noWrap w:val="0"/>
            <w:vAlign w:val="center"/>
          </w:tcPr>
          <w:p w14:paraId="3055F9C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单位</w:t>
            </w:r>
          </w:p>
        </w:tc>
        <w:tc>
          <w:tcPr>
            <w:tcW w:w="1066" w:type="dxa"/>
            <w:noWrap w:val="0"/>
            <w:vAlign w:val="center"/>
          </w:tcPr>
          <w:p w14:paraId="2F4DFA7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单  价</w:t>
            </w:r>
          </w:p>
          <w:p w14:paraId="283DF62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（元）</w:t>
            </w:r>
          </w:p>
        </w:tc>
        <w:tc>
          <w:tcPr>
            <w:tcW w:w="1405" w:type="dxa"/>
            <w:noWrap w:val="0"/>
            <w:vAlign w:val="center"/>
          </w:tcPr>
          <w:p w14:paraId="093D936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金  额</w:t>
            </w:r>
          </w:p>
          <w:p w14:paraId="5BFC8C5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（元）</w:t>
            </w:r>
          </w:p>
        </w:tc>
      </w:tr>
      <w:tr w14:paraId="0AB8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noWrap w:val="0"/>
            <w:vAlign w:val="center"/>
          </w:tcPr>
          <w:p w14:paraId="2D602C7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详细内容见报价表附件</w:t>
            </w:r>
          </w:p>
        </w:tc>
      </w:tr>
      <w:tr w14:paraId="45D0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noWrap w:val="0"/>
            <w:vAlign w:val="center"/>
          </w:tcPr>
          <w:p w14:paraId="6A8378D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人民币合计金额（大写）                          （小写）                 </w:t>
            </w:r>
          </w:p>
        </w:tc>
      </w:tr>
    </w:tbl>
    <w:p w14:paraId="6CE7627F">
      <w:pPr>
        <w:keepNext w:val="0"/>
        <w:keepLines w:val="0"/>
        <w:pageBreakBefore w:val="0"/>
        <w:widowControl w:val="0"/>
        <w:kinsoku/>
        <w:wordWrap/>
        <w:overflowPunct/>
        <w:topLinePunct w:val="0"/>
        <w:autoSpaceDE/>
        <w:autoSpaceDN/>
        <w:bidi w:val="0"/>
        <w:adjustRightInd w:val="0"/>
        <w:snapToGrid w:val="0"/>
        <w:spacing w:line="360" w:lineRule="exact"/>
        <w:ind w:right="420"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2.合同合计金额包括货物价款，备件、专用工具、安装、调试、检验、技术培训及技术资料和包装、运输等全部费用。如谈判文件、响应文件对其另有规定的，从其规定。</w:t>
      </w:r>
    </w:p>
    <w:p w14:paraId="36EE5FAD">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cs="宋体"/>
          <w:color w:val="auto"/>
          <w:sz w:val="22"/>
          <w:szCs w:val="22"/>
          <w:highlight w:val="none"/>
        </w:rPr>
      </w:pPr>
      <w:r>
        <w:rPr>
          <w:rFonts w:hint="eastAsia" w:ascii="宋体" w:hAnsi="宋体" w:cs="宋体"/>
          <w:b/>
          <w:color w:val="auto"/>
          <w:sz w:val="22"/>
          <w:szCs w:val="22"/>
          <w:highlight w:val="none"/>
        </w:rPr>
        <w:t>第二条　质量保证</w:t>
      </w:r>
    </w:p>
    <w:p w14:paraId="441EFEB3">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1.乙方所提供的货物型号、技术规格、技术参数等质量必须与谈判文件、响应文件和承诺相一致。乙方提供的节能和环保产品必须是列入政府采购清单的产品。</w:t>
      </w:r>
    </w:p>
    <w:p w14:paraId="3BB541D2">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2.乙方所提供的货物必须是全新、未经使用的原装产品，且在正常安装、使用和保养条件下，其使用寿命期内各项指标均达到质量要求。</w:t>
      </w:r>
    </w:p>
    <w:p w14:paraId="4F3C7AC3">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cs="宋体"/>
          <w:color w:val="auto"/>
          <w:sz w:val="22"/>
          <w:szCs w:val="22"/>
          <w:highlight w:val="none"/>
        </w:rPr>
      </w:pPr>
      <w:r>
        <w:rPr>
          <w:rFonts w:hint="eastAsia" w:ascii="宋体" w:hAnsi="宋体" w:cs="宋体"/>
          <w:b/>
          <w:color w:val="auto"/>
          <w:sz w:val="22"/>
          <w:szCs w:val="22"/>
          <w:highlight w:val="none"/>
        </w:rPr>
        <w:t>第三条　权力保证</w:t>
      </w:r>
    </w:p>
    <w:p w14:paraId="72FA6A03">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乙方应保证所提供货物在使用时不会侵犯任何第三方的专利权、商标权、工业设计权或其他权利。</w:t>
      </w:r>
    </w:p>
    <w:p w14:paraId="2C5C9035">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乙方应按谈判文件规定的时间或响应文件承诺的时间向甲方提供使用货物的有关技术资料。</w:t>
      </w:r>
    </w:p>
    <w:p w14:paraId="265A7DCA">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D0F2C3">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乙方保证所交付的货物的所有权完全属于乙方且无任何抵押、质押、查封等产权瑕疵。</w:t>
      </w:r>
    </w:p>
    <w:p w14:paraId="2F67A3F1">
      <w:pPr>
        <w:adjustRightInd w:val="0"/>
        <w:snapToGrid w:val="0"/>
        <w:spacing w:line="38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第四条　包装和运输</w:t>
      </w:r>
    </w:p>
    <w:p w14:paraId="5E515B91">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1.乙方提供的货物均应按谈判文件、响应文件要求的包装材料、包装标准、包装方式进行包装，每一包装单元内应附详细的装箱单和质量合格证。</w:t>
      </w:r>
    </w:p>
    <w:p w14:paraId="012C2174">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2.货物的运输方式：</w:t>
      </w:r>
      <w:r>
        <w:rPr>
          <w:rFonts w:hint="eastAsia" w:ascii="宋体" w:hAnsi="宋体" w:cs="宋体"/>
          <w:color w:val="auto"/>
          <w:sz w:val="22"/>
          <w:szCs w:val="22"/>
          <w:highlight w:val="none"/>
          <w:u w:val="single"/>
        </w:rPr>
        <w:t xml:space="preserve">             。</w:t>
      </w:r>
    </w:p>
    <w:p w14:paraId="35FCB2C2">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3.乙方负责货物运输，货物运输合理损耗及计算方法：</w:t>
      </w:r>
      <w:r>
        <w:rPr>
          <w:rFonts w:hint="eastAsia" w:ascii="宋体" w:hAnsi="宋体" w:cs="宋体"/>
          <w:color w:val="auto"/>
          <w:sz w:val="22"/>
          <w:szCs w:val="22"/>
          <w:highlight w:val="none"/>
          <w:u w:val="single"/>
        </w:rPr>
        <w:t xml:space="preserve">                 。</w:t>
      </w:r>
    </w:p>
    <w:p w14:paraId="700C1C64">
      <w:pPr>
        <w:adjustRightInd w:val="0"/>
        <w:snapToGrid w:val="0"/>
        <w:spacing w:line="360" w:lineRule="exact"/>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第五条　交付和验收</w:t>
      </w:r>
    </w:p>
    <w:p w14:paraId="1AF79797">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1.交</w:t>
      </w:r>
      <w:r>
        <w:rPr>
          <w:rFonts w:hint="eastAsia" w:ascii="宋体" w:hAnsi="宋体" w:cs="宋体"/>
          <w:color w:val="auto"/>
          <w:sz w:val="22"/>
          <w:szCs w:val="22"/>
          <w:highlight w:val="none"/>
          <w:lang w:eastAsia="zh-CN"/>
        </w:rPr>
        <w:t>货期</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交货</w:t>
      </w:r>
      <w:r>
        <w:rPr>
          <w:rFonts w:hint="eastAsia" w:ascii="宋体" w:hAnsi="宋体" w:cs="宋体"/>
          <w:color w:val="auto"/>
          <w:sz w:val="22"/>
          <w:szCs w:val="22"/>
          <w:highlight w:val="none"/>
        </w:rPr>
        <w:t>地点：</w:t>
      </w:r>
      <w:r>
        <w:rPr>
          <w:rFonts w:hint="eastAsia" w:ascii="宋体" w:hAnsi="宋体" w:cs="宋体"/>
          <w:color w:val="auto"/>
          <w:sz w:val="22"/>
          <w:szCs w:val="22"/>
          <w:highlight w:val="none"/>
          <w:u w:val="single"/>
        </w:rPr>
        <w:t xml:space="preserve">                         。</w:t>
      </w:r>
    </w:p>
    <w:p w14:paraId="7C13F385">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提供不符合谈判文件、响应文件和本合同规定的货物，</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有权拒绝接受。</w:t>
      </w:r>
    </w:p>
    <w:p w14:paraId="76523A6C">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应将所提供货物的装箱清单、用户手册、原厂保修卡、随机资料、工具和备品、备件等交付给</w:t>
      </w:r>
      <w:r>
        <w:rPr>
          <w:rFonts w:hint="eastAsia" w:ascii="宋体" w:hAnsi="宋体" w:cs="宋体"/>
          <w:color w:val="auto"/>
          <w:sz w:val="22"/>
          <w:szCs w:val="22"/>
          <w:highlight w:val="none"/>
          <w:lang w:eastAsia="zh-CN"/>
        </w:rPr>
        <w:t>采购方</w:t>
      </w:r>
      <w:r>
        <w:rPr>
          <w:rFonts w:hint="eastAsia" w:ascii="宋体" w:hAnsi="宋体" w:cs="宋体"/>
          <w:color w:val="auto"/>
          <w:sz w:val="22"/>
          <w:szCs w:val="22"/>
          <w:highlight w:val="none"/>
        </w:rPr>
        <w:t>，如有缺失应及时补齐，否则视为逾期交货。</w:t>
      </w:r>
    </w:p>
    <w:p w14:paraId="67323C93">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在到货</w:t>
      </w:r>
      <w:r>
        <w:rPr>
          <w:rFonts w:hint="eastAsia" w:ascii="宋体" w:hAnsi="宋体" w:cs="宋体"/>
          <w:color w:val="auto"/>
          <w:sz w:val="22"/>
          <w:szCs w:val="22"/>
          <w:highlight w:val="none"/>
          <w:lang w:eastAsia="zh-CN"/>
        </w:rPr>
        <w:t>时进行初步验收，货物使用</w:t>
      </w:r>
      <w:r>
        <w:rPr>
          <w:rFonts w:hint="eastAsia" w:ascii="宋体" w:hAnsi="宋体" w:cs="宋体"/>
          <w:color w:val="auto"/>
          <w:sz w:val="22"/>
          <w:szCs w:val="22"/>
          <w:highlight w:val="none"/>
        </w:rPr>
        <w:t>后七个工作日内进行</w:t>
      </w:r>
      <w:r>
        <w:rPr>
          <w:rFonts w:hint="eastAsia" w:ascii="宋体" w:hAnsi="宋体" w:cs="宋体"/>
          <w:color w:val="auto"/>
          <w:sz w:val="22"/>
          <w:szCs w:val="22"/>
          <w:highlight w:val="none"/>
          <w:lang w:eastAsia="zh-CN"/>
        </w:rPr>
        <w:t>最终</w:t>
      </w:r>
      <w:r>
        <w:rPr>
          <w:rFonts w:hint="eastAsia" w:ascii="宋体" w:hAnsi="宋体" w:cs="宋体"/>
          <w:color w:val="auto"/>
          <w:sz w:val="22"/>
          <w:szCs w:val="22"/>
          <w:highlight w:val="none"/>
        </w:rPr>
        <w:t>验收。验收合格后由甲乙双方签署货物验收单并加盖采购人公章，甲乙双方各执一份。</w:t>
      </w:r>
    </w:p>
    <w:p w14:paraId="05228342">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委托采购代理机构组织验收</w:t>
      </w:r>
      <w:r>
        <w:rPr>
          <w:rFonts w:hint="eastAsia" w:ascii="宋体" w:hAnsi="宋体" w:cs="宋体"/>
          <w:color w:val="auto"/>
          <w:sz w:val="22"/>
          <w:szCs w:val="22"/>
          <w:highlight w:val="none"/>
          <w:lang w:eastAsia="zh-CN"/>
        </w:rPr>
        <w:t>的</w:t>
      </w:r>
      <w:r>
        <w:rPr>
          <w:rFonts w:hint="eastAsia" w:ascii="宋体" w:hAnsi="宋体" w:cs="宋体"/>
          <w:color w:val="auto"/>
          <w:sz w:val="22"/>
          <w:szCs w:val="22"/>
          <w:highlight w:val="none"/>
        </w:rPr>
        <w:t>项目，其验收时间以该项目验收方案确定的验收时间为准，验收结果以该项目验收报告结论为准。在验收过程中发现</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有违约问题，可暂缓资金结算，待违约问题解决后，方可办理资金结算事宜。</w:t>
      </w:r>
    </w:p>
    <w:p w14:paraId="38AC4C63">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6.甲方对验收有异议的，在验收后五个工作日内以书面形式向乙方提出，乙方应自收到甲方书面异议后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日内及时予以解决。</w:t>
      </w:r>
    </w:p>
    <w:p w14:paraId="275A27F2">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第六条　安装和培训</w:t>
      </w:r>
    </w:p>
    <w:p w14:paraId="70DEFCD8">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1.甲方应提供必要安装条件（如场地、电源、水源等）。</w:t>
      </w:r>
    </w:p>
    <w:p w14:paraId="6F7D635A">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2.乙方负责甲方有关人员的培训。培训时间、地点：</w:t>
      </w:r>
      <w:r>
        <w:rPr>
          <w:rFonts w:hint="eastAsia" w:ascii="宋体" w:hAnsi="宋体" w:cs="宋体"/>
          <w:color w:val="auto"/>
          <w:sz w:val="22"/>
          <w:szCs w:val="22"/>
          <w:highlight w:val="none"/>
          <w:u w:val="single"/>
        </w:rPr>
        <w:t xml:space="preserve">                   。</w:t>
      </w:r>
    </w:p>
    <w:p w14:paraId="0D039125">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第七条  售后服务、保修期</w:t>
      </w:r>
    </w:p>
    <w:p w14:paraId="4B30C190">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1.乙方应按照国家有关法律法规和“三包”规定以及谈判文件、响应文件和本合同所附的《服务承诺》，为甲方提供售后服务。</w:t>
      </w:r>
    </w:p>
    <w:p w14:paraId="78886BF6">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2.货物保修期；</w:t>
      </w:r>
      <w:r>
        <w:rPr>
          <w:rFonts w:hint="eastAsia" w:ascii="宋体" w:hAnsi="宋体" w:cs="宋体"/>
          <w:color w:val="auto"/>
          <w:sz w:val="22"/>
          <w:szCs w:val="22"/>
          <w:highlight w:val="none"/>
          <w:u w:val="single"/>
        </w:rPr>
        <w:t xml:space="preserve">                                          。</w:t>
      </w:r>
    </w:p>
    <w:p w14:paraId="41A91D07">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3.乙方提供的服务承诺和售后服务及保修期责任等其它具体约定事项。（见合同附件）</w:t>
      </w:r>
    </w:p>
    <w:p w14:paraId="3A319945">
      <w:pPr>
        <w:adjustRightInd w:val="0"/>
        <w:snapToGrid w:val="0"/>
        <w:spacing w:line="360" w:lineRule="exact"/>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第八条　付款方式</w:t>
      </w:r>
    </w:p>
    <w:p w14:paraId="6F3D3373">
      <w:pPr>
        <w:pStyle w:val="10"/>
        <w:adjustRightInd w:val="0"/>
        <w:snapToGrid w:val="0"/>
        <w:spacing w:line="360" w:lineRule="exact"/>
        <w:ind w:firstLine="376" w:firstLineChars="171"/>
        <w:rPr>
          <w:rFonts w:hint="eastAsia" w:hAnsi="宋体" w:cs="宋体"/>
          <w:color w:val="auto"/>
          <w:sz w:val="22"/>
          <w:szCs w:val="22"/>
          <w:highlight w:val="none"/>
        </w:rPr>
      </w:pPr>
      <w:r>
        <w:rPr>
          <w:rFonts w:hint="eastAsia" w:hAnsi="宋体" w:cs="宋体"/>
          <w:bCs/>
          <w:color w:val="auto"/>
          <w:sz w:val="22"/>
          <w:szCs w:val="22"/>
          <w:highlight w:val="none"/>
        </w:rPr>
        <w:t>1.</w:t>
      </w:r>
      <w:r>
        <w:rPr>
          <w:rFonts w:hint="eastAsia" w:hAnsi="宋体" w:cs="宋体"/>
          <w:color w:val="auto"/>
          <w:sz w:val="22"/>
          <w:szCs w:val="22"/>
          <w:highlight w:val="none"/>
        </w:rPr>
        <w:t>当采购数量与实际使用数量不一致时，乙方应根据实际使用量供货，合同的最终结算金额按实际使用量乘以成交单价进行计算。</w:t>
      </w:r>
    </w:p>
    <w:p w14:paraId="2F02B098">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2.资金性质：</w:t>
      </w:r>
      <w:r>
        <w:rPr>
          <w:rFonts w:hint="eastAsia" w:ascii="宋体" w:hAnsi="宋体" w:cs="宋体"/>
          <w:color w:val="auto"/>
          <w:sz w:val="22"/>
          <w:szCs w:val="22"/>
          <w:highlight w:val="none"/>
          <w:u w:val="single"/>
        </w:rPr>
        <w:t xml:space="preserve">              。</w:t>
      </w:r>
    </w:p>
    <w:p w14:paraId="0A148B08">
      <w:pPr>
        <w:spacing w:line="360" w:lineRule="atLeas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3.付款方式：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p>
    <w:p w14:paraId="7A06E9B3">
      <w:pPr>
        <w:snapToGrid w:val="0"/>
        <w:spacing w:line="360" w:lineRule="exact"/>
        <w:ind w:left="-61" w:leftChars="-29" w:firstLine="442" w:firstLineChars="200"/>
        <w:rPr>
          <w:rFonts w:hint="eastAsia" w:ascii="宋体" w:hAnsi="宋体" w:cs="宋体"/>
          <w:b/>
          <w:color w:val="auto"/>
          <w:spacing w:val="4"/>
          <w:sz w:val="22"/>
          <w:szCs w:val="22"/>
          <w:highlight w:val="none"/>
        </w:rPr>
      </w:pPr>
      <w:r>
        <w:rPr>
          <w:rFonts w:hint="eastAsia" w:ascii="宋体" w:hAnsi="宋体" w:cs="宋体"/>
          <w:b/>
          <w:color w:val="auto"/>
          <w:sz w:val="22"/>
          <w:szCs w:val="22"/>
          <w:highlight w:val="none"/>
        </w:rPr>
        <w:t>第九条　</w:t>
      </w:r>
      <w:r>
        <w:rPr>
          <w:rFonts w:hint="eastAsia" w:ascii="宋体" w:hAnsi="宋体" w:cs="宋体"/>
          <w:b/>
          <w:color w:val="auto"/>
          <w:spacing w:val="4"/>
          <w:sz w:val="22"/>
          <w:szCs w:val="22"/>
          <w:highlight w:val="none"/>
        </w:rPr>
        <w:t>质量保证金</w:t>
      </w:r>
    </w:p>
    <w:p w14:paraId="03288026">
      <w:pPr>
        <w:adjustRightInd w:val="0"/>
        <w:snapToGrid w:val="0"/>
        <w:spacing w:line="360" w:lineRule="exact"/>
        <w:ind w:firstLine="440" w:firstLineChars="200"/>
        <w:rPr>
          <w:rFonts w:hint="eastAsia" w:ascii="宋体" w:hAnsi="宋体" w:cs="宋体"/>
          <w:bCs/>
          <w:color w:val="auto"/>
          <w:sz w:val="22"/>
          <w:szCs w:val="22"/>
          <w:highlight w:val="none"/>
          <w:lang w:eastAsia="zh-CN"/>
        </w:rPr>
      </w:pPr>
      <w:r>
        <w:rPr>
          <w:rFonts w:hint="eastAsia" w:ascii="宋体" w:hAnsi="宋体" w:cs="宋体"/>
          <w:bCs/>
          <w:color w:val="auto"/>
          <w:sz w:val="22"/>
          <w:szCs w:val="22"/>
          <w:highlight w:val="none"/>
          <w:lang w:eastAsia="zh-CN"/>
        </w:rPr>
        <w:t>本项目不收取质量保证金。</w:t>
      </w:r>
    </w:p>
    <w:p w14:paraId="59B705B2">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第十条、税费</w:t>
      </w:r>
    </w:p>
    <w:p w14:paraId="50FE3A3B">
      <w:pPr>
        <w:adjustRightInd w:val="0"/>
        <w:snapToGrid w:val="0"/>
        <w:spacing w:line="360" w:lineRule="exact"/>
        <w:ind w:firstLine="440" w:firstLineChars="200"/>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本合同执行中相关的一切税费均由乙方负担。</w:t>
      </w:r>
    </w:p>
    <w:p w14:paraId="2E3EA2A4">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第十一条、质量保证及售后服务</w:t>
      </w:r>
    </w:p>
    <w:p w14:paraId="0F6F8B70">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乙方应按谈判文件规定及响应文件承诺的货物性能、技术要求、质量标准向甲方提供未经使用的全新产品。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14:paraId="3058C396">
      <w:pPr>
        <w:pStyle w:val="10"/>
        <w:keepNext w:val="0"/>
        <w:keepLines w:val="0"/>
        <w:pageBreakBefore w:val="0"/>
        <w:widowControl w:val="0"/>
        <w:kinsoku/>
        <w:wordWrap/>
        <w:overflowPunct/>
        <w:topLinePunct w:val="0"/>
        <w:autoSpaceDE/>
        <w:autoSpaceDN/>
        <w:bidi w:val="0"/>
        <w:adjustRightInd w:val="0"/>
        <w:snapToGrid w:val="0"/>
        <w:spacing w:line="360" w:lineRule="exact"/>
        <w:ind w:firstLine="550" w:firstLineChars="250"/>
        <w:textAlignment w:val="auto"/>
        <w:rPr>
          <w:rFonts w:hint="eastAsia" w:hAnsi="宋体" w:cs="宋体"/>
          <w:color w:val="auto"/>
          <w:sz w:val="22"/>
          <w:szCs w:val="22"/>
          <w:highlight w:val="none"/>
        </w:rPr>
      </w:pP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1</w:t>
      </w:r>
      <w:r>
        <w:rPr>
          <w:rFonts w:hint="eastAsia" w:hAnsi="宋体" w:cs="宋体"/>
          <w:color w:val="auto"/>
          <w:sz w:val="22"/>
          <w:szCs w:val="22"/>
          <w:highlight w:val="none"/>
          <w:lang w:eastAsia="zh-CN"/>
        </w:rPr>
        <w:t>）</w:t>
      </w:r>
      <w:r>
        <w:rPr>
          <w:rFonts w:hint="eastAsia" w:hAnsi="宋体" w:cs="宋体"/>
          <w:color w:val="auto"/>
          <w:sz w:val="22"/>
          <w:szCs w:val="22"/>
          <w:highlight w:val="none"/>
        </w:rPr>
        <w:t>更换：由乙方承担所发生的全部费用。</w:t>
      </w:r>
    </w:p>
    <w:p w14:paraId="05ACAD75">
      <w:pPr>
        <w:pStyle w:val="10"/>
        <w:keepNext w:val="0"/>
        <w:keepLines w:val="0"/>
        <w:pageBreakBefore w:val="0"/>
        <w:widowControl w:val="0"/>
        <w:kinsoku/>
        <w:wordWrap/>
        <w:overflowPunct/>
        <w:topLinePunct w:val="0"/>
        <w:autoSpaceDE/>
        <w:autoSpaceDN/>
        <w:bidi w:val="0"/>
        <w:adjustRightInd w:val="0"/>
        <w:snapToGrid w:val="0"/>
        <w:spacing w:line="360" w:lineRule="exact"/>
        <w:ind w:firstLine="550" w:firstLineChars="250"/>
        <w:textAlignment w:val="auto"/>
        <w:rPr>
          <w:rFonts w:hint="eastAsia" w:hAnsi="宋体" w:cs="宋体"/>
          <w:color w:val="auto"/>
          <w:sz w:val="22"/>
          <w:szCs w:val="22"/>
          <w:highlight w:val="none"/>
        </w:rPr>
      </w:pP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2</w:t>
      </w:r>
      <w:r>
        <w:rPr>
          <w:rFonts w:hint="eastAsia" w:hAnsi="宋体" w:cs="宋体"/>
          <w:color w:val="auto"/>
          <w:sz w:val="22"/>
          <w:szCs w:val="22"/>
          <w:highlight w:val="none"/>
          <w:lang w:eastAsia="zh-CN"/>
        </w:rPr>
        <w:t>）</w:t>
      </w:r>
      <w:r>
        <w:rPr>
          <w:rFonts w:hint="eastAsia" w:hAnsi="宋体" w:cs="宋体"/>
          <w:color w:val="auto"/>
          <w:sz w:val="22"/>
          <w:szCs w:val="22"/>
          <w:highlight w:val="none"/>
        </w:rPr>
        <w:t>贬值处理：由甲乙双方合议定价。</w:t>
      </w:r>
    </w:p>
    <w:p w14:paraId="0687FC0A">
      <w:pPr>
        <w:pStyle w:val="10"/>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110" w:firstLineChars="50"/>
        <w:textAlignment w:val="auto"/>
        <w:rPr>
          <w:rFonts w:hint="eastAsia" w:hAnsi="宋体" w:cs="宋体"/>
          <w:color w:val="auto"/>
          <w:sz w:val="22"/>
          <w:szCs w:val="22"/>
          <w:highlight w:val="none"/>
        </w:rPr>
      </w:pP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3</w:t>
      </w:r>
      <w:r>
        <w:rPr>
          <w:rFonts w:hint="eastAsia" w:hAnsi="宋体" w:cs="宋体"/>
          <w:color w:val="auto"/>
          <w:sz w:val="22"/>
          <w:szCs w:val="22"/>
          <w:highlight w:val="none"/>
          <w:lang w:eastAsia="zh-CN"/>
        </w:rPr>
        <w:t>）</w:t>
      </w:r>
      <w:r>
        <w:rPr>
          <w:rFonts w:hint="eastAsia" w:hAnsi="宋体" w:cs="宋体"/>
          <w:color w:val="auto"/>
          <w:sz w:val="22"/>
          <w:szCs w:val="22"/>
          <w:highlight w:val="none"/>
        </w:rPr>
        <w:t>退货处理：乙方应退还甲方支付的合同款，同时应承担该货物的直接费用（运输、保险、检验、货款利息及银行手续费等）。</w:t>
      </w:r>
    </w:p>
    <w:p w14:paraId="5C5B5124">
      <w:pPr>
        <w:pStyle w:val="1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2.如在使用过程中发生质量问题，乙方在接到甲方通知后在</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小时内到达甲方现场。</w:t>
      </w:r>
    </w:p>
    <w:p w14:paraId="6952FC71">
      <w:pPr>
        <w:pStyle w:val="1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3.在质保期内，乙方应对货物出现的质量及安全问题负责处理解决并承担一切费用。</w:t>
      </w:r>
    </w:p>
    <w:p w14:paraId="53DC22DA">
      <w:pPr>
        <w:pStyle w:val="1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4.上述的货物免费保修期为</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年，因人为因素出现的故障不在免费保修范围内。超过保修期的机器设备，终生维修，维修时只收部件成本费。</w:t>
      </w:r>
    </w:p>
    <w:p w14:paraId="01960600">
      <w:pPr>
        <w:pStyle w:val="10"/>
        <w:keepNext w:val="0"/>
        <w:keepLines w:val="0"/>
        <w:pageBreakBefore w:val="0"/>
        <w:widowControl w:val="0"/>
        <w:kinsoku/>
        <w:wordWrap/>
        <w:overflowPunct/>
        <w:topLinePunct w:val="0"/>
        <w:autoSpaceDE/>
        <w:autoSpaceDN/>
        <w:bidi w:val="0"/>
        <w:adjustRightInd w:val="0"/>
        <w:snapToGrid w:val="0"/>
        <w:spacing w:line="360" w:lineRule="exact"/>
        <w:ind w:firstLine="433" w:firstLineChars="196"/>
        <w:textAlignment w:val="auto"/>
        <w:rPr>
          <w:rFonts w:hint="eastAsia" w:hAnsi="宋体" w:cs="宋体"/>
          <w:b/>
          <w:color w:val="auto"/>
          <w:sz w:val="22"/>
          <w:szCs w:val="22"/>
          <w:highlight w:val="none"/>
        </w:rPr>
      </w:pPr>
      <w:r>
        <w:rPr>
          <w:rFonts w:hint="eastAsia" w:hAnsi="宋体" w:cs="宋体"/>
          <w:b/>
          <w:color w:val="auto"/>
          <w:sz w:val="22"/>
          <w:szCs w:val="22"/>
          <w:highlight w:val="none"/>
        </w:rPr>
        <w:t>第十</w:t>
      </w:r>
      <w:r>
        <w:rPr>
          <w:rFonts w:hint="eastAsia" w:hAnsi="宋体" w:cs="宋体"/>
          <w:b/>
          <w:color w:val="auto"/>
          <w:sz w:val="22"/>
          <w:szCs w:val="22"/>
          <w:highlight w:val="none"/>
          <w:lang w:eastAsia="zh-CN"/>
        </w:rPr>
        <w:t>二</w:t>
      </w:r>
      <w:r>
        <w:rPr>
          <w:rFonts w:hint="eastAsia" w:hAnsi="宋体" w:cs="宋体"/>
          <w:b/>
          <w:color w:val="auto"/>
          <w:sz w:val="22"/>
          <w:szCs w:val="22"/>
          <w:highlight w:val="none"/>
        </w:rPr>
        <w:t>条、货物包装、发运及运输</w:t>
      </w:r>
    </w:p>
    <w:p w14:paraId="4D70A05F">
      <w:pPr>
        <w:pStyle w:val="10"/>
        <w:keepNext w:val="0"/>
        <w:keepLines w:val="0"/>
        <w:pageBreakBefore w:val="0"/>
        <w:widowControl w:val="0"/>
        <w:kinsoku/>
        <w:wordWrap/>
        <w:overflowPunct/>
        <w:topLinePunct w:val="0"/>
        <w:autoSpaceDE/>
        <w:autoSpaceDN/>
        <w:bidi w:val="0"/>
        <w:adjustRightInd w:val="0"/>
        <w:snapToGrid w:val="0"/>
        <w:spacing w:line="360" w:lineRule="exact"/>
        <w:ind w:firstLine="376" w:firstLineChars="171"/>
        <w:textAlignment w:val="auto"/>
        <w:rPr>
          <w:rFonts w:hint="eastAsia" w:hAnsi="宋体" w:cs="宋体"/>
          <w:color w:val="auto"/>
          <w:sz w:val="22"/>
          <w:szCs w:val="22"/>
          <w:highlight w:val="none"/>
        </w:rPr>
      </w:pPr>
      <w:r>
        <w:rPr>
          <w:rFonts w:hint="eastAsia" w:hAnsi="宋体" w:cs="宋体"/>
          <w:color w:val="auto"/>
          <w:sz w:val="22"/>
          <w:szCs w:val="22"/>
          <w:highlight w:val="none"/>
        </w:rPr>
        <w:t>1.乙方应在货物发运前对其进行满足运输距离、防潮、防震、防锈和防破损装卸等要求包装，以保证货物安全运达甲方指定地点。</w:t>
      </w:r>
    </w:p>
    <w:p w14:paraId="4BEB71AD">
      <w:pPr>
        <w:pStyle w:val="10"/>
        <w:keepNext w:val="0"/>
        <w:keepLines w:val="0"/>
        <w:pageBreakBefore w:val="0"/>
        <w:widowControl w:val="0"/>
        <w:kinsoku/>
        <w:wordWrap/>
        <w:overflowPunct/>
        <w:topLinePunct w:val="0"/>
        <w:autoSpaceDE/>
        <w:autoSpaceDN/>
        <w:bidi w:val="0"/>
        <w:adjustRightInd w:val="0"/>
        <w:snapToGrid w:val="0"/>
        <w:spacing w:line="360" w:lineRule="exact"/>
        <w:ind w:firstLine="376" w:firstLineChars="171"/>
        <w:textAlignment w:val="auto"/>
        <w:rPr>
          <w:rFonts w:hint="eastAsia" w:hAnsi="宋体" w:cs="宋体"/>
          <w:color w:val="auto"/>
          <w:sz w:val="22"/>
          <w:szCs w:val="22"/>
          <w:highlight w:val="none"/>
        </w:rPr>
      </w:pPr>
      <w:r>
        <w:rPr>
          <w:rFonts w:hint="eastAsia" w:hAnsi="宋体" w:cs="宋体"/>
          <w:color w:val="auto"/>
          <w:sz w:val="22"/>
          <w:szCs w:val="22"/>
          <w:highlight w:val="none"/>
        </w:rPr>
        <w:t>2.使用说明书、质量检验证明书、随配附件和工具以及清单一并附于货物内。</w:t>
      </w:r>
    </w:p>
    <w:p w14:paraId="6D2A4C90">
      <w:pPr>
        <w:pStyle w:val="10"/>
        <w:keepNext w:val="0"/>
        <w:keepLines w:val="0"/>
        <w:pageBreakBefore w:val="0"/>
        <w:widowControl w:val="0"/>
        <w:kinsoku/>
        <w:wordWrap/>
        <w:overflowPunct/>
        <w:topLinePunct w:val="0"/>
        <w:autoSpaceDE/>
        <w:autoSpaceDN/>
        <w:bidi w:val="0"/>
        <w:adjustRightInd w:val="0"/>
        <w:snapToGrid w:val="0"/>
        <w:spacing w:line="360" w:lineRule="exact"/>
        <w:ind w:firstLine="376" w:firstLineChars="171"/>
        <w:textAlignment w:val="auto"/>
        <w:rPr>
          <w:rFonts w:hint="eastAsia" w:hAnsi="宋体" w:cs="宋体"/>
          <w:color w:val="auto"/>
          <w:sz w:val="22"/>
          <w:szCs w:val="22"/>
          <w:highlight w:val="none"/>
        </w:rPr>
      </w:pPr>
      <w:r>
        <w:rPr>
          <w:rFonts w:hint="eastAsia" w:hAnsi="宋体" w:cs="宋体"/>
          <w:color w:val="auto"/>
          <w:sz w:val="22"/>
          <w:szCs w:val="22"/>
          <w:highlight w:val="none"/>
        </w:rPr>
        <w:t>3.乙方在货物发运手续办理完毕后二十四小时内或货到甲方四十八小时前通知甲方，以准备接货。</w:t>
      </w:r>
    </w:p>
    <w:p w14:paraId="1D8E6C83">
      <w:pPr>
        <w:pStyle w:val="10"/>
        <w:keepNext w:val="0"/>
        <w:keepLines w:val="0"/>
        <w:pageBreakBefore w:val="0"/>
        <w:widowControl w:val="0"/>
        <w:kinsoku/>
        <w:wordWrap/>
        <w:overflowPunct/>
        <w:topLinePunct w:val="0"/>
        <w:autoSpaceDE/>
        <w:autoSpaceDN/>
        <w:bidi w:val="0"/>
        <w:adjustRightInd w:val="0"/>
        <w:snapToGrid w:val="0"/>
        <w:spacing w:line="360" w:lineRule="exact"/>
        <w:ind w:firstLine="376" w:firstLineChars="171"/>
        <w:textAlignment w:val="auto"/>
        <w:rPr>
          <w:rFonts w:hint="eastAsia" w:hAnsi="宋体" w:cs="宋体"/>
          <w:color w:val="auto"/>
          <w:sz w:val="22"/>
          <w:szCs w:val="22"/>
          <w:highlight w:val="none"/>
        </w:rPr>
      </w:pPr>
      <w:r>
        <w:rPr>
          <w:rFonts w:hint="eastAsia" w:hAnsi="宋体" w:cs="宋体"/>
          <w:color w:val="auto"/>
          <w:sz w:val="22"/>
          <w:szCs w:val="22"/>
          <w:highlight w:val="none"/>
        </w:rPr>
        <w:t>4.货物在交付甲方前发生的风险均由乙方负责。</w:t>
      </w:r>
    </w:p>
    <w:p w14:paraId="77F01DB7">
      <w:pPr>
        <w:pStyle w:val="10"/>
        <w:keepNext w:val="0"/>
        <w:keepLines w:val="0"/>
        <w:pageBreakBefore w:val="0"/>
        <w:widowControl w:val="0"/>
        <w:kinsoku/>
        <w:wordWrap/>
        <w:overflowPunct/>
        <w:topLinePunct w:val="0"/>
        <w:autoSpaceDE/>
        <w:autoSpaceDN/>
        <w:bidi w:val="0"/>
        <w:adjustRightInd w:val="0"/>
        <w:snapToGrid w:val="0"/>
        <w:spacing w:line="360" w:lineRule="exact"/>
        <w:ind w:right="26" w:firstLine="376" w:firstLineChars="171"/>
        <w:textAlignment w:val="auto"/>
        <w:rPr>
          <w:rFonts w:hint="eastAsia" w:hAnsi="宋体" w:cs="宋体"/>
          <w:color w:val="auto"/>
          <w:spacing w:val="-8"/>
          <w:sz w:val="22"/>
          <w:szCs w:val="22"/>
          <w:highlight w:val="none"/>
        </w:rPr>
      </w:pPr>
      <w:r>
        <w:rPr>
          <w:rFonts w:hint="eastAsia" w:hAnsi="宋体" w:cs="宋体"/>
          <w:color w:val="auto"/>
          <w:sz w:val="22"/>
          <w:szCs w:val="22"/>
          <w:highlight w:val="none"/>
        </w:rPr>
        <w:t>5.货</w:t>
      </w:r>
      <w:r>
        <w:rPr>
          <w:rFonts w:hint="eastAsia" w:hAnsi="宋体" w:cs="宋体"/>
          <w:color w:val="auto"/>
          <w:spacing w:val="-8"/>
          <w:sz w:val="22"/>
          <w:szCs w:val="22"/>
          <w:highlight w:val="none"/>
        </w:rPr>
        <w:t>物在规定的交付期限内由乙方送达甲方指定的地点视为交付，乙方同时需通知甲方货物已送达。</w:t>
      </w:r>
    </w:p>
    <w:p w14:paraId="5C98682F">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第十</w:t>
      </w:r>
      <w:r>
        <w:rPr>
          <w:rFonts w:hint="eastAsia" w:ascii="宋体" w:hAnsi="宋体" w:cs="宋体"/>
          <w:b/>
          <w:color w:val="auto"/>
          <w:sz w:val="22"/>
          <w:szCs w:val="22"/>
          <w:highlight w:val="none"/>
          <w:lang w:eastAsia="zh-CN"/>
        </w:rPr>
        <w:t>三</w:t>
      </w:r>
      <w:r>
        <w:rPr>
          <w:rFonts w:hint="eastAsia" w:ascii="宋体" w:hAnsi="宋体" w:cs="宋体"/>
          <w:b/>
          <w:color w:val="auto"/>
          <w:sz w:val="22"/>
          <w:szCs w:val="22"/>
          <w:highlight w:val="none"/>
        </w:rPr>
        <w:t>条　违约责任</w:t>
      </w:r>
    </w:p>
    <w:p w14:paraId="009AF205">
      <w:pPr>
        <w:keepNext w:val="0"/>
        <w:keepLines w:val="0"/>
        <w:pageBreakBefore w:val="0"/>
        <w:widowControl w:val="0"/>
        <w:kinsoku/>
        <w:wordWrap/>
        <w:overflowPunct/>
        <w:topLinePunct w:val="0"/>
        <w:autoSpaceDE/>
        <w:autoSpaceDN/>
        <w:bidi w:val="0"/>
        <w:adjustRightInd w:val="0"/>
        <w:snapToGrid w:val="0"/>
        <w:spacing w:line="360" w:lineRule="exact"/>
        <w:ind w:firstLine="484" w:firstLineChars="22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4B320B9C">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2.乙方提供的货物如侵犯了第三方合法权益而引发的任何纠纷或诉讼，均由乙方负责交涉并承担全部责任。</w:t>
      </w:r>
    </w:p>
    <w:p w14:paraId="06A70EAB">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3.因包装、运输引起的货物损坏，按质量不合格处罚。</w:t>
      </w:r>
    </w:p>
    <w:p w14:paraId="062CE2C9">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4.甲方无故延期接收货物、乙方逾期交货的，每天向对方偿付违约货款额3‰违约金，但违约金累计不得超过违约货款额</w:t>
      </w:r>
      <w:r>
        <w:rPr>
          <w:rFonts w:hint="eastAsia" w:ascii="宋体" w:hAnsi="宋体" w:cs="宋体"/>
          <w:color w:val="auto"/>
          <w:sz w:val="22"/>
          <w:szCs w:val="22"/>
          <w:highlight w:val="none"/>
          <w:u w:val="single"/>
        </w:rPr>
        <w:t>5%</w:t>
      </w:r>
      <w:r>
        <w:rPr>
          <w:rFonts w:hint="eastAsia" w:ascii="宋体" w:hAnsi="宋体" w:cs="宋体"/>
          <w:color w:val="auto"/>
          <w:sz w:val="22"/>
          <w:szCs w:val="22"/>
          <w:highlight w:val="none"/>
        </w:rPr>
        <w:t>，超过</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天对方有权解除合同，违约方承担因此给对方造成经济损失；甲方延期付货款的，每天向乙方偿付延期货款额</w:t>
      </w:r>
      <w:r>
        <w:rPr>
          <w:rFonts w:hint="eastAsia" w:ascii="宋体" w:hAnsi="宋体" w:cs="宋体"/>
          <w:color w:val="auto"/>
          <w:sz w:val="22"/>
          <w:szCs w:val="22"/>
          <w:highlight w:val="none"/>
          <w:u w:val="single"/>
        </w:rPr>
        <w:t xml:space="preserve">3‰ </w:t>
      </w:r>
      <w:r>
        <w:rPr>
          <w:rFonts w:hint="eastAsia" w:ascii="宋体" w:hAnsi="宋体" w:cs="宋体"/>
          <w:color w:val="auto"/>
          <w:sz w:val="22"/>
          <w:szCs w:val="22"/>
          <w:highlight w:val="none"/>
        </w:rPr>
        <w:t>滞纳金，但滞纳金累计不得超过延期货款额</w:t>
      </w:r>
      <w:r>
        <w:rPr>
          <w:rFonts w:hint="eastAsia" w:ascii="宋体" w:hAnsi="宋体" w:cs="宋体"/>
          <w:color w:val="auto"/>
          <w:sz w:val="22"/>
          <w:szCs w:val="22"/>
          <w:highlight w:val="none"/>
          <w:u w:val="single"/>
        </w:rPr>
        <w:t>5%</w:t>
      </w:r>
      <w:r>
        <w:rPr>
          <w:rFonts w:hint="eastAsia" w:ascii="宋体" w:hAnsi="宋体" w:cs="宋体"/>
          <w:color w:val="auto"/>
          <w:sz w:val="22"/>
          <w:szCs w:val="22"/>
          <w:highlight w:val="none"/>
        </w:rPr>
        <w:t>。</w:t>
      </w:r>
    </w:p>
    <w:p w14:paraId="4DA9B493">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5.乙方未按本合同和响应文件中规定的服务承诺提供售后服务的，乙方应按本合同合计金额</w:t>
      </w:r>
      <w:r>
        <w:rPr>
          <w:rFonts w:hint="eastAsia" w:ascii="宋体" w:hAnsi="宋体" w:cs="宋体"/>
          <w:color w:val="auto"/>
          <w:sz w:val="22"/>
          <w:szCs w:val="22"/>
          <w:highlight w:val="none"/>
          <w:u w:val="single"/>
        </w:rPr>
        <w:t xml:space="preserve"> 5%</w:t>
      </w:r>
      <w:r>
        <w:rPr>
          <w:rFonts w:hint="eastAsia" w:ascii="宋体" w:hAnsi="宋体" w:cs="宋体"/>
          <w:color w:val="auto"/>
          <w:sz w:val="22"/>
          <w:szCs w:val="22"/>
          <w:highlight w:val="none"/>
        </w:rPr>
        <w:t>向甲方支付违约金。</w:t>
      </w:r>
    </w:p>
    <w:p w14:paraId="131CB4D3">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6.乙方提供的货物在质量保证期内，因设计、工艺或材料的缺陷和其它质量原因造成的问题，由乙方负责，费用从质量保证金中扣除，不足另补。</w:t>
      </w:r>
    </w:p>
    <w:p w14:paraId="4B416A92">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7.其它违约行为按违约货款额5%收取违约金并赔偿经济损失。</w:t>
      </w:r>
    </w:p>
    <w:p w14:paraId="03A27613">
      <w:pPr>
        <w:pStyle w:val="10"/>
        <w:keepNext w:val="0"/>
        <w:keepLines w:val="0"/>
        <w:pageBreakBefore w:val="0"/>
        <w:widowControl w:val="0"/>
        <w:kinsoku/>
        <w:wordWrap/>
        <w:overflowPunct/>
        <w:topLinePunct w:val="0"/>
        <w:autoSpaceDE/>
        <w:autoSpaceDN/>
        <w:bidi w:val="0"/>
        <w:adjustRightInd w:val="0"/>
        <w:snapToGrid w:val="0"/>
        <w:spacing w:line="360" w:lineRule="exact"/>
        <w:ind w:firstLine="433" w:firstLineChars="196"/>
        <w:textAlignment w:val="auto"/>
        <w:rPr>
          <w:rFonts w:hint="eastAsia" w:hAnsi="宋体" w:cs="宋体"/>
          <w:b/>
          <w:color w:val="auto"/>
          <w:sz w:val="22"/>
          <w:szCs w:val="22"/>
          <w:highlight w:val="none"/>
        </w:rPr>
      </w:pPr>
      <w:r>
        <w:rPr>
          <w:rFonts w:hint="eastAsia" w:hAnsi="宋体" w:cs="宋体"/>
          <w:b/>
          <w:color w:val="auto"/>
          <w:sz w:val="22"/>
          <w:szCs w:val="22"/>
          <w:highlight w:val="none"/>
        </w:rPr>
        <w:t>第十</w:t>
      </w:r>
      <w:r>
        <w:rPr>
          <w:rFonts w:hint="eastAsia" w:hAnsi="宋体" w:cs="宋体"/>
          <w:b/>
          <w:color w:val="auto"/>
          <w:sz w:val="22"/>
          <w:szCs w:val="22"/>
          <w:highlight w:val="none"/>
          <w:lang w:eastAsia="zh-CN"/>
        </w:rPr>
        <w:t>四</w:t>
      </w:r>
      <w:r>
        <w:rPr>
          <w:rFonts w:hint="eastAsia" w:hAnsi="宋体" w:cs="宋体"/>
          <w:b/>
          <w:color w:val="auto"/>
          <w:sz w:val="22"/>
          <w:szCs w:val="22"/>
          <w:highlight w:val="none"/>
        </w:rPr>
        <w:t>条、不可抗力事件处理</w:t>
      </w:r>
    </w:p>
    <w:p w14:paraId="4407C837">
      <w:pPr>
        <w:pStyle w:val="1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1.在合同有效期内，任何一方因不可抗力事件导致不能履行合同，则合同履行期可延长，其延长期与不可抗力影响期相同。</w:t>
      </w:r>
    </w:p>
    <w:p w14:paraId="0B189CEF">
      <w:pPr>
        <w:pStyle w:val="1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2.不可抗力事件发生后，应立即通知对方，并寄送有关权威机构出具的证明。</w:t>
      </w:r>
    </w:p>
    <w:p w14:paraId="4311797F">
      <w:pPr>
        <w:pStyle w:val="1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3.不可抗力事件延续一百二十天以上，双方应通过友好协商，确定是否继续履行合同。</w:t>
      </w:r>
    </w:p>
    <w:p w14:paraId="22C1ED47">
      <w:pPr>
        <w:adjustRightInd w:val="0"/>
        <w:snapToGrid w:val="0"/>
        <w:spacing w:line="360" w:lineRule="exact"/>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第十</w:t>
      </w:r>
      <w:r>
        <w:rPr>
          <w:rFonts w:hint="eastAsia" w:ascii="宋体" w:hAnsi="宋体" w:cs="宋体"/>
          <w:b/>
          <w:color w:val="auto"/>
          <w:sz w:val="22"/>
          <w:szCs w:val="22"/>
          <w:highlight w:val="none"/>
          <w:lang w:eastAsia="zh-CN"/>
        </w:rPr>
        <w:t>五</w:t>
      </w:r>
      <w:r>
        <w:rPr>
          <w:rFonts w:hint="eastAsia" w:ascii="宋体" w:hAnsi="宋体" w:cs="宋体"/>
          <w:b/>
          <w:color w:val="auto"/>
          <w:sz w:val="22"/>
          <w:szCs w:val="22"/>
          <w:highlight w:val="none"/>
        </w:rPr>
        <w:t>条  合同争议解决</w:t>
      </w:r>
    </w:p>
    <w:p w14:paraId="23467E32">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1.因货物质量问题发生争议的，应邀请国家认可的质量检测机构对货物质量进行鉴定。货物符合标准的，鉴定费由甲方承担；货物不符合标准的，鉴定费由乙方承担。</w:t>
      </w:r>
    </w:p>
    <w:p w14:paraId="10C19C31">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2.因履行本合同引起的或与本合同有关的争议，甲乙双方应首先通过友好协商解决，如果协商不能解决，可向甲方所在地的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r>
        <w:rPr>
          <w:rFonts w:hint="eastAsia" w:ascii="宋体" w:hAnsi="宋体" w:cs="宋体"/>
          <w:b/>
          <w:color w:val="auto"/>
          <w:sz w:val="22"/>
          <w:szCs w:val="22"/>
          <w:highlight w:val="none"/>
        </w:rPr>
        <w:t>（注：由甲乙双方约定选择向仲裁委员会申请仲裁或者向人民法院提起诉讼的其中一种方式处理合同争议）</w:t>
      </w:r>
    </w:p>
    <w:p w14:paraId="55B63C86">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3.仲裁或诉讼期间，本合同继续履行。</w:t>
      </w:r>
    </w:p>
    <w:p w14:paraId="38D3A383">
      <w:pPr>
        <w:pStyle w:val="10"/>
        <w:adjustRightInd w:val="0"/>
        <w:snapToGrid w:val="0"/>
        <w:spacing w:line="360" w:lineRule="exact"/>
        <w:ind w:firstLine="433" w:firstLineChars="196"/>
        <w:rPr>
          <w:rFonts w:hint="eastAsia" w:hAnsi="宋体" w:cs="宋体"/>
          <w:b/>
          <w:color w:val="auto"/>
          <w:sz w:val="22"/>
          <w:szCs w:val="22"/>
          <w:highlight w:val="none"/>
        </w:rPr>
      </w:pPr>
      <w:r>
        <w:rPr>
          <w:rFonts w:hint="eastAsia" w:hAnsi="宋体" w:cs="宋体"/>
          <w:b/>
          <w:color w:val="auto"/>
          <w:sz w:val="22"/>
          <w:szCs w:val="22"/>
          <w:highlight w:val="none"/>
        </w:rPr>
        <w:t>第十</w:t>
      </w:r>
      <w:r>
        <w:rPr>
          <w:rFonts w:hint="eastAsia" w:hAnsi="宋体" w:cs="宋体"/>
          <w:b/>
          <w:color w:val="auto"/>
          <w:sz w:val="22"/>
          <w:szCs w:val="22"/>
          <w:highlight w:val="none"/>
          <w:lang w:eastAsia="zh-CN"/>
        </w:rPr>
        <w:t>六</w:t>
      </w:r>
      <w:r>
        <w:rPr>
          <w:rFonts w:hint="eastAsia" w:hAnsi="宋体" w:cs="宋体"/>
          <w:b/>
          <w:color w:val="auto"/>
          <w:sz w:val="22"/>
          <w:szCs w:val="22"/>
          <w:highlight w:val="none"/>
        </w:rPr>
        <w:t>条、诉讼</w:t>
      </w:r>
    </w:p>
    <w:p w14:paraId="6F1E20AE">
      <w:pPr>
        <w:pStyle w:val="10"/>
        <w:adjustRightInd w:val="0"/>
        <w:snapToGrid w:val="0"/>
        <w:spacing w:line="360" w:lineRule="exact"/>
        <w:ind w:firstLine="376" w:firstLineChars="171"/>
        <w:rPr>
          <w:rFonts w:hint="eastAsia" w:hAnsi="宋体" w:cs="宋体"/>
          <w:color w:val="auto"/>
          <w:sz w:val="22"/>
          <w:szCs w:val="22"/>
          <w:highlight w:val="none"/>
        </w:rPr>
      </w:pPr>
      <w:r>
        <w:rPr>
          <w:rFonts w:hint="eastAsia" w:hAnsi="宋体" w:cs="宋体"/>
          <w:color w:val="auto"/>
          <w:sz w:val="22"/>
          <w:szCs w:val="22"/>
          <w:highlight w:val="none"/>
        </w:rPr>
        <w:t>双方在执行合同中所发生的一切争议，应通过协商解决。如果协商不能解决，可向仲裁委员会申请仲裁或向人民法院提起诉讼。</w:t>
      </w:r>
    </w:p>
    <w:p w14:paraId="0BBC99E6">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第十</w:t>
      </w:r>
      <w:r>
        <w:rPr>
          <w:rFonts w:hint="eastAsia" w:ascii="宋体" w:hAnsi="宋体" w:cs="宋体"/>
          <w:b/>
          <w:color w:val="auto"/>
          <w:sz w:val="22"/>
          <w:szCs w:val="22"/>
          <w:highlight w:val="none"/>
          <w:lang w:eastAsia="zh-CN"/>
        </w:rPr>
        <w:t>七</w:t>
      </w:r>
      <w:r>
        <w:rPr>
          <w:rFonts w:hint="eastAsia" w:ascii="宋体" w:hAnsi="宋体" w:cs="宋体"/>
          <w:b/>
          <w:color w:val="auto"/>
          <w:sz w:val="22"/>
          <w:szCs w:val="22"/>
          <w:highlight w:val="none"/>
        </w:rPr>
        <w:t>条、合同生效及其它</w:t>
      </w:r>
    </w:p>
    <w:p w14:paraId="4BD361A0">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1.合同经双方法定代表人或授权代表（委托代理人）签字并加盖单位公章后生效。</w:t>
      </w:r>
    </w:p>
    <w:p w14:paraId="501E3C47">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2.合同执行中涉及采购资金和采购内容修改或补充的，签书面补充协议方可作为主合同不可分割的一部分。</w:t>
      </w:r>
    </w:p>
    <w:p w14:paraId="53129142">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3.本合同未尽事宜，遵照《</w:t>
      </w:r>
      <w:r>
        <w:rPr>
          <w:rFonts w:hint="eastAsia" w:ascii="宋体" w:hAnsi="宋体" w:cs="宋体"/>
          <w:b/>
          <w:color w:val="auto"/>
          <w:sz w:val="22"/>
          <w:szCs w:val="22"/>
          <w:highlight w:val="none"/>
          <w:lang w:eastAsia="zh-CN"/>
        </w:rPr>
        <w:t>民法典</w:t>
      </w:r>
      <w:r>
        <w:rPr>
          <w:rFonts w:hint="eastAsia" w:ascii="宋体" w:hAnsi="宋体" w:cs="宋体"/>
          <w:b/>
          <w:color w:val="auto"/>
          <w:sz w:val="22"/>
          <w:szCs w:val="22"/>
          <w:highlight w:val="none"/>
        </w:rPr>
        <w:t>》有关条文执行。</w:t>
      </w:r>
    </w:p>
    <w:p w14:paraId="745BAD75">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第十</w:t>
      </w:r>
      <w:r>
        <w:rPr>
          <w:rFonts w:hint="eastAsia" w:ascii="宋体" w:hAnsi="宋体" w:cs="宋体"/>
          <w:b/>
          <w:color w:val="auto"/>
          <w:sz w:val="22"/>
          <w:szCs w:val="22"/>
          <w:highlight w:val="none"/>
          <w:lang w:eastAsia="zh-CN"/>
        </w:rPr>
        <w:t>八</w:t>
      </w:r>
      <w:r>
        <w:rPr>
          <w:rFonts w:hint="eastAsia" w:ascii="宋体" w:hAnsi="宋体" w:cs="宋体"/>
          <w:b/>
          <w:color w:val="auto"/>
          <w:sz w:val="22"/>
          <w:szCs w:val="22"/>
          <w:highlight w:val="none"/>
        </w:rPr>
        <w:t>条　合同的变更、终止与转让</w:t>
      </w:r>
    </w:p>
    <w:p w14:paraId="6DAECDAC">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1.除《中华人民共和国政府采购法》第五十条规定的情形外，本合同一经签订，甲乙双方不得擅自变更、中止或终止。</w:t>
      </w:r>
    </w:p>
    <w:p w14:paraId="7B532CF9">
      <w:pPr>
        <w:pStyle w:val="10"/>
        <w:adjustRightInd w:val="0"/>
        <w:snapToGrid w:val="0"/>
        <w:spacing w:line="360" w:lineRule="exact"/>
        <w:ind w:firstLine="431" w:firstLineChars="196"/>
        <w:rPr>
          <w:rFonts w:hint="eastAsia" w:hAnsi="宋体" w:cs="宋体"/>
          <w:b/>
          <w:color w:val="auto"/>
          <w:sz w:val="22"/>
          <w:szCs w:val="22"/>
          <w:highlight w:val="none"/>
        </w:rPr>
      </w:pPr>
      <w:r>
        <w:rPr>
          <w:rFonts w:hint="eastAsia" w:hAnsi="宋体" w:cs="宋体"/>
          <w:color w:val="auto"/>
          <w:sz w:val="22"/>
          <w:szCs w:val="22"/>
          <w:highlight w:val="none"/>
        </w:rPr>
        <w:t>2.乙方不得擅自转让（无进口资格的供应商委托进口货物除外）其应履行的合同义务。</w:t>
      </w:r>
    </w:p>
    <w:p w14:paraId="082218DE">
      <w:pPr>
        <w:adjustRightInd w:val="0"/>
        <w:snapToGrid w:val="0"/>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第</w:t>
      </w:r>
      <w:r>
        <w:rPr>
          <w:rFonts w:hint="eastAsia" w:ascii="宋体" w:hAnsi="宋体" w:cs="宋体"/>
          <w:b/>
          <w:color w:val="auto"/>
          <w:sz w:val="22"/>
          <w:szCs w:val="22"/>
          <w:highlight w:val="none"/>
          <w:lang w:eastAsia="zh-CN"/>
        </w:rPr>
        <w:t>十九</w:t>
      </w:r>
      <w:r>
        <w:rPr>
          <w:rFonts w:hint="eastAsia" w:ascii="宋体" w:hAnsi="宋体" w:cs="宋体"/>
          <w:b/>
          <w:color w:val="auto"/>
          <w:sz w:val="22"/>
          <w:szCs w:val="22"/>
          <w:highlight w:val="none"/>
        </w:rPr>
        <w:t>条　签订本合同依据</w:t>
      </w:r>
    </w:p>
    <w:p w14:paraId="1365765E">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1.谈判文件；</w:t>
      </w:r>
    </w:p>
    <w:p w14:paraId="73191D41">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2.乙方提供的响应文件；</w:t>
      </w:r>
    </w:p>
    <w:p w14:paraId="11ED9A45">
      <w:pPr>
        <w:adjustRightInd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3.谈判</w:t>
      </w:r>
      <w:r>
        <w:rPr>
          <w:rFonts w:hint="eastAsia" w:ascii="宋体" w:hAnsi="宋体" w:eastAsia="宋体" w:cs="宋体"/>
          <w:color w:val="auto"/>
          <w:sz w:val="22"/>
          <w:szCs w:val="22"/>
          <w:highlight w:val="none"/>
        </w:rPr>
        <w:t>记录</w:t>
      </w:r>
      <w:r>
        <w:rPr>
          <w:rFonts w:hint="eastAsia" w:ascii="宋体" w:hAnsi="宋体" w:cs="宋体"/>
          <w:color w:val="auto"/>
          <w:sz w:val="22"/>
          <w:szCs w:val="22"/>
          <w:highlight w:val="none"/>
        </w:rPr>
        <w:t xml:space="preserve">； </w:t>
      </w:r>
    </w:p>
    <w:p w14:paraId="056114ED">
      <w:pPr>
        <w:adjustRightInd w:val="0"/>
        <w:snapToGrid w:val="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4.成交通知书。</w:t>
      </w:r>
    </w:p>
    <w:p w14:paraId="7401C39C">
      <w:pPr>
        <w:adjustRightInd w:val="0"/>
        <w:snapToGrid w:val="0"/>
        <w:spacing w:line="36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第二十条</w:t>
      </w:r>
      <w:r>
        <w:rPr>
          <w:rFonts w:hint="eastAsia" w:ascii="宋体" w:hAnsi="宋体" w:cs="宋体"/>
          <w:color w:val="auto"/>
          <w:sz w:val="22"/>
          <w:szCs w:val="22"/>
          <w:highlight w:val="none"/>
        </w:rPr>
        <w:t>　本合同一式</w:t>
      </w:r>
      <w:r>
        <w:rPr>
          <w:rFonts w:hint="eastAsia" w:ascii="宋体" w:hAnsi="宋体" w:cs="宋体"/>
          <w:color w:val="auto"/>
          <w:sz w:val="22"/>
          <w:szCs w:val="22"/>
          <w:highlight w:val="none"/>
          <w:u w:val="single"/>
          <w:lang w:eastAsia="zh-CN"/>
        </w:rPr>
        <w:t>四</w:t>
      </w:r>
      <w:r>
        <w:rPr>
          <w:rFonts w:hint="eastAsia" w:ascii="宋体" w:hAnsi="宋体" w:cs="宋体"/>
          <w:color w:val="auto"/>
          <w:sz w:val="22"/>
          <w:szCs w:val="22"/>
          <w:highlight w:val="none"/>
        </w:rPr>
        <w:t>份，具有同等法律效力，甲</w:t>
      </w:r>
      <w:r>
        <w:rPr>
          <w:rFonts w:hint="eastAsia" w:ascii="宋体" w:hAnsi="宋体" w:cs="宋体"/>
          <w:color w:val="auto"/>
          <w:sz w:val="22"/>
          <w:szCs w:val="22"/>
          <w:highlight w:val="none"/>
          <w:lang w:eastAsia="zh-CN"/>
        </w:rPr>
        <w:t>方两份、</w:t>
      </w:r>
      <w:r>
        <w:rPr>
          <w:rFonts w:hint="eastAsia" w:ascii="宋体" w:hAnsi="宋体" w:cs="宋体"/>
          <w:color w:val="auto"/>
          <w:sz w:val="22"/>
          <w:szCs w:val="22"/>
          <w:highlight w:val="none"/>
        </w:rPr>
        <w:t>乙方一份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采购代理机构一份（可根据需要另增加）。</w:t>
      </w:r>
    </w:p>
    <w:p w14:paraId="0E922AF0">
      <w:pPr>
        <w:pStyle w:val="6"/>
        <w:rPr>
          <w:rFonts w:hint="eastAsia"/>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7EC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4516" w:type="dxa"/>
            <w:noWrap w:val="0"/>
            <w:vAlign w:val="center"/>
          </w:tcPr>
          <w:p w14:paraId="77DCA06D">
            <w:pPr>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甲方（章）           </w:t>
            </w:r>
          </w:p>
          <w:p w14:paraId="38EFCAA6">
            <w:pPr>
              <w:snapToGrid w:val="0"/>
              <w:spacing w:line="400" w:lineRule="exact"/>
              <w:ind w:firstLine="990" w:firstLineChars="45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年   月   日</w:t>
            </w:r>
          </w:p>
        </w:tc>
        <w:tc>
          <w:tcPr>
            <w:tcW w:w="4517" w:type="dxa"/>
            <w:noWrap w:val="0"/>
            <w:vAlign w:val="center"/>
          </w:tcPr>
          <w:p w14:paraId="65A94EBF">
            <w:pPr>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乙方（章）              </w:t>
            </w:r>
          </w:p>
          <w:p w14:paraId="5D89D24F">
            <w:pPr>
              <w:snapToGrid w:val="0"/>
              <w:spacing w:line="40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年   月   日</w:t>
            </w:r>
          </w:p>
        </w:tc>
      </w:tr>
      <w:tr w14:paraId="5A67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D42E839">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单位地址：</w:t>
            </w:r>
          </w:p>
        </w:tc>
        <w:tc>
          <w:tcPr>
            <w:tcW w:w="4517" w:type="dxa"/>
            <w:noWrap w:val="0"/>
            <w:vAlign w:val="center"/>
          </w:tcPr>
          <w:p w14:paraId="42C14359">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单位地址：</w:t>
            </w:r>
          </w:p>
        </w:tc>
      </w:tr>
      <w:tr w14:paraId="2827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4516" w:type="dxa"/>
            <w:noWrap w:val="0"/>
            <w:vAlign w:val="center"/>
          </w:tcPr>
          <w:p w14:paraId="0319052F">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tc>
        <w:tc>
          <w:tcPr>
            <w:tcW w:w="4517" w:type="dxa"/>
            <w:noWrap w:val="0"/>
            <w:vAlign w:val="center"/>
          </w:tcPr>
          <w:p w14:paraId="125E264D">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tc>
      </w:tr>
      <w:tr w14:paraId="2A6A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516" w:type="dxa"/>
            <w:noWrap w:val="0"/>
            <w:vAlign w:val="center"/>
          </w:tcPr>
          <w:p w14:paraId="05AFCDFC">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委托代理人：</w:t>
            </w:r>
          </w:p>
        </w:tc>
        <w:tc>
          <w:tcPr>
            <w:tcW w:w="4517" w:type="dxa"/>
            <w:noWrap w:val="0"/>
            <w:vAlign w:val="center"/>
          </w:tcPr>
          <w:p w14:paraId="7CC85869">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委托代理人</w:t>
            </w:r>
          </w:p>
        </w:tc>
      </w:tr>
      <w:tr w14:paraId="738F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noWrap w:val="0"/>
            <w:vAlign w:val="center"/>
          </w:tcPr>
          <w:p w14:paraId="3AA83B15">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c>
          <w:tcPr>
            <w:tcW w:w="4517" w:type="dxa"/>
            <w:noWrap w:val="0"/>
            <w:vAlign w:val="center"/>
          </w:tcPr>
          <w:p w14:paraId="37B9E512">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r>
      <w:tr w14:paraId="223C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2F9FD147">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电子邮箱：</w:t>
            </w:r>
          </w:p>
        </w:tc>
        <w:tc>
          <w:tcPr>
            <w:tcW w:w="4517" w:type="dxa"/>
            <w:noWrap w:val="0"/>
            <w:vAlign w:val="center"/>
          </w:tcPr>
          <w:p w14:paraId="5A0B4B3B">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电子邮箱：</w:t>
            </w:r>
          </w:p>
        </w:tc>
      </w:tr>
      <w:tr w14:paraId="098A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4516" w:type="dxa"/>
            <w:noWrap w:val="0"/>
            <w:vAlign w:val="center"/>
          </w:tcPr>
          <w:p w14:paraId="364708B7">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开户银行：</w:t>
            </w:r>
          </w:p>
        </w:tc>
        <w:tc>
          <w:tcPr>
            <w:tcW w:w="4517" w:type="dxa"/>
            <w:noWrap w:val="0"/>
            <w:vAlign w:val="center"/>
          </w:tcPr>
          <w:p w14:paraId="2F8B80F7">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开户银行：</w:t>
            </w:r>
          </w:p>
        </w:tc>
      </w:tr>
      <w:tr w14:paraId="0E6D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7692C114">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账号：</w:t>
            </w:r>
          </w:p>
        </w:tc>
        <w:tc>
          <w:tcPr>
            <w:tcW w:w="4517" w:type="dxa"/>
            <w:noWrap w:val="0"/>
            <w:vAlign w:val="center"/>
          </w:tcPr>
          <w:p w14:paraId="111A391A">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账号：</w:t>
            </w:r>
          </w:p>
        </w:tc>
      </w:tr>
      <w:tr w14:paraId="4BDB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125B849">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c>
        <w:tc>
          <w:tcPr>
            <w:tcW w:w="4517" w:type="dxa"/>
            <w:noWrap w:val="0"/>
            <w:vAlign w:val="center"/>
          </w:tcPr>
          <w:p w14:paraId="338BC400">
            <w:pPr>
              <w:snapToGrid w:val="0"/>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c>
      </w:tr>
      <w:tr w14:paraId="03EA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033" w:type="dxa"/>
            <w:gridSpan w:val="2"/>
            <w:noWrap w:val="0"/>
            <w:vAlign w:val="top"/>
          </w:tcPr>
          <w:p w14:paraId="7E08CE10">
            <w:pPr>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经办人：</w:t>
            </w:r>
          </w:p>
          <w:p w14:paraId="51130E19">
            <w:pPr>
              <w:snapToGrid w:val="0"/>
              <w:spacing w:line="400" w:lineRule="exact"/>
              <w:ind w:firstLine="660" w:firstLineChars="3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年    月    日</w:t>
            </w:r>
          </w:p>
        </w:tc>
      </w:tr>
    </w:tbl>
    <w:p w14:paraId="53CDDFF7">
      <w:pPr>
        <w:snapToGrid w:val="0"/>
        <w:spacing w:line="600" w:lineRule="exact"/>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合 同 附 件</w:t>
      </w:r>
    </w:p>
    <w:p w14:paraId="5D816F21">
      <w:pPr>
        <w:snapToGrid w:val="0"/>
        <w:spacing w:after="156" w:afterLines="50"/>
        <w:rPr>
          <w:rFonts w:hint="eastAsia" w:ascii="宋体" w:hAnsi="宋体" w:cs="宋体"/>
          <w:b/>
          <w:color w:val="auto"/>
          <w:szCs w:val="21"/>
          <w:highlight w:val="none"/>
        </w:rPr>
      </w:pPr>
      <w:r>
        <w:rPr>
          <w:rFonts w:hint="eastAsia" w:ascii="宋体" w:hAnsi="宋体" w:cs="宋体"/>
          <w:b/>
          <w:color w:val="auto"/>
          <w:szCs w:val="21"/>
          <w:highlight w:val="none"/>
        </w:rPr>
        <w:t>一般货物类</w:t>
      </w:r>
    </w:p>
    <w:tbl>
      <w:tblPr>
        <w:tblStyle w:val="16"/>
        <w:tblW w:w="0" w:type="auto"/>
        <w:jc w:val="center"/>
        <w:tblLayout w:type="fixed"/>
        <w:tblCellMar>
          <w:top w:w="0" w:type="dxa"/>
          <w:left w:w="108" w:type="dxa"/>
          <w:bottom w:w="0" w:type="dxa"/>
          <w:right w:w="108" w:type="dxa"/>
        </w:tblCellMar>
      </w:tblPr>
      <w:tblGrid>
        <w:gridCol w:w="4370"/>
        <w:gridCol w:w="4815"/>
      </w:tblGrid>
      <w:tr w14:paraId="3AB4DDE1">
        <w:tblPrEx>
          <w:tblCellMar>
            <w:top w:w="0" w:type="dxa"/>
            <w:left w:w="108" w:type="dxa"/>
            <w:bottom w:w="0" w:type="dxa"/>
            <w:right w:w="108" w:type="dxa"/>
          </w:tblCellMar>
        </w:tblPrEx>
        <w:trPr>
          <w:trHeight w:val="2260" w:hRule="atLeast"/>
          <w:jc w:val="center"/>
        </w:trPr>
        <w:tc>
          <w:tcPr>
            <w:tcW w:w="9185" w:type="dxa"/>
            <w:gridSpan w:val="2"/>
            <w:tcBorders>
              <w:top w:val="single" w:color="auto" w:sz="4" w:space="0"/>
              <w:left w:val="single" w:color="auto" w:sz="4" w:space="0"/>
              <w:right w:val="single" w:color="auto" w:sz="4" w:space="0"/>
            </w:tcBorders>
            <w:noWrap w:val="0"/>
            <w:vAlign w:val="top"/>
          </w:tcPr>
          <w:p w14:paraId="0A95F9CF">
            <w:pPr>
              <w:snapToGrid w:val="0"/>
              <w:spacing w:before="156" w:beforeLines="50"/>
              <w:rPr>
                <w:rFonts w:hint="eastAsia" w:ascii="宋体" w:hAnsi="宋体" w:cs="宋体"/>
                <w:color w:val="auto"/>
                <w:sz w:val="22"/>
                <w:szCs w:val="22"/>
                <w:highlight w:val="none"/>
              </w:rPr>
            </w:pPr>
            <w:r>
              <w:rPr>
                <w:rFonts w:hint="eastAsia" w:ascii="宋体" w:hAnsi="宋体" w:cs="宋体"/>
                <w:color w:val="auto"/>
                <w:sz w:val="22"/>
                <w:szCs w:val="22"/>
                <w:highlight w:val="none"/>
              </w:rPr>
              <w:t>1.供应商承诺具体事项：</w:t>
            </w:r>
          </w:p>
        </w:tc>
      </w:tr>
      <w:tr w14:paraId="22975B55">
        <w:tblPrEx>
          <w:tblCellMar>
            <w:top w:w="0" w:type="dxa"/>
            <w:left w:w="108" w:type="dxa"/>
            <w:bottom w:w="0" w:type="dxa"/>
            <w:right w:w="108" w:type="dxa"/>
          </w:tblCellMar>
        </w:tblPrEx>
        <w:trPr>
          <w:trHeight w:val="2260" w:hRule="atLeast"/>
          <w:jc w:val="center"/>
        </w:trPr>
        <w:tc>
          <w:tcPr>
            <w:tcW w:w="9185" w:type="dxa"/>
            <w:gridSpan w:val="2"/>
            <w:tcBorders>
              <w:top w:val="single" w:color="auto" w:sz="4" w:space="0"/>
              <w:left w:val="single" w:color="auto" w:sz="4" w:space="0"/>
              <w:right w:val="single" w:color="auto" w:sz="4" w:space="0"/>
            </w:tcBorders>
            <w:noWrap w:val="0"/>
            <w:vAlign w:val="top"/>
          </w:tcPr>
          <w:p w14:paraId="0E8AC945">
            <w:pPr>
              <w:snapToGrid w:val="0"/>
              <w:spacing w:before="156" w:beforeLines="50"/>
              <w:rPr>
                <w:rFonts w:hint="eastAsia" w:ascii="宋体" w:hAnsi="宋体" w:cs="宋体"/>
                <w:color w:val="auto"/>
                <w:sz w:val="22"/>
                <w:szCs w:val="22"/>
                <w:highlight w:val="none"/>
              </w:rPr>
            </w:pPr>
            <w:r>
              <w:rPr>
                <w:rFonts w:hint="eastAsia" w:ascii="宋体" w:hAnsi="宋体" w:cs="宋体"/>
                <w:color w:val="auto"/>
                <w:sz w:val="22"/>
                <w:szCs w:val="22"/>
                <w:highlight w:val="none"/>
              </w:rPr>
              <w:t>2.售后服务具体事项：</w:t>
            </w:r>
          </w:p>
        </w:tc>
      </w:tr>
      <w:tr w14:paraId="0FC24808">
        <w:tblPrEx>
          <w:tblCellMar>
            <w:top w:w="0" w:type="dxa"/>
            <w:left w:w="108" w:type="dxa"/>
            <w:bottom w:w="0" w:type="dxa"/>
            <w:right w:w="108" w:type="dxa"/>
          </w:tblCellMar>
        </w:tblPrEx>
        <w:trPr>
          <w:trHeight w:val="2710" w:hRule="atLeast"/>
          <w:jc w:val="center"/>
        </w:trPr>
        <w:tc>
          <w:tcPr>
            <w:tcW w:w="9185" w:type="dxa"/>
            <w:gridSpan w:val="2"/>
            <w:tcBorders>
              <w:top w:val="single" w:color="auto" w:sz="4" w:space="0"/>
              <w:left w:val="single" w:color="auto" w:sz="4" w:space="0"/>
              <w:right w:val="single" w:color="auto" w:sz="4" w:space="0"/>
            </w:tcBorders>
            <w:noWrap w:val="0"/>
            <w:vAlign w:val="top"/>
          </w:tcPr>
          <w:p w14:paraId="0F07F229">
            <w:pPr>
              <w:snapToGrid w:val="0"/>
              <w:spacing w:before="156" w:beforeLines="50"/>
              <w:rPr>
                <w:rFonts w:hint="eastAsia" w:ascii="宋体" w:hAnsi="宋体" w:cs="宋体"/>
                <w:color w:val="auto"/>
                <w:sz w:val="22"/>
                <w:szCs w:val="22"/>
                <w:highlight w:val="none"/>
              </w:rPr>
            </w:pPr>
            <w:r>
              <w:rPr>
                <w:rFonts w:hint="eastAsia" w:ascii="宋体" w:hAnsi="宋体" w:cs="宋体"/>
                <w:color w:val="auto"/>
                <w:sz w:val="22"/>
                <w:szCs w:val="22"/>
                <w:highlight w:val="none"/>
              </w:rPr>
              <w:t>3.保修期责任：</w:t>
            </w:r>
          </w:p>
        </w:tc>
      </w:tr>
      <w:tr w14:paraId="2D87F509">
        <w:tblPrEx>
          <w:tblCellMar>
            <w:top w:w="0" w:type="dxa"/>
            <w:left w:w="108" w:type="dxa"/>
            <w:bottom w:w="0" w:type="dxa"/>
            <w:right w:w="108" w:type="dxa"/>
          </w:tblCellMar>
        </w:tblPrEx>
        <w:trPr>
          <w:trHeight w:val="1810" w:hRule="atLeast"/>
          <w:jc w:val="center"/>
        </w:trPr>
        <w:tc>
          <w:tcPr>
            <w:tcW w:w="9185" w:type="dxa"/>
            <w:gridSpan w:val="2"/>
            <w:tcBorders>
              <w:top w:val="single" w:color="auto" w:sz="4" w:space="0"/>
              <w:left w:val="single" w:color="auto" w:sz="4" w:space="0"/>
              <w:right w:val="single" w:color="auto" w:sz="4" w:space="0"/>
            </w:tcBorders>
            <w:noWrap w:val="0"/>
            <w:vAlign w:val="top"/>
          </w:tcPr>
          <w:p w14:paraId="5F80D8C1">
            <w:pPr>
              <w:snapToGrid w:val="0"/>
              <w:spacing w:before="156" w:beforeLines="50"/>
              <w:rPr>
                <w:rFonts w:hint="eastAsia" w:ascii="宋体" w:hAnsi="宋体" w:cs="宋体"/>
                <w:color w:val="auto"/>
                <w:sz w:val="22"/>
                <w:szCs w:val="22"/>
                <w:highlight w:val="none"/>
              </w:rPr>
            </w:pPr>
            <w:r>
              <w:rPr>
                <w:rFonts w:hint="eastAsia" w:ascii="宋体" w:hAnsi="宋体" w:cs="宋体"/>
                <w:color w:val="auto"/>
                <w:sz w:val="22"/>
                <w:szCs w:val="22"/>
                <w:highlight w:val="none"/>
              </w:rPr>
              <w:t>4.其他具体事项：</w:t>
            </w:r>
          </w:p>
        </w:tc>
      </w:tr>
      <w:tr w14:paraId="397AD2C0">
        <w:tblPrEx>
          <w:tblCellMar>
            <w:top w:w="0" w:type="dxa"/>
            <w:left w:w="108" w:type="dxa"/>
            <w:bottom w:w="0" w:type="dxa"/>
            <w:right w:w="108" w:type="dxa"/>
          </w:tblCellMar>
        </w:tblPrEx>
        <w:trPr>
          <w:trHeight w:val="2577" w:hRule="atLeast"/>
          <w:jc w:val="center"/>
        </w:trPr>
        <w:tc>
          <w:tcPr>
            <w:tcW w:w="4370" w:type="dxa"/>
            <w:tcBorders>
              <w:top w:val="single" w:color="auto" w:sz="4" w:space="0"/>
              <w:left w:val="single" w:color="auto" w:sz="4" w:space="0"/>
              <w:bottom w:val="single" w:color="auto" w:sz="4" w:space="0"/>
              <w:right w:val="single" w:color="auto" w:sz="4" w:space="0"/>
            </w:tcBorders>
            <w:noWrap w:val="0"/>
            <w:vAlign w:val="center"/>
          </w:tcPr>
          <w:p w14:paraId="18A2DAF9">
            <w:pPr>
              <w:snapToGrid w:val="0"/>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甲方（章）</w:t>
            </w:r>
          </w:p>
          <w:p w14:paraId="0BEA1391">
            <w:pPr>
              <w:snapToGrid w:val="0"/>
              <w:ind w:firstLine="422"/>
              <w:rPr>
                <w:rFonts w:hint="eastAsia" w:ascii="宋体" w:hAnsi="宋体" w:cs="宋体"/>
                <w:color w:val="auto"/>
                <w:sz w:val="22"/>
                <w:szCs w:val="22"/>
                <w:highlight w:val="none"/>
              </w:rPr>
            </w:pPr>
          </w:p>
          <w:p w14:paraId="6605C1CD">
            <w:pPr>
              <w:snapToGrid w:val="0"/>
              <w:ind w:firstLine="422"/>
              <w:rPr>
                <w:rFonts w:hint="eastAsia" w:ascii="宋体" w:hAnsi="宋体" w:cs="宋体"/>
                <w:color w:val="auto"/>
                <w:sz w:val="22"/>
                <w:szCs w:val="22"/>
                <w:highlight w:val="none"/>
              </w:rPr>
            </w:pPr>
          </w:p>
          <w:p w14:paraId="3AAD2FD5">
            <w:pPr>
              <w:snapToGrid w:val="0"/>
              <w:ind w:firstLine="422"/>
              <w:rPr>
                <w:rFonts w:hint="eastAsia" w:ascii="宋体" w:hAnsi="宋体" w:cs="宋体"/>
                <w:color w:val="auto"/>
                <w:sz w:val="22"/>
                <w:szCs w:val="22"/>
                <w:highlight w:val="none"/>
              </w:rPr>
            </w:pPr>
          </w:p>
          <w:p w14:paraId="4F8BB663">
            <w:pPr>
              <w:snapToGrid w:val="0"/>
              <w:ind w:firstLine="422"/>
              <w:rPr>
                <w:rFonts w:hint="eastAsia" w:ascii="宋体" w:hAnsi="宋体" w:cs="宋体"/>
                <w:color w:val="auto"/>
                <w:sz w:val="22"/>
                <w:szCs w:val="22"/>
                <w:highlight w:val="none"/>
              </w:rPr>
            </w:pPr>
          </w:p>
          <w:p w14:paraId="4D4D5DAB">
            <w:pPr>
              <w:snapToGrid w:val="0"/>
              <w:ind w:firstLine="422"/>
              <w:rPr>
                <w:rFonts w:hint="eastAsia" w:ascii="宋体" w:hAnsi="宋体" w:cs="宋体"/>
                <w:color w:val="auto"/>
                <w:sz w:val="22"/>
                <w:szCs w:val="22"/>
                <w:highlight w:val="none"/>
              </w:rPr>
            </w:pPr>
          </w:p>
          <w:p w14:paraId="79C5D526">
            <w:pPr>
              <w:snapToGrid w:val="0"/>
              <w:ind w:firstLine="422"/>
              <w:rPr>
                <w:rFonts w:hint="eastAsia" w:ascii="宋体" w:hAnsi="宋体" w:cs="宋体"/>
                <w:color w:val="auto"/>
                <w:sz w:val="22"/>
                <w:szCs w:val="22"/>
                <w:highlight w:val="none"/>
              </w:rPr>
            </w:pPr>
          </w:p>
          <w:p w14:paraId="5CF27506">
            <w:pPr>
              <w:snapToGrid w:val="0"/>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年   月   日 </w:t>
            </w:r>
          </w:p>
        </w:tc>
        <w:tc>
          <w:tcPr>
            <w:tcW w:w="4815" w:type="dxa"/>
            <w:tcBorders>
              <w:top w:val="single" w:color="auto" w:sz="4" w:space="0"/>
              <w:left w:val="single" w:color="auto" w:sz="4" w:space="0"/>
              <w:bottom w:val="single" w:color="auto" w:sz="4" w:space="0"/>
              <w:right w:val="single" w:color="auto" w:sz="4" w:space="0"/>
            </w:tcBorders>
            <w:noWrap w:val="0"/>
            <w:vAlign w:val="center"/>
          </w:tcPr>
          <w:p w14:paraId="5C36DD62">
            <w:pPr>
              <w:snapToGrid w:val="0"/>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乙方（章）</w:t>
            </w:r>
          </w:p>
          <w:p w14:paraId="5FC98902">
            <w:pPr>
              <w:snapToGrid w:val="0"/>
              <w:ind w:firstLine="422"/>
              <w:rPr>
                <w:rFonts w:hint="eastAsia" w:ascii="宋体" w:hAnsi="宋体" w:cs="宋体"/>
                <w:color w:val="auto"/>
                <w:sz w:val="22"/>
                <w:szCs w:val="22"/>
                <w:highlight w:val="none"/>
              </w:rPr>
            </w:pPr>
          </w:p>
          <w:p w14:paraId="36196002">
            <w:pPr>
              <w:snapToGrid w:val="0"/>
              <w:ind w:firstLine="422"/>
              <w:rPr>
                <w:rFonts w:hint="eastAsia" w:ascii="宋体" w:hAnsi="宋体" w:cs="宋体"/>
                <w:color w:val="auto"/>
                <w:sz w:val="22"/>
                <w:szCs w:val="22"/>
                <w:highlight w:val="none"/>
              </w:rPr>
            </w:pPr>
          </w:p>
          <w:p w14:paraId="1326EDD0">
            <w:pPr>
              <w:snapToGrid w:val="0"/>
              <w:ind w:firstLine="422"/>
              <w:rPr>
                <w:rFonts w:hint="eastAsia" w:ascii="宋体" w:hAnsi="宋体" w:cs="宋体"/>
                <w:color w:val="auto"/>
                <w:sz w:val="22"/>
                <w:szCs w:val="22"/>
                <w:highlight w:val="none"/>
              </w:rPr>
            </w:pPr>
          </w:p>
          <w:p w14:paraId="45CAB5B1">
            <w:pPr>
              <w:snapToGrid w:val="0"/>
              <w:ind w:firstLine="422"/>
              <w:rPr>
                <w:rFonts w:hint="eastAsia" w:ascii="宋体" w:hAnsi="宋体" w:cs="宋体"/>
                <w:color w:val="auto"/>
                <w:sz w:val="22"/>
                <w:szCs w:val="22"/>
                <w:highlight w:val="none"/>
              </w:rPr>
            </w:pPr>
          </w:p>
          <w:p w14:paraId="64EBA647">
            <w:pPr>
              <w:snapToGrid w:val="0"/>
              <w:ind w:firstLine="422"/>
              <w:rPr>
                <w:rFonts w:hint="eastAsia" w:ascii="宋体" w:hAnsi="宋体" w:cs="宋体"/>
                <w:color w:val="auto"/>
                <w:sz w:val="22"/>
                <w:szCs w:val="22"/>
                <w:highlight w:val="none"/>
              </w:rPr>
            </w:pPr>
          </w:p>
          <w:p w14:paraId="092C1805">
            <w:pPr>
              <w:snapToGrid w:val="0"/>
              <w:ind w:firstLine="422"/>
              <w:rPr>
                <w:rFonts w:hint="eastAsia" w:ascii="宋体" w:hAnsi="宋体" w:cs="宋体"/>
                <w:color w:val="auto"/>
                <w:sz w:val="22"/>
                <w:szCs w:val="22"/>
                <w:highlight w:val="none"/>
              </w:rPr>
            </w:pPr>
          </w:p>
          <w:p w14:paraId="6243767C">
            <w:pPr>
              <w:snapToGrid w:val="0"/>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年   月   日</w:t>
            </w:r>
          </w:p>
        </w:tc>
      </w:tr>
    </w:tbl>
    <w:p w14:paraId="5EE7E443">
      <w:pPr>
        <w:snapToGrid w:val="0"/>
        <w:spacing w:before="156" w:beforeLines="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注：售后服务事项填不下时可另加附页</w:t>
      </w:r>
    </w:p>
    <w:p w14:paraId="50F4C515">
      <w:pPr>
        <w:rPr>
          <w:rFonts w:hint="default" w:ascii="宋体" w:hAnsi="宋体" w:cs="宋体"/>
          <w:b/>
          <w:color w:val="auto"/>
          <w:sz w:val="22"/>
          <w:szCs w:val="22"/>
          <w:highlight w:val="none"/>
          <w:lang w:val="en-US" w:eastAsia="zh-CN"/>
        </w:rPr>
      </w:pPr>
      <w:r>
        <w:rPr>
          <w:rFonts w:hint="default" w:ascii="宋体" w:hAnsi="宋体" w:cs="宋体"/>
          <w:b/>
          <w:color w:val="auto"/>
          <w:sz w:val="22"/>
          <w:szCs w:val="22"/>
          <w:highlight w:val="none"/>
          <w:lang w:val="en-US" w:eastAsia="zh-CN"/>
        </w:rPr>
        <w:br w:type="page"/>
      </w:r>
    </w:p>
    <w:p w14:paraId="779101E0">
      <w:pPr>
        <w:pStyle w:val="2"/>
        <w:bidi w:val="0"/>
        <w:rPr>
          <w:rFonts w:hint="default"/>
          <w:color w:val="auto"/>
          <w:highlight w:val="none"/>
          <w:lang w:val="en-US" w:eastAsia="zh-CN"/>
        </w:rPr>
      </w:pPr>
      <w:bookmarkStart w:id="101" w:name="_Toc26122"/>
      <w:r>
        <w:rPr>
          <w:rFonts w:hint="eastAsia"/>
          <w:color w:val="auto"/>
          <w:highlight w:val="none"/>
          <w:lang w:eastAsia="zh-CN"/>
        </w:rPr>
        <w:t>第六章</w:t>
      </w:r>
      <w:r>
        <w:rPr>
          <w:rFonts w:hint="eastAsia"/>
          <w:color w:val="auto"/>
          <w:highlight w:val="none"/>
          <w:lang w:val="en-US" w:eastAsia="zh-CN"/>
        </w:rPr>
        <w:t xml:space="preserve">  评定标准</w:t>
      </w:r>
      <w:bookmarkEnd w:id="101"/>
    </w:p>
    <w:p w14:paraId="639BE0CE">
      <w:pPr>
        <w:pStyle w:val="10"/>
        <w:keepNext w:val="0"/>
        <w:keepLines w:val="0"/>
        <w:pageBreakBefore w:val="0"/>
        <w:widowControl w:val="0"/>
        <w:kinsoku/>
        <w:wordWrap/>
        <w:overflowPunct/>
        <w:topLinePunct w:val="0"/>
        <w:autoSpaceDE/>
        <w:autoSpaceDN/>
        <w:bidi w:val="0"/>
        <w:spacing w:line="360" w:lineRule="exact"/>
        <w:ind w:firstLine="433" w:firstLineChars="196"/>
        <w:textAlignment w:val="auto"/>
        <w:rPr>
          <w:rFonts w:hint="eastAsia" w:ascii="黑体" w:hAnsi="宋体" w:eastAsia="黑体"/>
          <w:color w:val="auto"/>
          <w:sz w:val="22"/>
          <w:szCs w:val="22"/>
          <w:highlight w:val="none"/>
        </w:rPr>
      </w:pPr>
      <w:r>
        <w:rPr>
          <w:rFonts w:hint="eastAsia" w:ascii="黑体" w:hAnsi="宋体" w:eastAsia="黑体"/>
          <w:b/>
          <w:color w:val="auto"/>
          <w:sz w:val="22"/>
          <w:szCs w:val="22"/>
          <w:highlight w:val="none"/>
        </w:rPr>
        <w:t>一、评审原则</w:t>
      </w:r>
    </w:p>
    <w:p w14:paraId="3D1A896F">
      <w:pPr>
        <w:pStyle w:val="10"/>
        <w:keepNext w:val="0"/>
        <w:keepLines w:val="0"/>
        <w:pageBreakBefore w:val="0"/>
        <w:widowControl w:val="0"/>
        <w:kinsoku/>
        <w:wordWrap/>
        <w:overflowPunct/>
        <w:topLinePunct w:val="0"/>
        <w:autoSpaceDE/>
        <w:autoSpaceDN/>
        <w:bidi w:val="0"/>
        <w:spacing w:line="360" w:lineRule="exact"/>
        <w:ind w:firstLine="440" w:firstLineChars="200"/>
        <w:textAlignment w:val="auto"/>
        <w:rPr>
          <w:rFonts w:hint="eastAsia" w:hAnsi="宋体" w:cs="宋体"/>
          <w:color w:val="auto"/>
          <w:kern w:val="0"/>
          <w:sz w:val="22"/>
          <w:szCs w:val="22"/>
          <w:highlight w:val="none"/>
        </w:rPr>
      </w:pPr>
      <w:r>
        <w:rPr>
          <w:rFonts w:hint="eastAsia" w:hAnsi="宋体" w:cs="宋体"/>
          <w:color w:val="auto"/>
          <w:kern w:val="0"/>
          <w:sz w:val="22"/>
          <w:szCs w:val="22"/>
          <w:highlight w:val="none"/>
        </w:rPr>
        <w:t>1.</w:t>
      </w:r>
      <w:r>
        <w:rPr>
          <w:rFonts w:hint="eastAsia" w:ascii="Times New Roman" w:hAnsi="Times New Roman" w:cs="Times New Roman"/>
          <w:bCs/>
          <w:color w:val="auto"/>
          <w:sz w:val="22"/>
          <w:szCs w:val="22"/>
          <w:highlight w:val="none"/>
        </w:rPr>
        <w:t>谈判小组</w:t>
      </w:r>
      <w:r>
        <w:rPr>
          <w:rFonts w:hint="eastAsia" w:ascii="Times New Roman" w:hAnsi="Times New Roman" w:cs="Times New Roman"/>
          <w:color w:val="auto"/>
          <w:sz w:val="22"/>
          <w:szCs w:val="22"/>
          <w:highlight w:val="none"/>
        </w:rPr>
        <w:t>成员</w:t>
      </w:r>
      <w:r>
        <w:rPr>
          <w:rFonts w:hint="eastAsia" w:ascii="Times New Roman" w:hAnsi="Times New Roman" w:cs="Times New Roman"/>
          <w:bCs/>
          <w:color w:val="auto"/>
          <w:sz w:val="22"/>
          <w:szCs w:val="22"/>
          <w:highlight w:val="none"/>
        </w:rPr>
        <w:t>组成：本竞争性谈判采购项目的</w:t>
      </w:r>
      <w:r>
        <w:rPr>
          <w:rFonts w:hint="eastAsia" w:ascii="Times New Roman" w:hAnsi="Times New Roman" w:cs="Times New Roman"/>
          <w:color w:val="auto"/>
          <w:sz w:val="22"/>
          <w:szCs w:val="22"/>
          <w:highlight w:val="none"/>
        </w:rPr>
        <w:t>谈判小组由采购人代表和评审专家共三人以上的单数组成，其中评审专家的人数不得少于谈判小组成员</w:t>
      </w:r>
      <w:r>
        <w:rPr>
          <w:rFonts w:hint="eastAsia" w:hAnsi="宋体" w:cs="宋体"/>
          <w:color w:val="auto"/>
          <w:kern w:val="0"/>
          <w:sz w:val="22"/>
          <w:szCs w:val="22"/>
          <w:highlight w:val="none"/>
        </w:rPr>
        <w:t>总数的三分之二。</w:t>
      </w:r>
    </w:p>
    <w:p w14:paraId="0DCC4A23">
      <w:pPr>
        <w:pStyle w:val="10"/>
        <w:keepNext w:val="0"/>
        <w:keepLines w:val="0"/>
        <w:pageBreakBefore w:val="0"/>
        <w:widowControl w:val="0"/>
        <w:kinsoku/>
        <w:wordWrap/>
        <w:overflowPunct/>
        <w:topLinePunct w:val="0"/>
        <w:autoSpaceDE/>
        <w:autoSpaceDN/>
        <w:bidi w:val="0"/>
        <w:spacing w:line="360" w:lineRule="exact"/>
        <w:ind w:firstLine="440" w:firstLineChars="200"/>
        <w:textAlignment w:val="auto"/>
        <w:rPr>
          <w:rFonts w:hint="eastAsia" w:hAnsi="宋体"/>
          <w:bCs/>
          <w:color w:val="auto"/>
          <w:sz w:val="22"/>
          <w:szCs w:val="22"/>
          <w:highlight w:val="none"/>
        </w:rPr>
      </w:pPr>
      <w:r>
        <w:rPr>
          <w:rFonts w:hint="eastAsia" w:hAnsi="宋体" w:cs="宋体"/>
          <w:color w:val="auto"/>
          <w:kern w:val="0"/>
          <w:sz w:val="22"/>
          <w:szCs w:val="22"/>
          <w:highlight w:val="none"/>
        </w:rPr>
        <w:t>2.评审依据：以竞争性谈判文</w:t>
      </w:r>
      <w:r>
        <w:rPr>
          <w:rFonts w:hint="eastAsia" w:ascii="Times New Roman" w:hAnsi="Times New Roman" w:cs="Times New Roman"/>
          <w:bCs/>
          <w:color w:val="auto"/>
          <w:sz w:val="22"/>
          <w:szCs w:val="22"/>
          <w:highlight w:val="none"/>
        </w:rPr>
        <w:t>件和竞争性谈判响应文件为依据</w:t>
      </w:r>
      <w:r>
        <w:rPr>
          <w:rFonts w:hint="eastAsia"/>
          <w:bCs/>
          <w:color w:val="auto"/>
          <w:sz w:val="22"/>
          <w:szCs w:val="22"/>
          <w:highlight w:val="none"/>
        </w:rPr>
        <w:t>。</w:t>
      </w:r>
    </w:p>
    <w:p w14:paraId="3F1ED9CE">
      <w:pPr>
        <w:pStyle w:val="10"/>
        <w:keepNext w:val="0"/>
        <w:keepLines w:val="0"/>
        <w:pageBreakBefore w:val="0"/>
        <w:widowControl w:val="0"/>
        <w:kinsoku/>
        <w:wordWrap/>
        <w:overflowPunct/>
        <w:topLinePunct w:val="0"/>
        <w:autoSpaceDE/>
        <w:autoSpaceDN/>
        <w:bidi w:val="0"/>
        <w:spacing w:line="360" w:lineRule="exact"/>
        <w:ind w:firstLine="433" w:firstLineChars="196"/>
        <w:textAlignment w:val="auto"/>
        <w:rPr>
          <w:rFonts w:hint="eastAsia" w:ascii="黑体" w:hAnsi="宋体" w:eastAsia="黑体"/>
          <w:b/>
          <w:color w:val="auto"/>
          <w:sz w:val="22"/>
          <w:szCs w:val="22"/>
          <w:highlight w:val="none"/>
        </w:rPr>
      </w:pPr>
      <w:r>
        <w:rPr>
          <w:rFonts w:hint="eastAsia" w:ascii="黑体" w:hAnsi="宋体" w:eastAsia="黑体"/>
          <w:b/>
          <w:color w:val="auto"/>
          <w:sz w:val="22"/>
          <w:szCs w:val="22"/>
          <w:highlight w:val="none"/>
        </w:rPr>
        <w:t>二、评标方法</w:t>
      </w:r>
    </w:p>
    <w:p w14:paraId="4B0643F5">
      <w:pPr>
        <w:pStyle w:val="10"/>
        <w:keepNext w:val="0"/>
        <w:keepLines w:val="0"/>
        <w:pageBreakBefore w:val="0"/>
        <w:widowControl w:val="0"/>
        <w:kinsoku/>
        <w:wordWrap/>
        <w:overflowPunct/>
        <w:topLinePunct w:val="0"/>
        <w:autoSpaceDE/>
        <w:autoSpaceDN/>
        <w:bidi w:val="0"/>
        <w:spacing w:line="360" w:lineRule="exact"/>
        <w:ind w:firstLine="440" w:firstLineChars="200"/>
        <w:textAlignment w:val="auto"/>
        <w:rPr>
          <w:rFonts w:hint="eastAsia"/>
          <w:color w:val="auto"/>
          <w:kern w:val="0"/>
          <w:sz w:val="22"/>
          <w:szCs w:val="22"/>
          <w:highlight w:val="none"/>
        </w:rPr>
      </w:pPr>
      <w:r>
        <w:rPr>
          <w:rFonts w:hint="eastAsia"/>
          <w:color w:val="auto"/>
          <w:kern w:val="0"/>
          <w:sz w:val="22"/>
          <w:szCs w:val="22"/>
          <w:highlight w:val="none"/>
        </w:rPr>
        <w:t>谈判小组将以竞争性谈判文件为依据，对资格性和符合性检查合格的竞争性谈判响应文件进行评审，在质量和服务均能满足竞争性谈判文件实质性响应要求的供应商中，按下列程序确定成交供应商：</w:t>
      </w:r>
    </w:p>
    <w:p w14:paraId="0CEB9938">
      <w:pPr>
        <w:pStyle w:val="10"/>
        <w:keepNext w:val="0"/>
        <w:keepLines w:val="0"/>
        <w:pageBreakBefore w:val="0"/>
        <w:widowControl w:val="0"/>
        <w:kinsoku/>
        <w:wordWrap/>
        <w:overflowPunct/>
        <w:topLinePunct w:val="0"/>
        <w:autoSpaceDE/>
        <w:autoSpaceDN/>
        <w:bidi w:val="0"/>
        <w:spacing w:line="360" w:lineRule="exact"/>
        <w:ind w:firstLine="440" w:firstLineChars="200"/>
        <w:textAlignment w:val="auto"/>
        <w:rPr>
          <w:rFonts w:hint="eastAsia" w:hAnsi="宋体" w:eastAsiaTheme="minorEastAsia"/>
          <w:color w:val="auto"/>
          <w:sz w:val="22"/>
          <w:szCs w:val="22"/>
          <w:highlight w:val="none"/>
          <w:lang w:eastAsia="zh-CN"/>
        </w:rPr>
      </w:pPr>
      <w:r>
        <w:rPr>
          <w:rFonts w:hint="eastAsia" w:hAnsi="宋体" w:cs="宋体"/>
          <w:color w:val="auto"/>
          <w:kern w:val="0"/>
          <w:sz w:val="22"/>
          <w:szCs w:val="22"/>
          <w:highlight w:val="none"/>
        </w:rPr>
        <w:t>1.</w:t>
      </w:r>
      <w:r>
        <w:rPr>
          <w:rFonts w:hint="eastAsia" w:hAnsi="宋体"/>
          <w:color w:val="auto"/>
          <w:sz w:val="22"/>
          <w:szCs w:val="22"/>
          <w:highlight w:val="none"/>
        </w:rPr>
        <w:t xml:space="preserve"> 竞争性谈判的主要产品按《政府采购促进中小企业发展管理办法》（财库〔2020〕46号）认定为小型和微型企业产品的（提供《中小企业声明函》），对最后报价给予</w:t>
      </w:r>
      <w:r>
        <w:rPr>
          <w:rFonts w:hint="eastAsia" w:hAnsi="宋体"/>
          <w:color w:val="auto"/>
          <w:sz w:val="22"/>
          <w:szCs w:val="22"/>
          <w:highlight w:val="none"/>
          <w:lang w:val="en-US" w:eastAsia="zh-CN"/>
        </w:rPr>
        <w:t>20</w:t>
      </w:r>
      <w:r>
        <w:rPr>
          <w:rFonts w:hint="eastAsia" w:hAnsi="宋体"/>
          <w:color w:val="auto"/>
          <w:sz w:val="22"/>
          <w:szCs w:val="22"/>
          <w:highlight w:val="none"/>
        </w:rPr>
        <w:t>%的扣除，扣除后的价格为评标价，即评标价=最后报价×（1-</w:t>
      </w:r>
      <w:r>
        <w:rPr>
          <w:rFonts w:hint="eastAsia" w:hAnsi="宋体"/>
          <w:color w:val="auto"/>
          <w:sz w:val="22"/>
          <w:szCs w:val="22"/>
          <w:highlight w:val="none"/>
          <w:lang w:val="en-US" w:eastAsia="zh-CN"/>
        </w:rPr>
        <w:t>20</w:t>
      </w:r>
      <w:r>
        <w:rPr>
          <w:rFonts w:hint="eastAsia" w:hAnsi="宋体"/>
          <w:color w:val="auto"/>
          <w:sz w:val="22"/>
          <w:szCs w:val="22"/>
          <w:highlight w:val="none"/>
        </w:rPr>
        <w:t>%）；大中型企业与小型、微型企业组成联合体参与竞争性谈判，其中小型、微型企业的协议合同金额占到联合体协议合同总金额30%以上的，联合体最后价给予</w:t>
      </w:r>
      <w:r>
        <w:rPr>
          <w:rFonts w:hint="eastAsia" w:hAnsi="宋体"/>
          <w:color w:val="auto"/>
          <w:sz w:val="22"/>
          <w:szCs w:val="22"/>
          <w:highlight w:val="none"/>
          <w:lang w:val="en-US" w:eastAsia="zh-CN"/>
        </w:rPr>
        <w:t>6</w:t>
      </w:r>
      <w:r>
        <w:rPr>
          <w:rFonts w:hint="eastAsia" w:hAnsi="宋体"/>
          <w:color w:val="auto"/>
          <w:sz w:val="22"/>
          <w:szCs w:val="22"/>
          <w:highlight w:val="none"/>
        </w:rPr>
        <w:t>%的扣除，扣除后的价格为评标价，即评标价=最后报价×（1-</w:t>
      </w:r>
      <w:r>
        <w:rPr>
          <w:rFonts w:hint="eastAsia" w:hAnsi="宋体"/>
          <w:color w:val="auto"/>
          <w:sz w:val="22"/>
          <w:szCs w:val="22"/>
          <w:highlight w:val="none"/>
          <w:lang w:val="en-US" w:eastAsia="zh-CN"/>
        </w:rPr>
        <w:t>6</w:t>
      </w:r>
      <w:r>
        <w:rPr>
          <w:rFonts w:hint="eastAsia" w:hAnsi="宋体"/>
          <w:color w:val="auto"/>
          <w:sz w:val="22"/>
          <w:szCs w:val="22"/>
          <w:highlight w:val="none"/>
        </w:rPr>
        <w:t>%）；除上述情况外，评标价=最后报价</w:t>
      </w:r>
      <w:r>
        <w:rPr>
          <w:rFonts w:hint="eastAsia" w:hAnsi="宋体"/>
          <w:color w:val="auto"/>
          <w:sz w:val="22"/>
          <w:szCs w:val="22"/>
          <w:highlight w:val="none"/>
          <w:lang w:eastAsia="zh-CN"/>
        </w:rPr>
        <w:t>。</w:t>
      </w:r>
    </w:p>
    <w:p w14:paraId="4FB5800A">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jc w:val="left"/>
        <w:textAlignment w:val="auto"/>
        <w:rPr>
          <w:rFonts w:hint="eastAsia"/>
          <w:color w:val="auto"/>
          <w:sz w:val="22"/>
          <w:szCs w:val="22"/>
          <w:highlight w:val="none"/>
        </w:rPr>
      </w:pPr>
      <w:r>
        <w:rPr>
          <w:rFonts w:hint="eastAsia"/>
          <w:color w:val="auto"/>
          <w:sz w:val="22"/>
          <w:szCs w:val="22"/>
          <w:highlight w:val="none"/>
        </w:rPr>
        <w:t>竞争性谈判的主要产品提供企业按《关于政府采购支持监狱企业发展有关问题的通知》</w:t>
      </w:r>
      <w:r>
        <w:rPr>
          <w:color w:val="auto"/>
          <w:sz w:val="22"/>
          <w:szCs w:val="22"/>
          <w:highlight w:val="none"/>
        </w:rPr>
        <w:t>(</w:t>
      </w:r>
      <w:r>
        <w:rPr>
          <w:rFonts w:hint="eastAsia"/>
          <w:color w:val="auto"/>
          <w:sz w:val="22"/>
          <w:szCs w:val="22"/>
          <w:highlight w:val="none"/>
        </w:rPr>
        <w:t>财库</w:t>
      </w:r>
      <w:r>
        <w:rPr>
          <w:color w:val="auto"/>
          <w:sz w:val="22"/>
          <w:szCs w:val="22"/>
          <w:highlight w:val="none"/>
        </w:rPr>
        <w:t>[2014]68</w:t>
      </w:r>
      <w:r>
        <w:rPr>
          <w:rFonts w:hint="eastAsia"/>
          <w:color w:val="auto"/>
          <w:sz w:val="22"/>
          <w:szCs w:val="22"/>
          <w:highlight w:val="none"/>
        </w:rPr>
        <w:t>号</w:t>
      </w:r>
      <w:r>
        <w:rPr>
          <w:color w:val="auto"/>
          <w:sz w:val="22"/>
          <w:szCs w:val="22"/>
          <w:highlight w:val="none"/>
        </w:rPr>
        <w:t>)</w:t>
      </w:r>
      <w:r>
        <w:rPr>
          <w:rFonts w:hint="eastAsia"/>
          <w:color w:val="auto"/>
          <w:sz w:val="22"/>
          <w:szCs w:val="22"/>
          <w:highlight w:val="none"/>
        </w:rPr>
        <w:t>认定为监狱企业的，在政府采购活动中，监狱企业视同小型、微型企业。监狱企业参加政府采购活动时，应当提供由省级以上监狱管理局、戒毒管理局</w:t>
      </w:r>
      <w:r>
        <w:rPr>
          <w:color w:val="auto"/>
          <w:sz w:val="22"/>
          <w:szCs w:val="22"/>
          <w:highlight w:val="none"/>
        </w:rPr>
        <w:t>(</w:t>
      </w:r>
      <w:r>
        <w:rPr>
          <w:rFonts w:hint="eastAsia"/>
          <w:color w:val="auto"/>
          <w:sz w:val="22"/>
          <w:szCs w:val="22"/>
          <w:highlight w:val="none"/>
        </w:rPr>
        <w:t>含新疆生产建设兵团</w:t>
      </w:r>
      <w:r>
        <w:rPr>
          <w:color w:val="auto"/>
          <w:sz w:val="22"/>
          <w:szCs w:val="22"/>
          <w:highlight w:val="none"/>
        </w:rPr>
        <w:t>)</w:t>
      </w:r>
      <w:r>
        <w:rPr>
          <w:rFonts w:hint="eastAsia"/>
          <w:color w:val="auto"/>
          <w:sz w:val="22"/>
          <w:szCs w:val="22"/>
          <w:highlight w:val="none"/>
        </w:rPr>
        <w:t>出具的属于监狱企业的证明文件。</w:t>
      </w:r>
    </w:p>
    <w:p w14:paraId="0827E2C6">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color w:val="auto"/>
          <w:sz w:val="22"/>
          <w:szCs w:val="22"/>
          <w:highlight w:val="none"/>
        </w:rPr>
      </w:pPr>
      <w:r>
        <w:rPr>
          <w:rFonts w:ascii="宋体" w:hAnsi="宋体"/>
          <w:color w:val="auto"/>
          <w:sz w:val="22"/>
          <w:szCs w:val="22"/>
          <w:highlight w:val="none"/>
        </w:rPr>
        <w:t>在政府采购活动中，残疾人福利性单位视同小型、微型企业，享受预留份额、评审中价格扣除等促进中小企业发展的政府采购政策。残疾人福利性单位属于小型、微型企业的，不重复享受政策。</w:t>
      </w:r>
    </w:p>
    <w:p w14:paraId="2291D298">
      <w:pPr>
        <w:pStyle w:val="10"/>
        <w:keepNext w:val="0"/>
        <w:keepLines w:val="0"/>
        <w:pageBreakBefore w:val="0"/>
        <w:widowControl w:val="0"/>
        <w:numPr>
          <w:ilvl w:val="0"/>
          <w:numId w:val="2"/>
        </w:numPr>
        <w:kinsoku/>
        <w:wordWrap/>
        <w:overflowPunct/>
        <w:topLinePunct w:val="0"/>
        <w:autoSpaceDE/>
        <w:autoSpaceDN/>
        <w:bidi w:val="0"/>
        <w:spacing w:line="360" w:lineRule="exact"/>
        <w:ind w:firstLine="440" w:firstLineChars="200"/>
        <w:textAlignment w:val="auto"/>
        <w:rPr>
          <w:rFonts w:hint="eastAsia"/>
          <w:color w:val="auto"/>
          <w:kern w:val="0"/>
          <w:sz w:val="22"/>
          <w:szCs w:val="22"/>
          <w:highlight w:val="none"/>
        </w:rPr>
      </w:pPr>
      <w:r>
        <w:rPr>
          <w:rFonts w:hint="eastAsia"/>
          <w:color w:val="auto"/>
          <w:kern w:val="0"/>
          <w:sz w:val="22"/>
          <w:szCs w:val="22"/>
          <w:highlight w:val="none"/>
        </w:rPr>
        <w:t>谈判小组将以谈判文件、谈判响应文件为评审依据，在谈判响应文件满足谈判文件全部实质性要求且评标价最低的供应商为中标候选人。</w:t>
      </w:r>
    </w:p>
    <w:p w14:paraId="3D249345">
      <w:pPr>
        <w:pStyle w:val="5"/>
        <w:numPr>
          <w:ilvl w:val="0"/>
          <w:numId w:val="0"/>
        </w:numPr>
        <w:ind w:leftChars="0"/>
        <w:rPr>
          <w:rFonts w:hint="default" w:eastAsia="黑体"/>
          <w:lang w:val="en-US" w:eastAsia="zh-CN"/>
        </w:rPr>
      </w:pPr>
      <w:r>
        <w:rPr>
          <w:rFonts w:hint="eastAsia"/>
          <w:lang w:val="en-US" w:eastAsia="zh-CN"/>
        </w:rPr>
        <w:t xml:space="preserve">   注：专门面向中小企业项目不再执行此优惠政策。</w:t>
      </w:r>
    </w:p>
    <w:p w14:paraId="78FB0494">
      <w:pPr>
        <w:pStyle w:val="10"/>
        <w:keepNext w:val="0"/>
        <w:keepLines w:val="0"/>
        <w:pageBreakBefore w:val="0"/>
        <w:widowControl w:val="0"/>
        <w:kinsoku/>
        <w:wordWrap/>
        <w:overflowPunct/>
        <w:topLinePunct w:val="0"/>
        <w:autoSpaceDE/>
        <w:autoSpaceDN/>
        <w:bidi w:val="0"/>
        <w:spacing w:line="360" w:lineRule="exact"/>
        <w:ind w:firstLine="433" w:firstLineChars="196"/>
        <w:textAlignment w:val="auto"/>
        <w:rPr>
          <w:rFonts w:hint="eastAsia" w:ascii="黑体" w:eastAsia="黑体"/>
          <w:b/>
          <w:color w:val="auto"/>
          <w:sz w:val="22"/>
          <w:szCs w:val="22"/>
          <w:highlight w:val="none"/>
        </w:rPr>
      </w:pPr>
      <w:r>
        <w:rPr>
          <w:rFonts w:hint="eastAsia" w:ascii="黑体" w:eastAsia="黑体"/>
          <w:b/>
          <w:color w:val="auto"/>
          <w:sz w:val="22"/>
          <w:szCs w:val="22"/>
          <w:highlight w:val="none"/>
        </w:rPr>
        <w:t>三、成交候选人推荐原则</w:t>
      </w:r>
    </w:p>
    <w:p w14:paraId="077536AC">
      <w:pPr>
        <w:pStyle w:val="10"/>
        <w:keepNext w:val="0"/>
        <w:keepLines w:val="0"/>
        <w:pageBreakBefore w:val="0"/>
        <w:widowControl w:val="0"/>
        <w:kinsoku/>
        <w:wordWrap/>
        <w:overflowPunct/>
        <w:topLinePunct w:val="0"/>
        <w:autoSpaceDE/>
        <w:autoSpaceDN/>
        <w:bidi w:val="0"/>
        <w:spacing w:line="360" w:lineRule="exact"/>
        <w:ind w:firstLine="484" w:firstLineChars="220"/>
        <w:textAlignment w:val="auto"/>
        <w:rPr>
          <w:rFonts w:ascii="Times New Roman" w:hAnsi="Times New Roman" w:cs="Times New Roman"/>
          <w:color w:val="auto"/>
          <w:sz w:val="22"/>
          <w:szCs w:val="22"/>
          <w:highlight w:val="none"/>
        </w:rPr>
      </w:pPr>
      <w:r>
        <w:rPr>
          <w:rFonts w:hint="eastAsia" w:hAnsi="宋体" w:cs="宋体"/>
          <w:color w:val="auto"/>
          <w:kern w:val="0"/>
          <w:sz w:val="22"/>
          <w:szCs w:val="22"/>
          <w:highlight w:val="none"/>
        </w:rPr>
        <w:t>1.</w:t>
      </w:r>
      <w:r>
        <w:rPr>
          <w:rFonts w:hint="eastAsia" w:ascii="Times New Roman" w:hAnsi="Times New Roman" w:cs="Times New Roman"/>
          <w:color w:val="auto"/>
          <w:sz w:val="22"/>
          <w:szCs w:val="22"/>
          <w:highlight w:val="none"/>
        </w:rPr>
        <w:t>竞争性谈判响应文件</w:t>
      </w:r>
      <w:r>
        <w:rPr>
          <w:rFonts w:hint="eastAsia"/>
          <w:color w:val="auto"/>
          <w:sz w:val="22"/>
          <w:szCs w:val="22"/>
          <w:highlight w:val="none"/>
        </w:rPr>
        <w:t>在</w:t>
      </w:r>
      <w:r>
        <w:rPr>
          <w:rFonts w:hint="eastAsia" w:hAnsi="宋体" w:cs="宋体"/>
          <w:color w:val="auto"/>
          <w:kern w:val="0"/>
          <w:sz w:val="22"/>
          <w:szCs w:val="22"/>
          <w:highlight w:val="none"/>
        </w:rPr>
        <w:t>质量和服务均</w:t>
      </w:r>
      <w:r>
        <w:rPr>
          <w:rFonts w:hint="eastAsia" w:ascii="Times New Roman" w:hAnsi="Times New Roman" w:cs="Times New Roman"/>
          <w:color w:val="auto"/>
          <w:sz w:val="22"/>
          <w:szCs w:val="22"/>
          <w:highlight w:val="none"/>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w:t>
      </w:r>
    </w:p>
    <w:p w14:paraId="697D27B9">
      <w:pPr>
        <w:pStyle w:val="10"/>
        <w:keepNext w:val="0"/>
        <w:keepLines w:val="0"/>
        <w:pageBreakBefore w:val="0"/>
        <w:widowControl w:val="0"/>
        <w:kinsoku/>
        <w:wordWrap/>
        <w:overflowPunct/>
        <w:topLinePunct w:val="0"/>
        <w:autoSpaceDE/>
        <w:autoSpaceDN/>
        <w:bidi w:val="0"/>
        <w:spacing w:line="360" w:lineRule="exact"/>
        <w:ind w:firstLine="484" w:firstLineChars="220"/>
        <w:textAlignment w:val="auto"/>
        <w:rPr>
          <w:rFonts w:hint="eastAsia"/>
          <w:color w:val="auto"/>
          <w:sz w:val="22"/>
          <w:szCs w:val="22"/>
          <w:highlight w:val="none"/>
        </w:rPr>
      </w:pPr>
      <w:r>
        <w:rPr>
          <w:rFonts w:hint="eastAsia" w:hAnsi="宋体" w:cs="宋体"/>
          <w:color w:val="auto"/>
          <w:kern w:val="0"/>
          <w:sz w:val="22"/>
          <w:szCs w:val="22"/>
          <w:highlight w:val="none"/>
        </w:rPr>
        <w:t>2.谈</w:t>
      </w:r>
      <w:r>
        <w:rPr>
          <w:rFonts w:hint="eastAsia" w:ascii="Times New Roman" w:hAnsi="Times New Roman" w:cs="Times New Roman"/>
          <w:color w:val="auto"/>
          <w:sz w:val="22"/>
          <w:szCs w:val="22"/>
          <w:highlight w:val="none"/>
        </w:rPr>
        <w:t>判小组认为，某谈判供应商的有效报价或者某些分项报价明显不合理或者低于成本，有可能</w:t>
      </w:r>
      <w:r>
        <w:rPr>
          <w:rFonts w:hint="eastAsia"/>
          <w:color w:val="auto"/>
          <w:sz w:val="22"/>
          <w:szCs w:val="22"/>
          <w:highlight w:val="none"/>
        </w:rPr>
        <w:t>影响商品质量和不能诚信履约的，应要求其在规定的期限内提供书面文件予以解释说明，并提交相关证明材料，否则，谈判小组可以取消该谈判供应商的成交候选人资格，按顺序由排在后面的成交</w:t>
      </w:r>
      <w:r>
        <w:rPr>
          <w:rFonts w:hint="eastAsia" w:ascii="Times New Roman" w:hAnsi="Times New Roman" w:cs="Times New Roman"/>
          <w:bCs/>
          <w:color w:val="auto"/>
          <w:sz w:val="22"/>
          <w:szCs w:val="22"/>
          <w:highlight w:val="none"/>
        </w:rPr>
        <w:t>候选人递补，以此类推</w:t>
      </w:r>
      <w:r>
        <w:rPr>
          <w:rFonts w:hint="eastAsia"/>
          <w:color w:val="auto"/>
          <w:sz w:val="22"/>
          <w:szCs w:val="22"/>
          <w:highlight w:val="none"/>
        </w:rPr>
        <w:t>。</w:t>
      </w:r>
    </w:p>
    <w:p w14:paraId="4A8C5F28">
      <w:pPr>
        <w:pStyle w:val="10"/>
        <w:keepNext w:val="0"/>
        <w:keepLines w:val="0"/>
        <w:pageBreakBefore w:val="0"/>
        <w:widowControl w:val="0"/>
        <w:kinsoku/>
        <w:wordWrap/>
        <w:overflowPunct/>
        <w:topLinePunct w:val="0"/>
        <w:autoSpaceDE/>
        <w:autoSpaceDN/>
        <w:bidi w:val="0"/>
        <w:spacing w:line="360" w:lineRule="exact"/>
        <w:ind w:firstLine="484" w:firstLineChars="220"/>
        <w:textAlignment w:val="auto"/>
        <w:rPr>
          <w:rFonts w:hint="eastAsia"/>
          <w:color w:val="auto"/>
          <w:szCs w:val="21"/>
          <w:highlight w:val="none"/>
        </w:rPr>
      </w:pPr>
      <w:r>
        <w:rPr>
          <w:rFonts w:hint="eastAsia"/>
          <w:color w:val="auto"/>
          <w:sz w:val="22"/>
          <w:szCs w:val="22"/>
          <w:highlight w:val="none"/>
        </w:rPr>
        <w:t>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r>
        <w:rPr>
          <w:rFonts w:hint="eastAsia"/>
          <w:color w:val="auto"/>
          <w:szCs w:val="21"/>
          <w:highlight w:val="none"/>
        </w:rPr>
        <w:t>采购人也可以决定重新采购。</w:t>
      </w:r>
    </w:p>
    <w:p w14:paraId="33BB8D45">
      <w:pPr>
        <w:pStyle w:val="6"/>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default" w:ascii="宋体" w:hAnsi="宋体" w:cs="宋体"/>
          <w:b/>
          <w:color w:val="auto"/>
          <w:sz w:val="22"/>
          <w:szCs w:val="22"/>
          <w:highlight w:val="none"/>
          <w:lang w:val="en-US" w:eastAsia="zh-CN"/>
        </w:rPr>
      </w:pPr>
    </w:p>
    <w:sectPr>
      <w:footerReference r:id="rId4" w:type="default"/>
      <w:pgSz w:w="11906" w:h="16838"/>
      <w:pgMar w:top="1247"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宋黑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C940">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239B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4239B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353EA">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88003">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188003">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619A7"/>
    <w:multiLevelType w:val="singleLevel"/>
    <w:tmpl w:val="3EA619A7"/>
    <w:lvl w:ilvl="0" w:tentative="0">
      <w:start w:val="2"/>
      <w:numFmt w:val="decimal"/>
      <w:suff w:val="nothing"/>
      <w:lvlText w:val="（%1）"/>
      <w:lvlJc w:val="left"/>
    </w:lvl>
  </w:abstractNum>
  <w:abstractNum w:abstractNumId="1">
    <w:nsid w:val="6DFD7BE6"/>
    <w:multiLevelType w:val="singleLevel"/>
    <w:tmpl w:val="6DFD7BE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NzJiNzFiOWY2ZTZhYjIyZTI0ODJlMmUyMGZjNGEifQ=="/>
  </w:docVars>
  <w:rsids>
    <w:rsidRoot w:val="058C2B5E"/>
    <w:rsid w:val="00645955"/>
    <w:rsid w:val="008058AF"/>
    <w:rsid w:val="00F46786"/>
    <w:rsid w:val="014A6360"/>
    <w:rsid w:val="01D9177E"/>
    <w:rsid w:val="024A7E7C"/>
    <w:rsid w:val="02777DF1"/>
    <w:rsid w:val="036D52AE"/>
    <w:rsid w:val="03721677"/>
    <w:rsid w:val="03A1165E"/>
    <w:rsid w:val="041219A0"/>
    <w:rsid w:val="042A6F66"/>
    <w:rsid w:val="04D06438"/>
    <w:rsid w:val="04E02D43"/>
    <w:rsid w:val="04E90A5C"/>
    <w:rsid w:val="0547504D"/>
    <w:rsid w:val="058C2B5E"/>
    <w:rsid w:val="05EF3AED"/>
    <w:rsid w:val="073C7E17"/>
    <w:rsid w:val="07CC09EB"/>
    <w:rsid w:val="0859642A"/>
    <w:rsid w:val="090F0276"/>
    <w:rsid w:val="095E7151"/>
    <w:rsid w:val="0991174A"/>
    <w:rsid w:val="0A040A14"/>
    <w:rsid w:val="0A9318C1"/>
    <w:rsid w:val="0AC45A73"/>
    <w:rsid w:val="0AEF6146"/>
    <w:rsid w:val="0AF53711"/>
    <w:rsid w:val="0B242988"/>
    <w:rsid w:val="0B7A789D"/>
    <w:rsid w:val="0B8E283C"/>
    <w:rsid w:val="0C3663C0"/>
    <w:rsid w:val="0C85560D"/>
    <w:rsid w:val="0CD33D9A"/>
    <w:rsid w:val="0D23200E"/>
    <w:rsid w:val="0E096610"/>
    <w:rsid w:val="0EF672A2"/>
    <w:rsid w:val="0F0A5E84"/>
    <w:rsid w:val="0F190883"/>
    <w:rsid w:val="0F411472"/>
    <w:rsid w:val="0FDC6095"/>
    <w:rsid w:val="103D6EA1"/>
    <w:rsid w:val="10AE52F1"/>
    <w:rsid w:val="11B96C91"/>
    <w:rsid w:val="124B4A43"/>
    <w:rsid w:val="12CB331A"/>
    <w:rsid w:val="12FE7EC7"/>
    <w:rsid w:val="13C27F9A"/>
    <w:rsid w:val="14467430"/>
    <w:rsid w:val="15230237"/>
    <w:rsid w:val="15554578"/>
    <w:rsid w:val="15571102"/>
    <w:rsid w:val="16C41DC0"/>
    <w:rsid w:val="16CF5E02"/>
    <w:rsid w:val="16F50940"/>
    <w:rsid w:val="17D647E0"/>
    <w:rsid w:val="17F4382E"/>
    <w:rsid w:val="184042EC"/>
    <w:rsid w:val="18413610"/>
    <w:rsid w:val="18957A04"/>
    <w:rsid w:val="18EB2C9C"/>
    <w:rsid w:val="191C16B2"/>
    <w:rsid w:val="198E7FD5"/>
    <w:rsid w:val="1B713361"/>
    <w:rsid w:val="1C112A19"/>
    <w:rsid w:val="1D162ACA"/>
    <w:rsid w:val="1E1F3055"/>
    <w:rsid w:val="1E8E71DF"/>
    <w:rsid w:val="1F1610DD"/>
    <w:rsid w:val="1F8B0E13"/>
    <w:rsid w:val="1FB25B28"/>
    <w:rsid w:val="1FD553E3"/>
    <w:rsid w:val="20826E45"/>
    <w:rsid w:val="218D64E8"/>
    <w:rsid w:val="219A525F"/>
    <w:rsid w:val="219B7ABC"/>
    <w:rsid w:val="21CA5C17"/>
    <w:rsid w:val="22525B39"/>
    <w:rsid w:val="22A532DD"/>
    <w:rsid w:val="22CC3B83"/>
    <w:rsid w:val="23773E4B"/>
    <w:rsid w:val="23CD36CA"/>
    <w:rsid w:val="24002B60"/>
    <w:rsid w:val="241106E4"/>
    <w:rsid w:val="242E5895"/>
    <w:rsid w:val="243458B7"/>
    <w:rsid w:val="24564D5C"/>
    <w:rsid w:val="248112F9"/>
    <w:rsid w:val="24A62950"/>
    <w:rsid w:val="24F829C8"/>
    <w:rsid w:val="267B7AC6"/>
    <w:rsid w:val="267C13D7"/>
    <w:rsid w:val="26926BCE"/>
    <w:rsid w:val="27503BFF"/>
    <w:rsid w:val="27932534"/>
    <w:rsid w:val="289E44B9"/>
    <w:rsid w:val="29444BAF"/>
    <w:rsid w:val="299F78B6"/>
    <w:rsid w:val="29CA29F3"/>
    <w:rsid w:val="29E17FEA"/>
    <w:rsid w:val="2A2C0343"/>
    <w:rsid w:val="2A970265"/>
    <w:rsid w:val="2ACB6603"/>
    <w:rsid w:val="2B0502BB"/>
    <w:rsid w:val="2B285328"/>
    <w:rsid w:val="2BDD375E"/>
    <w:rsid w:val="2C0A36B8"/>
    <w:rsid w:val="2C7C75F4"/>
    <w:rsid w:val="2C85521E"/>
    <w:rsid w:val="2CDB1BE0"/>
    <w:rsid w:val="2CE87AF9"/>
    <w:rsid w:val="2DA74AE0"/>
    <w:rsid w:val="2E7D0FFB"/>
    <w:rsid w:val="2E92776E"/>
    <w:rsid w:val="2F336255"/>
    <w:rsid w:val="2F6D2828"/>
    <w:rsid w:val="2FB35E69"/>
    <w:rsid w:val="3030043F"/>
    <w:rsid w:val="304B5141"/>
    <w:rsid w:val="30C74640"/>
    <w:rsid w:val="30CF1948"/>
    <w:rsid w:val="31845EF8"/>
    <w:rsid w:val="31A60A8C"/>
    <w:rsid w:val="31CC22C4"/>
    <w:rsid w:val="322F35CA"/>
    <w:rsid w:val="328A12BC"/>
    <w:rsid w:val="33254BDE"/>
    <w:rsid w:val="337F5561"/>
    <w:rsid w:val="33883010"/>
    <w:rsid w:val="34075F4E"/>
    <w:rsid w:val="346516FC"/>
    <w:rsid w:val="346F2C6A"/>
    <w:rsid w:val="351429B9"/>
    <w:rsid w:val="3522482F"/>
    <w:rsid w:val="3550228E"/>
    <w:rsid w:val="356814A4"/>
    <w:rsid w:val="35D85B0F"/>
    <w:rsid w:val="369D70E5"/>
    <w:rsid w:val="37606423"/>
    <w:rsid w:val="37C012A6"/>
    <w:rsid w:val="37F0752F"/>
    <w:rsid w:val="380F3598"/>
    <w:rsid w:val="38A12468"/>
    <w:rsid w:val="39D457DC"/>
    <w:rsid w:val="3A147FA3"/>
    <w:rsid w:val="3A384364"/>
    <w:rsid w:val="3A3868CD"/>
    <w:rsid w:val="3A4E33C4"/>
    <w:rsid w:val="3A5B4550"/>
    <w:rsid w:val="3A6126AC"/>
    <w:rsid w:val="3A765069"/>
    <w:rsid w:val="3A7C0D59"/>
    <w:rsid w:val="3AC11808"/>
    <w:rsid w:val="3B2E6A3A"/>
    <w:rsid w:val="3B434E54"/>
    <w:rsid w:val="3C5613A0"/>
    <w:rsid w:val="3CDB6745"/>
    <w:rsid w:val="3CF71DC3"/>
    <w:rsid w:val="3D0306B3"/>
    <w:rsid w:val="3D541E18"/>
    <w:rsid w:val="3DB75946"/>
    <w:rsid w:val="3DC7417A"/>
    <w:rsid w:val="3DEE4EB5"/>
    <w:rsid w:val="3E116551"/>
    <w:rsid w:val="3E4905DE"/>
    <w:rsid w:val="3E663E64"/>
    <w:rsid w:val="3F5B3E28"/>
    <w:rsid w:val="3FA41149"/>
    <w:rsid w:val="4044666A"/>
    <w:rsid w:val="405F16F6"/>
    <w:rsid w:val="4108118A"/>
    <w:rsid w:val="41264F3F"/>
    <w:rsid w:val="419D4D02"/>
    <w:rsid w:val="41F84114"/>
    <w:rsid w:val="42164315"/>
    <w:rsid w:val="42447421"/>
    <w:rsid w:val="4308172C"/>
    <w:rsid w:val="437850BB"/>
    <w:rsid w:val="43A82D66"/>
    <w:rsid w:val="43EF6D4A"/>
    <w:rsid w:val="440C5A83"/>
    <w:rsid w:val="4419589A"/>
    <w:rsid w:val="446300F9"/>
    <w:rsid w:val="44A51B54"/>
    <w:rsid w:val="44AA4390"/>
    <w:rsid w:val="44BD0864"/>
    <w:rsid w:val="456579AC"/>
    <w:rsid w:val="45C02957"/>
    <w:rsid w:val="46103F2E"/>
    <w:rsid w:val="466E39D4"/>
    <w:rsid w:val="46A0755A"/>
    <w:rsid w:val="472F1E22"/>
    <w:rsid w:val="4751609E"/>
    <w:rsid w:val="47824475"/>
    <w:rsid w:val="47A81BD4"/>
    <w:rsid w:val="47D27314"/>
    <w:rsid w:val="48860895"/>
    <w:rsid w:val="49022761"/>
    <w:rsid w:val="490C63AE"/>
    <w:rsid w:val="498D4C11"/>
    <w:rsid w:val="49D273BC"/>
    <w:rsid w:val="4A716A31"/>
    <w:rsid w:val="4ACF6CD7"/>
    <w:rsid w:val="4B3F1B8B"/>
    <w:rsid w:val="4C3B2B6E"/>
    <w:rsid w:val="4C9500E8"/>
    <w:rsid w:val="4DD10343"/>
    <w:rsid w:val="4DF81BDA"/>
    <w:rsid w:val="4E4A7541"/>
    <w:rsid w:val="4E544DCE"/>
    <w:rsid w:val="4F22478E"/>
    <w:rsid w:val="50106AF7"/>
    <w:rsid w:val="508D5595"/>
    <w:rsid w:val="51265015"/>
    <w:rsid w:val="512D5BFB"/>
    <w:rsid w:val="51314441"/>
    <w:rsid w:val="51D0762A"/>
    <w:rsid w:val="51F66760"/>
    <w:rsid w:val="536E4B0D"/>
    <w:rsid w:val="537E0A57"/>
    <w:rsid w:val="53AA70AE"/>
    <w:rsid w:val="53F132A6"/>
    <w:rsid w:val="54B45FB7"/>
    <w:rsid w:val="55581913"/>
    <w:rsid w:val="5581018E"/>
    <w:rsid w:val="55BC6DD5"/>
    <w:rsid w:val="561072C2"/>
    <w:rsid w:val="563044E6"/>
    <w:rsid w:val="565379FA"/>
    <w:rsid w:val="56C0547B"/>
    <w:rsid w:val="5711555C"/>
    <w:rsid w:val="57C05123"/>
    <w:rsid w:val="58BD7B84"/>
    <w:rsid w:val="58DB76A2"/>
    <w:rsid w:val="5931110A"/>
    <w:rsid w:val="59692394"/>
    <w:rsid w:val="596A50D9"/>
    <w:rsid w:val="5C657C3C"/>
    <w:rsid w:val="5E1A6A60"/>
    <w:rsid w:val="5E8E1128"/>
    <w:rsid w:val="5F481247"/>
    <w:rsid w:val="5F565CA6"/>
    <w:rsid w:val="5F901529"/>
    <w:rsid w:val="5FBD22BB"/>
    <w:rsid w:val="5FDE116C"/>
    <w:rsid w:val="602F289F"/>
    <w:rsid w:val="60FA11AF"/>
    <w:rsid w:val="613F480D"/>
    <w:rsid w:val="614B4945"/>
    <w:rsid w:val="614E5143"/>
    <w:rsid w:val="61555261"/>
    <w:rsid w:val="624634F8"/>
    <w:rsid w:val="62624E2C"/>
    <w:rsid w:val="627E4714"/>
    <w:rsid w:val="62F34312"/>
    <w:rsid w:val="64802C8D"/>
    <w:rsid w:val="64F25C3F"/>
    <w:rsid w:val="64F97B1F"/>
    <w:rsid w:val="652F0715"/>
    <w:rsid w:val="65484D40"/>
    <w:rsid w:val="66936474"/>
    <w:rsid w:val="67474E81"/>
    <w:rsid w:val="678B6828"/>
    <w:rsid w:val="682F4180"/>
    <w:rsid w:val="6A7A6FA8"/>
    <w:rsid w:val="6AA116F1"/>
    <w:rsid w:val="6B15251A"/>
    <w:rsid w:val="6B2A62D8"/>
    <w:rsid w:val="6B6F6C95"/>
    <w:rsid w:val="6C44108D"/>
    <w:rsid w:val="6CB75B9A"/>
    <w:rsid w:val="6CBE03DF"/>
    <w:rsid w:val="6CC677D3"/>
    <w:rsid w:val="6D0D5C3F"/>
    <w:rsid w:val="6DB74D3D"/>
    <w:rsid w:val="6EFE1F56"/>
    <w:rsid w:val="6F2B38CF"/>
    <w:rsid w:val="70763BE6"/>
    <w:rsid w:val="70A46B2D"/>
    <w:rsid w:val="70BE7899"/>
    <w:rsid w:val="70D52779"/>
    <w:rsid w:val="71520337"/>
    <w:rsid w:val="71734EDB"/>
    <w:rsid w:val="719F2232"/>
    <w:rsid w:val="71C368DE"/>
    <w:rsid w:val="721101F2"/>
    <w:rsid w:val="723074B9"/>
    <w:rsid w:val="728054C0"/>
    <w:rsid w:val="72A5678F"/>
    <w:rsid w:val="72FB5F96"/>
    <w:rsid w:val="74000401"/>
    <w:rsid w:val="749A0AE9"/>
    <w:rsid w:val="7508065D"/>
    <w:rsid w:val="751D08B6"/>
    <w:rsid w:val="755E7C28"/>
    <w:rsid w:val="76D54574"/>
    <w:rsid w:val="76DA0250"/>
    <w:rsid w:val="77196140"/>
    <w:rsid w:val="77547F45"/>
    <w:rsid w:val="77635240"/>
    <w:rsid w:val="77D349A8"/>
    <w:rsid w:val="77D83ED1"/>
    <w:rsid w:val="78304A0D"/>
    <w:rsid w:val="79233FC4"/>
    <w:rsid w:val="796F5969"/>
    <w:rsid w:val="797366E6"/>
    <w:rsid w:val="79C213A7"/>
    <w:rsid w:val="79F75F20"/>
    <w:rsid w:val="7A234AD9"/>
    <w:rsid w:val="7ACF1CFB"/>
    <w:rsid w:val="7AD324E9"/>
    <w:rsid w:val="7BB76E7B"/>
    <w:rsid w:val="7C63789C"/>
    <w:rsid w:val="7C8A307B"/>
    <w:rsid w:val="7D6C1975"/>
    <w:rsid w:val="7DAD7090"/>
    <w:rsid w:val="7E080898"/>
    <w:rsid w:val="7EAE6D06"/>
    <w:rsid w:val="7EAF26FD"/>
    <w:rsid w:val="7F1E3F4E"/>
    <w:rsid w:val="7F7D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0"/>
    <w:pPr>
      <w:keepNext/>
      <w:keepLines/>
      <w:spacing w:before="220" w:beforeLines="0" w:beforeAutospacing="0" w:after="210" w:afterLines="0" w:afterAutospacing="0" w:line="576" w:lineRule="auto"/>
      <w:jc w:val="center"/>
      <w:outlineLvl w:val="0"/>
    </w:pPr>
    <w:rPr>
      <w:rFonts w:eastAsia="宋体" w:asciiTheme="minorAscii" w:hAnsiTheme="minorAscii"/>
      <w:b/>
      <w:kern w:val="44"/>
      <w:sz w:val="44"/>
    </w:rPr>
  </w:style>
  <w:style w:type="paragraph" w:styleId="3">
    <w:name w:val="heading 2"/>
    <w:basedOn w:val="1"/>
    <w:next w:val="1"/>
    <w:link w:val="27"/>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120" w:beforeLines="50" w:after="120" w:afterLines="50"/>
      <w:ind w:left="864" w:hanging="864"/>
      <w:jc w:val="left"/>
      <w:outlineLvl w:val="3"/>
    </w:pPr>
    <w:rPr>
      <w:rFonts w:ascii="黑体" w:hAnsi="黑体" w:eastAsia="黑体"/>
      <w:b/>
      <w:bCs/>
      <w:sz w:val="24"/>
    </w:rPr>
  </w:style>
  <w:style w:type="character" w:default="1" w:styleId="18">
    <w:name w:val="Default Paragraph Font"/>
    <w:link w:val="19"/>
    <w:semiHidden/>
    <w:qFormat/>
    <w:uiPriority w:val="0"/>
    <w:rPr>
      <w:rFonts w:ascii="Arial" w:hAnsi="Arial"/>
    </w:rPr>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spacing w:line="380" w:lineRule="exact"/>
    </w:pPr>
    <w:rPr>
      <w:sz w:val="24"/>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Plain Text"/>
    <w:basedOn w:val="1"/>
    <w:next w:val="5"/>
    <w:qFormat/>
    <w:uiPriority w:val="0"/>
    <w:rPr>
      <w:rFonts w:ascii="宋体" w:hAnsi="Courier New" w:cs="Courier New"/>
      <w:szCs w:val="21"/>
    </w:rPr>
  </w:style>
  <w:style w:type="paragraph" w:styleId="11">
    <w:name w:val="Date"/>
    <w:basedOn w:val="1"/>
    <w:next w:val="1"/>
    <w:qFormat/>
    <w:uiPriority w:val="0"/>
    <w:rPr>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_Style 5"/>
    <w:basedOn w:val="1"/>
    <w:link w:val="18"/>
    <w:qFormat/>
    <w:uiPriority w:val="0"/>
    <w:pPr>
      <w:spacing w:after="78" w:afterLines="25"/>
    </w:pPr>
    <w:rPr>
      <w:rFonts w:ascii="Arial" w:hAnsi="Arial"/>
    </w:rPr>
  </w:style>
  <w:style w:type="character" w:styleId="20">
    <w:name w:val="Strong"/>
    <w:basedOn w:val="18"/>
    <w:qFormat/>
    <w:uiPriority w:val="0"/>
    <w:rPr>
      <w:b/>
      <w:bCs/>
    </w:rPr>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正文段"/>
    <w:basedOn w:val="1"/>
    <w:qFormat/>
    <w:uiPriority w:val="0"/>
    <w:pPr>
      <w:widowControl/>
      <w:snapToGrid w:val="0"/>
      <w:spacing w:after="50" w:afterLines="50"/>
      <w:ind w:firstLine="200" w:firstLineChars="200"/>
    </w:pPr>
    <w:rPr>
      <w:kern w:val="0"/>
      <w:sz w:val="24"/>
      <w:szCs w:val="20"/>
    </w:rPr>
  </w:style>
  <w:style w:type="paragraph" w:customStyle="1" w:styleId="25">
    <w:name w:val="表格文字115"/>
    <w:basedOn w:val="1"/>
    <w:qFormat/>
    <w:uiPriority w:val="0"/>
    <w:pPr>
      <w:spacing w:before="25" w:beforeLines="0" w:after="25" w:afterLines="0" w:line="240" w:lineRule="auto"/>
      <w:ind w:firstLine="0"/>
      <w:jc w:val="left"/>
    </w:pPr>
    <w:rPr>
      <w:bCs/>
      <w:spacing w:val="10"/>
      <w:kern w:val="0"/>
      <w:sz w:val="24"/>
    </w:rPr>
  </w:style>
  <w:style w:type="character" w:customStyle="1" w:styleId="26">
    <w:name w:val="标题 1 Char"/>
    <w:link w:val="2"/>
    <w:qFormat/>
    <w:uiPriority w:val="0"/>
    <w:rPr>
      <w:rFonts w:eastAsia="宋体" w:asciiTheme="minorAscii" w:hAnsiTheme="minorAscii"/>
      <w:b/>
      <w:kern w:val="44"/>
      <w:sz w:val="44"/>
    </w:rPr>
  </w:style>
  <w:style w:type="character" w:customStyle="1" w:styleId="27">
    <w:name w:val="标题 2 Char"/>
    <w:link w:val="3"/>
    <w:qFormat/>
    <w:uiPriority w:val="0"/>
    <w:rPr>
      <w:rFonts w:ascii="Arial" w:hAnsi="Arial" w:eastAsia="黑体"/>
      <w:b/>
      <w:sz w:val="32"/>
    </w:rPr>
  </w:style>
  <w:style w:type="character" w:customStyle="1" w:styleId="28">
    <w:name w:val="标题 3 Char"/>
    <w:link w:val="4"/>
    <w:qFormat/>
    <w:uiPriority w:val="0"/>
    <w:rPr>
      <w:b/>
      <w:sz w:val="32"/>
    </w:rPr>
  </w:style>
  <w:style w:type="paragraph" w:styleId="29">
    <w:name w:val="List Paragraph"/>
    <w:basedOn w:val="1"/>
    <w:qFormat/>
    <w:uiPriority w:val="34"/>
    <w:pPr>
      <w:ind w:firstLine="420" w:firstLineChars="200"/>
    </w:pPr>
  </w:style>
  <w:style w:type="paragraph" w:customStyle="1" w:styleId="30">
    <w:name w:val="msolistparagraph"/>
    <w:basedOn w:val="1"/>
    <w:qFormat/>
    <w:uiPriority w:val="0"/>
    <w:pPr>
      <w:spacing w:line="360" w:lineRule="auto"/>
      <w:ind w:firstLine="420" w:firstLineChars="200"/>
    </w:pPr>
    <w:rPr>
      <w:sz w:val="28"/>
    </w:rPr>
  </w:style>
  <w:style w:type="paragraph" w:customStyle="1" w:styleId="31">
    <w:name w:val="列出段落1"/>
    <w:basedOn w:val="1"/>
    <w:qFormat/>
    <w:uiPriority w:val="0"/>
    <w:pPr>
      <w:ind w:firstLine="420" w:firstLineChars="200"/>
    </w:pPr>
    <w:rPr>
      <w:rFonts w:asciiTheme="minorHAnsi" w:hAnsiTheme="minorHAnsi" w:eastAsiaTheme="minorEastAsia" w:cstheme="minorBidi"/>
      <w:szCs w:val="24"/>
    </w:rPr>
  </w:style>
  <w:style w:type="paragraph" w:customStyle="1" w:styleId="32">
    <w:name w:val="列出段落11"/>
    <w:basedOn w:val="1"/>
    <w:qFormat/>
    <w:uiPriority w:val="0"/>
    <w:pPr>
      <w:ind w:firstLine="420" w:firstLineChars="200"/>
    </w:pPr>
    <w:rPr>
      <w:rFonts w:ascii="Calibri" w:hAnsi="Calibri" w:cs="Calibri" w:eastAsiaTheme="minorEastAsia"/>
      <w:szCs w:val="21"/>
    </w:rPr>
  </w:style>
  <w:style w:type="paragraph" w:customStyle="1" w:styleId="3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
    <w:next w:val="8"/>
    <w:qFormat/>
    <w:uiPriority w:val="99"/>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29863</Words>
  <Characters>32395</Characters>
  <Lines>0</Lines>
  <Paragraphs>0</Paragraphs>
  <TotalTime>5</TotalTime>
  <ScaleCrop>false</ScaleCrop>
  <LinksUpToDate>false</LinksUpToDate>
  <CharactersWithSpaces>32820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2020-09-02T01:40:00Z</dcterms:created>
  <dc:creator>Administrator</dc:creator>
  <cp:lastModifiedBy>Administrator</cp:lastModifiedBy>
  <cp:lastPrinted>2023-01-11T01:02:00Z</cp:lastPrinted>
  <dcterms:modified xsi:type="dcterms:W3CDTF">2024-11-25T01:12:10Z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12B5AAFF30EC48C9834FFB14BF56D306_13</vt:lpwstr>
  </property>
</Properties>
</file>