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3"/>
        <w:rPr>
          <w:rFonts w:ascii="宋体" w:hAnsi="宋体" w:cs="宋体"/>
          <w:color w:val="auto"/>
          <w:szCs w:val="21"/>
          <w:highlight w:val="none"/>
        </w:rPr>
      </w:pPr>
    </w:p>
    <w:p>
      <w:pPr>
        <w:jc w:val="center"/>
        <w:rPr>
          <w:rFonts w:ascii="宋体" w:hAnsi="宋体" w:cs="宋体"/>
          <w:b/>
          <w:color w:val="auto"/>
          <w:sz w:val="72"/>
          <w:szCs w:val="72"/>
          <w:highlight w:val="none"/>
        </w:rPr>
      </w:pPr>
      <w:bookmarkStart w:id="0" w:name="jinjicd"/>
      <w:bookmarkEnd w:id="0"/>
      <w:bookmarkStart w:id="1" w:name="csmb"/>
      <w:bookmarkEnd w:id="1"/>
      <w:r>
        <w:rPr>
          <w:rFonts w:hint="eastAsia" w:ascii="宋体" w:hAnsi="宋体" w:cs="宋体"/>
          <w:b/>
          <w:color w:val="auto"/>
          <w:sz w:val="72"/>
          <w:szCs w:val="72"/>
          <w:highlight w:val="none"/>
        </w:rPr>
        <w:t>广西大通建设监理咨询管理有限公司</w:t>
      </w:r>
    </w:p>
    <w:p>
      <w:pPr>
        <w:jc w:val="center"/>
        <w:rPr>
          <w:rFonts w:ascii="宋体" w:hAnsi="宋体" w:cs="宋体"/>
          <w:color w:val="auto"/>
          <w:sz w:val="44"/>
          <w:szCs w:val="44"/>
          <w:highlight w:val="none"/>
        </w:rPr>
      </w:pPr>
      <w:r>
        <w:rPr>
          <w:rFonts w:ascii="宋体" w:hAnsi="宋体" w:cs="宋体"/>
          <w:color w:val="auto"/>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135890</wp:posOffset>
                </wp:positionV>
                <wp:extent cx="5934075" cy="0"/>
                <wp:effectExtent l="0" t="19050" r="47625" b="38100"/>
                <wp:wrapNone/>
                <wp:docPr id="6" name="直接连接符 6"/>
                <wp:cNvGraphicFramePr/>
                <a:graphic xmlns:a="http://schemas.openxmlformats.org/drawingml/2006/main">
                  <a:graphicData uri="http://schemas.microsoft.com/office/word/2010/wordprocessingShape">
                    <wps:wsp>
                      <wps:cNvCnPr/>
                      <wps:spPr>
                        <a:xfrm>
                          <a:off x="0" y="0"/>
                          <a:ext cx="5934075"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pt;margin-top:10.7pt;height:0pt;width:467.25pt;z-index:251662336;mso-width-relative:page;mso-height-relative:page;" filled="f" stroked="t" coordsize="21600,21600" o:gfxdata="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2Ryg2AAAAAcBAAAPAAAAAAAAAAEAIAAAACIAAABkcnMvZG93bnJldi54bWxQ&#10;SwECFAAUAAAACACHTuJAoWZILvcBAADtAwAADgAAAAAAAAABACAAAAAnAQAAZHJzL2Uyb0RvYy54&#10;bWxQSwUGAAAAAAYABgBZAQAAkAUAAAAA&#10;">
                <v:fill on="f" focussize="0,0"/>
                <v:stroke weight="4.5pt" color="#000000" linestyle="thinThick" joinstyle="round"/>
                <v:imagedata o:title=""/>
                <o:lock v:ext="edit" aspectratio="f"/>
              </v:line>
            </w:pict>
          </mc:Fallback>
        </mc:AlternateContent>
      </w:r>
    </w:p>
    <w:p>
      <w:pPr>
        <w:spacing w:line="300" w:lineRule="auto"/>
        <w:ind w:right="-105" w:rightChars="-50"/>
        <w:rPr>
          <w:rFonts w:ascii="宋体" w:hAnsi="宋体" w:cs="宋体"/>
          <w:color w:val="auto"/>
          <w:highlight w:val="none"/>
        </w:rPr>
      </w:pPr>
    </w:p>
    <w:p>
      <w:pPr>
        <w:pStyle w:val="31"/>
        <w:rPr>
          <w:color w:val="auto"/>
          <w:highlight w:val="none"/>
        </w:rPr>
      </w:pPr>
    </w:p>
    <w:p>
      <w:pPr>
        <w:spacing w:line="300" w:lineRule="auto"/>
        <w:ind w:left="1997" w:leftChars="-50" w:right="-105" w:rightChars="-50" w:hanging="2102" w:hangingChars="1001"/>
        <w:jc w:val="center"/>
        <w:rPr>
          <w:rFonts w:ascii="宋体" w:hAnsi="宋体" w:cs="宋体"/>
          <w:color w:val="auto"/>
          <w:highlight w:val="none"/>
        </w:rPr>
      </w:pPr>
    </w:p>
    <w:p>
      <w:pPr>
        <w:pStyle w:val="2"/>
        <w:rPr>
          <w:color w:val="auto"/>
          <w:highlight w:val="none"/>
        </w:rPr>
      </w:pPr>
    </w:p>
    <w:p>
      <w:pPr>
        <w:spacing w:line="300" w:lineRule="auto"/>
        <w:ind w:left="3498" w:leftChars="-50" w:right="-105" w:rightChars="-50" w:hanging="3603" w:hangingChars="1001"/>
        <w:jc w:val="center"/>
        <w:rPr>
          <w:rFonts w:ascii="宋体" w:hAnsi="宋体" w:cs="宋体"/>
          <w:b/>
          <w:color w:val="auto"/>
          <w:sz w:val="36"/>
          <w:highlight w:val="none"/>
        </w:rPr>
      </w:pPr>
    </w:p>
    <w:p>
      <w:pPr>
        <w:rPr>
          <w:color w:val="auto"/>
          <w:highlight w:val="none"/>
        </w:rPr>
      </w:pPr>
    </w:p>
    <w:p>
      <w:pPr>
        <w:spacing w:line="300" w:lineRule="auto"/>
        <w:ind w:right="-105" w:rightChars="-50"/>
        <w:jc w:val="center"/>
        <w:rPr>
          <w:rFonts w:ascii="黑体" w:hAnsi="黑体" w:eastAsia="黑体" w:cs="黑体"/>
          <w:b/>
          <w:color w:val="auto"/>
          <w:sz w:val="72"/>
          <w:szCs w:val="72"/>
          <w:highlight w:val="none"/>
        </w:rPr>
      </w:pPr>
      <w:r>
        <w:rPr>
          <w:rFonts w:hint="eastAsia" w:ascii="黑体" w:hAnsi="黑体" w:eastAsia="黑体" w:cs="黑体"/>
          <w:b/>
          <w:color w:val="auto"/>
          <w:sz w:val="72"/>
          <w:szCs w:val="72"/>
          <w:highlight w:val="none"/>
        </w:rPr>
        <w:t>竞争性磋商文件</w:t>
      </w:r>
    </w:p>
    <w:p>
      <w:pPr>
        <w:spacing w:line="300" w:lineRule="auto"/>
        <w:ind w:right="-105" w:rightChars="-50"/>
        <w:rPr>
          <w:rFonts w:ascii="宋体" w:hAnsi="宋体" w:cs="宋体"/>
          <w:b/>
          <w:color w:val="auto"/>
          <w:sz w:val="36"/>
          <w:highlight w:val="none"/>
        </w:rPr>
      </w:pPr>
    </w:p>
    <w:p>
      <w:pPr>
        <w:pStyle w:val="31"/>
        <w:rPr>
          <w:color w:val="auto"/>
          <w:highlight w:val="none"/>
        </w:rPr>
      </w:pPr>
    </w:p>
    <w:p>
      <w:pPr>
        <w:spacing w:line="300" w:lineRule="auto"/>
        <w:ind w:right="-105" w:rightChars="-50"/>
        <w:jc w:val="left"/>
        <w:rPr>
          <w:rFonts w:ascii="宋体" w:hAnsi="宋体" w:cs="宋体"/>
          <w:b/>
          <w:color w:val="auto"/>
          <w:sz w:val="36"/>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31"/>
        <w:rPr>
          <w:color w:val="auto"/>
          <w:highlight w:val="none"/>
        </w:rPr>
      </w:pPr>
    </w:p>
    <w:p>
      <w:pPr>
        <w:spacing w:line="480" w:lineRule="auto"/>
        <w:ind w:right="-105" w:rightChars="-50" w:firstLine="320" w:firstLineChars="100"/>
        <w:outlineLvl w:val="0"/>
        <w:rPr>
          <w:rFonts w:hint="eastAsia" w:ascii="宋体" w:hAnsi="宋体" w:cs="宋体"/>
          <w:b/>
          <w:color w:val="auto"/>
          <w:sz w:val="32"/>
          <w:highlight w:val="none"/>
          <w:lang w:eastAsia="zh-CN"/>
        </w:rPr>
      </w:pPr>
      <w:bookmarkStart w:id="2" w:name="_Toc15466"/>
      <w:bookmarkStart w:id="3" w:name="_Toc530"/>
      <w:r>
        <w:rPr>
          <w:rFonts w:hint="eastAsia" w:ascii="宋体" w:hAnsi="宋体" w:cs="宋体"/>
          <w:b/>
          <w:color w:val="auto"/>
          <w:sz w:val="32"/>
          <w:highlight w:val="none"/>
        </w:rPr>
        <w:t>项目名称：</w:t>
      </w:r>
      <w:bookmarkEnd w:id="2"/>
      <w:bookmarkEnd w:id="3"/>
      <w:r>
        <w:rPr>
          <w:rFonts w:hint="eastAsia" w:ascii="宋体" w:hAnsi="宋体" w:cs="宋体"/>
          <w:b/>
          <w:color w:val="auto"/>
          <w:sz w:val="32"/>
          <w:highlight w:val="none"/>
          <w:lang w:eastAsia="zh-CN"/>
        </w:rPr>
        <w:t>防城港市高级中学明珠园及碧海园内外立面改造工程</w:t>
      </w:r>
    </w:p>
    <w:p>
      <w:pPr>
        <w:spacing w:line="480" w:lineRule="auto"/>
        <w:ind w:right="-105" w:rightChars="-50" w:firstLine="320" w:firstLineChars="100"/>
        <w:outlineLvl w:val="0"/>
        <w:rPr>
          <w:rFonts w:hint="eastAsia" w:ascii="宋体" w:hAnsi="宋体" w:eastAsia="宋体" w:cs="宋体"/>
          <w:b/>
          <w:color w:val="auto"/>
          <w:sz w:val="32"/>
          <w:highlight w:val="none"/>
          <w:lang w:eastAsia="zh-CN"/>
        </w:rPr>
      </w:pPr>
      <w:r>
        <w:rPr>
          <w:rFonts w:hint="eastAsia" w:ascii="宋体" w:hAnsi="宋体" w:cs="宋体"/>
          <w:b/>
          <w:color w:val="auto"/>
          <w:sz w:val="32"/>
          <w:highlight w:val="none"/>
          <w:lang w:eastAsia="zh-CN"/>
        </w:rPr>
        <w:t>（学生宿舍楼维修改造项目）</w:t>
      </w:r>
    </w:p>
    <w:p>
      <w:pPr>
        <w:adjustRightInd w:val="0"/>
        <w:spacing w:line="480" w:lineRule="auto"/>
        <w:ind w:firstLine="320" w:firstLineChars="100"/>
        <w:rPr>
          <w:rFonts w:ascii="宋体" w:hAnsi="宋体" w:cs="宋体"/>
          <w:b/>
          <w:color w:val="auto"/>
          <w:sz w:val="32"/>
          <w:highlight w:val="none"/>
        </w:rPr>
      </w:pPr>
      <w:r>
        <w:rPr>
          <w:rFonts w:hint="eastAsia" w:ascii="宋体" w:hAnsi="宋体" w:cs="宋体"/>
          <w:b/>
          <w:color w:val="auto"/>
          <w:sz w:val="32"/>
          <w:highlight w:val="none"/>
        </w:rPr>
        <w:t xml:space="preserve">招标编号： </w:t>
      </w:r>
      <w:r>
        <w:rPr>
          <w:rFonts w:hint="eastAsia" w:ascii="宋体" w:hAnsi="宋体" w:cs="宋体"/>
          <w:b/>
          <w:color w:val="auto"/>
          <w:sz w:val="32"/>
          <w:highlight w:val="none"/>
          <w:lang w:eastAsia="zh-CN"/>
        </w:rPr>
        <w:t>FCZC2024-C2-10001-GXDT</w:t>
      </w:r>
      <w:r>
        <w:rPr>
          <w:rFonts w:hint="eastAsia" w:ascii="宋体" w:hAnsi="宋体" w:cs="宋体"/>
          <w:b/>
          <w:color w:val="auto"/>
          <w:sz w:val="32"/>
          <w:highlight w:val="none"/>
        </w:rPr>
        <w:t xml:space="preserve"> </w:t>
      </w:r>
    </w:p>
    <w:p>
      <w:pPr>
        <w:spacing w:line="360" w:lineRule="auto"/>
        <w:ind w:firstLine="440" w:firstLineChars="100"/>
        <w:rPr>
          <w:rFonts w:ascii="宋体" w:hAnsi="宋体" w:cs="宋体"/>
          <w:b/>
          <w:color w:val="auto"/>
          <w:sz w:val="32"/>
          <w:highlight w:val="none"/>
        </w:rPr>
      </w:pPr>
      <w:r>
        <w:rPr>
          <w:rFonts w:ascii="宋体" w:hAnsi="宋体" w:cs="宋体"/>
          <w:color w:val="auto"/>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140335</wp:posOffset>
                </wp:positionV>
                <wp:extent cx="5760085" cy="0"/>
                <wp:effectExtent l="0" t="19050" r="50165" b="38100"/>
                <wp:wrapNone/>
                <wp:docPr id="33" name="直接连接符 33"/>
                <wp:cNvGraphicFramePr/>
                <a:graphic xmlns:a="http://schemas.openxmlformats.org/drawingml/2006/main">
                  <a:graphicData uri="http://schemas.microsoft.com/office/word/2010/wordprocessingShape">
                    <wps:wsp>
                      <wps:cNvCnPr/>
                      <wps:spPr>
                        <a:xfrm>
                          <a:off x="0" y="0"/>
                          <a:ext cx="5760085"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pt;margin-top:11.05pt;height:0pt;width:453.55pt;z-index:251663360;mso-width-relative:page;mso-height-relative:page;" filled="f" stroked="t" coordsize="21600,21600" o:gfxdata="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85MEtgAAAAIAQAADwAAAAAAAAABACAAAAAiAAAAZHJzL2Rvd25yZXYueG1s&#10;UEsBAhQAFAAAAAgAh07iQIuJgAz4AQAA7wMAAA4AAAAAAAAAAQAgAAAAJwEAAGRycy9lMm9Eb2Mu&#10;eG1sUEsFBgAAAAAGAAYAWQEAAJEFAAAAAA==&#10;">
                <v:fill on="f" focussize="0,0"/>
                <v:stroke weight="4.5pt" color="#000000" linestyle="thinThick" joinstyle="round"/>
                <v:imagedata o:title=""/>
                <o:lock v:ext="edit" aspectratio="f"/>
              </v:line>
            </w:pict>
          </mc:Fallback>
        </mc:AlternateContent>
      </w:r>
    </w:p>
    <w:p>
      <w:pPr>
        <w:spacing w:line="480" w:lineRule="auto"/>
        <w:ind w:firstLine="320" w:firstLineChars="100"/>
        <w:outlineLvl w:val="0"/>
        <w:rPr>
          <w:rFonts w:ascii="宋体" w:hAnsi="宋体" w:cs="宋体"/>
          <w:b/>
          <w:color w:val="auto"/>
          <w:sz w:val="32"/>
          <w:highlight w:val="none"/>
        </w:rPr>
      </w:pPr>
      <w:bookmarkStart w:id="4" w:name="_Toc19106"/>
      <w:bookmarkStart w:id="5" w:name="_Toc26338"/>
      <w:r>
        <w:rPr>
          <w:rFonts w:hint="eastAsia" w:ascii="宋体" w:hAnsi="宋体" w:cs="宋体"/>
          <w:b/>
          <w:color w:val="auto"/>
          <w:sz w:val="32"/>
          <w:highlight w:val="none"/>
        </w:rPr>
        <w:t>招   标   人：</w:t>
      </w:r>
      <w:bookmarkEnd w:id="4"/>
      <w:r>
        <w:rPr>
          <w:rFonts w:hint="eastAsia" w:ascii="宋体" w:hAnsi="宋体" w:cs="宋体"/>
          <w:b/>
          <w:color w:val="auto"/>
          <w:sz w:val="32"/>
          <w:highlight w:val="none"/>
          <w:lang w:eastAsia="zh-CN"/>
        </w:rPr>
        <w:t>防城港市高级中学</w:t>
      </w:r>
      <w:r>
        <w:rPr>
          <w:rFonts w:hint="eastAsia" w:ascii="宋体" w:hAnsi="宋体" w:cs="宋体"/>
          <w:b/>
          <w:color w:val="auto"/>
          <w:sz w:val="32"/>
          <w:highlight w:val="none"/>
        </w:rPr>
        <w:t>（盖章）</w:t>
      </w:r>
      <w:bookmarkEnd w:id="5"/>
    </w:p>
    <w:p>
      <w:pPr>
        <w:spacing w:line="480" w:lineRule="auto"/>
        <w:ind w:firstLine="320" w:firstLineChars="100"/>
        <w:outlineLvl w:val="0"/>
        <w:rPr>
          <w:rFonts w:ascii="宋体" w:hAnsi="宋体" w:cs="宋体"/>
          <w:b/>
          <w:color w:val="auto"/>
          <w:sz w:val="32"/>
          <w:szCs w:val="28"/>
          <w:highlight w:val="none"/>
        </w:rPr>
      </w:pPr>
      <w:bookmarkStart w:id="6" w:name="_Toc7526"/>
      <w:bookmarkStart w:id="7" w:name="_Toc8649"/>
      <w:r>
        <w:rPr>
          <w:rFonts w:hint="eastAsia" w:ascii="宋体" w:hAnsi="宋体" w:cs="宋体"/>
          <w:b/>
          <w:color w:val="auto"/>
          <w:sz w:val="32"/>
          <w:highlight w:val="none"/>
        </w:rPr>
        <w:t>招标代理机构：广西大通建设监理咨询管理有限公司（盖章）</w:t>
      </w:r>
      <w:bookmarkEnd w:id="6"/>
      <w:bookmarkEnd w:id="7"/>
    </w:p>
    <w:p>
      <w:pPr>
        <w:spacing w:line="480" w:lineRule="auto"/>
        <w:ind w:firstLine="320" w:firstLineChars="100"/>
        <w:rPr>
          <w:rFonts w:ascii="宋体" w:hAnsi="宋体" w:cs="宋体"/>
          <w:b/>
          <w:color w:val="auto"/>
          <w:sz w:val="32"/>
          <w:szCs w:val="28"/>
          <w:highlight w:val="none"/>
        </w:rPr>
      </w:pPr>
      <w:bookmarkStart w:id="8" w:name="_Toc24383"/>
      <w:r>
        <w:rPr>
          <w:rFonts w:hint="eastAsia" w:ascii="宋体" w:hAnsi="宋体" w:cs="宋体"/>
          <w:b/>
          <w:color w:val="auto"/>
          <w:sz w:val="32"/>
          <w:szCs w:val="28"/>
          <w:highlight w:val="none"/>
        </w:rPr>
        <w:t>日        期：2024年</w:t>
      </w:r>
      <w:r>
        <w:rPr>
          <w:rFonts w:hint="eastAsia" w:ascii="宋体" w:hAnsi="宋体" w:cs="宋体"/>
          <w:b/>
          <w:color w:val="auto"/>
          <w:sz w:val="32"/>
          <w:szCs w:val="28"/>
          <w:highlight w:val="none"/>
          <w:lang w:val="en-US" w:eastAsia="zh-CN"/>
        </w:rPr>
        <w:t>6</w:t>
      </w:r>
      <w:r>
        <w:rPr>
          <w:rFonts w:hint="eastAsia" w:ascii="宋体" w:hAnsi="宋体" w:cs="宋体"/>
          <w:b/>
          <w:color w:val="auto"/>
          <w:sz w:val="32"/>
          <w:szCs w:val="28"/>
          <w:highlight w:val="none"/>
        </w:rPr>
        <w:t>月</w:t>
      </w:r>
      <w:bookmarkEnd w:id="8"/>
    </w:p>
    <w:p>
      <w:pPr>
        <w:pStyle w:val="25"/>
        <w:spacing w:line="600" w:lineRule="auto"/>
        <w:jc w:val="center"/>
        <w:rPr>
          <w:rFonts w:hAnsi="宋体"/>
          <w:b/>
          <w:color w:val="auto"/>
          <w:sz w:val="44"/>
          <w:szCs w:val="44"/>
          <w:highlight w:val="none"/>
        </w:rPr>
        <w:sectPr>
          <w:headerReference r:id="rId4" w:type="first"/>
          <w:headerReference r:id="rId3" w:type="default"/>
          <w:footerReference r:id="rId5" w:type="default"/>
          <w:footerReference r:id="rId6" w:type="even"/>
          <w:pgSz w:w="11907" w:h="16840"/>
          <w:pgMar w:top="1247" w:right="1000" w:bottom="1247" w:left="1247" w:header="851" w:footer="892" w:gutter="0"/>
          <w:cols w:space="720" w:num="1"/>
          <w:titlePg/>
          <w:docGrid w:type="linesAndChars" w:linePitch="312" w:charSpace="0"/>
        </w:sectPr>
      </w:pPr>
    </w:p>
    <w:sdt>
      <w:sdtPr>
        <w:rPr>
          <w:rFonts w:ascii="宋体" w:hAnsi="宋体"/>
          <w:b/>
          <w:bCs/>
          <w:color w:val="auto"/>
          <w:sz w:val="32"/>
          <w:szCs w:val="40"/>
          <w:highlight w:val="none"/>
        </w:rPr>
        <w:id w:val="147477899"/>
        <w:docPartObj>
          <w:docPartGallery w:val="Table of Contents"/>
          <w:docPartUnique/>
        </w:docPartObj>
      </w:sdtPr>
      <w:sdtEndPr>
        <w:rPr>
          <w:rFonts w:ascii="宋体" w:hAnsi="宋体"/>
          <w:b/>
          <w:bCs/>
          <w:color w:val="auto"/>
          <w:sz w:val="32"/>
          <w:szCs w:val="40"/>
          <w:highlight w:val="none"/>
        </w:rPr>
      </w:sdtEndPr>
      <w:sdtContent>
        <w:p>
          <w:pPr>
            <w:spacing w:line="600" w:lineRule="auto"/>
            <w:jc w:val="center"/>
            <w:rPr>
              <w:rFonts w:ascii="宋体" w:hAnsi="宋体"/>
              <w:b/>
              <w:bCs/>
              <w:color w:val="auto"/>
              <w:sz w:val="32"/>
              <w:szCs w:val="40"/>
              <w:highlight w:val="none"/>
            </w:rPr>
          </w:pPr>
        </w:p>
        <w:p>
          <w:pPr>
            <w:spacing w:line="600" w:lineRule="auto"/>
            <w:jc w:val="center"/>
            <w:rPr>
              <w:b/>
              <w:bCs/>
              <w:color w:val="auto"/>
              <w:sz w:val="28"/>
              <w:szCs w:val="28"/>
              <w:highlight w:val="none"/>
            </w:rPr>
          </w:pPr>
          <w:r>
            <w:rPr>
              <w:rFonts w:ascii="宋体" w:hAnsi="宋体"/>
              <w:b/>
              <w:bCs/>
              <w:color w:val="auto"/>
              <w:sz w:val="40"/>
              <w:szCs w:val="48"/>
              <w:highlight w:val="none"/>
            </w:rPr>
            <w:t>目</w:t>
          </w:r>
          <w:r>
            <w:rPr>
              <w:rFonts w:hint="eastAsia" w:ascii="宋体" w:hAnsi="宋体"/>
              <w:b/>
              <w:bCs/>
              <w:color w:val="auto"/>
              <w:sz w:val="40"/>
              <w:szCs w:val="48"/>
              <w:highlight w:val="none"/>
            </w:rPr>
            <w:t xml:space="preserve">   </w:t>
          </w:r>
          <w:r>
            <w:rPr>
              <w:rFonts w:ascii="宋体" w:hAnsi="宋体"/>
              <w:b/>
              <w:bCs/>
              <w:color w:val="auto"/>
              <w:sz w:val="40"/>
              <w:szCs w:val="48"/>
              <w:highlight w:val="none"/>
            </w:rPr>
            <w:t>录</w:t>
          </w:r>
          <w:r>
            <w:rPr>
              <w:b/>
              <w:bCs/>
              <w:color w:val="auto"/>
              <w:sz w:val="28"/>
              <w:szCs w:val="28"/>
              <w:highlight w:val="none"/>
            </w:rPr>
            <w:fldChar w:fldCharType="begin"/>
          </w:r>
          <w:r>
            <w:rPr>
              <w:b/>
              <w:bCs/>
              <w:color w:val="auto"/>
              <w:sz w:val="28"/>
              <w:szCs w:val="28"/>
              <w:highlight w:val="none"/>
            </w:rPr>
            <w:instrText xml:space="preserve">TOC \o "1-1" \h \u </w:instrText>
          </w:r>
          <w:r>
            <w:rPr>
              <w:b/>
              <w:bCs/>
              <w:color w:val="auto"/>
              <w:sz w:val="28"/>
              <w:szCs w:val="28"/>
              <w:highlight w:val="none"/>
            </w:rPr>
            <w:fldChar w:fldCharType="separate"/>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"_Toc7469" </w:instrText>
          </w:r>
          <w:r>
            <w:rPr>
              <w:color w:val="auto"/>
              <w:highlight w:val="none"/>
            </w:rPr>
            <w:fldChar w:fldCharType="separate"/>
          </w:r>
          <w:r>
            <w:rPr>
              <w:rFonts w:hint="eastAsia" w:hAnsi="宋体"/>
              <w:b/>
              <w:bCs/>
              <w:color w:val="auto"/>
              <w:sz w:val="28"/>
              <w:szCs w:val="52"/>
              <w:highlight w:val="none"/>
            </w:rPr>
            <w:t>第一章 竞争性磋商公告</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_Toc7469 </w:instrText>
          </w:r>
          <w:r>
            <w:rPr>
              <w:b/>
              <w:bCs/>
              <w:color w:val="auto"/>
              <w:sz w:val="28"/>
              <w:szCs w:val="28"/>
              <w:highlight w:val="none"/>
            </w:rPr>
            <w:fldChar w:fldCharType="separate"/>
          </w:r>
          <w:r>
            <w:rPr>
              <w:b/>
              <w:bCs/>
              <w:color w:val="auto"/>
              <w:sz w:val="28"/>
              <w:szCs w:val="28"/>
              <w:highlight w:val="none"/>
            </w:rPr>
            <w:t>1</w:t>
          </w:r>
          <w:r>
            <w:rPr>
              <w:b/>
              <w:bCs/>
              <w:color w:val="auto"/>
              <w:sz w:val="28"/>
              <w:szCs w:val="28"/>
              <w:highlight w:val="none"/>
            </w:rPr>
            <w:fldChar w:fldCharType="end"/>
          </w:r>
          <w:r>
            <w:rPr>
              <w:b/>
              <w:bCs/>
              <w:color w:val="auto"/>
              <w:sz w:val="28"/>
              <w:szCs w:val="28"/>
              <w:highlight w:val="none"/>
            </w:rPr>
            <w:fldChar w:fldCharType="end"/>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"_Toc18681" </w:instrText>
          </w:r>
          <w:r>
            <w:rPr>
              <w:color w:val="auto"/>
              <w:highlight w:val="none"/>
            </w:rPr>
            <w:fldChar w:fldCharType="separate"/>
          </w:r>
          <w:r>
            <w:rPr>
              <w:rFonts w:hint="eastAsia" w:hAnsi="宋体"/>
              <w:b/>
              <w:bCs/>
              <w:color w:val="auto"/>
              <w:sz w:val="28"/>
              <w:szCs w:val="52"/>
              <w:highlight w:val="none"/>
            </w:rPr>
            <w:t>第二章 磋商供应商须知及前附表</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_Toc18681 </w:instrText>
          </w:r>
          <w:r>
            <w:rPr>
              <w:b/>
              <w:bCs/>
              <w:color w:val="auto"/>
              <w:sz w:val="28"/>
              <w:szCs w:val="28"/>
              <w:highlight w:val="none"/>
            </w:rPr>
            <w:fldChar w:fldCharType="separate"/>
          </w:r>
          <w:r>
            <w:rPr>
              <w:b/>
              <w:bCs/>
              <w:color w:val="auto"/>
              <w:sz w:val="28"/>
              <w:szCs w:val="28"/>
              <w:highlight w:val="none"/>
            </w:rPr>
            <w:t>6</w:t>
          </w:r>
          <w:r>
            <w:rPr>
              <w:b/>
              <w:bCs/>
              <w:color w:val="auto"/>
              <w:sz w:val="28"/>
              <w:szCs w:val="28"/>
              <w:highlight w:val="none"/>
            </w:rPr>
            <w:fldChar w:fldCharType="end"/>
          </w:r>
          <w:r>
            <w:rPr>
              <w:b/>
              <w:bCs/>
              <w:color w:val="auto"/>
              <w:sz w:val="28"/>
              <w:szCs w:val="28"/>
              <w:highlight w:val="none"/>
            </w:rPr>
            <w:fldChar w:fldCharType="end"/>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"_Toc19803" </w:instrText>
          </w:r>
          <w:r>
            <w:rPr>
              <w:color w:val="auto"/>
              <w:highlight w:val="none"/>
            </w:rPr>
            <w:fldChar w:fldCharType="separate"/>
          </w:r>
          <w:r>
            <w:rPr>
              <w:rFonts w:hAnsi="宋体"/>
              <w:b/>
              <w:bCs/>
              <w:color w:val="auto"/>
              <w:sz w:val="28"/>
              <w:szCs w:val="52"/>
              <w:highlight w:val="none"/>
            </w:rPr>
            <w:t>第</w:t>
          </w:r>
          <w:r>
            <w:rPr>
              <w:rFonts w:hint="eastAsia" w:hAnsi="宋体"/>
              <w:b/>
              <w:bCs/>
              <w:color w:val="auto"/>
              <w:sz w:val="28"/>
              <w:szCs w:val="52"/>
              <w:highlight w:val="none"/>
            </w:rPr>
            <w:t>三</w:t>
          </w:r>
          <w:r>
            <w:rPr>
              <w:rFonts w:hAnsi="宋体"/>
              <w:b/>
              <w:bCs/>
              <w:color w:val="auto"/>
              <w:sz w:val="28"/>
              <w:szCs w:val="52"/>
              <w:highlight w:val="none"/>
            </w:rPr>
            <w:t>章  合同条款及格式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_Toc19803 </w:instrText>
          </w:r>
          <w:r>
            <w:rPr>
              <w:b/>
              <w:bCs/>
              <w:color w:val="auto"/>
              <w:sz w:val="28"/>
              <w:szCs w:val="28"/>
              <w:highlight w:val="none"/>
            </w:rPr>
            <w:fldChar w:fldCharType="separate"/>
          </w:r>
          <w:r>
            <w:rPr>
              <w:b/>
              <w:bCs/>
              <w:color w:val="auto"/>
              <w:sz w:val="28"/>
              <w:szCs w:val="28"/>
              <w:highlight w:val="none"/>
            </w:rPr>
            <w:t>24</w:t>
          </w:r>
          <w:r>
            <w:rPr>
              <w:b/>
              <w:bCs/>
              <w:color w:val="auto"/>
              <w:sz w:val="28"/>
              <w:szCs w:val="28"/>
              <w:highlight w:val="none"/>
            </w:rPr>
            <w:fldChar w:fldCharType="end"/>
          </w:r>
          <w:r>
            <w:rPr>
              <w:b/>
              <w:bCs/>
              <w:color w:val="auto"/>
              <w:sz w:val="28"/>
              <w:szCs w:val="28"/>
              <w:highlight w:val="none"/>
            </w:rPr>
            <w:fldChar w:fldCharType="end"/>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"_Toc26645" </w:instrText>
          </w:r>
          <w:r>
            <w:rPr>
              <w:color w:val="auto"/>
              <w:highlight w:val="none"/>
            </w:rPr>
            <w:fldChar w:fldCharType="separate"/>
          </w:r>
          <w:r>
            <w:rPr>
              <w:rFonts w:hint="eastAsia" w:hAnsi="宋体"/>
              <w:b/>
              <w:bCs/>
              <w:color w:val="auto"/>
              <w:sz w:val="28"/>
              <w:szCs w:val="52"/>
              <w:highlight w:val="none"/>
            </w:rPr>
            <w:t>第四章</w:t>
          </w:r>
          <w:r>
            <w:rPr>
              <w:rFonts w:hint="eastAsia" w:ascii="宋体" w:hAnsi="宋体"/>
              <w:b/>
              <w:bCs/>
              <w:color w:val="auto"/>
              <w:sz w:val="28"/>
              <w:szCs w:val="56"/>
              <w:highlight w:val="none"/>
            </w:rPr>
            <w:t xml:space="preserve"> </w:t>
          </w:r>
          <w:r>
            <w:rPr>
              <w:rFonts w:hint="eastAsia" w:hAnsi="宋体"/>
              <w:b/>
              <w:bCs/>
              <w:color w:val="auto"/>
              <w:sz w:val="28"/>
              <w:szCs w:val="52"/>
              <w:highlight w:val="none"/>
            </w:rPr>
            <w:t>工程量清单</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_Toc26645 </w:instrText>
          </w:r>
          <w:r>
            <w:rPr>
              <w:b/>
              <w:bCs/>
              <w:color w:val="auto"/>
              <w:sz w:val="28"/>
              <w:szCs w:val="28"/>
              <w:highlight w:val="none"/>
            </w:rPr>
            <w:fldChar w:fldCharType="separate"/>
          </w:r>
          <w:r>
            <w:rPr>
              <w:b/>
              <w:bCs/>
              <w:color w:val="auto"/>
              <w:sz w:val="28"/>
              <w:szCs w:val="28"/>
              <w:highlight w:val="none"/>
            </w:rPr>
            <w:t>56</w:t>
          </w:r>
          <w:r>
            <w:rPr>
              <w:b/>
              <w:bCs/>
              <w:color w:val="auto"/>
              <w:sz w:val="28"/>
              <w:szCs w:val="28"/>
              <w:highlight w:val="none"/>
            </w:rPr>
            <w:fldChar w:fldCharType="end"/>
          </w:r>
          <w:r>
            <w:rPr>
              <w:b/>
              <w:bCs/>
              <w:color w:val="auto"/>
              <w:sz w:val="28"/>
              <w:szCs w:val="28"/>
              <w:highlight w:val="none"/>
            </w:rPr>
            <w:fldChar w:fldCharType="end"/>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"_Toc8893" </w:instrText>
          </w:r>
          <w:r>
            <w:rPr>
              <w:color w:val="auto"/>
              <w:highlight w:val="none"/>
            </w:rPr>
            <w:fldChar w:fldCharType="separate"/>
          </w:r>
          <w:r>
            <w:rPr>
              <w:rFonts w:hint="eastAsia" w:hAnsi="宋体"/>
              <w:b/>
              <w:bCs/>
              <w:color w:val="auto"/>
              <w:sz w:val="28"/>
              <w:szCs w:val="52"/>
              <w:highlight w:val="none"/>
            </w:rPr>
            <w:t>第五章  图纸</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_Toc8893 </w:instrText>
          </w:r>
          <w:r>
            <w:rPr>
              <w:b/>
              <w:bCs/>
              <w:color w:val="auto"/>
              <w:sz w:val="28"/>
              <w:szCs w:val="28"/>
              <w:highlight w:val="none"/>
            </w:rPr>
            <w:fldChar w:fldCharType="separate"/>
          </w:r>
          <w:r>
            <w:rPr>
              <w:b/>
              <w:bCs/>
              <w:color w:val="auto"/>
              <w:sz w:val="28"/>
              <w:szCs w:val="28"/>
              <w:highlight w:val="none"/>
            </w:rPr>
            <w:t>57</w:t>
          </w:r>
          <w:r>
            <w:rPr>
              <w:b/>
              <w:bCs/>
              <w:color w:val="auto"/>
              <w:sz w:val="28"/>
              <w:szCs w:val="28"/>
              <w:highlight w:val="none"/>
            </w:rPr>
            <w:fldChar w:fldCharType="end"/>
          </w:r>
          <w:r>
            <w:rPr>
              <w:b/>
              <w:bCs/>
              <w:color w:val="auto"/>
              <w:sz w:val="28"/>
              <w:szCs w:val="28"/>
              <w:highlight w:val="none"/>
            </w:rPr>
            <w:fldChar w:fldCharType="end"/>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"_Toc2801" </w:instrText>
          </w:r>
          <w:r>
            <w:rPr>
              <w:color w:val="auto"/>
              <w:highlight w:val="none"/>
            </w:rPr>
            <w:fldChar w:fldCharType="separate"/>
          </w:r>
          <w:r>
            <w:rPr>
              <w:rFonts w:hint="eastAsia" w:hAnsi="宋体"/>
              <w:b/>
              <w:bCs/>
              <w:color w:val="auto"/>
              <w:sz w:val="28"/>
              <w:szCs w:val="52"/>
              <w:highlight w:val="none"/>
            </w:rPr>
            <w:t>第六章  技术标准和要求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_Toc2801 </w:instrText>
          </w:r>
          <w:r>
            <w:rPr>
              <w:b/>
              <w:bCs/>
              <w:color w:val="auto"/>
              <w:sz w:val="28"/>
              <w:szCs w:val="28"/>
              <w:highlight w:val="none"/>
            </w:rPr>
            <w:fldChar w:fldCharType="separate"/>
          </w:r>
          <w:r>
            <w:rPr>
              <w:b/>
              <w:bCs/>
              <w:color w:val="auto"/>
              <w:sz w:val="28"/>
              <w:szCs w:val="28"/>
              <w:highlight w:val="none"/>
            </w:rPr>
            <w:t>58</w:t>
          </w:r>
          <w:r>
            <w:rPr>
              <w:b/>
              <w:bCs/>
              <w:color w:val="auto"/>
              <w:sz w:val="28"/>
              <w:szCs w:val="28"/>
              <w:highlight w:val="none"/>
            </w:rPr>
            <w:fldChar w:fldCharType="end"/>
          </w:r>
          <w:r>
            <w:rPr>
              <w:b/>
              <w:bCs/>
              <w:color w:val="auto"/>
              <w:sz w:val="28"/>
              <w:szCs w:val="28"/>
              <w:highlight w:val="none"/>
            </w:rPr>
            <w:fldChar w:fldCharType="end"/>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"_Toc8127" </w:instrText>
          </w:r>
          <w:r>
            <w:rPr>
              <w:color w:val="auto"/>
              <w:highlight w:val="none"/>
            </w:rPr>
            <w:fldChar w:fldCharType="separate"/>
          </w:r>
          <w:r>
            <w:rPr>
              <w:rFonts w:hint="eastAsia" w:hAnsi="宋体"/>
              <w:b/>
              <w:bCs/>
              <w:color w:val="auto"/>
              <w:sz w:val="28"/>
              <w:szCs w:val="52"/>
              <w:highlight w:val="none"/>
            </w:rPr>
            <w:t>第七章  《响应文件》（格式）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_Toc8127 </w:instrText>
          </w:r>
          <w:r>
            <w:rPr>
              <w:b/>
              <w:bCs/>
              <w:color w:val="auto"/>
              <w:sz w:val="28"/>
              <w:szCs w:val="28"/>
              <w:highlight w:val="none"/>
            </w:rPr>
            <w:fldChar w:fldCharType="separate"/>
          </w:r>
          <w:r>
            <w:rPr>
              <w:b/>
              <w:bCs/>
              <w:color w:val="auto"/>
              <w:sz w:val="28"/>
              <w:szCs w:val="28"/>
              <w:highlight w:val="none"/>
            </w:rPr>
            <w:t>59</w:t>
          </w:r>
          <w:r>
            <w:rPr>
              <w:b/>
              <w:bCs/>
              <w:color w:val="auto"/>
              <w:sz w:val="28"/>
              <w:szCs w:val="28"/>
              <w:highlight w:val="none"/>
            </w:rPr>
            <w:fldChar w:fldCharType="end"/>
          </w:r>
          <w:r>
            <w:rPr>
              <w:b/>
              <w:bCs/>
              <w:color w:val="auto"/>
              <w:sz w:val="28"/>
              <w:szCs w:val="28"/>
              <w:highlight w:val="none"/>
            </w:rPr>
            <w:fldChar w:fldCharType="end"/>
          </w:r>
        </w:p>
        <w:p>
          <w:pPr>
            <w:pStyle w:val="287"/>
            <w:tabs>
              <w:tab w:val="right" w:leader="dot" w:pos="9922"/>
            </w:tabs>
            <w:spacing w:line="600" w:lineRule="auto"/>
            <w:rPr>
              <w:b/>
              <w:bCs/>
              <w:color w:val="auto"/>
              <w:sz w:val="28"/>
              <w:szCs w:val="28"/>
              <w:highlight w:val="none"/>
            </w:rPr>
          </w:pPr>
          <w:r>
            <w:rPr>
              <w:color w:val="auto"/>
              <w:highlight w:val="none"/>
            </w:rPr>
            <w:fldChar w:fldCharType="begin"/>
          </w:r>
          <w:r>
            <w:rPr>
              <w:color w:val="auto"/>
              <w:highlight w:val="none"/>
            </w:rPr>
            <w:instrText xml:space="preserve"> HYPERLINK \l "_Toc29768" </w:instrText>
          </w:r>
          <w:r>
            <w:rPr>
              <w:color w:val="auto"/>
              <w:highlight w:val="none"/>
            </w:rPr>
            <w:fldChar w:fldCharType="separate"/>
          </w:r>
          <w:r>
            <w:rPr>
              <w:rFonts w:hint="eastAsia" w:hAnsi="宋体"/>
              <w:b/>
              <w:bCs/>
              <w:color w:val="auto"/>
              <w:sz w:val="28"/>
              <w:szCs w:val="52"/>
              <w:highlight w:val="none"/>
            </w:rPr>
            <w:t>第八章  评标办法</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_Toc29768 </w:instrText>
          </w:r>
          <w:r>
            <w:rPr>
              <w:b/>
              <w:bCs/>
              <w:color w:val="auto"/>
              <w:sz w:val="28"/>
              <w:szCs w:val="28"/>
              <w:highlight w:val="none"/>
            </w:rPr>
            <w:fldChar w:fldCharType="separate"/>
          </w:r>
          <w:r>
            <w:rPr>
              <w:b/>
              <w:bCs/>
              <w:color w:val="auto"/>
              <w:sz w:val="28"/>
              <w:szCs w:val="28"/>
              <w:highlight w:val="none"/>
            </w:rPr>
            <w:t>80</w:t>
          </w:r>
          <w:r>
            <w:rPr>
              <w:b/>
              <w:bCs/>
              <w:color w:val="auto"/>
              <w:sz w:val="28"/>
              <w:szCs w:val="28"/>
              <w:highlight w:val="none"/>
            </w:rPr>
            <w:fldChar w:fldCharType="end"/>
          </w:r>
          <w:r>
            <w:rPr>
              <w:b/>
              <w:bCs/>
              <w:color w:val="auto"/>
              <w:sz w:val="28"/>
              <w:szCs w:val="28"/>
              <w:highlight w:val="none"/>
            </w:rPr>
            <w:fldChar w:fldCharType="end"/>
          </w:r>
        </w:p>
        <w:p>
          <w:pPr>
            <w:spacing w:line="600" w:lineRule="auto"/>
            <w:rPr>
              <w:color w:val="auto"/>
              <w:highlight w:val="none"/>
            </w:rPr>
          </w:pPr>
          <w:r>
            <w:rPr>
              <w:b/>
              <w:bCs/>
              <w:color w:val="auto"/>
              <w:sz w:val="28"/>
              <w:szCs w:val="28"/>
              <w:highlight w:val="none"/>
            </w:rPr>
            <w:fldChar w:fldCharType="end"/>
          </w:r>
        </w:p>
      </w:sdtContent>
    </w:sdt>
    <w:p>
      <w:pPr>
        <w:pStyle w:val="25"/>
        <w:tabs>
          <w:tab w:val="left" w:pos="3780"/>
        </w:tabs>
        <w:spacing w:line="276" w:lineRule="auto"/>
        <w:rPr>
          <w:color w:val="auto"/>
          <w:highlight w:val="none"/>
        </w:rPr>
      </w:pPr>
    </w:p>
    <w:p>
      <w:pPr>
        <w:pStyle w:val="25"/>
        <w:numPr>
          <w:ilvl w:val="0"/>
          <w:numId w:val="1"/>
        </w:numPr>
        <w:spacing w:line="276" w:lineRule="auto"/>
        <w:jc w:val="center"/>
        <w:outlineLvl w:val="0"/>
        <w:rPr>
          <w:rFonts w:hAnsi="宋体"/>
          <w:b/>
          <w:color w:val="auto"/>
          <w:sz w:val="32"/>
          <w:szCs w:val="32"/>
          <w:highlight w:val="none"/>
        </w:rPr>
        <w:sectPr>
          <w:headerReference r:id="rId7" w:type="default"/>
          <w:footerReference r:id="rId8" w:type="default"/>
          <w:pgSz w:w="11850" w:h="16783"/>
          <w:pgMar w:top="1247" w:right="964" w:bottom="1247" w:left="964" w:header="851" w:footer="890" w:gutter="0"/>
          <w:pgNumType w:start="1"/>
          <w:cols w:space="720" w:num="1"/>
          <w:docGrid w:type="linesAndChars" w:linePitch="312" w:charSpace="0"/>
        </w:sectPr>
      </w:pPr>
      <w:bookmarkStart w:id="9" w:name="_Toc86935802"/>
    </w:p>
    <w:p>
      <w:pPr>
        <w:pStyle w:val="25"/>
        <w:numPr>
          <w:ilvl w:val="0"/>
          <w:numId w:val="1"/>
        </w:numPr>
        <w:spacing w:line="276" w:lineRule="auto"/>
        <w:jc w:val="center"/>
        <w:outlineLvl w:val="0"/>
        <w:rPr>
          <w:rFonts w:hAnsi="宋体"/>
          <w:b/>
          <w:color w:val="auto"/>
          <w:sz w:val="36"/>
          <w:szCs w:val="36"/>
          <w:highlight w:val="none"/>
        </w:rPr>
      </w:pPr>
      <w:bookmarkStart w:id="10" w:name="_Toc7469"/>
      <w:r>
        <w:rPr>
          <w:rFonts w:hint="eastAsia" w:hAnsi="宋体"/>
          <w:b/>
          <w:color w:val="auto"/>
          <w:sz w:val="36"/>
          <w:szCs w:val="36"/>
          <w:highlight w:val="none"/>
        </w:rPr>
        <w:t>竞争性磋商公告</w:t>
      </w:r>
      <w:bookmarkEnd w:id="9"/>
      <w:bookmarkEnd w:id="10"/>
    </w:p>
    <w:p>
      <w:pPr>
        <w:jc w:val="center"/>
        <w:rPr>
          <w:b/>
          <w:bCs/>
          <w:color w:val="auto"/>
          <w:sz w:val="28"/>
          <w:szCs w:val="36"/>
          <w:highlight w:val="none"/>
        </w:rPr>
      </w:pPr>
      <w:bookmarkStart w:id="11" w:name="OLE_LINK4"/>
      <w:r>
        <w:rPr>
          <w:rFonts w:hint="eastAsia"/>
          <w:b/>
          <w:bCs/>
          <w:color w:val="auto"/>
          <w:sz w:val="28"/>
          <w:szCs w:val="36"/>
          <w:highlight w:val="none"/>
        </w:rPr>
        <w:t>广西大通建设监理咨询管理有限公司关于</w:t>
      </w:r>
      <w:r>
        <w:rPr>
          <w:rFonts w:hint="eastAsia"/>
          <w:b/>
          <w:bCs/>
          <w:color w:val="auto"/>
          <w:sz w:val="28"/>
          <w:szCs w:val="36"/>
          <w:highlight w:val="none"/>
          <w:lang w:eastAsia="zh-CN"/>
        </w:rPr>
        <w:t>防城港市高级中学明珠园及碧海园内外立面改造工程（学生宿舍楼维修改造项目）</w:t>
      </w:r>
      <w:r>
        <w:rPr>
          <w:rFonts w:hint="eastAsia"/>
          <w:b/>
          <w:bCs/>
          <w:color w:val="auto"/>
          <w:sz w:val="28"/>
          <w:szCs w:val="36"/>
          <w:highlight w:val="none"/>
        </w:rPr>
        <w:t xml:space="preserve">（ </w:t>
      </w:r>
      <w:r>
        <w:rPr>
          <w:rFonts w:hint="eastAsia"/>
          <w:b/>
          <w:bCs/>
          <w:color w:val="auto"/>
          <w:sz w:val="28"/>
          <w:szCs w:val="36"/>
          <w:highlight w:val="none"/>
          <w:lang w:eastAsia="zh-CN"/>
        </w:rPr>
        <w:t>FCZC2024-C2-10001-GXDT</w:t>
      </w:r>
      <w:r>
        <w:rPr>
          <w:rFonts w:hint="eastAsia"/>
          <w:b/>
          <w:bCs/>
          <w:color w:val="auto"/>
          <w:sz w:val="28"/>
          <w:szCs w:val="36"/>
          <w:highlight w:val="none"/>
        </w:rPr>
        <w:t>）竞争性磋商公告（远程异地评标）</w:t>
      </w:r>
    </w:p>
    <w:p>
      <w:pPr>
        <w:pStyle w:val="31"/>
        <w:rPr>
          <w:color w:val="auto"/>
          <w:highlight w:val="none"/>
        </w:rPr>
      </w:pPr>
    </w:p>
    <w:p>
      <w:pPr>
        <w:pBdr>
          <w:top w:val="single" w:color="auto" w:sz="4" w:space="1"/>
          <w:left w:val="single" w:color="auto" w:sz="4" w:space="4"/>
          <w:bottom w:val="single" w:color="auto" w:sz="4" w:space="1"/>
          <w:right w:val="single" w:color="auto" w:sz="4" w:space="4"/>
        </w:pBd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u w:val="single"/>
        </w:rPr>
        <w:t xml:space="preserve"> </w:t>
      </w:r>
      <w:r>
        <w:rPr>
          <w:rFonts w:hint="eastAsia" w:ascii="宋体" w:hAnsi="宋体" w:cs="宋体"/>
          <w:bCs/>
          <w:color w:val="auto"/>
          <w:spacing w:val="10"/>
          <w:kern w:val="0"/>
          <w:sz w:val="24"/>
          <w:highlight w:val="none"/>
          <w:u w:val="single"/>
          <w:lang w:eastAsia="zh-CN"/>
        </w:rPr>
        <w:t>防城港市高级中学明珠园及碧海园内外立面改造工程（学生宿舍楼维修改造项目）</w:t>
      </w:r>
      <w:r>
        <w:rPr>
          <w:rFonts w:hint="eastAsia" w:ascii="宋体" w:hAnsi="宋体" w:cs="宋体"/>
          <w:bCs/>
          <w:color w:val="auto"/>
          <w:spacing w:val="10"/>
          <w:kern w:val="0"/>
          <w:sz w:val="24"/>
          <w:highlight w:val="none"/>
        </w:rPr>
        <w:t>项目的潜在供应商应在广西政府采购云平台（网址：</w:t>
      </w:r>
      <w:r>
        <w:rPr>
          <w:color w:val="auto"/>
          <w:highlight w:val="none"/>
        </w:rPr>
        <w:fldChar w:fldCharType="begin"/>
      </w:r>
      <w:r>
        <w:rPr>
          <w:color w:val="auto"/>
          <w:highlight w:val="none"/>
        </w:rPr>
        <w:instrText xml:space="preserve"> HYPERLINK "http://www.zcygov.cn）获取采购文件，并于2022年" </w:instrText>
      </w:r>
      <w:r>
        <w:rPr>
          <w:color w:val="auto"/>
          <w:highlight w:val="none"/>
        </w:rPr>
        <w:fldChar w:fldCharType="separate"/>
      </w:r>
      <w:r>
        <w:rPr>
          <w:rStyle w:val="60"/>
          <w:rFonts w:hint="eastAsia" w:ascii="宋体" w:hAnsi="宋体" w:cs="宋体"/>
          <w:bCs/>
          <w:color w:val="auto"/>
          <w:spacing w:val="10"/>
          <w:kern w:val="0"/>
          <w:sz w:val="24"/>
          <w:highlight w:val="none"/>
        </w:rPr>
        <w:t>https://www.gcy.zfcg.gxzf.gov.cn/）获取采购文件，并于2024年</w:t>
      </w:r>
      <w:r>
        <w:rPr>
          <w:rStyle w:val="60"/>
          <w:rFonts w:hint="eastAsia" w:ascii="宋体" w:hAnsi="宋体" w:cs="宋体"/>
          <w:bCs/>
          <w:color w:val="auto"/>
          <w:spacing w:val="10"/>
          <w:kern w:val="0"/>
          <w:sz w:val="24"/>
          <w:highlight w:val="none"/>
        </w:rPr>
        <w:fldChar w:fldCharType="end"/>
      </w:r>
      <w:r>
        <w:rPr>
          <w:rStyle w:val="60"/>
          <w:rFonts w:hint="eastAsia" w:ascii="宋体" w:hAnsi="宋体" w:cs="宋体"/>
          <w:bCs/>
          <w:color w:val="auto"/>
          <w:spacing w:val="10"/>
          <w:kern w:val="0"/>
          <w:sz w:val="24"/>
          <w:highlight w:val="none"/>
          <w:lang w:val="en-US" w:eastAsia="zh-CN"/>
        </w:rPr>
        <w:t>07</w:t>
      </w:r>
      <w:r>
        <w:rPr>
          <w:rStyle w:val="60"/>
          <w:rFonts w:hint="eastAsia" w:ascii="宋体" w:hAnsi="宋体" w:cs="宋体"/>
          <w:bCs/>
          <w:color w:val="auto"/>
          <w:spacing w:val="10"/>
          <w:kern w:val="0"/>
          <w:sz w:val="24"/>
          <w:highlight w:val="none"/>
        </w:rPr>
        <w:t>月</w:t>
      </w:r>
      <w:r>
        <w:rPr>
          <w:rStyle w:val="60"/>
          <w:rFonts w:hint="eastAsia" w:ascii="宋体" w:hAnsi="宋体" w:cs="宋体"/>
          <w:bCs/>
          <w:color w:val="auto"/>
          <w:spacing w:val="10"/>
          <w:kern w:val="0"/>
          <w:sz w:val="24"/>
          <w:highlight w:val="none"/>
          <w:lang w:val="en-US" w:eastAsia="zh-CN"/>
        </w:rPr>
        <w:t>05</w:t>
      </w:r>
      <w:r>
        <w:rPr>
          <w:rStyle w:val="60"/>
          <w:rFonts w:hint="eastAsia" w:ascii="宋体" w:hAnsi="宋体" w:cs="宋体"/>
          <w:bCs/>
          <w:color w:val="auto"/>
          <w:spacing w:val="10"/>
          <w:kern w:val="0"/>
          <w:sz w:val="24"/>
          <w:highlight w:val="none"/>
        </w:rPr>
        <w:t>日</w:t>
      </w:r>
      <w:r>
        <w:rPr>
          <w:rStyle w:val="60"/>
          <w:rFonts w:hint="eastAsia" w:ascii="宋体" w:hAnsi="宋体" w:cs="宋体"/>
          <w:bCs/>
          <w:color w:val="auto"/>
          <w:spacing w:val="10"/>
          <w:kern w:val="0"/>
          <w:sz w:val="24"/>
          <w:highlight w:val="none"/>
          <w:lang w:val="en-US" w:eastAsia="zh-CN"/>
        </w:rPr>
        <w:t>09</w:t>
      </w:r>
      <w:r>
        <w:rPr>
          <w:rStyle w:val="60"/>
          <w:rFonts w:hint="eastAsia" w:ascii="宋体" w:hAnsi="宋体" w:cs="宋体"/>
          <w:bCs/>
          <w:color w:val="auto"/>
          <w:spacing w:val="10"/>
          <w:kern w:val="0"/>
          <w:sz w:val="24"/>
          <w:highlight w:val="none"/>
        </w:rPr>
        <w:t>时</w:t>
      </w:r>
      <w:r>
        <w:rPr>
          <w:rStyle w:val="60"/>
          <w:rFonts w:hint="eastAsia" w:ascii="宋体" w:hAnsi="宋体" w:cs="宋体"/>
          <w:bCs/>
          <w:color w:val="auto"/>
          <w:spacing w:val="10"/>
          <w:kern w:val="0"/>
          <w:sz w:val="24"/>
          <w:highlight w:val="none"/>
          <w:lang w:val="en-US" w:eastAsia="zh-CN"/>
        </w:rPr>
        <w:t>30</w:t>
      </w:r>
      <w:r>
        <w:rPr>
          <w:rStyle w:val="60"/>
          <w:rFonts w:hint="eastAsia" w:ascii="宋体" w:hAnsi="宋体" w:cs="宋体"/>
          <w:bCs/>
          <w:color w:val="auto"/>
          <w:spacing w:val="10"/>
          <w:kern w:val="0"/>
          <w:sz w:val="24"/>
          <w:highlight w:val="none"/>
        </w:rPr>
        <w:t>分</w:t>
      </w:r>
      <w:r>
        <w:rPr>
          <w:rFonts w:hint="eastAsia" w:ascii="宋体" w:hAnsi="宋体" w:cs="宋体"/>
          <w:bCs/>
          <w:color w:val="auto"/>
          <w:spacing w:val="10"/>
          <w:kern w:val="0"/>
          <w:sz w:val="24"/>
          <w:highlight w:val="none"/>
        </w:rPr>
        <w:t>（北京时间）前提交响应文件。</w:t>
      </w:r>
    </w:p>
    <w:p>
      <w:pPr>
        <w:pStyle w:val="4"/>
        <w:spacing w:before="60" w:after="60" w:line="360" w:lineRule="auto"/>
        <w:ind w:firstLine="600" w:firstLineChars="200"/>
        <w:jc w:val="both"/>
        <w:rPr>
          <w:rFonts w:ascii="宋体" w:hAnsi="宋体" w:cs="宋体"/>
          <w:color w:val="auto"/>
          <w:spacing w:val="10"/>
          <w:kern w:val="0"/>
          <w:sz w:val="28"/>
          <w:szCs w:val="28"/>
          <w:highlight w:val="none"/>
        </w:rPr>
      </w:pPr>
      <w:bookmarkStart w:id="12" w:name="_Toc6511"/>
      <w:bookmarkStart w:id="13" w:name="_Toc22257"/>
      <w:r>
        <w:rPr>
          <w:rFonts w:hint="eastAsia" w:ascii="宋体" w:hAnsi="宋体" w:cs="宋体"/>
          <w:color w:val="auto"/>
          <w:spacing w:val="10"/>
          <w:kern w:val="0"/>
          <w:sz w:val="28"/>
          <w:szCs w:val="28"/>
          <w:highlight w:val="none"/>
        </w:rPr>
        <w:t>一、项目基本情况</w:t>
      </w:r>
      <w:bookmarkEnd w:id="12"/>
      <w:bookmarkEnd w:id="13"/>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 xml:space="preserve">项目编号： </w:t>
      </w:r>
      <w:r>
        <w:rPr>
          <w:rFonts w:hint="eastAsia" w:ascii="宋体" w:hAnsi="宋体" w:cs="宋体"/>
          <w:bCs/>
          <w:color w:val="auto"/>
          <w:spacing w:val="10"/>
          <w:kern w:val="0"/>
          <w:sz w:val="24"/>
          <w:highlight w:val="none"/>
          <w:lang w:eastAsia="zh-CN"/>
        </w:rPr>
        <w:t>FCZC2024-C2-10001-GXDT</w:t>
      </w:r>
      <w:r>
        <w:rPr>
          <w:rFonts w:hint="eastAsia" w:ascii="宋体" w:hAnsi="宋体" w:cs="宋体"/>
          <w:bCs/>
          <w:color w:val="auto"/>
          <w:spacing w:val="10"/>
          <w:kern w:val="0"/>
          <w:sz w:val="24"/>
          <w:highlight w:val="none"/>
        </w:rPr>
        <w:t xml:space="preserve">  </w:t>
      </w:r>
    </w:p>
    <w:p>
      <w:pPr>
        <w:spacing w:line="360" w:lineRule="auto"/>
        <w:ind w:firstLine="520" w:firstLineChars="200"/>
        <w:rPr>
          <w:rFonts w:hint="eastAsia" w:ascii="宋体" w:hAnsi="宋体" w:eastAsia="宋体" w:cs="宋体"/>
          <w:bCs/>
          <w:color w:val="auto"/>
          <w:spacing w:val="10"/>
          <w:kern w:val="0"/>
          <w:sz w:val="24"/>
          <w:highlight w:val="none"/>
          <w:lang w:eastAsia="zh-CN"/>
        </w:rPr>
      </w:pPr>
      <w:r>
        <w:rPr>
          <w:rFonts w:hint="eastAsia" w:ascii="宋体" w:hAnsi="宋体" w:cs="宋体"/>
          <w:bCs/>
          <w:color w:val="auto"/>
          <w:spacing w:val="10"/>
          <w:kern w:val="0"/>
          <w:sz w:val="24"/>
          <w:highlight w:val="none"/>
        </w:rPr>
        <w:t>项目名称：</w:t>
      </w:r>
      <w:r>
        <w:rPr>
          <w:rFonts w:hint="eastAsia" w:ascii="宋体" w:hAnsi="宋体" w:cs="宋体"/>
          <w:bCs/>
          <w:color w:val="auto"/>
          <w:spacing w:val="10"/>
          <w:kern w:val="0"/>
          <w:sz w:val="24"/>
          <w:highlight w:val="none"/>
          <w:lang w:eastAsia="zh-CN"/>
        </w:rPr>
        <w:t>防城港市高级中学明珠园及碧海园内外立面改造工程（学生宿舍楼维修改造项目）</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采购方式：竞争性磋商</w:t>
      </w:r>
    </w:p>
    <w:p>
      <w:pPr>
        <w:spacing w:line="360" w:lineRule="auto"/>
        <w:ind w:firstLine="540" w:firstLineChars="225"/>
        <w:rPr>
          <w:rFonts w:hint="eastAsia" w:ascii="宋体" w:hAnsi="宋体" w:eastAsia="宋体" w:cs="宋体"/>
          <w:bCs/>
          <w:color w:val="auto"/>
          <w:spacing w:val="10"/>
          <w:kern w:val="0"/>
          <w:sz w:val="24"/>
          <w:highlight w:val="none"/>
          <w:lang w:eastAsia="zh-CN"/>
        </w:rPr>
      </w:pPr>
      <w:r>
        <w:rPr>
          <w:rFonts w:hint="eastAsia" w:ascii="宋体" w:hAnsi="宋体" w:cs="宋体"/>
          <w:color w:val="auto"/>
          <w:sz w:val="24"/>
          <w:highlight w:val="none"/>
        </w:rPr>
        <w:t>预算金额：工程总造价133.21万元</w:t>
      </w:r>
    </w:p>
    <w:p>
      <w:pPr>
        <w:spacing w:line="360" w:lineRule="auto"/>
        <w:ind w:firstLine="585" w:firstLineChars="225"/>
        <w:rPr>
          <w:rFonts w:hint="eastAsia" w:ascii="宋体" w:hAnsi="宋体" w:eastAsia="宋体" w:cs="宋体"/>
          <w:bCs/>
          <w:color w:val="auto"/>
          <w:spacing w:val="10"/>
          <w:kern w:val="0"/>
          <w:sz w:val="24"/>
          <w:highlight w:val="none"/>
          <w:lang w:eastAsia="zh-CN"/>
        </w:rPr>
      </w:pPr>
      <w:r>
        <w:rPr>
          <w:rFonts w:hint="eastAsia" w:ascii="宋体" w:hAnsi="宋体" w:cs="宋体"/>
          <w:bCs/>
          <w:color w:val="auto"/>
          <w:spacing w:val="10"/>
          <w:kern w:val="0"/>
          <w:sz w:val="24"/>
          <w:highlight w:val="none"/>
        </w:rPr>
        <w:t>最高限价：工程总造价133.21万元</w:t>
      </w:r>
    </w:p>
    <w:p>
      <w:pPr>
        <w:spacing w:line="400" w:lineRule="exact"/>
        <w:ind w:firstLine="520" w:firstLineChars="200"/>
        <w:rPr>
          <w:rFonts w:hint="eastAsia" w:ascii="宋体" w:hAnsi="宋体" w:cs="宋体"/>
          <w:bCs/>
          <w:color w:val="auto"/>
          <w:spacing w:val="10"/>
          <w:kern w:val="0"/>
          <w:sz w:val="24"/>
          <w:highlight w:val="none"/>
          <w:lang w:eastAsia="zh-CN"/>
        </w:rPr>
      </w:pPr>
      <w:r>
        <w:rPr>
          <w:rFonts w:hint="eastAsia" w:ascii="宋体" w:hAnsi="宋体" w:cs="宋体"/>
          <w:bCs/>
          <w:color w:val="auto"/>
          <w:spacing w:val="10"/>
          <w:kern w:val="0"/>
          <w:sz w:val="24"/>
          <w:highlight w:val="none"/>
        </w:rPr>
        <w:t>采购需求：</w:t>
      </w:r>
      <w:r>
        <w:rPr>
          <w:rFonts w:hint="eastAsia" w:ascii="宋体" w:hAnsi="宋体" w:cs="宋体"/>
          <w:bCs/>
          <w:color w:val="auto"/>
          <w:spacing w:val="10"/>
          <w:kern w:val="0"/>
          <w:sz w:val="24"/>
          <w:highlight w:val="none"/>
          <w:lang w:eastAsia="zh-CN"/>
        </w:rPr>
        <w:t>防城港市高级中学明珠园及碧海园内外立面改造工程（学生宿舍楼维修改造项目），本工程位于防城港市港口区渔洲坪防城港市高级中学，外墙水性油漆约5039.04平方，内墙挂腻子总面积约:25578.73平方，新制作82樘防盗门面积约172.2平方，拆除旧木门82，新制作铝合金窗面积约338.2平方,拆除旧铝合金窗面积约328.2平方,搭建脚手架面积约6242.1平方，包括运输费、管理费、税费、文明施工费，拆除费。</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合同工期：</w:t>
      </w:r>
      <w:r>
        <w:rPr>
          <w:rFonts w:hint="eastAsia" w:ascii="宋体" w:hAnsi="宋体" w:cs="宋体"/>
          <w:color w:val="auto"/>
          <w:sz w:val="24"/>
          <w:highlight w:val="none"/>
          <w:lang w:val="en-US" w:eastAsia="zh-CN"/>
        </w:rPr>
        <w:t>60</w:t>
      </w:r>
      <w:r>
        <w:rPr>
          <w:rFonts w:hint="eastAsia" w:ascii="宋体" w:hAnsi="宋体" w:cs="宋体"/>
          <w:color w:val="auto"/>
          <w:sz w:val="24"/>
          <w:highlight w:val="none"/>
        </w:rPr>
        <w:t>日历天。</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本项目不接受联合体投标。</w:t>
      </w:r>
    </w:p>
    <w:p>
      <w:pPr>
        <w:pStyle w:val="4"/>
        <w:spacing w:before="60" w:after="60" w:line="360" w:lineRule="auto"/>
        <w:ind w:firstLine="600" w:firstLineChars="200"/>
        <w:jc w:val="both"/>
        <w:rPr>
          <w:rFonts w:ascii="宋体" w:hAnsi="宋体" w:cs="宋体"/>
          <w:color w:val="auto"/>
          <w:spacing w:val="10"/>
          <w:kern w:val="0"/>
          <w:sz w:val="28"/>
          <w:szCs w:val="28"/>
          <w:highlight w:val="none"/>
        </w:rPr>
      </w:pPr>
      <w:bookmarkStart w:id="14" w:name="_Toc11234"/>
      <w:bookmarkStart w:id="15" w:name="_Toc3951"/>
      <w:r>
        <w:rPr>
          <w:rFonts w:hint="eastAsia" w:ascii="宋体" w:hAnsi="宋体" w:cs="宋体"/>
          <w:color w:val="auto"/>
          <w:spacing w:val="10"/>
          <w:kern w:val="0"/>
          <w:sz w:val="28"/>
          <w:szCs w:val="28"/>
          <w:highlight w:val="none"/>
        </w:rPr>
        <w:t>二、申请人的资格要求：</w:t>
      </w:r>
      <w:bookmarkEnd w:id="14"/>
      <w:bookmarkEnd w:id="15"/>
    </w:p>
    <w:p>
      <w:pPr>
        <w:spacing w:line="360" w:lineRule="auto"/>
        <w:ind w:firstLine="520" w:firstLineChars="200"/>
        <w:rPr>
          <w:rFonts w:ascii="宋体" w:hAnsi="宋体" w:cs="宋体"/>
          <w:bCs/>
          <w:color w:val="auto"/>
          <w:spacing w:val="10"/>
          <w:kern w:val="0"/>
          <w:sz w:val="24"/>
          <w:highlight w:val="none"/>
        </w:rPr>
      </w:pPr>
      <w:bookmarkStart w:id="16" w:name="_Toc7060"/>
      <w:bookmarkStart w:id="17" w:name="_Toc3405"/>
      <w:r>
        <w:rPr>
          <w:rFonts w:hint="eastAsia" w:ascii="宋体" w:hAnsi="宋体" w:cs="宋体"/>
          <w:bCs/>
          <w:color w:val="auto"/>
          <w:spacing w:val="10"/>
          <w:kern w:val="0"/>
          <w:sz w:val="24"/>
          <w:highlight w:val="none"/>
        </w:rPr>
        <w:t>1.满足《中华人民共和国政府采购法》第二十二条规定；</w:t>
      </w:r>
    </w:p>
    <w:p>
      <w:pPr>
        <w:spacing w:line="360" w:lineRule="auto"/>
        <w:ind w:firstLine="520" w:firstLineChars="200"/>
        <w:rPr>
          <w:rFonts w:hint="eastAsia" w:ascii="宋体" w:hAnsi="宋体" w:eastAsia="宋体" w:cs="宋体"/>
          <w:bCs/>
          <w:color w:val="auto"/>
          <w:spacing w:val="10"/>
          <w:kern w:val="0"/>
          <w:sz w:val="24"/>
          <w:highlight w:val="none"/>
          <w:lang w:val="en-US" w:eastAsia="zh-CN"/>
        </w:rPr>
      </w:pPr>
      <w:r>
        <w:rPr>
          <w:rFonts w:hint="eastAsia" w:ascii="宋体" w:hAnsi="宋体" w:cs="宋体"/>
          <w:bCs/>
          <w:color w:val="auto"/>
          <w:spacing w:val="10"/>
          <w:kern w:val="0"/>
          <w:sz w:val="24"/>
          <w:highlight w:val="none"/>
        </w:rPr>
        <w:t>2.落实政府采购政策需满足的资格要求：</w:t>
      </w:r>
      <w:r>
        <w:rPr>
          <w:rFonts w:hint="eastAsia" w:ascii="宋体" w:hAnsi="宋体" w:cs="宋体"/>
          <w:bCs/>
          <w:color w:val="auto"/>
          <w:spacing w:val="10"/>
          <w:kern w:val="0"/>
          <w:sz w:val="24"/>
          <w:highlight w:val="none"/>
          <w:lang w:eastAsia="zh-CN"/>
        </w:rPr>
        <w:t>本项目为专门面向中小企业采购的项目（供应商应为中小微企业或监狱企业或残疾人福利性单位)；</w:t>
      </w:r>
    </w:p>
    <w:p>
      <w:pPr>
        <w:spacing w:line="360" w:lineRule="auto"/>
        <w:ind w:firstLine="480" w:firstLineChars="200"/>
        <w:rPr>
          <w:rFonts w:ascii="宋体" w:hAnsi="宋体" w:cs="宋体"/>
          <w:bCs/>
          <w:color w:val="auto"/>
          <w:spacing w:val="10"/>
          <w:kern w:val="0"/>
          <w:sz w:val="24"/>
          <w:highlight w:val="none"/>
        </w:rPr>
      </w:pPr>
      <w:r>
        <w:rPr>
          <w:rFonts w:hint="eastAsia" w:ascii="宋体" w:hAnsi="宋体" w:cs="宋体"/>
          <w:color w:val="auto"/>
          <w:sz w:val="24"/>
          <w:highlight w:val="none"/>
        </w:rPr>
        <w:t>3.本</w:t>
      </w:r>
      <w:r>
        <w:rPr>
          <w:rFonts w:hint="eastAsia" w:ascii="宋体" w:hAnsi="宋体" w:cs="宋体"/>
          <w:bCs/>
          <w:color w:val="auto"/>
          <w:spacing w:val="10"/>
          <w:kern w:val="0"/>
          <w:sz w:val="24"/>
          <w:highlight w:val="none"/>
        </w:rPr>
        <w:t>项目的特定资格要求：</w:t>
      </w:r>
    </w:p>
    <w:p>
      <w:pPr>
        <w:spacing w:line="400" w:lineRule="exact"/>
        <w:ind w:firstLine="520" w:firstLineChars="200"/>
        <w:rPr>
          <w:rFonts w:ascii="宋体" w:hAnsi="宋体" w:cs="宋体"/>
          <w:bCs/>
          <w:color w:val="auto"/>
          <w:spacing w:val="10"/>
          <w:kern w:val="0"/>
          <w:sz w:val="24"/>
          <w:highlight w:val="none"/>
        </w:rPr>
      </w:pPr>
      <w:bookmarkStart w:id="18" w:name="_Toc12609"/>
      <w:r>
        <w:rPr>
          <w:rFonts w:hint="eastAsia" w:ascii="宋体" w:hAnsi="宋体" w:cs="宋体"/>
          <w:bCs/>
          <w:color w:val="auto"/>
          <w:spacing w:val="10"/>
          <w:kern w:val="0"/>
          <w:sz w:val="24"/>
          <w:highlight w:val="none"/>
        </w:rPr>
        <w:t>（一）符合《中华人民共和国招标投标法》第二十六条及《中华人民共和国政府采购法》第二十二条规定，</w:t>
      </w:r>
      <w:r>
        <w:rPr>
          <w:rFonts w:hint="eastAsia" w:ascii="宋体" w:hAnsi="宋体" w:cs="宋体"/>
          <w:bCs/>
          <w:color w:val="auto"/>
          <w:spacing w:val="10"/>
          <w:kern w:val="0"/>
          <w:sz w:val="24"/>
          <w:highlight w:val="none"/>
          <w:lang w:eastAsia="zh-CN"/>
        </w:rPr>
        <w:t>具有住建行政主管部门颁发的房屋建筑工程施工总承</w:t>
      </w:r>
      <w:r>
        <w:rPr>
          <w:rFonts w:hint="eastAsia" w:ascii="宋体" w:hAnsi="宋体" w:cs="宋体"/>
          <w:bCs/>
          <w:color w:val="auto"/>
          <w:spacing w:val="10"/>
          <w:kern w:val="0"/>
          <w:sz w:val="24"/>
          <w:highlight w:val="none"/>
          <w:lang w:val="en-US" w:eastAsia="zh-CN"/>
        </w:rPr>
        <w:t>包</w:t>
      </w:r>
      <w:r>
        <w:rPr>
          <w:rFonts w:hint="eastAsia" w:ascii="宋体" w:hAnsi="宋体" w:cs="宋体"/>
          <w:bCs/>
          <w:color w:val="auto"/>
          <w:spacing w:val="10"/>
          <w:kern w:val="0"/>
          <w:sz w:val="24"/>
          <w:highlight w:val="none"/>
          <w:lang w:eastAsia="zh-CN"/>
        </w:rPr>
        <w:t>三级（含）及以上资质或建筑装修装饰工程专业承包二级（含）及以上资质</w:t>
      </w:r>
      <w:r>
        <w:rPr>
          <w:rFonts w:hint="eastAsia" w:ascii="宋体" w:hAnsi="宋体" w:cs="宋体"/>
          <w:bCs/>
          <w:color w:val="auto"/>
          <w:spacing w:val="10"/>
          <w:kern w:val="0"/>
          <w:sz w:val="24"/>
          <w:highlight w:val="none"/>
        </w:rPr>
        <w:t>以上资质的施工企业。</w:t>
      </w:r>
      <w:bookmarkEnd w:id="18"/>
    </w:p>
    <w:p>
      <w:pPr>
        <w:spacing w:line="400" w:lineRule="exact"/>
        <w:ind w:firstLine="520" w:firstLineChars="200"/>
        <w:rPr>
          <w:rFonts w:ascii="宋体" w:hAnsi="宋体" w:cs="宋体"/>
          <w:bCs/>
          <w:color w:val="auto"/>
          <w:spacing w:val="10"/>
          <w:kern w:val="0"/>
          <w:sz w:val="24"/>
          <w:highlight w:val="none"/>
        </w:rPr>
      </w:pPr>
      <w:bookmarkStart w:id="19" w:name="_Toc19284"/>
      <w:r>
        <w:rPr>
          <w:rFonts w:hint="eastAsia" w:ascii="宋体" w:hAnsi="宋体" w:cs="宋体"/>
          <w:bCs/>
          <w:color w:val="auto"/>
          <w:spacing w:val="10"/>
          <w:kern w:val="0"/>
          <w:sz w:val="24"/>
          <w:highlight w:val="none"/>
        </w:rPr>
        <w:t>（二）竞标人拟投入本工程的注册建造师具有建筑工程贰级（含贰级）以上资质，并具有有效的安全生产考核合格证（B类），并在人员、设备、资金等方面具备相应的施工能力。</w:t>
      </w:r>
      <w:bookmarkEnd w:id="19"/>
    </w:p>
    <w:p>
      <w:pPr>
        <w:spacing w:line="400" w:lineRule="exact"/>
        <w:ind w:firstLine="520" w:firstLineChars="200"/>
        <w:rPr>
          <w:rFonts w:ascii="宋体" w:hAnsi="宋体" w:cs="宋体"/>
          <w:bCs/>
          <w:color w:val="auto"/>
          <w:spacing w:val="10"/>
          <w:kern w:val="0"/>
          <w:sz w:val="24"/>
          <w:highlight w:val="none"/>
        </w:rPr>
      </w:pPr>
      <w:bookmarkStart w:id="20" w:name="_Toc17208"/>
      <w:r>
        <w:rPr>
          <w:rFonts w:hint="eastAsia" w:ascii="宋体" w:hAnsi="宋体" w:cs="宋体"/>
          <w:bCs/>
          <w:color w:val="auto"/>
          <w:spacing w:val="10"/>
          <w:kern w:val="0"/>
          <w:sz w:val="24"/>
          <w:highlight w:val="none"/>
        </w:rPr>
        <w:t>（三）本项目不接受有在建、已中标（成交）未开工或已列为其他项目中标（成交）候选人第一名的注册建造师作为项目经理。</w:t>
      </w:r>
      <w:bookmarkEnd w:id="20"/>
    </w:p>
    <w:p>
      <w:pPr>
        <w:spacing w:line="400" w:lineRule="exact"/>
        <w:ind w:firstLine="520" w:firstLineChars="200"/>
        <w:rPr>
          <w:rFonts w:ascii="宋体" w:hAnsi="宋体" w:cs="宋体"/>
          <w:bCs/>
          <w:color w:val="auto"/>
          <w:spacing w:val="10"/>
          <w:kern w:val="0"/>
          <w:sz w:val="24"/>
          <w:highlight w:val="none"/>
        </w:rPr>
      </w:pPr>
      <w:bookmarkStart w:id="21" w:name="_Toc9639"/>
      <w:r>
        <w:rPr>
          <w:rFonts w:hint="eastAsia" w:ascii="宋体" w:hAnsi="宋体" w:cs="宋体"/>
          <w:bCs/>
          <w:color w:val="auto"/>
          <w:spacing w:val="10"/>
          <w:kern w:val="0"/>
          <w:sz w:val="24"/>
          <w:highlight w:val="none"/>
        </w:rPr>
        <w:t>（四）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bookmarkEnd w:id="21"/>
    </w:p>
    <w:p>
      <w:pPr>
        <w:spacing w:line="400" w:lineRule="exact"/>
        <w:ind w:firstLine="520" w:firstLineChars="200"/>
        <w:rPr>
          <w:rFonts w:ascii="宋体" w:hAnsi="宋体" w:cs="宋体"/>
          <w:bCs/>
          <w:color w:val="auto"/>
          <w:spacing w:val="10"/>
          <w:kern w:val="0"/>
          <w:sz w:val="24"/>
          <w:highlight w:val="none"/>
        </w:rPr>
      </w:pPr>
      <w:bookmarkStart w:id="22" w:name="_Toc2746"/>
      <w:r>
        <w:rPr>
          <w:rFonts w:hint="eastAsia" w:ascii="宋体" w:hAnsi="宋体" w:cs="宋体"/>
          <w:bCs/>
          <w:color w:val="auto"/>
          <w:spacing w:val="10"/>
          <w:kern w:val="0"/>
          <w:sz w:val="24"/>
          <w:highlight w:val="none"/>
        </w:rPr>
        <w:t>（五）</w:t>
      </w:r>
      <w:bookmarkEnd w:id="22"/>
      <w:bookmarkStart w:id="23" w:name="_Toc13907"/>
      <w:r>
        <w:rPr>
          <w:rFonts w:hint="eastAsia" w:ascii="宋体" w:hAnsi="宋体" w:cs="宋体"/>
          <w:bCs/>
          <w:color w:val="auto"/>
          <w:spacing w:val="10"/>
          <w:kern w:val="0"/>
          <w:sz w:val="24"/>
          <w:highlight w:val="none"/>
        </w:rPr>
        <w:t>本项目不接受联合体投标。</w:t>
      </w:r>
      <w:bookmarkEnd w:id="23"/>
    </w:p>
    <w:p>
      <w:pPr>
        <w:pStyle w:val="4"/>
        <w:spacing w:before="60" w:after="60" w:line="360" w:lineRule="auto"/>
        <w:ind w:firstLine="600" w:firstLineChars="200"/>
        <w:jc w:val="both"/>
        <w:rPr>
          <w:rFonts w:ascii="宋体" w:hAnsi="宋体" w:cs="宋体"/>
          <w:color w:val="auto"/>
          <w:spacing w:val="10"/>
          <w:kern w:val="0"/>
          <w:sz w:val="28"/>
          <w:szCs w:val="28"/>
          <w:highlight w:val="none"/>
        </w:rPr>
      </w:pPr>
      <w:r>
        <w:rPr>
          <w:rFonts w:hint="eastAsia" w:ascii="宋体" w:hAnsi="宋体" w:cs="宋体"/>
          <w:color w:val="auto"/>
          <w:spacing w:val="10"/>
          <w:kern w:val="0"/>
          <w:sz w:val="28"/>
          <w:szCs w:val="28"/>
          <w:highlight w:val="none"/>
        </w:rPr>
        <w:t>三、获取采购文件</w:t>
      </w:r>
      <w:bookmarkEnd w:id="16"/>
      <w:bookmarkEnd w:id="17"/>
    </w:p>
    <w:p>
      <w:pPr>
        <w:spacing w:line="360" w:lineRule="auto"/>
        <w:ind w:firstLine="54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时间：2024年</w:t>
      </w:r>
      <w:r>
        <w:rPr>
          <w:rFonts w:hint="eastAsia" w:ascii="宋体" w:hAnsi="宋体" w:cs="宋体"/>
          <w:bCs/>
          <w:color w:val="auto"/>
          <w:spacing w:val="10"/>
          <w:kern w:val="0"/>
          <w:sz w:val="24"/>
          <w:highlight w:val="none"/>
          <w:lang w:val="en-US" w:eastAsia="zh-CN"/>
        </w:rPr>
        <w:t>06</w:t>
      </w:r>
      <w:r>
        <w:rPr>
          <w:rFonts w:hint="eastAsia" w:ascii="宋体" w:hAnsi="宋体" w:cs="宋体"/>
          <w:bCs/>
          <w:color w:val="auto"/>
          <w:spacing w:val="10"/>
          <w:kern w:val="0"/>
          <w:sz w:val="24"/>
          <w:highlight w:val="none"/>
        </w:rPr>
        <w:t>月</w:t>
      </w:r>
      <w:r>
        <w:rPr>
          <w:rFonts w:hint="eastAsia" w:ascii="宋体" w:hAnsi="宋体" w:cs="宋体"/>
          <w:bCs/>
          <w:color w:val="auto"/>
          <w:spacing w:val="10"/>
          <w:kern w:val="0"/>
          <w:sz w:val="24"/>
          <w:highlight w:val="none"/>
          <w:lang w:val="en-US" w:eastAsia="zh-CN"/>
        </w:rPr>
        <w:t>24</w:t>
      </w:r>
      <w:r>
        <w:rPr>
          <w:rFonts w:hint="eastAsia" w:ascii="宋体" w:hAnsi="宋体" w:cs="宋体"/>
          <w:bCs/>
          <w:color w:val="auto"/>
          <w:spacing w:val="10"/>
          <w:kern w:val="0"/>
          <w:sz w:val="24"/>
          <w:highlight w:val="none"/>
        </w:rPr>
        <w:t>日至2024年</w:t>
      </w:r>
      <w:r>
        <w:rPr>
          <w:rFonts w:hint="eastAsia" w:ascii="宋体" w:hAnsi="宋体" w:cs="宋体"/>
          <w:bCs/>
          <w:color w:val="auto"/>
          <w:spacing w:val="10"/>
          <w:kern w:val="0"/>
          <w:sz w:val="24"/>
          <w:highlight w:val="none"/>
          <w:lang w:val="en-US" w:eastAsia="zh-CN"/>
        </w:rPr>
        <w:t>07</w:t>
      </w:r>
      <w:r>
        <w:rPr>
          <w:rFonts w:hint="eastAsia" w:ascii="宋体" w:hAnsi="宋体" w:cs="宋体"/>
          <w:bCs/>
          <w:color w:val="auto"/>
          <w:spacing w:val="10"/>
          <w:kern w:val="0"/>
          <w:sz w:val="24"/>
          <w:highlight w:val="none"/>
        </w:rPr>
        <w:t>月</w:t>
      </w:r>
      <w:r>
        <w:rPr>
          <w:rFonts w:hint="eastAsia" w:ascii="宋体" w:hAnsi="宋体" w:cs="宋体"/>
          <w:bCs/>
          <w:color w:val="auto"/>
          <w:spacing w:val="10"/>
          <w:kern w:val="0"/>
          <w:sz w:val="24"/>
          <w:highlight w:val="none"/>
          <w:lang w:val="en-US" w:eastAsia="zh-CN"/>
        </w:rPr>
        <w:t>01</w:t>
      </w:r>
      <w:r>
        <w:rPr>
          <w:rFonts w:hint="eastAsia" w:ascii="宋体" w:hAnsi="宋体" w:cs="宋体"/>
          <w:bCs/>
          <w:color w:val="auto"/>
          <w:spacing w:val="10"/>
          <w:kern w:val="0"/>
          <w:sz w:val="24"/>
          <w:highlight w:val="none"/>
        </w:rPr>
        <w:t>日，每天上午8：00至12:00，下午15:00至18：00（北京时间，周末和法定节假日除外）。</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地点：广西政府采购云平台（网址：</w:t>
      </w:r>
      <w:r>
        <w:rPr>
          <w:rStyle w:val="60"/>
          <w:rFonts w:hint="eastAsia" w:ascii="宋体" w:hAnsi="宋体" w:cs="宋体"/>
          <w:bCs/>
          <w:color w:val="auto"/>
          <w:spacing w:val="10"/>
          <w:kern w:val="0"/>
          <w:sz w:val="24"/>
          <w:highlight w:val="none"/>
        </w:rPr>
        <w:t>https://www.gcy.zfcg.gxzf.gov.cn/</w:t>
      </w:r>
      <w:r>
        <w:rPr>
          <w:rFonts w:hint="eastAsia" w:ascii="宋体" w:hAnsi="宋体" w:cs="宋体"/>
          <w:bCs/>
          <w:color w:val="auto"/>
          <w:spacing w:val="10"/>
          <w:kern w:val="0"/>
          <w:sz w:val="24"/>
          <w:highlight w:val="none"/>
        </w:rPr>
        <w:t>）。</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lang w:eastAsia="en-US"/>
        </w:rPr>
        <w:t>方式：</w:t>
      </w:r>
      <w:r>
        <w:rPr>
          <w:rFonts w:hint="eastAsia" w:ascii="宋体" w:hAnsi="宋体" w:cs="宋体"/>
          <w:bCs/>
          <w:color w:val="auto"/>
          <w:spacing w:val="10"/>
          <w:kern w:val="0"/>
          <w:sz w:val="24"/>
          <w:highlight w:val="none"/>
        </w:rPr>
        <w:t>网上自行下载，本项目不发放纸质采购文件，潜在供应商可自行登录广西政府采购云平台（</w:t>
      </w:r>
      <w:r>
        <w:rPr>
          <w:rStyle w:val="60"/>
          <w:rFonts w:hint="eastAsia" w:ascii="宋体" w:hAnsi="宋体" w:cs="宋体"/>
          <w:bCs/>
          <w:color w:val="auto"/>
          <w:spacing w:val="10"/>
          <w:kern w:val="0"/>
          <w:sz w:val="24"/>
          <w:highlight w:val="none"/>
        </w:rPr>
        <w:t>https://www.gcy.zfcg.gxzf.gov.cn/</w:t>
      </w:r>
      <w:r>
        <w:rPr>
          <w:rFonts w:hint="eastAsia" w:ascii="宋体" w:hAnsi="宋体" w:cs="宋体"/>
          <w:bCs/>
          <w:color w:val="auto"/>
          <w:spacing w:val="10"/>
          <w:kern w:val="0"/>
          <w:sz w:val="24"/>
          <w:highlight w:val="none"/>
        </w:rPr>
        <w:t>）下载采购文件（操作路径：登录广西政府采购云平台→项目采购→获取采购文件→搜索找到本项目→点击“申请获取采购文件”</w:t>
      </w:r>
    </w:p>
    <w:p>
      <w:pPr>
        <w:spacing w:line="360" w:lineRule="auto"/>
        <w:ind w:firstLine="54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售价：0元。</w:t>
      </w:r>
    </w:p>
    <w:p>
      <w:pPr>
        <w:pStyle w:val="4"/>
        <w:spacing w:before="60" w:after="60" w:line="360" w:lineRule="auto"/>
        <w:ind w:firstLine="600" w:firstLineChars="200"/>
        <w:jc w:val="both"/>
        <w:rPr>
          <w:rFonts w:ascii="宋体" w:hAnsi="宋体" w:cs="宋体"/>
          <w:color w:val="auto"/>
          <w:spacing w:val="10"/>
          <w:kern w:val="0"/>
          <w:sz w:val="28"/>
          <w:szCs w:val="28"/>
          <w:highlight w:val="none"/>
        </w:rPr>
      </w:pPr>
      <w:bookmarkStart w:id="24" w:name="_Toc24232"/>
      <w:bookmarkStart w:id="25" w:name="_Toc25156"/>
      <w:r>
        <w:rPr>
          <w:rFonts w:hint="eastAsia" w:ascii="宋体" w:hAnsi="宋体" w:cs="宋体"/>
          <w:color w:val="auto"/>
          <w:spacing w:val="10"/>
          <w:kern w:val="0"/>
          <w:sz w:val="28"/>
          <w:szCs w:val="28"/>
          <w:highlight w:val="none"/>
        </w:rPr>
        <w:t>四、响应文件提交</w:t>
      </w:r>
      <w:bookmarkEnd w:id="24"/>
      <w:bookmarkEnd w:id="25"/>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截止时间：</w:t>
      </w:r>
      <w:r>
        <w:rPr>
          <w:rFonts w:hint="eastAsia" w:ascii="宋体" w:hAnsi="宋体" w:cs="宋体"/>
          <w:bCs/>
          <w:color w:val="auto"/>
          <w:spacing w:val="10"/>
          <w:kern w:val="0"/>
          <w:sz w:val="24"/>
          <w:highlight w:val="none"/>
          <w:u w:val="single"/>
          <w:lang w:val="en-US" w:eastAsia="zh-CN"/>
        </w:rPr>
        <w:t>2024年07月05日09时30分</w:t>
      </w:r>
      <w:r>
        <w:rPr>
          <w:rFonts w:hint="eastAsia" w:ascii="宋体" w:hAnsi="宋体" w:cs="宋体"/>
          <w:bCs/>
          <w:color w:val="auto"/>
          <w:spacing w:val="10"/>
          <w:kern w:val="0"/>
          <w:sz w:val="24"/>
          <w:highlight w:val="none"/>
        </w:rPr>
        <w:t>（北京时间）</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地点：通过广西政府采购云平台（https://www.gcy.zfcg.gxzf.gov.cn/）实行在线电子响应，供应商应先安装“政采云电子交易客户端（请自行前往广西政府采购云平台进行下载），并按照本项目的采购文件和广西政府采购云平台的要求进行编制、加密后在响应文件截止时间前上传至广西政府采购云平台。供应商在广西政府采购云平台提交电子版响应文件时，请填写参加远程采购活动经办人联系方式。</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上传递交的响应文件的，广西政府采购云平台将予以拒收。 </w:t>
      </w:r>
    </w:p>
    <w:p>
      <w:pPr>
        <w:pStyle w:val="4"/>
        <w:spacing w:before="60" w:after="60" w:line="360" w:lineRule="auto"/>
        <w:ind w:firstLine="600" w:firstLineChars="200"/>
        <w:jc w:val="both"/>
        <w:rPr>
          <w:rFonts w:ascii="宋体" w:hAnsi="宋体" w:cs="宋体"/>
          <w:color w:val="auto"/>
          <w:spacing w:val="10"/>
          <w:kern w:val="0"/>
          <w:sz w:val="28"/>
          <w:szCs w:val="28"/>
          <w:highlight w:val="none"/>
        </w:rPr>
      </w:pPr>
      <w:r>
        <w:rPr>
          <w:rFonts w:hint="eastAsia" w:ascii="宋体" w:hAnsi="宋体" w:cs="宋体"/>
          <w:color w:val="auto"/>
          <w:spacing w:val="10"/>
          <w:kern w:val="0"/>
          <w:sz w:val="28"/>
          <w:szCs w:val="28"/>
          <w:highlight w:val="none"/>
        </w:rPr>
        <w:t>五、响应文件开启</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时间：</w:t>
      </w:r>
      <w:r>
        <w:rPr>
          <w:rFonts w:hint="eastAsia" w:ascii="宋体" w:hAnsi="宋体" w:cs="宋体"/>
          <w:bCs/>
          <w:color w:val="auto"/>
          <w:spacing w:val="10"/>
          <w:kern w:val="0"/>
          <w:sz w:val="24"/>
          <w:highlight w:val="none"/>
          <w:u w:val="single"/>
          <w:lang w:val="en-US" w:eastAsia="zh-CN"/>
        </w:rPr>
        <w:t>2024年07月05日09时30分</w:t>
      </w:r>
      <w:r>
        <w:rPr>
          <w:rFonts w:hint="eastAsia" w:ascii="宋体" w:hAnsi="宋体" w:cs="宋体"/>
          <w:bCs/>
          <w:color w:val="auto"/>
          <w:spacing w:val="10"/>
          <w:kern w:val="0"/>
          <w:sz w:val="24"/>
          <w:highlight w:val="none"/>
        </w:rPr>
        <w:t>（北京时间）。</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地点：广西政府采购云平台开标大厅。</w:t>
      </w:r>
      <w:r>
        <w:rPr>
          <w:rFonts w:hint="eastAsia" w:ascii="宋体" w:hAnsi="宋体" w:cs="宋体"/>
          <w:color w:val="auto"/>
          <w:kern w:val="0"/>
          <w:sz w:val="24"/>
          <w:highlight w:val="none"/>
          <w:shd w:val="clear" w:color="auto" w:fill="FFFFFF"/>
        </w:rPr>
        <w:t>（本项目不要求竞标供应商到达开标现场，但供应商应派法定代表人或委托代理人准时在线出席电子开评标会议，随时关注开评标进度，如在开评标过程中有电子询标，应在规定的时间内对电子询标函进行澄清回复。）</w:t>
      </w:r>
    </w:p>
    <w:p>
      <w:pPr>
        <w:pStyle w:val="4"/>
        <w:spacing w:before="60" w:after="60" w:line="360" w:lineRule="auto"/>
        <w:ind w:firstLine="600" w:firstLineChars="200"/>
        <w:jc w:val="both"/>
        <w:rPr>
          <w:rFonts w:ascii="宋体" w:hAnsi="宋体" w:cs="宋体"/>
          <w:color w:val="auto"/>
          <w:spacing w:val="10"/>
          <w:kern w:val="0"/>
          <w:sz w:val="28"/>
          <w:szCs w:val="28"/>
          <w:highlight w:val="none"/>
        </w:rPr>
      </w:pPr>
      <w:bookmarkStart w:id="26" w:name="_Toc2318"/>
      <w:bookmarkStart w:id="27" w:name="_Toc27113"/>
      <w:r>
        <w:rPr>
          <w:rFonts w:hint="eastAsia" w:ascii="宋体" w:hAnsi="宋体" w:cs="宋体"/>
          <w:color w:val="auto"/>
          <w:spacing w:val="10"/>
          <w:kern w:val="0"/>
          <w:sz w:val="28"/>
          <w:szCs w:val="28"/>
          <w:highlight w:val="none"/>
        </w:rPr>
        <w:t>六、公告期限</w:t>
      </w:r>
      <w:bookmarkEnd w:id="26"/>
      <w:bookmarkEnd w:id="27"/>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自本公告发布之日起5个工作日。</w:t>
      </w:r>
    </w:p>
    <w:p>
      <w:pPr>
        <w:pStyle w:val="4"/>
        <w:spacing w:before="60" w:after="60" w:line="360" w:lineRule="auto"/>
        <w:ind w:firstLine="600" w:firstLineChars="200"/>
        <w:jc w:val="both"/>
        <w:rPr>
          <w:rFonts w:ascii="宋体" w:hAnsi="宋体" w:cs="宋体"/>
          <w:color w:val="auto"/>
          <w:spacing w:val="10"/>
          <w:kern w:val="0"/>
          <w:sz w:val="28"/>
          <w:szCs w:val="28"/>
          <w:highlight w:val="none"/>
        </w:rPr>
      </w:pPr>
      <w:bookmarkStart w:id="28" w:name="_Toc10440"/>
      <w:bookmarkStart w:id="29" w:name="_Toc28776"/>
      <w:r>
        <w:rPr>
          <w:rFonts w:hint="eastAsia" w:ascii="宋体" w:hAnsi="宋体" w:cs="宋体"/>
          <w:color w:val="auto"/>
          <w:spacing w:val="10"/>
          <w:kern w:val="0"/>
          <w:sz w:val="28"/>
          <w:szCs w:val="28"/>
          <w:highlight w:val="none"/>
        </w:rPr>
        <w:t>七、其他补充事宜</w:t>
      </w:r>
      <w:bookmarkEnd w:id="28"/>
      <w:bookmarkEnd w:id="29"/>
    </w:p>
    <w:p>
      <w:pPr>
        <w:pStyle w:val="203"/>
        <w:spacing w:line="360" w:lineRule="auto"/>
        <w:ind w:firstLine="480" w:firstLineChars="20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1、发布公告的媒介：中国政府采购网（http://www.ccgp.gov.cn）、广西壮族自治区政府采购网（http://www.ccgp-guangxi.gov.cn/）</w:t>
      </w:r>
      <w:r>
        <w:rPr>
          <w:rFonts w:hint="eastAsia" w:ascii="宋体" w:hAnsi="宋体" w:cs="宋体"/>
          <w:color w:val="auto"/>
          <w:sz w:val="24"/>
          <w:szCs w:val="24"/>
          <w:highlight w:val="none"/>
          <w:lang w:eastAsia="zh-CN"/>
        </w:rPr>
        <w:t>、全国公共资源交易平台（广西·防城港）</w:t>
      </w:r>
    </w:p>
    <w:p>
      <w:pPr>
        <w:pStyle w:val="203"/>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2、其他注意事项：</w:t>
      </w:r>
    </w:p>
    <w:p>
      <w:pPr>
        <w:pStyle w:val="203"/>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1）本项目为全流程电子化项目，不要求供应商到达开标现场，但供应商应派法定代表人或委托代理人准时在线出席电子开评标会议，随时关注开评标进度，如在开评标过程中有电子询标，应在规定的时间内对电子询标函进行澄清回复。供应商在使用系统参与磋商过程中遇到涉及平台使用的任何问题，可登录广西政府采购云平台，点击右侧咨询小采，获取小蜜服务管家帮助，或拨打政采云服务热线：</w:t>
      </w:r>
      <w:r>
        <w:rPr>
          <w:rFonts w:hint="eastAsia" w:ascii="宋体" w:hAnsi="宋体" w:cs="宋体"/>
          <w:color w:val="auto"/>
          <w:sz w:val="24"/>
          <w:szCs w:val="24"/>
          <w:highlight w:val="none"/>
        </w:rPr>
        <w:t>95763</w:t>
      </w:r>
      <w:r>
        <w:rPr>
          <w:rFonts w:hint="eastAsia" w:ascii="宋体" w:hAnsi="宋体" w:cs="宋体"/>
          <w:color w:val="auto"/>
          <w:kern w:val="2"/>
          <w:sz w:val="24"/>
          <w:szCs w:val="24"/>
          <w:highlight w:val="none"/>
        </w:rPr>
        <w:t>获取服务帮助。</w:t>
      </w:r>
    </w:p>
    <w:p>
      <w:pPr>
        <w:pStyle w:val="203"/>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（2）供应商应及时熟悉掌握电子标系统操作指南（见政采云电子卖场首页右上角—服务中心—帮助文档—项目采购）：</w:t>
      </w: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kern w:val="2"/>
          <w:sz w:val="24"/>
          <w:szCs w:val="24"/>
          <w:highlight w:val="none"/>
        </w:rPr>
        <w:t>https://service.zcygov.cn/#/knowledges/tree?tag=AG1DtGwBFdiHxlNdhY0r。</w:t>
      </w:r>
      <w:r>
        <w:rPr>
          <w:rFonts w:hint="eastAsia" w:ascii="宋体" w:hAnsi="宋体" w:cs="宋体"/>
          <w:color w:val="auto"/>
          <w:kern w:val="2"/>
          <w:sz w:val="24"/>
          <w:szCs w:val="24"/>
          <w:highlight w:val="none"/>
        </w:rPr>
        <w:fldChar w:fldCharType="end"/>
      </w:r>
    </w:p>
    <w:p>
      <w:pPr>
        <w:pStyle w:val="203"/>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（3）供应商应及时完成CA申领和绑定（见广西壮族自治区政府采购网—办事服务—下载专区-“政采云”CA证书办理操作指南）。</w:t>
      </w:r>
    </w:p>
    <w:p>
      <w:pPr>
        <w:pStyle w:val="203"/>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4）供应商通过“政采云”投标客户端软件制作响应文件，“政采云”投标客户端软件请供应商自行前往下载并安装（见广西壮族自治区政府采购网—办事服务—下载专区-广西壮族自治区全流程电子招投标项目管理系统--供应商客户端）。</w:t>
      </w:r>
    </w:p>
    <w:p>
      <w:pPr>
        <w:pStyle w:val="203"/>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（5）因未注册入库、未办理CA数字证书、CA证书故障、操作不当等原因造成无法参与或磋商失败等后果由供应商自行承担。</w:t>
      </w:r>
    </w:p>
    <w:p>
      <w:pPr>
        <w:pStyle w:val="203"/>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6）响应文件网上递交时间截止后，“政采云”（电子标系统）自动提取所有响应文件，各供应商须在开标程序开始后30分钟内对上传“政采云”的响应文件进行解密，所有供应商在规定的解密时限内解密完成或解密时限结束后，采购代理机构、采购人将开启响应文件；供应商超过解密时限的，系统默认自动放弃。</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如电子加密响应文件因系统原因无法按时解密时，按供应商提供的电子备份响应文件（电子备份响应文件须按政采云平台项目采购-电子招投标操作指南中上传的电子响应文件格式）为依据。电子备份响应文件在响应文件提交截止时间前可以通过以下方式递交：①电子邮箱方式：将电子备份响应文件发送至广西大通建设监理咨询管理有限公司邮箱：</w:t>
      </w:r>
      <w:r>
        <w:rPr>
          <w:rFonts w:hint="eastAsia" w:ascii="宋体" w:hAnsi="宋体" w:cs="宋体"/>
          <w:color w:val="auto"/>
          <w:sz w:val="24"/>
          <w:highlight w:val="none"/>
          <w:lang w:val="en-US" w:eastAsia="zh-CN"/>
        </w:rPr>
        <w:t>gxdtzbzx@126.com</w:t>
      </w:r>
      <w:r>
        <w:rPr>
          <w:rFonts w:hint="eastAsia" w:ascii="宋体" w:hAnsi="宋体" w:cs="宋体"/>
          <w:color w:val="auto"/>
          <w:sz w:val="24"/>
          <w:highlight w:val="none"/>
        </w:rPr>
        <w:t>，文件名称须为：供应商名称+项目名称+项目编号+电子备份响应文件。（密封要求达到不泄露供应商响应文件实质性内容为合格）。</w:t>
      </w:r>
    </w:p>
    <w:p>
      <w:pPr>
        <w:pStyle w:val="203"/>
        <w:numPr>
          <w:ilvl w:val="0"/>
          <w:numId w:val="2"/>
        </w:numPr>
        <w:spacing w:line="360" w:lineRule="auto"/>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通过“政府采购云平台”上传递交的“电子加密响应文件”无法按时解密，供应商递交了电子备份响应文件的，以电子备份响应文件为依据，否则视为响应文件撤回。通过政采云平台上传递交的电子加密响应文件已按时解密的，电子备份响应文件自动失效。供应商仅递交电子备份响应文件的，竞标无效。</w:t>
      </w:r>
    </w:p>
    <w:p>
      <w:pPr>
        <w:pStyle w:val="203"/>
        <w:spacing w:line="360" w:lineRule="auto"/>
        <w:ind w:firstLine="480" w:firstLineChars="200"/>
        <w:jc w:val="both"/>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rPr>
        <w:t>3.投标保证金：</w:t>
      </w:r>
      <w:r>
        <w:rPr>
          <w:rFonts w:hint="eastAsia" w:ascii="宋体" w:hAnsi="宋体" w:cs="宋体"/>
          <w:color w:val="auto"/>
          <w:kern w:val="2"/>
          <w:sz w:val="24"/>
          <w:szCs w:val="24"/>
          <w:highlight w:val="none"/>
          <w:lang w:val="en-US" w:eastAsia="zh-CN"/>
        </w:rPr>
        <w:t>0元。</w:t>
      </w:r>
    </w:p>
    <w:p>
      <w:pPr>
        <w:pStyle w:val="4"/>
        <w:spacing w:before="60" w:after="60" w:line="360" w:lineRule="auto"/>
        <w:ind w:firstLine="600" w:firstLineChars="200"/>
        <w:jc w:val="both"/>
        <w:rPr>
          <w:rFonts w:ascii="宋体" w:hAnsi="宋体" w:cs="宋体"/>
          <w:color w:val="auto"/>
          <w:spacing w:val="10"/>
          <w:kern w:val="0"/>
          <w:sz w:val="28"/>
          <w:szCs w:val="28"/>
          <w:highlight w:val="none"/>
        </w:rPr>
      </w:pPr>
      <w:bookmarkStart w:id="30" w:name="_Toc28277"/>
      <w:bookmarkStart w:id="31" w:name="_Toc618"/>
      <w:r>
        <w:rPr>
          <w:rFonts w:hint="eastAsia" w:ascii="宋体" w:hAnsi="宋体" w:cs="宋体"/>
          <w:color w:val="auto"/>
          <w:spacing w:val="10"/>
          <w:kern w:val="0"/>
          <w:sz w:val="28"/>
          <w:szCs w:val="28"/>
          <w:highlight w:val="none"/>
        </w:rPr>
        <w:t>八、凡对本次采购提出询问，请按以下方式联系。</w:t>
      </w:r>
      <w:bookmarkEnd w:id="30"/>
      <w:bookmarkEnd w:id="31"/>
    </w:p>
    <w:p>
      <w:pPr>
        <w:spacing w:line="360" w:lineRule="auto"/>
        <w:ind w:firstLine="520" w:firstLineChars="200"/>
        <w:jc w:val="left"/>
        <w:rPr>
          <w:rFonts w:ascii="宋体" w:hAnsi="宋体" w:cs="宋体"/>
          <w:b/>
          <w:bCs/>
          <w:color w:val="auto"/>
          <w:spacing w:val="10"/>
          <w:kern w:val="0"/>
          <w:sz w:val="24"/>
          <w:highlight w:val="none"/>
        </w:rPr>
      </w:pPr>
      <w:bookmarkStart w:id="32" w:name="_Toc16679"/>
      <w:bookmarkStart w:id="33" w:name="_Toc19333"/>
      <w:r>
        <w:rPr>
          <w:rFonts w:hint="eastAsia" w:ascii="宋体" w:hAnsi="宋体" w:cs="宋体"/>
          <w:b/>
          <w:bCs/>
          <w:color w:val="auto"/>
          <w:spacing w:val="10"/>
          <w:kern w:val="0"/>
          <w:sz w:val="24"/>
          <w:highlight w:val="none"/>
        </w:rPr>
        <w:t>1.采购人信息</w:t>
      </w:r>
      <w:bookmarkEnd w:id="32"/>
      <w:bookmarkEnd w:id="33"/>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防城港市高级中学</w:t>
      </w:r>
      <w:r>
        <w:rPr>
          <w:rFonts w:hint="eastAsia" w:ascii="宋体" w:hAnsi="宋体" w:cs="宋体"/>
          <w:color w:val="auto"/>
          <w:sz w:val="24"/>
          <w:highlight w:val="none"/>
        </w:rPr>
        <w:t>　　　　　　　　　　　　</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地  址：广西壮族自治区防城港市港口区渔州路160号　　　　　　　　　　　</w:t>
      </w:r>
    </w:p>
    <w:p>
      <w:pPr>
        <w:spacing w:line="360" w:lineRule="auto"/>
        <w:ind w:firstLine="480" w:firstLineChars="200"/>
        <w:jc w:val="left"/>
        <w:rPr>
          <w:rFonts w:ascii="宋体" w:hAnsi="宋体" w:cs="宋体"/>
          <w:bCs/>
          <w:color w:val="auto"/>
          <w:spacing w:val="10"/>
          <w:kern w:val="0"/>
          <w:sz w:val="24"/>
          <w:highlight w:val="none"/>
        </w:rPr>
      </w:pPr>
      <w:r>
        <w:rPr>
          <w:rFonts w:hint="eastAsia" w:ascii="宋体" w:hAnsi="宋体" w:cs="宋体"/>
          <w:color w:val="auto"/>
          <w:sz w:val="24"/>
          <w:highlight w:val="none"/>
        </w:rPr>
        <w:t>联系人及方式：</w:t>
      </w:r>
      <w:r>
        <w:rPr>
          <w:rFonts w:hint="eastAsia" w:ascii="宋体" w:hAnsi="宋体" w:cs="宋体"/>
          <w:color w:val="auto"/>
          <w:sz w:val="24"/>
          <w:highlight w:val="none"/>
          <w:lang w:val="en-US" w:eastAsia="zh-CN"/>
        </w:rPr>
        <w:t xml:space="preserve"> 0770-2220058  招兴新</w:t>
      </w:r>
      <w:r>
        <w:rPr>
          <w:rFonts w:hint="eastAsia" w:ascii="宋体" w:hAnsi="宋体" w:cs="宋体"/>
          <w:color w:val="auto"/>
          <w:sz w:val="24"/>
          <w:highlight w:val="none"/>
        </w:rPr>
        <w:t>　　</w:t>
      </w:r>
      <w:r>
        <w:rPr>
          <w:rFonts w:hint="eastAsia" w:ascii="宋体" w:hAnsi="宋体" w:cs="宋体"/>
          <w:bCs/>
          <w:color w:val="auto"/>
          <w:spacing w:val="10"/>
          <w:kern w:val="0"/>
          <w:sz w:val="24"/>
          <w:highlight w:val="none"/>
        </w:rPr>
        <w:t xml:space="preserve">　　　　　 　　　 </w:t>
      </w:r>
    </w:p>
    <w:p>
      <w:pPr>
        <w:spacing w:line="360" w:lineRule="auto"/>
        <w:ind w:firstLine="520" w:firstLineChars="200"/>
        <w:jc w:val="left"/>
        <w:rPr>
          <w:rFonts w:ascii="宋体" w:hAnsi="宋体" w:cs="宋体"/>
          <w:b/>
          <w:bCs/>
          <w:color w:val="auto"/>
          <w:spacing w:val="10"/>
          <w:kern w:val="0"/>
          <w:sz w:val="24"/>
          <w:highlight w:val="none"/>
        </w:rPr>
      </w:pPr>
      <w:bookmarkStart w:id="34" w:name="_Toc19263"/>
      <w:bookmarkStart w:id="35" w:name="_Toc32722"/>
      <w:r>
        <w:rPr>
          <w:rFonts w:hint="eastAsia" w:ascii="宋体" w:hAnsi="宋体" w:cs="宋体"/>
          <w:b/>
          <w:bCs/>
          <w:color w:val="auto"/>
          <w:spacing w:val="10"/>
          <w:kern w:val="0"/>
          <w:sz w:val="24"/>
          <w:highlight w:val="none"/>
        </w:rPr>
        <w:t>2.采</w:t>
      </w:r>
      <w:bookmarkStart w:id="1011" w:name="_GoBack"/>
      <w:bookmarkEnd w:id="1011"/>
      <w:r>
        <w:rPr>
          <w:rFonts w:hint="eastAsia" w:ascii="宋体" w:hAnsi="宋体" w:cs="宋体"/>
          <w:b/>
          <w:bCs/>
          <w:color w:val="auto"/>
          <w:spacing w:val="10"/>
          <w:kern w:val="0"/>
          <w:sz w:val="24"/>
          <w:highlight w:val="none"/>
        </w:rPr>
        <w:t>购代理机构信息</w:t>
      </w:r>
      <w:bookmarkEnd w:id="34"/>
      <w:bookmarkEnd w:id="35"/>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名  称：广西大通建设监理咨询管理有限公司　　　　　　　　　　　　</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南宁市科园大道33号盛世龙腾A座十三楼</w:t>
      </w:r>
    </w:p>
    <w:p>
      <w:pPr>
        <w:spacing w:line="360" w:lineRule="auto"/>
        <w:ind w:firstLine="480" w:firstLineChars="200"/>
        <w:jc w:val="left"/>
        <w:rPr>
          <w:rFonts w:ascii="宋体" w:hAnsi="宋体" w:cs="宋体"/>
          <w:b/>
          <w:bCs/>
          <w:color w:val="auto"/>
          <w:spacing w:val="10"/>
          <w:kern w:val="0"/>
          <w:sz w:val="24"/>
          <w:highlight w:val="none"/>
        </w:rPr>
      </w:pPr>
      <w:r>
        <w:rPr>
          <w:rFonts w:hint="eastAsia" w:ascii="宋体" w:hAnsi="宋体" w:cs="宋体"/>
          <w:color w:val="auto"/>
          <w:sz w:val="24"/>
          <w:highlight w:val="none"/>
        </w:rPr>
        <w:t>联系人及方式：</w:t>
      </w:r>
      <w:r>
        <w:rPr>
          <w:rFonts w:hint="eastAsia" w:ascii="宋体" w:hAnsi="宋体" w:cs="宋体"/>
          <w:color w:val="auto"/>
          <w:sz w:val="24"/>
          <w:highlight w:val="none"/>
          <w:lang w:val="en-US" w:eastAsia="zh-CN"/>
        </w:rPr>
        <w:t>0771-3810592</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凌彤</w:t>
      </w:r>
    </w:p>
    <w:p>
      <w:pPr>
        <w:spacing w:line="360" w:lineRule="auto"/>
        <w:ind w:firstLine="480" w:firstLineChars="200"/>
        <w:jc w:val="left"/>
        <w:rPr>
          <w:rFonts w:ascii="宋体" w:hAnsi="宋体" w:cs="宋体"/>
          <w:color w:val="auto"/>
          <w:sz w:val="24"/>
          <w:highlight w:val="none"/>
        </w:rPr>
      </w:pPr>
      <w:r>
        <w:rPr>
          <w:rFonts w:hint="eastAsia" w:ascii="宋体" w:hAnsi="宋体" w:cs="宋体"/>
          <w:b/>
          <w:bCs/>
          <w:color w:val="auto"/>
          <w:sz w:val="24"/>
          <w:highlight w:val="none"/>
        </w:rPr>
        <w:t>3</w:t>
      </w:r>
      <w:r>
        <w:rPr>
          <w:rFonts w:hint="eastAsia" w:ascii="宋体" w:hAnsi="宋体" w:cs="宋体"/>
          <w:b/>
          <w:bCs/>
          <w:color w:val="auto"/>
          <w:spacing w:val="10"/>
          <w:kern w:val="0"/>
          <w:sz w:val="24"/>
          <w:highlight w:val="none"/>
        </w:rPr>
        <w:t>、政府采购监督管理部门信息</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监督管理机构：</w:t>
      </w:r>
      <w:r>
        <w:rPr>
          <w:rFonts w:hint="eastAsia" w:ascii="宋体" w:hAnsi="宋体" w:cs="宋体"/>
          <w:color w:val="auto"/>
          <w:sz w:val="24"/>
          <w:highlight w:val="none"/>
          <w:lang w:eastAsia="zh-CN"/>
        </w:rPr>
        <w:t>防城港市</w:t>
      </w:r>
      <w:r>
        <w:rPr>
          <w:rFonts w:hint="eastAsia" w:ascii="宋体" w:hAnsi="宋体" w:cs="宋体"/>
          <w:color w:val="auto"/>
          <w:sz w:val="24"/>
          <w:highlight w:val="none"/>
        </w:rPr>
        <w:t xml:space="preserve">财政局政府采购监督管理股         </w:t>
      </w:r>
    </w:p>
    <w:p>
      <w:pPr>
        <w:spacing w:line="360" w:lineRule="auto"/>
        <w:ind w:firstLine="480" w:firstLineChars="200"/>
        <w:jc w:val="left"/>
        <w:rPr>
          <w:rFonts w:ascii="宋体" w:hAnsi="宋体" w:cs="宋体"/>
          <w:bCs/>
          <w:color w:val="auto"/>
          <w:spacing w:val="10"/>
          <w:kern w:val="0"/>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lang w:val="en-US" w:eastAsia="zh-CN"/>
        </w:rPr>
        <w:t>0770-6126193</w:t>
      </w:r>
      <w:r>
        <w:rPr>
          <w:rFonts w:hint="eastAsia" w:ascii="宋体" w:hAnsi="宋体" w:cs="宋体"/>
          <w:color w:val="auto"/>
          <w:sz w:val="24"/>
          <w:highlight w:val="none"/>
        </w:rPr>
        <w:t xml:space="preserve">  </w:t>
      </w:r>
      <w:r>
        <w:rPr>
          <w:rFonts w:hint="eastAsia" w:ascii="宋体" w:hAnsi="宋体" w:cs="宋体"/>
          <w:bCs/>
          <w:color w:val="auto"/>
          <w:spacing w:val="10"/>
          <w:kern w:val="0"/>
          <w:sz w:val="24"/>
          <w:highlight w:val="none"/>
        </w:rPr>
        <w:t>　</w:t>
      </w:r>
    </w:p>
    <w:p>
      <w:pPr>
        <w:spacing w:line="360" w:lineRule="auto"/>
        <w:ind w:firstLine="520" w:firstLineChars="200"/>
        <w:jc w:val="left"/>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　　　　　</w:t>
      </w:r>
    </w:p>
    <w:p>
      <w:pPr>
        <w:pStyle w:val="203"/>
        <w:spacing w:line="360" w:lineRule="auto"/>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广西大通建设监理咨询管理有限公司</w:t>
      </w:r>
    </w:p>
    <w:p>
      <w:pPr>
        <w:pStyle w:val="203"/>
        <w:spacing w:line="360" w:lineRule="auto"/>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2024年</w:t>
      </w:r>
      <w:r>
        <w:rPr>
          <w:rFonts w:hint="eastAsia" w:ascii="宋体" w:hAnsi="宋体" w:cs="宋体"/>
          <w:color w:val="auto"/>
          <w:sz w:val="24"/>
          <w:szCs w:val="24"/>
          <w:highlight w:val="none"/>
          <w:lang w:val="en-US" w:eastAsia="zh-CN"/>
        </w:rPr>
        <w:t>06</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日</w:t>
      </w:r>
    </w:p>
    <w:bookmarkEnd w:id="11"/>
    <w:p>
      <w:pPr>
        <w:rPr>
          <w:rFonts w:hint="eastAsia" w:hAnsi="宋体"/>
          <w:b/>
          <w:color w:val="auto"/>
          <w:sz w:val="36"/>
          <w:szCs w:val="36"/>
          <w:highlight w:val="none"/>
        </w:rPr>
      </w:pPr>
      <w:bookmarkStart w:id="36" w:name="_Toc18681"/>
      <w:bookmarkStart w:id="37" w:name="_Toc86935812"/>
      <w:r>
        <w:rPr>
          <w:rFonts w:hint="eastAsia" w:hAnsi="宋体"/>
          <w:b/>
          <w:color w:val="auto"/>
          <w:sz w:val="36"/>
          <w:szCs w:val="36"/>
          <w:highlight w:val="none"/>
        </w:rPr>
        <w:br w:type="page"/>
      </w:r>
    </w:p>
    <w:p>
      <w:pPr>
        <w:pStyle w:val="25"/>
        <w:spacing w:line="276" w:lineRule="auto"/>
        <w:jc w:val="center"/>
        <w:outlineLvl w:val="0"/>
        <w:rPr>
          <w:rFonts w:hAnsi="宋体"/>
          <w:b/>
          <w:color w:val="auto"/>
          <w:sz w:val="32"/>
          <w:szCs w:val="22"/>
          <w:highlight w:val="none"/>
        </w:rPr>
      </w:pPr>
      <w:r>
        <w:rPr>
          <w:rFonts w:hint="eastAsia" w:hAnsi="宋体"/>
          <w:b/>
          <w:color w:val="auto"/>
          <w:sz w:val="36"/>
          <w:szCs w:val="36"/>
          <w:highlight w:val="none"/>
        </w:rPr>
        <w:t>第二章 磋商供应商须知及前附表</w:t>
      </w:r>
      <w:bookmarkEnd w:id="36"/>
      <w:bookmarkEnd w:id="37"/>
    </w:p>
    <w:p>
      <w:pPr>
        <w:ind w:firstLine="280" w:firstLineChars="100"/>
        <w:jc w:val="center"/>
        <w:rPr>
          <w:rFonts w:ascii="宋体" w:hAnsi="宋体"/>
          <w:b/>
          <w:color w:val="auto"/>
          <w:sz w:val="28"/>
          <w:szCs w:val="28"/>
          <w:highlight w:val="none"/>
        </w:rPr>
      </w:pPr>
      <w:r>
        <w:rPr>
          <w:rFonts w:hint="eastAsia" w:ascii="宋体" w:hAnsi="宋体"/>
          <w:b/>
          <w:color w:val="auto"/>
          <w:sz w:val="28"/>
          <w:szCs w:val="28"/>
          <w:highlight w:val="none"/>
        </w:rPr>
        <w:t>磋商供应商须知前附表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965"/>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color w:val="auto"/>
                <w:sz w:val="24"/>
                <w:highlight w:val="none"/>
              </w:rPr>
              <w:t>名称</w:t>
            </w:r>
          </w:p>
        </w:tc>
        <w:tc>
          <w:tcPr>
            <w:tcW w:w="7133"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color w:val="auto"/>
                <w:sz w:val="24"/>
                <w:highlight w:val="none"/>
              </w:rPr>
              <w:t>1</w:t>
            </w:r>
          </w:p>
        </w:tc>
        <w:tc>
          <w:tcPr>
            <w:tcW w:w="1965"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b/>
                <w:bCs/>
                <w:color w:val="auto"/>
                <w:sz w:val="24"/>
                <w:highlight w:val="none"/>
              </w:rPr>
            </w:pPr>
            <w:r>
              <w:rPr>
                <w:rFonts w:hint="eastAsia" w:ascii="宋体" w:hAnsi="宋体" w:cs="宋体"/>
                <w:b/>
                <w:bCs/>
                <w:color w:val="auto"/>
                <w:sz w:val="24"/>
                <w:highlight w:val="none"/>
              </w:rPr>
              <w:t>项目名称及</w:t>
            </w:r>
          </w:p>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b/>
                <w:bCs/>
                <w:color w:val="auto"/>
                <w:sz w:val="24"/>
                <w:highlight w:val="none"/>
              </w:rPr>
              <w:t>项目编号</w:t>
            </w:r>
          </w:p>
        </w:tc>
        <w:tc>
          <w:tcPr>
            <w:tcW w:w="7133" w:type="dxa"/>
            <w:noWrap/>
            <w:vAlign w:val="center"/>
          </w:tcPr>
          <w:p>
            <w:pPr>
              <w:tabs>
                <w:tab w:val="left" w:pos="1680"/>
              </w:tabs>
              <w:spacing w:line="400" w:lineRule="exact"/>
              <w:ind w:right="69"/>
              <w:rPr>
                <w:rFonts w:ascii="宋体" w:hAnsi="宋体" w:cs="宋体"/>
                <w:color w:val="auto"/>
                <w:sz w:val="24"/>
                <w:highlight w:val="none"/>
              </w:rPr>
            </w:pPr>
            <w:r>
              <w:rPr>
                <w:rFonts w:hint="eastAsia" w:ascii="宋体" w:hAnsi="宋体" w:cs="宋体"/>
                <w:b/>
                <w:bCs/>
                <w:color w:val="auto"/>
                <w:sz w:val="24"/>
                <w:highlight w:val="none"/>
              </w:rPr>
              <w:t>项目名称：</w:t>
            </w:r>
            <w:r>
              <w:rPr>
                <w:rFonts w:hint="eastAsia" w:ascii="宋体" w:hAnsi="宋体" w:cs="宋体"/>
                <w:color w:val="auto"/>
                <w:sz w:val="24"/>
                <w:highlight w:val="none"/>
                <w:lang w:eastAsia="zh-CN"/>
              </w:rPr>
              <w:t>防城港市高级中学明珠园及碧海园内外立面改造工程（学生宿舍楼维修改造项目）</w:t>
            </w:r>
            <w:r>
              <w:rPr>
                <w:rFonts w:hint="eastAsia" w:ascii="宋体" w:hAnsi="宋体" w:cs="宋体"/>
                <w:color w:val="auto"/>
                <w:sz w:val="24"/>
                <w:highlight w:val="none"/>
              </w:rPr>
              <w:t xml:space="preserve"> </w:t>
            </w:r>
          </w:p>
          <w:p>
            <w:pPr>
              <w:tabs>
                <w:tab w:val="left" w:pos="1680"/>
              </w:tabs>
              <w:spacing w:line="400" w:lineRule="exact"/>
              <w:ind w:right="-192"/>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项目编号：</w:t>
            </w:r>
            <w:r>
              <w:rPr>
                <w:rFonts w:hint="eastAsia" w:ascii="宋体" w:hAnsi="宋体" w:cs="宋体"/>
                <w:b w:val="0"/>
                <w:bCs w:val="0"/>
                <w:color w:val="auto"/>
                <w:sz w:val="24"/>
                <w:highlight w:val="none"/>
              </w:rPr>
              <w:t xml:space="preserve"> </w:t>
            </w:r>
            <w:r>
              <w:rPr>
                <w:rFonts w:hint="eastAsia" w:ascii="宋体" w:hAnsi="宋体" w:cs="宋体"/>
                <w:b w:val="0"/>
                <w:bCs w:val="0"/>
                <w:color w:val="auto"/>
                <w:sz w:val="24"/>
                <w:highlight w:val="none"/>
                <w:lang w:eastAsia="zh-CN"/>
              </w:rPr>
              <w:t>FCZC2024-C2-10001-GXDT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706"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color w:val="auto"/>
                <w:sz w:val="24"/>
                <w:highlight w:val="none"/>
              </w:rPr>
              <w:t>2</w:t>
            </w:r>
          </w:p>
        </w:tc>
        <w:tc>
          <w:tcPr>
            <w:tcW w:w="1965"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b/>
                <w:bCs/>
                <w:color w:val="auto"/>
                <w:sz w:val="24"/>
                <w:highlight w:val="none"/>
              </w:rPr>
            </w:pPr>
            <w:r>
              <w:rPr>
                <w:rFonts w:hint="eastAsia" w:ascii="宋体" w:hAnsi="宋体" w:cs="宋体"/>
                <w:b/>
                <w:bCs/>
                <w:color w:val="auto"/>
                <w:sz w:val="24"/>
                <w:highlight w:val="none"/>
              </w:rPr>
              <w:t>采购项目的采购</w:t>
            </w:r>
          </w:p>
          <w:p>
            <w:pPr>
              <w:tabs>
                <w:tab w:val="left" w:pos="1680"/>
              </w:tabs>
              <w:spacing w:line="400" w:lineRule="exact"/>
              <w:ind w:right="-192"/>
              <w:jc w:val="center"/>
              <w:rPr>
                <w:rFonts w:ascii="宋体" w:hAnsi="宋体" w:cs="宋体"/>
                <w:b/>
                <w:bCs/>
                <w:color w:val="auto"/>
                <w:sz w:val="24"/>
                <w:highlight w:val="none"/>
              </w:rPr>
            </w:pPr>
            <w:r>
              <w:rPr>
                <w:rFonts w:hint="eastAsia" w:ascii="宋体" w:hAnsi="宋体" w:cs="宋体"/>
                <w:b/>
                <w:bCs/>
                <w:color w:val="auto"/>
                <w:sz w:val="24"/>
                <w:highlight w:val="none"/>
              </w:rPr>
              <w:t>范围描述或项目</w:t>
            </w:r>
          </w:p>
          <w:p>
            <w:pPr>
              <w:tabs>
                <w:tab w:val="left" w:pos="1680"/>
              </w:tabs>
              <w:spacing w:line="400" w:lineRule="exact"/>
              <w:ind w:right="-192"/>
              <w:jc w:val="center"/>
              <w:rPr>
                <w:rFonts w:ascii="宋体" w:hAnsi="宋体" w:cs="宋体"/>
                <w:b/>
                <w:bCs/>
                <w:color w:val="auto"/>
                <w:sz w:val="24"/>
                <w:highlight w:val="none"/>
              </w:rPr>
            </w:pPr>
            <w:r>
              <w:rPr>
                <w:rFonts w:hint="eastAsia" w:ascii="宋体" w:hAnsi="宋体" w:cs="宋体"/>
                <w:b/>
                <w:bCs/>
                <w:color w:val="auto"/>
                <w:sz w:val="24"/>
                <w:highlight w:val="none"/>
              </w:rPr>
              <w:t>基本概况介绍</w:t>
            </w:r>
          </w:p>
        </w:tc>
        <w:tc>
          <w:tcPr>
            <w:tcW w:w="7133" w:type="dxa"/>
            <w:noWrap/>
            <w:vAlign w:val="center"/>
          </w:tcPr>
          <w:p>
            <w:pPr>
              <w:spacing w:line="400" w:lineRule="exact"/>
              <w:ind w:firstLine="520" w:firstLineChars="200"/>
              <w:rPr>
                <w:rFonts w:ascii="宋体" w:hAnsi="宋体" w:cs="宋体"/>
                <w:b/>
                <w:bCs/>
                <w:color w:val="auto"/>
                <w:sz w:val="24"/>
                <w:highlight w:val="none"/>
              </w:rPr>
            </w:pPr>
            <w:r>
              <w:rPr>
                <w:rFonts w:hint="eastAsia" w:ascii="宋体" w:hAnsi="宋体" w:cs="宋体"/>
                <w:bCs/>
                <w:color w:val="auto"/>
                <w:spacing w:val="10"/>
                <w:kern w:val="0"/>
                <w:sz w:val="24"/>
                <w:highlight w:val="none"/>
                <w:lang w:eastAsia="zh-CN"/>
              </w:rPr>
              <w:t>防城港市高级中学明珠园及碧海园内外立面改造工程（学生宿舍楼维修改造项目），本工程位于防城港市港口区渔洲坪防城港市高级中学，外墙水性油漆约5039.04平方，内墙挂腻子总面积约:25578.73平方，新制作82樘防盗门面积约172.2平方，拆除旧木门82，新制作铝合金窗面积约338.2平方,拆除旧铝合金窗面积约328.2平方,搭建脚手架面积约6242.1平方，包括运输费、管理费、税费、文明施工费，拆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color w:val="auto"/>
                <w:sz w:val="24"/>
                <w:highlight w:val="none"/>
              </w:rPr>
              <w:t>3</w:t>
            </w:r>
          </w:p>
        </w:tc>
        <w:tc>
          <w:tcPr>
            <w:tcW w:w="1965"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b/>
                <w:bCs/>
                <w:color w:val="auto"/>
                <w:sz w:val="24"/>
                <w:highlight w:val="none"/>
              </w:rPr>
            </w:pPr>
            <w:r>
              <w:rPr>
                <w:rFonts w:hint="eastAsia" w:ascii="宋体" w:hAnsi="宋体" w:cs="宋体"/>
                <w:b/>
                <w:bCs/>
                <w:color w:val="auto"/>
                <w:sz w:val="24"/>
                <w:highlight w:val="none"/>
              </w:rPr>
              <w:t>资金来源</w:t>
            </w:r>
          </w:p>
        </w:tc>
        <w:tc>
          <w:tcPr>
            <w:tcW w:w="7133" w:type="dxa"/>
            <w:noWrap/>
            <w:vAlign w:val="center"/>
          </w:tcPr>
          <w:p>
            <w:pPr>
              <w:tabs>
                <w:tab w:val="left" w:pos="1680"/>
              </w:tabs>
              <w:spacing w:line="400" w:lineRule="exact"/>
              <w:ind w:right="-74"/>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6"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color w:val="auto"/>
                <w:sz w:val="24"/>
                <w:highlight w:val="none"/>
              </w:rPr>
              <w:t>4</w:t>
            </w:r>
          </w:p>
        </w:tc>
        <w:tc>
          <w:tcPr>
            <w:tcW w:w="1965"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b/>
                <w:bCs/>
                <w:color w:val="auto"/>
                <w:sz w:val="24"/>
                <w:highlight w:val="none"/>
              </w:rPr>
              <w:t>工期要求</w:t>
            </w:r>
          </w:p>
        </w:tc>
        <w:tc>
          <w:tcPr>
            <w:tcW w:w="7133" w:type="dxa"/>
            <w:noWrap/>
            <w:tcMar>
              <w:top w:w="0" w:type="dxa"/>
              <w:left w:w="57" w:type="dxa"/>
              <w:bottom w:w="0" w:type="dxa"/>
              <w:right w:w="57" w:type="dxa"/>
            </w:tcMar>
            <w:vAlign w:val="center"/>
          </w:tcPr>
          <w:p>
            <w:pPr>
              <w:tabs>
                <w:tab w:val="left" w:pos="1680"/>
              </w:tabs>
              <w:spacing w:line="400" w:lineRule="exact"/>
              <w:ind w:right="-192"/>
              <w:rPr>
                <w:rFonts w:ascii="宋体" w:hAnsi="宋体" w:cs="宋体"/>
                <w:b/>
                <w:bCs/>
                <w:color w:val="auto"/>
                <w:sz w:val="24"/>
                <w:highlight w:val="none"/>
              </w:rPr>
            </w:pPr>
            <w:r>
              <w:rPr>
                <w:rFonts w:hint="eastAsia" w:ascii="宋体" w:hAnsi="宋体" w:cs="宋体"/>
                <w:color w:val="auto"/>
                <w:sz w:val="24"/>
                <w:highlight w:val="none"/>
              </w:rPr>
              <w:t>以开工令为准，工期为</w:t>
            </w:r>
            <w:r>
              <w:rPr>
                <w:rFonts w:hint="eastAsia" w:ascii="宋体" w:hAnsi="宋体" w:cs="宋体"/>
                <w:color w:val="auto"/>
                <w:sz w:val="24"/>
                <w:highlight w:val="none"/>
                <w:lang w:val="en-US" w:eastAsia="zh-CN"/>
              </w:rPr>
              <w:t>60</w:t>
            </w:r>
            <w:r>
              <w:rPr>
                <w:rFonts w:hint="eastAsia" w:ascii="宋体" w:hAnsi="宋体" w:cs="宋体"/>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color w:val="auto"/>
                <w:sz w:val="24"/>
                <w:highlight w:val="none"/>
              </w:rPr>
              <w:t>5</w:t>
            </w:r>
          </w:p>
        </w:tc>
        <w:tc>
          <w:tcPr>
            <w:tcW w:w="1965" w:type="dxa"/>
            <w:noWrap/>
            <w:tcMar>
              <w:top w:w="0" w:type="dxa"/>
              <w:left w:w="57" w:type="dxa"/>
              <w:bottom w:w="0" w:type="dxa"/>
              <w:right w:w="57" w:type="dxa"/>
            </w:tcMar>
            <w:vAlign w:val="center"/>
          </w:tcPr>
          <w:p>
            <w:pPr>
              <w:tabs>
                <w:tab w:val="left" w:pos="1680"/>
              </w:tabs>
              <w:spacing w:line="400" w:lineRule="exact"/>
              <w:ind w:right="-192"/>
              <w:jc w:val="center"/>
              <w:rPr>
                <w:rFonts w:ascii="宋体" w:hAnsi="宋体" w:cs="宋体"/>
                <w:color w:val="auto"/>
                <w:sz w:val="24"/>
                <w:highlight w:val="none"/>
              </w:rPr>
            </w:pPr>
            <w:r>
              <w:rPr>
                <w:rFonts w:hint="eastAsia" w:ascii="宋体" w:hAnsi="宋体" w:cs="宋体"/>
                <w:b/>
                <w:bCs/>
                <w:color w:val="auto"/>
                <w:sz w:val="24"/>
                <w:highlight w:val="none"/>
              </w:rPr>
              <w:t>质量要求</w:t>
            </w:r>
          </w:p>
        </w:tc>
        <w:tc>
          <w:tcPr>
            <w:tcW w:w="7133" w:type="dxa"/>
            <w:noWrap/>
            <w:tcMar>
              <w:top w:w="0" w:type="dxa"/>
              <w:left w:w="57" w:type="dxa"/>
              <w:bottom w:w="0" w:type="dxa"/>
              <w:right w:w="57" w:type="dxa"/>
            </w:tcMar>
            <w:vAlign w:val="center"/>
          </w:tcPr>
          <w:p>
            <w:pPr>
              <w:tabs>
                <w:tab w:val="left" w:pos="1680"/>
              </w:tabs>
              <w:spacing w:line="400" w:lineRule="exact"/>
              <w:ind w:right="-192"/>
              <w:rPr>
                <w:rFonts w:ascii="宋体" w:hAnsi="宋体" w:cs="宋体"/>
                <w:b/>
                <w:bCs/>
                <w:color w:val="auto"/>
                <w:sz w:val="24"/>
                <w:highlight w:val="none"/>
              </w:rPr>
            </w:pPr>
            <w:r>
              <w:rPr>
                <w:rFonts w:hint="eastAsia" w:ascii="宋体" w:hAnsi="宋体" w:cs="宋体"/>
                <w:color w:val="auto"/>
                <w:sz w:val="24"/>
                <w:highlight w:val="none"/>
              </w:rPr>
              <w:t>达到现行国家竣工验收规范合格标准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磋商供应商资格要求</w:t>
            </w:r>
          </w:p>
          <w:p>
            <w:pPr>
              <w:spacing w:line="400" w:lineRule="exact"/>
              <w:jc w:val="center"/>
              <w:rPr>
                <w:rFonts w:ascii="宋体" w:hAnsi="宋体" w:cs="宋体"/>
                <w:color w:val="auto"/>
                <w:sz w:val="24"/>
                <w:highlight w:val="none"/>
              </w:rPr>
            </w:pPr>
          </w:p>
        </w:tc>
        <w:tc>
          <w:tcPr>
            <w:tcW w:w="7133" w:type="dxa"/>
            <w:noWrap/>
            <w:tcMar>
              <w:top w:w="0" w:type="dxa"/>
              <w:left w:w="57" w:type="dxa"/>
              <w:bottom w:w="0" w:type="dxa"/>
              <w:right w:w="57" w:type="dxa"/>
            </w:tcMar>
            <w:vAlign w:val="center"/>
          </w:tcPr>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1.满足《中华人民共和国政府采购法》第二十二条规定；</w:t>
            </w:r>
          </w:p>
          <w:p>
            <w:pPr>
              <w:spacing w:line="360" w:lineRule="auto"/>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2.落实政府采购政策需满足的资格要求：</w:t>
            </w:r>
            <w:r>
              <w:rPr>
                <w:rFonts w:hint="eastAsia" w:ascii="宋体" w:hAnsi="宋体" w:cs="宋体"/>
                <w:color w:val="auto"/>
                <w:sz w:val="24"/>
                <w:highlight w:val="none"/>
              </w:rPr>
              <w:t>本项目为专门面向中小企业采购的项目（供应商应为中小微企业或监狱企业或残疾人福利性单位)；</w:t>
            </w:r>
          </w:p>
          <w:p>
            <w:pPr>
              <w:spacing w:line="360" w:lineRule="auto"/>
              <w:ind w:firstLine="480" w:firstLineChars="200"/>
              <w:rPr>
                <w:rFonts w:ascii="宋体" w:hAnsi="宋体" w:cs="宋体"/>
                <w:bCs/>
                <w:color w:val="auto"/>
                <w:spacing w:val="10"/>
                <w:kern w:val="0"/>
                <w:sz w:val="24"/>
                <w:highlight w:val="none"/>
              </w:rPr>
            </w:pPr>
            <w:r>
              <w:rPr>
                <w:rFonts w:hint="eastAsia" w:ascii="宋体" w:hAnsi="宋体" w:cs="宋体"/>
                <w:color w:val="auto"/>
                <w:sz w:val="24"/>
                <w:highlight w:val="none"/>
              </w:rPr>
              <w:t>3.本</w:t>
            </w:r>
            <w:r>
              <w:rPr>
                <w:rFonts w:hint="eastAsia" w:ascii="宋体" w:hAnsi="宋体" w:cs="宋体"/>
                <w:bCs/>
                <w:color w:val="auto"/>
                <w:spacing w:val="10"/>
                <w:kern w:val="0"/>
                <w:sz w:val="24"/>
                <w:highlight w:val="none"/>
              </w:rPr>
              <w:t>项目的特定资格要求：</w:t>
            </w:r>
          </w:p>
          <w:p>
            <w:pPr>
              <w:spacing w:line="400" w:lineRule="exact"/>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（一）符合《中华人民共和国招标投标法》第二十六条及《中华人民共和国政府采购法》第二十二条规定，</w:t>
            </w:r>
            <w:r>
              <w:rPr>
                <w:rFonts w:hint="eastAsia" w:ascii="宋体" w:hAnsi="宋体" w:cs="宋体"/>
                <w:bCs/>
                <w:color w:val="auto"/>
                <w:spacing w:val="10"/>
                <w:kern w:val="0"/>
                <w:sz w:val="24"/>
                <w:highlight w:val="none"/>
                <w:lang w:eastAsia="zh-CN"/>
              </w:rPr>
              <w:t>具有住建行政主管部门颁发的房屋建筑工程施工总承</w:t>
            </w:r>
            <w:r>
              <w:rPr>
                <w:rFonts w:hint="eastAsia" w:ascii="宋体" w:hAnsi="宋体" w:cs="宋体"/>
                <w:bCs/>
                <w:color w:val="auto"/>
                <w:spacing w:val="10"/>
                <w:kern w:val="0"/>
                <w:sz w:val="24"/>
                <w:highlight w:val="none"/>
                <w:lang w:val="en-US" w:eastAsia="zh-CN"/>
              </w:rPr>
              <w:t>包</w:t>
            </w:r>
            <w:r>
              <w:rPr>
                <w:rFonts w:hint="eastAsia" w:ascii="宋体" w:hAnsi="宋体" w:cs="宋体"/>
                <w:bCs/>
                <w:color w:val="auto"/>
                <w:spacing w:val="10"/>
                <w:kern w:val="0"/>
                <w:sz w:val="24"/>
                <w:highlight w:val="none"/>
                <w:lang w:eastAsia="zh-CN"/>
              </w:rPr>
              <w:t>三级（含）及以上资质或建筑装修装饰工程专业承包二级（含）及以上资质</w:t>
            </w:r>
            <w:r>
              <w:rPr>
                <w:rFonts w:hint="eastAsia" w:ascii="宋体" w:hAnsi="宋体" w:cs="宋体"/>
                <w:bCs/>
                <w:color w:val="auto"/>
                <w:spacing w:val="10"/>
                <w:kern w:val="0"/>
                <w:sz w:val="24"/>
                <w:highlight w:val="none"/>
              </w:rPr>
              <w:t>以上资质的施工企业。</w:t>
            </w:r>
          </w:p>
          <w:p>
            <w:pPr>
              <w:spacing w:line="400" w:lineRule="exact"/>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（二）竞标人拟投入本工程的注册建造师具有</w:t>
            </w:r>
            <w:r>
              <w:rPr>
                <w:rFonts w:hint="eastAsia" w:ascii="宋体" w:hAnsi="宋体" w:cs="宋体"/>
                <w:bCs/>
                <w:color w:val="auto"/>
                <w:spacing w:val="10"/>
                <w:kern w:val="0"/>
                <w:sz w:val="24"/>
                <w:highlight w:val="none"/>
                <w:lang w:eastAsia="zh-CN"/>
              </w:rPr>
              <w:t>建筑工程</w:t>
            </w:r>
            <w:r>
              <w:rPr>
                <w:rFonts w:hint="eastAsia" w:ascii="宋体" w:hAnsi="宋体" w:cs="宋体"/>
                <w:bCs/>
                <w:color w:val="auto"/>
                <w:spacing w:val="10"/>
                <w:kern w:val="0"/>
                <w:sz w:val="24"/>
                <w:highlight w:val="none"/>
              </w:rPr>
              <w:t>贰级（含贰级）以上资质，并具有有效的安全生产考核合格证（B类），并在人员、设备、资金等方面具备相应的施工能力。</w:t>
            </w:r>
          </w:p>
          <w:p>
            <w:pPr>
              <w:spacing w:line="400" w:lineRule="exact"/>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（三）本项目不接受有在建、已中标（成交）未开工或已列为其他项目中标（成交）候选人第一名的注册建造师作为项目经理。</w:t>
            </w:r>
          </w:p>
          <w:p>
            <w:pPr>
              <w:spacing w:line="400" w:lineRule="exact"/>
              <w:ind w:firstLine="520" w:firstLineChars="2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（四）对在“信用中国” 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520" w:firstLineChars="200"/>
              <w:rPr>
                <w:rFonts w:ascii="宋体" w:hAnsi="宋体" w:cs="宋体"/>
                <w:color w:val="auto"/>
                <w:sz w:val="24"/>
                <w:highlight w:val="none"/>
              </w:rPr>
            </w:pPr>
            <w:r>
              <w:rPr>
                <w:rFonts w:hint="eastAsia" w:ascii="宋体" w:hAnsi="宋体" w:cs="宋体"/>
                <w:bCs/>
                <w:color w:val="auto"/>
                <w:spacing w:val="10"/>
                <w:kern w:val="0"/>
                <w:sz w:val="24"/>
                <w:highlight w:val="none"/>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1965"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b/>
                <w:bCs/>
                <w:color w:val="auto"/>
                <w:sz w:val="24"/>
                <w:highlight w:val="none"/>
              </w:rPr>
              <w:t>增值税计税方法</w:t>
            </w:r>
          </w:p>
        </w:tc>
        <w:tc>
          <w:tcPr>
            <w:tcW w:w="7133" w:type="dxa"/>
            <w:noWrap/>
            <w:tcMar>
              <w:top w:w="0" w:type="dxa"/>
              <w:left w:w="57" w:type="dxa"/>
              <w:bottom w:w="0" w:type="dxa"/>
              <w:right w:w="57" w:type="dxa"/>
            </w:tcMar>
            <w:vAlign w:val="center"/>
          </w:tcPr>
          <w:p>
            <w:pPr>
              <w:spacing w:line="400" w:lineRule="exact"/>
              <w:rPr>
                <w:rFonts w:ascii="宋体" w:hAnsi="宋体" w:cs="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简易</w:t>
            </w:r>
            <w:r>
              <w:rPr>
                <w:rFonts w:hint="eastAsia" w:ascii="宋体" w:hAnsi="宋体"/>
                <w:color w:val="auto"/>
                <w:sz w:val="24"/>
                <w:highlight w:val="none"/>
              </w:rPr>
              <w:t>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1965"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b/>
                <w:bCs/>
                <w:color w:val="auto"/>
                <w:sz w:val="24"/>
                <w:highlight w:val="none"/>
              </w:rPr>
              <w:t>磋商有效期</w:t>
            </w:r>
          </w:p>
        </w:tc>
        <w:tc>
          <w:tcPr>
            <w:tcW w:w="7133" w:type="dxa"/>
            <w:noWrap/>
            <w:tcMar>
              <w:top w:w="0" w:type="dxa"/>
              <w:left w:w="57" w:type="dxa"/>
              <w:bottom w:w="0" w:type="dxa"/>
              <w:right w:w="57" w:type="dxa"/>
            </w:tcMar>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磋商截止日期后60天。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1965" w:type="dxa"/>
            <w:noWrap/>
            <w:tcMar>
              <w:top w:w="0" w:type="dxa"/>
              <w:left w:w="57" w:type="dxa"/>
              <w:bottom w:w="0" w:type="dxa"/>
              <w:right w:w="57" w:type="dxa"/>
            </w:tcMar>
            <w:vAlign w:val="center"/>
          </w:tcPr>
          <w:p>
            <w:pPr>
              <w:spacing w:line="340" w:lineRule="exact"/>
              <w:jc w:val="center"/>
              <w:rPr>
                <w:rFonts w:ascii="宋体" w:hAnsi="宋体" w:cs="宋体"/>
                <w:b/>
                <w:bCs/>
                <w:color w:val="auto"/>
                <w:sz w:val="24"/>
                <w:highlight w:val="none"/>
              </w:rPr>
            </w:pPr>
            <w:r>
              <w:rPr>
                <w:rFonts w:hint="eastAsia" w:ascii="宋体" w:hAnsi="宋体" w:cs="宋体"/>
                <w:b/>
                <w:bCs/>
                <w:color w:val="auto"/>
                <w:sz w:val="24"/>
                <w:highlight w:val="none"/>
              </w:rPr>
              <w:t>响应文件电子版要求</w:t>
            </w:r>
          </w:p>
        </w:tc>
        <w:tc>
          <w:tcPr>
            <w:tcW w:w="7133" w:type="dxa"/>
            <w:noWrap/>
            <w:tcMar>
              <w:top w:w="0" w:type="dxa"/>
              <w:left w:w="57" w:type="dxa"/>
              <w:bottom w:w="0" w:type="dxa"/>
              <w:right w:w="57" w:type="dxa"/>
            </w:tcMar>
            <w:vAlign w:val="center"/>
          </w:tcPr>
          <w:p>
            <w:pPr>
              <w:numPr>
                <w:ilvl w:val="0"/>
                <w:numId w:val="3"/>
              </w:numPr>
              <w:spacing w:line="340" w:lineRule="exact"/>
              <w:rPr>
                <w:rFonts w:ascii="宋体" w:hAnsi="宋体" w:cs="宋体"/>
                <w:color w:val="auto"/>
                <w:sz w:val="24"/>
                <w:highlight w:val="none"/>
              </w:rPr>
            </w:pPr>
            <w:r>
              <w:rPr>
                <w:rFonts w:hint="eastAsia" w:ascii="宋体" w:hAnsi="宋体" w:cs="宋体"/>
                <w:color w:val="auto"/>
                <w:sz w:val="24"/>
                <w:highlight w:val="none"/>
              </w:rPr>
              <w:t>响应文件电子版要求：按照竞争性磋商文件第七章响应文件格式进行编写，按要求在规定位置进行签署、盖章，第七章未附格式的，由供应商自行拟定。</w:t>
            </w:r>
          </w:p>
          <w:p>
            <w:pPr>
              <w:numPr>
                <w:ilvl w:val="0"/>
                <w:numId w:val="3"/>
              </w:numPr>
              <w:spacing w:line="340" w:lineRule="exact"/>
              <w:rPr>
                <w:rFonts w:ascii="宋体" w:hAnsi="宋体" w:cs="宋体"/>
                <w:color w:val="auto"/>
                <w:sz w:val="24"/>
                <w:highlight w:val="none"/>
              </w:rPr>
            </w:pPr>
            <w:r>
              <w:rPr>
                <w:rFonts w:hint="eastAsia" w:ascii="宋体" w:hAnsi="宋体" w:cs="宋体"/>
                <w:color w:val="auto"/>
                <w:sz w:val="24"/>
                <w:highlight w:val="none"/>
              </w:rPr>
              <w:t>响应文件电子版密封方式：电子响应文件通过平台有效 CA 加密后在广西政府采购云平台投送。（如电子加密响应文件因系统原因无法按时解密时，按供应商提供的电子备份响应文件（电子备份响应文件须按政采云平台项目采购-电子招投标操作指南中上传的电子响应文件格式）为依据。电子备份响应文件在响应文件提交截止时间前可以通过以下方式递交：①电子邮箱方式：将电子备份响应文件发送至广西大通建设监理咨询管理有限公司邮箱：</w:t>
            </w:r>
            <w:r>
              <w:rPr>
                <w:rFonts w:hint="eastAsia" w:ascii="宋体" w:hAnsi="宋体" w:cs="宋体"/>
                <w:color w:val="auto"/>
                <w:sz w:val="24"/>
                <w:highlight w:val="none"/>
                <w:lang w:eastAsia="zh-CN"/>
              </w:rPr>
              <w:t>gxdtzbzx@126.com</w:t>
            </w:r>
            <w:r>
              <w:rPr>
                <w:rFonts w:hint="eastAsia" w:ascii="宋体" w:hAnsi="宋体" w:cs="宋体"/>
                <w:color w:val="auto"/>
                <w:sz w:val="24"/>
                <w:highlight w:val="none"/>
              </w:rPr>
              <w:t>，文件名称须为：供应商名称+项目名称+项目编号+电子备份响应文件。（密封要求达到不泄露供应商响应文件实质性内容为合格）。）</w:t>
            </w:r>
          </w:p>
          <w:p>
            <w:pPr>
              <w:numPr>
                <w:ilvl w:val="0"/>
                <w:numId w:val="3"/>
              </w:numPr>
              <w:spacing w:line="340" w:lineRule="exact"/>
              <w:rPr>
                <w:rFonts w:ascii="宋体" w:hAnsi="宋体" w:cs="宋体"/>
                <w:color w:val="auto"/>
                <w:sz w:val="24"/>
                <w:highlight w:val="none"/>
              </w:rPr>
            </w:pPr>
            <w:r>
              <w:rPr>
                <w:rFonts w:hint="eastAsia" w:ascii="宋体" w:hAnsi="宋体"/>
                <w:b/>
                <w:color w:val="auto"/>
                <w:szCs w:val="21"/>
                <w:highlight w:val="none"/>
                <w:u w:val="single"/>
              </w:rPr>
              <w:t>上传电子版响应文件方式详见竞争性磋商公告附件。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1965"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b/>
                <w:bCs/>
                <w:color w:val="auto"/>
                <w:sz w:val="24"/>
                <w:highlight w:val="none"/>
              </w:rPr>
              <w:t>磋商保证金</w:t>
            </w:r>
          </w:p>
        </w:tc>
        <w:tc>
          <w:tcPr>
            <w:tcW w:w="7133" w:type="dxa"/>
            <w:noWrap/>
            <w:tcMar>
              <w:top w:w="0" w:type="dxa"/>
              <w:left w:w="57" w:type="dxa"/>
              <w:bottom w:w="0" w:type="dxa"/>
              <w:right w:w="57" w:type="dxa"/>
            </w:tcMar>
          </w:tcPr>
          <w:p>
            <w:pPr>
              <w:pStyle w:val="203"/>
              <w:spacing w:line="360" w:lineRule="auto"/>
              <w:ind w:firstLine="480" w:firstLineChars="200"/>
              <w:jc w:val="both"/>
              <w:rPr>
                <w:rFonts w:hint="eastAsia" w:eastAsia="宋体"/>
                <w:color w:val="auto"/>
                <w:sz w:val="24"/>
                <w:szCs w:val="24"/>
                <w:highlight w:val="none"/>
                <w:lang w:eastAsia="zh-CN"/>
              </w:rPr>
            </w:pPr>
            <w:r>
              <w:rPr>
                <w:rFonts w:hint="eastAsia"/>
                <w:color w:val="auto"/>
                <w:sz w:val="24"/>
                <w:szCs w:val="24"/>
                <w:highlight w:val="none"/>
              </w:rPr>
              <w:t>3.投标保证金：</w:t>
            </w:r>
            <w:r>
              <w:rPr>
                <w:rFonts w:hint="eastAsia"/>
                <w:color w:val="auto"/>
                <w:sz w:val="24"/>
                <w:szCs w:val="24"/>
                <w:highlight w:val="none"/>
                <w:lang w:val="en-US" w:eastAsia="zh-CN"/>
              </w:rPr>
              <w:t>0元</w:t>
            </w:r>
          </w:p>
          <w:p>
            <w:pPr>
              <w:pStyle w:val="203"/>
              <w:spacing w:line="360" w:lineRule="auto"/>
              <w:ind w:firstLine="480" w:firstLineChars="200"/>
              <w:jc w:val="both"/>
              <w:rPr>
                <w:color w:val="auto"/>
                <w:sz w:val="24"/>
                <w:szCs w:val="24"/>
                <w:highlight w:val="none"/>
              </w:rPr>
            </w:pPr>
            <w:r>
              <w:rPr>
                <w:rFonts w:hint="eastAsia"/>
                <w:color w:val="auto"/>
                <w:sz w:val="24"/>
                <w:szCs w:val="24"/>
                <w:highlight w:val="none"/>
              </w:rPr>
              <w:t>投标保证金的交纳方式：银行转账、支票、汇票、本票或者金融、担保机构出具的保函，禁止采用现钞方式。采用银行转账方式的，在投标截止时间（</w:t>
            </w:r>
            <w:r>
              <w:rPr>
                <w:rFonts w:hint="eastAsia"/>
                <w:color w:val="auto"/>
                <w:sz w:val="24"/>
                <w:szCs w:val="24"/>
                <w:highlight w:val="none"/>
                <w:lang w:eastAsia="zh-CN"/>
              </w:rPr>
              <w:t>2024年07月05日09时30分</w:t>
            </w:r>
            <w:r>
              <w:rPr>
                <w:rFonts w:hint="eastAsia"/>
                <w:color w:val="auto"/>
                <w:sz w:val="24"/>
                <w:szCs w:val="24"/>
                <w:highlight w:val="none"/>
              </w:rPr>
              <w:t>）前从投标人的银行基本账户交至采购代理机构指定账户：</w:t>
            </w:r>
          </w:p>
          <w:p>
            <w:pPr>
              <w:pStyle w:val="203"/>
              <w:spacing w:line="360" w:lineRule="auto"/>
              <w:ind w:firstLine="480" w:firstLineChars="200"/>
              <w:jc w:val="both"/>
              <w:rPr>
                <w:rFonts w:hint="eastAsia" w:eastAsia="宋体"/>
                <w:color w:val="auto"/>
                <w:sz w:val="24"/>
                <w:szCs w:val="24"/>
                <w:highlight w:val="none"/>
                <w:lang w:eastAsia="zh-CN"/>
              </w:rPr>
            </w:pPr>
            <w:r>
              <w:rPr>
                <w:rFonts w:hint="eastAsia"/>
                <w:color w:val="auto"/>
                <w:sz w:val="24"/>
                <w:szCs w:val="24"/>
                <w:highlight w:val="none"/>
              </w:rPr>
              <w:t>开户银行：</w:t>
            </w:r>
            <w:r>
              <w:rPr>
                <w:rFonts w:hint="eastAsia"/>
                <w:color w:val="auto"/>
                <w:sz w:val="24"/>
                <w:szCs w:val="24"/>
                <w:highlight w:val="none"/>
                <w:lang w:val="en-US" w:eastAsia="zh-CN"/>
              </w:rPr>
              <w:t>/</w:t>
            </w:r>
          </w:p>
          <w:p>
            <w:pPr>
              <w:pStyle w:val="203"/>
              <w:spacing w:line="360" w:lineRule="auto"/>
              <w:ind w:firstLine="480" w:firstLineChars="200"/>
              <w:jc w:val="both"/>
              <w:rPr>
                <w:rFonts w:hint="eastAsia"/>
                <w:color w:val="auto"/>
                <w:sz w:val="24"/>
                <w:szCs w:val="24"/>
                <w:highlight w:val="none"/>
                <w:lang w:val="en-US" w:eastAsia="zh-CN"/>
              </w:rPr>
            </w:pPr>
            <w:r>
              <w:rPr>
                <w:rFonts w:hint="eastAsia"/>
                <w:color w:val="auto"/>
                <w:sz w:val="24"/>
                <w:szCs w:val="24"/>
                <w:highlight w:val="none"/>
              </w:rPr>
              <w:t>开户名称：</w:t>
            </w:r>
            <w:r>
              <w:rPr>
                <w:rFonts w:hint="eastAsia"/>
                <w:color w:val="auto"/>
                <w:sz w:val="24"/>
                <w:szCs w:val="24"/>
                <w:highlight w:val="none"/>
                <w:lang w:val="en-US" w:eastAsia="zh-CN"/>
              </w:rPr>
              <w:t>/</w:t>
            </w:r>
          </w:p>
          <w:p>
            <w:pPr>
              <w:pStyle w:val="203"/>
              <w:spacing w:line="360" w:lineRule="auto"/>
              <w:ind w:firstLine="480" w:firstLineChars="200"/>
              <w:jc w:val="both"/>
              <w:rPr>
                <w:rFonts w:hint="eastAsia" w:eastAsia="宋体"/>
                <w:color w:val="auto"/>
                <w:sz w:val="24"/>
                <w:szCs w:val="24"/>
                <w:highlight w:val="none"/>
                <w:lang w:eastAsia="zh-CN"/>
              </w:rPr>
            </w:pPr>
            <w:r>
              <w:rPr>
                <w:rFonts w:hint="eastAsia"/>
                <w:color w:val="auto"/>
                <w:sz w:val="24"/>
                <w:szCs w:val="24"/>
                <w:highlight w:val="none"/>
              </w:rPr>
              <w:t>银行账号：</w:t>
            </w:r>
            <w:r>
              <w:rPr>
                <w:rFonts w:hint="eastAsia"/>
                <w:color w:val="auto"/>
                <w:sz w:val="24"/>
                <w:szCs w:val="24"/>
                <w:highlight w:val="none"/>
                <w:lang w:val="en-US" w:eastAsia="zh-CN"/>
              </w:rPr>
              <w:t>/</w:t>
            </w:r>
          </w:p>
          <w:p>
            <w:pPr>
              <w:spacing w:line="400" w:lineRule="exact"/>
              <w:ind w:firstLine="480" w:firstLineChars="200"/>
              <w:rPr>
                <w:color w:val="auto"/>
                <w:sz w:val="24"/>
                <w:highlight w:val="none"/>
              </w:rPr>
            </w:pPr>
            <w:r>
              <w:rPr>
                <w:rFonts w:hint="eastAsia"/>
                <w:color w:val="auto"/>
                <w:sz w:val="24"/>
                <w:highlight w:val="none"/>
              </w:rPr>
              <w:t>采用支票、汇票、本票或者保函等方式的，在投标截止时间前，投标人必须递交单独密封的支票、汇票、本票或者保函原件。否则视为无效投标保证金。</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注：1.供应商必须将银行转账凭证复印件放进竞标文件中，加盖单位公章，否则竞标无效。</w:t>
            </w:r>
          </w:p>
          <w:p>
            <w:pPr>
              <w:numPr>
                <w:ilvl w:val="0"/>
                <w:numId w:val="4"/>
              </w:num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办理竞标保证金手续时，请务必在银行进账单或电汇单的用途或空白栏上注明“项目编号或项目名称”保证金，以免耽误竞标。</w:t>
            </w:r>
          </w:p>
          <w:p>
            <w:pPr>
              <w:pStyle w:val="2"/>
              <w:rPr>
                <w:color w:val="auto"/>
                <w:highlight w:val="none"/>
              </w:rPr>
            </w:pPr>
            <w:r>
              <w:rPr>
                <w:rFonts w:hint="eastAsia" w:ascii="宋体" w:hAnsi="宋体" w:eastAsia="宋体" w:cs="宋体"/>
                <w:b/>
                <w:color w:val="auto"/>
                <w:kern w:val="2"/>
                <w:sz w:val="24"/>
                <w:szCs w:val="24"/>
                <w:highlight w:val="none"/>
              </w:rPr>
              <w:t>3.供应商若没有按规定交纳竞标保证金的，则竞标无效。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restart"/>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1965" w:type="dxa"/>
            <w:vMerge w:val="restart"/>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响应文件的构成（分为资格证明文件、报价文件、商务技术文件三部分组成）</w:t>
            </w:r>
          </w:p>
        </w:tc>
        <w:tc>
          <w:tcPr>
            <w:tcW w:w="7133" w:type="dxa"/>
            <w:noWrap/>
            <w:tcMar>
              <w:top w:w="0" w:type="dxa"/>
              <w:left w:w="57" w:type="dxa"/>
              <w:bottom w:w="0" w:type="dxa"/>
              <w:right w:w="57" w:type="dxa"/>
            </w:tcMar>
          </w:tcPr>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资格证明文件：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（1）有效的法人营业执照副本扫描件；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（2）有效的资质证书副本扫描件；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（3）有效的安全生产许可证副本扫描件；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4</w:t>
            </w:r>
            <w:r>
              <w:rPr>
                <w:rFonts w:hint="eastAsia" w:hAnsi="宋体" w:cs="宋体"/>
                <w:bCs/>
                <w:color w:val="auto"/>
                <w:sz w:val="24"/>
                <w:szCs w:val="24"/>
                <w:highlight w:val="none"/>
              </w:rPr>
              <w:t>）法定代表人身份证明书；</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5</w:t>
            </w:r>
            <w:r>
              <w:rPr>
                <w:rFonts w:hint="eastAsia" w:hAnsi="宋体" w:cs="宋体"/>
                <w:bCs/>
                <w:color w:val="auto"/>
                <w:sz w:val="24"/>
                <w:szCs w:val="24"/>
                <w:highlight w:val="none"/>
              </w:rPr>
              <w:t>）授权委托书（委托时必须提供）；</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6</w:t>
            </w: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2023年12月至磋商截止之日前连续三个月</w:t>
            </w:r>
            <w:r>
              <w:rPr>
                <w:rFonts w:hint="eastAsia" w:hAnsi="宋体" w:cs="宋体"/>
                <w:bCs/>
                <w:color w:val="auto"/>
                <w:sz w:val="24"/>
                <w:szCs w:val="24"/>
                <w:highlight w:val="none"/>
              </w:rPr>
              <w:t>供应商依法纳税证明；无纳税记录的，应提供由竞标人所在地的税务部门出具的《依法纳税或依法免税证明》（格式自拟，扫描件）；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7</w:t>
            </w: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2023年12月至磋商截止之日前连续三个月</w:t>
            </w:r>
            <w:r>
              <w:rPr>
                <w:rFonts w:hint="eastAsia" w:hAnsi="宋体" w:cs="宋体"/>
                <w:bCs/>
                <w:color w:val="auto"/>
                <w:sz w:val="24"/>
                <w:szCs w:val="24"/>
                <w:highlight w:val="none"/>
              </w:rPr>
              <w:t>供应商依法缴纳社保证明；</w:t>
            </w:r>
            <w:r>
              <w:rPr>
                <w:rFonts w:hint="eastAsia" w:hAnsi="宋体" w:cs="宋体"/>
                <w:bCs/>
                <w:color w:val="auto"/>
                <w:sz w:val="24"/>
                <w:szCs w:val="24"/>
                <w:highlight w:val="none"/>
                <w:lang w:val="en-US" w:eastAsia="zh-CN"/>
              </w:rPr>
              <w:t>无缴纳记录</w:t>
            </w:r>
            <w:r>
              <w:rPr>
                <w:rFonts w:hint="eastAsia" w:hAnsi="宋体" w:cs="宋体"/>
                <w:bCs/>
                <w:color w:val="auto"/>
                <w:sz w:val="24"/>
                <w:szCs w:val="24"/>
                <w:highlight w:val="none"/>
              </w:rPr>
              <w:t>的，应提供由投标人所在地社保部门出具的《依法缴纳或依法免缴社保费证明》（格式自拟，扫描件）；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8</w:t>
            </w:r>
            <w:r>
              <w:rPr>
                <w:rFonts w:hint="eastAsia" w:hAnsi="宋体" w:cs="宋体"/>
                <w:bCs/>
                <w:color w:val="auto"/>
                <w:sz w:val="24"/>
                <w:szCs w:val="24"/>
                <w:highlight w:val="none"/>
              </w:rPr>
              <w:t>）拟派项目经理具备</w:t>
            </w:r>
            <w:r>
              <w:rPr>
                <w:rFonts w:hint="eastAsia" w:hAnsi="宋体" w:cs="宋体"/>
                <w:bCs/>
                <w:color w:val="auto"/>
                <w:sz w:val="24"/>
                <w:szCs w:val="24"/>
                <w:highlight w:val="none"/>
                <w:lang w:eastAsia="zh-CN"/>
              </w:rPr>
              <w:t>建筑工程</w:t>
            </w:r>
            <w:r>
              <w:rPr>
                <w:rFonts w:hint="eastAsia" w:hAnsi="宋体" w:cs="宋体"/>
                <w:bCs/>
                <w:color w:val="auto"/>
                <w:sz w:val="24"/>
                <w:szCs w:val="24"/>
                <w:highlight w:val="none"/>
              </w:rPr>
              <w:t>二级及以上注册建造师证书及有效的省级或省级以上建设行政主管部门颁发的安全生产考核合格证书的扫描件；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9</w:t>
            </w:r>
            <w:r>
              <w:rPr>
                <w:rFonts w:hint="eastAsia" w:hAnsi="宋体" w:cs="宋体"/>
                <w:bCs/>
                <w:color w:val="auto"/>
                <w:sz w:val="24"/>
                <w:szCs w:val="24"/>
                <w:highlight w:val="none"/>
              </w:rPr>
              <w:t>）拟派往本项目专职安全员岗位证书扫描件及有效的省级或省级以上建设行政主管部门颁发的安全生产考核合格证书的扫描件；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10</w:t>
            </w:r>
            <w:r>
              <w:rPr>
                <w:rFonts w:hint="eastAsia" w:hAnsi="宋体" w:cs="宋体"/>
                <w:bCs/>
                <w:color w:val="auto"/>
                <w:sz w:val="24"/>
                <w:szCs w:val="24"/>
                <w:highlight w:val="none"/>
              </w:rPr>
              <w:t>）2023年经审计的财务报告，或竞争性磋商公告日期后银行出具的有效资信证明，或竞争性磋商公告日期后政府采购专业担保机构出具的有效投标担保函（格式自拟，扫描件）；</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11</w:t>
            </w:r>
            <w:r>
              <w:rPr>
                <w:rFonts w:hint="eastAsia" w:hAnsi="宋体" w:cs="宋体"/>
                <w:bCs/>
                <w:color w:val="auto"/>
                <w:sz w:val="24"/>
                <w:szCs w:val="24"/>
                <w:highlight w:val="none"/>
              </w:rPr>
              <w:t>）磋商供应商认为必要提供的声明及文件资料。</w:t>
            </w:r>
          </w:p>
          <w:p>
            <w:pPr>
              <w:pStyle w:val="25"/>
              <w:spacing w:line="390" w:lineRule="exact"/>
              <w:ind w:firstLine="480" w:firstLineChars="200"/>
              <w:rPr>
                <w:rFonts w:hAnsi="宋体" w:cs="宋体"/>
                <w:b/>
                <w:color w:val="auto"/>
                <w:sz w:val="24"/>
                <w:szCs w:val="24"/>
                <w:highlight w:val="none"/>
              </w:rPr>
            </w:pPr>
            <w:r>
              <w:rPr>
                <w:rFonts w:hint="eastAsia" w:hAnsi="宋体" w:cs="宋体"/>
                <w:b/>
                <w:bCs/>
                <w:color w:val="auto"/>
                <w:sz w:val="24"/>
                <w:szCs w:val="24"/>
                <w:highlight w:val="none"/>
              </w:rPr>
              <w:t>注：</w:t>
            </w:r>
            <w:r>
              <w:rPr>
                <w:rFonts w:hint="eastAsia" w:hAnsi="宋体" w:cs="宋体"/>
                <w:b/>
                <w:bCs/>
                <w:color w:val="auto"/>
                <w:sz w:val="24"/>
                <w:szCs w:val="24"/>
                <w:highlight w:val="none"/>
                <w:u w:val="single"/>
              </w:rPr>
              <w:t>1.</w:t>
            </w:r>
            <w:r>
              <w:rPr>
                <w:rFonts w:hint="eastAsia" w:hAnsi="宋体" w:cs="宋体"/>
                <w:b/>
                <w:color w:val="auto"/>
                <w:sz w:val="24"/>
                <w:szCs w:val="24"/>
                <w:highlight w:val="none"/>
                <w:u w:val="single"/>
              </w:rPr>
              <w:t>上述材料缺少任何一项或任何一项无效均会被视为资格审查不合格，作无效磋商处理</w:t>
            </w:r>
            <w:r>
              <w:rPr>
                <w:rFonts w:hint="eastAsia" w:hAnsi="宋体" w:cs="宋体"/>
                <w:b/>
                <w:color w:val="auto"/>
                <w:sz w:val="24"/>
                <w:szCs w:val="24"/>
                <w:highlight w:val="none"/>
              </w:rPr>
              <w:t>。</w:t>
            </w:r>
          </w:p>
          <w:p>
            <w:pPr>
              <w:pStyle w:val="25"/>
              <w:spacing w:line="390" w:lineRule="exact"/>
              <w:ind w:firstLine="480" w:firstLineChars="200"/>
              <w:rPr>
                <w:rFonts w:hAnsi="宋体" w:cs="宋体"/>
                <w:b/>
                <w:color w:val="auto"/>
                <w:sz w:val="24"/>
                <w:szCs w:val="24"/>
                <w:highlight w:val="none"/>
              </w:rPr>
            </w:pPr>
            <w:r>
              <w:rPr>
                <w:rFonts w:hint="eastAsia" w:hAnsi="宋体"/>
                <w:b/>
                <w:color w:val="auto"/>
                <w:sz w:val="24"/>
                <w:highlight w:val="none"/>
                <w:u w:val="single"/>
              </w:rPr>
              <w:t>2.以上材料属于复印件的扫描件的，必须加盖供应商电子公章，否则响应文件按无效响应处理。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continue"/>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p>
        </w:tc>
        <w:tc>
          <w:tcPr>
            <w:tcW w:w="1965" w:type="dxa"/>
            <w:vMerge w:val="continue"/>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p>
        </w:tc>
        <w:tc>
          <w:tcPr>
            <w:tcW w:w="7133" w:type="dxa"/>
            <w:noWrap/>
            <w:tcMar>
              <w:top w:w="0" w:type="dxa"/>
              <w:left w:w="57" w:type="dxa"/>
              <w:bottom w:w="0" w:type="dxa"/>
              <w:right w:w="57" w:type="dxa"/>
            </w:tcMar>
          </w:tcPr>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报价文件</w:t>
            </w:r>
          </w:p>
          <w:p>
            <w:pPr>
              <w:pStyle w:val="67"/>
              <w:ind w:firstLine="480" w:firstLineChars="200"/>
              <w:rPr>
                <w:rFonts w:hAnsi="宋体"/>
                <w:bCs/>
                <w:color w:val="auto"/>
                <w:kern w:val="2"/>
                <w:highlight w:val="none"/>
              </w:rPr>
            </w:pPr>
            <w:r>
              <w:rPr>
                <w:rFonts w:hint="eastAsia" w:hAnsi="宋体"/>
                <w:bCs/>
                <w:color w:val="auto"/>
                <w:kern w:val="2"/>
                <w:highlight w:val="none"/>
              </w:rPr>
              <w:t>（1）磋商函及磋商函附录</w:t>
            </w:r>
          </w:p>
          <w:p>
            <w:pPr>
              <w:pStyle w:val="67"/>
              <w:ind w:firstLine="480" w:firstLineChars="200"/>
              <w:rPr>
                <w:rFonts w:hAnsi="宋体"/>
                <w:bCs/>
                <w:color w:val="auto"/>
                <w:kern w:val="2"/>
                <w:highlight w:val="none"/>
              </w:rPr>
            </w:pPr>
            <w:r>
              <w:rPr>
                <w:rFonts w:hint="eastAsia" w:hAnsi="宋体"/>
                <w:bCs/>
                <w:color w:val="auto"/>
                <w:kern w:val="2"/>
                <w:highlight w:val="none"/>
              </w:rPr>
              <w:t>（2）竞标人基本情况表</w:t>
            </w:r>
          </w:p>
          <w:p>
            <w:pPr>
              <w:pStyle w:val="67"/>
              <w:ind w:firstLine="480" w:firstLineChars="200"/>
              <w:rPr>
                <w:rFonts w:hAnsi="宋体"/>
                <w:bCs/>
                <w:color w:val="auto"/>
                <w:kern w:val="2"/>
                <w:highlight w:val="none"/>
              </w:rPr>
            </w:pPr>
            <w:r>
              <w:rPr>
                <w:rFonts w:hint="eastAsia" w:hAnsi="宋体"/>
                <w:bCs/>
                <w:color w:val="auto"/>
                <w:kern w:val="2"/>
                <w:highlight w:val="none"/>
              </w:rPr>
              <w:t>（3）已标价工程量清单</w:t>
            </w:r>
          </w:p>
          <w:p>
            <w:pPr>
              <w:pStyle w:val="67"/>
              <w:ind w:firstLine="480" w:firstLineChars="200"/>
              <w:rPr>
                <w:color w:val="auto"/>
                <w:highlight w:val="none"/>
              </w:rPr>
            </w:pPr>
            <w:r>
              <w:rPr>
                <w:rFonts w:hint="eastAsia" w:hAnsi="宋体" w:cs="Times New Roman"/>
                <w:b/>
                <w:color w:val="auto"/>
                <w:highlight w:val="none"/>
                <w:u w:val="single"/>
              </w:rPr>
              <w:t>注：以上材料属于复印件的扫描件的，必须加盖供应商电子公章，否则响应文件按无效响应处理。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706" w:type="dxa"/>
            <w:vMerge w:val="continue"/>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p>
        </w:tc>
        <w:tc>
          <w:tcPr>
            <w:tcW w:w="1965" w:type="dxa"/>
            <w:vMerge w:val="continue"/>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p>
        </w:tc>
        <w:tc>
          <w:tcPr>
            <w:tcW w:w="7133" w:type="dxa"/>
            <w:noWrap/>
            <w:tcMar>
              <w:top w:w="0" w:type="dxa"/>
              <w:left w:w="57" w:type="dxa"/>
              <w:bottom w:w="0" w:type="dxa"/>
              <w:right w:w="57" w:type="dxa"/>
            </w:tcMar>
          </w:tcPr>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商务技术文件</w:t>
            </w:r>
          </w:p>
          <w:p>
            <w:pPr>
              <w:pStyle w:val="25"/>
              <w:spacing w:line="390" w:lineRule="exact"/>
              <w:ind w:firstLine="480" w:firstLineChars="200"/>
              <w:rPr>
                <w:color w:val="auto"/>
                <w:sz w:val="24"/>
                <w:szCs w:val="24"/>
                <w:highlight w:val="none"/>
              </w:rPr>
            </w:pPr>
            <w:r>
              <w:rPr>
                <w:rFonts w:hint="eastAsia" w:hAnsi="宋体" w:cs="宋体"/>
                <w:bCs/>
                <w:color w:val="auto"/>
                <w:sz w:val="24"/>
                <w:szCs w:val="24"/>
                <w:highlight w:val="none"/>
              </w:rPr>
              <w:t>(1)</w:t>
            </w:r>
            <w:r>
              <w:rPr>
                <w:rFonts w:ascii="Calibri" w:hAnsi="Calibri" w:cs="Calibri"/>
                <w:bCs/>
                <w:color w:val="auto"/>
                <w:sz w:val="24"/>
                <w:szCs w:val="24"/>
                <w:highlight w:val="none"/>
              </w:rPr>
              <w:t>主要管理人员表</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(2)建设工程项目管理承诺书</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(3)施工组织设计</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(4)业绩</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(5)其他资料</w:t>
            </w:r>
          </w:p>
          <w:p>
            <w:pPr>
              <w:pStyle w:val="67"/>
              <w:ind w:firstLine="480" w:firstLineChars="200"/>
              <w:rPr>
                <w:color w:val="auto"/>
                <w:highlight w:val="none"/>
              </w:rPr>
            </w:pPr>
            <w:r>
              <w:rPr>
                <w:rFonts w:hint="eastAsia" w:hAnsi="宋体" w:cs="Times New Roman"/>
                <w:b/>
                <w:color w:val="auto"/>
                <w:highlight w:val="none"/>
                <w:u w:val="single"/>
              </w:rPr>
              <w:t>注：以上材料属于复印件的扫描件的，必须加盖供应商电子公章，否则响应文件按无效响应处理。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1965" w:type="dxa"/>
            <w:noWrap/>
            <w:tcMar>
              <w:top w:w="0" w:type="dxa"/>
              <w:left w:w="57" w:type="dxa"/>
              <w:bottom w:w="0" w:type="dxa"/>
              <w:right w:w="57" w:type="dxa"/>
            </w:tcMar>
            <w:vAlign w:val="center"/>
          </w:tcPr>
          <w:p>
            <w:pPr>
              <w:spacing w:line="400" w:lineRule="exact"/>
              <w:ind w:firstLine="240" w:firstLineChars="100"/>
              <w:jc w:val="center"/>
              <w:rPr>
                <w:rFonts w:ascii="宋体" w:hAnsi="宋体" w:cs="宋体"/>
                <w:b/>
                <w:bCs/>
                <w:color w:val="auto"/>
                <w:sz w:val="24"/>
                <w:highlight w:val="none"/>
              </w:rPr>
            </w:pPr>
            <w:r>
              <w:rPr>
                <w:rFonts w:hint="eastAsia" w:ascii="宋体" w:hAnsi="宋体" w:cs="宋体"/>
                <w:b/>
                <w:bCs/>
                <w:color w:val="auto"/>
                <w:sz w:val="24"/>
                <w:highlight w:val="none"/>
              </w:rPr>
              <w:t>《响应文件》的递交</w:t>
            </w:r>
          </w:p>
        </w:tc>
        <w:tc>
          <w:tcPr>
            <w:tcW w:w="7133" w:type="dxa"/>
            <w:noWrap/>
            <w:tcMar>
              <w:top w:w="0" w:type="dxa"/>
              <w:left w:w="57" w:type="dxa"/>
              <w:bottom w:w="0" w:type="dxa"/>
              <w:right w:w="57" w:type="dxa"/>
            </w:tcMar>
          </w:tcPr>
          <w:p>
            <w:pPr>
              <w:spacing w:line="400" w:lineRule="exact"/>
              <w:rPr>
                <w:rFonts w:ascii="宋体" w:hAnsi="宋体" w:cs="宋体"/>
                <w:color w:val="auto"/>
                <w:sz w:val="24"/>
                <w:highlight w:val="none"/>
              </w:rPr>
            </w:pPr>
            <w:r>
              <w:rPr>
                <w:rFonts w:hint="eastAsia" w:ascii="宋体" w:hAnsi="宋体" w:cs="宋体"/>
                <w:color w:val="auto"/>
                <w:sz w:val="24"/>
                <w:highlight w:val="none"/>
              </w:rPr>
              <w:t>递交地点：本项目为全流程电子化项目，通过广西政府采购云平台（http：//www.zcygov.cn）实行在线电子投标，供应商应先安装“政采云电子交易客户端”（请自行前往广西政府采购云平台进行下载），并按照本项目招标文件和广西政府采购云平台的要求编制、加密后在投标截止时间前通过网络上传至广西政府采购云平台，</w:t>
            </w:r>
            <w:r>
              <w:rPr>
                <w:rFonts w:hint="eastAsia" w:ascii="宋体" w:hAnsi="宋体" w:cs="宋体"/>
                <w:b/>
                <w:bCs/>
                <w:color w:val="auto"/>
                <w:sz w:val="24"/>
                <w:highlight w:val="none"/>
              </w:rPr>
              <w:t>供应商在广西政府采购云平台提交电子版响应文件时，请填写参加远程开标活动经办人联系方式，如在操作过程中遇到问题或需技术支持，请致电政采云客服热线：95763</w:t>
            </w:r>
            <w:r>
              <w:rPr>
                <w:rFonts w:hint="eastAsia" w:ascii="宋体" w:hAnsi="宋体" w:cs="宋体"/>
                <w:color w:val="auto"/>
                <w:sz w:val="24"/>
                <w:highlight w:val="none"/>
              </w:rPr>
              <w:t>。</w:t>
            </w:r>
          </w:p>
          <w:p>
            <w:pPr>
              <w:spacing w:line="4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《响应文件》递交截止时间：</w:t>
            </w:r>
            <w:r>
              <w:rPr>
                <w:rFonts w:hint="eastAsia" w:ascii="宋体" w:hAnsi="宋体" w:cs="宋体"/>
                <w:bCs/>
                <w:color w:val="auto"/>
                <w:spacing w:val="10"/>
                <w:kern w:val="0"/>
                <w:sz w:val="24"/>
                <w:highlight w:val="none"/>
                <w:u w:val="single"/>
                <w:lang w:eastAsia="zh-CN"/>
              </w:rPr>
              <w:t>2024年07月05日09时30分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开标时间</w:t>
            </w:r>
          </w:p>
        </w:tc>
        <w:tc>
          <w:tcPr>
            <w:tcW w:w="7133" w:type="dxa"/>
            <w:noWrap/>
            <w:tcMar>
              <w:top w:w="0" w:type="dxa"/>
              <w:left w:w="57" w:type="dxa"/>
              <w:bottom w:w="0" w:type="dxa"/>
              <w:right w:w="57" w:type="dxa"/>
            </w:tcMa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开标时间：</w:t>
            </w:r>
            <w:r>
              <w:rPr>
                <w:rFonts w:hint="eastAsia" w:ascii="宋体" w:hAnsi="宋体" w:cs="宋体"/>
                <w:bCs/>
                <w:color w:val="auto"/>
                <w:spacing w:val="10"/>
                <w:kern w:val="0"/>
                <w:sz w:val="24"/>
                <w:highlight w:val="none"/>
                <w:u w:val="single"/>
                <w:lang w:eastAsia="zh-CN"/>
              </w:rPr>
              <w:t>2024年07月05日09时30分</w:t>
            </w:r>
            <w:r>
              <w:rPr>
                <w:rFonts w:hint="eastAsia" w:ascii="宋体" w:hAnsi="宋体" w:cs="宋体"/>
                <w:color w:val="auto"/>
                <w:sz w:val="24"/>
                <w:highlight w:val="none"/>
              </w:rPr>
              <w:t>截标后</w:t>
            </w:r>
          </w:p>
          <w:p>
            <w:pPr>
              <w:widowControl/>
              <w:shd w:val="clear" w:color="auto" w:fill="FFFFFF"/>
              <w:spacing w:line="20" w:lineRule="atLeas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开标地点：广西政府采购云平台电子开标大厅开标。</w:t>
            </w:r>
          </w:p>
          <w:p>
            <w:pPr>
              <w:widowControl/>
              <w:shd w:val="clear" w:color="auto" w:fill="FFFFFF"/>
              <w:spacing w:line="20" w:lineRule="atLeast"/>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本项目不要求竞标供应商到达开标现场，但供应商应派法定代表人或委托代理人准时在线出席电子开评标会议，随时关注开评标进度，如在开评标过程中有电子询标，应在规定的时间内对电子询标函进行澄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开标程序</w:t>
            </w:r>
          </w:p>
        </w:tc>
        <w:tc>
          <w:tcPr>
            <w:tcW w:w="7133" w:type="dxa"/>
            <w:noWrap/>
            <w:tcMar>
              <w:top w:w="0" w:type="dxa"/>
              <w:left w:w="57" w:type="dxa"/>
              <w:bottom w:w="0" w:type="dxa"/>
              <w:right w:w="57" w:type="dxa"/>
            </w:tcMar>
          </w:tcPr>
          <w:p>
            <w:pPr>
              <w:numPr>
                <w:ilvl w:val="0"/>
                <w:numId w:val="5"/>
              </w:num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签收、解密电子投标文件。</w:t>
            </w:r>
            <w:r>
              <w:rPr>
                <w:rFonts w:ascii="宋体" w:hAnsi="宋体" w:cs="宋体"/>
                <w:color w:val="auto"/>
                <w:sz w:val="24"/>
                <w:highlight w:val="none"/>
              </w:rPr>
              <w:t>采购代理机构将在“供应商须知前附表”规定的时间通过电子交易平台组织响应文件开启， 采购机构依托电子交易平台发起</w:t>
            </w:r>
            <w:r>
              <w:rPr>
                <w:rFonts w:hint="eastAsia" w:ascii="宋体" w:hAnsi="宋体" w:cs="宋体"/>
                <w:color w:val="auto"/>
                <w:sz w:val="24"/>
                <w:highlight w:val="none"/>
              </w:rPr>
              <w:t>【开始解密】</w:t>
            </w:r>
            <w:r>
              <w:rPr>
                <w:rFonts w:ascii="宋体" w:hAnsi="宋体" w:cs="宋体"/>
                <w:color w:val="auto"/>
                <w:sz w:val="24"/>
                <w:highlight w:val="none"/>
              </w:rPr>
              <w:t>指令，供应商的法定代表人或其委托代理人须携带加密时所用的 CA 锁按平台提示和采购文件的规定登录到</w:t>
            </w:r>
            <w:r>
              <w:rPr>
                <w:rFonts w:hint="eastAsia" w:ascii="宋体" w:hAnsi="宋体" w:cs="宋体"/>
                <w:color w:val="auto"/>
                <w:sz w:val="24"/>
                <w:highlight w:val="none"/>
              </w:rPr>
              <w:t>广西政府采购云平台</w:t>
            </w:r>
            <w:r>
              <w:rPr>
                <w:rFonts w:ascii="宋体" w:hAnsi="宋体" w:cs="宋体"/>
                <w:color w:val="auto"/>
                <w:sz w:val="24"/>
                <w:highlight w:val="none"/>
              </w:rPr>
              <w:t xml:space="preserve">电子开标大厅签到并在发起解密指令之时起 </w:t>
            </w:r>
            <w:r>
              <w:rPr>
                <w:rFonts w:hint="eastAsia" w:ascii="宋体" w:hAnsi="宋体" w:cs="宋体"/>
                <w:color w:val="auto"/>
                <w:sz w:val="24"/>
                <w:highlight w:val="none"/>
              </w:rPr>
              <w:t>30</w:t>
            </w:r>
            <w:r>
              <w:rPr>
                <w:rFonts w:ascii="宋体" w:hAnsi="宋体" w:cs="宋体"/>
                <w:color w:val="auto"/>
                <w:sz w:val="24"/>
                <w:highlight w:val="none"/>
              </w:rPr>
              <w:t>分钟内完成对电子响应文件在线解密。发起解密指令之时起 5 分钟内供应商还未进行解密的，代理机构要通知供应商，供应商没预留联系方式或预留联系方式无效，</w:t>
            </w:r>
            <w:r>
              <w:rPr>
                <w:rFonts w:hint="eastAsia" w:ascii="宋体" w:hAnsi="宋体" w:cs="宋体"/>
                <w:color w:val="auto"/>
                <w:sz w:val="24"/>
                <w:highlight w:val="none"/>
              </w:rPr>
              <w:t>导致代理机构无法联系到投标人在</w:t>
            </w:r>
            <w:r>
              <w:rPr>
                <w:rFonts w:ascii="宋体" w:hAnsi="宋体" w:cs="宋体"/>
                <w:color w:val="auto"/>
                <w:sz w:val="24"/>
                <w:highlight w:val="none"/>
              </w:rPr>
              <w:t xml:space="preserve">发起解密指令之时起 </w:t>
            </w:r>
            <w:r>
              <w:rPr>
                <w:rFonts w:hint="eastAsia" w:ascii="宋体" w:hAnsi="宋体" w:cs="宋体"/>
                <w:color w:val="auto"/>
                <w:sz w:val="24"/>
                <w:highlight w:val="none"/>
              </w:rPr>
              <w:t>30</w:t>
            </w:r>
            <w:r>
              <w:rPr>
                <w:rFonts w:ascii="宋体" w:hAnsi="宋体" w:cs="宋体"/>
                <w:color w:val="auto"/>
                <w:sz w:val="24"/>
                <w:highlight w:val="none"/>
              </w:rPr>
              <w:t>分钟内完成对电子响应文件在线解密</w:t>
            </w:r>
            <w:r>
              <w:rPr>
                <w:rFonts w:hint="eastAsia" w:ascii="宋体" w:hAnsi="宋体" w:cs="宋体"/>
                <w:color w:val="auto"/>
                <w:sz w:val="24"/>
                <w:highlight w:val="none"/>
              </w:rPr>
              <w:t>的，均视为无效投标</w:t>
            </w:r>
            <w:r>
              <w:rPr>
                <w:rFonts w:ascii="宋体" w:hAnsi="宋体" w:cs="宋体"/>
                <w:color w:val="auto"/>
                <w:sz w:val="24"/>
                <w:highlight w:val="none"/>
              </w:rPr>
              <w:t>。</w:t>
            </w:r>
          </w:p>
          <w:p>
            <w:pPr>
              <w:spacing w:line="390" w:lineRule="exact"/>
              <w:ind w:firstLine="240" w:firstLineChars="100"/>
              <w:rPr>
                <w:rFonts w:ascii="宋体" w:hAnsi="宋体" w:cs="宋体"/>
                <w:color w:val="auto"/>
                <w:sz w:val="24"/>
                <w:highlight w:val="none"/>
              </w:rPr>
            </w:pPr>
            <w:r>
              <w:rPr>
                <w:rFonts w:ascii="宋体" w:hAnsi="宋体" w:cs="宋体"/>
                <w:color w:val="auto"/>
                <w:sz w:val="24"/>
                <w:highlight w:val="none"/>
              </w:rPr>
              <w:t xml:space="preserve">（解密异常情况处理：详见本章 </w:t>
            </w:r>
            <w:r>
              <w:rPr>
                <w:rFonts w:hint="eastAsia" w:ascii="宋体" w:hAnsi="宋体" w:cs="宋体"/>
                <w:color w:val="auto"/>
                <w:sz w:val="24"/>
                <w:highlight w:val="none"/>
              </w:rPr>
              <w:t>15.3</w:t>
            </w:r>
            <w:r>
              <w:rPr>
                <w:rFonts w:ascii="宋体" w:hAnsi="宋体" w:cs="宋体"/>
                <w:color w:val="auto"/>
                <w:sz w:val="24"/>
                <w:highlight w:val="none"/>
              </w:rPr>
              <w:t xml:space="preserve"> 电子交易活动的中止。） </w:t>
            </w:r>
          </w:p>
          <w:p>
            <w:pPr>
              <w:spacing w:line="390" w:lineRule="exact"/>
              <w:ind w:firstLine="480" w:firstLineChars="200"/>
              <w:rPr>
                <w:rFonts w:ascii="宋体" w:hAnsi="宋体" w:cs="宋体"/>
                <w:color w:val="auto"/>
                <w:sz w:val="24"/>
                <w:highlight w:val="none"/>
              </w:rPr>
            </w:pPr>
            <w:r>
              <w:rPr>
                <w:rFonts w:ascii="宋体" w:hAnsi="宋体" w:cs="宋体"/>
                <w:color w:val="auto"/>
                <w:sz w:val="24"/>
                <w:highlight w:val="none"/>
              </w:rPr>
              <w:t>如供应商成功解密响应文件，但未在“政采云”电子开标大厅参加</w:t>
            </w:r>
            <w:r>
              <w:rPr>
                <w:rFonts w:hint="eastAsia" w:ascii="宋体" w:hAnsi="宋体" w:cs="宋体"/>
                <w:color w:val="auto"/>
                <w:sz w:val="24"/>
                <w:highlight w:val="none"/>
              </w:rPr>
              <w:t>磋商</w:t>
            </w:r>
            <w:r>
              <w:rPr>
                <w:rFonts w:ascii="宋体" w:hAnsi="宋体" w:cs="宋体"/>
                <w:color w:val="auto"/>
                <w:sz w:val="24"/>
                <w:highlight w:val="none"/>
              </w:rPr>
              <w:t>的，视同认可</w:t>
            </w:r>
            <w:r>
              <w:rPr>
                <w:rFonts w:hint="eastAsia" w:ascii="宋体" w:hAnsi="宋体" w:cs="宋体"/>
                <w:color w:val="auto"/>
                <w:sz w:val="24"/>
                <w:highlight w:val="none"/>
              </w:rPr>
              <w:t>磋商</w:t>
            </w:r>
            <w:r>
              <w:rPr>
                <w:rFonts w:ascii="宋体" w:hAnsi="宋体" w:cs="宋体"/>
                <w:color w:val="auto"/>
                <w:sz w:val="24"/>
                <w:highlight w:val="none"/>
              </w:rPr>
              <w:t>过程和结果，由此产生的后果由供应商自行负责。参与</w:t>
            </w:r>
            <w:r>
              <w:rPr>
                <w:rFonts w:hint="eastAsia" w:ascii="宋体" w:hAnsi="宋体" w:cs="宋体"/>
                <w:color w:val="auto"/>
                <w:sz w:val="24"/>
                <w:highlight w:val="none"/>
              </w:rPr>
              <w:t>磋商</w:t>
            </w:r>
            <w:r>
              <w:rPr>
                <w:rFonts w:ascii="宋体" w:hAnsi="宋体" w:cs="宋体"/>
                <w:color w:val="auto"/>
                <w:sz w:val="24"/>
                <w:highlight w:val="none"/>
              </w:rPr>
              <w:t>的供应商不足3 家的，不得</w:t>
            </w:r>
            <w:r>
              <w:rPr>
                <w:rFonts w:hint="eastAsia" w:ascii="宋体" w:hAnsi="宋体" w:cs="宋体"/>
                <w:color w:val="auto"/>
                <w:sz w:val="24"/>
                <w:highlight w:val="none"/>
              </w:rPr>
              <w:t>磋商</w:t>
            </w:r>
            <w:r>
              <w:rPr>
                <w:rFonts w:ascii="宋体" w:hAnsi="宋体" w:cs="宋体"/>
                <w:color w:val="auto"/>
                <w:sz w:val="24"/>
                <w:highlight w:val="none"/>
              </w:rPr>
              <w:t>。</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（2）初步评审。投标文件解密结束后，磋商小组依据法律法规和招标文件的规定，对投标人进行线上初步评审（资格性审查、符合性审查）。</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（3）电子在线询标（开启第二轮报价）。</w:t>
            </w:r>
            <w:r>
              <w:rPr>
                <w:rFonts w:ascii="Calibri" w:hAnsi="Calibri" w:cs="Calibri"/>
                <w:color w:val="auto"/>
                <w:sz w:val="24"/>
                <w:highlight w:val="none"/>
              </w:rPr>
              <w:t>①采购代理机构将按照提交首次响应文件的顺序在线上通知，通知磋商时，若某供应商不在通知现场时，该供应商排序到最后磋商，按照签到的顺序由其下一位供应商先参与磋商</w:t>
            </w:r>
            <w:r>
              <w:rPr>
                <w:rFonts w:hint="eastAsia" w:ascii="Calibri" w:hAnsi="Calibri" w:cs="Calibri"/>
                <w:color w:val="auto"/>
                <w:sz w:val="24"/>
                <w:highlight w:val="none"/>
              </w:rPr>
              <w:t>。</w:t>
            </w:r>
            <w:r>
              <w:rPr>
                <w:rFonts w:ascii="Calibri" w:hAnsi="Calibri" w:cs="Calibri"/>
                <w:color w:val="auto"/>
                <w:sz w:val="24"/>
                <w:highlight w:val="none"/>
              </w:rPr>
              <w:t>②</w:t>
            </w:r>
            <w:r>
              <w:rPr>
                <w:rFonts w:hint="eastAsia" w:ascii="宋体" w:hAnsi="宋体" w:cs="宋体"/>
                <w:color w:val="auto"/>
                <w:sz w:val="24"/>
                <w:highlight w:val="none"/>
              </w:rPr>
              <w:t>各投标供应商在规定地点、时间提交二次报价或询标回复。</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（4）电子唱标。各投标供应商报价、工期等均在广西政府采购云平台远程不见面开标大厅展示；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（5）开标过程由采购代理机构如实记录，并电子留痕，由参加电子开标的各投标人代表对电子开标记录在开标记录公布后10分钟内进行当场校核及勘误，并线上确认，未确认的视同认可开标结果。</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（7）开标结束。</w:t>
            </w:r>
          </w:p>
          <w:p>
            <w:pPr>
              <w:pStyle w:val="67"/>
              <w:rPr>
                <w:b/>
                <w:bCs/>
                <w:color w:val="auto"/>
                <w:highlight w:val="none"/>
              </w:rPr>
            </w:pPr>
          </w:p>
          <w:p>
            <w:pPr>
              <w:pStyle w:val="67"/>
              <w:ind w:firstLine="480" w:firstLineChars="200"/>
              <w:rPr>
                <w:color w:val="auto"/>
                <w:highlight w:val="none"/>
              </w:rPr>
            </w:pPr>
            <w:r>
              <w:rPr>
                <w:rFonts w:hint="eastAsia"/>
                <w:b/>
                <w:bCs/>
                <w:color w:val="auto"/>
                <w:highlight w:val="none"/>
              </w:rPr>
              <w:t>特别说明：如遇广西政府采购云平台电子化开标或评审程序调整的，按调整后执行。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15</w:t>
            </w:r>
          </w:p>
        </w:tc>
        <w:tc>
          <w:tcPr>
            <w:tcW w:w="1965" w:type="dxa"/>
            <w:noWrap/>
            <w:tcMar>
              <w:top w:w="0" w:type="dxa"/>
              <w:left w:w="57" w:type="dxa"/>
              <w:bottom w:w="0" w:type="dxa"/>
              <w:right w:w="57" w:type="dxa"/>
            </w:tcMar>
            <w:vAlign w:val="center"/>
          </w:tcPr>
          <w:p>
            <w:pPr>
              <w:widowControl/>
              <w:spacing w:line="400" w:lineRule="exact"/>
              <w:jc w:val="center"/>
              <w:rPr>
                <w:rFonts w:ascii="宋体" w:hAnsi="宋体" w:cs="宋体"/>
                <w:color w:val="auto"/>
                <w:sz w:val="24"/>
                <w:highlight w:val="none"/>
              </w:rPr>
            </w:pPr>
            <w:r>
              <w:rPr>
                <w:rFonts w:hint="eastAsia" w:ascii="宋体" w:hAnsi="宋体" w:cs="宋体"/>
                <w:b/>
                <w:color w:val="auto"/>
                <w:sz w:val="24"/>
                <w:highlight w:val="none"/>
              </w:rPr>
              <w:t>磋商小组的组成</w:t>
            </w:r>
          </w:p>
        </w:tc>
        <w:tc>
          <w:tcPr>
            <w:tcW w:w="7133" w:type="dxa"/>
            <w:noWrap/>
            <w:tcMar>
              <w:top w:w="0" w:type="dxa"/>
              <w:left w:w="57" w:type="dxa"/>
              <w:bottom w:w="0" w:type="dxa"/>
              <w:right w:w="57" w:type="dxa"/>
            </w:tcMar>
          </w:tcPr>
          <w:p>
            <w:pPr>
              <w:spacing w:line="340" w:lineRule="exact"/>
              <w:ind w:firstLine="480" w:firstLineChars="200"/>
              <w:rPr>
                <w:rFonts w:ascii="宋体" w:hAnsi="宋体" w:cs="宋体"/>
                <w:color w:val="auto"/>
                <w:sz w:val="24"/>
                <w:highlight w:val="none"/>
              </w:rPr>
            </w:pPr>
            <w:r>
              <w:rPr>
                <w:rFonts w:hint="eastAsia" w:ascii="宋体" w:hAnsi="宋体" w:cs="宋体"/>
                <w:b/>
                <w:bCs/>
                <w:color w:val="auto"/>
                <w:sz w:val="24"/>
                <w:highlight w:val="none"/>
              </w:rPr>
              <w:t>磋商小组构成：</w:t>
            </w:r>
            <w:r>
              <w:rPr>
                <w:rFonts w:hint="eastAsia" w:ascii="宋体" w:hAnsi="宋体" w:cs="宋体"/>
                <w:color w:val="auto"/>
                <w:sz w:val="24"/>
                <w:highlight w:val="none"/>
              </w:rPr>
              <w:t>3人，其中采购人代表1人，专家2人。</w:t>
            </w:r>
          </w:p>
          <w:p>
            <w:pPr>
              <w:widowControl/>
              <w:spacing w:line="400" w:lineRule="exact"/>
              <w:ind w:firstLine="480" w:firstLineChars="200"/>
              <w:rPr>
                <w:rFonts w:ascii="宋体" w:hAnsi="宋体" w:cs="宋体"/>
                <w:color w:val="auto"/>
                <w:sz w:val="24"/>
                <w:highlight w:val="none"/>
              </w:rPr>
            </w:pPr>
            <w:r>
              <w:rPr>
                <w:rFonts w:hint="eastAsia" w:ascii="宋体" w:hAnsi="宋体" w:cs="宋体"/>
                <w:b/>
                <w:bCs/>
                <w:color w:val="auto"/>
                <w:sz w:val="24"/>
                <w:highlight w:val="none"/>
              </w:rPr>
              <w:t>评标专家确定方式：</w:t>
            </w:r>
            <w:r>
              <w:rPr>
                <w:rFonts w:hint="eastAsia" w:ascii="宋体" w:hAnsi="宋体" w:cs="宋体"/>
                <w:color w:val="auto"/>
                <w:sz w:val="24"/>
                <w:highlight w:val="none"/>
              </w:rPr>
              <w:t>开标前由采购代理机构在政采云平台广西评审专家库随机抽取确定。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16</w:t>
            </w:r>
          </w:p>
        </w:tc>
        <w:tc>
          <w:tcPr>
            <w:tcW w:w="1965" w:type="dxa"/>
            <w:noWrap/>
            <w:tcMar>
              <w:top w:w="0" w:type="dxa"/>
              <w:left w:w="57" w:type="dxa"/>
              <w:bottom w:w="0" w:type="dxa"/>
              <w:right w:w="57" w:type="dxa"/>
            </w:tcMar>
            <w:vAlign w:val="center"/>
          </w:tcPr>
          <w:p>
            <w:pPr>
              <w:spacing w:line="340" w:lineRule="exact"/>
              <w:jc w:val="center"/>
              <w:rPr>
                <w:rFonts w:ascii="宋体" w:hAnsi="宋体" w:cs="宋体"/>
                <w:b/>
                <w:color w:val="auto"/>
                <w:sz w:val="24"/>
                <w:highlight w:val="none"/>
              </w:rPr>
            </w:pPr>
            <w:r>
              <w:rPr>
                <w:rFonts w:hint="eastAsia" w:ascii="宋体" w:hAnsi="宋体" w:cs="宋体"/>
                <w:b/>
                <w:bCs/>
                <w:color w:val="auto"/>
                <w:sz w:val="24"/>
                <w:highlight w:val="none"/>
              </w:rPr>
              <w:t>评标办法</w:t>
            </w:r>
          </w:p>
        </w:tc>
        <w:tc>
          <w:tcPr>
            <w:tcW w:w="7133" w:type="dxa"/>
            <w:noWrap/>
            <w:tcMar>
              <w:top w:w="0" w:type="dxa"/>
              <w:left w:w="57" w:type="dxa"/>
              <w:bottom w:w="0" w:type="dxa"/>
              <w:right w:w="57" w:type="dxa"/>
            </w:tcMar>
            <w:vAlign w:val="center"/>
          </w:tcPr>
          <w:p>
            <w:pPr>
              <w:spacing w:line="340" w:lineRule="exact"/>
              <w:rPr>
                <w:rFonts w:ascii="宋体" w:hAnsi="宋体" w:cs="宋体"/>
                <w:bCs/>
                <w:color w:val="auto"/>
                <w:sz w:val="24"/>
                <w:highlight w:val="none"/>
              </w:rPr>
            </w:pPr>
            <w:r>
              <w:rPr>
                <w:rFonts w:hint="eastAsia" w:ascii="宋体" w:hAnsi="宋体" w:cs="宋体"/>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17</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是否授权磋商小组确定成交人</w:t>
            </w:r>
          </w:p>
        </w:tc>
        <w:tc>
          <w:tcPr>
            <w:tcW w:w="7133" w:type="dxa"/>
            <w:noWrap/>
            <w:tcMar>
              <w:top w:w="0" w:type="dxa"/>
              <w:left w:w="57" w:type="dxa"/>
              <w:bottom w:w="0" w:type="dxa"/>
              <w:right w:w="57" w:type="dxa"/>
            </w:tcMar>
            <w:vAlign w:val="center"/>
          </w:tcPr>
          <w:p>
            <w:pPr>
              <w:widowControl/>
              <w:spacing w:line="400" w:lineRule="exact"/>
              <w:rPr>
                <w:rFonts w:ascii="宋体" w:hAnsi="宋体" w:cs="宋体"/>
                <w:bCs/>
                <w:color w:val="auto"/>
                <w:sz w:val="24"/>
                <w:highlight w:val="none"/>
              </w:rPr>
            </w:pPr>
            <w:r>
              <w:rPr>
                <w:rFonts w:hint="eastAsia" w:ascii="宋体" w:hAnsi="宋体" w:cs="宋体"/>
                <w:bCs/>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18</w:t>
            </w:r>
          </w:p>
        </w:tc>
        <w:tc>
          <w:tcPr>
            <w:tcW w:w="1965" w:type="dxa"/>
            <w:noWrap/>
            <w:tcMar>
              <w:top w:w="0" w:type="dxa"/>
              <w:left w:w="57" w:type="dxa"/>
              <w:bottom w:w="0" w:type="dxa"/>
              <w:right w:w="57" w:type="dxa"/>
            </w:tcMar>
            <w:vAlign w:val="center"/>
          </w:tcPr>
          <w:p>
            <w:pPr>
              <w:spacing w:line="400" w:lineRule="exact"/>
              <w:jc w:val="center"/>
              <w:rPr>
                <w:rFonts w:ascii="宋体" w:hAnsi="宋体"/>
                <w:b/>
                <w:color w:val="auto"/>
                <w:sz w:val="24"/>
                <w:highlight w:val="none"/>
              </w:rPr>
            </w:pPr>
            <w:r>
              <w:rPr>
                <w:rFonts w:hint="eastAsia" w:ascii="宋体" w:hAnsi="宋体" w:cs="宋体"/>
                <w:b/>
                <w:bCs/>
                <w:color w:val="auto"/>
                <w:sz w:val="24"/>
                <w:highlight w:val="none"/>
              </w:rPr>
              <w:t>履约保证金</w:t>
            </w:r>
          </w:p>
        </w:tc>
        <w:tc>
          <w:tcPr>
            <w:tcW w:w="7133" w:type="dxa"/>
            <w:noWrap/>
            <w:tcMar>
              <w:top w:w="0" w:type="dxa"/>
              <w:left w:w="57" w:type="dxa"/>
              <w:bottom w:w="0" w:type="dxa"/>
              <w:right w:w="57" w:type="dxa"/>
            </w:tcMar>
          </w:tcPr>
          <w:p>
            <w:pPr>
              <w:widowControl/>
              <w:spacing w:line="400" w:lineRule="exact"/>
              <w:rPr>
                <w:rFonts w:ascii="宋体" w:hAnsi="宋体"/>
                <w:b/>
                <w:bCs/>
                <w:color w:val="auto"/>
                <w:sz w:val="24"/>
                <w:highlight w:val="none"/>
              </w:rPr>
            </w:pPr>
            <w:r>
              <w:rPr>
                <w:rFonts w:hint="eastAsia" w:ascii="宋体" w:hAnsi="宋体"/>
                <w:color w:val="auto"/>
                <w:sz w:val="24"/>
                <w:highlight w:val="none"/>
              </w:rPr>
              <w:t>本项目不做要求。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19</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农民工工资保障金</w:t>
            </w:r>
          </w:p>
        </w:tc>
        <w:tc>
          <w:tcPr>
            <w:tcW w:w="7133" w:type="dxa"/>
            <w:noWrap/>
            <w:tcMar>
              <w:top w:w="0" w:type="dxa"/>
              <w:left w:w="57" w:type="dxa"/>
              <w:bottom w:w="0" w:type="dxa"/>
              <w:right w:w="57" w:type="dxa"/>
            </w:tcMar>
          </w:tcPr>
          <w:p>
            <w:pPr>
              <w:widowControl/>
              <w:spacing w:line="400" w:lineRule="exact"/>
              <w:rPr>
                <w:color w:val="auto"/>
                <w:sz w:val="24"/>
                <w:highlight w:val="none"/>
              </w:rPr>
            </w:pPr>
            <w:r>
              <w:rPr>
                <w:rFonts w:hint="eastAsia"/>
                <w:color w:val="auto"/>
                <w:sz w:val="24"/>
                <w:highlight w:val="none"/>
              </w:rPr>
              <w:t>在中标（成交）后7个工作日内中标（成交）单位按工程中标（成交）价的2%交一次性足额存农民工工资保证金，单项工程的农民工工资保证金最高限额为80万元，也可以使用银行保函。工程竣工验收结算经审定后，按照规定程序，将农民工工资保证金没有使用或剩余的金额退还给中标（成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20</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工程质量保证金</w:t>
            </w:r>
          </w:p>
        </w:tc>
        <w:tc>
          <w:tcPr>
            <w:tcW w:w="7133" w:type="dxa"/>
            <w:noWrap/>
            <w:tcMar>
              <w:top w:w="0" w:type="dxa"/>
              <w:left w:w="57" w:type="dxa"/>
              <w:bottom w:w="0" w:type="dxa"/>
              <w:right w:w="57" w:type="dxa"/>
            </w:tcMar>
          </w:tcPr>
          <w:p>
            <w:pPr>
              <w:widowControl/>
              <w:spacing w:line="400" w:lineRule="exact"/>
              <w:rPr>
                <w:rFonts w:hint="eastAsia"/>
                <w:color w:val="auto"/>
                <w:sz w:val="24"/>
                <w:highlight w:val="none"/>
              </w:rPr>
            </w:pPr>
            <w:r>
              <w:rPr>
                <w:rFonts w:hint="eastAsia"/>
                <w:color w:val="auto"/>
                <w:sz w:val="24"/>
                <w:highlight w:val="none"/>
              </w:rPr>
              <w:t>提供质量保证金的方式：发包人按工程价款结算总额的3%预留工程质量保修金，待工程质量保修期满后返还。是否付息及利息计算方式为：无息。</w:t>
            </w:r>
          </w:p>
          <w:p>
            <w:pPr>
              <w:pStyle w:val="2"/>
              <w:jc w:val="both"/>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工程质量保修期年限按照中华人民共和国国务院令第279号《建设工程质量管理条例》规定执行。</w:t>
            </w:r>
          </w:p>
          <w:p>
            <w:pPr>
              <w:pStyle w:val="2"/>
              <w:jc w:val="both"/>
              <w:rPr>
                <w:color w:val="auto"/>
                <w:highlight w:val="none"/>
              </w:rPr>
            </w:pPr>
            <w:r>
              <w:rPr>
                <w:rFonts w:hint="eastAsia" w:ascii="Times New Roman" w:hAnsi="Times New Roman" w:eastAsia="宋体"/>
                <w:color w:val="auto"/>
                <w:kern w:val="2"/>
                <w:sz w:val="24"/>
                <w:szCs w:val="24"/>
                <w:highlight w:val="none"/>
              </w:rPr>
              <w:t>质量保证金的缴纳：银行转账、电汇或网上支付、保函（银行保函、电子保函、保证保险保函、工程担保保函）等形式。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6" w:type="dxa"/>
            <w:noWrap/>
            <w:tcMar>
              <w:top w:w="0" w:type="dxa"/>
              <w:left w:w="57" w:type="dxa"/>
              <w:bottom w:w="0" w:type="dxa"/>
              <w:right w:w="57" w:type="dxa"/>
            </w:tcMar>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21</w:t>
            </w:r>
          </w:p>
        </w:tc>
        <w:tc>
          <w:tcPr>
            <w:tcW w:w="1965" w:type="dxa"/>
            <w:noWrap/>
            <w:tcMar>
              <w:top w:w="0" w:type="dxa"/>
              <w:left w:w="57" w:type="dxa"/>
              <w:bottom w:w="0" w:type="dxa"/>
              <w:right w:w="57" w:type="dxa"/>
            </w:tcMar>
            <w:vAlign w:val="center"/>
          </w:tcPr>
          <w:p>
            <w:pPr>
              <w:spacing w:line="400" w:lineRule="exact"/>
              <w:jc w:val="center"/>
              <w:rPr>
                <w:rFonts w:ascii="宋体" w:hAnsi="宋体" w:cs="宋体"/>
                <w:b/>
                <w:color w:val="auto"/>
                <w:sz w:val="24"/>
                <w:highlight w:val="none"/>
              </w:rPr>
            </w:pPr>
            <w:r>
              <w:rPr>
                <w:rFonts w:hint="eastAsia" w:ascii="宋体" w:hAnsi="宋体"/>
                <w:b/>
                <w:color w:val="auto"/>
                <w:sz w:val="24"/>
                <w:highlight w:val="none"/>
              </w:rPr>
              <w:t>上限控制价</w:t>
            </w:r>
          </w:p>
        </w:tc>
        <w:tc>
          <w:tcPr>
            <w:tcW w:w="7133" w:type="dxa"/>
            <w:noWrap/>
            <w:tcMar>
              <w:top w:w="0" w:type="dxa"/>
              <w:left w:w="57" w:type="dxa"/>
              <w:bottom w:w="0" w:type="dxa"/>
              <w:right w:w="57" w:type="dxa"/>
            </w:tcMar>
            <w:vAlign w:val="center"/>
          </w:tcPr>
          <w:p>
            <w:pPr>
              <w:widowControl/>
              <w:jc w:val="left"/>
              <w:rPr>
                <w:color w:val="auto"/>
                <w:sz w:val="24"/>
                <w:highlight w:val="none"/>
              </w:rPr>
            </w:pPr>
            <w:r>
              <w:rPr>
                <w:rFonts w:hint="eastAsia"/>
                <w:b/>
                <w:bCs/>
                <w:color w:val="auto"/>
                <w:sz w:val="24"/>
                <w:highlight w:val="none"/>
              </w:rPr>
              <w:t>工程总造价133.21万元，</w:t>
            </w:r>
            <w:r>
              <w:rPr>
                <w:rFonts w:hint="eastAsia"/>
                <w:color w:val="auto"/>
                <w:sz w:val="24"/>
                <w:highlight w:val="none"/>
              </w:rPr>
              <w:t>磋商供应商报价高于公布的控制价的，其《响应文件》（磋商）作否决磋商处理。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22</w:t>
            </w:r>
          </w:p>
        </w:tc>
        <w:tc>
          <w:tcPr>
            <w:tcW w:w="1965" w:type="dxa"/>
            <w:noWrap/>
            <w:tcMar>
              <w:top w:w="0" w:type="dxa"/>
              <w:left w:w="57" w:type="dxa"/>
              <w:bottom w:w="0" w:type="dxa"/>
              <w:right w:w="57" w:type="dxa"/>
            </w:tcMar>
            <w:vAlign w:val="center"/>
          </w:tcPr>
          <w:p>
            <w:pP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代理服务费</w:t>
            </w:r>
          </w:p>
        </w:tc>
        <w:tc>
          <w:tcPr>
            <w:tcW w:w="7133" w:type="dxa"/>
            <w:noWrap/>
            <w:tcMar>
              <w:top w:w="0" w:type="dxa"/>
              <w:left w:w="57" w:type="dxa"/>
              <w:bottom w:w="0" w:type="dxa"/>
              <w:right w:w="57" w:type="dxa"/>
            </w:tcMar>
            <w:vAlign w:val="center"/>
          </w:tcPr>
          <w:p>
            <w:pPr>
              <w:spacing w:line="400" w:lineRule="exact"/>
              <w:rPr>
                <w:rFonts w:ascii="宋体" w:hAnsi="宋体"/>
                <w:color w:val="auto"/>
                <w:sz w:val="24"/>
                <w:highlight w:val="none"/>
              </w:rPr>
            </w:pPr>
            <w:r>
              <w:rPr>
                <w:rFonts w:hint="eastAsia" w:ascii="宋体" w:hAnsi="宋体"/>
                <w:color w:val="auto"/>
                <w:sz w:val="24"/>
                <w:highlight w:val="none"/>
              </w:rPr>
              <w:t>采购代理服务费根据按国家发改价格【2015】299号文《关于进一步放开建设项目专业服务价格的通知》有关文件规定，由中标（成交）单位支付。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noWrap/>
            <w:tcMar>
              <w:top w:w="0" w:type="dxa"/>
              <w:left w:w="57" w:type="dxa"/>
              <w:bottom w:w="0" w:type="dxa"/>
              <w:right w:w="57" w:type="dxa"/>
            </w:tcMar>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23</w:t>
            </w:r>
          </w:p>
        </w:tc>
        <w:tc>
          <w:tcPr>
            <w:tcW w:w="1965" w:type="dxa"/>
            <w:noWrap/>
            <w:tcMar>
              <w:top w:w="0" w:type="dxa"/>
              <w:left w:w="57" w:type="dxa"/>
              <w:bottom w:w="0" w:type="dxa"/>
              <w:right w:w="57" w:type="dxa"/>
            </w:tcMar>
            <w:vAlign w:val="center"/>
          </w:tcPr>
          <w:p>
            <w:pP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特别说明</w:t>
            </w:r>
          </w:p>
        </w:tc>
        <w:tc>
          <w:tcPr>
            <w:tcW w:w="7133" w:type="dxa"/>
            <w:noWrap/>
            <w:tcMar>
              <w:top w:w="0" w:type="dxa"/>
              <w:left w:w="57" w:type="dxa"/>
              <w:bottom w:w="0" w:type="dxa"/>
              <w:right w:w="57" w:type="dxa"/>
            </w:tcMar>
            <w:vAlign w:val="center"/>
          </w:tcPr>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磋商文件中描述供应商的“公章”是指根据我国对公章的管理规定，用供应商法定主体行为名称制作的印章，除本磋商文件有特殊规定外，供应商的财务章、部门章、分公司章、工会章、合同章、竞标/投标专用章、业务专用章及银行的转账章、现金收讫章、现金付讫章等其他形式印章均不能代替公章。</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3.自然人竞标的，磋商文件规定盖公章处由自然人摁手指指印。</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4.本磋商文件所称的“以上”“以下”“以内”“届满”，包括本数；所称的“不满”“超过”“以外”，不包括本数。</w:t>
            </w:r>
          </w:p>
          <w:p>
            <w:pPr>
              <w:pStyle w:val="2"/>
              <w:ind w:firstLine="480" w:firstLineChars="200"/>
              <w:jc w:val="both"/>
              <w:rPr>
                <w:color w:val="auto"/>
                <w:highlight w:val="none"/>
              </w:rPr>
            </w:pPr>
            <w:r>
              <w:rPr>
                <w:rFonts w:hint="eastAsia" w:ascii="宋体" w:hAnsi="宋体" w:eastAsia="宋体" w:cs="宋体"/>
                <w:color w:val="auto"/>
                <w:kern w:val="2"/>
                <w:sz w:val="24"/>
                <w:szCs w:val="24"/>
                <w:highlight w:val="none"/>
              </w:rPr>
              <w:t>5.</w:t>
            </w:r>
            <w:r>
              <w:rPr>
                <w:rFonts w:hint="eastAsia"/>
                <w:color w:val="auto"/>
                <w:highlight w:val="none"/>
              </w:rPr>
              <w:t xml:space="preserve"> </w:t>
            </w:r>
            <w:r>
              <w:rPr>
                <w:rFonts w:hint="eastAsia" w:ascii="宋体" w:hAnsi="宋体" w:eastAsia="宋体" w:cs="宋体"/>
                <w:color w:val="auto"/>
                <w:kern w:val="2"/>
                <w:sz w:val="24"/>
                <w:szCs w:val="24"/>
                <w:highlight w:val="none"/>
              </w:rPr>
              <w:t>资料存档：投标人中标（成交）后，须向招标人提供投标文件纸质版共3套。</w:t>
            </w:r>
          </w:p>
        </w:tc>
      </w:tr>
    </w:tbl>
    <w:p>
      <w:pPr>
        <w:spacing w:line="400" w:lineRule="exact"/>
        <w:jc w:val="center"/>
        <w:rPr>
          <w:rFonts w:ascii="宋体" w:hAnsi="宋体"/>
          <w:color w:val="auto"/>
          <w:szCs w:val="21"/>
          <w:highlight w:val="none"/>
        </w:rPr>
      </w:pPr>
      <w:r>
        <w:rPr>
          <w:rFonts w:ascii="宋体" w:hAnsi="宋体"/>
          <w:color w:val="auto"/>
          <w:sz w:val="24"/>
          <w:highlight w:val="none"/>
        </w:rPr>
        <w:br w:type="page"/>
      </w:r>
      <w:r>
        <w:rPr>
          <w:rFonts w:hint="eastAsia" w:ascii="宋体" w:hAnsi="宋体"/>
          <w:b/>
          <w:color w:val="auto"/>
          <w:sz w:val="28"/>
          <w:szCs w:val="28"/>
          <w:highlight w:val="none"/>
        </w:rPr>
        <w:t>磋商供应商须知</w:t>
      </w:r>
      <w:bookmarkStart w:id="38" w:name="_Toc459103898"/>
    </w:p>
    <w:p>
      <w:pPr>
        <w:pStyle w:val="4"/>
        <w:spacing w:before="0" w:after="0" w:line="390" w:lineRule="exact"/>
        <w:rPr>
          <w:rFonts w:ascii="宋体" w:hAnsi="宋体" w:eastAsia="宋体" w:cs="宋体"/>
          <w:color w:val="auto"/>
          <w:sz w:val="21"/>
          <w:szCs w:val="21"/>
          <w:highlight w:val="none"/>
        </w:rPr>
      </w:pPr>
      <w:bookmarkStart w:id="39" w:name="_Toc86935813"/>
      <w:r>
        <w:rPr>
          <w:rFonts w:hint="eastAsia" w:ascii="宋体" w:hAnsi="宋体" w:eastAsia="宋体" w:cs="宋体"/>
          <w:color w:val="auto"/>
          <w:sz w:val="21"/>
          <w:szCs w:val="21"/>
          <w:highlight w:val="none"/>
        </w:rPr>
        <w:t>一、总则</w:t>
      </w:r>
      <w:bookmarkEnd w:id="38"/>
      <w:bookmarkEnd w:id="39"/>
    </w:p>
    <w:p>
      <w:pPr>
        <w:spacing w:line="390" w:lineRule="exact"/>
        <w:ind w:left="2127" w:right="-192" w:hanging="2119" w:hangingChars="883"/>
        <w:jc w:val="left"/>
        <w:rPr>
          <w:rFonts w:ascii="宋体" w:hAnsi="宋体" w:cs="宋体"/>
          <w:color w:val="auto"/>
          <w:sz w:val="24"/>
          <w:highlight w:val="none"/>
        </w:rPr>
      </w:pPr>
      <w:r>
        <w:rPr>
          <w:rFonts w:hint="eastAsia" w:ascii="宋体" w:hAnsi="宋体" w:cs="宋体"/>
          <w:b/>
          <w:bCs/>
          <w:color w:val="auto"/>
          <w:sz w:val="24"/>
          <w:highlight w:val="none"/>
        </w:rPr>
        <w:t>1、项目名称：</w:t>
      </w:r>
      <w:r>
        <w:rPr>
          <w:rFonts w:hint="eastAsia" w:ascii="宋体" w:hAnsi="宋体" w:cs="宋体"/>
          <w:color w:val="auto"/>
          <w:sz w:val="24"/>
          <w:highlight w:val="none"/>
          <w:lang w:eastAsia="zh-CN"/>
        </w:rPr>
        <w:t>防城港市高级中学明珠园及碧海园内外立面改造工程（学生宿舍楼维修改造项目）</w:t>
      </w:r>
      <w:r>
        <w:rPr>
          <w:rFonts w:hint="eastAsia" w:ascii="宋体" w:hAnsi="宋体" w:cs="宋体"/>
          <w:color w:val="auto"/>
          <w:sz w:val="24"/>
          <w:highlight w:val="none"/>
        </w:rPr>
        <w:t xml:space="preserve"> </w:t>
      </w:r>
    </w:p>
    <w:p>
      <w:pPr>
        <w:spacing w:line="390" w:lineRule="exact"/>
        <w:ind w:firstLine="360" w:firstLineChars="150"/>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项目编号</w:t>
      </w:r>
      <w:r>
        <w:rPr>
          <w:rFonts w:hint="eastAsia" w:ascii="宋体" w:hAnsi="宋体" w:cs="宋体"/>
          <w:color w:val="auto"/>
          <w:sz w:val="24"/>
          <w:highlight w:val="none"/>
        </w:rPr>
        <w:t>：</w:t>
      </w:r>
      <w:r>
        <w:rPr>
          <w:rFonts w:hint="eastAsia" w:ascii="宋体" w:hAnsi="宋体" w:cs="宋体"/>
          <w:color w:val="auto"/>
          <w:sz w:val="24"/>
          <w:highlight w:val="none"/>
          <w:lang w:eastAsia="zh-CN"/>
        </w:rPr>
        <w:t>FCZC2024-C2-10001-GXDT</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2、磋商供应商资质要求：</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2.1资质要求：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2.1.2落实政府采购政策需满足的资格要求：本项目为专门面向中小企业采购的项目（供应商应为中小微企业或监狱企业或残疾人福利性单位)；</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2.1.3本项目的特定资格要求：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（1）符合《中华人民共和国招标投标法》第二十六条及《中华人民共和国政府采购法》第二十二条规定，</w:t>
      </w:r>
      <w:r>
        <w:rPr>
          <w:rFonts w:hint="eastAsia" w:ascii="宋体" w:hAnsi="宋体" w:cs="宋体"/>
          <w:bCs/>
          <w:color w:val="auto"/>
          <w:spacing w:val="10"/>
          <w:kern w:val="0"/>
          <w:sz w:val="24"/>
          <w:highlight w:val="none"/>
          <w:lang w:eastAsia="zh-CN"/>
        </w:rPr>
        <w:t>具有住建行政主管部门颁发的房屋建筑工程施工总承</w:t>
      </w:r>
      <w:r>
        <w:rPr>
          <w:rFonts w:hint="eastAsia" w:ascii="宋体" w:hAnsi="宋体" w:cs="宋体"/>
          <w:bCs/>
          <w:color w:val="auto"/>
          <w:spacing w:val="10"/>
          <w:kern w:val="0"/>
          <w:sz w:val="24"/>
          <w:highlight w:val="none"/>
          <w:lang w:val="en-US" w:eastAsia="zh-CN"/>
        </w:rPr>
        <w:t>包</w:t>
      </w:r>
      <w:r>
        <w:rPr>
          <w:rFonts w:hint="eastAsia" w:ascii="宋体" w:hAnsi="宋体" w:cs="宋体"/>
          <w:bCs/>
          <w:color w:val="auto"/>
          <w:spacing w:val="10"/>
          <w:kern w:val="0"/>
          <w:sz w:val="24"/>
          <w:highlight w:val="none"/>
          <w:lang w:eastAsia="zh-CN"/>
        </w:rPr>
        <w:t>三级（含）及以上资质或建筑装修装饰工程专业承包二级（含）及以上资质</w:t>
      </w:r>
      <w:r>
        <w:rPr>
          <w:rFonts w:hint="eastAsia" w:ascii="宋体" w:hAnsi="宋体" w:cs="宋体"/>
          <w:bCs/>
          <w:color w:val="auto"/>
          <w:spacing w:val="10"/>
          <w:kern w:val="0"/>
          <w:sz w:val="24"/>
          <w:highlight w:val="none"/>
        </w:rPr>
        <w:t>以上资质的施工企业。</w:t>
      </w:r>
      <w:r>
        <w:rPr>
          <w:rFonts w:hint="eastAsia" w:ascii="宋体" w:hAnsi="宋体" w:cs="宋体"/>
          <w:color w:val="auto"/>
          <w:sz w:val="24"/>
          <w:highlight w:val="none"/>
        </w:rPr>
        <w:t>拟投入本工程的注册建造师具有</w:t>
      </w:r>
      <w:r>
        <w:rPr>
          <w:rFonts w:hint="eastAsia" w:ascii="宋体" w:hAnsi="宋体" w:cs="宋体"/>
          <w:color w:val="auto"/>
          <w:sz w:val="24"/>
          <w:highlight w:val="none"/>
          <w:lang w:eastAsia="zh-CN"/>
        </w:rPr>
        <w:t>建筑工程</w:t>
      </w:r>
      <w:r>
        <w:rPr>
          <w:rFonts w:hint="eastAsia" w:ascii="宋体" w:hAnsi="宋体" w:cs="宋体"/>
          <w:color w:val="auto"/>
          <w:sz w:val="24"/>
          <w:highlight w:val="none"/>
        </w:rPr>
        <w:t>贰级（含贰级）以上资质，并具有有效的安全生产考核合格证（B类），并在人员、设备、资金等方面具备相应的施工能力。</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2.2符合磋商供应商资格的磋商供应商应承担磋商及履约中应承担的全部责任与义务。</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3、磋商费用</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3.1磋商供应商应自行承担所有与本次磋商有关的全部费用。</w:t>
      </w:r>
    </w:p>
    <w:p>
      <w:pPr>
        <w:pStyle w:val="4"/>
        <w:spacing w:before="0" w:after="0" w:line="390" w:lineRule="exact"/>
        <w:rPr>
          <w:rFonts w:ascii="宋体" w:hAnsi="宋体" w:eastAsia="宋体" w:cs="宋体"/>
          <w:color w:val="auto"/>
          <w:sz w:val="24"/>
          <w:szCs w:val="24"/>
          <w:highlight w:val="none"/>
        </w:rPr>
      </w:pPr>
      <w:bookmarkStart w:id="40" w:name="_Toc459103899"/>
    </w:p>
    <w:p>
      <w:pPr>
        <w:pStyle w:val="4"/>
        <w:spacing w:before="0" w:after="0" w:line="390" w:lineRule="exact"/>
        <w:rPr>
          <w:rFonts w:ascii="宋体" w:hAnsi="宋体" w:eastAsia="宋体" w:cs="宋体"/>
          <w:color w:val="auto"/>
          <w:sz w:val="24"/>
          <w:szCs w:val="24"/>
          <w:highlight w:val="none"/>
        </w:rPr>
      </w:pPr>
      <w:bookmarkStart w:id="41" w:name="_Toc86935814"/>
      <w:r>
        <w:rPr>
          <w:rFonts w:hint="eastAsia" w:ascii="宋体" w:hAnsi="宋体" w:eastAsia="宋体" w:cs="宋体"/>
          <w:color w:val="auto"/>
          <w:sz w:val="24"/>
          <w:szCs w:val="24"/>
          <w:highlight w:val="none"/>
        </w:rPr>
        <w:t>二、</w:t>
      </w:r>
      <w:bookmarkEnd w:id="40"/>
      <w:r>
        <w:rPr>
          <w:rFonts w:hint="eastAsia" w:ascii="宋体" w:hAnsi="宋体" w:eastAsia="宋体" w:cs="宋体"/>
          <w:color w:val="auto"/>
          <w:sz w:val="24"/>
          <w:szCs w:val="24"/>
          <w:highlight w:val="none"/>
        </w:rPr>
        <w:t>《竞争性磋商文件》</w:t>
      </w:r>
      <w:bookmarkEnd w:id="41"/>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4、《竞争性磋商文件》的构成</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4.1磋商文件包括：</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（1）竞争性磋商公告</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（2）磋商供应商须知及前附表</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（3）合同条款及格式</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（4）</w:t>
      </w:r>
      <w:r>
        <w:rPr>
          <w:rFonts w:hint="eastAsia" w:hAnsi="宋体" w:cs="宋体"/>
          <w:color w:val="auto"/>
          <w:sz w:val="24"/>
          <w:szCs w:val="24"/>
          <w:highlight w:val="none"/>
        </w:rPr>
        <w:t>工程量清单</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（5）图纸</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（6）</w:t>
      </w:r>
      <w:r>
        <w:rPr>
          <w:rFonts w:hint="eastAsia" w:hAnsi="宋体" w:cs="宋体"/>
          <w:bCs/>
          <w:color w:val="auto"/>
          <w:sz w:val="24"/>
          <w:szCs w:val="24"/>
          <w:highlight w:val="none"/>
        </w:rPr>
        <w:t>技术标准和要求</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（7）《响应文件》格式</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（8）评标办法</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5、《竞争性磋商文件》的澄清和修改</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5.1任何要求澄清《竞争性磋商文件》的磋商供应商，均应在磋商截止日期的5天前以传真、电报等书面形式通知采购代理机构，同时认定其他澄清方式为无效。采购代理机构将以书面形式予以答复。</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在磋商截止日期前的任何时候，无论出于何种原因，采购代理机构可主动地或在解答磋商供应商提出的澄清问题时对《竞争性磋商文件》进行澄清或修改。该澄清或修改的内容为《竞争性磋商文件》的组成部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5.3《竞争性磋商文件》的澄清或修改将在发布竞争性磋商公告的同一媒介发布。</w:t>
      </w:r>
      <w:r>
        <w:rPr>
          <w:rFonts w:hint="eastAsia"/>
          <w:color w:val="auto"/>
          <w:sz w:val="24"/>
          <w:highlight w:val="none"/>
        </w:rPr>
        <w:t>磋商供应商未及时关注采购人在网站上发布的澄清文件造成的损失，由磋商供应商自行负责。</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5.4采购代理机构可视情况延长磋商截止日期，并将此澄清或修改发布竞争性磋商公告的同一媒介发布。</w:t>
      </w:r>
    </w:p>
    <w:p>
      <w:pPr>
        <w:spacing w:line="390" w:lineRule="exact"/>
        <w:rPr>
          <w:rFonts w:ascii="宋体" w:hAnsi="宋体" w:cs="宋体"/>
          <w:color w:val="auto"/>
          <w:sz w:val="24"/>
          <w:highlight w:val="none"/>
        </w:rPr>
      </w:pPr>
    </w:p>
    <w:p>
      <w:pPr>
        <w:pStyle w:val="4"/>
        <w:spacing w:before="0" w:after="0" w:line="390" w:lineRule="exact"/>
        <w:rPr>
          <w:rFonts w:ascii="宋体" w:hAnsi="宋体" w:eastAsia="宋体" w:cs="宋体"/>
          <w:color w:val="auto"/>
          <w:sz w:val="24"/>
          <w:szCs w:val="24"/>
          <w:highlight w:val="none"/>
        </w:rPr>
      </w:pPr>
      <w:bookmarkStart w:id="42" w:name="_Toc86935815"/>
      <w:bookmarkStart w:id="43" w:name="_Toc459103900"/>
      <w:r>
        <w:rPr>
          <w:rFonts w:hint="eastAsia" w:ascii="宋体" w:hAnsi="宋体" w:eastAsia="宋体" w:cs="宋体"/>
          <w:color w:val="auto"/>
          <w:sz w:val="24"/>
          <w:szCs w:val="24"/>
          <w:highlight w:val="none"/>
        </w:rPr>
        <w:t>三、磋商报价说明</w:t>
      </w:r>
      <w:bookmarkEnd w:id="42"/>
      <w:bookmarkEnd w:id="43"/>
    </w:p>
    <w:p>
      <w:pPr>
        <w:pStyle w:val="25"/>
        <w:spacing w:line="390" w:lineRule="exact"/>
        <w:rPr>
          <w:rFonts w:hAnsi="宋体" w:cs="宋体"/>
          <w:b/>
          <w:color w:val="auto"/>
          <w:sz w:val="24"/>
          <w:szCs w:val="24"/>
          <w:highlight w:val="none"/>
        </w:rPr>
      </w:pPr>
      <w:r>
        <w:rPr>
          <w:rFonts w:hint="eastAsia" w:hAnsi="宋体" w:cs="宋体"/>
          <w:b/>
          <w:color w:val="auto"/>
          <w:sz w:val="24"/>
          <w:szCs w:val="24"/>
          <w:highlight w:val="none"/>
        </w:rPr>
        <w:t>6、磋商报价</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6.1磋商报价：本项目磋商报价不允许超过采购上限控制价。</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6.1.1具有标价的工程量清单中所报的单价和合价，以及报价汇总表中的价格应包括施工设备、劳务、管理、材料、安装、维护、保险、利润、税金、政策性文件规定及合同包含的所有风险、责任等各项应有费用。</w:t>
      </w:r>
    </w:p>
    <w:p>
      <w:pPr>
        <w:pStyle w:val="25"/>
        <w:tabs>
          <w:tab w:val="left" w:pos="284"/>
        </w:tabs>
        <w:spacing w:line="390" w:lineRule="exact"/>
        <w:ind w:firstLine="480" w:firstLineChars="200"/>
        <w:rPr>
          <w:rFonts w:hAnsi="宋体" w:cs="宋体"/>
          <w:b/>
          <w:color w:val="auto"/>
          <w:sz w:val="24"/>
          <w:szCs w:val="24"/>
          <w:highlight w:val="none"/>
        </w:rPr>
      </w:pPr>
      <w:r>
        <w:rPr>
          <w:rFonts w:hint="eastAsia" w:hAnsi="宋体" w:cs="宋体"/>
          <w:bCs/>
          <w:color w:val="auto"/>
          <w:sz w:val="24"/>
          <w:szCs w:val="24"/>
          <w:highlight w:val="none"/>
        </w:rPr>
        <w:t xml:space="preserve">6.2 </w:t>
      </w:r>
      <w:r>
        <w:rPr>
          <w:rFonts w:hint="eastAsia" w:hAnsi="宋体" w:cs="宋体"/>
          <w:color w:val="auto"/>
          <w:sz w:val="24"/>
          <w:szCs w:val="24"/>
          <w:highlight w:val="none"/>
        </w:rPr>
        <w:t>承包方式：</w:t>
      </w:r>
      <w:r>
        <w:rPr>
          <w:rFonts w:hint="eastAsia" w:hAnsi="宋体" w:cs="宋体"/>
          <w:bCs/>
          <w:color w:val="auto"/>
          <w:sz w:val="24"/>
          <w:szCs w:val="24"/>
          <w:highlight w:val="none"/>
        </w:rPr>
        <w:t>　</w:t>
      </w:r>
    </w:p>
    <w:p>
      <w:pPr>
        <w:spacing w:line="38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6.2.1 </w:t>
      </w:r>
      <w:r>
        <w:rPr>
          <w:rFonts w:hint="eastAsia" w:ascii="宋体" w:hAnsi="宋体" w:cs="宋体"/>
          <w:color w:val="auto"/>
          <w:sz w:val="24"/>
          <w:highlight w:val="none"/>
        </w:rPr>
        <w:t>本合同价款采用固定综合单价方式。</w:t>
      </w:r>
    </w:p>
    <w:p>
      <w:pPr>
        <w:spacing w:line="380" w:lineRule="exact"/>
        <w:ind w:firstLine="480" w:firstLineChars="200"/>
        <w:rPr>
          <w:rFonts w:hAnsi="宋体" w:cs="宋体"/>
          <w:color w:val="auto"/>
          <w:sz w:val="24"/>
          <w:highlight w:val="none"/>
        </w:rPr>
      </w:pPr>
      <w:r>
        <w:rPr>
          <w:rFonts w:hint="eastAsia" w:ascii="宋体" w:hAnsi="宋体" w:cs="宋体"/>
          <w:color w:val="auto"/>
          <w:sz w:val="24"/>
          <w:highlight w:val="none"/>
        </w:rPr>
        <w:t>6.2.2 磋商供应商应按照采购人提供的工程量清单进行报价并对自己所填写的项目编码、项目名称、计量单位、工程数量负责。</w:t>
      </w:r>
      <w:r>
        <w:rPr>
          <w:rFonts w:hint="eastAsia" w:ascii="宋体" w:hAnsi="宋体" w:cs="宋体"/>
          <w:bCs/>
          <w:color w:val="auto"/>
          <w:sz w:val="24"/>
          <w:highlight w:val="none"/>
        </w:rPr>
        <w:t>评标时，如项目编码与项目名称不一致，以项目编码为准；如项目编码与计量单位、工程数量无法对应的，该清单项目作废，该清单项目的费用视为包含在其它清单项目中；如作废的清单项目达到3项及以上或作废的清单项目造价累计超过单位工程磋商报价的2%（含2%），视为不响应竞争性磋商文件实质性内容，作废标处理。</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6.3 磋商货币：《响应文件》报价中的单价和合价全部采用人民币表示。</w:t>
      </w:r>
    </w:p>
    <w:p>
      <w:pPr>
        <w:spacing w:line="390" w:lineRule="exact"/>
        <w:jc w:val="center"/>
        <w:rPr>
          <w:rFonts w:ascii="宋体" w:hAnsi="宋体" w:cs="宋体"/>
          <w:b/>
          <w:color w:val="auto"/>
          <w:sz w:val="24"/>
          <w:highlight w:val="none"/>
        </w:rPr>
      </w:pPr>
    </w:p>
    <w:p>
      <w:pPr>
        <w:pStyle w:val="4"/>
        <w:spacing w:before="0" w:after="0" w:line="390" w:lineRule="exact"/>
        <w:rPr>
          <w:rFonts w:ascii="宋体" w:hAnsi="宋体" w:eastAsia="宋体" w:cs="宋体"/>
          <w:color w:val="auto"/>
          <w:sz w:val="24"/>
          <w:szCs w:val="24"/>
          <w:highlight w:val="none"/>
        </w:rPr>
      </w:pPr>
      <w:bookmarkStart w:id="44" w:name="_Toc86935816"/>
      <w:bookmarkStart w:id="45" w:name="_Toc459103901"/>
      <w:r>
        <w:rPr>
          <w:rFonts w:hint="eastAsia" w:ascii="宋体" w:hAnsi="宋体" w:eastAsia="宋体" w:cs="宋体"/>
          <w:color w:val="auto"/>
          <w:sz w:val="24"/>
          <w:szCs w:val="24"/>
          <w:highlight w:val="none"/>
        </w:rPr>
        <w:t>四、《响应文件》的编制格式</w:t>
      </w:r>
      <w:bookmarkEnd w:id="44"/>
      <w:bookmarkEnd w:id="45"/>
    </w:p>
    <w:p>
      <w:pPr>
        <w:pStyle w:val="25"/>
        <w:spacing w:line="390" w:lineRule="exact"/>
        <w:rPr>
          <w:rFonts w:hAnsi="宋体" w:cs="宋体"/>
          <w:b/>
          <w:color w:val="auto"/>
          <w:sz w:val="24"/>
          <w:szCs w:val="24"/>
          <w:highlight w:val="none"/>
        </w:rPr>
      </w:pPr>
      <w:r>
        <w:rPr>
          <w:rFonts w:hint="eastAsia" w:hAnsi="宋体" w:cs="宋体"/>
          <w:b/>
          <w:color w:val="auto"/>
          <w:sz w:val="24"/>
          <w:szCs w:val="24"/>
          <w:highlight w:val="none"/>
        </w:rPr>
        <w:t>7、《响应文件》的语言</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《响应文件》及磋商供应商与采购人之间与磋商有关的来往通知、函件和文件均应使用中文。</w:t>
      </w:r>
    </w:p>
    <w:p>
      <w:pPr>
        <w:pStyle w:val="25"/>
        <w:spacing w:line="390" w:lineRule="exact"/>
        <w:rPr>
          <w:rFonts w:hAnsi="宋体" w:cs="宋体"/>
          <w:b/>
          <w:color w:val="auto"/>
          <w:sz w:val="24"/>
          <w:szCs w:val="24"/>
          <w:highlight w:val="none"/>
        </w:rPr>
      </w:pPr>
      <w:r>
        <w:rPr>
          <w:rFonts w:hint="eastAsia" w:hAnsi="宋体" w:cs="宋体"/>
          <w:b/>
          <w:color w:val="auto"/>
          <w:sz w:val="24"/>
          <w:szCs w:val="24"/>
          <w:highlight w:val="none"/>
        </w:rPr>
        <w:t>8、《响应文件》的组成</w:t>
      </w:r>
    </w:p>
    <w:p>
      <w:pPr>
        <w:pStyle w:val="25"/>
        <w:tabs>
          <w:tab w:val="left" w:pos="426"/>
        </w:tabs>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8.1《响应文件》应包括下列内容：</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8.1.1资格证明文件：</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（1）有效的法人营业执照副本扫描件；</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（2）有效的资质证书副本扫描件；</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（3）有效的安全生产许可证副本扫描件；</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）法定代表人身份证明书；</w:t>
      </w:r>
    </w:p>
    <w:p>
      <w:pPr>
        <w:pStyle w:val="25"/>
        <w:spacing w:line="390" w:lineRule="exact"/>
        <w:ind w:firstLine="480" w:firstLineChars="200"/>
        <w:rPr>
          <w:rFonts w:hAnsi="宋体" w:cs="宋体"/>
          <w:bCs/>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）授权委托书</w:t>
      </w:r>
      <w:r>
        <w:rPr>
          <w:rFonts w:hint="eastAsia" w:hAnsi="宋体" w:cs="宋体"/>
          <w:bCs/>
          <w:color w:val="auto"/>
          <w:sz w:val="24"/>
          <w:szCs w:val="24"/>
          <w:highlight w:val="none"/>
        </w:rPr>
        <w:t>（委托时必须提供）；</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6</w:t>
      </w:r>
      <w:r>
        <w:rPr>
          <w:rFonts w:hint="eastAsia" w:hAnsi="宋体" w:cs="宋体"/>
          <w:color w:val="auto"/>
          <w:sz w:val="24"/>
          <w:szCs w:val="24"/>
          <w:highlight w:val="none"/>
        </w:rPr>
        <w:t>）</w:t>
      </w:r>
      <w:r>
        <w:rPr>
          <w:rFonts w:hint="eastAsia" w:hAnsi="宋体" w:cs="宋体"/>
          <w:color w:val="auto"/>
          <w:sz w:val="24"/>
          <w:szCs w:val="24"/>
          <w:highlight w:val="none"/>
          <w:lang w:eastAsia="zh-CN"/>
        </w:rPr>
        <w:t>2023年12月至磋商截止之日前连续三个月供应商依法纳税证明</w:t>
      </w:r>
      <w:r>
        <w:rPr>
          <w:rFonts w:hint="eastAsia" w:hAnsi="宋体" w:cs="宋体"/>
          <w:color w:val="auto"/>
          <w:sz w:val="24"/>
          <w:szCs w:val="24"/>
          <w:highlight w:val="none"/>
        </w:rPr>
        <w:t>；无纳税记录的，应提供由竞标人所在地的税务部门出具的《依法纳税或依法免税证明》（格式自拟，扫描件）；</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7</w:t>
      </w:r>
      <w:r>
        <w:rPr>
          <w:rFonts w:hint="eastAsia" w:hAnsi="宋体" w:cs="宋体"/>
          <w:color w:val="auto"/>
          <w:sz w:val="24"/>
          <w:szCs w:val="24"/>
          <w:highlight w:val="none"/>
        </w:rPr>
        <w:t>）</w:t>
      </w:r>
      <w:r>
        <w:rPr>
          <w:rFonts w:hint="eastAsia" w:hAnsi="宋体" w:cs="宋体"/>
          <w:color w:val="auto"/>
          <w:sz w:val="24"/>
          <w:szCs w:val="24"/>
          <w:highlight w:val="none"/>
          <w:lang w:eastAsia="zh-CN"/>
        </w:rPr>
        <w:t>2023年12月至磋商截止之日前连续三个月供应商依法缴纳社保证明</w:t>
      </w:r>
      <w:r>
        <w:rPr>
          <w:rFonts w:hint="eastAsia" w:hAnsi="宋体" w:cs="宋体"/>
          <w:color w:val="auto"/>
          <w:sz w:val="24"/>
          <w:szCs w:val="24"/>
          <w:highlight w:val="none"/>
        </w:rPr>
        <w:t>；无</w:t>
      </w:r>
      <w:r>
        <w:rPr>
          <w:rFonts w:hint="eastAsia" w:hAnsi="宋体" w:cs="宋体"/>
          <w:color w:val="auto"/>
          <w:sz w:val="24"/>
          <w:szCs w:val="24"/>
          <w:highlight w:val="none"/>
          <w:lang w:val="en-US" w:eastAsia="zh-CN"/>
        </w:rPr>
        <w:t>缴纳记录</w:t>
      </w:r>
      <w:r>
        <w:rPr>
          <w:rFonts w:hint="eastAsia" w:hAnsi="宋体" w:cs="宋体"/>
          <w:color w:val="auto"/>
          <w:sz w:val="24"/>
          <w:szCs w:val="24"/>
          <w:highlight w:val="none"/>
        </w:rPr>
        <w:t>的，应提供由投标人所在地社保部门出具的《依法缴纳或依法免缴社保费证明》（格式自拟，扫描件）；</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w:t>
      </w:r>
      <w:r>
        <w:rPr>
          <w:rFonts w:hint="eastAsia" w:hAnsi="宋体" w:cs="宋体"/>
          <w:bCs/>
          <w:color w:val="auto"/>
          <w:sz w:val="24"/>
          <w:szCs w:val="24"/>
          <w:highlight w:val="none"/>
        </w:rPr>
        <w:t>拟派项目经理具备</w:t>
      </w:r>
      <w:r>
        <w:rPr>
          <w:rFonts w:hint="eastAsia" w:hAnsi="宋体" w:cs="宋体"/>
          <w:bCs/>
          <w:color w:val="auto"/>
          <w:sz w:val="24"/>
          <w:szCs w:val="24"/>
          <w:highlight w:val="none"/>
          <w:lang w:eastAsia="zh-CN"/>
        </w:rPr>
        <w:t>建筑工程</w:t>
      </w:r>
      <w:r>
        <w:rPr>
          <w:rFonts w:hint="eastAsia" w:hAnsi="宋体" w:cs="宋体"/>
          <w:bCs/>
          <w:color w:val="auto"/>
          <w:sz w:val="24"/>
          <w:szCs w:val="24"/>
          <w:highlight w:val="none"/>
        </w:rPr>
        <w:t>二级及以上注册建造师证书及有效的省级或省级以上建设行政主管部门颁发的安全生产考核合格证书的扫描件</w:t>
      </w:r>
      <w:r>
        <w:rPr>
          <w:rFonts w:hint="eastAsia" w:hAnsi="宋体" w:cs="宋体"/>
          <w:color w:val="auto"/>
          <w:sz w:val="24"/>
          <w:szCs w:val="24"/>
          <w:highlight w:val="none"/>
        </w:rPr>
        <w:t>；</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9</w:t>
      </w:r>
      <w:r>
        <w:rPr>
          <w:rFonts w:hint="eastAsia" w:hAnsi="宋体" w:cs="宋体"/>
          <w:color w:val="auto"/>
          <w:sz w:val="24"/>
          <w:szCs w:val="24"/>
          <w:highlight w:val="none"/>
        </w:rPr>
        <w:t>）拟派往本项目专职安全员岗位证书扫描件及有效的省级或省级以上建设行政主管部门颁发的安全生产考核合格证书的扫描件；</w:t>
      </w:r>
    </w:p>
    <w:p>
      <w:pPr>
        <w:pStyle w:val="25"/>
        <w:spacing w:line="39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0</w:t>
      </w:r>
      <w:r>
        <w:rPr>
          <w:rFonts w:hint="eastAsia" w:hAnsi="宋体" w:cs="宋体"/>
          <w:color w:val="auto"/>
          <w:sz w:val="24"/>
          <w:szCs w:val="24"/>
          <w:highlight w:val="none"/>
        </w:rPr>
        <w:t>）2023年经审计的财务报告，或竞争性磋商公告日期后银行出具的有效资信证明，或竞争性磋商公告日期后政府采购专业担保机构出具的有效投标担保函（格式自拟，扫描件）；</w:t>
      </w:r>
    </w:p>
    <w:p>
      <w:pPr>
        <w:pStyle w:val="25"/>
        <w:spacing w:line="390" w:lineRule="exact"/>
        <w:ind w:firstLine="480" w:firstLineChars="200"/>
        <w:rPr>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1</w:t>
      </w:r>
      <w:r>
        <w:rPr>
          <w:rFonts w:hint="eastAsia" w:hAnsi="宋体" w:cs="宋体"/>
          <w:color w:val="auto"/>
          <w:sz w:val="24"/>
          <w:szCs w:val="24"/>
          <w:highlight w:val="none"/>
        </w:rPr>
        <w:t>）磋商供应商认为必要提供的声明及文件资料。</w:t>
      </w:r>
    </w:p>
    <w:p>
      <w:pPr>
        <w:pStyle w:val="25"/>
        <w:spacing w:line="390" w:lineRule="exact"/>
        <w:ind w:firstLine="480" w:firstLineChars="200"/>
        <w:rPr>
          <w:rFonts w:hAnsi="宋体" w:cs="宋体"/>
          <w:color w:val="auto"/>
          <w:kern w:val="0"/>
          <w:sz w:val="24"/>
          <w:szCs w:val="24"/>
          <w:highlight w:val="none"/>
        </w:rPr>
      </w:pPr>
      <w:r>
        <w:rPr>
          <w:rFonts w:hint="eastAsia" w:hAnsi="宋体" w:cs="宋体"/>
          <w:b/>
          <w:bCs/>
          <w:color w:val="auto"/>
          <w:sz w:val="24"/>
          <w:szCs w:val="24"/>
          <w:highlight w:val="none"/>
        </w:rPr>
        <w:t>注：</w:t>
      </w:r>
      <w:r>
        <w:rPr>
          <w:rFonts w:hint="eastAsia" w:hAnsi="宋体" w:cs="宋体"/>
          <w:b/>
          <w:bCs/>
          <w:color w:val="auto"/>
          <w:sz w:val="24"/>
          <w:szCs w:val="24"/>
          <w:highlight w:val="none"/>
          <w:u w:val="single"/>
        </w:rPr>
        <w:t>1.</w:t>
      </w:r>
      <w:r>
        <w:rPr>
          <w:rFonts w:hint="eastAsia" w:hAnsi="宋体" w:cs="宋体"/>
          <w:b/>
          <w:color w:val="auto"/>
          <w:sz w:val="24"/>
          <w:szCs w:val="24"/>
          <w:highlight w:val="none"/>
          <w:u w:val="single"/>
        </w:rPr>
        <w:t>上述材料缺少任何一项或任何一项无效均会被视为资格审查不合格，作无效磋商处理</w:t>
      </w:r>
      <w:r>
        <w:rPr>
          <w:rFonts w:hint="eastAsia" w:hAnsi="宋体" w:cs="宋体"/>
          <w:b/>
          <w:color w:val="auto"/>
          <w:sz w:val="24"/>
          <w:szCs w:val="24"/>
          <w:highlight w:val="none"/>
        </w:rPr>
        <w:t>。</w:t>
      </w:r>
      <w:r>
        <w:rPr>
          <w:rFonts w:hint="eastAsia" w:hAnsi="宋体"/>
          <w:b/>
          <w:color w:val="auto"/>
          <w:sz w:val="24"/>
          <w:highlight w:val="none"/>
          <w:u w:val="single"/>
        </w:rPr>
        <w:t>2.以上材料属于复印件的扫描件的，必须加盖供应商电子公章，否则响应文件按无效响应处理。</w:t>
      </w:r>
    </w:p>
    <w:p>
      <w:pPr>
        <w:pStyle w:val="25"/>
        <w:spacing w:line="390" w:lineRule="exact"/>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8.1.2报价文件</w:t>
      </w:r>
    </w:p>
    <w:p>
      <w:pPr>
        <w:pStyle w:val="25"/>
        <w:spacing w:line="390" w:lineRule="exact"/>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（1）磋商函及磋商函附录</w:t>
      </w:r>
    </w:p>
    <w:p>
      <w:pPr>
        <w:pStyle w:val="25"/>
        <w:spacing w:line="390" w:lineRule="exact"/>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（2）竞标人基本情况表</w:t>
      </w:r>
    </w:p>
    <w:p>
      <w:pPr>
        <w:pStyle w:val="25"/>
        <w:spacing w:line="390" w:lineRule="exact"/>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（3）已标价工程量清单</w:t>
      </w:r>
    </w:p>
    <w:p>
      <w:pPr>
        <w:pStyle w:val="67"/>
        <w:rPr>
          <w:rFonts w:hAnsi="宋体"/>
          <w:bCs/>
          <w:color w:val="auto"/>
          <w:highlight w:val="none"/>
        </w:rPr>
      </w:pPr>
      <w:r>
        <w:rPr>
          <w:rFonts w:hint="eastAsia" w:hAnsi="宋体" w:cs="Times New Roman"/>
          <w:b/>
          <w:color w:val="auto"/>
          <w:highlight w:val="none"/>
          <w:u w:val="single"/>
        </w:rPr>
        <w:t>注：以上材料属于复印件的扫描件的，必须加盖供应商电子公章，否则响应文件按无效响应处理。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8.1.3商务技术文件</w:t>
      </w:r>
    </w:p>
    <w:p>
      <w:pPr>
        <w:pStyle w:val="25"/>
        <w:spacing w:line="390" w:lineRule="exact"/>
        <w:ind w:firstLine="480" w:firstLineChars="200"/>
        <w:rPr>
          <w:color w:val="auto"/>
          <w:sz w:val="24"/>
          <w:szCs w:val="24"/>
          <w:highlight w:val="none"/>
        </w:rPr>
      </w:pPr>
      <w:r>
        <w:rPr>
          <w:rFonts w:hint="eastAsia" w:hAnsi="宋体" w:cs="宋体"/>
          <w:bCs/>
          <w:color w:val="auto"/>
          <w:sz w:val="24"/>
          <w:szCs w:val="24"/>
          <w:highlight w:val="none"/>
        </w:rPr>
        <w:t>(1)</w:t>
      </w:r>
      <w:r>
        <w:rPr>
          <w:rFonts w:ascii="Calibri" w:hAnsi="Calibri" w:cs="Calibri"/>
          <w:bCs/>
          <w:color w:val="auto"/>
          <w:sz w:val="24"/>
          <w:szCs w:val="24"/>
          <w:highlight w:val="none"/>
        </w:rPr>
        <w:t>主要管理人员表</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(2)建设工程项目管理承诺书</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(3)施工组织设计</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(4)业绩</w:t>
      </w:r>
    </w:p>
    <w:p>
      <w:pPr>
        <w:pStyle w:val="25"/>
        <w:spacing w:line="39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(5)其他资料</w:t>
      </w:r>
    </w:p>
    <w:p>
      <w:pPr>
        <w:pStyle w:val="68"/>
        <w:rPr>
          <w:color w:val="auto"/>
          <w:highlight w:val="none"/>
        </w:rPr>
      </w:pPr>
      <w:r>
        <w:rPr>
          <w:rFonts w:hint="eastAsia" w:hAnsi="宋体"/>
          <w:color w:val="auto"/>
          <w:sz w:val="24"/>
          <w:highlight w:val="none"/>
          <w:u w:val="single"/>
        </w:rPr>
        <w:t>注：以上材料属于复印件的扫描件的，必须加盖供应商电子公章，否则响应文件按无效响应处理。</w:t>
      </w:r>
    </w:p>
    <w:p>
      <w:pPr>
        <w:spacing w:line="39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8.2 磋商单位应使用</w:t>
      </w:r>
      <w:r>
        <w:rPr>
          <w:rFonts w:hint="eastAsia" w:ascii="宋体" w:hAnsi="宋体" w:cs="宋体"/>
          <w:color w:val="auto"/>
          <w:sz w:val="24"/>
          <w:highlight w:val="none"/>
        </w:rPr>
        <w:t>《竞争性磋商文件》</w:t>
      </w:r>
      <w:r>
        <w:rPr>
          <w:rFonts w:hint="eastAsia" w:ascii="宋体" w:hAnsi="宋体" w:cs="宋体"/>
          <w:bCs/>
          <w:color w:val="auto"/>
          <w:sz w:val="24"/>
          <w:highlight w:val="none"/>
        </w:rPr>
        <w:t>提供的格式，但表格可以按同样格式扩展，磋商保证金、履约保证金的方式按本须知有关条款的规定可以选择。</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9、磋商货币</w:t>
      </w:r>
    </w:p>
    <w:p>
      <w:pPr>
        <w:tabs>
          <w:tab w:val="left" w:pos="426"/>
        </w:tabs>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9.1磋商应以人民币报价。</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10、磋商的有效期</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10．1《响应文件》从磋商截止日期后60天内有效。</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10．2在特殊情况下，采购代理机构可与磋商供应商协商延长《响应文件》的有效期。</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11、《响应文件》电子版的编制要求</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11.1各供应商在编制响应文件时请按照磋商文件“第七章 响应文件（格式）”规定的格式进行，第七章未附格式的，由供应商自行拟定。混乱的编排导致响应文件被误读或磋商小组查找不到有效文件是供应商的风险。不完整、编排混乱导致响应文件被误读、漏读或者查找不到相关内容的，由此引发的后果由供应商承担。</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11.2本磋商只接受电子版响应文件，要求见本章前附表“响应文件电子版要求”。</w:t>
      </w:r>
    </w:p>
    <w:p>
      <w:pPr>
        <w:spacing w:line="39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11.3响应文件须由供应商在“第七章 响应文件（格式）”规定位置进行签署、盖章，否则其响应文件按无效响应处理。骑缝盖公章不视为在规定位置盖章</w:t>
      </w:r>
      <w:r>
        <w:rPr>
          <w:rFonts w:hint="eastAsia" w:ascii="宋体" w:hAnsi="宋体" w:cs="宋体"/>
          <w:bCs/>
          <w:color w:val="auto"/>
          <w:sz w:val="24"/>
          <w:highlight w:val="none"/>
        </w:rPr>
        <w:t>。</w:t>
      </w:r>
    </w:p>
    <w:p>
      <w:pPr>
        <w:spacing w:line="390" w:lineRule="exact"/>
        <w:ind w:firstLine="480" w:firstLineChars="200"/>
        <w:rPr>
          <w:rFonts w:ascii="宋体" w:hAnsi="宋体"/>
          <w:b/>
          <w:color w:val="auto"/>
          <w:sz w:val="24"/>
          <w:highlight w:val="none"/>
        </w:rPr>
      </w:pPr>
      <w:r>
        <w:rPr>
          <w:rFonts w:hint="eastAsia" w:ascii="宋体" w:hAnsi="宋体" w:cs="宋体"/>
          <w:bCs/>
          <w:color w:val="auto"/>
          <w:sz w:val="24"/>
          <w:highlight w:val="none"/>
        </w:rPr>
        <w:t>11.4响应文件中标注的供应商名称应与营业执照（事业单位法人证书、执业许可证、自然人身份证）及电子公章一致，否则其响应文件按无效响应处理</w:t>
      </w:r>
      <w:r>
        <w:rPr>
          <w:rFonts w:hint="eastAsia" w:ascii="宋体" w:hAnsi="宋体"/>
          <w:bCs/>
          <w:color w:val="auto"/>
          <w:sz w:val="24"/>
          <w:highlight w:val="none"/>
        </w:rPr>
        <w:t>。</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11.5响应文件应避免涂改、行间插字或者删除，否则其响应文件按无效响应处理。</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12、磋商保证金</w:t>
      </w:r>
    </w:p>
    <w:p>
      <w:pPr>
        <w:spacing w:line="390" w:lineRule="exact"/>
        <w:ind w:firstLine="480" w:firstLineChars="200"/>
        <w:rPr>
          <w:rFonts w:ascii="宋体" w:hAnsi="宋体" w:cs="宋体"/>
          <w:color w:val="auto"/>
          <w:sz w:val="24"/>
          <w:highlight w:val="none"/>
        </w:rPr>
      </w:pPr>
      <w:bookmarkStart w:id="46" w:name="_Toc459103902"/>
      <w:bookmarkStart w:id="47" w:name="_Toc86935817"/>
      <w:r>
        <w:rPr>
          <w:rFonts w:hint="eastAsia" w:ascii="宋体" w:hAnsi="宋体" w:cs="宋体"/>
          <w:color w:val="auto"/>
          <w:sz w:val="24"/>
          <w:highlight w:val="none"/>
        </w:rPr>
        <w:t>1.投标人须按规定提交磋商保证金。否则，其投标将作无效投标处理。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2.保证金交纳形式：银行转账、支票、汇票、本票或者金融、担保机构出具的保函，禁止采用现钞方式。</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3.未中标（成交）人的投标保证金在中标（成交）通知书发出后5个工作日内退还。</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中标（成交）人应在中标（成交）通知书发出后25日内与采购人签订合同，中标（成交）人的投标保证金自采购合同签订之日起5个工作日内退还或者转为中标（成交）人的履约保证金（应提供一份合同副本给采购代理机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5.保证金不计息。</w:t>
      </w:r>
    </w:p>
    <w:p>
      <w:pPr>
        <w:pStyle w:val="4"/>
        <w:spacing w:before="0" w:after="0" w:line="39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五、《响应文件》的递交</w:t>
      </w:r>
      <w:bookmarkEnd w:id="46"/>
      <w:bookmarkEnd w:id="47"/>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13、《响应文件》的密封与标记</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13.1供应商进行电子交易应安装客户端软件“政采云电子交易客户端”，并按照磋商文件和电子交易平台的要求编制并加密响应文件。供应商未按规定加密的响应文件，电子交易平台 将拒收并提示。</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13.2使用“政采云电子交易客户端”需要提前申领 CA 数字证书，申领流程见本项目采购公告。</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13.3为确保网上操作合法、有效和安全，供应商应当在响应文件提交截止时间前完成在“政府采购云平台”的身份认证，确保在电子交易过程中能够对相关数据电文进行加密和使用电子签名。</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 xml:space="preserve">14、磋商截止时间  </w:t>
      </w:r>
    </w:p>
    <w:p>
      <w:pPr>
        <w:spacing w:line="39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14.1《响应文件》的递交不得迟于本须知前附表第11项规定的截止时间。</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14.2磋商供应商必须在规定时间内将《响应文件》送到本须知前附表第11项规定地点，</w:t>
      </w:r>
      <w:r>
        <w:rPr>
          <w:rFonts w:hint="eastAsia" w:hAnsi="宋体" w:cs="宋体"/>
          <w:color w:val="auto"/>
          <w:sz w:val="24"/>
          <w:highlight w:val="none"/>
        </w:rPr>
        <w:t>采购代理机构不可视情况延长提交响应文件的截止时间，</w:t>
      </w:r>
      <w:r>
        <w:rPr>
          <w:rFonts w:hint="eastAsia" w:ascii="宋体" w:hAnsi="宋体" w:cs="宋体"/>
          <w:color w:val="auto"/>
          <w:sz w:val="24"/>
          <w:highlight w:val="none"/>
        </w:rPr>
        <w:t>超过磋商截止时间送达的《响应文件》将不予受理。</w:t>
      </w:r>
    </w:p>
    <w:p>
      <w:pPr>
        <w:spacing w:line="390" w:lineRule="exact"/>
        <w:ind w:firstLine="480" w:firstLineChars="200"/>
        <w:rPr>
          <w:rFonts w:hAnsi="宋体" w:cs="宋体"/>
          <w:color w:val="auto"/>
          <w:sz w:val="24"/>
          <w:highlight w:val="none"/>
        </w:rPr>
      </w:pPr>
      <w:r>
        <w:rPr>
          <w:rFonts w:hint="eastAsia" w:ascii="宋体" w:hAnsi="宋体" w:cs="宋体"/>
          <w:color w:val="auto"/>
          <w:sz w:val="24"/>
          <w:highlight w:val="none"/>
        </w:rPr>
        <w:t>14.3磋商供应商应当在开标截止时间前，将生成的“电子加密响应文件”上传递交至政采云平台。响应文件递交截止时间前可以补充、修改或者撤回电子磋商响应文件。补充或者修改电子磋商响应文件的，应当先行撤回原文件，补充、修改后重新传输递交，开标截止时间前未完成传输的，视为撤回响应文件。在《响应文件》提交截止时间以后，不能补充、修改响应文件。截止时间后可向采购人、采购代理机构书面申请撤回电子响应文件。</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14.4电子交易平台收到响应文件，将妥善保存并即时向供应商发出确认回执通知。在响应文件提交截止时间前，除供应商补充、修改或者撤回响应文件外，任何单位和个人不得解密或提取响应文件。</w:t>
      </w:r>
    </w:p>
    <w:p>
      <w:pPr>
        <w:spacing w:line="390" w:lineRule="exact"/>
        <w:ind w:firstLine="480" w:firstLineChars="200"/>
        <w:rPr>
          <w:color w:val="auto"/>
          <w:highlight w:val="none"/>
        </w:rPr>
      </w:pPr>
      <w:r>
        <w:rPr>
          <w:rFonts w:hint="eastAsia" w:ascii="宋体" w:hAnsi="宋体" w:cs="宋体"/>
          <w:color w:val="auto"/>
          <w:sz w:val="24"/>
          <w:highlight w:val="none"/>
        </w:rPr>
        <w:t>14.5响应文件提交截止时间止提交响应文件的供应商不足 3 家时，电子响应文件由代理机构在广西政府采购云平台操作退回，除此之外采购人和采购代理机构对已提交的电子响应文件概不退回。</w:t>
      </w:r>
    </w:p>
    <w:p>
      <w:pPr>
        <w:pStyle w:val="4"/>
        <w:spacing w:before="0" w:after="0" w:line="390" w:lineRule="exact"/>
        <w:rPr>
          <w:rFonts w:ascii="宋体" w:hAnsi="宋体" w:eastAsia="宋体" w:cs="宋体"/>
          <w:color w:val="auto"/>
          <w:sz w:val="24"/>
          <w:szCs w:val="24"/>
          <w:highlight w:val="none"/>
        </w:rPr>
      </w:pPr>
      <w:bookmarkStart w:id="48" w:name="_Toc459103903"/>
    </w:p>
    <w:p>
      <w:pPr>
        <w:pStyle w:val="4"/>
        <w:spacing w:before="0" w:after="0" w:line="390" w:lineRule="exact"/>
        <w:rPr>
          <w:rFonts w:ascii="宋体" w:hAnsi="宋体" w:eastAsia="宋体" w:cs="宋体"/>
          <w:color w:val="auto"/>
          <w:sz w:val="24"/>
          <w:szCs w:val="24"/>
          <w:highlight w:val="none"/>
        </w:rPr>
      </w:pPr>
      <w:bookmarkStart w:id="49" w:name="_Toc86935818"/>
      <w:r>
        <w:rPr>
          <w:rFonts w:hint="eastAsia" w:ascii="宋体" w:hAnsi="宋体" w:eastAsia="宋体" w:cs="宋体"/>
          <w:color w:val="auto"/>
          <w:sz w:val="24"/>
          <w:szCs w:val="24"/>
          <w:highlight w:val="none"/>
        </w:rPr>
        <w:t>六、竞争性磋商与评标</w:t>
      </w:r>
      <w:bookmarkEnd w:id="48"/>
      <w:bookmarkEnd w:id="49"/>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15.响应文件的开启</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15.1响应文件由磋商小组或者采购代理机构在“供应商须知前附表”规定的时间开启。</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15.2响应文件解密</w:t>
      </w:r>
    </w:p>
    <w:p>
      <w:pPr>
        <w:spacing w:line="390" w:lineRule="exact"/>
        <w:ind w:firstLine="480" w:firstLineChars="200"/>
        <w:rPr>
          <w:rFonts w:ascii="宋体" w:hAnsi="宋体" w:cs="宋体"/>
          <w:color w:val="auto"/>
          <w:sz w:val="24"/>
          <w:highlight w:val="none"/>
        </w:rPr>
      </w:pPr>
      <w:r>
        <w:rPr>
          <w:rFonts w:ascii="宋体" w:hAnsi="宋体" w:cs="宋体"/>
          <w:color w:val="auto"/>
          <w:sz w:val="24"/>
          <w:highlight w:val="none"/>
        </w:rPr>
        <w:t>采购代理机构将在“供应商须知前附表”规定的时间通过电子交易平台组织响应文件开启， 采购机构依托电子交易平台发起</w:t>
      </w:r>
      <w:r>
        <w:rPr>
          <w:rFonts w:hint="eastAsia" w:ascii="宋体" w:hAnsi="宋体" w:cs="宋体"/>
          <w:color w:val="auto"/>
          <w:sz w:val="24"/>
          <w:highlight w:val="none"/>
        </w:rPr>
        <w:t>【开始解密】</w:t>
      </w:r>
      <w:r>
        <w:rPr>
          <w:rFonts w:ascii="宋体" w:hAnsi="宋体" w:cs="宋体"/>
          <w:color w:val="auto"/>
          <w:sz w:val="24"/>
          <w:highlight w:val="none"/>
        </w:rPr>
        <w:t>指令，供应商的法定代表人或其委托代理人须携带加密时所用的 CA 锁按平台提示和采购文件的规定登录到</w:t>
      </w:r>
      <w:r>
        <w:rPr>
          <w:rFonts w:hint="eastAsia" w:ascii="宋体" w:hAnsi="宋体" w:cs="宋体"/>
          <w:color w:val="auto"/>
          <w:sz w:val="24"/>
          <w:highlight w:val="none"/>
        </w:rPr>
        <w:t>广西政府采购云平台</w:t>
      </w:r>
      <w:r>
        <w:rPr>
          <w:rFonts w:ascii="宋体" w:hAnsi="宋体" w:cs="宋体"/>
          <w:color w:val="auto"/>
          <w:sz w:val="24"/>
          <w:highlight w:val="none"/>
        </w:rPr>
        <w:t xml:space="preserve">电子开标大厅签到并在发起解密指令之时起 </w:t>
      </w:r>
      <w:r>
        <w:rPr>
          <w:rFonts w:hint="eastAsia" w:ascii="宋体" w:hAnsi="宋体" w:cs="宋体"/>
          <w:color w:val="auto"/>
          <w:sz w:val="24"/>
          <w:highlight w:val="none"/>
        </w:rPr>
        <w:t>30</w:t>
      </w:r>
      <w:r>
        <w:rPr>
          <w:rFonts w:ascii="宋体" w:hAnsi="宋体" w:cs="宋体"/>
          <w:color w:val="auto"/>
          <w:sz w:val="24"/>
          <w:highlight w:val="none"/>
        </w:rPr>
        <w:t>分钟内完成对电子响应文件在线解密。发起解密指令之时起 5 分钟内供应商还未进行解密的，代理机构要通知供应商，供应商没预留联系方式或预留联系方式无效，</w:t>
      </w:r>
      <w:r>
        <w:rPr>
          <w:rFonts w:hint="eastAsia" w:ascii="宋体" w:hAnsi="宋体" w:cs="宋体"/>
          <w:color w:val="auto"/>
          <w:sz w:val="24"/>
          <w:highlight w:val="none"/>
        </w:rPr>
        <w:t>导致代理机构无法联系到投标人在</w:t>
      </w:r>
      <w:r>
        <w:rPr>
          <w:rFonts w:ascii="宋体" w:hAnsi="宋体" w:cs="宋体"/>
          <w:color w:val="auto"/>
          <w:sz w:val="24"/>
          <w:highlight w:val="none"/>
        </w:rPr>
        <w:t xml:space="preserve">发起解密指令之时起 </w:t>
      </w:r>
      <w:r>
        <w:rPr>
          <w:rFonts w:hint="eastAsia" w:ascii="宋体" w:hAnsi="宋体" w:cs="宋体"/>
          <w:color w:val="auto"/>
          <w:sz w:val="24"/>
          <w:highlight w:val="none"/>
        </w:rPr>
        <w:t>30</w:t>
      </w:r>
      <w:r>
        <w:rPr>
          <w:rFonts w:ascii="宋体" w:hAnsi="宋体" w:cs="宋体"/>
          <w:color w:val="auto"/>
          <w:sz w:val="24"/>
          <w:highlight w:val="none"/>
        </w:rPr>
        <w:t>分钟内完成对电子响应文件在线解密</w:t>
      </w:r>
      <w:r>
        <w:rPr>
          <w:rFonts w:hint="eastAsia" w:ascii="宋体" w:hAnsi="宋体" w:cs="宋体"/>
          <w:color w:val="auto"/>
          <w:sz w:val="24"/>
          <w:highlight w:val="none"/>
        </w:rPr>
        <w:t>的，均视为无效投标</w:t>
      </w:r>
      <w:r>
        <w:rPr>
          <w:rFonts w:ascii="宋体" w:hAnsi="宋体" w:cs="宋体"/>
          <w:color w:val="auto"/>
          <w:sz w:val="24"/>
          <w:highlight w:val="none"/>
        </w:rPr>
        <w:t xml:space="preserve">。（解密异常情况处理：详见本章 </w:t>
      </w:r>
      <w:r>
        <w:rPr>
          <w:rFonts w:hint="eastAsia" w:ascii="宋体" w:hAnsi="宋体" w:cs="宋体"/>
          <w:color w:val="auto"/>
          <w:sz w:val="24"/>
          <w:highlight w:val="none"/>
        </w:rPr>
        <w:t>15.3</w:t>
      </w:r>
      <w:r>
        <w:rPr>
          <w:rFonts w:ascii="宋体" w:hAnsi="宋体" w:cs="宋体"/>
          <w:color w:val="auto"/>
          <w:sz w:val="24"/>
          <w:highlight w:val="none"/>
        </w:rPr>
        <w:t xml:space="preserve"> 电子交易活动的中止。） </w:t>
      </w:r>
    </w:p>
    <w:p>
      <w:pPr>
        <w:spacing w:line="390" w:lineRule="exact"/>
        <w:ind w:firstLine="480" w:firstLineChars="200"/>
        <w:rPr>
          <w:rFonts w:ascii="宋体" w:hAnsi="宋体" w:cs="宋体"/>
          <w:color w:val="auto"/>
          <w:sz w:val="24"/>
          <w:highlight w:val="none"/>
        </w:rPr>
      </w:pPr>
      <w:r>
        <w:rPr>
          <w:rFonts w:ascii="宋体" w:hAnsi="宋体" w:cs="宋体"/>
          <w:color w:val="auto"/>
          <w:sz w:val="24"/>
          <w:highlight w:val="none"/>
        </w:rPr>
        <w:t>如供应商成功解密响应文件，但未在“政采云”电子开标大厅参加谈判的，视同认可</w:t>
      </w:r>
      <w:r>
        <w:rPr>
          <w:rFonts w:hint="eastAsia" w:ascii="宋体" w:hAnsi="宋体" w:cs="宋体"/>
          <w:color w:val="auto"/>
          <w:sz w:val="24"/>
          <w:highlight w:val="none"/>
        </w:rPr>
        <w:t>磋商</w:t>
      </w:r>
      <w:r>
        <w:rPr>
          <w:rFonts w:ascii="宋体" w:hAnsi="宋体" w:cs="宋体"/>
          <w:color w:val="auto"/>
          <w:sz w:val="24"/>
          <w:highlight w:val="none"/>
        </w:rPr>
        <w:t>过程和结果，由此产生的后果由供应商自行负责。参与</w:t>
      </w:r>
      <w:r>
        <w:rPr>
          <w:rFonts w:hint="eastAsia" w:ascii="宋体" w:hAnsi="宋体" w:cs="宋体"/>
          <w:color w:val="auto"/>
          <w:sz w:val="24"/>
          <w:highlight w:val="none"/>
        </w:rPr>
        <w:t>磋商</w:t>
      </w:r>
      <w:r>
        <w:rPr>
          <w:rFonts w:ascii="宋体" w:hAnsi="宋体" w:cs="宋体"/>
          <w:color w:val="auto"/>
          <w:sz w:val="24"/>
          <w:highlight w:val="none"/>
        </w:rPr>
        <w:t>的供应商不足3 家的，不得</w:t>
      </w:r>
      <w:r>
        <w:rPr>
          <w:rFonts w:hint="eastAsia" w:ascii="宋体" w:hAnsi="宋体" w:cs="宋体"/>
          <w:color w:val="auto"/>
          <w:sz w:val="24"/>
          <w:highlight w:val="none"/>
        </w:rPr>
        <w:t>继续磋商</w:t>
      </w:r>
      <w:r>
        <w:rPr>
          <w:rFonts w:ascii="宋体" w:hAnsi="宋体" w:cs="宋体"/>
          <w:color w:val="auto"/>
          <w:sz w:val="24"/>
          <w:highlight w:val="none"/>
        </w:rPr>
        <w:t>。</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15.3电子交易活动的中止</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采购过程中出现以下情形，导致电子交易平台无法正常运行， 或者无法保证电子交易的公平、公正和安全时，采购机构可中止电子交易活动： </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（1）电子交易平台发生故障而无法登录访问的； </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（2）电子交易平台应用或数据库出现错误，不能进行正常操作的； </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（3）电子交易平台发现严重安全漏洞，有潜在泄密危险的； </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（4）病毒发作导致不能进行正常操作的； </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（5）其他无法保证电子交易的公平、公正和安全的情况 </w:t>
      </w:r>
    </w:p>
    <w:p>
      <w:pPr>
        <w:spacing w:line="390" w:lineRule="exact"/>
        <w:ind w:firstLine="480" w:firstLineChars="200"/>
        <w:rPr>
          <w:color w:val="auto"/>
          <w:highlight w:val="none"/>
        </w:rPr>
      </w:pPr>
      <w:r>
        <w:rPr>
          <w:rFonts w:hint="eastAsia" w:ascii="宋体" w:hAnsi="宋体" w:cs="宋体"/>
          <w:color w:val="auto"/>
          <w:sz w:val="24"/>
          <w:highlight w:val="none"/>
        </w:rPr>
        <w:t>15.4 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监管部门备案。</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16、磋商</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16.1磋商时间及地点：截标后为与磋商供应商的磋商时间，磋商地点为广西政府采购云平台电子开标大厅。</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采购人根据要求依法组建竞争性磋商小组（以下简称磋商小组），磋商小组由采购人代表和评审专家共三人以上（含三人）单数组成，其中评审专家人数不少于磋商小组成员总数的2/3。评审专家由采购代理机构在政采云平台广西评审专家库内相关专业技术、经济等方面的专家名单中随机抽取。</w:t>
      </w:r>
    </w:p>
    <w:p>
      <w:pPr>
        <w:pStyle w:val="33"/>
        <w:ind w:firstLine="480" w:firstLineChars="200"/>
        <w:rPr>
          <w:color w:val="auto"/>
          <w:sz w:val="24"/>
          <w:szCs w:val="24"/>
          <w:highlight w:val="none"/>
        </w:rPr>
      </w:pPr>
      <w:r>
        <w:rPr>
          <w:rFonts w:hint="eastAsia" w:ascii="宋体" w:hAnsi="宋体" w:cs="宋体"/>
          <w:color w:val="auto"/>
          <w:sz w:val="24"/>
          <w:szCs w:val="24"/>
          <w:highlight w:val="none"/>
        </w:rPr>
        <w:t>16.3</w:t>
      </w:r>
      <w:r>
        <w:rPr>
          <w:rFonts w:hint="eastAsia"/>
          <w:color w:val="auto"/>
          <w:sz w:val="24"/>
          <w:szCs w:val="24"/>
          <w:highlight w:val="none"/>
        </w:rPr>
        <w:t>评审专家应当遵守评审工作纪律，不得泄露评审情况和评审中获悉的商业秘密。</w:t>
      </w:r>
    </w:p>
    <w:p>
      <w:pPr>
        <w:spacing w:line="390" w:lineRule="exact"/>
        <w:ind w:firstLine="480" w:firstLineChars="200"/>
        <w:rPr>
          <w:color w:val="auto"/>
          <w:sz w:val="24"/>
          <w:highlight w:val="none"/>
        </w:rPr>
      </w:pPr>
      <w:r>
        <w:rPr>
          <w:rFonts w:hint="eastAsia" w:ascii="宋体" w:hAnsi="宋体" w:cs="宋体"/>
          <w:color w:val="auto"/>
          <w:sz w:val="24"/>
          <w:highlight w:val="none"/>
        </w:rPr>
        <w:t>16.4</w:t>
      </w:r>
      <w:r>
        <w:rPr>
          <w:rFonts w:hint="eastAsia"/>
          <w:color w:val="auto"/>
          <w:sz w:val="24"/>
          <w:highlight w:val="none"/>
        </w:rPr>
        <w:t>磋商小组成员应当按照客观、公正、审慎的原则，根据磋商文件规定的评审程序、评审方法和评审标准进行独立评审，</w:t>
      </w:r>
      <w:r>
        <w:rPr>
          <w:rFonts w:hint="eastAsia" w:ascii="宋体" w:hAnsi="宋体" w:cs="宋体"/>
          <w:color w:val="auto"/>
          <w:sz w:val="24"/>
          <w:highlight w:val="none"/>
        </w:rPr>
        <w:t>在整个磋商过程中，磋商小组将负责对全部《响应文件》进行审查、磋商及评标工作。</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16.5采购代理机构将按照提交首次响应文件的顺序在线上通知，通知磋商时，若某供应商不在通知现场时，该供应商排序到最后磋商，按照签到的顺序由其下一位供应商先参与磋商。 </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磋商的内容包括技术性条件、商务性条件以及磋商小组认为需要磋商的内容。当《响应文件》有实质性变动的，磋商小组以在线询标通知所有参加磋商的磋商供应商。磋商供应商应在规定的地点、时间内在线回复询标函。磋商供应商就商务和技术条件作出的包含补充、修改、承诺、重新报价等内容的询标回复函或第二轮报价，询标回复函必须由磋商供应商的法定代表人或委托代理人签名或盖电子公章，询标回复函构成《响应文件》的一部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16.7磋商小组对各磋商供应商递交的询标回复函或响应文件统一开启，并进行评审后，认为有必要再次进行磋商的，可再次与磋商供应商进行磋商，磋商程序和要求按本须知17.4规定执行，直至磋商小组认为没有必要再进行磋商，磋商方可结束。对最后一轮磋商，磋商小组应明确告知磋商供应商，并要求所有磋商供应商在规定的时间、地点以在线回复形式递交最终的询标回复函。</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16.8最终磋商结束后，磋商小组不得再与磋商供应商进行任何形式的商谈。</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16.9磋商的任何一方不得透露与磋商有关的其他磋商供应商的技术资料、价格和其他信息。</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17、评标</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17.1本采购项目的评标依据为《竞争性磋商文件》和《响应文件》。</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17.2评标工作将采取</w:t>
      </w:r>
      <w:r>
        <w:rPr>
          <w:rFonts w:hint="eastAsia" w:ascii="宋体" w:hAnsi="宋体" w:cs="宋体"/>
          <w:color w:val="auto"/>
          <w:sz w:val="24"/>
          <w:highlight w:val="none"/>
          <w:u w:val="single"/>
        </w:rPr>
        <w:t>封闭方式</w:t>
      </w:r>
      <w:r>
        <w:rPr>
          <w:rFonts w:hint="eastAsia" w:ascii="宋体" w:hAnsi="宋体" w:cs="宋体"/>
          <w:color w:val="auto"/>
          <w:sz w:val="24"/>
          <w:highlight w:val="none"/>
        </w:rPr>
        <w:t>进行，磋商小组成员和有关工作人员不得透露对《响应文件》的评审、比较和成交人的确定情况以及与评标有关的其他情况。</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17.3磋商供应商在评标过程中，所进行的力图影响评标结果公正性的活动，将可能导致其成交资格被取消。</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17.4磋商小组成员按照客观、公正、审慎的原则，根据磋商文件规定的评审程序、评审方法和评审标准进行独立评审。</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17.4.1响应文件线上资格评审。资格评审分为资格性审查和符合性审查。</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 资格性检查。依据法律法规和竞争性磋商文件的规定对响应文件的资质证明等进行审查，以确定供应商是否具备竞标资格。它所涉及到的主要文件和内容为磋商文件供应商须知第8条、第11条所述的资格证明文件内容和签署、盖章的合格性、合法性等（注：其中信用查询规则见“供应商须知前附表”，广西政府采购云平台已与“信用中国”和“中国政府采购网”平台做接口，磋商小组可直接在线查询）。如果供应商不具备竞标资格，不满足磋商文件所规定的资格标准或提供资格证明文件不全的，其竞标将被拒绝。</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 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供应商的竞争地位。对没有实质性响应的响应文件将不进行评审，其竞标将被拒绝。</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 出现下列情况之一的，视为未实质性响应磋商文件的响应文件，按无效响应处理。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 响应文件未按本须知第8条、第11条规定进行编制、签署、盖章的；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 未按本须知第8条规定提交必须提供且有效的证明文件的；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 未按有关要求提交或足额提交磋商保证金的；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④ 磋商有效期不满足磋商文件要求的；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⑤ 响应文件的关键内容字迹模糊、无法辨认的；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⑥供应商提交的是可选择的报价的，或最后报价超过采购预算价的；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⑦竞标内容与采购内容及要求存在重大偏离或保留的（如严重背离采购需求、合同协议要求等）；</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⑧ 响应文件中提供虚假或失实资料的；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⑨ 不符合有关法律、法规和磋商文件中规定的其他实质性条款。</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17.4.2澄清有关问题。</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(2)磋商小组要求供应商澄清、说明或者更正响应文件应当以在线询标形式作出。供应商的澄清、说明或者更正应当由法定代表人或委托代理人签名或盖电子公章。由授权代表签字的，应当附法定代表人授权书。</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(3)响应文件如果出现计算或表达上的错误，修正错误的原则如下：</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 响应文件中《竞标函附录》与《竞标函》内容不一致的，以《竞标函附录》为准。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 响应文件的大写金额和小写金额不一致的，以大写金额为准；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 总价金额与按单价汇总金额不一致的，以单价金额计算结果为准；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④ 单价金额小数点有明显错位的，应以总价为准，并修改单价；</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⑤ 对不同文字文本响应文件的解释发生异议的，以中文文本为准。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⑥ 按上述修正错误的原则及方法调整或修正响应文件的磋商报价，在供应商确认后，调整后的磋商报价对供应商起约束作用。如果供应商拒绝确认，不接受修正后的价格或报价，则其响应文件将不予评审，其竞标将被拒绝，采购人有权没收其磋商保证金。</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17.4.3磋商过程。</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(1)磋商小组所有成员集中与单一供应商分别进行磋商（最多三轮），磋商的内容包括技术条件、商务性条件及磋商小组认为需要磋商的内容。</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(2)在磋商过程中，磋商小组可以根据磋商文件和磋商情况实质性变动项目需求中的技术、服务要求以及合同草案条款，但不得变动磋商文件中的其他内容。实质性变动的内容，须经采购人代表确认。</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(3)对磋商文件作出的实质性变动是磋商文件的有效组成部分，磋商小组应当及时以在线询标/澄清形式同时通知所有参加磋商的供应商。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(4)供应商应当按照磋商文件的变动情况和磋商小组的要求重新提交应答文件，并由其法定代表人或委托代理人签名或盖电子公章。由授权代表签字的。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(5)供应商未在通知的时间内到达现场参加磋商的，或未提交书面说明退出磋商的，或未在规定时间内提交在线应答文件和最后报价的，视为供应商自动放弃磋商。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(6)最终磋商结束后，磋商小组不得再与供应商进行任何形式的商谈。磋商的任何一方不得透露与磋商有关的其他供应商的技术资料、价格和其他信息。</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17.4.4磋商小组对竞标人资格性和竞标文件符合性审查。磋商小组只接受通过资格性和符合性审查竞标人在规定时间（10分钟）内进行磋商最终总报价。</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17.4.5比较与评价。经磋商确定最终采购需求和提交最后报价的供应商后，由磋商小组采用综合评分法（详见第八章）对提交最后报价的供应商的响应文件和最后报价进行综合评分。</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17.4.6推荐成交候选人名单及编写评审报告。磋商小组根据综合评分情况，按照评分办法的成交标准及成交候选人推荐原则依次推荐成交候选人名单，并根据磋商过程和结果编写评审报告。</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17.5评审会纪律</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17.5.1评审过程的保密性。磋商小组成员、有关工作人员及其他知情人不得透露对响应文件评审、比较、成交候选人的推荐情况以及与评审有关的其他情况。</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17.5.2在磋商评审期间，供应商试图影响采购人和磋商小组的任何活动，将导致其报价被拒绝，并承担相应的法律责任。</w:t>
      </w:r>
    </w:p>
    <w:p>
      <w:pPr>
        <w:pStyle w:val="25"/>
        <w:spacing w:line="400" w:lineRule="exact"/>
        <w:rPr>
          <w:rFonts w:hAnsi="宋体" w:cs="宋体"/>
          <w:b/>
          <w:bCs/>
          <w:color w:val="auto"/>
          <w:sz w:val="24"/>
          <w:szCs w:val="24"/>
          <w:highlight w:val="none"/>
        </w:rPr>
      </w:pPr>
      <w:r>
        <w:rPr>
          <w:rFonts w:hint="eastAsia" w:hAnsi="宋体" w:cs="宋体"/>
          <w:b/>
          <w:bCs/>
          <w:color w:val="auto"/>
          <w:sz w:val="24"/>
          <w:szCs w:val="24"/>
          <w:highlight w:val="none"/>
        </w:rPr>
        <w:t>18、拒绝接收</w:t>
      </w:r>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18.1属下列情形之一的，采购机构应当拒绝接收磋商供应商的响应文件：</w:t>
      </w:r>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（1）在本章第14.1项规定的投标截止时间之后送达的；</w:t>
      </w:r>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（2）未送达至本章第14.1项指定的递交响应文件地点的；</w:t>
      </w:r>
    </w:p>
    <w:p>
      <w:pPr>
        <w:pStyle w:val="84"/>
        <w:spacing w:line="400" w:lineRule="exact"/>
        <w:outlineLvl w:val="3"/>
        <w:rPr>
          <w:rFonts w:hAnsi="宋体" w:cs="宋体"/>
          <w:b/>
          <w:color w:val="auto"/>
          <w:sz w:val="24"/>
          <w:szCs w:val="24"/>
          <w:highlight w:val="none"/>
        </w:rPr>
      </w:pPr>
      <w:r>
        <w:rPr>
          <w:rFonts w:hint="eastAsia" w:hAnsi="宋体" w:cs="宋体"/>
          <w:b/>
          <w:color w:val="auto"/>
          <w:sz w:val="24"/>
          <w:szCs w:val="24"/>
          <w:highlight w:val="none"/>
        </w:rPr>
        <w:t>19、无效的响应文件</w:t>
      </w:r>
    </w:p>
    <w:p>
      <w:pPr>
        <w:widowControl/>
        <w:spacing w:line="400" w:lineRule="exact"/>
        <w:ind w:firstLine="420"/>
        <w:jc w:val="left"/>
        <w:rPr>
          <w:rFonts w:ascii="宋体" w:hAnsi="宋体" w:cs="宋体"/>
          <w:color w:val="auto"/>
          <w:sz w:val="24"/>
          <w:highlight w:val="none"/>
        </w:rPr>
      </w:pPr>
      <w:r>
        <w:rPr>
          <w:rFonts w:hint="eastAsia" w:ascii="宋体" w:hAnsi="宋体" w:cs="宋体"/>
          <w:color w:val="auto"/>
          <w:sz w:val="24"/>
          <w:highlight w:val="none"/>
        </w:rPr>
        <w:t>19.1响应文件如有下列情况之一，将会在评标中视为无效文件处理：</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未按照磋商文件规定要求密封、签署、盖章的；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不具备磋商文件中规定资格要求的；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未交应交磋商保证金的或未按磋商文件要求缴纳磋商保证金的；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磋商供应商报价超出了采购预算价的；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不符磋商文件中规定的其它实质性要求并且在磋商规定内时间无法说明和补充的；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未按磋商文件中提出实质性要求和条件作出完全响应的；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不同供应商的响应文件由同一单位或者个人编制的；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不同供应商委托同一单位或者个人办理竞标事宜的；</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不同供应商的响应文件异常一致或者磋商报价呈规律性差异；</w:t>
      </w:r>
    </w:p>
    <w:p>
      <w:pPr>
        <w:widowControl/>
        <w:numPr>
          <w:ilvl w:val="0"/>
          <w:numId w:val="6"/>
        </w:numPr>
        <w:spacing w:line="400" w:lineRule="exact"/>
        <w:jc w:val="left"/>
        <w:rPr>
          <w:rFonts w:ascii="宋体" w:hAnsi="宋体" w:cs="宋体"/>
          <w:bCs/>
          <w:color w:val="auto"/>
          <w:sz w:val="24"/>
          <w:highlight w:val="none"/>
        </w:rPr>
      </w:pPr>
      <w:r>
        <w:rPr>
          <w:rFonts w:hint="eastAsia" w:ascii="宋体" w:hAnsi="宋体" w:cs="宋体"/>
          <w:bCs/>
          <w:color w:val="auto"/>
          <w:sz w:val="24"/>
          <w:highlight w:val="none"/>
        </w:rPr>
        <w:t>不同供应商的磋商保证金从同一单位或者个人的银行账户转；</w:t>
      </w:r>
    </w:p>
    <w:p>
      <w:pPr>
        <w:pStyle w:val="84"/>
        <w:spacing w:line="400" w:lineRule="exact"/>
        <w:outlineLvl w:val="3"/>
        <w:rPr>
          <w:rFonts w:hAnsi="宋体" w:cs="宋体"/>
          <w:b/>
          <w:color w:val="auto"/>
          <w:sz w:val="24"/>
          <w:szCs w:val="24"/>
          <w:highlight w:val="none"/>
        </w:rPr>
      </w:pPr>
      <w:r>
        <w:rPr>
          <w:rFonts w:hint="eastAsia" w:hAnsi="宋体" w:cs="宋体"/>
          <w:b/>
          <w:color w:val="auto"/>
          <w:sz w:val="24"/>
          <w:szCs w:val="24"/>
          <w:highlight w:val="none"/>
        </w:rPr>
        <w:t>20、废标</w:t>
      </w:r>
    </w:p>
    <w:p>
      <w:pPr>
        <w:pStyle w:val="25"/>
        <w:spacing w:line="400" w:lineRule="exact"/>
        <w:rPr>
          <w:rFonts w:hAnsi="宋体" w:cs="宋体"/>
          <w:color w:val="auto"/>
          <w:sz w:val="24"/>
          <w:szCs w:val="24"/>
          <w:highlight w:val="none"/>
        </w:rPr>
      </w:pPr>
      <w:r>
        <w:rPr>
          <w:rFonts w:hint="eastAsia" w:hAnsi="宋体" w:cs="宋体"/>
          <w:color w:val="auto"/>
          <w:kern w:val="0"/>
          <w:sz w:val="24"/>
          <w:szCs w:val="24"/>
          <w:highlight w:val="none"/>
        </w:rPr>
        <w:t>　　</w:t>
      </w:r>
      <w:r>
        <w:rPr>
          <w:rFonts w:hint="eastAsia" w:hAnsi="宋体" w:cs="宋体"/>
          <w:b/>
          <w:bCs/>
          <w:color w:val="auto"/>
          <w:sz w:val="24"/>
          <w:szCs w:val="24"/>
          <w:highlight w:val="none"/>
        </w:rPr>
        <w:t>20.1磋商采购项目出现下列情形之一的，采购代理机构将予以废标：</w:t>
      </w:r>
    </w:p>
    <w:p>
      <w:pPr>
        <w:pStyle w:val="25"/>
        <w:spacing w:line="440" w:lineRule="exact"/>
        <w:ind w:firstLine="420"/>
        <w:rPr>
          <w:rFonts w:hAnsi="宋体" w:cs="宋体"/>
          <w:color w:val="auto"/>
          <w:sz w:val="24"/>
          <w:szCs w:val="24"/>
          <w:highlight w:val="none"/>
        </w:rPr>
      </w:pPr>
      <w:r>
        <w:rPr>
          <w:rFonts w:hint="eastAsia" w:hAnsi="宋体" w:cs="宋体"/>
          <w:color w:val="auto"/>
          <w:sz w:val="24"/>
          <w:szCs w:val="24"/>
          <w:highlight w:val="none"/>
        </w:rPr>
        <w:t>(1)出现影响采购公正的违法、违规行为的；</w:t>
      </w:r>
    </w:p>
    <w:p>
      <w:pPr>
        <w:pStyle w:val="25"/>
        <w:spacing w:line="440" w:lineRule="exact"/>
        <w:ind w:firstLine="420"/>
        <w:rPr>
          <w:rFonts w:hAnsi="宋体" w:cs="宋体"/>
          <w:color w:val="auto"/>
          <w:sz w:val="24"/>
          <w:szCs w:val="24"/>
          <w:highlight w:val="none"/>
        </w:rPr>
      </w:pPr>
      <w:r>
        <w:rPr>
          <w:rFonts w:hint="eastAsia" w:hAnsi="宋体" w:cs="宋体"/>
          <w:color w:val="auto"/>
          <w:sz w:val="24"/>
          <w:szCs w:val="24"/>
          <w:highlight w:val="none"/>
        </w:rPr>
        <w:t>(2)所有服务商的报价均超过了采购预算，采购人不能支付的；</w:t>
      </w:r>
    </w:p>
    <w:p>
      <w:pPr>
        <w:pStyle w:val="25"/>
        <w:spacing w:line="440" w:lineRule="exact"/>
        <w:ind w:firstLine="420"/>
        <w:rPr>
          <w:rFonts w:hAnsi="宋体" w:cs="宋体"/>
          <w:color w:val="auto"/>
          <w:sz w:val="24"/>
          <w:szCs w:val="24"/>
          <w:highlight w:val="none"/>
        </w:rPr>
      </w:pPr>
      <w:r>
        <w:rPr>
          <w:rFonts w:hint="eastAsia" w:hAnsi="宋体" w:cs="宋体"/>
          <w:color w:val="auto"/>
          <w:sz w:val="24"/>
          <w:szCs w:val="24"/>
          <w:highlight w:val="none"/>
        </w:rPr>
        <w:t>(3)因重大变故，采购任务取消的；</w:t>
      </w:r>
    </w:p>
    <w:p>
      <w:pPr>
        <w:pStyle w:val="25"/>
        <w:spacing w:line="440" w:lineRule="exact"/>
        <w:ind w:firstLine="420"/>
        <w:rPr>
          <w:rFonts w:hAnsi="宋体" w:cs="宋体"/>
          <w:color w:val="auto"/>
          <w:sz w:val="24"/>
          <w:szCs w:val="24"/>
          <w:highlight w:val="none"/>
        </w:rPr>
      </w:pPr>
      <w:r>
        <w:rPr>
          <w:rFonts w:hint="eastAsia" w:hAnsi="宋体" w:cs="宋体"/>
          <w:color w:val="auto"/>
          <w:sz w:val="24"/>
          <w:szCs w:val="24"/>
          <w:highlight w:val="none"/>
        </w:rPr>
        <w:t>(4)磋商文件存在不合理条款的，竞争性磋商公告时间及程序不符合规定的；</w:t>
      </w:r>
    </w:p>
    <w:p>
      <w:pPr>
        <w:pStyle w:val="25"/>
        <w:spacing w:line="400" w:lineRule="exact"/>
        <w:ind w:firstLine="420"/>
        <w:rPr>
          <w:rFonts w:hAnsi="宋体" w:cs="宋体"/>
          <w:color w:val="auto"/>
          <w:sz w:val="24"/>
          <w:szCs w:val="24"/>
          <w:highlight w:val="none"/>
        </w:rPr>
      </w:pPr>
      <w:r>
        <w:rPr>
          <w:rFonts w:hint="eastAsia" w:hAnsi="宋体" w:cs="宋体"/>
          <w:color w:val="auto"/>
          <w:sz w:val="24"/>
          <w:szCs w:val="24"/>
          <w:highlight w:val="none"/>
        </w:rPr>
        <w:t>20.2如本次项目废标后，采购代理机构将把废标理由通知所有磋商供应商。</w:t>
      </w:r>
    </w:p>
    <w:p>
      <w:pPr>
        <w:pStyle w:val="84"/>
        <w:spacing w:line="400" w:lineRule="exact"/>
        <w:outlineLvl w:val="3"/>
        <w:rPr>
          <w:rFonts w:hAnsi="宋体" w:cs="宋体"/>
          <w:b/>
          <w:color w:val="auto"/>
          <w:sz w:val="24"/>
          <w:szCs w:val="24"/>
          <w:highlight w:val="none"/>
        </w:rPr>
      </w:pPr>
      <w:r>
        <w:rPr>
          <w:rFonts w:hint="eastAsia" w:hAnsi="宋体" w:cs="宋体"/>
          <w:b/>
          <w:color w:val="auto"/>
          <w:sz w:val="24"/>
          <w:szCs w:val="24"/>
          <w:highlight w:val="none"/>
        </w:rPr>
        <w:t>21、重新招标</w:t>
      </w:r>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21</w:t>
      </w:r>
      <w:r>
        <w:rPr>
          <w:rFonts w:hAnsi="宋体" w:cs="宋体"/>
          <w:color w:val="auto"/>
          <w:sz w:val="24"/>
          <w:szCs w:val="24"/>
          <w:highlight w:val="none"/>
        </w:rPr>
        <w:t>.1 经磋商小组评审后，认为所有竞标均不符合竞争性磋商采购文件要求，可以否决所有竞标。所有竞标被否决后，采购人将依法重新招标。</w:t>
      </w:r>
    </w:p>
    <w:p>
      <w:pPr>
        <w:spacing w:line="390" w:lineRule="exact"/>
        <w:ind w:firstLine="480" w:firstLineChars="200"/>
        <w:rPr>
          <w:color w:val="auto"/>
          <w:sz w:val="24"/>
          <w:highlight w:val="none"/>
        </w:rPr>
      </w:pPr>
      <w:r>
        <w:rPr>
          <w:rFonts w:hint="eastAsia" w:hAnsi="宋体" w:cs="宋体"/>
          <w:color w:val="auto"/>
          <w:sz w:val="24"/>
          <w:highlight w:val="none"/>
        </w:rPr>
        <w:t>21</w:t>
      </w:r>
      <w:r>
        <w:rPr>
          <w:rFonts w:hAnsi="宋体" w:cs="宋体"/>
          <w:color w:val="auto"/>
          <w:sz w:val="24"/>
          <w:highlight w:val="none"/>
        </w:rPr>
        <w:t>.2重新招标后竞标人仍少于三个或者所有竞标被否决的，属于必须审批或核准的工程建设项目，经原审批或核准部门批准后不再进行招标</w:t>
      </w:r>
      <w:bookmarkStart w:id="50" w:name="_Toc459103904"/>
      <w:r>
        <w:rPr>
          <w:rFonts w:hint="eastAsia" w:hAnsi="宋体" w:cs="宋体"/>
          <w:color w:val="auto"/>
          <w:sz w:val="24"/>
          <w:highlight w:val="none"/>
        </w:rPr>
        <w:t>。</w:t>
      </w:r>
    </w:p>
    <w:p>
      <w:pPr>
        <w:pStyle w:val="4"/>
        <w:spacing w:before="0" w:after="0" w:line="390" w:lineRule="exact"/>
        <w:rPr>
          <w:rFonts w:ascii="宋体" w:hAnsi="宋体" w:eastAsia="宋体" w:cs="宋体"/>
          <w:color w:val="auto"/>
          <w:sz w:val="24"/>
          <w:szCs w:val="24"/>
          <w:highlight w:val="none"/>
        </w:rPr>
      </w:pPr>
      <w:bookmarkStart w:id="51" w:name="_Toc86935819"/>
      <w:r>
        <w:rPr>
          <w:rFonts w:hint="eastAsia" w:ascii="宋体" w:hAnsi="宋体" w:eastAsia="宋体" w:cs="宋体"/>
          <w:color w:val="auto"/>
          <w:sz w:val="24"/>
          <w:szCs w:val="24"/>
          <w:highlight w:val="none"/>
        </w:rPr>
        <w:t>七、签订合同</w:t>
      </w:r>
      <w:bookmarkEnd w:id="50"/>
      <w:bookmarkEnd w:id="51"/>
    </w:p>
    <w:p>
      <w:pPr>
        <w:pStyle w:val="25"/>
        <w:spacing w:line="400" w:lineRule="exact"/>
        <w:outlineLvl w:val="2"/>
        <w:rPr>
          <w:rFonts w:hAnsi="宋体" w:cs="宋体"/>
          <w:b/>
          <w:color w:val="auto"/>
          <w:sz w:val="24"/>
          <w:szCs w:val="24"/>
          <w:highlight w:val="none"/>
        </w:rPr>
      </w:pPr>
      <w:bookmarkStart w:id="52" w:name="_Toc7205"/>
      <w:bookmarkStart w:id="53" w:name="_Toc86935820"/>
      <w:r>
        <w:rPr>
          <w:rFonts w:hint="eastAsia" w:hAnsi="宋体" w:cs="宋体"/>
          <w:b/>
          <w:color w:val="auto"/>
          <w:sz w:val="24"/>
          <w:szCs w:val="24"/>
          <w:highlight w:val="none"/>
        </w:rPr>
        <w:t>22.成交结果</w:t>
      </w:r>
      <w:bookmarkEnd w:id="52"/>
      <w:r>
        <w:rPr>
          <w:rFonts w:hint="eastAsia" w:hAnsi="宋体" w:cs="宋体"/>
          <w:b/>
          <w:color w:val="auto"/>
          <w:sz w:val="24"/>
          <w:szCs w:val="24"/>
          <w:highlight w:val="none"/>
        </w:rPr>
        <w:t>公告</w:t>
      </w:r>
      <w:bookmarkEnd w:id="53"/>
    </w:p>
    <w:p>
      <w:pPr>
        <w:pStyle w:val="25"/>
        <w:spacing w:line="400" w:lineRule="exact"/>
        <w:ind w:firstLine="480" w:firstLineChars="200"/>
        <w:outlineLvl w:val="2"/>
        <w:rPr>
          <w:rFonts w:hAnsi="宋体" w:cs="宋体"/>
          <w:bCs/>
          <w:color w:val="auto"/>
          <w:sz w:val="24"/>
          <w:szCs w:val="24"/>
          <w:highlight w:val="none"/>
        </w:rPr>
      </w:pPr>
      <w:bookmarkStart w:id="54" w:name="_Toc5678"/>
      <w:bookmarkStart w:id="55" w:name="_Toc86935821"/>
      <w:r>
        <w:rPr>
          <w:rFonts w:hint="eastAsia" w:hAnsi="宋体" w:cs="宋体"/>
          <w:bCs/>
          <w:color w:val="auto"/>
          <w:sz w:val="24"/>
          <w:szCs w:val="24"/>
          <w:highlight w:val="none"/>
        </w:rPr>
        <w:t>22.1采购代理机构在磋商工作完成后2日内将磋商报告送采购人，采购人确认后，成交结果公告将在发布本项目竞争性磋商公告的同一网站上发布。</w:t>
      </w:r>
      <w:bookmarkEnd w:id="54"/>
      <w:bookmarkEnd w:id="55"/>
    </w:p>
    <w:p>
      <w:pPr>
        <w:pStyle w:val="25"/>
        <w:spacing w:line="400" w:lineRule="exact"/>
        <w:ind w:firstLine="420"/>
        <w:rPr>
          <w:rFonts w:hAnsi="宋体" w:cs="宋体"/>
          <w:bCs/>
          <w:color w:val="auto"/>
          <w:sz w:val="24"/>
          <w:szCs w:val="24"/>
          <w:highlight w:val="none"/>
        </w:rPr>
      </w:pPr>
      <w:bookmarkStart w:id="56" w:name="_Toc29884"/>
      <w:r>
        <w:rPr>
          <w:rFonts w:hint="eastAsia" w:hAnsi="宋体" w:cs="宋体"/>
          <w:bCs/>
          <w:color w:val="auto"/>
          <w:sz w:val="24"/>
          <w:szCs w:val="24"/>
          <w:highlight w:val="none"/>
        </w:rPr>
        <w:t>22.2成交结果公告期限为1个工作日，发布成交结果公告的同时向成交供应商发出成交通知书。采购代理机构发出成交通知书前，应当对成交人信用进行核实，对列入失信被执行人、重大税收违法案件当事人名单、政府采购严重违法失信行为记录名单及其他不符合《中华人民共和国政府采购法》第二十二条规定条件的竞标人，取消其成交资格，并确定排名第二的成交候选人为成交人。排名第二的成交候选人因前款规定的同样原因被取消成交资格的，授权的磋商小组可以确定排名第三的成交候选人为成交人，以此类推。以上信息查询记录及相关证据与采购文件一并保存。</w:t>
      </w:r>
    </w:p>
    <w:p>
      <w:pPr>
        <w:pStyle w:val="25"/>
        <w:spacing w:line="400" w:lineRule="exact"/>
        <w:ind w:firstLine="420"/>
        <w:rPr>
          <w:rFonts w:hAnsi="宋体" w:cs="宋体"/>
          <w:bCs/>
          <w:color w:val="auto"/>
          <w:sz w:val="24"/>
          <w:szCs w:val="24"/>
          <w:highlight w:val="none"/>
        </w:rPr>
      </w:pPr>
      <w:r>
        <w:rPr>
          <w:rFonts w:hint="eastAsia" w:hAnsi="宋体" w:cs="宋体"/>
          <w:bCs/>
          <w:color w:val="auto"/>
          <w:sz w:val="24"/>
          <w:szCs w:val="24"/>
          <w:highlight w:val="none"/>
        </w:rPr>
        <w:t>22.3中小企业在政府采购活动过程中，请根据企业的真实情况出具《中小企业声明函》。依法享受中小企业优惠政策的，采购人或者采购代理机构在公告成交结果时，同时公告其《中小企业声明函》，接受社会监督。</w:t>
      </w:r>
    </w:p>
    <w:p>
      <w:pPr>
        <w:pStyle w:val="25"/>
        <w:spacing w:line="400" w:lineRule="exact"/>
        <w:ind w:firstLine="420"/>
        <w:rPr>
          <w:rFonts w:hAnsi="宋体" w:cs="宋体"/>
          <w:bCs/>
          <w:color w:val="auto"/>
          <w:sz w:val="24"/>
          <w:szCs w:val="24"/>
          <w:highlight w:val="none"/>
        </w:rPr>
      </w:pPr>
      <w:r>
        <w:rPr>
          <w:rFonts w:hint="eastAsia" w:hAnsi="宋体" w:cs="宋体"/>
          <w:color w:val="auto"/>
          <w:sz w:val="24"/>
          <w:szCs w:val="24"/>
          <w:highlight w:val="none"/>
        </w:rPr>
        <w:t>22.4磋商供应商认为成交结果使自己的权益受到损害的，可以在成交结果公告期限届满之日起7个工作日内以书面形式向采购人或受托代理机构提出质疑，逾期将不再受理</w:t>
      </w:r>
      <w:r>
        <w:rPr>
          <w:rFonts w:hint="eastAsia" w:hAnsi="宋体" w:cs="宋体"/>
          <w:bCs/>
          <w:color w:val="auto"/>
          <w:sz w:val="24"/>
          <w:szCs w:val="24"/>
          <w:highlight w:val="none"/>
        </w:rPr>
        <w:t>。</w:t>
      </w:r>
      <w:r>
        <w:rPr>
          <w:rFonts w:hint="eastAsia" w:hAnsi="宋体" w:cs="宋体"/>
          <w:color w:val="auto"/>
          <w:sz w:val="24"/>
          <w:szCs w:val="24"/>
          <w:highlight w:val="none"/>
        </w:rPr>
        <w:t>采购人或受托代理机构</w:t>
      </w:r>
      <w:r>
        <w:rPr>
          <w:rFonts w:hint="eastAsia" w:hAnsi="宋体" w:cs="宋体"/>
          <w:bCs/>
          <w:color w:val="auto"/>
          <w:sz w:val="24"/>
          <w:szCs w:val="24"/>
          <w:highlight w:val="none"/>
        </w:rPr>
        <w:t>在收到磋商供应商的书面质疑后7个工作日内做出答复，但答复的内容不得涉及商业秘密。</w:t>
      </w:r>
      <w:bookmarkEnd w:id="56"/>
    </w:p>
    <w:p>
      <w:pPr>
        <w:pStyle w:val="25"/>
        <w:spacing w:line="400" w:lineRule="exact"/>
        <w:ind w:firstLine="420"/>
        <w:rPr>
          <w:rFonts w:hAnsi="宋体" w:cs="宋体"/>
          <w:color w:val="auto"/>
          <w:sz w:val="24"/>
          <w:szCs w:val="24"/>
          <w:highlight w:val="none"/>
        </w:rPr>
      </w:pPr>
      <w:r>
        <w:rPr>
          <w:rFonts w:hint="eastAsia" w:hAnsi="宋体" w:cs="宋体"/>
          <w:color w:val="auto"/>
          <w:sz w:val="24"/>
          <w:szCs w:val="24"/>
          <w:highlight w:val="none"/>
        </w:rPr>
        <w:t>22.5质疑和投诉书面要求:</w:t>
      </w:r>
    </w:p>
    <w:p>
      <w:pPr>
        <w:pStyle w:val="25"/>
        <w:numPr>
          <w:ilvl w:val="0"/>
          <w:numId w:val="7"/>
        </w:numPr>
        <w:spacing w:line="400" w:lineRule="exact"/>
        <w:ind w:firstLine="420"/>
        <w:rPr>
          <w:rFonts w:hAnsi="宋体" w:cs="宋体"/>
          <w:color w:val="auto"/>
          <w:sz w:val="24"/>
          <w:szCs w:val="24"/>
          <w:highlight w:val="none"/>
        </w:rPr>
      </w:pPr>
      <w:r>
        <w:rPr>
          <w:rFonts w:hint="eastAsia" w:hAnsi="宋体" w:cs="宋体"/>
          <w:color w:val="auto"/>
          <w:sz w:val="24"/>
          <w:szCs w:val="24"/>
          <w:highlight w:val="none"/>
        </w:rPr>
        <w:t>质疑人或投诉人的单位名称或姓名、详细地址、邮政编码、联系电话等；</w:t>
      </w:r>
    </w:p>
    <w:p>
      <w:pPr>
        <w:pStyle w:val="25"/>
        <w:numPr>
          <w:ilvl w:val="0"/>
          <w:numId w:val="7"/>
        </w:numPr>
        <w:spacing w:line="400" w:lineRule="exact"/>
        <w:ind w:firstLine="420"/>
        <w:rPr>
          <w:rFonts w:hAnsi="宋体" w:cs="宋体"/>
          <w:color w:val="auto"/>
          <w:sz w:val="24"/>
          <w:szCs w:val="24"/>
          <w:highlight w:val="none"/>
        </w:rPr>
      </w:pPr>
      <w:r>
        <w:rPr>
          <w:rFonts w:hint="eastAsia" w:hAnsi="宋体" w:cs="宋体"/>
          <w:color w:val="auto"/>
          <w:sz w:val="24"/>
          <w:szCs w:val="24"/>
          <w:highlight w:val="none"/>
        </w:rPr>
        <w:t>被质疑人或被投诉人的单位名称或姓名等；</w:t>
      </w:r>
    </w:p>
    <w:p>
      <w:pPr>
        <w:pStyle w:val="25"/>
        <w:numPr>
          <w:ilvl w:val="0"/>
          <w:numId w:val="7"/>
        </w:numPr>
        <w:spacing w:line="400" w:lineRule="exact"/>
        <w:ind w:firstLine="420"/>
        <w:rPr>
          <w:rFonts w:hAnsi="宋体" w:cs="宋体"/>
          <w:color w:val="auto"/>
          <w:sz w:val="24"/>
          <w:szCs w:val="24"/>
          <w:highlight w:val="none"/>
        </w:rPr>
      </w:pPr>
      <w:r>
        <w:rPr>
          <w:rFonts w:hint="eastAsia" w:hAnsi="宋体" w:cs="宋体"/>
          <w:color w:val="auto"/>
          <w:sz w:val="24"/>
          <w:szCs w:val="24"/>
          <w:highlight w:val="none"/>
        </w:rPr>
        <w:t>质疑或投诉的事实及理由；</w:t>
      </w:r>
    </w:p>
    <w:p>
      <w:pPr>
        <w:pStyle w:val="25"/>
        <w:numPr>
          <w:ilvl w:val="0"/>
          <w:numId w:val="7"/>
        </w:numPr>
        <w:spacing w:line="400" w:lineRule="exact"/>
        <w:ind w:firstLine="420"/>
        <w:rPr>
          <w:rFonts w:hAnsi="宋体" w:cs="宋体"/>
          <w:color w:val="auto"/>
          <w:sz w:val="24"/>
          <w:szCs w:val="24"/>
          <w:highlight w:val="none"/>
        </w:rPr>
      </w:pPr>
      <w:r>
        <w:rPr>
          <w:rFonts w:hint="eastAsia" w:hAnsi="宋体" w:cs="宋体"/>
          <w:color w:val="auto"/>
          <w:sz w:val="24"/>
          <w:szCs w:val="24"/>
          <w:highlight w:val="none"/>
        </w:rPr>
        <w:t>有关违规违法的情况和有效证明材料；</w:t>
      </w:r>
    </w:p>
    <w:p>
      <w:pPr>
        <w:pStyle w:val="25"/>
        <w:numPr>
          <w:ilvl w:val="0"/>
          <w:numId w:val="7"/>
        </w:numPr>
        <w:spacing w:line="400" w:lineRule="exact"/>
        <w:ind w:firstLine="420"/>
        <w:rPr>
          <w:rFonts w:hAnsi="宋体" w:cs="宋体"/>
          <w:color w:val="auto"/>
          <w:sz w:val="24"/>
          <w:szCs w:val="24"/>
          <w:highlight w:val="none"/>
        </w:rPr>
      </w:pPr>
      <w:r>
        <w:rPr>
          <w:rFonts w:hint="eastAsia" w:hAnsi="宋体" w:cs="宋体"/>
          <w:color w:val="auto"/>
          <w:sz w:val="24"/>
          <w:szCs w:val="24"/>
          <w:highlight w:val="none"/>
        </w:rPr>
        <w:t>质疑人或投诉人的签章及质疑或投诉时间；</w:t>
      </w:r>
    </w:p>
    <w:p>
      <w:pPr>
        <w:pStyle w:val="25"/>
        <w:numPr>
          <w:ilvl w:val="0"/>
          <w:numId w:val="7"/>
        </w:numPr>
        <w:spacing w:line="400" w:lineRule="exact"/>
        <w:ind w:firstLine="420"/>
        <w:rPr>
          <w:rFonts w:hAnsi="宋体" w:cs="宋体"/>
          <w:color w:val="auto"/>
          <w:sz w:val="24"/>
          <w:szCs w:val="24"/>
          <w:highlight w:val="none"/>
        </w:rPr>
      </w:pPr>
      <w:r>
        <w:rPr>
          <w:rFonts w:hint="eastAsia" w:hAnsi="宋体" w:cs="宋体"/>
          <w:color w:val="auto"/>
          <w:sz w:val="24"/>
          <w:szCs w:val="24"/>
          <w:highlight w:val="none"/>
        </w:rPr>
        <w:t>质疑书递交方式：质疑人的法定代表人凭本人身份证原件或授权委托代理人凭法定代表人授权委托书原件和本人身份证原件同时持质疑书原件递交至广西大通建设监理咨询管理有限公司。</w:t>
      </w:r>
    </w:p>
    <w:p>
      <w:pPr>
        <w:pStyle w:val="25"/>
        <w:numPr>
          <w:ilvl w:val="0"/>
          <w:numId w:val="7"/>
        </w:numPr>
        <w:spacing w:line="400" w:lineRule="exact"/>
        <w:ind w:firstLine="420"/>
        <w:rPr>
          <w:rFonts w:hAnsi="宋体" w:cs="宋体"/>
          <w:bCs/>
          <w:color w:val="auto"/>
          <w:sz w:val="24"/>
          <w:szCs w:val="24"/>
          <w:highlight w:val="none"/>
        </w:rPr>
      </w:pPr>
      <w:r>
        <w:rPr>
          <w:rFonts w:hint="eastAsia" w:hAnsi="宋体" w:cs="宋体"/>
          <w:color w:val="auto"/>
          <w:sz w:val="24"/>
          <w:szCs w:val="24"/>
          <w:highlight w:val="none"/>
        </w:rPr>
        <w:t>如不按规定质疑或投诉的，视为无效投诉，不予采理。</w:t>
      </w:r>
    </w:p>
    <w:p>
      <w:pPr>
        <w:pStyle w:val="25"/>
        <w:spacing w:line="400" w:lineRule="exact"/>
        <w:ind w:firstLine="480" w:firstLineChars="200"/>
        <w:outlineLvl w:val="2"/>
        <w:rPr>
          <w:rFonts w:hAnsi="宋体" w:cs="宋体"/>
          <w:b/>
          <w:bCs/>
          <w:color w:val="auto"/>
          <w:sz w:val="24"/>
          <w:szCs w:val="24"/>
          <w:highlight w:val="none"/>
        </w:rPr>
      </w:pPr>
      <w:bookmarkStart w:id="57" w:name="_Toc15621"/>
      <w:bookmarkStart w:id="58" w:name="_Toc86935822"/>
      <w:r>
        <w:rPr>
          <w:rFonts w:hint="eastAsia" w:hAnsi="宋体" w:cs="宋体"/>
          <w:bCs/>
          <w:color w:val="auto"/>
          <w:sz w:val="24"/>
          <w:szCs w:val="24"/>
          <w:highlight w:val="none"/>
        </w:rPr>
        <w:t>22.6质疑磋商供应商必须首先经过质疑程序，在对采购代理机构的答复不满意或者采购代理机构未在规定的时间内做出答复的，可以在答复期满后15个工作日内书面向同级政府采购监督管理部门投诉。</w:t>
      </w:r>
      <w:bookmarkEnd w:id="57"/>
      <w:bookmarkEnd w:id="58"/>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23、成交通知</w:t>
      </w:r>
    </w:p>
    <w:p>
      <w:pPr>
        <w:pStyle w:val="25"/>
        <w:spacing w:line="400" w:lineRule="exact"/>
        <w:ind w:firstLine="480" w:firstLineChars="200"/>
        <w:outlineLvl w:val="2"/>
        <w:rPr>
          <w:rFonts w:hAnsi="宋体" w:cs="宋体"/>
          <w:bCs/>
          <w:color w:val="auto"/>
          <w:sz w:val="24"/>
          <w:szCs w:val="24"/>
          <w:highlight w:val="none"/>
        </w:rPr>
      </w:pPr>
      <w:bookmarkStart w:id="59" w:name="_Toc86935823"/>
      <w:bookmarkStart w:id="60" w:name="_Toc30837"/>
      <w:r>
        <w:rPr>
          <w:rFonts w:hint="eastAsia" w:hAnsi="宋体" w:cs="宋体"/>
          <w:bCs/>
          <w:color w:val="auto"/>
          <w:sz w:val="24"/>
          <w:szCs w:val="24"/>
          <w:highlight w:val="none"/>
        </w:rPr>
        <w:t>23.1采购代理机构在发布成交公告的同时，采购代理机构向成交人通过广西政府采购云平台发出电子中标</w:t>
      </w:r>
      <w:r>
        <w:rPr>
          <w:rFonts w:hint="eastAsia" w:hAnsi="宋体" w:cs="宋体"/>
          <w:color w:val="auto"/>
          <w:sz w:val="24"/>
          <w:highlight w:val="none"/>
        </w:rPr>
        <w:t>（成交）</w:t>
      </w:r>
      <w:r>
        <w:rPr>
          <w:rFonts w:hint="eastAsia" w:hAnsi="宋体" w:cs="宋体"/>
          <w:bCs/>
          <w:color w:val="auto"/>
          <w:sz w:val="24"/>
          <w:szCs w:val="24"/>
          <w:highlight w:val="none"/>
        </w:rPr>
        <w:t>通知书。</w:t>
      </w:r>
      <w:bookmarkEnd w:id="59"/>
      <w:bookmarkEnd w:id="60"/>
    </w:p>
    <w:p>
      <w:pPr>
        <w:pStyle w:val="25"/>
        <w:spacing w:line="400" w:lineRule="exact"/>
        <w:ind w:firstLine="480" w:firstLineChars="200"/>
        <w:outlineLvl w:val="2"/>
        <w:rPr>
          <w:rFonts w:hAnsi="宋体" w:cs="宋体"/>
          <w:bCs/>
          <w:color w:val="auto"/>
          <w:sz w:val="24"/>
          <w:szCs w:val="24"/>
          <w:highlight w:val="none"/>
        </w:rPr>
      </w:pPr>
      <w:bookmarkStart w:id="61" w:name="_Toc86935824"/>
      <w:bookmarkStart w:id="62" w:name="_Toc28429"/>
      <w:r>
        <w:rPr>
          <w:rFonts w:hint="eastAsia" w:hAnsi="宋体" w:cs="宋体"/>
          <w:bCs/>
          <w:color w:val="auto"/>
          <w:sz w:val="24"/>
          <w:szCs w:val="24"/>
          <w:highlight w:val="none"/>
        </w:rPr>
        <w:t>23.2对未通过资格审查的竞标人，采购人或采购机构应当告知其未通过的原因；采用综合评分办法评审的，采购人或采购机构还应当告知未成交人本人的评审得分与排序。</w:t>
      </w:r>
      <w:bookmarkEnd w:id="61"/>
    </w:p>
    <w:p>
      <w:pPr>
        <w:pStyle w:val="25"/>
        <w:spacing w:line="400" w:lineRule="exact"/>
        <w:ind w:firstLine="480" w:firstLineChars="200"/>
        <w:outlineLvl w:val="2"/>
        <w:rPr>
          <w:rFonts w:hAnsi="宋体" w:cs="宋体"/>
          <w:bCs/>
          <w:color w:val="auto"/>
          <w:sz w:val="24"/>
          <w:szCs w:val="24"/>
          <w:highlight w:val="none"/>
        </w:rPr>
      </w:pPr>
      <w:bookmarkStart w:id="63" w:name="_Toc86935825"/>
      <w:r>
        <w:rPr>
          <w:rFonts w:hint="eastAsia" w:hAnsi="宋体" w:cs="宋体"/>
          <w:bCs/>
          <w:color w:val="auto"/>
          <w:sz w:val="24"/>
          <w:szCs w:val="24"/>
          <w:highlight w:val="none"/>
        </w:rPr>
        <w:t>23.3采购代理机构无义务向落标的磋商供应商解释落标原因和退还《响应文件》。</w:t>
      </w:r>
      <w:bookmarkEnd w:id="62"/>
      <w:bookmarkEnd w:id="63"/>
    </w:p>
    <w:p>
      <w:pPr>
        <w:pStyle w:val="25"/>
        <w:spacing w:line="400" w:lineRule="exact"/>
        <w:outlineLvl w:val="2"/>
        <w:rPr>
          <w:rFonts w:hAnsi="宋体" w:cs="宋体"/>
          <w:bCs/>
          <w:color w:val="auto"/>
          <w:sz w:val="24"/>
          <w:szCs w:val="24"/>
          <w:highlight w:val="none"/>
        </w:rPr>
      </w:pPr>
      <w:bookmarkStart w:id="64" w:name="_Toc16088"/>
      <w:bookmarkStart w:id="65" w:name="_Toc86935826"/>
      <w:bookmarkStart w:id="66" w:name="_Toc17903"/>
      <w:r>
        <w:rPr>
          <w:rFonts w:hint="eastAsia" w:hAnsi="宋体" w:cs="宋体"/>
          <w:b/>
          <w:color w:val="auto"/>
          <w:sz w:val="24"/>
          <w:szCs w:val="24"/>
          <w:highlight w:val="none"/>
        </w:rPr>
        <w:t>24.合同授予标准</w:t>
      </w:r>
      <w:bookmarkEnd w:id="64"/>
      <w:bookmarkEnd w:id="65"/>
    </w:p>
    <w:p>
      <w:pPr>
        <w:pStyle w:val="25"/>
        <w:spacing w:line="400" w:lineRule="exact"/>
        <w:ind w:firstLine="480" w:firstLineChars="200"/>
        <w:outlineLvl w:val="2"/>
        <w:rPr>
          <w:rFonts w:hAnsi="宋体" w:cs="宋体"/>
          <w:bCs/>
          <w:color w:val="auto"/>
          <w:sz w:val="24"/>
          <w:szCs w:val="24"/>
          <w:highlight w:val="none"/>
        </w:rPr>
      </w:pPr>
      <w:bookmarkStart w:id="67" w:name="_Toc86935827"/>
      <w:r>
        <w:rPr>
          <w:rFonts w:hint="eastAsia" w:hAnsi="宋体" w:cs="宋体"/>
          <w:bCs/>
          <w:color w:val="auto"/>
          <w:sz w:val="24"/>
          <w:szCs w:val="24"/>
          <w:highlight w:val="none"/>
        </w:rPr>
        <w:t>24.1合同将授予被确定为实质上响应《竞争性磋商文件》要求，评标认为具备履行合同能力，获得综合评分最高的磋商供应商。</w:t>
      </w:r>
      <w:bookmarkEnd w:id="66"/>
      <w:bookmarkEnd w:id="67"/>
      <w:r>
        <w:rPr>
          <w:rFonts w:hint="eastAsia" w:hAnsi="宋体" w:cs="宋体"/>
          <w:bCs/>
          <w:color w:val="auto"/>
          <w:sz w:val="24"/>
          <w:szCs w:val="24"/>
          <w:highlight w:val="none"/>
        </w:rPr>
        <w:t xml:space="preserve"> </w:t>
      </w:r>
    </w:p>
    <w:p>
      <w:pPr>
        <w:pStyle w:val="25"/>
        <w:spacing w:line="400" w:lineRule="exact"/>
        <w:ind w:firstLine="480" w:firstLineChars="200"/>
        <w:outlineLvl w:val="2"/>
        <w:rPr>
          <w:rFonts w:hAnsi="宋体" w:cs="宋体"/>
          <w:bCs/>
          <w:color w:val="auto"/>
          <w:sz w:val="24"/>
          <w:szCs w:val="24"/>
          <w:highlight w:val="none"/>
        </w:rPr>
      </w:pPr>
      <w:bookmarkStart w:id="68" w:name="_Toc22962"/>
      <w:bookmarkStart w:id="69" w:name="_Toc86935828"/>
      <w:r>
        <w:rPr>
          <w:rFonts w:hint="eastAsia" w:hAnsi="宋体" w:cs="宋体"/>
          <w:bCs/>
          <w:color w:val="auto"/>
          <w:sz w:val="24"/>
          <w:szCs w:val="24"/>
          <w:highlight w:val="none"/>
        </w:rPr>
        <w:t>24.2采购人应按照评标报告中推荐的成交候选人顺序确定成交人，也可授权磋商小组直接确定成交人。</w:t>
      </w:r>
      <w:bookmarkEnd w:id="68"/>
      <w:r>
        <w:rPr>
          <w:rFonts w:hint="eastAsia" w:hAnsi="宋体" w:cs="宋体"/>
          <w:bCs/>
          <w:color w:val="auto"/>
          <w:sz w:val="24"/>
          <w:szCs w:val="24"/>
          <w:highlight w:val="none"/>
        </w:rPr>
        <w:t>本项目授权磋商小组直接确定成交供应商。</w:t>
      </w:r>
      <w:bookmarkEnd w:id="69"/>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25、签订合同</w:t>
      </w:r>
    </w:p>
    <w:p>
      <w:pPr>
        <w:pStyle w:val="25"/>
        <w:spacing w:line="360" w:lineRule="exact"/>
        <w:ind w:firstLine="480" w:firstLineChars="200"/>
        <w:rPr>
          <w:rFonts w:hAnsi="宋体" w:cs="宋体"/>
          <w:color w:val="auto"/>
          <w:sz w:val="24"/>
          <w:szCs w:val="24"/>
          <w:highlight w:val="none"/>
        </w:rPr>
      </w:pPr>
      <w:bookmarkStart w:id="70" w:name="_Toc459103905"/>
      <w:r>
        <w:rPr>
          <w:rFonts w:hint="eastAsia" w:hAnsi="宋体" w:cs="宋体"/>
          <w:color w:val="auto"/>
          <w:sz w:val="24"/>
          <w:szCs w:val="24"/>
          <w:highlight w:val="none"/>
        </w:rPr>
        <w:t>25.1成交人领取电子成交通知书后，按成交通知书中规定的时间、地点与采购人签订合同。</w:t>
      </w:r>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25.2如成交人不按成交通知书的规定签订合同（采购人原因除外），则按成交人违约处理，本代理将取消该成交决定，不予退还该成交人的磋商保证金，成交人应当依法承担法律责任。如采购人无正当理由拒签合同的，给成交供应商造成损失的，成交供应商可追究采购人承担相应的法律责任。</w:t>
      </w:r>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25.3成交人因不可抗力或者自身原因不能履行政府采购合同的，采购人可以确定排名第二位的成交候选人并与其签订政府采购合同，以此类推，也可以重新开展政府采购活动。</w:t>
      </w:r>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25.4由于成交人放弃成交或未按规定签订合同，造成本项目的合同成交价提高（指采购人选择第二成交候选人或重新采购导致成交金额高于违约单位的成交价），所超出违约供应的成交价部分由违约单位承担赔偿责任。</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25.5政府采购合同是政府采购项目验收的依据，中标（成交）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40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25.6采购人和成交人应当自《成交通知书》发出之日起25日内，根据《竞争性磋商文件》和成交人的《响应文件》等内容签订采购合同</w:t>
      </w:r>
      <w:r>
        <w:rPr>
          <w:rFonts w:hint="eastAsia" w:ascii="宋体" w:hAnsi="宋体" w:cs="宋体"/>
          <w:b/>
          <w:bCs/>
          <w:color w:val="auto"/>
          <w:sz w:val="24"/>
          <w:highlight w:val="none"/>
        </w:rPr>
        <w:t>。</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25.7采购单位自采购合同签订之日起在2个工作日内（争取1个工作日内），将政府采购合同通过委托的政府采购代理机构在财政部门指定的媒体上公告，但政府采购合同中涉及国家秘密、商业秘密的内容除外。</w:t>
      </w:r>
    </w:p>
    <w:p>
      <w:pPr>
        <w:pStyle w:val="25"/>
        <w:spacing w:line="400" w:lineRule="exact"/>
        <w:outlineLvl w:val="2"/>
        <w:rPr>
          <w:rFonts w:hAnsi="宋体" w:cs="宋体"/>
          <w:b/>
          <w:color w:val="auto"/>
          <w:sz w:val="24"/>
          <w:szCs w:val="24"/>
          <w:highlight w:val="none"/>
        </w:rPr>
      </w:pPr>
      <w:bookmarkStart w:id="71" w:name="_Toc8743"/>
      <w:bookmarkStart w:id="72" w:name="_Toc86935829"/>
      <w:r>
        <w:rPr>
          <w:rFonts w:hint="eastAsia" w:hAnsi="宋体" w:cs="宋体"/>
          <w:b/>
          <w:color w:val="auto"/>
          <w:sz w:val="24"/>
          <w:szCs w:val="24"/>
          <w:highlight w:val="none"/>
        </w:rPr>
        <w:t>26.合同履行中的追加</w:t>
      </w:r>
      <w:bookmarkEnd w:id="71"/>
      <w:bookmarkEnd w:id="72"/>
    </w:p>
    <w:p>
      <w:pPr>
        <w:pStyle w:val="25"/>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26.1政府采购合同履行中，采购单位需追加与合同标的相同的货物、工程和服务的，在不改变合同其他条款的前提下，可以与成交人协商签订补充的合同。但补充的合同涉及的采购金额不得超过原合同采购金额的10%。</w:t>
      </w:r>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27.农民工工资保障金</w:t>
      </w:r>
    </w:p>
    <w:p>
      <w:pPr>
        <w:pStyle w:val="4"/>
        <w:spacing w:before="0" w:after="0" w:line="390" w:lineRule="exact"/>
        <w:ind w:firstLine="480" w:firstLineChars="200"/>
        <w:jc w:val="both"/>
        <w:rPr>
          <w:rFonts w:ascii="宋体" w:hAnsi="宋体" w:eastAsia="宋体" w:cs="宋体"/>
          <w:b w:val="0"/>
          <w:color w:val="auto"/>
          <w:sz w:val="24"/>
          <w:szCs w:val="24"/>
          <w:highlight w:val="none"/>
        </w:rPr>
      </w:pPr>
      <w:bookmarkStart w:id="73" w:name="_Toc86935830"/>
      <w:r>
        <w:rPr>
          <w:rFonts w:hint="eastAsia" w:ascii="宋体" w:hAnsi="宋体" w:eastAsia="宋体" w:cs="宋体"/>
          <w:b w:val="0"/>
          <w:color w:val="auto"/>
          <w:sz w:val="24"/>
          <w:szCs w:val="24"/>
          <w:highlight w:val="none"/>
        </w:rPr>
        <w:t>27.1</w:t>
      </w:r>
      <w:bookmarkEnd w:id="73"/>
      <w:bookmarkStart w:id="74" w:name="_Toc86935831"/>
      <w:r>
        <w:rPr>
          <w:rFonts w:hint="eastAsia" w:ascii="宋体" w:hAnsi="宋体" w:eastAsia="宋体" w:cs="宋体"/>
          <w:b w:val="0"/>
          <w:color w:val="auto"/>
          <w:sz w:val="24"/>
          <w:szCs w:val="24"/>
          <w:highlight w:val="none"/>
        </w:rPr>
        <w:t>在中标（成交）后7个工作日内中标（成交）单位按工程中标（成交）价的2%交一次性足额存农民工工资保证金，单项工程的农民工工资保证金最高限额为80万元，也可以使用银行保函。工程竣工验收结算经审定后，按照规定程序，将农民工工资保证金没有使用或剩余的金额退还给中标（成交）单位。</w:t>
      </w:r>
    </w:p>
    <w:p>
      <w:pPr>
        <w:pStyle w:val="4"/>
        <w:spacing w:before="0" w:after="0" w:line="390" w:lineRule="exact"/>
        <w:ind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八、其他事项</w:t>
      </w:r>
      <w:bookmarkEnd w:id="70"/>
      <w:bookmarkEnd w:id="74"/>
    </w:p>
    <w:p>
      <w:pPr>
        <w:spacing w:line="390" w:lineRule="exact"/>
        <w:rPr>
          <w:rFonts w:ascii="宋体" w:hAnsi="宋体" w:cs="宋体"/>
          <w:b/>
          <w:bCs/>
          <w:color w:val="auto"/>
          <w:sz w:val="24"/>
          <w:highlight w:val="none"/>
        </w:rPr>
      </w:pPr>
      <w:r>
        <w:rPr>
          <w:rFonts w:hint="eastAsia" w:ascii="宋体" w:hAnsi="宋体" w:cs="宋体"/>
          <w:b/>
          <w:bCs/>
          <w:color w:val="auto"/>
          <w:sz w:val="24"/>
          <w:highlight w:val="none"/>
        </w:rPr>
        <w:t>28、解释权</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28.1本《竞争性磋商文件》是根据国家有关法律、法规以及政府采购管理有关规定和参照国际惯例编制，解释权属本采购代理机构。</w:t>
      </w:r>
    </w:p>
    <w:p>
      <w:pPr>
        <w:spacing w:line="390" w:lineRule="exact"/>
        <w:rPr>
          <w:rFonts w:ascii="宋体" w:hAnsi="宋体" w:cs="宋体"/>
          <w:b/>
          <w:color w:val="auto"/>
          <w:sz w:val="24"/>
          <w:highlight w:val="none"/>
        </w:rPr>
      </w:pPr>
      <w:r>
        <w:rPr>
          <w:rFonts w:hint="eastAsia" w:ascii="宋体" w:hAnsi="宋体" w:cs="宋体"/>
          <w:b/>
          <w:color w:val="auto"/>
          <w:sz w:val="24"/>
          <w:highlight w:val="none"/>
        </w:rPr>
        <w:t>29、代理服务费</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29.1代理服务费：采购代理服务费根据按国家发改价格【2015】299号文《关于进一步放开建设项目专业服务价格的通知》有关文件规定，由中标（成交）单位支付。</w:t>
      </w:r>
    </w:p>
    <w:p>
      <w:pPr>
        <w:spacing w:line="390" w:lineRule="exact"/>
        <w:rPr>
          <w:rFonts w:ascii="宋体" w:hAnsi="宋体" w:cs="宋体"/>
          <w:b/>
          <w:bCs/>
          <w:color w:val="auto"/>
          <w:sz w:val="24"/>
          <w:highlight w:val="none"/>
        </w:rPr>
      </w:pPr>
      <w:r>
        <w:rPr>
          <w:rFonts w:hint="eastAsia" w:ascii="宋体" w:hAnsi="宋体" w:cs="宋体"/>
          <w:b/>
          <w:color w:val="auto"/>
          <w:sz w:val="24"/>
          <w:highlight w:val="none"/>
        </w:rPr>
        <w:t>30、</w:t>
      </w:r>
      <w:r>
        <w:rPr>
          <w:rFonts w:hint="eastAsia" w:ascii="宋体" w:hAnsi="宋体" w:cs="宋体"/>
          <w:b/>
          <w:bCs/>
          <w:color w:val="auto"/>
          <w:sz w:val="24"/>
          <w:highlight w:val="none"/>
        </w:rPr>
        <w:t>有关事宜</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30.1所有与本磋商文件有关的函电请按下列通讯地址联系：</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30.1.1采购代理机构：</w:t>
      </w:r>
    </w:p>
    <w:p>
      <w:pPr>
        <w:spacing w:line="39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采购代理机构：广西大通建设监理咨询管理有限公司</w:t>
      </w:r>
    </w:p>
    <w:p>
      <w:pPr>
        <w:spacing w:line="390" w:lineRule="exact"/>
        <w:ind w:right="-192"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南宁市科园大道33号盛世龙腾A座十三楼</w:t>
      </w:r>
    </w:p>
    <w:p>
      <w:pPr>
        <w:spacing w:line="390" w:lineRule="exact"/>
        <w:ind w:right="-192"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eastAsia="zh-CN"/>
        </w:rPr>
        <w:t>凌彤</w:t>
      </w:r>
    </w:p>
    <w:p>
      <w:pPr>
        <w:spacing w:line="390" w:lineRule="exact"/>
        <w:ind w:right="-192" w:firstLine="480" w:firstLineChars="200"/>
        <w:rPr>
          <w:rFonts w:ascii="宋体" w:hAnsi="宋体" w:cs="宋体"/>
          <w:color w:val="auto"/>
          <w:sz w:val="24"/>
          <w:highlight w:val="none"/>
        </w:rPr>
      </w:pPr>
      <w:r>
        <w:rPr>
          <w:rFonts w:hint="eastAsia" w:ascii="宋体" w:hAnsi="宋体" w:cs="宋体"/>
          <w:color w:val="auto"/>
          <w:sz w:val="24"/>
          <w:highlight w:val="none"/>
        </w:rPr>
        <w:t>电 话：</w:t>
      </w:r>
      <w:r>
        <w:rPr>
          <w:rFonts w:hint="eastAsia" w:ascii="宋体" w:hAnsi="宋体" w:cs="宋体"/>
          <w:color w:val="auto"/>
          <w:sz w:val="24"/>
          <w:highlight w:val="none"/>
          <w:lang w:val="en-US" w:eastAsia="zh-CN"/>
        </w:rPr>
        <w:t>0771-3510592</w:t>
      </w:r>
      <w:r>
        <w:rPr>
          <w:rFonts w:hint="eastAsia" w:ascii="宋体" w:hAnsi="宋体" w:cs="宋体"/>
          <w:color w:val="auto"/>
          <w:sz w:val="24"/>
          <w:highlight w:val="none"/>
        </w:rPr>
        <w:t xml:space="preserve">  </w:t>
      </w:r>
    </w:p>
    <w:p>
      <w:pPr>
        <w:spacing w:line="390" w:lineRule="exact"/>
        <w:ind w:right="-192" w:firstLine="480" w:firstLineChars="200"/>
        <w:rPr>
          <w:rFonts w:ascii="宋体" w:hAnsi="宋体" w:cs="宋体"/>
          <w:color w:val="auto"/>
          <w:sz w:val="24"/>
          <w:highlight w:val="none"/>
        </w:rPr>
      </w:pPr>
      <w:r>
        <w:rPr>
          <w:rFonts w:hint="eastAsia" w:ascii="宋体" w:hAnsi="宋体" w:cs="宋体"/>
          <w:color w:val="auto"/>
          <w:sz w:val="24"/>
          <w:highlight w:val="none"/>
        </w:rPr>
        <w:t>30.1.2监督机构</w:t>
      </w:r>
    </w:p>
    <w:p>
      <w:pPr>
        <w:spacing w:line="390" w:lineRule="exact"/>
        <w:ind w:right="-192" w:firstLine="480" w:firstLineChars="200"/>
        <w:rPr>
          <w:rFonts w:ascii="宋体" w:hAnsi="宋体" w:cs="宋体"/>
          <w:color w:val="auto"/>
          <w:sz w:val="24"/>
          <w:highlight w:val="none"/>
        </w:rPr>
      </w:pPr>
      <w:r>
        <w:rPr>
          <w:rFonts w:hint="eastAsia" w:ascii="宋体" w:hAnsi="宋体" w:cs="宋体"/>
          <w:color w:val="auto"/>
          <w:sz w:val="24"/>
          <w:highlight w:val="none"/>
        </w:rPr>
        <w:t>监督单位全称：</w:t>
      </w:r>
      <w:r>
        <w:rPr>
          <w:rFonts w:hint="eastAsia" w:ascii="宋体" w:hAnsi="宋体" w:cs="宋体"/>
          <w:color w:val="auto"/>
          <w:sz w:val="24"/>
          <w:highlight w:val="none"/>
          <w:lang w:eastAsia="zh-CN"/>
        </w:rPr>
        <w:t>防城港市</w:t>
      </w:r>
      <w:r>
        <w:rPr>
          <w:rFonts w:hint="eastAsia" w:ascii="宋体" w:hAnsi="宋体" w:cs="宋体"/>
          <w:color w:val="auto"/>
          <w:sz w:val="24"/>
          <w:highlight w:val="none"/>
        </w:rPr>
        <w:t>财政局政府采购监督管理股</w:t>
      </w:r>
    </w:p>
    <w:p>
      <w:pPr>
        <w:spacing w:line="390" w:lineRule="exact"/>
        <w:ind w:right="-192" w:firstLine="480" w:firstLineChars="200"/>
        <w:jc w:val="left"/>
        <w:rPr>
          <w:rFonts w:ascii="宋体" w:hAnsi="宋体" w:cs="宋体"/>
          <w:color w:val="auto"/>
          <w:sz w:val="24"/>
          <w:highlight w:val="none"/>
        </w:rPr>
      </w:pPr>
      <w:r>
        <w:rPr>
          <w:rFonts w:hint="eastAsia" w:ascii="宋体" w:hAnsi="宋体" w:cs="宋体"/>
          <w:color w:val="auto"/>
          <w:sz w:val="24"/>
          <w:highlight w:val="none"/>
        </w:rPr>
        <w:t>电话：</w:t>
      </w:r>
      <w:bookmarkStart w:id="75" w:name="_Toc439163592"/>
      <w:bookmarkStart w:id="76" w:name="_Toc296503025"/>
      <w:bookmarkStart w:id="77" w:name="_Toc373478199"/>
      <w:bookmarkStart w:id="78" w:name="_Toc389065255"/>
      <w:bookmarkStart w:id="79" w:name="_Toc351203480"/>
      <w:bookmarkStart w:id="80" w:name="_Toc373227552"/>
      <w:bookmarkStart w:id="81" w:name="_Toc440877583"/>
      <w:bookmarkStart w:id="82" w:name="_Toc430095341"/>
      <w:bookmarkStart w:id="83" w:name="_Toc296890982"/>
      <w:bookmarkStart w:id="84" w:name="_Toc406071080"/>
      <w:r>
        <w:rPr>
          <w:rFonts w:hint="eastAsia" w:ascii="宋体" w:hAnsi="宋体" w:cs="宋体"/>
          <w:color w:val="auto"/>
          <w:sz w:val="24"/>
          <w:highlight w:val="none"/>
          <w:lang w:val="en-US" w:eastAsia="zh-CN"/>
        </w:rPr>
        <w:t>0770-6126193</w:t>
      </w:r>
      <w:r>
        <w:rPr>
          <w:rFonts w:hint="eastAsia" w:ascii="宋体" w:hAnsi="宋体" w:cs="宋体"/>
          <w:color w:val="auto"/>
          <w:sz w:val="24"/>
          <w:highlight w:val="none"/>
        </w:rPr>
        <w:t xml:space="preserve"> </w:t>
      </w:r>
    </w:p>
    <w:p>
      <w:pPr>
        <w:pStyle w:val="48"/>
        <w:ind w:firstLine="280"/>
        <w:rPr>
          <w:color w:val="auto"/>
          <w:highlight w:val="none"/>
        </w:rPr>
      </w:pPr>
    </w:p>
    <w:p>
      <w:pPr>
        <w:pStyle w:val="67"/>
        <w:rPr>
          <w:color w:val="auto"/>
          <w:highlight w:val="none"/>
        </w:rPr>
      </w:pPr>
      <w:r>
        <w:rPr>
          <w:color w:val="auto"/>
          <w:highlight w:val="none"/>
        </w:rPr>
        <w:br w:type="page"/>
      </w:r>
    </w:p>
    <w:p>
      <w:pPr>
        <w:spacing w:line="390" w:lineRule="exact"/>
        <w:jc w:val="center"/>
        <w:outlineLvl w:val="0"/>
        <w:rPr>
          <w:rFonts w:hAnsi="宋体"/>
          <w:b/>
          <w:color w:val="auto"/>
          <w:sz w:val="36"/>
          <w:szCs w:val="36"/>
          <w:highlight w:val="none"/>
        </w:rPr>
      </w:pPr>
      <w:bookmarkStart w:id="85" w:name="_Toc19803"/>
      <w:r>
        <w:rPr>
          <w:rFonts w:hAnsi="宋体"/>
          <w:b/>
          <w:color w:val="auto"/>
          <w:sz w:val="36"/>
          <w:szCs w:val="36"/>
          <w:highlight w:val="none"/>
        </w:rPr>
        <w:t>第</w:t>
      </w:r>
      <w:r>
        <w:rPr>
          <w:rFonts w:hint="eastAsia" w:hAnsi="宋体"/>
          <w:b/>
          <w:color w:val="auto"/>
          <w:sz w:val="36"/>
          <w:szCs w:val="36"/>
          <w:highlight w:val="none"/>
        </w:rPr>
        <w:t>三</w:t>
      </w:r>
      <w:r>
        <w:rPr>
          <w:rFonts w:hAnsi="宋体"/>
          <w:b/>
          <w:color w:val="auto"/>
          <w:sz w:val="36"/>
          <w:szCs w:val="36"/>
          <w:highlight w:val="none"/>
        </w:rPr>
        <w:t>章  合同条款及格式</w:t>
      </w:r>
      <w:bookmarkEnd w:id="75"/>
      <w:bookmarkEnd w:id="85"/>
    </w:p>
    <w:p>
      <w:pPr>
        <w:pStyle w:val="18"/>
        <w:rPr>
          <w:color w:val="auto"/>
          <w:highlight w:val="none"/>
        </w:rPr>
      </w:pPr>
    </w:p>
    <w:bookmarkEnd w:id="76"/>
    <w:bookmarkEnd w:id="77"/>
    <w:bookmarkEnd w:id="78"/>
    <w:bookmarkEnd w:id="79"/>
    <w:bookmarkEnd w:id="80"/>
    <w:bookmarkEnd w:id="81"/>
    <w:bookmarkEnd w:id="82"/>
    <w:bookmarkEnd w:id="83"/>
    <w:bookmarkEnd w:id="84"/>
    <w:p>
      <w:pPr>
        <w:spacing w:line="400" w:lineRule="exact"/>
        <w:ind w:firstLine="3640" w:firstLineChars="1300"/>
        <w:rPr>
          <w:rFonts w:ascii="黑体" w:hAnsi="宋体" w:eastAsia="黑体"/>
          <w:b/>
          <w:color w:val="auto"/>
          <w:sz w:val="28"/>
          <w:szCs w:val="28"/>
          <w:highlight w:val="none"/>
        </w:rPr>
      </w:pPr>
      <w:bookmarkStart w:id="86" w:name="_Toc440877586"/>
      <w:bookmarkStart w:id="87" w:name="_Toc430095344"/>
      <w:r>
        <w:rPr>
          <w:rFonts w:hint="eastAsia" w:ascii="黑体" w:hAnsi="宋体" w:eastAsia="黑体"/>
          <w:b/>
          <w:color w:val="auto"/>
          <w:sz w:val="28"/>
          <w:szCs w:val="28"/>
          <w:highlight w:val="none"/>
        </w:rPr>
        <w:t>第一部分 合同协议书</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u w:val="single"/>
        </w:rPr>
      </w:pPr>
      <w:r>
        <w:rPr>
          <w:rFonts w:ascii="宋体" w:hAnsi="宋体"/>
          <w:color w:val="auto"/>
          <w:szCs w:val="21"/>
          <w:highlight w:val="none"/>
        </w:rPr>
        <w:t>发包人（全称）：</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p>
    <w:p>
      <w:pPr>
        <w:spacing w:line="400" w:lineRule="exact"/>
        <w:rPr>
          <w:rFonts w:ascii="宋体" w:hAnsi="宋体"/>
          <w:color w:val="auto"/>
          <w:szCs w:val="21"/>
          <w:highlight w:val="none"/>
          <w:u w:val="single"/>
        </w:rPr>
      </w:pPr>
      <w:r>
        <w:rPr>
          <w:rFonts w:ascii="宋体" w:hAnsi="宋体"/>
          <w:color w:val="auto"/>
          <w:szCs w:val="21"/>
          <w:highlight w:val="none"/>
        </w:rPr>
        <w:t>承包人（全称）：</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p>
    <w:p>
      <w:pPr>
        <w:spacing w:line="400" w:lineRule="exact"/>
        <w:rPr>
          <w:rFonts w:ascii="宋体" w:hAnsi="宋体"/>
          <w:color w:val="auto"/>
          <w:szCs w:val="21"/>
          <w:highlight w:val="none"/>
        </w:rPr>
      </w:pP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根据《</w:t>
      </w:r>
      <w:r>
        <w:rPr>
          <w:rFonts w:hint="eastAsia" w:ascii="宋体" w:hAnsi="宋体"/>
          <w:color w:val="auto"/>
          <w:szCs w:val="21"/>
          <w:highlight w:val="none"/>
        </w:rPr>
        <w:t>中华人民共和国民法典</w:t>
      </w:r>
      <w:r>
        <w:rPr>
          <w:rFonts w:ascii="宋体" w:hAnsi="宋体"/>
          <w:color w:val="auto"/>
          <w:szCs w:val="21"/>
          <w:highlight w:val="none"/>
        </w:rPr>
        <w:t>》、《中华人民共和国建筑法》及有关法律规定，遵循平等、自愿、公平和诚实信用的原则，双方就</w:t>
      </w:r>
      <w:r>
        <w:rPr>
          <w:rFonts w:ascii="宋体" w:hAnsi="宋体"/>
          <w:color w:val="auto"/>
          <w:szCs w:val="21"/>
          <w:highlight w:val="none"/>
          <w:u w:val="single"/>
        </w:rPr>
        <w:t xml:space="preserve">                       </w:t>
      </w:r>
      <w:r>
        <w:rPr>
          <w:rFonts w:ascii="宋体" w:hAnsi="宋体"/>
          <w:color w:val="auto"/>
          <w:szCs w:val="21"/>
          <w:highlight w:val="none"/>
        </w:rPr>
        <w:t>工程施工及有关事项协商一致，共同达成如下协议：</w:t>
      </w:r>
      <w:bookmarkStart w:id="88" w:name="_Toc351203481"/>
    </w:p>
    <w:p>
      <w:pPr>
        <w:spacing w:line="400" w:lineRule="exact"/>
        <w:rPr>
          <w:rFonts w:ascii="宋体" w:hAnsi="宋体"/>
          <w:b/>
          <w:bCs/>
          <w:color w:val="auto"/>
          <w:szCs w:val="21"/>
          <w:highlight w:val="none"/>
        </w:rPr>
      </w:pPr>
      <w:r>
        <w:rPr>
          <w:rFonts w:ascii="宋体" w:hAnsi="宋体"/>
          <w:b/>
          <w:bCs/>
          <w:color w:val="auto"/>
          <w:szCs w:val="21"/>
          <w:highlight w:val="none"/>
        </w:rPr>
        <w:t>一</w:t>
      </w:r>
      <w:r>
        <w:rPr>
          <w:rFonts w:hint="eastAsia" w:ascii="宋体" w:hAnsi="宋体"/>
          <w:b/>
          <w:bCs/>
          <w:color w:val="auto"/>
          <w:szCs w:val="21"/>
          <w:highlight w:val="none"/>
        </w:rPr>
        <w:t>．</w:t>
      </w:r>
      <w:r>
        <w:rPr>
          <w:rFonts w:ascii="宋体" w:hAnsi="宋体"/>
          <w:b/>
          <w:bCs/>
          <w:color w:val="auto"/>
          <w:szCs w:val="21"/>
          <w:highlight w:val="none"/>
        </w:rPr>
        <w:t>工程概况</w:t>
      </w:r>
      <w:bookmarkEnd w:id="88"/>
    </w:p>
    <w:p>
      <w:pPr>
        <w:spacing w:line="400" w:lineRule="exact"/>
        <w:rPr>
          <w:rFonts w:ascii="宋体" w:hAnsi="宋体"/>
          <w:color w:val="auto"/>
          <w:szCs w:val="21"/>
          <w:highlight w:val="none"/>
          <w:u w:val="single"/>
        </w:rPr>
      </w:pPr>
      <w:r>
        <w:rPr>
          <w:rFonts w:ascii="宋体" w:hAnsi="宋体"/>
          <w:bCs/>
          <w:color w:val="auto"/>
          <w:szCs w:val="21"/>
          <w:highlight w:val="none"/>
        </w:rPr>
        <w:t>1.</w:t>
      </w:r>
      <w:r>
        <w:rPr>
          <w:rFonts w:hint="eastAsia" w:ascii="宋体" w:hAnsi="宋体"/>
          <w:bCs/>
          <w:color w:val="auto"/>
          <w:szCs w:val="21"/>
          <w:highlight w:val="none"/>
        </w:rPr>
        <w:t xml:space="preserve"> </w:t>
      </w:r>
      <w:r>
        <w:rPr>
          <w:rFonts w:ascii="宋体" w:hAnsi="宋体"/>
          <w:bCs/>
          <w:color w:val="auto"/>
          <w:szCs w:val="21"/>
          <w:highlight w:val="none"/>
        </w:rPr>
        <w:t>工程名称</w:t>
      </w:r>
      <w:r>
        <w:rPr>
          <w:rFonts w:ascii="宋体" w:hAnsi="宋体"/>
          <w:color w:val="auto"/>
          <w:szCs w:val="21"/>
          <w:highlight w:val="none"/>
        </w:rPr>
        <w:t>：</w:t>
      </w:r>
      <w:r>
        <w:rPr>
          <w:rFonts w:ascii="宋体" w:hAnsi="宋体"/>
          <w:color w:val="auto"/>
          <w:szCs w:val="21"/>
          <w:highlight w:val="none"/>
          <w:u w:val="single"/>
        </w:rPr>
        <w:t xml:space="preserve">       </w:t>
      </w:r>
      <w:r>
        <w:rPr>
          <w:rFonts w:ascii="宋体" w:hAnsi="宋体"/>
          <w:color w:val="auto"/>
          <w:szCs w:val="21"/>
          <w:highlight w:val="none"/>
        </w:rPr>
        <w:t>。</w:t>
      </w:r>
    </w:p>
    <w:p>
      <w:pPr>
        <w:spacing w:line="400" w:lineRule="exact"/>
        <w:rPr>
          <w:rFonts w:ascii="宋体" w:hAns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 xml:space="preserve"> </w:t>
      </w:r>
      <w:r>
        <w:rPr>
          <w:rFonts w:ascii="宋体" w:hAnsi="宋体"/>
          <w:bCs/>
          <w:color w:val="auto"/>
          <w:szCs w:val="21"/>
          <w:highlight w:val="none"/>
        </w:rPr>
        <w:t>工程地点：</w:t>
      </w:r>
      <w:r>
        <w:rPr>
          <w:rFonts w:ascii="宋体" w:hAnsi="宋体"/>
          <w:color w:val="auto"/>
          <w:szCs w:val="21"/>
          <w:highlight w:val="none"/>
          <w:u w:val="single"/>
        </w:rPr>
        <w:t xml:space="preserve">       </w:t>
      </w:r>
      <w:r>
        <w:rPr>
          <w:rFonts w:ascii="宋体" w:hAnsi="宋体"/>
          <w:color w:val="auto"/>
          <w:szCs w:val="21"/>
          <w:highlight w:val="none"/>
        </w:rPr>
        <w:t>。</w:t>
      </w:r>
    </w:p>
    <w:p>
      <w:pPr>
        <w:spacing w:line="400" w:lineRule="exact"/>
        <w:rPr>
          <w:rFonts w:ascii="宋体" w:hAnsi="宋体"/>
          <w:bCs/>
          <w:color w:val="auto"/>
          <w:szCs w:val="21"/>
          <w:highlight w:val="none"/>
        </w:rPr>
      </w:pPr>
      <w:r>
        <w:rPr>
          <w:rFonts w:ascii="宋体" w:hAnsi="宋体"/>
          <w:bCs/>
          <w:color w:val="auto"/>
          <w:szCs w:val="21"/>
          <w:highlight w:val="none"/>
        </w:rPr>
        <w:t>3.</w:t>
      </w:r>
      <w:r>
        <w:rPr>
          <w:rFonts w:hint="eastAsia" w:ascii="宋体" w:hAnsi="宋体"/>
          <w:bCs/>
          <w:color w:val="auto"/>
          <w:szCs w:val="21"/>
          <w:highlight w:val="none"/>
        </w:rPr>
        <w:t xml:space="preserve"> </w:t>
      </w:r>
      <w:r>
        <w:rPr>
          <w:rFonts w:ascii="宋体" w:hAnsi="宋体"/>
          <w:bCs/>
          <w:color w:val="auto"/>
          <w:szCs w:val="21"/>
          <w:highlight w:val="none"/>
        </w:rPr>
        <w:t>工程立项批准文号：</w:t>
      </w:r>
      <w:r>
        <w:rPr>
          <w:rFonts w:ascii="宋体" w:hAnsi="宋体"/>
          <w:color w:val="auto"/>
          <w:szCs w:val="21"/>
          <w:highlight w:val="none"/>
          <w:u w:val="single"/>
        </w:rPr>
        <w:t xml:space="preserve">       </w:t>
      </w:r>
      <w:r>
        <w:rPr>
          <w:rFonts w:ascii="宋体" w:hAnsi="宋体"/>
          <w:bCs/>
          <w:color w:val="auto"/>
          <w:szCs w:val="21"/>
          <w:highlight w:val="none"/>
        </w:rPr>
        <w:t>。</w:t>
      </w:r>
    </w:p>
    <w:p>
      <w:pPr>
        <w:spacing w:line="400" w:lineRule="exact"/>
        <w:rPr>
          <w:rFonts w:ascii="宋体" w:hAnsi="宋体"/>
          <w:bCs/>
          <w:color w:val="auto"/>
          <w:szCs w:val="21"/>
          <w:highlight w:val="none"/>
        </w:rPr>
      </w:pPr>
      <w:r>
        <w:rPr>
          <w:rFonts w:ascii="宋体" w:hAnsi="宋体"/>
          <w:bCs/>
          <w:color w:val="auto"/>
          <w:szCs w:val="21"/>
          <w:highlight w:val="none"/>
        </w:rPr>
        <w:t>4.</w:t>
      </w:r>
      <w:r>
        <w:rPr>
          <w:rFonts w:hint="eastAsia" w:ascii="宋体" w:hAnsi="宋体"/>
          <w:bCs/>
          <w:color w:val="auto"/>
          <w:szCs w:val="21"/>
          <w:highlight w:val="none"/>
        </w:rPr>
        <w:t xml:space="preserve"> </w:t>
      </w:r>
      <w:r>
        <w:rPr>
          <w:rFonts w:ascii="宋体" w:hAnsi="宋体"/>
          <w:bCs/>
          <w:color w:val="auto"/>
          <w:szCs w:val="21"/>
          <w:highlight w:val="none"/>
        </w:rPr>
        <w:t>资金来源：</w:t>
      </w:r>
      <w:r>
        <w:rPr>
          <w:rFonts w:ascii="宋体" w:hAnsi="宋体"/>
          <w:color w:val="auto"/>
          <w:szCs w:val="21"/>
          <w:highlight w:val="none"/>
          <w:u w:val="single"/>
        </w:rPr>
        <w:t xml:space="preserve">       </w:t>
      </w:r>
      <w:r>
        <w:rPr>
          <w:rFonts w:ascii="宋体" w:hAnsi="宋体"/>
          <w:bCs/>
          <w:color w:val="auto"/>
          <w:szCs w:val="21"/>
          <w:highlight w:val="none"/>
        </w:rPr>
        <w:t>。</w:t>
      </w:r>
    </w:p>
    <w:p>
      <w:pPr>
        <w:spacing w:line="400" w:lineRule="exact"/>
        <w:rPr>
          <w:rFonts w:ascii="宋体" w:hAnsi="宋体"/>
          <w:bCs/>
          <w:color w:val="auto"/>
          <w:szCs w:val="21"/>
          <w:highlight w:val="none"/>
        </w:rPr>
      </w:pPr>
      <w:r>
        <w:rPr>
          <w:rFonts w:ascii="宋体" w:hAnsi="宋体"/>
          <w:bCs/>
          <w:color w:val="auto"/>
          <w:szCs w:val="21"/>
          <w:highlight w:val="none"/>
        </w:rPr>
        <w:t>5.</w:t>
      </w:r>
      <w:r>
        <w:rPr>
          <w:rFonts w:hint="eastAsia" w:ascii="宋体" w:hAnsi="宋体"/>
          <w:bCs/>
          <w:color w:val="auto"/>
          <w:szCs w:val="21"/>
          <w:highlight w:val="none"/>
        </w:rPr>
        <w:t xml:space="preserve"> </w:t>
      </w:r>
      <w:r>
        <w:rPr>
          <w:rFonts w:ascii="宋体" w:hAnsi="宋体"/>
          <w:bCs/>
          <w:color w:val="auto"/>
          <w:szCs w:val="21"/>
          <w:highlight w:val="none"/>
        </w:rPr>
        <w:t>工程内容：</w:t>
      </w:r>
      <w:r>
        <w:rPr>
          <w:rFonts w:ascii="宋体" w:hAnsi="宋体"/>
          <w:color w:val="auto"/>
          <w:szCs w:val="21"/>
          <w:highlight w:val="none"/>
          <w:u w:val="single"/>
        </w:rPr>
        <w:t xml:space="preserve">       </w:t>
      </w:r>
      <w:r>
        <w:rPr>
          <w:rFonts w:ascii="宋体" w:hAnsi="宋体"/>
          <w:bCs/>
          <w:color w:val="auto"/>
          <w:szCs w:val="21"/>
          <w:highlight w:val="none"/>
        </w:rPr>
        <w:t>。</w:t>
      </w:r>
    </w:p>
    <w:p>
      <w:pPr>
        <w:spacing w:line="400" w:lineRule="exact"/>
        <w:rPr>
          <w:rFonts w:ascii="宋体" w:hAnsi="宋体"/>
          <w:bCs/>
          <w:color w:val="auto"/>
          <w:szCs w:val="21"/>
          <w:highlight w:val="none"/>
        </w:rPr>
      </w:pPr>
      <w:r>
        <w:rPr>
          <w:rFonts w:ascii="宋体" w:hAnsi="宋体"/>
          <w:color w:val="auto"/>
          <w:szCs w:val="21"/>
          <w:highlight w:val="none"/>
        </w:rPr>
        <w:t>群体工程应附《承包人承揽工程项目一览表》（附件1）。</w:t>
      </w:r>
    </w:p>
    <w:p>
      <w:pPr>
        <w:spacing w:line="400" w:lineRule="exact"/>
        <w:rPr>
          <w:rFonts w:ascii="宋体" w:hAnsi="宋体"/>
          <w:bCs/>
          <w:color w:val="auto"/>
          <w:szCs w:val="21"/>
          <w:highlight w:val="none"/>
        </w:rPr>
      </w:pPr>
      <w:r>
        <w:rPr>
          <w:rFonts w:ascii="宋体" w:hAnsi="宋体"/>
          <w:bCs/>
          <w:color w:val="auto"/>
          <w:szCs w:val="21"/>
          <w:highlight w:val="none"/>
        </w:rPr>
        <w:t>6.</w:t>
      </w:r>
      <w:r>
        <w:rPr>
          <w:rFonts w:hint="eastAsia" w:ascii="宋体" w:hAnsi="宋体"/>
          <w:bCs/>
          <w:color w:val="auto"/>
          <w:szCs w:val="21"/>
          <w:highlight w:val="none"/>
        </w:rPr>
        <w:t xml:space="preserve"> </w:t>
      </w:r>
      <w:r>
        <w:rPr>
          <w:rFonts w:ascii="宋体" w:hAnsi="宋体"/>
          <w:bCs/>
          <w:color w:val="auto"/>
          <w:szCs w:val="21"/>
          <w:highlight w:val="none"/>
        </w:rPr>
        <w:t>工程承包范围：</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b/>
          <w:bCs/>
          <w:color w:val="auto"/>
          <w:szCs w:val="21"/>
          <w:highlight w:val="none"/>
        </w:rPr>
      </w:pPr>
      <w:bookmarkStart w:id="89" w:name="_Toc351203482"/>
      <w:r>
        <w:rPr>
          <w:rFonts w:ascii="宋体" w:hAnsi="宋体"/>
          <w:b/>
          <w:bCs/>
          <w:color w:val="auto"/>
          <w:szCs w:val="21"/>
          <w:highlight w:val="none"/>
        </w:rPr>
        <w:t>二</w:t>
      </w:r>
      <w:r>
        <w:rPr>
          <w:rFonts w:hint="eastAsia" w:ascii="宋体" w:hAnsi="宋体"/>
          <w:b/>
          <w:bCs/>
          <w:color w:val="auto"/>
          <w:szCs w:val="21"/>
          <w:highlight w:val="none"/>
        </w:rPr>
        <w:t>．</w:t>
      </w:r>
      <w:r>
        <w:rPr>
          <w:rFonts w:ascii="宋体" w:hAnsi="宋体"/>
          <w:b/>
          <w:bCs/>
          <w:color w:val="auto"/>
          <w:szCs w:val="21"/>
          <w:highlight w:val="none"/>
        </w:rPr>
        <w:t>合同工期</w:t>
      </w:r>
      <w:bookmarkEnd w:id="89"/>
    </w:p>
    <w:p>
      <w:pPr>
        <w:spacing w:line="400" w:lineRule="exact"/>
        <w:rPr>
          <w:rFonts w:ascii="宋体" w:hAnsi="宋体"/>
          <w:color w:val="auto"/>
          <w:szCs w:val="21"/>
          <w:highlight w:val="none"/>
        </w:rPr>
      </w:pPr>
      <w:r>
        <w:rPr>
          <w:rFonts w:ascii="宋体" w:hAnsi="宋体"/>
          <w:color w:val="auto"/>
          <w:szCs w:val="21"/>
          <w:highlight w:val="none"/>
        </w:rPr>
        <w:t>计划开工日期：</w:t>
      </w:r>
      <w:r>
        <w:rPr>
          <w:rFonts w:ascii="宋体" w:hAnsi="宋体"/>
          <w:color w:val="auto"/>
          <w:szCs w:val="21"/>
          <w:highlight w:val="none"/>
          <w:u w:val="single"/>
        </w:rPr>
        <w:t></w:t>
      </w:r>
      <w:r>
        <w:rPr>
          <w:rFonts w:ascii="宋体" w:hAnsi="宋体"/>
          <w:color w:val="auto"/>
          <w:szCs w:val="21"/>
          <w:highlight w:val="none"/>
        </w:rPr>
        <w:t>年</w:t>
      </w:r>
      <w:r>
        <w:rPr>
          <w:rFonts w:ascii="宋体" w:hAnsi="宋体"/>
          <w:color w:val="auto"/>
          <w:szCs w:val="21"/>
          <w:highlight w:val="none"/>
          <w:u w:val="single"/>
        </w:rPr>
        <w:t></w:t>
      </w:r>
      <w:r>
        <w:rPr>
          <w:rFonts w:ascii="宋体" w:hAnsi="宋体"/>
          <w:color w:val="auto"/>
          <w:szCs w:val="21"/>
          <w:highlight w:val="none"/>
        </w:rPr>
        <w:t>月</w:t>
      </w:r>
      <w:r>
        <w:rPr>
          <w:rFonts w:ascii="宋体" w:hAnsi="宋体"/>
          <w:color w:val="auto"/>
          <w:szCs w:val="21"/>
          <w:highlight w:val="none"/>
          <w:u w:val="single"/>
        </w:rPr>
        <w:t></w:t>
      </w:r>
      <w:r>
        <w:rPr>
          <w:rFonts w:ascii="宋体" w:hAnsi="宋体"/>
          <w:color w:val="auto"/>
          <w:szCs w:val="21"/>
          <w:highlight w:val="none"/>
        </w:rPr>
        <w:t>日。</w:t>
      </w:r>
    </w:p>
    <w:p>
      <w:pPr>
        <w:spacing w:line="400" w:lineRule="exact"/>
        <w:rPr>
          <w:rFonts w:ascii="宋体" w:hAnsi="宋体"/>
          <w:color w:val="auto"/>
          <w:szCs w:val="21"/>
          <w:highlight w:val="none"/>
        </w:rPr>
      </w:pPr>
      <w:r>
        <w:rPr>
          <w:rFonts w:ascii="宋体" w:hAnsi="宋体"/>
          <w:color w:val="auto"/>
          <w:szCs w:val="21"/>
          <w:highlight w:val="none"/>
        </w:rPr>
        <w:t>计划竣工日期：</w:t>
      </w:r>
      <w:r>
        <w:rPr>
          <w:rFonts w:ascii="宋体" w:hAnsi="宋体"/>
          <w:color w:val="auto"/>
          <w:szCs w:val="21"/>
          <w:highlight w:val="none"/>
          <w:u w:val="single"/>
        </w:rPr>
        <w:t></w:t>
      </w:r>
      <w:r>
        <w:rPr>
          <w:rFonts w:ascii="宋体" w:hAnsi="宋体"/>
          <w:color w:val="auto"/>
          <w:szCs w:val="21"/>
          <w:highlight w:val="none"/>
        </w:rPr>
        <w:t>年</w:t>
      </w:r>
      <w:r>
        <w:rPr>
          <w:rFonts w:ascii="宋体" w:hAnsi="宋体"/>
          <w:color w:val="auto"/>
          <w:szCs w:val="21"/>
          <w:highlight w:val="none"/>
          <w:u w:val="single"/>
        </w:rPr>
        <w:t></w:t>
      </w:r>
      <w:r>
        <w:rPr>
          <w:rFonts w:ascii="宋体" w:hAnsi="宋体"/>
          <w:color w:val="auto"/>
          <w:szCs w:val="21"/>
          <w:highlight w:val="none"/>
        </w:rPr>
        <w:t>月</w:t>
      </w:r>
      <w:r>
        <w:rPr>
          <w:rFonts w:ascii="宋体" w:hAnsi="宋体"/>
          <w:color w:val="auto"/>
          <w:szCs w:val="21"/>
          <w:highlight w:val="none"/>
          <w:u w:val="single"/>
        </w:rPr>
        <w:t></w:t>
      </w:r>
      <w:r>
        <w:rPr>
          <w:rFonts w:ascii="宋体" w:hAnsi="宋体"/>
          <w:color w:val="auto"/>
          <w:szCs w:val="21"/>
          <w:highlight w:val="none"/>
        </w:rPr>
        <w:t>日。</w:t>
      </w:r>
    </w:p>
    <w:p>
      <w:pPr>
        <w:spacing w:line="400" w:lineRule="exact"/>
        <w:rPr>
          <w:rFonts w:ascii="宋体" w:hAnsi="宋体"/>
          <w:color w:val="auto"/>
          <w:szCs w:val="21"/>
          <w:highlight w:val="none"/>
        </w:rPr>
      </w:pPr>
      <w:r>
        <w:rPr>
          <w:rFonts w:ascii="宋体" w:hAnsi="宋体"/>
          <w:color w:val="auto"/>
          <w:szCs w:val="21"/>
          <w:highlight w:val="none"/>
        </w:rPr>
        <w:t>工期总日历天数：</w:t>
      </w:r>
      <w:r>
        <w:rPr>
          <w:rFonts w:ascii="宋体" w:hAnsi="宋体"/>
          <w:color w:val="auto"/>
          <w:szCs w:val="21"/>
          <w:highlight w:val="none"/>
          <w:u w:val="single"/>
        </w:rPr>
        <w:t></w:t>
      </w:r>
      <w:r>
        <w:rPr>
          <w:rFonts w:ascii="宋体" w:hAnsi="宋体"/>
          <w:color w:val="auto"/>
          <w:szCs w:val="21"/>
          <w:highlight w:val="none"/>
        </w:rPr>
        <w:t>天。工期总日历天数与根据前述计划开竣工日期计算的工期天数不一致的，以工期总日历天数为准。</w:t>
      </w:r>
    </w:p>
    <w:p>
      <w:pPr>
        <w:spacing w:line="400" w:lineRule="exact"/>
        <w:rPr>
          <w:rFonts w:ascii="宋体" w:hAnsi="宋体"/>
          <w:b/>
          <w:bCs/>
          <w:color w:val="auto"/>
          <w:szCs w:val="21"/>
          <w:highlight w:val="none"/>
        </w:rPr>
      </w:pPr>
      <w:bookmarkStart w:id="90" w:name="_Toc351203483"/>
      <w:r>
        <w:rPr>
          <w:rFonts w:ascii="宋体" w:hAnsi="宋体"/>
          <w:b/>
          <w:bCs/>
          <w:color w:val="auto"/>
          <w:szCs w:val="21"/>
          <w:highlight w:val="none"/>
        </w:rPr>
        <w:t>三</w:t>
      </w:r>
      <w:r>
        <w:rPr>
          <w:rFonts w:hint="eastAsia" w:ascii="宋体" w:hAnsi="宋体"/>
          <w:b/>
          <w:bCs/>
          <w:color w:val="auto"/>
          <w:szCs w:val="21"/>
          <w:highlight w:val="none"/>
        </w:rPr>
        <w:t>．</w:t>
      </w:r>
      <w:r>
        <w:rPr>
          <w:rFonts w:ascii="宋体" w:hAnsi="宋体"/>
          <w:b/>
          <w:bCs/>
          <w:color w:val="auto"/>
          <w:szCs w:val="21"/>
          <w:highlight w:val="none"/>
        </w:rPr>
        <w:t>质量标准</w:t>
      </w:r>
      <w:bookmarkEnd w:id="90"/>
    </w:p>
    <w:p>
      <w:pPr>
        <w:spacing w:line="400" w:lineRule="exact"/>
        <w:rPr>
          <w:rFonts w:ascii="宋体" w:hAnsi="宋体"/>
          <w:color w:val="auto"/>
          <w:szCs w:val="21"/>
          <w:highlight w:val="none"/>
        </w:rPr>
      </w:pPr>
      <w:r>
        <w:rPr>
          <w:rFonts w:ascii="宋体" w:hAnsi="宋体"/>
          <w:color w:val="auto"/>
          <w:szCs w:val="21"/>
          <w:highlight w:val="none"/>
        </w:rPr>
        <w:t>工程质量符合</w:t>
      </w:r>
      <w:r>
        <w:rPr>
          <w:rFonts w:ascii="宋体" w:hAnsi="宋体"/>
          <w:color w:val="auto"/>
          <w:szCs w:val="21"/>
          <w:highlight w:val="none"/>
          <w:u w:val="single"/>
        </w:rPr>
        <w:t></w:t>
      </w:r>
      <w:r>
        <w:rPr>
          <w:rFonts w:ascii="宋体" w:hAnsi="宋体"/>
          <w:color w:val="auto"/>
          <w:szCs w:val="21"/>
          <w:highlight w:val="none"/>
        </w:rPr>
        <w:t>标准。</w:t>
      </w:r>
    </w:p>
    <w:p>
      <w:pPr>
        <w:spacing w:line="400" w:lineRule="exact"/>
        <w:rPr>
          <w:rFonts w:ascii="宋体" w:hAnsi="宋体"/>
          <w:b/>
          <w:bCs/>
          <w:color w:val="auto"/>
          <w:szCs w:val="21"/>
          <w:highlight w:val="none"/>
        </w:rPr>
      </w:pPr>
      <w:bookmarkStart w:id="91" w:name="_Toc351203484"/>
      <w:r>
        <w:rPr>
          <w:rFonts w:ascii="宋体" w:hAnsi="宋体"/>
          <w:b/>
          <w:bCs/>
          <w:color w:val="auto"/>
          <w:szCs w:val="21"/>
          <w:highlight w:val="none"/>
        </w:rPr>
        <w:t>四</w:t>
      </w:r>
      <w:r>
        <w:rPr>
          <w:rFonts w:hint="eastAsia" w:ascii="宋体" w:hAnsi="宋体"/>
          <w:b/>
          <w:bCs/>
          <w:color w:val="auto"/>
          <w:szCs w:val="21"/>
          <w:highlight w:val="none"/>
        </w:rPr>
        <w:t>．</w:t>
      </w:r>
      <w:r>
        <w:rPr>
          <w:rFonts w:ascii="宋体" w:hAnsi="宋体"/>
          <w:b/>
          <w:bCs/>
          <w:color w:val="auto"/>
          <w:szCs w:val="21"/>
          <w:highlight w:val="none"/>
        </w:rPr>
        <w:t>签约合同价与合同价格形式</w:t>
      </w:r>
      <w:bookmarkEnd w:id="91"/>
    </w:p>
    <w:p>
      <w:pPr>
        <w:spacing w:line="400" w:lineRule="exact"/>
        <w:rPr>
          <w:rFonts w:ascii="宋体" w:hAnsi="宋体"/>
          <w:color w:val="auto"/>
          <w:szCs w:val="21"/>
          <w:highlight w:val="none"/>
        </w:rPr>
      </w:pPr>
      <w:r>
        <w:rPr>
          <w:rFonts w:ascii="宋体" w:hAnsi="宋体"/>
          <w:color w:val="auto"/>
          <w:szCs w:val="21"/>
          <w:highlight w:val="none"/>
        </w:rPr>
        <w:t>1.签约合同价为：</w:t>
      </w:r>
    </w:p>
    <w:p>
      <w:pPr>
        <w:spacing w:line="400" w:lineRule="exact"/>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其中：</w:t>
      </w:r>
    </w:p>
    <w:p>
      <w:pPr>
        <w:spacing w:line="400" w:lineRule="exac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建安劳保费：</w:t>
      </w:r>
    </w:p>
    <w:p>
      <w:pPr>
        <w:spacing w:line="400" w:lineRule="exact"/>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（2）安全文明施工费：</w:t>
      </w:r>
    </w:p>
    <w:p>
      <w:pPr>
        <w:spacing w:line="400" w:lineRule="exact"/>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（3）材料和工程设备暂估价金额：</w:t>
      </w:r>
    </w:p>
    <w:p>
      <w:pPr>
        <w:spacing w:line="400" w:lineRule="exact"/>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（4）专业工程暂估价金额：</w:t>
      </w:r>
    </w:p>
    <w:p>
      <w:pPr>
        <w:spacing w:line="400" w:lineRule="exact"/>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（5）暂列金额：</w:t>
      </w:r>
    </w:p>
    <w:p>
      <w:pPr>
        <w:spacing w:line="400" w:lineRule="exact"/>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 xml:space="preserve">2.合同价格形式：   </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b/>
          <w:bCs/>
          <w:color w:val="auto"/>
          <w:szCs w:val="21"/>
          <w:highlight w:val="none"/>
        </w:rPr>
      </w:pPr>
      <w:bookmarkStart w:id="92" w:name="_Toc351203485"/>
      <w:r>
        <w:rPr>
          <w:rFonts w:ascii="宋体" w:hAnsi="宋体"/>
          <w:b/>
          <w:bCs/>
          <w:color w:val="auto"/>
          <w:szCs w:val="21"/>
          <w:highlight w:val="none"/>
        </w:rPr>
        <w:t>五</w:t>
      </w:r>
      <w:bookmarkEnd w:id="92"/>
      <w:r>
        <w:rPr>
          <w:rFonts w:hint="eastAsia" w:ascii="宋体" w:hAnsi="宋体"/>
          <w:b/>
          <w:bCs/>
          <w:color w:val="auto"/>
          <w:szCs w:val="21"/>
          <w:highlight w:val="none"/>
        </w:rPr>
        <w:t>．</w:t>
      </w:r>
      <w:r>
        <w:rPr>
          <w:rFonts w:ascii="宋体" w:hAnsi="宋体"/>
          <w:b/>
          <w:bCs/>
          <w:color w:val="auto"/>
          <w:szCs w:val="21"/>
          <w:highlight w:val="none"/>
        </w:rPr>
        <w:t>项目经理</w:t>
      </w:r>
    </w:p>
    <w:p>
      <w:pPr>
        <w:spacing w:line="400" w:lineRule="exact"/>
        <w:rPr>
          <w:rFonts w:ascii="宋体" w:hAnsi="宋体"/>
          <w:color w:val="auto"/>
          <w:szCs w:val="21"/>
          <w:highlight w:val="none"/>
        </w:rPr>
      </w:pPr>
      <w:r>
        <w:rPr>
          <w:rFonts w:ascii="宋体" w:hAnsi="宋体"/>
          <w:color w:val="auto"/>
          <w:szCs w:val="21"/>
          <w:highlight w:val="none"/>
        </w:rPr>
        <w:t>承包人项目经理：</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b/>
          <w:bCs/>
          <w:color w:val="auto"/>
          <w:szCs w:val="21"/>
          <w:highlight w:val="none"/>
        </w:rPr>
      </w:pPr>
      <w:bookmarkStart w:id="93" w:name="_Toc351203486"/>
      <w:r>
        <w:rPr>
          <w:rFonts w:ascii="宋体" w:hAnsi="宋体"/>
          <w:b/>
          <w:bCs/>
          <w:color w:val="auto"/>
          <w:szCs w:val="21"/>
          <w:highlight w:val="none"/>
        </w:rPr>
        <w:t>六</w:t>
      </w:r>
      <w:r>
        <w:rPr>
          <w:rFonts w:hint="eastAsia" w:ascii="宋体" w:hAnsi="宋体"/>
          <w:b/>
          <w:bCs/>
          <w:color w:val="auto"/>
          <w:szCs w:val="21"/>
          <w:highlight w:val="none"/>
        </w:rPr>
        <w:t>．</w:t>
      </w:r>
      <w:r>
        <w:rPr>
          <w:rFonts w:ascii="宋体" w:hAnsi="宋体"/>
          <w:b/>
          <w:bCs/>
          <w:color w:val="auto"/>
          <w:szCs w:val="21"/>
          <w:highlight w:val="none"/>
        </w:rPr>
        <w:t>合同文件构成</w:t>
      </w:r>
      <w:bookmarkEnd w:id="93"/>
    </w:p>
    <w:p>
      <w:pPr>
        <w:spacing w:line="400" w:lineRule="exact"/>
        <w:rPr>
          <w:rFonts w:ascii="宋体" w:hAnsi="宋体"/>
          <w:bCs/>
          <w:color w:val="auto"/>
          <w:szCs w:val="21"/>
          <w:highlight w:val="none"/>
        </w:rPr>
      </w:pPr>
      <w:r>
        <w:rPr>
          <w:rFonts w:ascii="宋体" w:hAnsi="宋体"/>
          <w:bCs/>
          <w:color w:val="auto"/>
          <w:szCs w:val="21"/>
          <w:highlight w:val="none"/>
        </w:rPr>
        <w:t>本协议书与下列文件一起构成合同文件：</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成交</w:t>
      </w:r>
      <w:r>
        <w:rPr>
          <w:rFonts w:ascii="宋体" w:hAnsi="宋体"/>
          <w:color w:val="auto"/>
          <w:szCs w:val="21"/>
          <w:highlight w:val="none"/>
        </w:rPr>
        <w:t>通知书；</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竞标</w:t>
      </w:r>
      <w:r>
        <w:rPr>
          <w:rFonts w:ascii="宋体" w:hAnsi="宋体"/>
          <w:color w:val="auto"/>
          <w:szCs w:val="21"/>
          <w:highlight w:val="none"/>
        </w:rPr>
        <w:t xml:space="preserve">函及其附录； </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（3）专用合同条款及其附件；</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（4）通用合同条款；</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（5）技术标准和要求；</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 xml:space="preserve">（6）已标价工程量清单或预算书； </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（7）图纸；</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（8）其他合同文件。</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在合同订立及履行过程中形成的与合同有关的文件均构成合同文件组成部分。</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400" w:lineRule="exact"/>
        <w:jc w:val="left"/>
        <w:rPr>
          <w:rFonts w:ascii="宋体" w:hAnsi="宋体"/>
          <w:b/>
          <w:bCs/>
          <w:color w:val="auto"/>
          <w:szCs w:val="21"/>
          <w:highlight w:val="none"/>
        </w:rPr>
      </w:pPr>
      <w:bookmarkStart w:id="94" w:name="_Toc351203487"/>
      <w:r>
        <w:rPr>
          <w:rFonts w:ascii="宋体" w:hAnsi="宋体"/>
          <w:b/>
          <w:bCs/>
          <w:color w:val="auto"/>
          <w:szCs w:val="21"/>
          <w:highlight w:val="none"/>
        </w:rPr>
        <w:t>七</w:t>
      </w:r>
      <w:r>
        <w:rPr>
          <w:rFonts w:hint="eastAsia" w:ascii="宋体" w:hAnsi="宋体"/>
          <w:b/>
          <w:bCs/>
          <w:color w:val="auto"/>
          <w:szCs w:val="21"/>
          <w:highlight w:val="none"/>
        </w:rPr>
        <w:t>．</w:t>
      </w:r>
      <w:r>
        <w:rPr>
          <w:rFonts w:ascii="宋体" w:hAnsi="宋体"/>
          <w:b/>
          <w:bCs/>
          <w:color w:val="auto"/>
          <w:szCs w:val="21"/>
          <w:highlight w:val="none"/>
        </w:rPr>
        <w:t>承诺</w:t>
      </w:r>
      <w:bookmarkEnd w:id="94"/>
    </w:p>
    <w:p>
      <w:pPr>
        <w:spacing w:line="400" w:lineRule="exact"/>
        <w:rPr>
          <w:rFonts w:ascii="宋体" w:hAnsi="宋体"/>
          <w:bCs/>
          <w:color w:val="auto"/>
          <w:szCs w:val="21"/>
          <w:highlight w:val="none"/>
        </w:rPr>
      </w:pPr>
      <w:r>
        <w:rPr>
          <w:rFonts w:ascii="宋体" w:hAnsi="宋体"/>
          <w:bCs/>
          <w:color w:val="auto"/>
          <w:szCs w:val="21"/>
          <w:highlight w:val="none"/>
        </w:rPr>
        <w:t>1.发包人承诺按照法律规定履行项目审批手续、筹集工程建设资金并按照合同约定的期限和方式支付合同价款。</w:t>
      </w:r>
    </w:p>
    <w:p>
      <w:pPr>
        <w:spacing w:line="400" w:lineRule="exact"/>
        <w:rPr>
          <w:rFonts w:ascii="宋体" w:hAnsi="宋体"/>
          <w:bCs/>
          <w:color w:val="auto"/>
          <w:szCs w:val="21"/>
          <w:highlight w:val="none"/>
        </w:rPr>
      </w:pPr>
      <w:r>
        <w:rPr>
          <w:rFonts w:ascii="宋体" w:hAnsi="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400" w:lineRule="exact"/>
        <w:rPr>
          <w:rFonts w:ascii="宋体" w:hAnsi="宋体"/>
          <w:bCs/>
          <w:color w:val="auto"/>
          <w:szCs w:val="21"/>
          <w:highlight w:val="none"/>
        </w:rPr>
      </w:pPr>
      <w:r>
        <w:rPr>
          <w:rFonts w:ascii="宋体" w:hAnsi="宋体"/>
          <w:bCs/>
          <w:color w:val="auto"/>
          <w:szCs w:val="21"/>
          <w:highlight w:val="none"/>
        </w:rPr>
        <w:t>3.发包人和承包人通过招</w:t>
      </w:r>
      <w:r>
        <w:rPr>
          <w:rFonts w:hint="eastAsia" w:ascii="宋体" w:hAnsi="宋体"/>
          <w:bCs/>
          <w:color w:val="auto"/>
          <w:szCs w:val="21"/>
          <w:highlight w:val="none"/>
        </w:rPr>
        <w:t>竞标</w:t>
      </w:r>
      <w:r>
        <w:rPr>
          <w:rFonts w:ascii="宋体" w:hAnsi="宋体"/>
          <w:bCs/>
          <w:color w:val="auto"/>
          <w:szCs w:val="21"/>
          <w:highlight w:val="none"/>
        </w:rPr>
        <w:t>形式签订合同的，双方理解并承诺不再就同一工程另行签订与合同实质性内容相背离的协议。</w:t>
      </w:r>
      <w:bookmarkStart w:id="95" w:name="_Toc351203488"/>
    </w:p>
    <w:p>
      <w:pPr>
        <w:spacing w:line="400" w:lineRule="exact"/>
        <w:rPr>
          <w:rFonts w:ascii="宋体" w:hAnsi="宋体"/>
          <w:b/>
          <w:bCs/>
          <w:color w:val="auto"/>
          <w:szCs w:val="21"/>
          <w:highlight w:val="none"/>
        </w:rPr>
      </w:pPr>
      <w:r>
        <w:rPr>
          <w:rFonts w:ascii="宋体" w:hAnsi="宋体"/>
          <w:b/>
          <w:bCs/>
          <w:color w:val="auto"/>
          <w:szCs w:val="21"/>
          <w:highlight w:val="none"/>
        </w:rPr>
        <w:t>八</w:t>
      </w:r>
      <w:r>
        <w:rPr>
          <w:rFonts w:hint="eastAsia" w:ascii="宋体" w:hAnsi="宋体"/>
          <w:b/>
          <w:bCs/>
          <w:color w:val="auto"/>
          <w:szCs w:val="21"/>
          <w:highlight w:val="none"/>
        </w:rPr>
        <w:t>．</w:t>
      </w:r>
      <w:r>
        <w:rPr>
          <w:rFonts w:ascii="宋体" w:hAnsi="宋体"/>
          <w:b/>
          <w:bCs/>
          <w:color w:val="auto"/>
          <w:szCs w:val="21"/>
          <w:highlight w:val="none"/>
        </w:rPr>
        <w:t>词语含义</w:t>
      </w:r>
      <w:bookmarkEnd w:id="95"/>
    </w:p>
    <w:p>
      <w:pPr>
        <w:spacing w:line="400" w:lineRule="exact"/>
        <w:rPr>
          <w:rFonts w:ascii="宋体" w:hAnsi="宋体"/>
          <w:bCs/>
          <w:color w:val="auto"/>
          <w:szCs w:val="21"/>
          <w:highlight w:val="none"/>
        </w:rPr>
      </w:pPr>
      <w:r>
        <w:rPr>
          <w:rFonts w:ascii="宋体" w:hAnsi="宋体"/>
          <w:bCs/>
          <w:color w:val="auto"/>
          <w:szCs w:val="21"/>
          <w:highlight w:val="none"/>
        </w:rPr>
        <w:t>本协议书中词语含义与第二部分通用合同条款中赋予的含义相同。</w:t>
      </w:r>
    </w:p>
    <w:p>
      <w:pPr>
        <w:spacing w:line="400" w:lineRule="exact"/>
        <w:rPr>
          <w:rFonts w:ascii="宋体" w:hAnsi="宋体"/>
          <w:b/>
          <w:bCs/>
          <w:color w:val="auto"/>
          <w:szCs w:val="21"/>
          <w:highlight w:val="none"/>
        </w:rPr>
      </w:pPr>
      <w:bookmarkStart w:id="96" w:name="_Toc351203489"/>
      <w:r>
        <w:rPr>
          <w:rFonts w:ascii="宋体" w:hAnsi="宋体"/>
          <w:b/>
          <w:bCs/>
          <w:color w:val="auto"/>
          <w:szCs w:val="21"/>
          <w:highlight w:val="none"/>
        </w:rPr>
        <w:t>九</w:t>
      </w:r>
      <w:r>
        <w:rPr>
          <w:rFonts w:hint="eastAsia" w:ascii="宋体" w:hAnsi="宋体"/>
          <w:b/>
          <w:bCs/>
          <w:color w:val="auto"/>
          <w:szCs w:val="21"/>
          <w:highlight w:val="none"/>
        </w:rPr>
        <w:t>．</w:t>
      </w:r>
      <w:r>
        <w:rPr>
          <w:rFonts w:ascii="宋体" w:hAnsi="宋体"/>
          <w:b/>
          <w:bCs/>
          <w:color w:val="auto"/>
          <w:szCs w:val="21"/>
          <w:highlight w:val="none"/>
        </w:rPr>
        <w:t>签订时间</w:t>
      </w:r>
      <w:bookmarkEnd w:id="96"/>
    </w:p>
    <w:p>
      <w:pPr>
        <w:spacing w:line="400" w:lineRule="exact"/>
        <w:rPr>
          <w:rFonts w:ascii="宋体" w:hAnsi="宋体"/>
          <w:bCs/>
          <w:color w:val="auto"/>
          <w:szCs w:val="21"/>
          <w:highlight w:val="none"/>
        </w:rPr>
      </w:pPr>
      <w:r>
        <w:rPr>
          <w:rFonts w:ascii="宋体" w:hAnsi="宋体"/>
          <w:bCs/>
          <w:color w:val="auto"/>
          <w:szCs w:val="21"/>
          <w:highlight w:val="none"/>
        </w:rPr>
        <w:t>本合同于</w:t>
      </w:r>
      <w:r>
        <w:rPr>
          <w:rFonts w:ascii="宋体" w:hAnsi="宋体"/>
          <w:bCs/>
          <w:color w:val="auto"/>
          <w:szCs w:val="21"/>
          <w:highlight w:val="none"/>
          <w:u w:val="single"/>
        </w:rPr>
        <w:t xml:space="preserve">         </w:t>
      </w:r>
      <w:r>
        <w:rPr>
          <w:rFonts w:ascii="宋体" w:hAnsi="宋体"/>
          <w:bCs/>
          <w:color w:val="auto"/>
          <w:szCs w:val="21"/>
          <w:highlight w:val="none"/>
        </w:rPr>
        <w:t>年</w:t>
      </w:r>
      <w:r>
        <w:rPr>
          <w:rFonts w:ascii="宋体" w:hAnsi="宋体"/>
          <w:bCs/>
          <w:color w:val="auto"/>
          <w:szCs w:val="21"/>
          <w:highlight w:val="none"/>
          <w:u w:val="single"/>
        </w:rPr>
        <w:t xml:space="preserve">    </w:t>
      </w:r>
      <w:r>
        <w:rPr>
          <w:rFonts w:ascii="宋体" w:hAnsi="宋体"/>
          <w:bCs/>
          <w:color w:val="auto"/>
          <w:szCs w:val="21"/>
          <w:highlight w:val="none"/>
        </w:rPr>
        <w:t>月</w:t>
      </w:r>
      <w:r>
        <w:rPr>
          <w:rFonts w:ascii="宋体" w:hAnsi="宋体"/>
          <w:bCs/>
          <w:color w:val="auto"/>
          <w:szCs w:val="21"/>
          <w:highlight w:val="none"/>
          <w:u w:val="single"/>
        </w:rPr>
        <w:t xml:space="preserve">    </w:t>
      </w:r>
      <w:r>
        <w:rPr>
          <w:rFonts w:ascii="宋体" w:hAnsi="宋体"/>
          <w:bCs/>
          <w:color w:val="auto"/>
          <w:szCs w:val="21"/>
          <w:highlight w:val="none"/>
        </w:rPr>
        <w:t>日签订。</w:t>
      </w:r>
    </w:p>
    <w:p>
      <w:pPr>
        <w:spacing w:line="400" w:lineRule="exact"/>
        <w:rPr>
          <w:rFonts w:ascii="宋体" w:hAnsi="宋体"/>
          <w:b/>
          <w:bCs/>
          <w:color w:val="auto"/>
          <w:szCs w:val="21"/>
          <w:highlight w:val="none"/>
        </w:rPr>
      </w:pPr>
      <w:bookmarkStart w:id="97" w:name="_Toc351203490"/>
      <w:r>
        <w:rPr>
          <w:rFonts w:ascii="宋体" w:hAnsi="宋体"/>
          <w:b/>
          <w:bCs/>
          <w:color w:val="auto"/>
          <w:szCs w:val="21"/>
          <w:highlight w:val="none"/>
        </w:rPr>
        <w:t>十</w:t>
      </w:r>
      <w:r>
        <w:rPr>
          <w:rFonts w:hint="eastAsia" w:ascii="宋体" w:hAnsi="宋体"/>
          <w:b/>
          <w:bCs/>
          <w:color w:val="auto"/>
          <w:szCs w:val="21"/>
          <w:highlight w:val="none"/>
        </w:rPr>
        <w:t>．</w:t>
      </w:r>
      <w:r>
        <w:rPr>
          <w:rFonts w:ascii="宋体" w:hAnsi="宋体"/>
          <w:b/>
          <w:bCs/>
          <w:color w:val="auto"/>
          <w:szCs w:val="21"/>
          <w:highlight w:val="none"/>
        </w:rPr>
        <w:t>签订地点</w:t>
      </w:r>
      <w:bookmarkEnd w:id="97"/>
    </w:p>
    <w:p>
      <w:pPr>
        <w:spacing w:line="400" w:lineRule="exact"/>
        <w:rPr>
          <w:rFonts w:ascii="宋体" w:hAnsi="宋体"/>
          <w:bCs/>
          <w:color w:val="auto"/>
          <w:szCs w:val="21"/>
          <w:highlight w:val="none"/>
        </w:rPr>
      </w:pPr>
      <w:r>
        <w:rPr>
          <w:rFonts w:ascii="宋体" w:hAnsi="宋体"/>
          <w:bCs/>
          <w:color w:val="auto"/>
          <w:szCs w:val="21"/>
          <w:highlight w:val="none"/>
        </w:rPr>
        <w:t>本合同在</w:t>
      </w:r>
      <w:r>
        <w:rPr>
          <w:rFonts w:ascii="宋体" w:hAnsi="宋体"/>
          <w:bCs/>
          <w:color w:val="auto"/>
          <w:szCs w:val="21"/>
          <w:highlight w:val="none"/>
          <w:u w:val="single"/>
        </w:rPr>
        <w:t xml:space="preserve">                                    </w:t>
      </w:r>
      <w:r>
        <w:rPr>
          <w:rFonts w:ascii="宋体" w:hAnsi="宋体"/>
          <w:bCs/>
          <w:color w:val="auto"/>
          <w:szCs w:val="21"/>
          <w:highlight w:val="none"/>
        </w:rPr>
        <w:t>签订。</w:t>
      </w:r>
    </w:p>
    <w:p>
      <w:pPr>
        <w:spacing w:line="400" w:lineRule="exact"/>
        <w:rPr>
          <w:rFonts w:ascii="宋体" w:hAnsi="宋体"/>
          <w:b/>
          <w:bCs/>
          <w:color w:val="auto"/>
          <w:szCs w:val="21"/>
          <w:highlight w:val="none"/>
        </w:rPr>
      </w:pPr>
      <w:bookmarkStart w:id="98" w:name="_Toc351203491"/>
      <w:r>
        <w:rPr>
          <w:rFonts w:ascii="宋体" w:hAnsi="宋体"/>
          <w:b/>
          <w:bCs/>
          <w:color w:val="auto"/>
          <w:szCs w:val="21"/>
          <w:highlight w:val="none"/>
        </w:rPr>
        <w:t>十一</w:t>
      </w:r>
      <w:r>
        <w:rPr>
          <w:rFonts w:hint="eastAsia" w:ascii="宋体" w:hAnsi="宋体"/>
          <w:b/>
          <w:bCs/>
          <w:color w:val="auto"/>
          <w:szCs w:val="21"/>
          <w:highlight w:val="none"/>
        </w:rPr>
        <w:t>．</w:t>
      </w:r>
      <w:r>
        <w:rPr>
          <w:rFonts w:ascii="宋体" w:hAnsi="宋体"/>
          <w:b/>
          <w:bCs/>
          <w:color w:val="auto"/>
          <w:szCs w:val="21"/>
          <w:highlight w:val="none"/>
        </w:rPr>
        <w:t>补充协议</w:t>
      </w:r>
      <w:bookmarkEnd w:id="98"/>
    </w:p>
    <w:p>
      <w:pPr>
        <w:spacing w:line="400" w:lineRule="exact"/>
        <w:rPr>
          <w:rFonts w:ascii="宋体" w:hAnsi="宋体"/>
          <w:bCs/>
          <w:color w:val="auto"/>
          <w:szCs w:val="21"/>
          <w:highlight w:val="none"/>
        </w:rPr>
      </w:pPr>
      <w:r>
        <w:rPr>
          <w:rFonts w:ascii="宋体" w:hAnsi="宋体"/>
          <w:bCs/>
          <w:color w:val="auto"/>
          <w:szCs w:val="21"/>
          <w:highlight w:val="none"/>
        </w:rPr>
        <w:t>合同未尽事宜，合同当事人另行签订补充协议，补充协议是合同的组成部分。</w:t>
      </w:r>
    </w:p>
    <w:p>
      <w:pPr>
        <w:spacing w:line="400" w:lineRule="exact"/>
        <w:rPr>
          <w:rFonts w:ascii="宋体" w:hAnsi="宋体"/>
          <w:b/>
          <w:bCs/>
          <w:color w:val="auto"/>
          <w:szCs w:val="21"/>
          <w:highlight w:val="none"/>
        </w:rPr>
      </w:pPr>
      <w:bookmarkStart w:id="99" w:name="_Toc351203492"/>
      <w:r>
        <w:rPr>
          <w:rFonts w:ascii="宋体" w:hAnsi="宋体"/>
          <w:b/>
          <w:bCs/>
          <w:color w:val="auto"/>
          <w:szCs w:val="21"/>
          <w:highlight w:val="none"/>
        </w:rPr>
        <w:t>十二</w:t>
      </w:r>
      <w:r>
        <w:rPr>
          <w:rFonts w:hint="eastAsia" w:ascii="宋体" w:hAnsi="宋体"/>
          <w:b/>
          <w:bCs/>
          <w:color w:val="auto"/>
          <w:szCs w:val="21"/>
          <w:highlight w:val="none"/>
        </w:rPr>
        <w:t>．</w:t>
      </w:r>
      <w:r>
        <w:rPr>
          <w:rFonts w:ascii="宋体" w:hAnsi="宋体"/>
          <w:b/>
          <w:bCs/>
          <w:color w:val="auto"/>
          <w:szCs w:val="21"/>
          <w:highlight w:val="none"/>
        </w:rPr>
        <w:t>合同生效</w:t>
      </w:r>
      <w:bookmarkEnd w:id="99"/>
    </w:p>
    <w:p>
      <w:pPr>
        <w:spacing w:line="400" w:lineRule="exact"/>
        <w:rPr>
          <w:rFonts w:ascii="宋体" w:hAnsi="宋体"/>
          <w:bCs/>
          <w:color w:val="auto"/>
          <w:szCs w:val="21"/>
          <w:highlight w:val="none"/>
        </w:rPr>
      </w:pPr>
      <w:r>
        <w:rPr>
          <w:rFonts w:ascii="宋体" w:hAnsi="宋体"/>
          <w:bCs/>
          <w:color w:val="auto"/>
          <w:szCs w:val="21"/>
          <w:highlight w:val="none"/>
        </w:rPr>
        <w:t>本合同自</w:t>
      </w:r>
      <w:r>
        <w:rPr>
          <w:rFonts w:ascii="宋体" w:hAnsi="宋体"/>
          <w:bCs/>
          <w:color w:val="auto"/>
          <w:szCs w:val="21"/>
          <w:highlight w:val="none"/>
          <w:u w:val="single"/>
        </w:rPr>
        <w:t xml:space="preserve">                                   </w:t>
      </w:r>
      <w:r>
        <w:rPr>
          <w:rFonts w:ascii="宋体" w:hAnsi="宋体"/>
          <w:bCs/>
          <w:color w:val="auto"/>
          <w:szCs w:val="21"/>
          <w:highlight w:val="none"/>
        </w:rPr>
        <w:t>生效。</w:t>
      </w:r>
    </w:p>
    <w:p>
      <w:pPr>
        <w:spacing w:line="400" w:lineRule="exact"/>
        <w:rPr>
          <w:rFonts w:ascii="宋体" w:hAnsi="宋体"/>
          <w:b/>
          <w:bCs/>
          <w:color w:val="auto"/>
          <w:szCs w:val="21"/>
          <w:highlight w:val="none"/>
        </w:rPr>
      </w:pPr>
      <w:bookmarkStart w:id="100" w:name="_Toc351203493"/>
      <w:r>
        <w:rPr>
          <w:rFonts w:ascii="宋体" w:hAnsi="宋体"/>
          <w:b/>
          <w:bCs/>
          <w:color w:val="auto"/>
          <w:szCs w:val="21"/>
          <w:highlight w:val="none"/>
        </w:rPr>
        <w:t>十三</w:t>
      </w:r>
      <w:r>
        <w:rPr>
          <w:rFonts w:hint="eastAsia" w:ascii="宋体" w:hAnsi="宋体"/>
          <w:b/>
          <w:bCs/>
          <w:color w:val="auto"/>
          <w:szCs w:val="21"/>
          <w:highlight w:val="none"/>
        </w:rPr>
        <w:t>．</w:t>
      </w:r>
      <w:r>
        <w:rPr>
          <w:rFonts w:ascii="宋体" w:hAnsi="宋体"/>
          <w:b/>
          <w:bCs/>
          <w:color w:val="auto"/>
          <w:szCs w:val="21"/>
          <w:highlight w:val="none"/>
        </w:rPr>
        <w:t>合同份数</w:t>
      </w:r>
      <w:bookmarkEnd w:id="100"/>
    </w:p>
    <w:p>
      <w:pPr>
        <w:spacing w:line="400" w:lineRule="exact"/>
        <w:rPr>
          <w:rFonts w:ascii="宋体" w:hAnsi="宋体"/>
          <w:bCs/>
          <w:color w:val="auto"/>
          <w:szCs w:val="21"/>
          <w:highlight w:val="none"/>
        </w:rPr>
      </w:pPr>
      <w:r>
        <w:rPr>
          <w:rFonts w:ascii="宋体" w:hAnsi="宋体"/>
          <w:bCs/>
          <w:color w:val="auto"/>
          <w:szCs w:val="21"/>
          <w:highlight w:val="none"/>
        </w:rPr>
        <w:t>本合同一式</w:t>
      </w:r>
      <w:r>
        <w:rPr>
          <w:rFonts w:ascii="宋体" w:hAnsi="宋体"/>
          <w:bCs/>
          <w:color w:val="auto"/>
          <w:szCs w:val="21"/>
          <w:highlight w:val="none"/>
          <w:u w:val="single"/>
        </w:rPr>
        <w:t xml:space="preserve">    </w:t>
      </w:r>
      <w:r>
        <w:rPr>
          <w:rFonts w:ascii="宋体" w:hAnsi="宋体"/>
          <w:bCs/>
          <w:color w:val="auto"/>
          <w:szCs w:val="21"/>
          <w:highlight w:val="none"/>
        </w:rPr>
        <w:t>份，均具有同等法律效力，发包人执</w:t>
      </w:r>
      <w:r>
        <w:rPr>
          <w:rFonts w:ascii="宋体" w:hAnsi="宋体"/>
          <w:bCs/>
          <w:color w:val="auto"/>
          <w:szCs w:val="21"/>
          <w:highlight w:val="none"/>
          <w:u w:val="single"/>
        </w:rPr>
        <w:t xml:space="preserve">    </w:t>
      </w:r>
      <w:r>
        <w:rPr>
          <w:rFonts w:ascii="宋体" w:hAnsi="宋体"/>
          <w:bCs/>
          <w:color w:val="auto"/>
          <w:szCs w:val="21"/>
          <w:highlight w:val="none"/>
        </w:rPr>
        <w:t>份，承包人执</w:t>
      </w:r>
      <w:r>
        <w:rPr>
          <w:rFonts w:ascii="宋体" w:hAnsi="宋体"/>
          <w:bCs/>
          <w:color w:val="auto"/>
          <w:szCs w:val="21"/>
          <w:highlight w:val="none"/>
          <w:u w:val="single"/>
        </w:rPr>
        <w:t xml:space="preserve">    </w:t>
      </w:r>
      <w:r>
        <w:rPr>
          <w:rFonts w:ascii="宋体" w:hAnsi="宋体"/>
          <w:bCs/>
          <w:color w:val="auto"/>
          <w:szCs w:val="21"/>
          <w:highlight w:val="none"/>
        </w:rPr>
        <w:t>份。</w:t>
      </w:r>
    </w:p>
    <w:p>
      <w:pPr>
        <w:spacing w:line="400" w:lineRule="exact"/>
        <w:rPr>
          <w:rFonts w:ascii="宋体" w:hAnsi="宋体"/>
          <w:bCs/>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ascii="宋体" w:hAnsi="宋体"/>
          <w:color w:val="auto"/>
          <w:szCs w:val="21"/>
          <w:highlight w:val="none"/>
        </w:rPr>
        <w:t xml:space="preserve">发包人：  </w:t>
      </w:r>
      <w:r>
        <w:rPr>
          <w:rFonts w:hint="eastAsia" w:ascii="宋体" w:hAnsi="宋体"/>
          <w:color w:val="auto"/>
          <w:szCs w:val="21"/>
          <w:highlight w:val="none"/>
        </w:rPr>
        <w:t>（</w:t>
      </w:r>
      <w:r>
        <w:rPr>
          <w:rFonts w:ascii="宋体" w:hAnsi="宋体"/>
          <w:color w:val="auto"/>
          <w:szCs w:val="21"/>
          <w:highlight w:val="none"/>
        </w:rPr>
        <w:t>公章</w:t>
      </w:r>
      <w:r>
        <w:rPr>
          <w:rFonts w:hint="eastAsia" w:ascii="宋体" w:hAnsi="宋体"/>
          <w:color w:val="auto"/>
          <w:szCs w:val="21"/>
          <w:highlight w:val="none"/>
        </w:rPr>
        <w:t>）</w:t>
      </w:r>
      <w:r>
        <w:rPr>
          <w:rFonts w:ascii="宋体" w:hAnsi="宋体"/>
          <w:color w:val="auto"/>
          <w:szCs w:val="21"/>
          <w:highlight w:val="none"/>
        </w:rPr>
        <w:t xml:space="preserve">                            承包人：  </w:t>
      </w:r>
      <w:r>
        <w:rPr>
          <w:rFonts w:hint="eastAsia" w:ascii="宋体" w:hAnsi="宋体"/>
          <w:color w:val="auto"/>
          <w:szCs w:val="21"/>
          <w:highlight w:val="none"/>
        </w:rPr>
        <w:t>（</w:t>
      </w:r>
      <w:r>
        <w:rPr>
          <w:rFonts w:ascii="宋体" w:hAnsi="宋体"/>
          <w:color w:val="auto"/>
          <w:szCs w:val="21"/>
          <w:highlight w:val="none"/>
        </w:rPr>
        <w:t>公章</w:t>
      </w:r>
      <w:r>
        <w:rPr>
          <w:rFonts w:hint="eastAsia" w:ascii="宋体" w:hAnsi="宋体"/>
          <w:color w:val="auto"/>
          <w:szCs w:val="21"/>
          <w:highlight w:val="none"/>
        </w:rPr>
        <w:t>）</w:t>
      </w:r>
    </w:p>
    <w:p>
      <w:pPr>
        <w:spacing w:line="400" w:lineRule="exact"/>
        <w:rPr>
          <w:rFonts w:ascii="宋体" w:hAnsi="宋体"/>
          <w:color w:val="auto"/>
          <w:szCs w:val="21"/>
          <w:highlight w:val="none"/>
          <w:u w:val="single"/>
        </w:rPr>
      </w:pPr>
      <w:r>
        <w:rPr>
          <w:rFonts w:ascii="宋体" w:hAnsi="宋体"/>
          <w:color w:val="auto"/>
          <w:szCs w:val="21"/>
          <w:highlight w:val="none"/>
        </w:rPr>
        <w:t xml:space="preserve">                                 </w:t>
      </w:r>
    </w:p>
    <w:p>
      <w:pPr>
        <w:spacing w:line="400" w:lineRule="exact"/>
        <w:rPr>
          <w:rFonts w:ascii="宋体" w:hAnsi="宋体"/>
          <w:color w:val="auto"/>
          <w:szCs w:val="21"/>
          <w:highlight w:val="none"/>
        </w:rPr>
      </w:pPr>
      <w:r>
        <w:rPr>
          <w:rFonts w:ascii="宋体" w:hAnsi="宋体"/>
          <w:color w:val="auto"/>
          <w:szCs w:val="21"/>
          <w:highlight w:val="none"/>
        </w:rPr>
        <w:t>法定代表人或其委托代理人：                    法定代表人或其委托代理人：</w:t>
      </w:r>
    </w:p>
    <w:p>
      <w:pPr>
        <w:spacing w:line="400" w:lineRule="exact"/>
        <w:rPr>
          <w:rFonts w:ascii="宋体" w:hAnsi="宋体"/>
          <w:color w:val="auto"/>
          <w:szCs w:val="21"/>
          <w:highlight w:val="none"/>
        </w:rPr>
      </w:pPr>
      <w:r>
        <w:rPr>
          <w:rFonts w:ascii="宋体" w:hAnsi="宋体"/>
          <w:color w:val="auto"/>
          <w:szCs w:val="21"/>
          <w:highlight w:val="none"/>
        </w:rPr>
        <w:t>（签字）                                     （签字）</w:t>
      </w:r>
    </w:p>
    <w:p>
      <w:pPr>
        <w:spacing w:line="400" w:lineRule="exact"/>
        <w:rPr>
          <w:rFonts w:ascii="宋体" w:hAnsi="宋体"/>
          <w:color w:val="auto"/>
          <w:szCs w:val="21"/>
          <w:highlight w:val="none"/>
          <w:u w:val="single"/>
        </w:rPr>
      </w:pPr>
    </w:p>
    <w:p>
      <w:pPr>
        <w:tabs>
          <w:tab w:val="left" w:pos="4410"/>
        </w:tabs>
        <w:spacing w:line="400" w:lineRule="exact"/>
        <w:rPr>
          <w:rFonts w:ascii="宋体" w:hAnsi="宋体"/>
          <w:color w:val="auto"/>
          <w:szCs w:val="21"/>
          <w:highlight w:val="none"/>
        </w:rPr>
      </w:pPr>
      <w:r>
        <w:rPr>
          <w:rFonts w:ascii="宋体" w:hAnsi="宋体"/>
          <w:color w:val="auto"/>
          <w:szCs w:val="21"/>
          <w:highlight w:val="none"/>
        </w:rPr>
        <w:t>组织机构代码：</w:t>
      </w:r>
      <w:r>
        <w:rPr>
          <w:rFonts w:ascii="宋体" w:hAnsi="宋体"/>
          <w:color w:val="auto"/>
          <w:szCs w:val="21"/>
          <w:highlight w:val="none"/>
          <w:u w:val="single"/>
        </w:rPr>
        <w:t xml:space="preserve">       </w:t>
      </w:r>
      <w:r>
        <w:rPr>
          <w:rFonts w:ascii="宋体" w:hAnsi="宋体"/>
          <w:color w:val="auto"/>
          <w:szCs w:val="21"/>
          <w:highlight w:val="none"/>
        </w:rPr>
        <w:t xml:space="preserve">                  组织机构代码：</w:t>
      </w:r>
      <w:r>
        <w:rPr>
          <w:rFonts w:ascii="宋体" w:hAnsi="宋体"/>
          <w:color w:val="auto"/>
          <w:szCs w:val="21"/>
          <w:highlight w:val="none"/>
          <w:u w:val="single"/>
        </w:rPr>
        <w:t xml:space="preserve">          </w:t>
      </w:r>
      <w:r>
        <w:rPr>
          <w:rFonts w:ascii="宋体" w:hAnsi="宋体"/>
          <w:color w:val="auto"/>
          <w:szCs w:val="21"/>
          <w:highlight w:val="none"/>
        </w:rPr>
        <w:t xml:space="preserve"> </w:t>
      </w:r>
    </w:p>
    <w:p>
      <w:pPr>
        <w:spacing w:line="400" w:lineRule="exact"/>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 xml:space="preserve">     </w:t>
      </w:r>
      <w:r>
        <w:rPr>
          <w:rFonts w:ascii="宋体" w:hAnsi="宋体"/>
          <w:color w:val="auto"/>
          <w:szCs w:val="21"/>
          <w:highlight w:val="none"/>
        </w:rPr>
        <w:t xml:space="preserve">                  地  址：</w:t>
      </w:r>
      <w:r>
        <w:rPr>
          <w:rFonts w:ascii="宋体" w:hAnsi="宋体"/>
          <w:color w:val="auto"/>
          <w:szCs w:val="21"/>
          <w:highlight w:val="none"/>
          <w:u w:val="single"/>
        </w:rPr>
        <w:t xml:space="preserve">        </w:t>
      </w:r>
    </w:p>
    <w:p>
      <w:pPr>
        <w:spacing w:line="400" w:lineRule="exact"/>
        <w:rPr>
          <w:rFonts w:ascii="宋体" w:hAnsi="宋体"/>
          <w:color w:val="auto"/>
          <w:szCs w:val="21"/>
          <w:highlight w:val="none"/>
        </w:rPr>
      </w:pPr>
      <w:r>
        <w:rPr>
          <w:rFonts w:ascii="宋体" w:hAnsi="宋体"/>
          <w:color w:val="auto"/>
          <w:szCs w:val="21"/>
          <w:highlight w:val="none"/>
        </w:rPr>
        <w:t>邮政编码：</w:t>
      </w:r>
      <w:r>
        <w:rPr>
          <w:rFonts w:ascii="宋体" w:hAnsi="宋体"/>
          <w:color w:val="auto"/>
          <w:szCs w:val="21"/>
          <w:highlight w:val="none"/>
          <w:u w:val="single"/>
        </w:rPr>
        <w:t xml:space="preserve">      </w:t>
      </w:r>
      <w:r>
        <w:rPr>
          <w:rFonts w:ascii="宋体" w:hAnsi="宋体"/>
          <w:color w:val="auto"/>
          <w:szCs w:val="21"/>
          <w:highlight w:val="none"/>
        </w:rPr>
        <w:t xml:space="preserve">                 邮政编码：</w:t>
      </w:r>
      <w:r>
        <w:rPr>
          <w:rFonts w:ascii="宋体" w:hAnsi="宋体"/>
          <w:color w:val="auto"/>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szCs w:val="21"/>
          <w:highlight w:val="none"/>
        </w:rPr>
        <w:t>法定代表人：</w:t>
      </w:r>
      <w:r>
        <w:rPr>
          <w:rFonts w:ascii="宋体" w:hAnsi="宋体"/>
          <w:color w:val="auto"/>
          <w:szCs w:val="21"/>
          <w:highlight w:val="none"/>
          <w:u w:val="single"/>
        </w:rPr>
        <w:t xml:space="preserve">           </w:t>
      </w:r>
      <w:r>
        <w:rPr>
          <w:rFonts w:ascii="宋体" w:hAnsi="宋体"/>
          <w:color w:val="auto"/>
          <w:szCs w:val="21"/>
          <w:highlight w:val="none"/>
        </w:rPr>
        <w:t xml:space="preserve">                  法定代表人：</w:t>
      </w:r>
      <w:r>
        <w:rPr>
          <w:rFonts w:ascii="宋体" w:hAnsi="宋体"/>
          <w:color w:val="auto"/>
          <w:szCs w:val="21"/>
          <w:highlight w:val="none"/>
          <w:u w:val="single"/>
        </w:rPr>
        <w:t xml:space="preserve">             </w:t>
      </w:r>
    </w:p>
    <w:p>
      <w:pPr>
        <w:spacing w:line="400" w:lineRule="exact"/>
        <w:rPr>
          <w:rFonts w:ascii="宋体" w:hAnsi="宋体"/>
          <w:color w:val="auto"/>
          <w:szCs w:val="21"/>
          <w:highlight w:val="none"/>
        </w:rPr>
      </w:pPr>
      <w:r>
        <w:rPr>
          <w:rFonts w:ascii="宋体" w:hAnsi="宋体"/>
          <w:color w:val="auto"/>
          <w:szCs w:val="21"/>
          <w:highlight w:val="none"/>
        </w:rPr>
        <w:t>委托代理人：</w:t>
      </w:r>
      <w:r>
        <w:rPr>
          <w:rFonts w:ascii="宋体" w:hAnsi="宋体"/>
          <w:color w:val="auto"/>
          <w:szCs w:val="21"/>
          <w:highlight w:val="none"/>
          <w:u w:val="single"/>
        </w:rPr>
        <w:t xml:space="preserve">           </w:t>
      </w:r>
      <w:r>
        <w:rPr>
          <w:rFonts w:ascii="宋体" w:hAnsi="宋体"/>
          <w:color w:val="auto"/>
          <w:szCs w:val="21"/>
          <w:highlight w:val="none"/>
        </w:rPr>
        <w:t xml:space="preserve">                  委托代理人：</w:t>
      </w:r>
      <w:r>
        <w:rPr>
          <w:rFonts w:ascii="宋体" w:hAnsi="宋体"/>
          <w:color w:val="auto"/>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szCs w:val="21"/>
          <w:highlight w:val="none"/>
        </w:rPr>
        <w:t>电  话：</w:t>
      </w:r>
      <w:r>
        <w:rPr>
          <w:rFonts w:ascii="宋体" w:hAnsi="宋体"/>
          <w:color w:val="auto"/>
          <w:szCs w:val="21"/>
          <w:highlight w:val="none"/>
          <w:u w:val="single"/>
        </w:rPr>
        <w:t xml:space="preserve">   </w:t>
      </w:r>
      <w:r>
        <w:rPr>
          <w:rFonts w:ascii="宋体" w:hAnsi="宋体"/>
          <w:color w:val="auto"/>
          <w:szCs w:val="21"/>
          <w:highlight w:val="none"/>
        </w:rPr>
        <w:t xml:space="preserve">                  电  话：</w:t>
      </w:r>
      <w:r>
        <w:rPr>
          <w:rFonts w:ascii="宋体" w:hAnsi="宋体"/>
          <w:color w:val="auto"/>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szCs w:val="21"/>
          <w:highlight w:val="none"/>
        </w:rPr>
        <w:t>传  真：</w:t>
      </w:r>
      <w:r>
        <w:rPr>
          <w:rFonts w:ascii="宋体" w:hAnsi="宋体"/>
          <w:color w:val="auto"/>
          <w:szCs w:val="21"/>
          <w:highlight w:val="none"/>
          <w:u w:val="single"/>
        </w:rPr>
        <w:t xml:space="preserve">   </w:t>
      </w:r>
      <w:r>
        <w:rPr>
          <w:rFonts w:ascii="宋体" w:hAnsi="宋体"/>
          <w:color w:val="auto"/>
          <w:szCs w:val="21"/>
          <w:highlight w:val="none"/>
        </w:rPr>
        <w:t xml:space="preserve">                  传  真：</w:t>
      </w:r>
      <w:r>
        <w:rPr>
          <w:rFonts w:ascii="宋体" w:hAnsi="宋体"/>
          <w:color w:val="auto"/>
          <w:szCs w:val="21"/>
          <w:highlight w:val="none"/>
          <w:u w:val="single"/>
        </w:rPr>
        <w:t xml:space="preserve">     </w:t>
      </w:r>
    </w:p>
    <w:p>
      <w:pPr>
        <w:spacing w:line="400" w:lineRule="exact"/>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xml:space="preserve">                 </w:t>
      </w:r>
      <w:r>
        <w:rPr>
          <w:rFonts w:ascii="宋体" w:hAnsi="宋体"/>
          <w:color w:val="auto"/>
          <w:szCs w:val="21"/>
          <w:highlight w:val="none"/>
        </w:rPr>
        <w:t xml:space="preserve">                  电子信箱：</w:t>
      </w:r>
      <w:r>
        <w:rPr>
          <w:rFonts w:ascii="宋体" w:hAnsi="宋体"/>
          <w:color w:val="auto"/>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szCs w:val="21"/>
          <w:highlight w:val="none"/>
        </w:rPr>
        <w:t>开户银行：</w:t>
      </w:r>
      <w:r>
        <w:rPr>
          <w:rFonts w:ascii="宋体" w:hAnsi="宋体"/>
          <w:color w:val="auto"/>
          <w:szCs w:val="21"/>
          <w:highlight w:val="none"/>
          <w:u w:val="single"/>
        </w:rPr>
        <w:t xml:space="preserve">   </w:t>
      </w:r>
      <w:r>
        <w:rPr>
          <w:rFonts w:ascii="宋体" w:hAnsi="宋体"/>
          <w:color w:val="auto"/>
          <w:szCs w:val="21"/>
          <w:highlight w:val="none"/>
        </w:rPr>
        <w:t xml:space="preserve">                  开户银行：</w:t>
      </w:r>
      <w:r>
        <w:rPr>
          <w:rFonts w:ascii="宋体" w:hAnsi="宋体"/>
          <w:color w:val="auto"/>
          <w:szCs w:val="21"/>
          <w:highlight w:val="none"/>
          <w:u w:val="single"/>
        </w:rPr>
        <w:t xml:space="preserve">   </w:t>
      </w:r>
    </w:p>
    <w:p>
      <w:pPr>
        <w:spacing w:line="400" w:lineRule="exact"/>
        <w:rPr>
          <w:rFonts w:ascii="宋体" w:hAnsi="宋体"/>
          <w:color w:val="auto"/>
          <w:szCs w:val="21"/>
          <w:highlight w:val="none"/>
          <w:u w:val="single"/>
        </w:rPr>
      </w:pPr>
      <w:r>
        <w:rPr>
          <w:rFonts w:ascii="宋体" w:hAnsi="宋体"/>
          <w:color w:val="auto"/>
          <w:szCs w:val="21"/>
          <w:highlight w:val="none"/>
        </w:rPr>
        <w:t>账  号：</w:t>
      </w:r>
      <w:r>
        <w:rPr>
          <w:rFonts w:ascii="宋体" w:hAnsi="宋体"/>
          <w:color w:val="auto"/>
          <w:szCs w:val="21"/>
          <w:highlight w:val="none"/>
          <w:u w:val="single"/>
        </w:rPr>
        <w:t xml:space="preserve">       </w:t>
      </w:r>
      <w:r>
        <w:rPr>
          <w:rFonts w:ascii="宋体" w:hAnsi="宋体"/>
          <w:color w:val="auto"/>
          <w:szCs w:val="21"/>
          <w:highlight w:val="none"/>
        </w:rPr>
        <w:t xml:space="preserve">                  账  号：</w:t>
      </w:r>
      <w:r>
        <w:rPr>
          <w:rFonts w:ascii="宋体" w:hAnsi="宋体"/>
          <w:color w:val="auto"/>
          <w:szCs w:val="21"/>
          <w:highlight w:val="none"/>
          <w:u w:val="single"/>
        </w:rPr>
        <w:t xml:space="preserve">     </w:t>
      </w: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widowControl/>
        <w:spacing w:line="400" w:lineRule="exact"/>
        <w:jc w:val="left"/>
        <w:rPr>
          <w:rFonts w:ascii="宋体" w:hAnsi="宋体"/>
          <w:color w:val="auto"/>
          <w:szCs w:val="21"/>
          <w:highlight w:val="none"/>
          <w:u w:val="single"/>
        </w:rPr>
      </w:pPr>
    </w:p>
    <w:p>
      <w:pPr>
        <w:spacing w:line="400" w:lineRule="exact"/>
        <w:rPr>
          <w:rFonts w:ascii="黑体" w:hAnsi="宋体" w:eastAsia="黑体"/>
          <w:b/>
          <w:color w:val="auto"/>
          <w:sz w:val="28"/>
          <w:szCs w:val="28"/>
          <w:highlight w:val="none"/>
        </w:rPr>
      </w:pPr>
      <w:bookmarkStart w:id="101" w:name="_Toc395382492"/>
      <w:bookmarkStart w:id="102" w:name="_Toc389065256"/>
      <w:bookmarkStart w:id="103" w:name="_Toc351203632"/>
      <w:bookmarkStart w:id="104" w:name="_Toc373227691"/>
      <w:bookmarkStart w:id="105" w:name="_Toc373478338"/>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jc w:val="center"/>
        <w:rPr>
          <w:rFonts w:ascii="黑体" w:hAnsi="宋体" w:eastAsia="黑体"/>
          <w:b/>
          <w:color w:val="auto"/>
          <w:sz w:val="28"/>
          <w:szCs w:val="28"/>
          <w:highlight w:val="none"/>
        </w:rPr>
      </w:pPr>
      <w:r>
        <w:rPr>
          <w:rFonts w:hint="eastAsia" w:ascii="黑体" w:hAnsi="宋体" w:eastAsia="黑体"/>
          <w:b/>
          <w:color w:val="auto"/>
          <w:sz w:val="28"/>
          <w:szCs w:val="28"/>
          <w:highlight w:val="none"/>
        </w:rPr>
        <w:t>第二部分  通用合同条款</w:t>
      </w:r>
      <w:bookmarkEnd w:id="101"/>
      <w:bookmarkEnd w:id="102"/>
    </w:p>
    <w:p>
      <w:pPr>
        <w:spacing w:line="400" w:lineRule="exact"/>
        <w:rPr>
          <w:rFonts w:ascii="宋体" w:hAnsi="宋体"/>
          <w:color w:val="auto"/>
          <w:highlight w:val="none"/>
        </w:rPr>
      </w:pPr>
    </w:p>
    <w:p>
      <w:pPr>
        <w:spacing w:line="400" w:lineRule="exact"/>
        <w:jc w:val="center"/>
        <w:rPr>
          <w:rFonts w:ascii="宋体" w:hAnsi="宋体"/>
          <w:color w:val="auto"/>
          <w:highlight w:val="none"/>
        </w:rPr>
      </w:pPr>
      <w:r>
        <w:rPr>
          <w:rFonts w:hint="eastAsia" w:ascii="宋体" w:hAnsi="宋体"/>
          <w:color w:val="auto"/>
          <w:highlight w:val="none"/>
        </w:rPr>
        <w:t>采用《</w:t>
      </w:r>
      <w:r>
        <w:rPr>
          <w:rFonts w:ascii="宋体" w:hAnsi="宋体"/>
          <w:color w:val="auto"/>
          <w:highlight w:val="none"/>
        </w:rPr>
        <w:t>建设工程施工合同（示范文本）</w:t>
      </w:r>
      <w:r>
        <w:rPr>
          <w:rFonts w:hint="eastAsia" w:ascii="宋体" w:hAnsi="宋体"/>
          <w:color w:val="auto"/>
          <w:highlight w:val="none"/>
        </w:rPr>
        <w:t>》</w:t>
      </w:r>
      <w:r>
        <w:rPr>
          <w:rFonts w:ascii="宋体" w:hAnsi="宋体"/>
          <w:color w:val="auto"/>
          <w:highlight w:val="none"/>
        </w:rPr>
        <w:t>（GF—2013—</w:t>
      </w:r>
      <w:r>
        <w:rPr>
          <w:rFonts w:hint="eastAsia" w:ascii="宋体" w:hAnsi="宋体"/>
          <w:color w:val="auto"/>
          <w:highlight w:val="none"/>
        </w:rPr>
        <w:t>0201）。</w:t>
      </w: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bookmarkEnd w:id="103"/>
    <w:bookmarkEnd w:id="104"/>
    <w:bookmarkEnd w:id="105"/>
    <w:p>
      <w:pPr>
        <w:spacing w:line="400" w:lineRule="exact"/>
        <w:rPr>
          <w:rFonts w:ascii="黑体" w:hAnsi="宋体" w:eastAsia="黑体"/>
          <w:b/>
          <w:color w:val="auto"/>
          <w:sz w:val="28"/>
          <w:szCs w:val="28"/>
          <w:highlight w:val="none"/>
        </w:rPr>
      </w:pPr>
      <w:bookmarkStart w:id="106" w:name="_Toc395382493"/>
      <w:bookmarkStart w:id="107" w:name="_Toc389065257"/>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rPr>
          <w:rFonts w:ascii="黑体" w:hAnsi="宋体" w:eastAsia="黑体"/>
          <w:b/>
          <w:color w:val="auto"/>
          <w:sz w:val="28"/>
          <w:szCs w:val="28"/>
          <w:highlight w:val="none"/>
        </w:rPr>
      </w:pPr>
    </w:p>
    <w:p>
      <w:pPr>
        <w:spacing w:line="400" w:lineRule="exact"/>
        <w:jc w:val="center"/>
        <w:rPr>
          <w:rFonts w:ascii="黑体" w:hAnsi="宋体" w:eastAsia="黑体"/>
          <w:b/>
          <w:color w:val="auto"/>
          <w:sz w:val="28"/>
          <w:szCs w:val="28"/>
          <w:highlight w:val="none"/>
        </w:rPr>
      </w:pPr>
    </w:p>
    <w:p>
      <w:pPr>
        <w:spacing w:line="400" w:lineRule="exact"/>
        <w:jc w:val="center"/>
        <w:rPr>
          <w:rFonts w:ascii="黑体" w:hAnsi="宋体" w:eastAsia="黑体"/>
          <w:b/>
          <w:color w:val="auto"/>
          <w:sz w:val="28"/>
          <w:szCs w:val="28"/>
          <w:highlight w:val="none"/>
        </w:rPr>
      </w:pPr>
      <w:r>
        <w:rPr>
          <w:rFonts w:hint="eastAsia" w:ascii="黑体" w:hAnsi="宋体" w:eastAsia="黑体"/>
          <w:b/>
          <w:color w:val="auto"/>
          <w:sz w:val="28"/>
          <w:szCs w:val="28"/>
          <w:highlight w:val="none"/>
        </w:rPr>
        <w:t>第三部分  专用合同条款</w:t>
      </w:r>
      <w:bookmarkEnd w:id="106"/>
      <w:bookmarkEnd w:id="107"/>
    </w:p>
    <w:p>
      <w:pPr>
        <w:spacing w:line="400" w:lineRule="exact"/>
        <w:rPr>
          <w:rFonts w:ascii="宋体" w:hAnsi="宋体"/>
          <w:color w:val="auto"/>
          <w:highlight w:val="none"/>
        </w:rPr>
      </w:pPr>
      <w:bookmarkStart w:id="108" w:name="_Toc373478339"/>
      <w:bookmarkStart w:id="109" w:name="_Toc351203633"/>
      <w:bookmarkStart w:id="110" w:name="_Toc373227692"/>
      <w:bookmarkStart w:id="111" w:name="_Toc389065258"/>
      <w:bookmarkStart w:id="112" w:name="_Toc395382494"/>
    </w:p>
    <w:p>
      <w:pPr>
        <w:spacing w:line="400" w:lineRule="exact"/>
        <w:rPr>
          <w:rFonts w:ascii="宋体" w:hAnsi="宋体"/>
          <w:color w:val="auto"/>
          <w:szCs w:val="21"/>
          <w:highlight w:val="none"/>
        </w:rPr>
      </w:pPr>
      <w:r>
        <w:rPr>
          <w:rFonts w:ascii="宋体" w:hAnsi="宋体"/>
          <w:color w:val="auto"/>
          <w:szCs w:val="21"/>
          <w:highlight w:val="none"/>
        </w:rPr>
        <w:t>1</w:t>
      </w:r>
      <w:bookmarkStart w:id="113" w:name="_Toc292559361"/>
      <w:bookmarkStart w:id="114" w:name="_Toc292559866"/>
      <w:bookmarkStart w:id="115" w:name="_Toc296944495"/>
      <w:bookmarkStart w:id="116" w:name="_Toc296347155"/>
      <w:bookmarkStart w:id="117" w:name="_Toc296891196"/>
      <w:bookmarkStart w:id="118" w:name="_Toc296503156"/>
      <w:bookmarkStart w:id="119" w:name="_Toc296890984"/>
      <w:bookmarkStart w:id="120" w:name="_Toc296346657"/>
      <w:bookmarkStart w:id="121" w:name="_Toc297048342"/>
      <w:bookmarkStart w:id="122" w:name="_Toc297120456"/>
      <w:r>
        <w:rPr>
          <w:rFonts w:ascii="宋体" w:hAnsi="宋体"/>
          <w:color w:val="auto"/>
          <w:szCs w:val="21"/>
          <w:highlight w:val="none"/>
        </w:rPr>
        <w:t>. 一般约定</w:t>
      </w:r>
      <w:bookmarkEnd w:id="108"/>
      <w:bookmarkEnd w:id="109"/>
      <w:bookmarkEnd w:id="110"/>
      <w:bookmarkEnd w:id="111"/>
      <w:bookmarkEnd w:id="112"/>
    </w:p>
    <w:bookmarkEnd w:id="113"/>
    <w:bookmarkEnd w:id="114"/>
    <w:bookmarkEnd w:id="115"/>
    <w:bookmarkEnd w:id="116"/>
    <w:bookmarkEnd w:id="117"/>
    <w:bookmarkEnd w:id="118"/>
    <w:bookmarkEnd w:id="119"/>
    <w:bookmarkEnd w:id="120"/>
    <w:bookmarkEnd w:id="121"/>
    <w:bookmarkEnd w:id="122"/>
    <w:p>
      <w:pPr>
        <w:spacing w:line="400" w:lineRule="exact"/>
        <w:rPr>
          <w:rFonts w:ascii="宋体" w:hAnsi="宋体"/>
          <w:color w:val="auto"/>
          <w:szCs w:val="21"/>
          <w:highlight w:val="none"/>
        </w:rPr>
      </w:pPr>
      <w:bookmarkStart w:id="123" w:name="_Toc373227693"/>
      <w:bookmarkStart w:id="124" w:name="_Toc395382495"/>
      <w:bookmarkStart w:id="125" w:name="_Toc373478340"/>
      <w:bookmarkStart w:id="126" w:name="_Toc389065259"/>
      <w:r>
        <w:rPr>
          <w:rFonts w:ascii="宋体" w:hAnsi="宋体"/>
          <w:color w:val="auto"/>
          <w:szCs w:val="21"/>
          <w:highlight w:val="none"/>
        </w:rPr>
        <w:t>1.1 词语定义</w:t>
      </w:r>
      <w:bookmarkEnd w:id="123"/>
      <w:bookmarkEnd w:id="124"/>
      <w:bookmarkEnd w:id="125"/>
      <w:bookmarkEnd w:id="126"/>
    </w:p>
    <w:p>
      <w:pPr>
        <w:spacing w:line="400" w:lineRule="exact"/>
        <w:rPr>
          <w:rFonts w:ascii="宋体" w:hAnsi="宋体"/>
          <w:color w:val="auto"/>
          <w:szCs w:val="21"/>
          <w:highlight w:val="none"/>
        </w:rPr>
      </w:pPr>
      <w:r>
        <w:rPr>
          <w:rFonts w:ascii="宋体" w:hAnsi="宋体"/>
          <w:color w:val="auto"/>
          <w:szCs w:val="21"/>
          <w:highlight w:val="none"/>
        </w:rPr>
        <w:t>1.1.1</w:t>
      </w:r>
      <w:r>
        <w:rPr>
          <w:rFonts w:hint="eastAsia" w:ascii="宋体" w:hAnsi="宋体"/>
          <w:color w:val="auto"/>
          <w:szCs w:val="21"/>
          <w:highlight w:val="none"/>
        </w:rPr>
        <w:t xml:space="preserve"> </w:t>
      </w:r>
      <w:r>
        <w:rPr>
          <w:rFonts w:ascii="宋体" w:hAnsi="宋体"/>
          <w:color w:val="auto"/>
          <w:szCs w:val="21"/>
          <w:highlight w:val="none"/>
        </w:rPr>
        <w:t>合同</w:t>
      </w:r>
    </w:p>
    <w:p>
      <w:pPr>
        <w:spacing w:line="400" w:lineRule="exact"/>
        <w:rPr>
          <w:rFonts w:ascii="宋体" w:hAnsi="宋体"/>
          <w:color w:val="auto"/>
          <w:kern w:val="0"/>
          <w:szCs w:val="21"/>
          <w:highlight w:val="none"/>
        </w:rPr>
      </w:pPr>
      <w:r>
        <w:rPr>
          <w:rFonts w:ascii="宋体" w:hAnsi="宋体"/>
          <w:color w:val="auto"/>
          <w:kern w:val="0"/>
          <w:szCs w:val="21"/>
          <w:highlight w:val="none"/>
        </w:rPr>
        <w:t>1.1.1.10</w:t>
      </w:r>
      <w:r>
        <w:rPr>
          <w:rFonts w:hint="eastAsia" w:ascii="宋体" w:hAnsi="宋体"/>
          <w:color w:val="auto"/>
          <w:kern w:val="0"/>
          <w:szCs w:val="21"/>
          <w:highlight w:val="none"/>
        </w:rPr>
        <w:t xml:space="preserve"> </w:t>
      </w:r>
      <w:r>
        <w:rPr>
          <w:rFonts w:ascii="宋体" w:hAnsi="宋体"/>
          <w:color w:val="auto"/>
          <w:kern w:val="0"/>
          <w:szCs w:val="21"/>
          <w:highlight w:val="none"/>
        </w:rPr>
        <w:t>合同文件包括：</w:t>
      </w:r>
      <w:r>
        <w:rPr>
          <w:rFonts w:hint="eastAsia" w:ascii="宋体" w:hAnsi="宋体"/>
          <w:color w:val="auto"/>
          <w:kern w:val="0"/>
          <w:szCs w:val="21"/>
          <w:highlight w:val="none"/>
          <w:u w:val="single"/>
        </w:rPr>
        <w:t>（1）合同协议书；（2）成交通知书；（3）竞标文件及其附录；（4）招标文件（含所有补充和答疑）；（5）专用合同条款；（6）通用合同条款；（7）技术标准和要求；（8）图纸；（9）已标价工程量清单；（9）其他合同文件等</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1.1.2 合同当事人及其他相关方</w:t>
      </w:r>
    </w:p>
    <w:p>
      <w:pPr>
        <w:spacing w:line="400" w:lineRule="exact"/>
        <w:rPr>
          <w:rFonts w:ascii="宋体" w:hAnsi="宋体"/>
          <w:color w:val="auto"/>
          <w:szCs w:val="21"/>
          <w:highlight w:val="none"/>
        </w:rPr>
      </w:pPr>
      <w:r>
        <w:rPr>
          <w:rFonts w:ascii="宋体" w:hAnsi="宋体"/>
          <w:color w:val="auto"/>
          <w:szCs w:val="21"/>
          <w:highlight w:val="none"/>
        </w:rPr>
        <w:t>1.1.2.4</w:t>
      </w:r>
      <w:r>
        <w:rPr>
          <w:rFonts w:hint="eastAsia" w:ascii="宋体" w:hAnsi="宋体"/>
          <w:color w:val="auto"/>
          <w:szCs w:val="21"/>
          <w:highlight w:val="none"/>
        </w:rPr>
        <w:t xml:space="preserve"> </w:t>
      </w:r>
      <w:r>
        <w:rPr>
          <w:rFonts w:ascii="宋体" w:hAnsi="宋体"/>
          <w:color w:val="auto"/>
          <w:szCs w:val="21"/>
          <w:highlight w:val="none"/>
        </w:rPr>
        <w:t>监理人：</w:t>
      </w:r>
    </w:p>
    <w:p>
      <w:pPr>
        <w:spacing w:line="400" w:lineRule="exact"/>
        <w:rPr>
          <w:rFonts w:ascii="宋体" w:hAnsi="宋体"/>
          <w:color w:val="auto"/>
          <w:szCs w:val="21"/>
          <w:highlight w:val="none"/>
        </w:rPr>
      </w:pPr>
      <w:r>
        <w:rPr>
          <w:rFonts w:ascii="宋体" w:hAnsi="宋体"/>
          <w:color w:val="auto"/>
          <w:szCs w:val="21"/>
          <w:highlight w:val="none"/>
        </w:rPr>
        <w:t>名    称：</w:t>
      </w:r>
      <w:r>
        <w:rPr>
          <w:rFonts w:ascii="宋体" w:hAnsi="宋体"/>
          <w:color w:val="auto"/>
          <w:szCs w:val="21"/>
          <w:highlight w:val="none"/>
          <w:u w:val="single"/>
        </w:rPr>
        <w:t xml:space="preserve">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资质类别和等级：</w:t>
      </w:r>
      <w:r>
        <w:rPr>
          <w:rFonts w:ascii="宋体" w:hAnsi="宋体"/>
          <w:color w:val="auto"/>
          <w:szCs w:val="21"/>
          <w:highlight w:val="none"/>
          <w:u w:val="single"/>
        </w:rPr>
        <w:t>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1.1.2.5 设计人：</w:t>
      </w:r>
    </w:p>
    <w:p>
      <w:pPr>
        <w:spacing w:line="400" w:lineRule="exact"/>
        <w:rPr>
          <w:rFonts w:ascii="宋体" w:hAnsi="宋体"/>
          <w:color w:val="auto"/>
          <w:szCs w:val="21"/>
          <w:highlight w:val="none"/>
        </w:rPr>
      </w:pPr>
      <w:r>
        <w:rPr>
          <w:rFonts w:ascii="宋体" w:hAnsi="宋体"/>
          <w:color w:val="auto"/>
          <w:szCs w:val="21"/>
          <w:highlight w:val="none"/>
        </w:rPr>
        <w:t>名    称：</w:t>
      </w:r>
      <w:r>
        <w:rPr>
          <w:rFonts w:ascii="宋体" w:hAnsi="宋体"/>
          <w:color w:val="auto"/>
          <w:szCs w:val="21"/>
          <w:highlight w:val="none"/>
          <w:u w:val="single"/>
        </w:rPr>
        <w:t xml:space="preserve">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资质类别和等级：</w:t>
      </w:r>
      <w:r>
        <w:rPr>
          <w:rFonts w:ascii="宋体" w:hAnsi="宋体"/>
          <w:color w:val="auto"/>
          <w:szCs w:val="21"/>
          <w:highlight w:val="none"/>
          <w:u w:val="single"/>
        </w:rPr>
        <w:t>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 ；</w:t>
      </w:r>
    </w:p>
    <w:p>
      <w:pPr>
        <w:spacing w:line="400" w:lineRule="exact"/>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1.1.3 工程和设备</w:t>
      </w:r>
    </w:p>
    <w:p>
      <w:pPr>
        <w:spacing w:line="400" w:lineRule="exact"/>
        <w:rPr>
          <w:rFonts w:ascii="宋体" w:hAnsi="宋体"/>
          <w:color w:val="auto"/>
          <w:szCs w:val="21"/>
          <w:highlight w:val="none"/>
        </w:rPr>
      </w:pPr>
      <w:r>
        <w:rPr>
          <w:rFonts w:ascii="宋体" w:hAnsi="宋体"/>
          <w:color w:val="auto"/>
          <w:szCs w:val="21"/>
          <w:highlight w:val="none"/>
        </w:rPr>
        <w:t>1.1.3.7 作为施工现场组成部分的其他场所包括：</w:t>
      </w:r>
      <w:r>
        <w:rPr>
          <w:rFonts w:hint="eastAsia" w:ascii="宋体" w:hAnsi="宋体"/>
          <w:color w:val="auto"/>
          <w:szCs w:val="21"/>
          <w:highlight w:val="none"/>
          <w:u w:val="single"/>
        </w:rPr>
        <w:t>永久及临时占地、施工道路、工棚、施工办公生活区、加工场等</w:t>
      </w:r>
      <w:r>
        <w:rPr>
          <w:rFonts w:ascii="宋体" w:hAnsi="宋体"/>
          <w:color w:val="auto"/>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1.1.3.9 永久占地包括：</w:t>
      </w:r>
      <w:r>
        <w:rPr>
          <w:rFonts w:hint="eastAsia" w:ascii="宋体" w:hAnsi="宋体"/>
          <w:color w:val="auto"/>
          <w:szCs w:val="21"/>
          <w:highlight w:val="none"/>
          <w:u w:val="single"/>
        </w:rPr>
        <w:t>施工图所示占地线范围，范围、坐标详见施工图</w:t>
      </w:r>
      <w:r>
        <w:rPr>
          <w:rFonts w:ascii="宋体" w:hAnsi="宋体"/>
          <w:color w:val="auto"/>
          <w:kern w:val="0"/>
          <w:szCs w:val="21"/>
          <w:highlight w:val="none"/>
        </w:rPr>
        <w:t>。</w:t>
      </w:r>
    </w:p>
    <w:p>
      <w:pPr>
        <w:spacing w:line="400" w:lineRule="exact"/>
        <w:rPr>
          <w:rFonts w:ascii="宋体" w:hAnsi="宋体"/>
          <w:color w:val="auto"/>
          <w:szCs w:val="21"/>
          <w:highlight w:val="none"/>
        </w:rPr>
      </w:pPr>
      <w:r>
        <w:rPr>
          <w:rFonts w:ascii="宋体" w:hAnsi="宋体"/>
          <w:color w:val="auto"/>
          <w:kern w:val="0"/>
          <w:szCs w:val="21"/>
          <w:highlight w:val="none"/>
        </w:rPr>
        <w:t>1.1.3.10 临时占地包括：</w:t>
      </w:r>
      <w:r>
        <w:rPr>
          <w:rFonts w:hint="eastAsia" w:ascii="宋体" w:hAnsi="宋体"/>
          <w:bCs/>
          <w:color w:val="auto"/>
          <w:szCs w:val="21"/>
          <w:highlight w:val="none"/>
          <w:u w:val="single"/>
        </w:rPr>
        <w:t>（1）合同签订后3日内提交不少于2份的临时占地资料，在不影响施工的前提下，经发包人、监理单位审批，可免费提供红线范围内的场地作为施工临时占地。（2）发包人不保证红线外临时用地在本工程红线附近，承包人要充分考虑该风险，承包人不能因临时用地与本工程红线之间的距离而提出任何增加费用的要求</w:t>
      </w:r>
      <w:r>
        <w:rPr>
          <w:rFonts w:hint="eastAsia" w:ascii="宋体" w:hAnsi="宋体"/>
          <w:bCs/>
          <w:color w:val="auto"/>
          <w:szCs w:val="21"/>
          <w:highlight w:val="none"/>
        </w:rPr>
        <w:t>。</w:t>
      </w:r>
    </w:p>
    <w:p>
      <w:pPr>
        <w:spacing w:line="400" w:lineRule="exact"/>
        <w:rPr>
          <w:rFonts w:ascii="宋体" w:hAnsi="宋体"/>
          <w:b/>
          <w:color w:val="auto"/>
          <w:highlight w:val="none"/>
        </w:rPr>
      </w:pPr>
      <w:bookmarkStart w:id="127" w:name="_Toc373478341"/>
      <w:bookmarkStart w:id="128" w:name="_Toc389065260"/>
      <w:bookmarkStart w:id="129" w:name="_Toc373227694"/>
      <w:bookmarkStart w:id="130" w:name="_Toc395382496"/>
      <w:r>
        <w:rPr>
          <w:rFonts w:ascii="宋体" w:hAnsi="宋体"/>
          <w:b/>
          <w:color w:val="auto"/>
          <w:highlight w:val="none"/>
        </w:rPr>
        <w:t>1.3</w:t>
      </w:r>
      <w:r>
        <w:rPr>
          <w:rFonts w:hint="eastAsia" w:ascii="宋体" w:hAnsi="宋体"/>
          <w:b/>
          <w:color w:val="auto"/>
          <w:highlight w:val="none"/>
        </w:rPr>
        <w:t xml:space="preserve"> </w:t>
      </w:r>
      <w:r>
        <w:rPr>
          <w:rFonts w:ascii="宋体" w:hAnsi="宋体"/>
          <w:b/>
          <w:color w:val="auto"/>
          <w:highlight w:val="none"/>
        </w:rPr>
        <w:t>法律</w:t>
      </w:r>
      <w:bookmarkEnd w:id="127"/>
      <w:bookmarkEnd w:id="128"/>
      <w:bookmarkEnd w:id="129"/>
      <w:bookmarkEnd w:id="130"/>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适用于合同的其他规范性文件：</w:t>
      </w:r>
      <w:r>
        <w:rPr>
          <w:rFonts w:hint="eastAsia" w:ascii="宋体" w:hAnsi="宋体"/>
          <w:color w:val="auto"/>
          <w:szCs w:val="21"/>
          <w:highlight w:val="none"/>
          <w:u w:val="single"/>
        </w:rPr>
        <w:t>包括中华人民共和国法律、行政法规、部门规章，以及工程所在地的地方法规、自治条例、单行条例和地方政府规章</w:t>
      </w:r>
      <w:r>
        <w:rPr>
          <w:rFonts w:ascii="宋体" w:hAnsi="宋体"/>
          <w:color w:val="auto"/>
          <w:kern w:val="0"/>
          <w:szCs w:val="21"/>
          <w:highlight w:val="none"/>
        </w:rPr>
        <w:t>。</w:t>
      </w:r>
    </w:p>
    <w:p>
      <w:pPr>
        <w:spacing w:line="400" w:lineRule="exact"/>
        <w:rPr>
          <w:rFonts w:ascii="宋体" w:hAnsi="宋体"/>
          <w:b/>
          <w:color w:val="auto"/>
          <w:highlight w:val="none"/>
        </w:rPr>
      </w:pPr>
      <w:bookmarkStart w:id="131" w:name="_Toc395382497"/>
      <w:bookmarkStart w:id="132" w:name="_Toc373478342"/>
      <w:bookmarkStart w:id="133" w:name="_Toc389065261"/>
      <w:bookmarkStart w:id="134" w:name="_Toc373227695"/>
      <w:r>
        <w:rPr>
          <w:rFonts w:ascii="宋体" w:hAnsi="宋体"/>
          <w:b/>
          <w:color w:val="auto"/>
          <w:highlight w:val="none"/>
        </w:rPr>
        <w:t>1.4 标准和规范</w:t>
      </w:r>
      <w:bookmarkEnd w:id="131"/>
      <w:bookmarkEnd w:id="132"/>
      <w:bookmarkEnd w:id="133"/>
      <w:bookmarkEnd w:id="134"/>
    </w:p>
    <w:p>
      <w:pPr>
        <w:spacing w:line="400" w:lineRule="exact"/>
        <w:rPr>
          <w:rFonts w:ascii="宋体" w:hAnsi="宋体"/>
          <w:color w:val="auto"/>
          <w:szCs w:val="21"/>
          <w:highlight w:val="none"/>
        </w:rPr>
      </w:pPr>
      <w:r>
        <w:rPr>
          <w:rFonts w:ascii="宋体" w:hAnsi="宋体"/>
          <w:color w:val="auto"/>
          <w:szCs w:val="21"/>
          <w:highlight w:val="none"/>
        </w:rPr>
        <w:t>1.4.1</w:t>
      </w:r>
      <w:r>
        <w:rPr>
          <w:rFonts w:hint="eastAsia" w:ascii="宋体" w:hAnsi="宋体"/>
          <w:color w:val="auto"/>
          <w:szCs w:val="21"/>
          <w:highlight w:val="none"/>
        </w:rPr>
        <w:t xml:space="preserve"> </w:t>
      </w:r>
      <w:r>
        <w:rPr>
          <w:rFonts w:ascii="宋体" w:hAnsi="宋体"/>
          <w:color w:val="auto"/>
          <w:szCs w:val="21"/>
          <w:highlight w:val="none"/>
        </w:rPr>
        <w:t>适用于工程的标准规范包括：</w:t>
      </w:r>
      <w:r>
        <w:rPr>
          <w:rFonts w:hint="eastAsia" w:ascii="宋体" w:hAnsi="宋体"/>
          <w:color w:val="auto"/>
          <w:szCs w:val="21"/>
          <w:highlight w:val="none"/>
          <w:u w:val="single"/>
        </w:rPr>
        <w:t>现行国家、地方、部门有关标准规范</w:t>
      </w:r>
      <w:r>
        <w:rPr>
          <w:rFonts w:ascii="宋体" w:hAnsi="宋体"/>
          <w:color w:val="auto"/>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1.4.2 发包人提供国外标准、规范的名称：</w:t>
      </w:r>
      <w:r>
        <w:rPr>
          <w:rFonts w:hint="eastAsia" w:ascii="宋体" w:hAnsi="宋体"/>
          <w:color w:val="auto"/>
          <w:szCs w:val="21"/>
          <w:highlight w:val="none"/>
          <w:u w:val="single"/>
        </w:rPr>
        <w:t>/</w:t>
      </w:r>
      <w:r>
        <w:rPr>
          <w:rFonts w:hint="eastAsia" w:ascii="宋体" w:hAnsi="宋体"/>
          <w:color w:val="auto"/>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发包人提供国外标准、规范的份数：</w:t>
      </w:r>
      <w:r>
        <w:rPr>
          <w:rFonts w:hint="eastAsia" w:ascii="宋体" w:hAnsi="宋体"/>
          <w:color w:val="auto"/>
          <w:kern w:val="0"/>
          <w:szCs w:val="21"/>
          <w:highlight w:val="none"/>
          <w:u w:val="single"/>
        </w:rPr>
        <w:t>/</w:t>
      </w:r>
      <w:r>
        <w:rPr>
          <w:rFonts w:ascii="宋体" w:hAnsi="宋体"/>
          <w:color w:val="auto"/>
          <w:kern w:val="0"/>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kern w:val="0"/>
          <w:szCs w:val="21"/>
          <w:highlight w:val="none"/>
        </w:rPr>
        <w:t>发包人提供国外标准、规范的名称：</w:t>
      </w:r>
      <w:r>
        <w:rPr>
          <w:rFonts w:hint="eastAsia" w:ascii="宋体" w:hAnsi="宋体"/>
          <w:color w:val="auto"/>
          <w:kern w:val="0"/>
          <w:szCs w:val="21"/>
          <w:highlight w:val="none"/>
          <w:u w:val="single"/>
        </w:rPr>
        <w:t>/</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00" w:lineRule="exact"/>
        <w:rPr>
          <w:rFonts w:hint="eastAsia" w:ascii="宋体" w:hAnsi="宋体"/>
          <w:color w:val="auto"/>
          <w:szCs w:val="21"/>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3348355</wp:posOffset>
                </wp:positionH>
                <wp:positionV relativeFrom="paragraph">
                  <wp:posOffset>171450</wp:posOffset>
                </wp:positionV>
                <wp:extent cx="1162050" cy="635"/>
                <wp:effectExtent l="0" t="0" r="19050" b="37465"/>
                <wp:wrapNone/>
                <wp:docPr id="3" name="直接连接符 3"/>
                <wp:cNvGraphicFramePr/>
                <a:graphic xmlns:a="http://schemas.openxmlformats.org/drawingml/2006/main">
                  <a:graphicData uri="http://schemas.microsoft.com/office/word/2010/wordprocessingShape">
                    <wps:wsp>
                      <wps:cNvCnPr/>
                      <wps:spPr>
                        <a:xfrm>
                          <a:off x="0" y="0"/>
                          <a:ext cx="1162050"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63.65pt;margin-top:13.5pt;height:0.05pt;width:91.5pt;z-index:251661312;mso-width-relative:page;mso-height-relative:page;" filled="f" stroked="t" coordsize="21600,21600" o:gfxdata="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RcL/2AAAAAkBAAAPAAAAAAAAAAEAIAAAACIAAABkcnMvZG93bnJldi54bWxQSwECFAAUAAAACACH&#10;TuJAgMjyw+sBAADaAwAADgAAAAAAAAABACAAAAAnAQAAZHJzL2Uyb0RvYy54bWxQSwUGAAAAAAYA&#10;BgBZAQAAhAUAAAAA&#10;">
                <v:fill on="f" focussize="0,0"/>
                <v:stroke weight="0.25pt" color="#000000" joinstyle="round"/>
                <v:imagedata o:title=""/>
                <o:lock v:ext="edit" aspectratio="f"/>
              </v:line>
            </w:pict>
          </mc:Fallback>
        </mc:AlternateContent>
      </w:r>
      <w:r>
        <w:rPr>
          <w:rFonts w:ascii="宋体" w:hAnsi="宋体"/>
          <w:color w:val="auto"/>
          <w:szCs w:val="21"/>
          <w:highlight w:val="none"/>
        </w:rPr>
        <w:t>1.4.3</w:t>
      </w:r>
      <w:r>
        <w:rPr>
          <w:rFonts w:hint="eastAsia" w:ascii="宋体" w:hAnsi="宋体"/>
          <w:color w:val="auto"/>
          <w:szCs w:val="21"/>
          <w:highlight w:val="none"/>
        </w:rPr>
        <w:t xml:space="preserve"> </w:t>
      </w:r>
      <w:r>
        <w:rPr>
          <w:rFonts w:ascii="宋体" w:hAnsi="宋体"/>
          <w:color w:val="auto"/>
          <w:szCs w:val="21"/>
          <w:highlight w:val="none"/>
        </w:rPr>
        <w:t>发包人对工程的技术标准和功能要求的特殊要求：</w:t>
      </w:r>
      <w:bookmarkStart w:id="135" w:name="_Toc373227696"/>
      <w:bookmarkStart w:id="136" w:name="_Toc389065262"/>
      <w:bookmarkStart w:id="137" w:name="_Toc373478343"/>
      <w:bookmarkStart w:id="138" w:name="_Toc395382498"/>
      <w:r>
        <w:rPr>
          <w:rFonts w:hint="eastAsia" w:ascii="宋体" w:hAnsi="宋体"/>
          <w:color w:val="auto"/>
          <w:szCs w:val="21"/>
          <w:highlight w:val="none"/>
        </w:rPr>
        <w:t xml:space="preserve">          </w:t>
      </w:r>
    </w:p>
    <w:p>
      <w:pPr>
        <w:spacing w:line="400" w:lineRule="exact"/>
        <w:rPr>
          <w:rFonts w:ascii="宋体" w:hAnsi="宋体"/>
          <w:b/>
          <w:color w:val="auto"/>
          <w:highlight w:val="none"/>
        </w:r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3567430</wp:posOffset>
                </wp:positionH>
                <wp:positionV relativeFrom="paragraph">
                  <wp:posOffset>241300</wp:posOffset>
                </wp:positionV>
                <wp:extent cx="635" cy="9525"/>
                <wp:effectExtent l="0" t="0" r="37465" b="28575"/>
                <wp:wrapNone/>
                <wp:docPr id="2" name="直接连接符 2"/>
                <wp:cNvGraphicFramePr/>
                <a:graphic xmlns:a="http://schemas.openxmlformats.org/drawingml/2006/main">
                  <a:graphicData uri="http://schemas.microsoft.com/office/word/2010/wordprocessingShape">
                    <wps:wsp>
                      <wps:cNvCnPr/>
                      <wps:spPr>
                        <a:xfrm flipV="1">
                          <a:off x="0" y="0"/>
                          <a:ext cx="635" cy="952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flip:y;margin-left:280.9pt;margin-top:19pt;height:0.75pt;width:0.05pt;z-index:251660288;mso-width-relative:page;mso-height-relative:page;" filled="f" stroked="t" coordsize="21600,21600" o:gfxdata="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YaIG9gAAAAJAQAADwAAAAAAAAABACAAAAAiAAAAZHJzL2Rvd25yZXYueG1sUEsB&#10;AhQAFAAAAAgAh07iQDIGf/X1AQAA4gMAAA4AAAAAAAAAAQAgAAAAJwEAAGRycy9lMm9Eb2MueG1s&#10;UEsFBgAAAAAGAAYAWQEAAI4FAAAAAA==&#10;">
                <v:fill on="f" focussize="0,0"/>
                <v:stroke weight="1.25pt" color="#739CC3" joinstyle="round"/>
                <v:imagedata o:title=""/>
                <o:lock v:ext="edit" aspectratio="f"/>
              </v:line>
            </w:pict>
          </mc:Fallback>
        </mc:AlternateContent>
      </w:r>
      <w:r>
        <w:rPr>
          <w:rFonts w:ascii="宋体" w:hAnsi="宋体"/>
          <w:b/>
          <w:color w:val="auto"/>
          <w:highlight w:val="none"/>
        </w:rPr>
        <w:t>1.5 合同文件的优先顺序</w:t>
      </w:r>
      <w:bookmarkEnd w:id="135"/>
      <w:bookmarkEnd w:id="136"/>
      <w:bookmarkEnd w:id="137"/>
      <w:bookmarkEnd w:id="138"/>
    </w:p>
    <w:p>
      <w:pPr>
        <w:spacing w:line="400" w:lineRule="exact"/>
        <w:rPr>
          <w:rFonts w:ascii="宋体" w:hAnsi="宋体"/>
          <w:color w:val="auto"/>
          <w:szCs w:val="21"/>
          <w:highlight w:val="none"/>
        </w:rPr>
      </w:pPr>
      <w:r>
        <w:rPr>
          <w:rFonts w:ascii="宋体" w:hAnsi="宋体"/>
          <w:color w:val="auto"/>
          <w:szCs w:val="21"/>
          <w:highlight w:val="none"/>
        </w:rPr>
        <w:t>合同文件组成及优先顺序为：</w:t>
      </w:r>
    </w:p>
    <w:p>
      <w:pPr>
        <w:spacing w:line="400" w:lineRule="exac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成交</w:t>
      </w:r>
      <w:r>
        <w:rPr>
          <w:rFonts w:ascii="宋体" w:hAnsi="宋体"/>
          <w:color w:val="auto"/>
          <w:kern w:val="0"/>
          <w:szCs w:val="21"/>
          <w:highlight w:val="none"/>
        </w:rPr>
        <w:t>通知书；</w:t>
      </w:r>
    </w:p>
    <w:p>
      <w:pPr>
        <w:spacing w:line="400" w:lineRule="exac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竞标</w:t>
      </w:r>
      <w:r>
        <w:rPr>
          <w:rFonts w:ascii="宋体" w:hAnsi="宋体"/>
          <w:color w:val="auto"/>
          <w:kern w:val="0"/>
          <w:szCs w:val="21"/>
          <w:highlight w:val="none"/>
        </w:rPr>
        <w:t>函及其附录；</w:t>
      </w:r>
    </w:p>
    <w:p>
      <w:pPr>
        <w:spacing w:line="400" w:lineRule="exact"/>
        <w:rPr>
          <w:rFonts w:ascii="宋体" w:hAnsi="宋体"/>
          <w:color w:val="auto"/>
          <w:kern w:val="0"/>
          <w:szCs w:val="21"/>
          <w:highlight w:val="none"/>
        </w:rPr>
      </w:pPr>
      <w:r>
        <w:rPr>
          <w:rFonts w:ascii="宋体" w:hAnsi="宋体"/>
          <w:color w:val="auto"/>
          <w:kern w:val="0"/>
          <w:szCs w:val="21"/>
          <w:highlight w:val="none"/>
        </w:rPr>
        <w:t>（3）专用合同条款及其附件；</w:t>
      </w:r>
    </w:p>
    <w:p>
      <w:pPr>
        <w:spacing w:line="400" w:lineRule="exact"/>
        <w:rPr>
          <w:rFonts w:ascii="宋体" w:hAnsi="宋体"/>
          <w:color w:val="auto"/>
          <w:kern w:val="0"/>
          <w:szCs w:val="21"/>
          <w:highlight w:val="none"/>
        </w:rPr>
      </w:pPr>
      <w:r>
        <w:rPr>
          <w:rFonts w:ascii="宋体" w:hAnsi="宋体"/>
          <w:color w:val="auto"/>
          <w:kern w:val="0"/>
          <w:szCs w:val="21"/>
          <w:highlight w:val="none"/>
        </w:rPr>
        <w:t>（4）通用合同条款；</w:t>
      </w:r>
    </w:p>
    <w:p>
      <w:pPr>
        <w:spacing w:line="400" w:lineRule="exact"/>
        <w:rPr>
          <w:rFonts w:ascii="宋体" w:hAnsi="宋体"/>
          <w:color w:val="auto"/>
          <w:kern w:val="0"/>
          <w:szCs w:val="21"/>
          <w:highlight w:val="none"/>
        </w:rPr>
      </w:pPr>
      <w:r>
        <w:rPr>
          <w:rFonts w:ascii="宋体" w:hAnsi="宋体"/>
          <w:color w:val="auto"/>
          <w:kern w:val="0"/>
          <w:szCs w:val="21"/>
          <w:highlight w:val="none"/>
        </w:rPr>
        <w:t>（5）</w:t>
      </w:r>
      <w:r>
        <w:rPr>
          <w:rFonts w:hint="eastAsia" w:ascii="宋体" w:hAnsi="宋体"/>
          <w:color w:val="auto"/>
          <w:kern w:val="0"/>
          <w:szCs w:val="21"/>
          <w:highlight w:val="none"/>
        </w:rPr>
        <w:t>标准、规范及有关技术文件</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（6）已标价工程量清单</w:t>
      </w:r>
      <w:r>
        <w:rPr>
          <w:rFonts w:hint="eastAsia" w:ascii="宋体" w:hAnsi="宋体"/>
          <w:color w:val="auto"/>
          <w:kern w:val="0"/>
          <w:szCs w:val="21"/>
          <w:highlight w:val="none"/>
        </w:rPr>
        <w:t>或预算书</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（7）</w:t>
      </w:r>
      <w:r>
        <w:rPr>
          <w:rFonts w:hint="eastAsia" w:ascii="宋体" w:hAnsi="宋体"/>
          <w:color w:val="auto"/>
          <w:kern w:val="0"/>
          <w:szCs w:val="21"/>
          <w:highlight w:val="none"/>
        </w:rPr>
        <w:t>图纸</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（8）其他合同文件。</w:t>
      </w:r>
    </w:p>
    <w:p>
      <w:pPr>
        <w:spacing w:line="400" w:lineRule="exact"/>
        <w:rPr>
          <w:rFonts w:ascii="宋体" w:hAnsi="宋体"/>
          <w:color w:val="auto"/>
          <w:szCs w:val="21"/>
          <w:highlight w:val="none"/>
        </w:rPr>
      </w:pPr>
      <w:r>
        <w:rPr>
          <w:rFonts w:ascii="宋体" w:hAnsi="宋体"/>
          <w:color w:val="auto"/>
          <w:kern w:val="0"/>
          <w:szCs w:val="21"/>
          <w:highlight w:val="none"/>
        </w:rPr>
        <w:t>说明：</w:t>
      </w:r>
      <w:r>
        <w:rPr>
          <w:rFonts w:hint="eastAsia" w:ascii="宋体" w:hAnsi="宋体"/>
          <w:color w:val="auto"/>
          <w:kern w:val="0"/>
          <w:szCs w:val="21"/>
          <w:highlight w:val="none"/>
        </w:rPr>
        <w:t>（5）、（</w:t>
      </w:r>
      <w:r>
        <w:rPr>
          <w:rFonts w:ascii="宋体" w:hAnsi="宋体"/>
          <w:color w:val="auto"/>
          <w:kern w:val="0"/>
          <w:szCs w:val="21"/>
          <w:highlight w:val="none"/>
        </w:rPr>
        <w:t>6</w:t>
      </w:r>
      <w:r>
        <w:rPr>
          <w:rFonts w:hint="eastAsia" w:ascii="宋体" w:hAnsi="宋体"/>
          <w:color w:val="auto"/>
          <w:kern w:val="0"/>
          <w:szCs w:val="21"/>
          <w:highlight w:val="none"/>
        </w:rPr>
        <w:t>）</w:t>
      </w:r>
      <w:r>
        <w:rPr>
          <w:rFonts w:ascii="宋体" w:hAnsi="宋体"/>
          <w:color w:val="auto"/>
          <w:kern w:val="0"/>
          <w:szCs w:val="21"/>
          <w:highlight w:val="none"/>
        </w:rPr>
        <w:t>、</w:t>
      </w:r>
      <w:r>
        <w:rPr>
          <w:rFonts w:hint="eastAsia" w:ascii="宋体" w:hAnsi="宋体"/>
          <w:color w:val="auto"/>
          <w:kern w:val="0"/>
          <w:szCs w:val="21"/>
          <w:highlight w:val="none"/>
        </w:rPr>
        <w:t>（</w:t>
      </w:r>
      <w:r>
        <w:rPr>
          <w:rFonts w:ascii="宋体" w:hAnsi="宋体"/>
          <w:color w:val="auto"/>
          <w:kern w:val="0"/>
          <w:szCs w:val="21"/>
          <w:highlight w:val="none"/>
        </w:rPr>
        <w:t>7</w:t>
      </w:r>
      <w:r>
        <w:rPr>
          <w:rFonts w:hint="eastAsia" w:ascii="宋体" w:hAnsi="宋体"/>
          <w:color w:val="auto"/>
          <w:kern w:val="0"/>
          <w:szCs w:val="21"/>
          <w:highlight w:val="none"/>
        </w:rPr>
        <w:t>）</w:t>
      </w:r>
      <w:r>
        <w:rPr>
          <w:rFonts w:ascii="宋体" w:hAnsi="宋体"/>
          <w:color w:val="auto"/>
          <w:kern w:val="0"/>
          <w:szCs w:val="21"/>
          <w:highlight w:val="none"/>
        </w:rPr>
        <w:t>、</w:t>
      </w:r>
      <w:r>
        <w:rPr>
          <w:rFonts w:hint="eastAsia" w:ascii="宋体" w:hAnsi="宋体"/>
          <w:color w:val="auto"/>
          <w:kern w:val="0"/>
          <w:szCs w:val="21"/>
          <w:highlight w:val="none"/>
        </w:rPr>
        <w:t>（</w:t>
      </w:r>
      <w:r>
        <w:rPr>
          <w:rFonts w:ascii="宋体" w:hAnsi="宋体"/>
          <w:color w:val="auto"/>
          <w:kern w:val="0"/>
          <w:szCs w:val="21"/>
          <w:highlight w:val="none"/>
        </w:rPr>
        <w:t>8</w:t>
      </w:r>
      <w:r>
        <w:rPr>
          <w:rFonts w:hint="eastAsia" w:ascii="宋体" w:hAnsi="宋体"/>
          <w:color w:val="auto"/>
          <w:kern w:val="0"/>
          <w:szCs w:val="21"/>
          <w:highlight w:val="none"/>
        </w:rPr>
        <w:t>）</w:t>
      </w:r>
      <w:r>
        <w:rPr>
          <w:rFonts w:ascii="宋体" w:hAnsi="宋体"/>
          <w:color w:val="auto"/>
          <w:kern w:val="0"/>
          <w:szCs w:val="21"/>
          <w:highlight w:val="none"/>
        </w:rPr>
        <w:t>填空内容分别限于技术标准和要求、图纸、已标价工程量清单</w:t>
      </w:r>
      <w:r>
        <w:rPr>
          <w:rFonts w:hint="eastAsia" w:ascii="宋体" w:hAnsi="宋体"/>
          <w:color w:val="auto"/>
          <w:kern w:val="0"/>
          <w:szCs w:val="21"/>
          <w:highlight w:val="none"/>
        </w:rPr>
        <w:t>或预算书、</w:t>
      </w:r>
      <w:r>
        <w:rPr>
          <w:rFonts w:ascii="宋体" w:hAnsi="宋体"/>
          <w:color w:val="auto"/>
          <w:kern w:val="0"/>
          <w:szCs w:val="21"/>
          <w:highlight w:val="none"/>
        </w:rPr>
        <w:t>其他合同文件</w:t>
      </w:r>
      <w:r>
        <w:rPr>
          <w:rFonts w:hint="eastAsia" w:ascii="宋体" w:hAnsi="宋体"/>
          <w:color w:val="auto"/>
          <w:kern w:val="0"/>
          <w:szCs w:val="21"/>
          <w:highlight w:val="none"/>
        </w:rPr>
        <w:t>四</w:t>
      </w:r>
      <w:r>
        <w:rPr>
          <w:rFonts w:ascii="宋体" w:hAnsi="宋体"/>
          <w:color w:val="auto"/>
          <w:kern w:val="0"/>
          <w:szCs w:val="21"/>
          <w:highlight w:val="none"/>
        </w:rPr>
        <w:t>者之一</w:t>
      </w:r>
      <w:r>
        <w:rPr>
          <w:rFonts w:hint="eastAsia" w:ascii="宋体" w:hAnsi="宋体"/>
          <w:color w:val="auto"/>
          <w:kern w:val="0"/>
          <w:szCs w:val="21"/>
          <w:highlight w:val="none"/>
        </w:rPr>
        <w:t>，其优先顺序可根据采取的不同合同方式由双方约定</w:t>
      </w:r>
      <w:r>
        <w:rPr>
          <w:rFonts w:ascii="宋体" w:hAnsi="宋体"/>
          <w:color w:val="auto"/>
          <w:kern w:val="0"/>
          <w:szCs w:val="21"/>
          <w:highlight w:val="none"/>
        </w:rPr>
        <w:t>。</w:t>
      </w:r>
    </w:p>
    <w:p>
      <w:pPr>
        <w:spacing w:line="400" w:lineRule="exact"/>
        <w:rPr>
          <w:rFonts w:ascii="宋体" w:hAnsi="宋体"/>
          <w:b/>
          <w:color w:val="auto"/>
          <w:highlight w:val="none"/>
        </w:rPr>
      </w:pPr>
      <w:bookmarkStart w:id="139" w:name="_Toc373227697"/>
      <w:bookmarkStart w:id="140" w:name="_Toc389065263"/>
      <w:bookmarkStart w:id="141" w:name="_Toc373478344"/>
      <w:bookmarkStart w:id="142" w:name="_Toc395382499"/>
      <w:r>
        <w:rPr>
          <w:rFonts w:ascii="宋体" w:hAnsi="宋体"/>
          <w:b/>
          <w:color w:val="auto"/>
          <w:highlight w:val="none"/>
        </w:rPr>
        <w:t>1.6 图纸和承包人文件</w:t>
      </w:r>
      <w:bookmarkEnd w:id="139"/>
      <w:bookmarkEnd w:id="140"/>
      <w:bookmarkEnd w:id="141"/>
      <w:bookmarkEnd w:id="142"/>
      <w:r>
        <w:rPr>
          <w:rFonts w:ascii="宋体" w:hAnsi="宋体"/>
          <w:b/>
          <w:color w:val="auto"/>
          <w:highlight w:val="none"/>
        </w:rPr>
        <w:tab/>
      </w:r>
    </w:p>
    <w:p>
      <w:pPr>
        <w:spacing w:line="400" w:lineRule="exact"/>
        <w:rPr>
          <w:rFonts w:ascii="宋体" w:hAnsi="宋体"/>
          <w:color w:val="auto"/>
          <w:szCs w:val="21"/>
          <w:highlight w:val="none"/>
        </w:rPr>
      </w:pPr>
      <w:r>
        <w:rPr>
          <w:rFonts w:ascii="宋体" w:hAnsi="宋体"/>
          <w:color w:val="auto"/>
          <w:szCs w:val="21"/>
          <w:highlight w:val="none"/>
        </w:rPr>
        <w:t>1.6.1 图纸的提供</w:t>
      </w:r>
    </w:p>
    <w:p>
      <w:pPr>
        <w:spacing w:line="400" w:lineRule="exact"/>
        <w:rPr>
          <w:rFonts w:ascii="宋体" w:hAnsi="宋体"/>
          <w:color w:val="auto"/>
          <w:szCs w:val="21"/>
          <w:highlight w:val="none"/>
        </w:rPr>
      </w:pPr>
      <w:r>
        <w:rPr>
          <w:rFonts w:ascii="宋体" w:hAnsi="宋体"/>
          <w:color w:val="auto"/>
          <w:szCs w:val="21"/>
          <w:highlight w:val="none"/>
        </w:rPr>
        <w:t>发包人向承包人提供图纸的期限：</w:t>
      </w:r>
      <w:r>
        <w:rPr>
          <w:rFonts w:hint="eastAsia" w:ascii="宋体" w:hAnsi="宋体"/>
          <w:color w:val="auto"/>
          <w:szCs w:val="21"/>
          <w:highlight w:val="none"/>
          <w:u w:val="single"/>
        </w:rPr>
        <w:t>合同生效后7天内</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发包人向承包人提供图纸的数量：</w:t>
      </w:r>
      <w:r>
        <w:rPr>
          <w:rFonts w:hint="eastAsia" w:ascii="宋体" w:hAnsi="宋体"/>
          <w:color w:val="auto"/>
          <w:szCs w:val="21"/>
          <w:highlight w:val="none"/>
          <w:u w:val="single"/>
        </w:rPr>
        <w:t>两</w:t>
      </w:r>
      <w:r>
        <w:rPr>
          <w:rFonts w:ascii="宋体" w:hAnsi="宋体"/>
          <w:color w:val="auto"/>
          <w:szCs w:val="21"/>
          <w:highlight w:val="none"/>
          <w:u w:val="single"/>
        </w:rPr>
        <w:t>套，承包人需要增加图纸套数的，发包人应代为复制，复制费用由承包人承担</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发包人向承包人提供图纸的内容：</w:t>
      </w:r>
      <w:r>
        <w:rPr>
          <w:rFonts w:hint="eastAsia" w:ascii="宋体" w:hAnsi="宋体"/>
          <w:color w:val="auto"/>
          <w:szCs w:val="21"/>
          <w:highlight w:val="none"/>
          <w:u w:val="single"/>
        </w:rPr>
        <w:t>建筑（若有）、结构（若有）、给排水（若有）、电气（若有）、地质勘察报告等</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1.6.4 承包人文件</w:t>
      </w:r>
    </w:p>
    <w:p>
      <w:pPr>
        <w:spacing w:line="400" w:lineRule="exact"/>
        <w:jc w:val="left"/>
        <w:rPr>
          <w:rFonts w:ascii="宋体" w:hAnsi="宋体"/>
          <w:color w:val="auto"/>
          <w:szCs w:val="21"/>
          <w:highlight w:val="none"/>
          <w:u w:val="single"/>
        </w:rPr>
      </w:pPr>
      <w:r>
        <w:rPr>
          <w:rFonts w:ascii="宋体" w:hAnsi="宋体"/>
          <w:color w:val="auto"/>
          <w:szCs w:val="21"/>
          <w:highlight w:val="none"/>
        </w:rPr>
        <w:t>需要由承包人提供的文件，包括：</w:t>
      </w:r>
      <w:r>
        <w:rPr>
          <w:rFonts w:hint="eastAsia" w:ascii="宋体" w:hAnsi="宋体"/>
          <w:color w:val="auto"/>
          <w:szCs w:val="21"/>
          <w:highlight w:val="none"/>
        </w:rPr>
        <w:t>包括必要的加工图和大样图，均不是合同计量与支付的依据文件。</w:t>
      </w:r>
      <w:r>
        <w:rPr>
          <w:rFonts w:hint="eastAsia" w:ascii="宋体" w:hAnsi="宋体"/>
          <w:color w:val="auto"/>
          <w:szCs w:val="21"/>
          <w:highlight w:val="none"/>
          <w:u w:val="single"/>
        </w:rPr>
        <w:t>施</w:t>
      </w:r>
      <w:r>
        <w:rPr>
          <w:rFonts w:hint="eastAsia" w:ascii="宋体" w:hAnsi="宋体"/>
          <w:color w:val="auto"/>
          <w:szCs w:val="21"/>
          <w:highlight w:val="none"/>
        </w:rPr>
        <w:t>工组织设计、专项施工方案、安全应急方案、进度报表、次月进度计划等</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承包人提供的文件的期限为：</w:t>
      </w:r>
      <w:r>
        <w:rPr>
          <w:rFonts w:hint="eastAsia" w:ascii="宋体" w:hAnsi="宋体"/>
          <w:color w:val="auto"/>
          <w:szCs w:val="21"/>
          <w:highlight w:val="none"/>
          <w:u w:val="single"/>
        </w:rPr>
        <w:t>开工前7日</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承包人提供的文件的数量为：</w:t>
      </w:r>
      <w:r>
        <w:rPr>
          <w:rFonts w:hint="eastAsia" w:ascii="宋体" w:hAnsi="宋体"/>
          <w:color w:val="auto"/>
          <w:szCs w:val="21"/>
          <w:highlight w:val="none"/>
          <w:u w:val="single"/>
        </w:rPr>
        <w:t>提供施工组织设计和安全应急方案一式三份,专项工程实施前1个月提供专项施工方案一式三份,每月25日提供本月完成进度报表和次月进度计划一式三份</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承包人提供的文件的形式为：</w:t>
      </w:r>
      <w:r>
        <w:rPr>
          <w:rFonts w:hint="eastAsia" w:ascii="宋体" w:hAnsi="宋体"/>
          <w:color w:val="auto"/>
          <w:szCs w:val="21"/>
          <w:highlight w:val="none"/>
          <w:u w:val="single"/>
        </w:rPr>
        <w:t>书面及电子文件</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发包人审批承包人文件的期限：</w:t>
      </w:r>
      <w:r>
        <w:rPr>
          <w:rFonts w:hint="eastAsia" w:ascii="宋体" w:hAnsi="宋体"/>
          <w:color w:val="auto"/>
          <w:szCs w:val="21"/>
          <w:highlight w:val="none"/>
          <w:u w:val="single"/>
        </w:rPr>
        <w:t>收到提供的文件后7天内</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1.6.5 现场图纸准备</w:t>
      </w:r>
    </w:p>
    <w:p>
      <w:pPr>
        <w:spacing w:line="400" w:lineRule="exact"/>
        <w:rPr>
          <w:rFonts w:ascii="宋体" w:hAnsi="宋体"/>
          <w:color w:val="auto"/>
          <w:szCs w:val="21"/>
          <w:highlight w:val="none"/>
        </w:rPr>
      </w:pPr>
      <w:r>
        <w:rPr>
          <w:rFonts w:ascii="宋体" w:hAnsi="宋体"/>
          <w:color w:val="auto"/>
          <w:szCs w:val="21"/>
          <w:highlight w:val="none"/>
        </w:rPr>
        <w:t>关于现场图纸准备的约定：</w:t>
      </w:r>
      <w:r>
        <w:rPr>
          <w:rFonts w:hint="eastAsia" w:ascii="宋体" w:hAnsi="宋体"/>
          <w:color w:val="auto"/>
          <w:szCs w:val="21"/>
          <w:highlight w:val="none"/>
        </w:rPr>
        <w:t>由承包方准备</w:t>
      </w:r>
      <w:r>
        <w:rPr>
          <w:rFonts w:ascii="宋体" w:hAnsi="宋体"/>
          <w:color w:val="auto"/>
          <w:szCs w:val="21"/>
          <w:highlight w:val="none"/>
        </w:rPr>
        <w:t>。</w:t>
      </w:r>
    </w:p>
    <w:p>
      <w:pPr>
        <w:spacing w:line="400" w:lineRule="exact"/>
        <w:rPr>
          <w:rFonts w:ascii="宋体" w:hAnsi="宋体"/>
          <w:b/>
          <w:color w:val="auto"/>
          <w:highlight w:val="none"/>
        </w:rPr>
      </w:pPr>
      <w:bookmarkStart w:id="143" w:name="_Toc373478345"/>
      <w:bookmarkStart w:id="144" w:name="_Toc395382500"/>
      <w:bookmarkStart w:id="145" w:name="_Toc389065264"/>
      <w:bookmarkStart w:id="146" w:name="_Toc373227698"/>
      <w:r>
        <w:rPr>
          <w:rFonts w:ascii="宋体" w:hAnsi="宋体"/>
          <w:b/>
          <w:color w:val="auto"/>
          <w:highlight w:val="none"/>
        </w:rPr>
        <w:t>1.7 联络</w:t>
      </w:r>
      <w:bookmarkEnd w:id="143"/>
      <w:bookmarkEnd w:id="144"/>
      <w:bookmarkEnd w:id="145"/>
      <w:bookmarkEnd w:id="146"/>
    </w:p>
    <w:p>
      <w:pPr>
        <w:spacing w:line="400" w:lineRule="exact"/>
        <w:rPr>
          <w:rFonts w:ascii="宋体" w:hAnsi="宋体"/>
          <w:color w:val="auto"/>
          <w:kern w:val="0"/>
          <w:szCs w:val="21"/>
          <w:highlight w:val="none"/>
        </w:rPr>
      </w:pPr>
      <w:r>
        <w:rPr>
          <w:rFonts w:ascii="宋体" w:hAnsi="宋体"/>
          <w:color w:val="auto"/>
          <w:kern w:val="0"/>
          <w:szCs w:val="21"/>
          <w:highlight w:val="none"/>
        </w:rPr>
        <w:t>1.7.1发包人和承包人应当在</w:t>
      </w:r>
      <w:r>
        <w:rPr>
          <w:rFonts w:hint="eastAsia" w:ascii="宋体" w:hAnsi="宋体"/>
          <w:color w:val="auto"/>
          <w:szCs w:val="21"/>
          <w:highlight w:val="none"/>
          <w:u w:val="single"/>
        </w:rPr>
        <w:t>7</w:t>
      </w:r>
      <w:r>
        <w:rPr>
          <w:rFonts w:ascii="宋体" w:hAnsi="宋体"/>
          <w:color w:val="auto"/>
          <w:kern w:val="0"/>
          <w:szCs w:val="21"/>
          <w:highlight w:val="none"/>
        </w:rPr>
        <w:t>天内将与合同有关的通知、批准、证明、证书、指示、指令、要求、请求、同意、意见、确定和决定等书面函件送达对方当事人。</w:t>
      </w:r>
    </w:p>
    <w:p>
      <w:pPr>
        <w:spacing w:line="400" w:lineRule="exact"/>
        <w:rPr>
          <w:rFonts w:ascii="宋体" w:hAnsi="宋体"/>
          <w:color w:val="auto"/>
          <w:kern w:val="0"/>
          <w:szCs w:val="21"/>
          <w:highlight w:val="none"/>
        </w:rPr>
      </w:pPr>
      <w:r>
        <w:rPr>
          <w:rFonts w:ascii="宋体" w:hAnsi="宋体"/>
          <w:color w:val="auto"/>
          <w:kern w:val="0"/>
          <w:szCs w:val="21"/>
          <w:highlight w:val="none"/>
        </w:rPr>
        <w:t>1.7.2 发包人接收文件的地点：</w:t>
      </w:r>
      <w:r>
        <w:rPr>
          <w:rFonts w:hint="eastAsia" w:ascii="宋体" w:hAnsi="宋体"/>
          <w:color w:val="auto"/>
          <w:szCs w:val="21"/>
          <w:highlight w:val="none"/>
          <w:u w:val="single"/>
        </w:rPr>
        <w:t>双方再定</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发包人指定的接收人为：</w:t>
      </w:r>
      <w:r>
        <w:rPr>
          <w:rFonts w:hint="eastAsia" w:ascii="宋体" w:hAnsi="宋体"/>
          <w:color w:val="auto"/>
          <w:szCs w:val="21"/>
          <w:highlight w:val="none"/>
          <w:u w:val="single"/>
        </w:rPr>
        <w:t>双方再定</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承包人接收文件的地点：</w:t>
      </w:r>
      <w:r>
        <w:rPr>
          <w:rFonts w:hint="eastAsia" w:ascii="宋体" w:hAnsi="宋体"/>
          <w:color w:val="auto"/>
          <w:szCs w:val="21"/>
          <w:highlight w:val="none"/>
          <w:u w:val="single"/>
        </w:rPr>
        <w:t>双方再定</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承包人指定的接收人为：</w:t>
      </w:r>
      <w:r>
        <w:rPr>
          <w:rFonts w:hint="eastAsia" w:ascii="宋体" w:hAnsi="宋体"/>
          <w:color w:val="auto"/>
          <w:szCs w:val="21"/>
          <w:highlight w:val="none"/>
          <w:u w:val="single"/>
        </w:rPr>
        <w:t>双方再定</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监理人接收文件的地点：</w:t>
      </w:r>
      <w:r>
        <w:rPr>
          <w:rFonts w:hint="eastAsia" w:ascii="宋体" w:hAnsi="宋体"/>
          <w:color w:val="auto"/>
          <w:szCs w:val="21"/>
          <w:highlight w:val="none"/>
          <w:u w:val="single"/>
        </w:rPr>
        <w:t>双方再定</w:t>
      </w:r>
      <w:r>
        <w:rPr>
          <w:rFonts w:ascii="宋体" w:hAnsi="宋体"/>
          <w:color w:val="auto"/>
          <w:kern w:val="0"/>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监理人指定的接收人为：</w:t>
      </w:r>
      <w:r>
        <w:rPr>
          <w:rFonts w:hint="eastAsia" w:ascii="宋体" w:hAnsi="宋体"/>
          <w:color w:val="auto"/>
          <w:szCs w:val="21"/>
          <w:highlight w:val="none"/>
          <w:u w:val="single"/>
        </w:rPr>
        <w:t>双方再定</w:t>
      </w:r>
      <w:r>
        <w:rPr>
          <w:rFonts w:ascii="宋体" w:hAnsi="宋体"/>
          <w:color w:val="auto"/>
          <w:kern w:val="0"/>
          <w:szCs w:val="21"/>
          <w:highlight w:val="none"/>
        </w:rPr>
        <w:t>。</w:t>
      </w:r>
    </w:p>
    <w:p>
      <w:pPr>
        <w:spacing w:line="400" w:lineRule="exact"/>
        <w:rPr>
          <w:rFonts w:ascii="宋体" w:hAnsi="宋体"/>
          <w:b/>
          <w:color w:val="auto"/>
          <w:highlight w:val="none"/>
        </w:rPr>
      </w:pPr>
      <w:bookmarkStart w:id="147" w:name="_Toc389065265"/>
      <w:bookmarkStart w:id="148" w:name="_Toc373227699"/>
      <w:bookmarkStart w:id="149" w:name="_Toc373478346"/>
      <w:bookmarkStart w:id="150" w:name="_Toc395382501"/>
      <w:r>
        <w:rPr>
          <w:rFonts w:ascii="宋体" w:hAnsi="宋体"/>
          <w:b/>
          <w:color w:val="auto"/>
          <w:highlight w:val="none"/>
        </w:rPr>
        <w:t>1.10 交通运输</w:t>
      </w:r>
      <w:bookmarkEnd w:id="147"/>
      <w:bookmarkEnd w:id="148"/>
      <w:bookmarkEnd w:id="149"/>
      <w:bookmarkEnd w:id="150"/>
    </w:p>
    <w:p>
      <w:pPr>
        <w:spacing w:line="400" w:lineRule="exact"/>
        <w:rPr>
          <w:rFonts w:ascii="宋体" w:hAnsi="宋体"/>
          <w:color w:val="auto"/>
          <w:szCs w:val="21"/>
          <w:highlight w:val="none"/>
        </w:rPr>
      </w:pPr>
      <w:r>
        <w:rPr>
          <w:rFonts w:ascii="宋体" w:hAnsi="宋体"/>
          <w:color w:val="auto"/>
          <w:szCs w:val="21"/>
          <w:highlight w:val="none"/>
        </w:rPr>
        <w:t>1</w:t>
      </w:r>
      <w:bookmarkStart w:id="151" w:name="_Toc300934943"/>
      <w:bookmarkStart w:id="152" w:name="_Toc318581155"/>
      <w:bookmarkStart w:id="153" w:name="_Toc312677986"/>
      <w:bookmarkStart w:id="154" w:name="_Toc304295521"/>
      <w:bookmarkStart w:id="155" w:name="_Toc303539100"/>
      <w:r>
        <w:rPr>
          <w:rFonts w:ascii="宋体" w:hAnsi="宋体"/>
          <w:color w:val="auto"/>
          <w:szCs w:val="21"/>
          <w:highlight w:val="none"/>
        </w:rPr>
        <w:t>.10.1 出入现场的权利</w:t>
      </w:r>
    </w:p>
    <w:p>
      <w:pPr>
        <w:spacing w:line="400" w:lineRule="exact"/>
        <w:rPr>
          <w:rFonts w:ascii="宋体" w:hAnsi="宋体"/>
          <w:color w:val="auto"/>
          <w:szCs w:val="21"/>
          <w:highlight w:val="none"/>
          <w:u w:val="single"/>
        </w:rPr>
      </w:pPr>
      <w:r>
        <w:rPr>
          <w:rFonts w:ascii="宋体" w:hAnsi="宋体"/>
          <w:color w:val="auto"/>
          <w:szCs w:val="21"/>
          <w:highlight w:val="none"/>
        </w:rPr>
        <w:t>关于出入现场的权利的约定：</w:t>
      </w:r>
      <w:r>
        <w:rPr>
          <w:rFonts w:hint="eastAsia" w:ascii="宋体" w:hAnsi="宋体"/>
          <w:color w:val="auto"/>
          <w:szCs w:val="21"/>
          <w:highlight w:val="none"/>
          <w:u w:val="single"/>
        </w:rPr>
        <w:t>与施工无关的人员需出入现场须经承发包双方同意</w:t>
      </w:r>
      <w:r>
        <w:rPr>
          <w:rFonts w:ascii="宋体" w:hAnsi="宋体"/>
          <w:color w:val="auto"/>
          <w:szCs w:val="21"/>
          <w:highlight w:val="none"/>
        </w:rPr>
        <w:t>。</w:t>
      </w:r>
    </w:p>
    <w:bookmarkEnd w:id="151"/>
    <w:bookmarkEnd w:id="152"/>
    <w:bookmarkEnd w:id="153"/>
    <w:bookmarkEnd w:id="154"/>
    <w:bookmarkEnd w:id="155"/>
    <w:p>
      <w:pPr>
        <w:spacing w:line="400" w:lineRule="exact"/>
        <w:jc w:val="left"/>
        <w:rPr>
          <w:rFonts w:ascii="宋体" w:hAnsi="宋体"/>
          <w:color w:val="auto"/>
          <w:szCs w:val="21"/>
          <w:highlight w:val="none"/>
        </w:rPr>
      </w:pPr>
      <w:r>
        <w:rPr>
          <w:rFonts w:ascii="宋体" w:hAnsi="宋体"/>
          <w:color w:val="auto"/>
          <w:szCs w:val="21"/>
          <w:highlight w:val="none"/>
        </w:rPr>
        <w:t>1</w:t>
      </w:r>
      <w:bookmarkStart w:id="156" w:name="_Toc304295522"/>
      <w:bookmarkStart w:id="157" w:name="_Toc300934944"/>
      <w:bookmarkStart w:id="158" w:name="_Toc303539101"/>
      <w:bookmarkStart w:id="159" w:name="_Toc312677987"/>
      <w:bookmarkStart w:id="160" w:name="_Toc318581156"/>
      <w:r>
        <w:rPr>
          <w:rFonts w:ascii="宋体" w:hAnsi="宋体"/>
          <w:color w:val="auto"/>
          <w:szCs w:val="21"/>
          <w:highlight w:val="none"/>
        </w:rPr>
        <w:t>.10.3 场内交通</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关于场外交通和场内交通的边界的约定：</w:t>
      </w:r>
      <w:r>
        <w:rPr>
          <w:rFonts w:hint="eastAsia" w:ascii="宋体" w:hAnsi="宋体"/>
          <w:color w:val="auto"/>
          <w:szCs w:val="21"/>
          <w:highlight w:val="none"/>
          <w:u w:val="single"/>
        </w:rPr>
        <w:t>按经批准的施工组织设计规定</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关于发包人向承包人免费提供满足工程施工需要的场内道路和交通设施的约定：</w:t>
      </w:r>
      <w:r>
        <w:rPr>
          <w:rFonts w:hint="eastAsia" w:ascii="宋体" w:hAnsi="宋体"/>
          <w:color w:val="auto"/>
          <w:szCs w:val="21"/>
          <w:highlight w:val="none"/>
          <w:u w:val="single"/>
        </w:rPr>
        <w:t>按经批准的施工组织设计规定，工程竣工后承包人须恢复</w:t>
      </w:r>
      <w:r>
        <w:rPr>
          <w:rFonts w:ascii="宋体" w:hAnsi="宋体"/>
          <w:color w:val="auto"/>
          <w:szCs w:val="21"/>
          <w:highlight w:val="none"/>
        </w:rPr>
        <w:t>。</w:t>
      </w:r>
      <w:bookmarkEnd w:id="156"/>
      <w:bookmarkEnd w:id="157"/>
      <w:bookmarkEnd w:id="158"/>
      <w:bookmarkEnd w:id="159"/>
      <w:bookmarkEnd w:id="160"/>
      <w:bookmarkStart w:id="161" w:name="_Toc318581157"/>
    </w:p>
    <w:p>
      <w:pPr>
        <w:spacing w:line="400" w:lineRule="exact"/>
        <w:jc w:val="left"/>
        <w:rPr>
          <w:rFonts w:ascii="宋体" w:hAnsi="宋体"/>
          <w:color w:val="auto"/>
          <w:szCs w:val="21"/>
          <w:highlight w:val="none"/>
        </w:rPr>
      </w:pPr>
      <w:r>
        <w:rPr>
          <w:rFonts w:ascii="宋体" w:hAnsi="宋体"/>
          <w:color w:val="auto"/>
          <w:szCs w:val="21"/>
          <w:highlight w:val="none"/>
        </w:rPr>
        <w:t>1.10.4</w:t>
      </w:r>
      <w:r>
        <w:rPr>
          <w:rFonts w:hint="eastAsia" w:ascii="宋体" w:hAnsi="宋体"/>
          <w:color w:val="auto"/>
          <w:szCs w:val="21"/>
          <w:highlight w:val="none"/>
        </w:rPr>
        <w:t xml:space="preserve"> </w:t>
      </w:r>
      <w:r>
        <w:rPr>
          <w:rFonts w:ascii="宋体" w:hAnsi="宋体"/>
          <w:color w:val="auto"/>
          <w:szCs w:val="21"/>
          <w:highlight w:val="none"/>
        </w:rPr>
        <w:t>超大件和超重件的运输</w:t>
      </w:r>
    </w:p>
    <w:p>
      <w:pPr>
        <w:spacing w:line="400" w:lineRule="exact"/>
        <w:jc w:val="left"/>
        <w:rPr>
          <w:rFonts w:ascii="宋体" w:hAnsi="宋体"/>
          <w:color w:val="auto"/>
          <w:szCs w:val="21"/>
          <w:highlight w:val="none"/>
          <w:u w:val="single"/>
        </w:rPr>
      </w:pPr>
      <w:r>
        <w:rPr>
          <w:rFonts w:ascii="宋体" w:hAnsi="宋体"/>
          <w:color w:val="auto"/>
          <w:szCs w:val="21"/>
          <w:highlight w:val="none"/>
        </w:rPr>
        <w:t>运输超大件或超重件所需的道路和桥梁临时加固改造费用和其他有关费用由</w:t>
      </w:r>
      <w:r>
        <w:rPr>
          <w:rFonts w:hint="eastAsia" w:ascii="宋体" w:hAnsi="宋体"/>
          <w:color w:val="auto"/>
          <w:szCs w:val="21"/>
          <w:highlight w:val="none"/>
          <w:u w:val="single"/>
        </w:rPr>
        <w:t>承包人</w:t>
      </w:r>
      <w:r>
        <w:rPr>
          <w:rFonts w:ascii="宋体" w:hAnsi="宋体"/>
          <w:color w:val="auto"/>
          <w:szCs w:val="21"/>
          <w:highlight w:val="none"/>
        </w:rPr>
        <w:t>承担。</w:t>
      </w:r>
    </w:p>
    <w:bookmarkEnd w:id="161"/>
    <w:p>
      <w:pPr>
        <w:spacing w:line="400" w:lineRule="exact"/>
        <w:rPr>
          <w:rFonts w:ascii="宋体" w:hAnsi="宋体"/>
          <w:b/>
          <w:color w:val="auto"/>
          <w:highlight w:val="none"/>
        </w:rPr>
      </w:pPr>
      <w:bookmarkStart w:id="162" w:name="_Toc389065266"/>
      <w:bookmarkStart w:id="163" w:name="_Toc373227700"/>
      <w:bookmarkStart w:id="164" w:name="_Toc373478347"/>
      <w:bookmarkStart w:id="165" w:name="_Toc395382502"/>
      <w:r>
        <w:rPr>
          <w:rFonts w:ascii="宋体" w:hAnsi="宋体"/>
          <w:b/>
          <w:color w:val="auto"/>
          <w:highlight w:val="none"/>
        </w:rPr>
        <w:t>1.11 知识产权</w:t>
      </w:r>
      <w:bookmarkEnd w:id="162"/>
      <w:bookmarkEnd w:id="163"/>
      <w:bookmarkEnd w:id="164"/>
      <w:bookmarkEnd w:id="165"/>
    </w:p>
    <w:p>
      <w:pPr>
        <w:spacing w:line="400" w:lineRule="exact"/>
        <w:rPr>
          <w:rFonts w:ascii="宋体" w:hAnsi="宋体"/>
          <w:color w:val="auto"/>
          <w:szCs w:val="21"/>
          <w:highlight w:val="none"/>
        </w:rPr>
      </w:pPr>
      <w:r>
        <w:rPr>
          <w:rFonts w:ascii="宋体" w:hAnsi="宋体"/>
          <w:color w:val="auto"/>
          <w:szCs w:val="21"/>
          <w:highlight w:val="none"/>
        </w:rPr>
        <w:t>1.11.1</w:t>
      </w:r>
      <w:r>
        <w:rPr>
          <w:rFonts w:hint="eastAsia" w:ascii="宋体" w:hAnsi="宋体"/>
          <w:color w:val="auto"/>
          <w:szCs w:val="21"/>
          <w:highlight w:val="none"/>
        </w:rPr>
        <w:t xml:space="preserve"> </w:t>
      </w:r>
      <w:r>
        <w:rPr>
          <w:rFonts w:ascii="宋体" w:hAnsi="宋体"/>
          <w:color w:val="auto"/>
          <w:szCs w:val="21"/>
          <w:highlight w:val="none"/>
        </w:rPr>
        <w:t>关于发包人提供给承包人的图纸、发包人为实施工程自行编制或委托编制的技术规范以及反映发包人关于合同要求或其他类似性质的文件的著作权的归属：</w:t>
      </w:r>
      <w:r>
        <w:rPr>
          <w:rFonts w:hint="eastAsia" w:ascii="宋体" w:hAnsi="宋体"/>
          <w:color w:val="auto"/>
          <w:szCs w:val="21"/>
          <w:highlight w:val="none"/>
          <w:u w:val="single"/>
        </w:rPr>
        <w:t>发包人</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关于发包人提供的上述文件的使用限制的要求：</w:t>
      </w:r>
      <w:r>
        <w:rPr>
          <w:rFonts w:hint="eastAsia" w:ascii="宋体" w:hAnsi="宋体"/>
          <w:color w:val="auto"/>
          <w:szCs w:val="21"/>
          <w:highlight w:val="none"/>
          <w:u w:val="single"/>
        </w:rPr>
        <w:t>只能用于本工地，未经发包人同意不得向第三方提供图纸</w:t>
      </w:r>
      <w:r>
        <w:rPr>
          <w:rFonts w:hint="eastAsia"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1.11.2 关于承包人为实施工程所编制文件的著作权的归属：</w:t>
      </w:r>
      <w:r>
        <w:rPr>
          <w:rFonts w:hint="eastAsia" w:ascii="宋体" w:hAnsi="宋体"/>
          <w:color w:val="auto"/>
          <w:szCs w:val="21"/>
          <w:highlight w:val="none"/>
          <w:u w:val="single"/>
        </w:rPr>
        <w:t>承包人、发包人</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关于承包人提供的上述文件的使用限制的要求：</w:t>
      </w:r>
      <w:r>
        <w:rPr>
          <w:rFonts w:hint="eastAsia" w:ascii="宋体" w:hAnsi="宋体"/>
          <w:color w:val="auto"/>
          <w:szCs w:val="21"/>
          <w:highlight w:val="none"/>
          <w:u w:val="single"/>
        </w:rPr>
        <w:t>只能用于本工地施工、保修，未经承包人同意不得向第三方提供</w:t>
      </w:r>
      <w:r>
        <w:rPr>
          <w:rFonts w:hint="eastAsia" w:ascii="宋体" w:hAnsi="宋体"/>
          <w:color w:val="auto"/>
          <w:szCs w:val="21"/>
          <w:highlight w:val="none"/>
        </w:rPr>
        <w:t>。</w:t>
      </w:r>
    </w:p>
    <w:p>
      <w:pPr>
        <w:spacing w:line="400" w:lineRule="exact"/>
        <w:rPr>
          <w:rFonts w:ascii="宋体" w:hAnsi="宋体"/>
          <w:color w:val="auto"/>
          <w:kern w:val="0"/>
          <w:szCs w:val="21"/>
          <w:highlight w:val="none"/>
        </w:rPr>
      </w:pPr>
      <w:r>
        <w:rPr>
          <w:rFonts w:ascii="宋体" w:hAnsi="宋体"/>
          <w:color w:val="auto"/>
          <w:szCs w:val="21"/>
          <w:highlight w:val="none"/>
        </w:rPr>
        <w:t>1.11.4 承包人在施工过程中所采用的专利、专有技术、技术秘密的使用费的承担方式：</w:t>
      </w:r>
      <w:r>
        <w:rPr>
          <w:rFonts w:hint="eastAsia" w:ascii="宋体" w:hAnsi="宋体"/>
          <w:color w:val="auto"/>
          <w:szCs w:val="21"/>
          <w:highlight w:val="none"/>
          <w:u w:val="single"/>
        </w:rPr>
        <w:t>承包人负责</w:t>
      </w:r>
      <w:r>
        <w:rPr>
          <w:rFonts w:ascii="宋体" w:hAnsi="宋体"/>
          <w:color w:val="auto"/>
          <w:kern w:val="0"/>
          <w:szCs w:val="21"/>
          <w:highlight w:val="none"/>
        </w:rPr>
        <w:t>。</w:t>
      </w:r>
    </w:p>
    <w:p>
      <w:pPr>
        <w:spacing w:line="400" w:lineRule="exact"/>
        <w:rPr>
          <w:rFonts w:ascii="宋体" w:hAnsi="宋体"/>
          <w:b/>
          <w:color w:val="auto"/>
          <w:highlight w:val="none"/>
        </w:rPr>
      </w:pPr>
      <w:bookmarkStart w:id="166" w:name="_Toc373227702"/>
      <w:bookmarkStart w:id="167" w:name="_Toc389065268"/>
      <w:bookmarkStart w:id="168" w:name="_Toc395382504"/>
      <w:bookmarkStart w:id="169" w:name="_Toc351203634"/>
      <w:bookmarkStart w:id="170" w:name="_Toc373478349"/>
      <w:r>
        <w:rPr>
          <w:rFonts w:ascii="宋体" w:hAnsi="宋体"/>
          <w:b/>
          <w:color w:val="auto"/>
          <w:highlight w:val="none"/>
        </w:rPr>
        <w:t>2</w:t>
      </w:r>
      <w:bookmarkStart w:id="171" w:name="_Toc297120457"/>
      <w:bookmarkStart w:id="172" w:name="_Toc297048343"/>
      <w:bookmarkStart w:id="173" w:name="_Toc292559362"/>
      <w:bookmarkStart w:id="174" w:name="_Toc296944496"/>
      <w:bookmarkStart w:id="175" w:name="_Toc292559867"/>
      <w:bookmarkStart w:id="176" w:name="_Toc296890985"/>
      <w:bookmarkStart w:id="177" w:name="_Toc296346658"/>
      <w:bookmarkStart w:id="178" w:name="_Toc296891197"/>
      <w:bookmarkStart w:id="179" w:name="_Toc296503157"/>
      <w:bookmarkStart w:id="180" w:name="_Toc296347156"/>
      <w:r>
        <w:rPr>
          <w:rFonts w:ascii="宋体" w:hAnsi="宋体"/>
          <w:b/>
          <w:color w:val="auto"/>
          <w:highlight w:val="none"/>
        </w:rPr>
        <w:t>. 发包人</w:t>
      </w:r>
      <w:bookmarkEnd w:id="166"/>
      <w:bookmarkEnd w:id="167"/>
      <w:bookmarkEnd w:id="168"/>
      <w:bookmarkEnd w:id="169"/>
      <w:bookmarkEnd w:id="170"/>
    </w:p>
    <w:bookmarkEnd w:id="171"/>
    <w:bookmarkEnd w:id="172"/>
    <w:bookmarkEnd w:id="173"/>
    <w:bookmarkEnd w:id="174"/>
    <w:bookmarkEnd w:id="175"/>
    <w:bookmarkEnd w:id="176"/>
    <w:bookmarkEnd w:id="177"/>
    <w:bookmarkEnd w:id="178"/>
    <w:bookmarkEnd w:id="179"/>
    <w:bookmarkEnd w:id="180"/>
    <w:p>
      <w:pPr>
        <w:spacing w:line="400" w:lineRule="exact"/>
        <w:rPr>
          <w:rFonts w:ascii="宋体" w:hAnsi="宋体"/>
          <w:b/>
          <w:color w:val="auto"/>
          <w:highlight w:val="none"/>
        </w:rPr>
      </w:pPr>
      <w:bookmarkStart w:id="181" w:name="_Toc389065269"/>
      <w:bookmarkStart w:id="182" w:name="_Toc395382505"/>
      <w:bookmarkStart w:id="183" w:name="_Toc373227703"/>
      <w:bookmarkStart w:id="184" w:name="_Toc373478350"/>
      <w:r>
        <w:rPr>
          <w:rFonts w:ascii="宋体" w:hAnsi="宋体"/>
          <w:b/>
          <w:color w:val="auto"/>
          <w:highlight w:val="none"/>
        </w:rPr>
        <w:t>2.2 发包人代表</w:t>
      </w:r>
      <w:bookmarkEnd w:id="181"/>
      <w:bookmarkEnd w:id="182"/>
      <w:bookmarkEnd w:id="183"/>
      <w:bookmarkEnd w:id="184"/>
    </w:p>
    <w:p>
      <w:pPr>
        <w:spacing w:line="400" w:lineRule="exact"/>
        <w:rPr>
          <w:rFonts w:ascii="宋体" w:hAnsi="宋体"/>
          <w:color w:val="auto"/>
          <w:szCs w:val="21"/>
          <w:highlight w:val="none"/>
        </w:rPr>
      </w:pPr>
      <w:r>
        <w:rPr>
          <w:rFonts w:ascii="宋体" w:hAnsi="宋体"/>
          <w:color w:val="auto"/>
          <w:szCs w:val="21"/>
          <w:highlight w:val="none"/>
        </w:rPr>
        <w:t>发包人代表：</w:t>
      </w:r>
    </w:p>
    <w:p>
      <w:pPr>
        <w:spacing w:line="400" w:lineRule="exact"/>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身份证号：</w:t>
      </w:r>
      <w:r>
        <w:rPr>
          <w:rFonts w:ascii="宋体" w:hAnsi="宋体"/>
          <w:color w:val="auto"/>
          <w:szCs w:val="21"/>
          <w:highlight w:val="none"/>
          <w:u w:val="single"/>
        </w:rPr>
        <w:t> 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职    务：</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u w:val="single"/>
        </w:rPr>
      </w:pPr>
      <w:r>
        <w:rPr>
          <w:rFonts w:ascii="宋体" w:hAnsi="宋体"/>
          <w:color w:val="auto"/>
          <w:szCs w:val="21"/>
          <w:highlight w:val="none"/>
        </w:rPr>
        <w:t>发包人对发包人代表的授权范围如下：</w:t>
      </w:r>
      <w:r>
        <w:rPr>
          <w:rFonts w:hint="eastAsia" w:ascii="宋体" w:hAnsi="宋体"/>
          <w:color w:val="auto"/>
          <w:kern w:val="0"/>
          <w:szCs w:val="21"/>
          <w:highlight w:val="none"/>
          <w:u w:val="single"/>
        </w:rPr>
        <w:t>对工程进度、质量进行监督，办理中间交工工程验收手续，负责现场签证，解决由发包人授权处理的事宜。</w:t>
      </w:r>
    </w:p>
    <w:p>
      <w:pPr>
        <w:spacing w:line="400" w:lineRule="exact"/>
        <w:rPr>
          <w:rFonts w:ascii="宋体" w:hAnsi="宋体"/>
          <w:b/>
          <w:color w:val="auto"/>
          <w:highlight w:val="none"/>
        </w:rPr>
      </w:pPr>
      <w:bookmarkStart w:id="185" w:name="_Toc373227704"/>
      <w:bookmarkStart w:id="186" w:name="_Toc373478351"/>
      <w:bookmarkStart w:id="187" w:name="_Toc389065270"/>
      <w:bookmarkStart w:id="188" w:name="_Toc395382506"/>
      <w:r>
        <w:rPr>
          <w:rFonts w:ascii="宋体" w:hAnsi="宋体"/>
          <w:b/>
          <w:color w:val="auto"/>
          <w:highlight w:val="none"/>
        </w:rPr>
        <w:t>2.4 施工现场、施工条件和基础资料的提供</w:t>
      </w:r>
      <w:bookmarkEnd w:id="185"/>
      <w:bookmarkEnd w:id="186"/>
      <w:bookmarkEnd w:id="187"/>
      <w:bookmarkEnd w:id="188"/>
    </w:p>
    <w:p>
      <w:pPr>
        <w:spacing w:line="400" w:lineRule="exact"/>
        <w:rPr>
          <w:rFonts w:ascii="宋体" w:hAnsi="宋体"/>
          <w:color w:val="auto"/>
          <w:szCs w:val="21"/>
          <w:highlight w:val="none"/>
        </w:rPr>
      </w:pPr>
      <w:r>
        <w:rPr>
          <w:rFonts w:ascii="宋体" w:hAnsi="宋体"/>
          <w:color w:val="auto"/>
          <w:szCs w:val="21"/>
          <w:highlight w:val="none"/>
        </w:rPr>
        <w:t>2.4.1 提供施工现场</w:t>
      </w:r>
    </w:p>
    <w:p>
      <w:pPr>
        <w:spacing w:line="400" w:lineRule="exact"/>
        <w:jc w:val="left"/>
        <w:rPr>
          <w:rFonts w:ascii="宋体" w:hAnsi="宋体"/>
          <w:color w:val="auto"/>
          <w:szCs w:val="21"/>
          <w:highlight w:val="none"/>
        </w:rPr>
      </w:pPr>
      <w:r>
        <w:rPr>
          <w:rFonts w:ascii="宋体" w:hAnsi="宋体"/>
          <w:color w:val="auto"/>
          <w:szCs w:val="21"/>
          <w:highlight w:val="none"/>
        </w:rPr>
        <w:t>关于发包人移交施工现场的期限要求：</w:t>
      </w:r>
      <w:r>
        <w:rPr>
          <w:rFonts w:hint="eastAsia" w:ascii="宋体" w:hAnsi="宋体"/>
          <w:color w:val="auto"/>
          <w:szCs w:val="21"/>
          <w:highlight w:val="none"/>
          <w:u w:val="single"/>
        </w:rPr>
        <w:t>施工场地应当在监理人发出的开工通知中载明的开工日期前 7 天具备施工条件并移交给承包人</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2.4.2 提供施工条件</w:t>
      </w:r>
    </w:p>
    <w:p>
      <w:pPr>
        <w:spacing w:line="400" w:lineRule="exact"/>
        <w:rPr>
          <w:rFonts w:ascii="宋体" w:hAnsi="宋体"/>
          <w:color w:val="auto"/>
          <w:szCs w:val="21"/>
          <w:highlight w:val="none"/>
          <w:u w:val="single"/>
        </w:rPr>
      </w:pPr>
      <w:r>
        <w:rPr>
          <w:rFonts w:ascii="宋体" w:hAnsi="宋体"/>
          <w:color w:val="auto"/>
          <w:szCs w:val="21"/>
          <w:highlight w:val="none"/>
        </w:rPr>
        <w:t>关于发包人应负责提供施工所需要的条件，包括：</w:t>
      </w:r>
      <w:r>
        <w:rPr>
          <w:rFonts w:hint="eastAsia" w:ascii="宋体" w:hAnsi="宋体"/>
          <w:color w:val="auto"/>
          <w:szCs w:val="21"/>
          <w:highlight w:val="none"/>
          <w:u w:val="single"/>
        </w:rPr>
        <w:t>发包人最迟应当在移交施工场地的同时向承包人提供施工场地内地下管线和地下设施等有关资料，并保证资料的真实、准确和完整，组织设计交底等</w:t>
      </w:r>
      <w:r>
        <w:rPr>
          <w:rFonts w:hint="eastAsia" w:ascii="宋体" w:hAnsi="宋体"/>
          <w:color w:val="auto"/>
          <w:szCs w:val="21"/>
          <w:highlight w:val="none"/>
        </w:rPr>
        <w:t>。</w:t>
      </w:r>
    </w:p>
    <w:p>
      <w:pPr>
        <w:spacing w:line="400" w:lineRule="exact"/>
        <w:rPr>
          <w:rFonts w:ascii="宋体" w:hAnsi="宋体"/>
          <w:b/>
          <w:color w:val="auto"/>
          <w:highlight w:val="none"/>
        </w:rPr>
      </w:pPr>
      <w:bookmarkStart w:id="189" w:name="_Toc389065271"/>
      <w:bookmarkStart w:id="190" w:name="_Toc373478352"/>
      <w:bookmarkStart w:id="191" w:name="_Toc395382507"/>
      <w:bookmarkStart w:id="192" w:name="_Toc373227705"/>
      <w:r>
        <w:rPr>
          <w:rFonts w:ascii="宋体" w:hAnsi="宋体"/>
          <w:b/>
          <w:color w:val="auto"/>
          <w:highlight w:val="none"/>
        </w:rPr>
        <w:t>2.5 资金来源证明及支付担保</w:t>
      </w:r>
      <w:bookmarkEnd w:id="189"/>
      <w:bookmarkEnd w:id="190"/>
      <w:bookmarkEnd w:id="191"/>
      <w:bookmarkEnd w:id="192"/>
    </w:p>
    <w:p>
      <w:pPr>
        <w:spacing w:line="400" w:lineRule="exact"/>
        <w:rPr>
          <w:rFonts w:ascii="宋体" w:hAnsi="宋体"/>
          <w:color w:val="auto"/>
          <w:szCs w:val="21"/>
          <w:highlight w:val="none"/>
        </w:rPr>
      </w:pPr>
      <w:r>
        <w:rPr>
          <w:rFonts w:ascii="宋体" w:hAnsi="宋体"/>
          <w:color w:val="auto"/>
          <w:szCs w:val="21"/>
          <w:highlight w:val="none"/>
        </w:rPr>
        <w:t>发包人提供资金来源证明的期限要求：</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发包人是否提供支付担保：</w:t>
      </w:r>
      <w:r>
        <w:rPr>
          <w:rFonts w:hint="eastAsia" w:ascii="宋体" w:hAnsi="宋体"/>
          <w:color w:val="auto"/>
          <w:szCs w:val="21"/>
          <w:highlight w:val="none"/>
          <w:u w:val="single"/>
        </w:rPr>
        <w:t>否</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发包人提供支付担保的形式：</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color w:val="auto"/>
          <w:szCs w:val="21"/>
          <w:highlight w:val="none"/>
          <w:u w:val="single"/>
        </w:rPr>
      </w:pPr>
      <w:r>
        <w:rPr>
          <w:rFonts w:hint="eastAsia" w:ascii="宋体" w:hAnsi="宋体"/>
          <w:color w:val="auto"/>
          <w:szCs w:val="21"/>
          <w:highlight w:val="none"/>
        </w:rPr>
        <w:t>发包人提供的支付担保格式见合同附件2。</w:t>
      </w:r>
    </w:p>
    <w:p>
      <w:pPr>
        <w:spacing w:line="400" w:lineRule="exact"/>
        <w:rPr>
          <w:rFonts w:ascii="宋体" w:hAnsi="宋体"/>
          <w:b/>
          <w:color w:val="auto"/>
          <w:highlight w:val="none"/>
        </w:rPr>
      </w:pPr>
      <w:bookmarkStart w:id="193" w:name="_Toc395382508"/>
      <w:bookmarkStart w:id="194" w:name="_Toc373478353"/>
      <w:bookmarkStart w:id="195" w:name="_Toc389065272"/>
      <w:bookmarkStart w:id="196" w:name="_Toc351203635"/>
      <w:bookmarkStart w:id="197" w:name="_Toc373227706"/>
      <w:r>
        <w:rPr>
          <w:rFonts w:ascii="宋体" w:hAnsi="宋体"/>
          <w:b/>
          <w:color w:val="auto"/>
          <w:highlight w:val="none"/>
        </w:rPr>
        <w:t>3</w:t>
      </w:r>
      <w:bookmarkStart w:id="198" w:name="_Toc296891198"/>
      <w:bookmarkStart w:id="199" w:name="_Toc296503158"/>
      <w:bookmarkStart w:id="200" w:name="_Toc292559363"/>
      <w:bookmarkStart w:id="201" w:name="_Toc296944497"/>
      <w:bookmarkStart w:id="202" w:name="_Toc297048344"/>
      <w:bookmarkStart w:id="203" w:name="_Toc292559868"/>
      <w:bookmarkStart w:id="204" w:name="_Toc296890986"/>
      <w:bookmarkStart w:id="205" w:name="_Toc296346659"/>
      <w:bookmarkStart w:id="206" w:name="_Toc297120458"/>
      <w:bookmarkStart w:id="207" w:name="_Toc296347157"/>
      <w:r>
        <w:rPr>
          <w:rFonts w:ascii="宋体" w:hAnsi="宋体"/>
          <w:b/>
          <w:color w:val="auto"/>
          <w:highlight w:val="none"/>
        </w:rPr>
        <w:t>.承包人</w:t>
      </w:r>
      <w:bookmarkEnd w:id="193"/>
      <w:bookmarkEnd w:id="194"/>
      <w:bookmarkEnd w:id="195"/>
      <w:bookmarkEnd w:id="196"/>
      <w:bookmarkEnd w:id="197"/>
    </w:p>
    <w:bookmarkEnd w:id="198"/>
    <w:bookmarkEnd w:id="199"/>
    <w:bookmarkEnd w:id="200"/>
    <w:bookmarkEnd w:id="201"/>
    <w:bookmarkEnd w:id="202"/>
    <w:bookmarkEnd w:id="203"/>
    <w:bookmarkEnd w:id="204"/>
    <w:bookmarkEnd w:id="205"/>
    <w:bookmarkEnd w:id="206"/>
    <w:bookmarkEnd w:id="207"/>
    <w:p>
      <w:pPr>
        <w:spacing w:line="400" w:lineRule="exact"/>
        <w:rPr>
          <w:rFonts w:ascii="宋体" w:hAnsi="宋体"/>
          <w:b/>
          <w:color w:val="auto"/>
          <w:highlight w:val="none"/>
        </w:rPr>
      </w:pPr>
      <w:bookmarkStart w:id="208" w:name="_Toc373478354"/>
      <w:bookmarkStart w:id="209" w:name="_Toc389065273"/>
      <w:bookmarkStart w:id="210" w:name="_Toc373227707"/>
      <w:bookmarkStart w:id="211" w:name="_Toc395382509"/>
      <w:r>
        <w:rPr>
          <w:rFonts w:ascii="宋体" w:hAnsi="宋体"/>
          <w:b/>
          <w:color w:val="auto"/>
          <w:highlight w:val="none"/>
        </w:rPr>
        <w:t>3.1 承包人的一般义务</w:t>
      </w:r>
      <w:bookmarkEnd w:id="208"/>
      <w:bookmarkEnd w:id="209"/>
      <w:bookmarkEnd w:id="210"/>
      <w:bookmarkEnd w:id="211"/>
    </w:p>
    <w:p>
      <w:pPr>
        <w:spacing w:line="400" w:lineRule="exact"/>
        <w:jc w:val="left"/>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9</w:t>
      </w:r>
      <w:r>
        <w:rPr>
          <w:rFonts w:ascii="宋体" w:hAnsi="宋体"/>
          <w:color w:val="auto"/>
          <w:kern w:val="0"/>
          <w:szCs w:val="21"/>
          <w:highlight w:val="none"/>
        </w:rPr>
        <w:t>）</w:t>
      </w:r>
      <w:r>
        <w:rPr>
          <w:rFonts w:ascii="宋体" w:hAnsi="宋体"/>
          <w:color w:val="auto"/>
          <w:szCs w:val="21"/>
          <w:highlight w:val="none"/>
        </w:rPr>
        <w:t>承包人提交的竣工资料的内</w:t>
      </w:r>
      <w:r>
        <w:rPr>
          <w:rFonts w:hint="eastAsia" w:ascii="宋体" w:hAnsi="宋体"/>
          <w:color w:val="auto"/>
          <w:szCs w:val="21"/>
          <w:highlight w:val="none"/>
        </w:rPr>
        <w:t>容</w:t>
      </w:r>
      <w:r>
        <w:rPr>
          <w:rFonts w:ascii="宋体" w:hAnsi="宋体"/>
          <w:color w:val="auto"/>
          <w:szCs w:val="21"/>
          <w:highlight w:val="none"/>
        </w:rPr>
        <w:t>：</w:t>
      </w:r>
      <w:r>
        <w:rPr>
          <w:rFonts w:ascii="宋体" w:hAnsi="宋体"/>
          <w:color w:val="auto"/>
          <w:kern w:val="0"/>
          <w:szCs w:val="21"/>
          <w:highlight w:val="none"/>
          <w:u w:val="single"/>
        </w:rPr>
        <w:t>按照法律规定和合同约定编制竣工资料，完成竣工资料立卷及归档，并按</w:t>
      </w:r>
      <w:r>
        <w:rPr>
          <w:rFonts w:hint="eastAsia" w:ascii="宋体" w:hAnsi="宋体"/>
          <w:color w:val="auto"/>
          <w:kern w:val="0"/>
          <w:szCs w:val="21"/>
          <w:highlight w:val="none"/>
          <w:u w:val="single"/>
        </w:rPr>
        <w:t>如下</w:t>
      </w:r>
      <w:r>
        <w:rPr>
          <w:rFonts w:ascii="宋体" w:hAnsi="宋体"/>
          <w:color w:val="auto"/>
          <w:kern w:val="0"/>
          <w:szCs w:val="21"/>
          <w:highlight w:val="none"/>
          <w:u w:val="single"/>
        </w:rPr>
        <w:t>约定的竣工资料的套数、内容、时间等要求移交发包人；</w:t>
      </w:r>
    </w:p>
    <w:p>
      <w:pPr>
        <w:spacing w:line="400" w:lineRule="exact"/>
        <w:jc w:val="left"/>
        <w:rPr>
          <w:rFonts w:ascii="宋体" w:hAnsi="宋体"/>
          <w:color w:val="auto"/>
          <w:szCs w:val="21"/>
          <w:highlight w:val="none"/>
          <w:u w:val="single"/>
        </w:rPr>
      </w:pPr>
      <w:r>
        <w:rPr>
          <w:rFonts w:ascii="宋体" w:hAnsi="宋体"/>
          <w:color w:val="auto"/>
          <w:szCs w:val="21"/>
          <w:highlight w:val="none"/>
        </w:rPr>
        <w:t>承包人提交的竣工资料的内容：</w:t>
      </w:r>
      <w:r>
        <w:rPr>
          <w:rFonts w:hint="eastAsia" w:ascii="宋体" w:hAnsi="宋体"/>
          <w:color w:val="auto"/>
          <w:szCs w:val="21"/>
          <w:highlight w:val="none"/>
          <w:u w:val="single"/>
        </w:rPr>
        <w:t>按竣工资料移交的有关规定办理</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承包人提交竣工资料份数：</w:t>
      </w:r>
      <w:r>
        <w:rPr>
          <w:rFonts w:hint="eastAsia" w:ascii="宋体" w:hAnsi="宋体"/>
          <w:color w:val="auto"/>
          <w:kern w:val="0"/>
          <w:szCs w:val="21"/>
          <w:highlight w:val="none"/>
          <w:u w:val="single"/>
        </w:rPr>
        <w:t>陆份</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承包人提交的竣工资料的费用承担：</w:t>
      </w:r>
      <w:r>
        <w:rPr>
          <w:rFonts w:hint="eastAsia" w:ascii="宋体" w:hAnsi="宋体"/>
          <w:color w:val="auto"/>
          <w:szCs w:val="21"/>
          <w:highlight w:val="none"/>
          <w:u w:val="single"/>
        </w:rPr>
        <w:t>由承包人承担</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承包人提交的竣工资料移交时间：</w:t>
      </w:r>
      <w:r>
        <w:rPr>
          <w:rFonts w:hint="eastAsia" w:ascii="宋体" w:hAnsi="宋体"/>
          <w:bCs/>
          <w:color w:val="auto"/>
          <w:szCs w:val="21"/>
          <w:highlight w:val="none"/>
          <w:u w:val="single"/>
        </w:rPr>
        <w:t>竣工验收正式通过后15天</w:t>
      </w:r>
      <w:r>
        <w:rPr>
          <w:rFonts w:hint="eastAsia" w:ascii="宋体" w:hAnsi="宋体"/>
          <w:color w:val="auto"/>
          <w:szCs w:val="21"/>
          <w:highlight w:val="none"/>
          <w:u w:val="single"/>
        </w:rPr>
        <w:t>内</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承包人提交的竣工资料形式要求：</w:t>
      </w:r>
      <w:r>
        <w:rPr>
          <w:rFonts w:ascii="宋体" w:hAnsi="宋体"/>
          <w:color w:val="auto"/>
          <w:szCs w:val="21"/>
          <w:highlight w:val="none"/>
          <w:u w:val="single"/>
        </w:rPr>
        <w:t xml:space="preserve"> </w:t>
      </w:r>
      <w:r>
        <w:rPr>
          <w:rFonts w:hint="eastAsia" w:ascii="宋体" w:hAnsi="宋体"/>
          <w:color w:val="auto"/>
          <w:szCs w:val="21"/>
          <w:highlight w:val="none"/>
          <w:u w:val="single"/>
        </w:rPr>
        <w:t>按竣工资料移交的有关规定办理</w:t>
      </w:r>
      <w:r>
        <w:rPr>
          <w:rFonts w:ascii="宋体" w:hAnsi="宋体"/>
          <w:color w:val="auto"/>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10</w:t>
      </w:r>
      <w:r>
        <w:rPr>
          <w:rFonts w:ascii="宋体" w:hAnsi="宋体"/>
          <w:color w:val="auto"/>
          <w:kern w:val="0"/>
          <w:szCs w:val="21"/>
          <w:highlight w:val="none"/>
        </w:rPr>
        <w:t>）承包人应履行的其他义务：</w:t>
      </w:r>
      <w:r>
        <w:rPr>
          <w:rFonts w:hint="eastAsia" w:ascii="宋体" w:hAnsi="宋体"/>
          <w:color w:val="auto"/>
          <w:szCs w:val="21"/>
          <w:highlight w:val="none"/>
          <w:u w:val="single"/>
        </w:rPr>
        <w:t xml:space="preserve"> 全面完成合同约定的有关承包人的义务</w:t>
      </w:r>
      <w:r>
        <w:rPr>
          <w:rFonts w:ascii="宋体" w:hAnsi="宋体"/>
          <w:color w:val="auto"/>
          <w:kern w:val="0"/>
          <w:szCs w:val="21"/>
          <w:highlight w:val="none"/>
        </w:rPr>
        <w:t>。</w:t>
      </w:r>
    </w:p>
    <w:p>
      <w:pPr>
        <w:spacing w:line="400" w:lineRule="exact"/>
        <w:rPr>
          <w:rFonts w:ascii="宋体" w:hAnsi="宋体"/>
          <w:b/>
          <w:color w:val="auto"/>
          <w:highlight w:val="none"/>
        </w:rPr>
      </w:pPr>
      <w:bookmarkStart w:id="212" w:name="_Toc373478355"/>
      <w:bookmarkStart w:id="213" w:name="_Toc389065274"/>
      <w:bookmarkStart w:id="214" w:name="_Toc395382510"/>
      <w:bookmarkStart w:id="215" w:name="_Toc373227708"/>
      <w:r>
        <w:rPr>
          <w:rFonts w:ascii="宋体" w:hAnsi="宋体"/>
          <w:b/>
          <w:color w:val="auto"/>
          <w:highlight w:val="none"/>
        </w:rPr>
        <w:t>3.2 项目经理</w:t>
      </w:r>
      <w:bookmarkEnd w:id="212"/>
      <w:bookmarkEnd w:id="213"/>
      <w:bookmarkEnd w:id="214"/>
      <w:bookmarkEnd w:id="215"/>
    </w:p>
    <w:p>
      <w:pPr>
        <w:spacing w:line="400" w:lineRule="exact"/>
        <w:rPr>
          <w:rFonts w:ascii="宋体" w:hAnsi="宋体"/>
          <w:color w:val="auto"/>
          <w:szCs w:val="21"/>
          <w:highlight w:val="none"/>
        </w:rPr>
      </w:pPr>
      <w:r>
        <w:rPr>
          <w:rFonts w:ascii="宋体" w:hAnsi="宋体"/>
          <w:color w:val="auto"/>
          <w:kern w:val="0"/>
          <w:szCs w:val="21"/>
          <w:highlight w:val="none"/>
        </w:rPr>
        <w:t xml:space="preserve">3.2.1 </w:t>
      </w:r>
      <w:r>
        <w:rPr>
          <w:rFonts w:ascii="宋体" w:hAnsi="宋体"/>
          <w:color w:val="auto"/>
          <w:szCs w:val="21"/>
          <w:highlight w:val="none"/>
        </w:rPr>
        <w:t>项目经理：</w:t>
      </w:r>
    </w:p>
    <w:p>
      <w:pPr>
        <w:spacing w:line="400" w:lineRule="exact"/>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身份证号：</w:t>
      </w:r>
      <w:r>
        <w:rPr>
          <w:rFonts w:ascii="宋体" w:hAnsi="宋体"/>
          <w:color w:val="auto"/>
          <w:szCs w:val="21"/>
          <w:highlight w:val="none"/>
          <w:u w:val="single"/>
        </w:rPr>
        <w:t>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建造师执业资格等级：</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建造师注册证书号：</w:t>
      </w:r>
      <w:r>
        <w:rPr>
          <w:rFonts w:ascii="宋体" w:hAnsi="宋体"/>
          <w:color w:val="auto"/>
          <w:szCs w:val="21"/>
          <w:highlight w:val="none"/>
          <w:u w:val="single"/>
        </w:rPr>
        <w:t>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建造师执业印章号：</w:t>
      </w:r>
      <w:r>
        <w:rPr>
          <w:rFonts w:ascii="宋体" w:hAnsi="宋体"/>
          <w:color w:val="auto"/>
          <w:szCs w:val="21"/>
          <w:highlight w:val="none"/>
          <w:u w:val="single"/>
        </w:rPr>
        <w:t>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安全生产考核合格证书号：</w:t>
      </w:r>
      <w:r>
        <w:rPr>
          <w:rFonts w:ascii="宋体" w:hAnsi="宋体"/>
          <w:color w:val="auto"/>
          <w:szCs w:val="21"/>
          <w:highlight w:val="none"/>
          <w:u w:val="single"/>
        </w:rPr>
        <w:t>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 xml:space="preserve">承包人对项目经理的授权范围如下：  </w:t>
      </w:r>
      <w:r>
        <w:rPr>
          <w:rFonts w:hint="eastAsia" w:ascii="宋体" w:hAnsi="宋体"/>
          <w:color w:val="auto"/>
          <w:kern w:val="0"/>
          <w:szCs w:val="21"/>
          <w:highlight w:val="none"/>
          <w:u w:val="single"/>
        </w:rPr>
        <w:t>1.对施工现场的日常施工管理，如需具体授权以授权委托书为准；2.因本工程施工必须签订其他合同或产生债权债务文书的，合同应加盖承包人在公安及工商部门登记备案的法人公章，不可由项目经理或他人私自签订</w:t>
      </w:r>
      <w:r>
        <w:rPr>
          <w:rFonts w:ascii="宋体" w:hAnsi="宋体"/>
          <w:color w:val="auto"/>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关于项目经理每月在施工现场的时间要求：</w:t>
      </w:r>
      <w:r>
        <w:rPr>
          <w:rFonts w:hint="eastAsia" w:ascii="宋体" w:hAnsi="宋体"/>
          <w:bCs/>
          <w:color w:val="auto"/>
          <w:szCs w:val="21"/>
          <w:highlight w:val="none"/>
          <w:u w:val="single"/>
        </w:rPr>
        <w:t>项目经理每月在现场时间不得少于22日历天</w:t>
      </w:r>
      <w:r>
        <w:rPr>
          <w:rFonts w:ascii="宋体" w:hAnsi="宋体"/>
          <w:color w:val="auto"/>
          <w:szCs w:val="21"/>
          <w:highlight w:val="none"/>
        </w:rPr>
        <w:t>。</w:t>
      </w:r>
    </w:p>
    <w:p>
      <w:pPr>
        <w:spacing w:line="400" w:lineRule="exact"/>
        <w:rPr>
          <w:rFonts w:ascii="宋体" w:hAnsi="宋体"/>
          <w:color w:val="auto"/>
          <w:kern w:val="0"/>
          <w:szCs w:val="21"/>
          <w:highlight w:val="none"/>
        </w:rPr>
      </w:pPr>
      <w:r>
        <w:rPr>
          <w:rFonts w:ascii="宋体" w:hAnsi="宋体"/>
          <w:color w:val="auto"/>
          <w:kern w:val="0"/>
          <w:szCs w:val="21"/>
          <w:highlight w:val="none"/>
        </w:rPr>
        <w:t>承包人未提交劳动合同，以及没有为项目经理缴纳社会保险证明的违约责任：</w:t>
      </w:r>
      <w:r>
        <w:rPr>
          <w:rFonts w:hint="eastAsia" w:ascii="宋体" w:hAnsi="宋体"/>
          <w:color w:val="auto"/>
          <w:szCs w:val="21"/>
          <w:highlight w:val="none"/>
          <w:u w:val="single"/>
        </w:rPr>
        <w:t>项目经理无权履行职责，由此影响工程进度或发生其它问题的，由承包人承担责任</w:t>
      </w:r>
      <w:r>
        <w:rPr>
          <w:rFonts w:ascii="宋体" w:hAnsi="宋体"/>
          <w:color w:val="auto"/>
          <w:szCs w:val="21"/>
          <w:highlight w:val="none"/>
        </w:rPr>
        <w:t>。</w:t>
      </w:r>
    </w:p>
    <w:p>
      <w:pPr>
        <w:spacing w:line="400" w:lineRule="exact"/>
        <w:rPr>
          <w:rFonts w:ascii="宋体" w:hAnsi="宋体"/>
          <w:color w:val="auto"/>
          <w:szCs w:val="21"/>
          <w:highlight w:val="none"/>
          <w:u w:val="single"/>
        </w:rPr>
      </w:pPr>
      <w:r>
        <w:rPr>
          <w:rFonts w:ascii="宋体" w:hAnsi="宋体"/>
          <w:color w:val="auto"/>
          <w:kern w:val="0"/>
          <w:szCs w:val="21"/>
          <w:highlight w:val="none"/>
        </w:rPr>
        <w:t>项目经理未经批准，擅自离开施工现场的违约责任：</w:t>
      </w:r>
      <w:r>
        <w:rPr>
          <w:rFonts w:hint="eastAsia" w:ascii="宋体" w:hAnsi="宋体"/>
          <w:color w:val="auto"/>
          <w:szCs w:val="21"/>
          <w:highlight w:val="none"/>
          <w:u w:val="single"/>
        </w:rPr>
        <w:t>项目经理每月在岗带班时间不得少于当月施工时间的80%。</w:t>
      </w:r>
      <w:r>
        <w:rPr>
          <w:rFonts w:ascii="宋体" w:hAnsi="宋体"/>
          <w:color w:val="auto"/>
          <w:szCs w:val="21"/>
          <w:highlight w:val="none"/>
          <w:u w:val="single"/>
        </w:rPr>
        <w:t>未经发包人同意或正当理由，项目经理</w:t>
      </w:r>
      <w:r>
        <w:rPr>
          <w:rFonts w:hint="eastAsia" w:ascii="宋体" w:hAnsi="宋体"/>
          <w:color w:val="auto"/>
          <w:szCs w:val="21"/>
          <w:highlight w:val="none"/>
          <w:u w:val="single"/>
        </w:rPr>
        <w:t>每月在岗带班时间少于当月施工时间80%的，少在岗带班一天</w:t>
      </w:r>
      <w:r>
        <w:rPr>
          <w:rFonts w:ascii="宋体" w:hAnsi="宋体"/>
          <w:color w:val="auto"/>
          <w:szCs w:val="21"/>
          <w:highlight w:val="none"/>
          <w:u w:val="single"/>
        </w:rPr>
        <w:t>，发包人有权处违约金</w:t>
      </w:r>
      <w:r>
        <w:rPr>
          <w:rFonts w:hint="eastAsia" w:ascii="宋体" w:hAnsi="宋体"/>
          <w:color w:val="auto"/>
          <w:szCs w:val="21"/>
          <w:highlight w:val="none"/>
          <w:u w:val="single"/>
        </w:rPr>
        <w:t>5000</w:t>
      </w:r>
      <w:r>
        <w:rPr>
          <w:rFonts w:ascii="宋体" w:hAnsi="宋体"/>
          <w:color w:val="auto"/>
          <w:szCs w:val="21"/>
          <w:highlight w:val="none"/>
          <w:u w:val="single"/>
        </w:rPr>
        <w:t>元/</w:t>
      </w:r>
      <w:r>
        <w:rPr>
          <w:rFonts w:hint="eastAsia" w:ascii="宋体" w:hAnsi="宋体"/>
          <w:color w:val="auto"/>
          <w:szCs w:val="21"/>
          <w:highlight w:val="none"/>
          <w:u w:val="single"/>
        </w:rPr>
        <w:t>日（</w:t>
      </w:r>
      <w:r>
        <w:rPr>
          <w:rFonts w:ascii="宋体" w:hAnsi="宋体"/>
          <w:color w:val="auto"/>
          <w:szCs w:val="21"/>
          <w:highlight w:val="none"/>
          <w:u w:val="single"/>
        </w:rPr>
        <w:t>人民币</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3.2.3 承包人擅自更换项目经理的违约责任：</w:t>
      </w:r>
      <w:r>
        <w:rPr>
          <w:rFonts w:ascii="宋体" w:hAnsi="宋体"/>
          <w:color w:val="auto"/>
          <w:szCs w:val="21"/>
          <w:highlight w:val="none"/>
          <w:u w:val="single"/>
        </w:rPr>
        <w:t>承包人项目经理必须与承包人</w:t>
      </w:r>
      <w:r>
        <w:rPr>
          <w:rFonts w:hint="eastAsia" w:ascii="宋体" w:hAnsi="宋体"/>
          <w:color w:val="auto"/>
          <w:szCs w:val="21"/>
          <w:highlight w:val="none"/>
          <w:u w:val="single"/>
        </w:rPr>
        <w:t>竞标</w:t>
      </w:r>
      <w:r>
        <w:rPr>
          <w:rFonts w:ascii="宋体" w:hAnsi="宋体"/>
          <w:color w:val="auto"/>
          <w:szCs w:val="21"/>
          <w:highlight w:val="none"/>
          <w:u w:val="single"/>
        </w:rPr>
        <w:t>时所承诺的人员一致，并在  开工日期前到任。在监理人向承包人颁发    竣工证明材料名称 前，项目经理不得同时兼任其他任何项目的项目经理</w:t>
      </w:r>
      <w:r>
        <w:rPr>
          <w:rFonts w:ascii="宋体" w:hAnsi="宋体"/>
          <w:color w:val="auto"/>
          <w:kern w:val="0"/>
          <w:szCs w:val="21"/>
          <w:highlight w:val="none"/>
          <w:u w:val="single"/>
        </w:rPr>
        <w:t>（符合桂建管</w:t>
      </w:r>
      <w:r>
        <w:rPr>
          <w:rFonts w:ascii="宋体" w:hAnsi="宋体"/>
          <w:color w:val="auto"/>
          <w:szCs w:val="21"/>
          <w:highlight w:val="none"/>
          <w:u w:val="single"/>
        </w:rPr>
        <w:t>﹝2013﹞</w:t>
      </w:r>
      <w:r>
        <w:rPr>
          <w:rFonts w:ascii="宋体" w:hAnsi="宋体"/>
          <w:color w:val="auto"/>
          <w:kern w:val="0"/>
          <w:szCs w:val="21"/>
          <w:highlight w:val="none"/>
          <w:u w:val="single"/>
        </w:rPr>
        <w:t>17号和</w:t>
      </w:r>
      <w:r>
        <w:rPr>
          <w:rFonts w:ascii="宋体" w:hAnsi="宋体"/>
          <w:color w:val="auto"/>
          <w:szCs w:val="21"/>
          <w:highlight w:val="none"/>
          <w:u w:val="single"/>
        </w:rPr>
        <w:t>桂建管﹝2014﹞25号</w:t>
      </w:r>
      <w:r>
        <w:rPr>
          <w:rFonts w:ascii="宋体" w:hAnsi="宋体"/>
          <w:color w:val="auto"/>
          <w:kern w:val="0"/>
          <w:szCs w:val="21"/>
          <w:highlight w:val="none"/>
          <w:u w:val="single"/>
        </w:rPr>
        <w:t>文除外）</w:t>
      </w:r>
      <w:r>
        <w:rPr>
          <w:rFonts w:ascii="宋体" w:hAnsi="宋体"/>
          <w:color w:val="auto"/>
          <w:szCs w:val="21"/>
          <w:highlight w:val="none"/>
          <w:u w:val="single"/>
        </w:rPr>
        <w:t>。未经发包人书面同意，承包人擅自更换项目经理的视为违约</w:t>
      </w:r>
      <w:r>
        <w:rPr>
          <w:rFonts w:hint="eastAsia" w:ascii="宋体" w:hAnsi="宋体"/>
          <w:color w:val="auto"/>
          <w:szCs w:val="21"/>
          <w:highlight w:val="none"/>
          <w:u w:val="single"/>
        </w:rPr>
        <w:t>，</w:t>
      </w:r>
      <w:r>
        <w:rPr>
          <w:rFonts w:ascii="宋体" w:hAnsi="宋体"/>
          <w:color w:val="auto"/>
          <w:szCs w:val="21"/>
          <w:highlight w:val="none"/>
          <w:u w:val="single"/>
        </w:rPr>
        <w:t>违约金处</w:t>
      </w:r>
      <w:r>
        <w:rPr>
          <w:rFonts w:hint="eastAsia" w:ascii="宋体" w:hAnsi="宋体"/>
          <w:color w:val="auto"/>
          <w:szCs w:val="21"/>
          <w:highlight w:val="none"/>
          <w:u w:val="single"/>
        </w:rPr>
        <w:t>50000</w:t>
      </w:r>
      <w:r>
        <w:rPr>
          <w:rFonts w:ascii="宋体" w:hAnsi="宋体"/>
          <w:color w:val="auto"/>
          <w:szCs w:val="21"/>
          <w:highlight w:val="none"/>
          <w:u w:val="single"/>
        </w:rPr>
        <w:t>元/人•次</w:t>
      </w:r>
      <w:r>
        <w:rPr>
          <w:rFonts w:hint="eastAsia" w:ascii="宋体" w:hAnsi="宋体"/>
          <w:color w:val="auto"/>
          <w:szCs w:val="21"/>
          <w:highlight w:val="none"/>
          <w:u w:val="single"/>
        </w:rPr>
        <w:t>（</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3.2.4 承包人无正当理由拒绝更换项目经理的违约责任：</w:t>
      </w:r>
      <w:r>
        <w:rPr>
          <w:rFonts w:ascii="宋体" w:hAnsi="宋体"/>
          <w:color w:val="auto"/>
          <w:szCs w:val="21"/>
          <w:highlight w:val="none"/>
          <w:u w:val="single"/>
        </w:rPr>
        <w:t>因承包人项目经理不称职，发包人要求调换而未及时调换的，视为承包人违约，必须向发包人交纳处罚金</w:t>
      </w:r>
      <w:r>
        <w:rPr>
          <w:rFonts w:hint="eastAsia" w:ascii="宋体" w:hAnsi="宋体"/>
          <w:color w:val="auto"/>
          <w:szCs w:val="21"/>
          <w:highlight w:val="none"/>
          <w:u w:val="single"/>
        </w:rPr>
        <w:t>50000</w:t>
      </w:r>
      <w:r>
        <w:rPr>
          <w:rFonts w:ascii="宋体" w:hAnsi="宋体"/>
          <w:color w:val="auto"/>
          <w:szCs w:val="21"/>
          <w:highlight w:val="none"/>
          <w:u w:val="single"/>
        </w:rPr>
        <w:t>元/人•次</w:t>
      </w:r>
      <w:r>
        <w:rPr>
          <w:rFonts w:hint="eastAsia" w:ascii="宋体" w:hAnsi="宋体"/>
          <w:color w:val="auto"/>
          <w:szCs w:val="21"/>
          <w:highlight w:val="none"/>
          <w:u w:val="single"/>
        </w:rPr>
        <w:t>（</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rPr>
          <w:rFonts w:ascii="宋体" w:hAnsi="宋体"/>
          <w:b/>
          <w:color w:val="auto"/>
          <w:highlight w:val="none"/>
        </w:rPr>
      </w:pPr>
      <w:bookmarkStart w:id="216" w:name="_Toc373478356"/>
      <w:bookmarkStart w:id="217" w:name="_Toc373227709"/>
      <w:bookmarkStart w:id="218" w:name="_Toc395382511"/>
      <w:bookmarkStart w:id="219" w:name="_Toc389065275"/>
      <w:r>
        <w:rPr>
          <w:rFonts w:ascii="宋体" w:hAnsi="宋体"/>
          <w:b/>
          <w:color w:val="auto"/>
          <w:highlight w:val="none"/>
        </w:rPr>
        <w:t>3.3 承包人人员</w:t>
      </w:r>
      <w:bookmarkEnd w:id="216"/>
      <w:bookmarkEnd w:id="217"/>
      <w:bookmarkEnd w:id="218"/>
      <w:bookmarkEnd w:id="219"/>
    </w:p>
    <w:p>
      <w:pPr>
        <w:spacing w:line="400" w:lineRule="exact"/>
        <w:rPr>
          <w:rFonts w:ascii="宋体" w:hAnsi="宋体"/>
          <w:color w:val="auto"/>
          <w:szCs w:val="21"/>
          <w:highlight w:val="none"/>
        </w:rPr>
      </w:pPr>
      <w:r>
        <w:rPr>
          <w:rFonts w:ascii="宋体" w:hAnsi="宋体"/>
          <w:color w:val="auto"/>
          <w:szCs w:val="21"/>
          <w:highlight w:val="none"/>
        </w:rPr>
        <w:t>3.3.1 承包人提交项目管理机构及施工现场管理人员安排报告</w:t>
      </w:r>
      <w:r>
        <w:rPr>
          <w:rFonts w:hint="eastAsia" w:ascii="宋体" w:hAnsi="宋体"/>
          <w:color w:val="auto"/>
          <w:szCs w:val="21"/>
          <w:highlight w:val="none"/>
        </w:rPr>
        <w:t>（格式见合同附件3）</w:t>
      </w:r>
      <w:r>
        <w:rPr>
          <w:rFonts w:ascii="宋体" w:hAnsi="宋体"/>
          <w:color w:val="auto"/>
          <w:szCs w:val="21"/>
          <w:highlight w:val="none"/>
        </w:rPr>
        <w:t>的期限：</w:t>
      </w:r>
      <w:r>
        <w:rPr>
          <w:rFonts w:hint="eastAsia" w:ascii="宋体" w:hAnsi="宋体"/>
          <w:color w:val="auto"/>
          <w:szCs w:val="21"/>
          <w:highlight w:val="none"/>
          <w:u w:val="single"/>
        </w:rPr>
        <w:t>合同签订后14天内</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3.3.3 承包人无正当理由拒绝撤换主要施工管理人员的违约责任：</w:t>
      </w:r>
      <w:r>
        <w:rPr>
          <w:rFonts w:ascii="宋体" w:hAnsi="宋体"/>
          <w:color w:val="auto"/>
          <w:szCs w:val="21"/>
          <w:highlight w:val="none"/>
          <w:u w:val="single"/>
        </w:rPr>
        <w:t>因承包人主要施工管理人员不称职，发包人要求调换而无正当理由拒绝撤换或未及时调换的，视为承包人违约，必须向发包人交纳处罚金，处罚标准：技术负责人</w:t>
      </w:r>
      <w:r>
        <w:rPr>
          <w:rFonts w:hint="eastAsia" w:ascii="宋体" w:hAnsi="宋体"/>
          <w:color w:val="auto"/>
          <w:szCs w:val="21"/>
          <w:highlight w:val="none"/>
          <w:u w:val="single"/>
        </w:rPr>
        <w:t>30000</w:t>
      </w:r>
      <w:r>
        <w:rPr>
          <w:rFonts w:ascii="宋体" w:hAnsi="宋体"/>
          <w:color w:val="auto"/>
          <w:szCs w:val="21"/>
          <w:highlight w:val="none"/>
          <w:u w:val="single"/>
        </w:rPr>
        <w:t>元/人•次</w:t>
      </w:r>
      <w:r>
        <w:rPr>
          <w:rFonts w:hint="eastAsia" w:ascii="宋体" w:hAnsi="宋体"/>
          <w:color w:val="auto"/>
          <w:szCs w:val="21"/>
          <w:highlight w:val="none"/>
          <w:u w:val="single"/>
        </w:rPr>
        <w:t>（</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u w:val="single"/>
        </w:rPr>
        <w:t>；专业工程师</w:t>
      </w:r>
      <w:r>
        <w:rPr>
          <w:rFonts w:hint="eastAsia" w:ascii="宋体" w:hAnsi="宋体"/>
          <w:color w:val="auto"/>
          <w:szCs w:val="21"/>
          <w:highlight w:val="none"/>
          <w:u w:val="single"/>
        </w:rPr>
        <w:t>20000</w:t>
      </w:r>
      <w:r>
        <w:rPr>
          <w:rFonts w:ascii="宋体" w:hAnsi="宋体"/>
          <w:color w:val="auto"/>
          <w:szCs w:val="21"/>
          <w:highlight w:val="none"/>
          <w:u w:val="single"/>
        </w:rPr>
        <w:t>元/人•次</w:t>
      </w:r>
      <w:r>
        <w:rPr>
          <w:rFonts w:hint="eastAsia" w:ascii="宋体" w:hAnsi="宋体"/>
          <w:color w:val="auto"/>
          <w:szCs w:val="21"/>
          <w:highlight w:val="none"/>
          <w:u w:val="single"/>
        </w:rPr>
        <w:t>（</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rPr>
          <w:rFonts w:ascii="宋体" w:hAnsi="宋体"/>
          <w:color w:val="auto"/>
          <w:szCs w:val="21"/>
          <w:highlight w:val="none"/>
          <w:u w:val="single"/>
        </w:rPr>
      </w:pPr>
      <w:r>
        <w:rPr>
          <w:rFonts w:ascii="宋体" w:hAnsi="宋体"/>
          <w:color w:val="auto"/>
          <w:szCs w:val="21"/>
          <w:highlight w:val="none"/>
        </w:rPr>
        <w:t>3.3.4 承包人主要施工管理人员离开施工现场的批准要求：</w:t>
      </w:r>
      <w:r>
        <w:rPr>
          <w:rFonts w:hint="eastAsia" w:ascii="宋体" w:hAnsi="宋体"/>
          <w:color w:val="auto"/>
          <w:szCs w:val="21"/>
          <w:highlight w:val="none"/>
          <w:u w:val="single"/>
        </w:rPr>
        <w:t>应经发包人和监理工程师批准</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3.3.5</w:t>
      </w:r>
      <w:r>
        <w:rPr>
          <w:rFonts w:hint="eastAsia" w:ascii="宋体" w:hAnsi="宋体"/>
          <w:color w:val="auto"/>
          <w:szCs w:val="21"/>
          <w:highlight w:val="none"/>
        </w:rPr>
        <w:t xml:space="preserve"> </w:t>
      </w:r>
      <w:r>
        <w:rPr>
          <w:rFonts w:ascii="宋体" w:hAnsi="宋体"/>
          <w:color w:val="auto"/>
          <w:szCs w:val="21"/>
          <w:highlight w:val="none"/>
        </w:rPr>
        <w:t>承包人擅自更换主要施工管理人员的违约责任：</w:t>
      </w:r>
      <w:r>
        <w:rPr>
          <w:rFonts w:hint="eastAsia" w:ascii="宋体" w:hAnsi="宋体"/>
          <w:color w:val="auto"/>
          <w:szCs w:val="21"/>
          <w:highlight w:val="none"/>
          <w:u w:val="single"/>
        </w:rPr>
        <w:t>项目</w:t>
      </w:r>
      <w:r>
        <w:rPr>
          <w:rFonts w:ascii="宋体" w:hAnsi="宋体"/>
          <w:color w:val="auto"/>
          <w:szCs w:val="21"/>
          <w:highlight w:val="none"/>
          <w:u w:val="single"/>
        </w:rPr>
        <w:t>技术负责人、</w:t>
      </w:r>
      <w:r>
        <w:rPr>
          <w:rFonts w:hint="eastAsia" w:ascii="宋体" w:hAnsi="宋体"/>
          <w:color w:val="auto"/>
          <w:szCs w:val="21"/>
          <w:highlight w:val="none"/>
          <w:u w:val="single"/>
        </w:rPr>
        <w:t>专职安全员及其承诺的其它在场管理人员</w:t>
      </w:r>
      <w:r>
        <w:rPr>
          <w:rFonts w:ascii="宋体" w:hAnsi="宋体"/>
          <w:color w:val="auto"/>
          <w:szCs w:val="21"/>
          <w:highlight w:val="none"/>
          <w:u w:val="single"/>
        </w:rPr>
        <w:t>未经发包人书面同意不准擅自更换，擅自更换</w:t>
      </w:r>
      <w:r>
        <w:rPr>
          <w:rFonts w:hint="eastAsia" w:ascii="宋体" w:hAnsi="宋体"/>
          <w:color w:val="auto"/>
          <w:szCs w:val="21"/>
          <w:highlight w:val="none"/>
          <w:u w:val="single"/>
        </w:rPr>
        <w:t>项目</w:t>
      </w:r>
      <w:r>
        <w:rPr>
          <w:rFonts w:ascii="宋体" w:hAnsi="宋体"/>
          <w:color w:val="auto"/>
          <w:szCs w:val="21"/>
          <w:highlight w:val="none"/>
          <w:u w:val="single"/>
        </w:rPr>
        <w:t>技术负责人处</w:t>
      </w:r>
      <w:r>
        <w:rPr>
          <w:rFonts w:hint="eastAsia" w:ascii="宋体" w:hAnsi="宋体"/>
          <w:color w:val="auto"/>
          <w:szCs w:val="21"/>
          <w:highlight w:val="none"/>
          <w:u w:val="single"/>
        </w:rPr>
        <w:t>30000</w:t>
      </w:r>
      <w:r>
        <w:rPr>
          <w:rFonts w:ascii="宋体" w:hAnsi="宋体"/>
          <w:color w:val="auto"/>
          <w:szCs w:val="21"/>
          <w:highlight w:val="none"/>
          <w:u w:val="single"/>
        </w:rPr>
        <w:t>元/人•次</w:t>
      </w:r>
      <w:r>
        <w:rPr>
          <w:rFonts w:hint="eastAsia" w:ascii="宋体" w:hAnsi="宋体"/>
          <w:color w:val="auto"/>
          <w:szCs w:val="21"/>
          <w:highlight w:val="none"/>
          <w:u w:val="single"/>
        </w:rPr>
        <w:t>（</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u w:val="single"/>
        </w:rPr>
        <w:t>违约金；擅自更换</w:t>
      </w:r>
      <w:r>
        <w:rPr>
          <w:rFonts w:hint="eastAsia" w:ascii="宋体" w:hAnsi="宋体"/>
          <w:color w:val="auto"/>
          <w:szCs w:val="21"/>
          <w:highlight w:val="none"/>
          <w:u w:val="single"/>
        </w:rPr>
        <w:t>专职安全员</w:t>
      </w:r>
      <w:r>
        <w:rPr>
          <w:rFonts w:ascii="宋体" w:hAnsi="宋体"/>
          <w:color w:val="auto"/>
          <w:szCs w:val="21"/>
          <w:highlight w:val="none"/>
          <w:u w:val="single"/>
        </w:rPr>
        <w:t>处</w:t>
      </w:r>
      <w:r>
        <w:rPr>
          <w:rFonts w:hint="eastAsia" w:ascii="宋体" w:hAnsi="宋体"/>
          <w:color w:val="auto"/>
          <w:szCs w:val="21"/>
          <w:highlight w:val="none"/>
          <w:u w:val="single"/>
        </w:rPr>
        <w:t>20000</w:t>
      </w:r>
      <w:r>
        <w:rPr>
          <w:rFonts w:ascii="宋体" w:hAnsi="宋体"/>
          <w:color w:val="auto"/>
          <w:szCs w:val="21"/>
          <w:highlight w:val="none"/>
          <w:u w:val="single"/>
        </w:rPr>
        <w:t>元/人•次</w:t>
      </w:r>
      <w:r>
        <w:rPr>
          <w:rFonts w:hint="eastAsia" w:ascii="宋体" w:hAnsi="宋体"/>
          <w:color w:val="auto"/>
          <w:szCs w:val="21"/>
          <w:highlight w:val="none"/>
          <w:u w:val="single"/>
        </w:rPr>
        <w:t>（</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u w:val="single"/>
        </w:rPr>
        <w:t>违约金</w:t>
      </w:r>
      <w:r>
        <w:rPr>
          <w:rFonts w:hint="eastAsia" w:ascii="宋体" w:hAnsi="宋体"/>
          <w:color w:val="auto"/>
          <w:szCs w:val="21"/>
          <w:highlight w:val="none"/>
          <w:u w:val="single"/>
        </w:rPr>
        <w:t>；</w:t>
      </w:r>
      <w:r>
        <w:rPr>
          <w:rFonts w:ascii="宋体" w:hAnsi="宋体"/>
          <w:color w:val="auto"/>
          <w:szCs w:val="21"/>
          <w:highlight w:val="none"/>
          <w:u w:val="single"/>
        </w:rPr>
        <w:t>擅自更换</w:t>
      </w:r>
      <w:r>
        <w:rPr>
          <w:rFonts w:hint="eastAsia" w:ascii="宋体" w:hAnsi="宋体"/>
          <w:color w:val="auto"/>
          <w:szCs w:val="21"/>
          <w:highlight w:val="none"/>
          <w:u w:val="single"/>
        </w:rPr>
        <w:t>其它在场管理人员</w:t>
      </w:r>
      <w:r>
        <w:rPr>
          <w:rFonts w:ascii="宋体" w:hAnsi="宋体"/>
          <w:color w:val="auto"/>
          <w:szCs w:val="21"/>
          <w:highlight w:val="none"/>
          <w:u w:val="single"/>
        </w:rPr>
        <w:t>处</w:t>
      </w:r>
      <w:r>
        <w:rPr>
          <w:rFonts w:hint="eastAsia" w:ascii="宋体" w:hAnsi="宋体"/>
          <w:color w:val="auto"/>
          <w:szCs w:val="21"/>
          <w:highlight w:val="none"/>
          <w:u w:val="single"/>
        </w:rPr>
        <w:t>10000</w:t>
      </w:r>
      <w:r>
        <w:rPr>
          <w:rFonts w:ascii="宋体" w:hAnsi="宋体"/>
          <w:color w:val="auto"/>
          <w:szCs w:val="21"/>
          <w:highlight w:val="none"/>
          <w:u w:val="single"/>
        </w:rPr>
        <w:t xml:space="preserve"> 元/人•次</w:t>
      </w:r>
      <w:r>
        <w:rPr>
          <w:rFonts w:hint="eastAsia" w:ascii="宋体" w:hAnsi="宋体"/>
          <w:color w:val="auto"/>
          <w:szCs w:val="21"/>
          <w:highlight w:val="none"/>
          <w:u w:val="single"/>
        </w:rPr>
        <w:t>（</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u w:val="single"/>
        </w:rPr>
        <w:t>违约金</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承包人主要施工管理人员擅自离开施工现场的违约责任：</w:t>
      </w:r>
      <w:r>
        <w:rPr>
          <w:rFonts w:ascii="宋体" w:hAnsi="宋体"/>
          <w:color w:val="auto"/>
          <w:szCs w:val="21"/>
          <w:highlight w:val="none"/>
          <w:u w:val="single"/>
        </w:rPr>
        <w:t>未经发包人同意，</w:t>
      </w:r>
      <w:r>
        <w:rPr>
          <w:rFonts w:hint="eastAsia" w:ascii="宋体" w:hAnsi="宋体"/>
          <w:color w:val="auto"/>
          <w:szCs w:val="21"/>
          <w:highlight w:val="none"/>
          <w:u w:val="single"/>
        </w:rPr>
        <w:t>项目</w:t>
      </w:r>
      <w:r>
        <w:rPr>
          <w:rFonts w:ascii="宋体" w:hAnsi="宋体"/>
          <w:color w:val="auto"/>
          <w:szCs w:val="21"/>
          <w:highlight w:val="none"/>
          <w:u w:val="single"/>
        </w:rPr>
        <w:t>技术负责人擅自离岗的，视为承包人违约，发包人有权处违约金</w:t>
      </w:r>
      <w:r>
        <w:rPr>
          <w:rFonts w:hint="eastAsia" w:ascii="宋体" w:hAnsi="宋体"/>
          <w:color w:val="auto"/>
          <w:szCs w:val="21"/>
          <w:highlight w:val="none"/>
          <w:u w:val="single"/>
        </w:rPr>
        <w:t>30000</w:t>
      </w:r>
      <w:r>
        <w:rPr>
          <w:rFonts w:ascii="宋体" w:hAnsi="宋体"/>
          <w:color w:val="auto"/>
          <w:szCs w:val="21"/>
          <w:highlight w:val="none"/>
          <w:u w:val="single"/>
        </w:rPr>
        <w:t>元/</w:t>
      </w:r>
      <w:r>
        <w:rPr>
          <w:rFonts w:hint="eastAsia" w:ascii="宋体" w:hAnsi="宋体"/>
          <w:color w:val="auto"/>
          <w:szCs w:val="21"/>
          <w:highlight w:val="none"/>
          <w:u w:val="single"/>
        </w:rPr>
        <w:t>日（</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u w:val="single"/>
        </w:rPr>
        <w:t>；未经发包人同意，</w:t>
      </w:r>
      <w:r>
        <w:rPr>
          <w:rFonts w:hint="eastAsia" w:ascii="宋体" w:hAnsi="宋体"/>
          <w:color w:val="auto"/>
          <w:szCs w:val="21"/>
          <w:highlight w:val="none"/>
          <w:u w:val="single"/>
        </w:rPr>
        <w:t>专职安全员</w:t>
      </w:r>
      <w:r>
        <w:rPr>
          <w:rFonts w:ascii="宋体" w:hAnsi="宋体"/>
          <w:color w:val="auto"/>
          <w:szCs w:val="21"/>
          <w:highlight w:val="none"/>
          <w:u w:val="single"/>
        </w:rPr>
        <w:t>擅自离岗的，视为承包人违约，发包人有权处违约金</w:t>
      </w:r>
      <w:r>
        <w:rPr>
          <w:rFonts w:hint="eastAsia" w:ascii="宋体" w:hAnsi="宋体"/>
          <w:color w:val="auto"/>
          <w:szCs w:val="21"/>
          <w:highlight w:val="none"/>
          <w:u w:val="single"/>
        </w:rPr>
        <w:t>20000</w:t>
      </w:r>
      <w:r>
        <w:rPr>
          <w:rFonts w:ascii="宋体" w:hAnsi="宋体"/>
          <w:color w:val="auto"/>
          <w:szCs w:val="21"/>
          <w:highlight w:val="none"/>
          <w:u w:val="single"/>
        </w:rPr>
        <w:t xml:space="preserve"> 元/</w:t>
      </w:r>
      <w:r>
        <w:rPr>
          <w:rFonts w:hint="eastAsia" w:ascii="宋体" w:hAnsi="宋体"/>
          <w:color w:val="auto"/>
          <w:szCs w:val="21"/>
          <w:highlight w:val="none"/>
          <w:u w:val="single"/>
        </w:rPr>
        <w:t>日（</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u w:val="single"/>
        </w:rPr>
        <w:t>；</w:t>
      </w:r>
      <w:r>
        <w:rPr>
          <w:rFonts w:hint="eastAsia" w:ascii="宋体" w:hAnsi="宋体"/>
          <w:color w:val="auto"/>
          <w:szCs w:val="21"/>
          <w:highlight w:val="none"/>
          <w:u w:val="single"/>
        </w:rPr>
        <w:t>其它在场管理人员</w:t>
      </w:r>
      <w:r>
        <w:rPr>
          <w:rFonts w:ascii="宋体" w:hAnsi="宋体"/>
          <w:color w:val="auto"/>
          <w:szCs w:val="21"/>
          <w:highlight w:val="none"/>
          <w:u w:val="single"/>
        </w:rPr>
        <w:t>擅自离岗的，视为承包人违约，发包人有权处违约金</w:t>
      </w:r>
      <w:r>
        <w:rPr>
          <w:rFonts w:hint="eastAsia" w:ascii="宋体" w:hAnsi="宋体"/>
          <w:color w:val="auto"/>
          <w:szCs w:val="21"/>
          <w:highlight w:val="none"/>
          <w:u w:val="single"/>
        </w:rPr>
        <w:t>10000</w:t>
      </w:r>
      <w:r>
        <w:rPr>
          <w:rFonts w:ascii="宋体" w:hAnsi="宋体"/>
          <w:color w:val="auto"/>
          <w:szCs w:val="21"/>
          <w:highlight w:val="none"/>
          <w:u w:val="single"/>
        </w:rPr>
        <w:t xml:space="preserve"> 元/</w:t>
      </w:r>
      <w:r>
        <w:rPr>
          <w:rFonts w:hint="eastAsia" w:ascii="宋体" w:hAnsi="宋体"/>
          <w:color w:val="auto"/>
          <w:szCs w:val="21"/>
          <w:highlight w:val="none"/>
          <w:u w:val="single"/>
        </w:rPr>
        <w:t>日（</w:t>
      </w:r>
      <w:r>
        <w:rPr>
          <w:rFonts w:ascii="宋体" w:hAnsi="宋体"/>
          <w:color w:val="auto"/>
          <w:szCs w:val="21"/>
          <w:highlight w:val="none"/>
          <w:u w:val="single"/>
        </w:rPr>
        <w:t>人民币</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rPr>
          <w:rFonts w:ascii="宋体" w:hAnsi="宋体"/>
          <w:b/>
          <w:color w:val="auto"/>
          <w:highlight w:val="none"/>
        </w:rPr>
      </w:pPr>
      <w:bookmarkStart w:id="220" w:name="_Toc389065276"/>
      <w:bookmarkStart w:id="221" w:name="_Toc373227710"/>
      <w:bookmarkStart w:id="222" w:name="_Toc373478357"/>
      <w:bookmarkStart w:id="223" w:name="_Toc395382512"/>
      <w:r>
        <w:rPr>
          <w:rFonts w:ascii="宋体" w:hAnsi="宋体"/>
          <w:b/>
          <w:color w:val="auto"/>
          <w:highlight w:val="none"/>
        </w:rPr>
        <w:t>3</w:t>
      </w:r>
      <w:bookmarkStart w:id="224" w:name="_Toc296346660"/>
      <w:bookmarkStart w:id="225" w:name="_Toc300934945"/>
      <w:bookmarkStart w:id="226" w:name="_Toc297216151"/>
      <w:bookmarkStart w:id="227" w:name="_Toc296503159"/>
      <w:bookmarkStart w:id="228" w:name="_Toc303539102"/>
      <w:bookmarkStart w:id="229" w:name="_Toc297048345"/>
      <w:bookmarkStart w:id="230" w:name="_Toc297123492"/>
      <w:bookmarkStart w:id="231" w:name="_Toc296890987"/>
      <w:bookmarkStart w:id="232" w:name="_Toc296891199"/>
      <w:bookmarkStart w:id="233" w:name="_Toc312677988"/>
      <w:bookmarkStart w:id="234" w:name="_Toc304295523"/>
      <w:bookmarkStart w:id="235" w:name="_Toc296347158"/>
      <w:bookmarkStart w:id="236" w:name="_Toc297120459"/>
      <w:bookmarkStart w:id="237" w:name="_Toc292559364"/>
      <w:bookmarkStart w:id="238" w:name="_Toc296944498"/>
      <w:bookmarkStart w:id="239" w:name="_Toc292559869"/>
      <w:r>
        <w:rPr>
          <w:rFonts w:ascii="宋体" w:hAnsi="宋体"/>
          <w:b/>
          <w:color w:val="auto"/>
          <w:highlight w:val="none"/>
        </w:rPr>
        <w:t>.5 分包</w:t>
      </w:r>
      <w:bookmarkEnd w:id="220"/>
      <w:bookmarkEnd w:id="221"/>
      <w:bookmarkEnd w:id="222"/>
      <w:bookmarkEnd w:id="223"/>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Pr>
        <w:spacing w:line="400" w:lineRule="exact"/>
        <w:rPr>
          <w:rFonts w:ascii="宋体" w:hAnsi="宋体"/>
          <w:color w:val="auto"/>
          <w:szCs w:val="21"/>
          <w:highlight w:val="none"/>
        </w:rPr>
      </w:pPr>
      <w:r>
        <w:rPr>
          <w:rFonts w:ascii="宋体" w:hAnsi="宋体"/>
          <w:color w:val="auto"/>
          <w:szCs w:val="21"/>
          <w:highlight w:val="none"/>
        </w:rPr>
        <w:t>3</w:t>
      </w:r>
      <w:bookmarkStart w:id="240" w:name="_Toc303539103"/>
      <w:bookmarkStart w:id="241" w:name="_Toc292559870"/>
      <w:bookmarkStart w:id="242" w:name="_Toc297048346"/>
      <w:bookmarkStart w:id="243" w:name="_Toc296346661"/>
      <w:bookmarkStart w:id="244" w:name="_Toc297123493"/>
      <w:bookmarkStart w:id="245" w:name="_Toc300934946"/>
      <w:bookmarkStart w:id="246" w:name="_Toc296944499"/>
      <w:bookmarkStart w:id="247" w:name="_Toc296503160"/>
      <w:bookmarkStart w:id="248" w:name="_Toc296890988"/>
      <w:bookmarkStart w:id="249" w:name="_Toc318581158"/>
      <w:bookmarkStart w:id="250" w:name="_Toc296891200"/>
      <w:bookmarkStart w:id="251" w:name="_Toc312677989"/>
      <w:bookmarkStart w:id="252" w:name="_Toc297216152"/>
      <w:bookmarkStart w:id="253" w:name="_Toc296347159"/>
      <w:bookmarkStart w:id="254" w:name="_Toc304295524"/>
      <w:bookmarkStart w:id="255" w:name="_Toc297120460"/>
      <w:bookmarkStart w:id="256" w:name="_Toc292559365"/>
      <w:r>
        <w:rPr>
          <w:rFonts w:ascii="宋体" w:hAnsi="宋体"/>
          <w:color w:val="auto"/>
          <w:szCs w:val="21"/>
          <w:highlight w:val="none"/>
        </w:rPr>
        <w:t>.5.1 分包的一般约定</w:t>
      </w:r>
    </w:p>
    <w:p>
      <w:pPr>
        <w:spacing w:line="400" w:lineRule="exact"/>
        <w:jc w:val="left"/>
        <w:rPr>
          <w:rFonts w:ascii="宋体" w:hAnsi="宋体"/>
          <w:color w:val="auto"/>
          <w:szCs w:val="21"/>
          <w:highlight w:val="none"/>
        </w:rPr>
      </w:pPr>
      <w:r>
        <w:rPr>
          <w:rFonts w:ascii="宋体" w:hAnsi="宋体"/>
          <w:color w:val="auto"/>
          <w:szCs w:val="21"/>
          <w:highlight w:val="none"/>
        </w:rPr>
        <w:t>禁止分包的工程包括：</w:t>
      </w:r>
      <w:r>
        <w:rPr>
          <w:rFonts w:hint="eastAsia" w:ascii="宋体" w:hAnsi="宋体"/>
          <w:color w:val="auto"/>
          <w:szCs w:val="21"/>
          <w:highlight w:val="none"/>
          <w:u w:val="single"/>
        </w:rPr>
        <w:t>本工程不得分包</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主体结构、关键性工作的范围：</w:t>
      </w:r>
      <w:r>
        <w:rPr>
          <w:rFonts w:hint="eastAsia" w:ascii="宋体" w:hAnsi="宋体"/>
          <w:color w:val="auto"/>
          <w:szCs w:val="21"/>
          <w:highlight w:val="none"/>
          <w:u w:val="single"/>
        </w:rPr>
        <w:t xml:space="preserve">/  </w:t>
      </w:r>
      <w:r>
        <w:rPr>
          <w:rFonts w:ascii="宋体" w:hAnsi="宋体"/>
          <w:color w:val="auto"/>
          <w:szCs w:val="21"/>
          <w:highlight w:val="none"/>
        </w:rPr>
        <w: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spacing w:line="400" w:lineRule="exact"/>
        <w:jc w:val="left"/>
        <w:rPr>
          <w:rFonts w:ascii="宋体" w:hAnsi="宋体"/>
          <w:color w:val="auto"/>
          <w:szCs w:val="21"/>
          <w:highlight w:val="none"/>
        </w:rPr>
      </w:pPr>
      <w:r>
        <w:rPr>
          <w:rFonts w:ascii="宋体" w:hAnsi="宋体"/>
          <w:color w:val="auto"/>
          <w:szCs w:val="21"/>
          <w:highlight w:val="none"/>
        </w:rPr>
        <w:t>3</w:t>
      </w:r>
      <w:bookmarkStart w:id="257" w:name="_Toc318581159"/>
      <w:bookmarkStart w:id="258" w:name="_Toc312677990"/>
      <w:r>
        <w:rPr>
          <w:rFonts w:ascii="宋体" w:hAnsi="宋体"/>
          <w:color w:val="auto"/>
          <w:szCs w:val="21"/>
          <w:highlight w:val="none"/>
        </w:rPr>
        <w:t>.5.2</w:t>
      </w:r>
      <w:r>
        <w:rPr>
          <w:rFonts w:hint="eastAsia" w:ascii="宋体" w:hAnsi="宋体"/>
          <w:color w:val="auto"/>
          <w:szCs w:val="21"/>
          <w:highlight w:val="none"/>
        </w:rPr>
        <w:t xml:space="preserve"> </w:t>
      </w:r>
      <w:r>
        <w:rPr>
          <w:rFonts w:ascii="宋体" w:hAnsi="宋体"/>
          <w:color w:val="auto"/>
          <w:szCs w:val="21"/>
          <w:highlight w:val="none"/>
        </w:rPr>
        <w:t>分包的确定</w:t>
      </w:r>
    </w:p>
    <w:p>
      <w:pPr>
        <w:spacing w:line="400" w:lineRule="exact"/>
        <w:rPr>
          <w:rFonts w:ascii="宋体" w:hAnsi="宋体"/>
          <w:color w:val="auto"/>
          <w:szCs w:val="21"/>
          <w:highlight w:val="none"/>
          <w:u w:val="single"/>
        </w:rPr>
      </w:pPr>
      <w:r>
        <w:rPr>
          <w:rFonts w:ascii="宋体" w:hAnsi="宋体"/>
          <w:color w:val="auto"/>
          <w:szCs w:val="21"/>
          <w:highlight w:val="none"/>
        </w:rPr>
        <w:t>允许分包的专业工程包括：</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其他关于分包的约定：</w:t>
      </w:r>
    </w:p>
    <w:p>
      <w:pPr>
        <w:spacing w:line="400" w:lineRule="exac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r>
        <w:rPr>
          <w:rFonts w:hint="eastAsia" w:ascii="宋体" w:hAnsi="宋体"/>
          <w:color w:val="auto"/>
          <w:szCs w:val="21"/>
          <w:highlight w:val="none"/>
        </w:rPr>
        <w:t>本项目分包人主要施工管理人员名单详见合同附件4。</w:t>
      </w:r>
    </w:p>
    <w:p>
      <w:pPr>
        <w:spacing w:line="400" w:lineRule="exact"/>
        <w:rPr>
          <w:rFonts w:ascii="宋体" w:hAnsi="宋体"/>
          <w:color w:val="auto"/>
          <w:szCs w:val="21"/>
          <w:highlight w:val="none"/>
          <w:u w:val="singl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在相关分包合同签订并报送有关建设行政主管部门备案后7天内，承包人应当将一份副本提交给监理人，承包人应保障分包工作不得再次分包。</w:t>
      </w:r>
    </w:p>
    <w:p>
      <w:pPr>
        <w:spacing w:line="400" w:lineRule="exac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未经承包人和监理人审批同意的分包工程和分包人，承包人有权拒绝验收分包工程和支付相应款项，由此引起的发包人费用增加和(或)延误的工期由发包人承担。</w:t>
      </w:r>
    </w:p>
    <w:p>
      <w:pPr>
        <w:pStyle w:val="25"/>
        <w:spacing w:line="400" w:lineRule="exact"/>
        <w:rPr>
          <w:rFonts w:hAnsi="宋体"/>
          <w:color w:val="auto"/>
          <w:szCs w:val="21"/>
          <w:highlight w:val="none"/>
        </w:rPr>
      </w:pPr>
      <w:r>
        <w:rPr>
          <w:rFonts w:hint="eastAsia" w:hAnsi="宋体"/>
          <w:color w:val="auto"/>
          <w:szCs w:val="21"/>
          <w:highlight w:val="none"/>
        </w:rPr>
        <w:t>（</w:t>
      </w:r>
      <w:r>
        <w:rPr>
          <w:rFonts w:hAnsi="宋体"/>
          <w:color w:val="auto"/>
          <w:szCs w:val="21"/>
          <w:highlight w:val="none"/>
        </w:rPr>
        <w:t>4</w:t>
      </w:r>
      <w:r>
        <w:rPr>
          <w:rFonts w:hint="eastAsia" w:hAnsi="宋体"/>
          <w:color w:val="auto"/>
          <w:szCs w:val="21"/>
          <w:highlight w:val="none"/>
        </w:rPr>
        <w:t>）</w:t>
      </w:r>
      <w:r>
        <w:rPr>
          <w:rFonts w:hAnsi="宋体"/>
          <w:color w:val="auto"/>
          <w:szCs w:val="21"/>
          <w:highlight w:val="none"/>
        </w:rPr>
        <w:t>承包人有以下情况之一者，发包人有权解除合同，并视情况扣除其履约保证金：</w:t>
      </w:r>
    </w:p>
    <w:p>
      <w:pPr>
        <w:pStyle w:val="25"/>
        <w:spacing w:line="400" w:lineRule="exact"/>
        <w:rPr>
          <w:rFonts w:hAnsi="宋体"/>
          <w:color w:val="auto"/>
          <w:szCs w:val="21"/>
          <w:highlight w:val="none"/>
        </w:rPr>
      </w:pPr>
      <w:r>
        <w:rPr>
          <w:rFonts w:hAnsi="宋体"/>
          <w:color w:val="auto"/>
          <w:szCs w:val="21"/>
          <w:highlight w:val="none"/>
        </w:rPr>
        <w:t>①个人承包工程，包括本人单位及外单位人员承包，发包人不承认其个人拥有任何资质等级及营业许可资格。没收全部履约保证金。</w:t>
      </w:r>
    </w:p>
    <w:p>
      <w:pPr>
        <w:pStyle w:val="25"/>
        <w:spacing w:line="400" w:lineRule="exact"/>
        <w:rPr>
          <w:rFonts w:hAnsi="宋体"/>
          <w:color w:val="auto"/>
          <w:szCs w:val="21"/>
          <w:highlight w:val="none"/>
        </w:rPr>
      </w:pPr>
      <w:r>
        <w:rPr>
          <w:rFonts w:hAnsi="宋体"/>
          <w:color w:val="auto"/>
          <w:szCs w:val="21"/>
          <w:highlight w:val="none"/>
        </w:rPr>
        <w:t>②几个人联合承包工程，就地组织暗分包队伍，不具备完成本工程的技术、机械能力，被发包人判定为没有能力履行的承包人。没收全部履约保证金。</w:t>
      </w:r>
    </w:p>
    <w:p>
      <w:pPr>
        <w:pStyle w:val="25"/>
        <w:spacing w:line="400" w:lineRule="exact"/>
        <w:rPr>
          <w:rFonts w:hAnsi="宋体"/>
          <w:color w:val="auto"/>
          <w:szCs w:val="21"/>
          <w:highlight w:val="none"/>
        </w:rPr>
      </w:pPr>
      <w:r>
        <w:rPr>
          <w:rFonts w:hAnsi="宋体"/>
          <w:color w:val="auto"/>
          <w:szCs w:val="21"/>
          <w:highlight w:val="none"/>
        </w:rPr>
        <w:t>③就地转包全部的工程，以谋取高额转让费、管理费的承包人。没收全部履约保证金。</w:t>
      </w:r>
    </w:p>
    <w:p>
      <w:pPr>
        <w:spacing w:line="400" w:lineRule="exact"/>
        <w:rPr>
          <w:rFonts w:ascii="宋体" w:hAnsi="宋体"/>
          <w:color w:val="auto"/>
          <w:szCs w:val="21"/>
          <w:highlight w:val="none"/>
          <w:u w:val="single"/>
        </w:rPr>
      </w:pPr>
      <w:r>
        <w:rPr>
          <w:rFonts w:ascii="宋体" w:hAnsi="宋体"/>
          <w:color w:val="auto"/>
          <w:szCs w:val="21"/>
          <w:highlight w:val="none"/>
        </w:rPr>
        <w:t>④承包人有部分分包现象（其中包括冒充承包人下属单位的挂勾单位，凭口头协议参与施工的分包人及其他暗分包个体户），一经发现核实，发包人将采取驱逐该暗分包人措施。没收全部履约保证金。</w:t>
      </w:r>
    </w:p>
    <w:p>
      <w:pPr>
        <w:spacing w:line="400" w:lineRule="exact"/>
        <w:rPr>
          <w:rFonts w:ascii="宋体" w:hAnsi="宋体"/>
          <w:color w:val="auto"/>
          <w:szCs w:val="21"/>
          <w:highlight w:val="none"/>
        </w:rPr>
      </w:pPr>
      <w:r>
        <w:rPr>
          <w:rFonts w:ascii="宋体" w:hAnsi="宋体"/>
          <w:color w:val="auto"/>
          <w:szCs w:val="21"/>
          <w:highlight w:val="none"/>
        </w:rPr>
        <w:t>3.5.4 分包合同价款</w:t>
      </w:r>
    </w:p>
    <w:bookmarkEnd w:id="257"/>
    <w:bookmarkEnd w:id="258"/>
    <w:p>
      <w:pPr>
        <w:spacing w:line="400" w:lineRule="exact"/>
        <w:rPr>
          <w:rFonts w:ascii="宋体" w:hAnsi="宋体"/>
          <w:color w:val="auto"/>
          <w:szCs w:val="21"/>
          <w:highlight w:val="none"/>
        </w:rPr>
      </w:pPr>
      <w:bookmarkStart w:id="259" w:name="_Toc373227711"/>
      <w:bookmarkStart w:id="260" w:name="_Toc373478358"/>
      <w:bookmarkStart w:id="261" w:name="_Toc389065277"/>
      <w:r>
        <w:rPr>
          <w:rFonts w:ascii="宋体" w:hAnsi="宋体"/>
          <w:color w:val="auto"/>
          <w:szCs w:val="21"/>
          <w:highlight w:val="none"/>
        </w:rPr>
        <w:t>关于分包合同价款支付的约定：</w:t>
      </w:r>
      <w:r>
        <w:rPr>
          <w:rFonts w:ascii="宋体" w:hAnsi="宋体"/>
          <w:color w:val="auto"/>
          <w:szCs w:val="21"/>
          <w:highlight w:val="none"/>
          <w:u w:val="single"/>
        </w:rPr>
        <w:t>分包工程价款由承包人与分包人</w:t>
      </w:r>
      <w:r>
        <w:rPr>
          <w:rFonts w:hint="eastAsia" w:ascii="宋体" w:hAnsi="宋体"/>
          <w:color w:val="auto"/>
          <w:szCs w:val="21"/>
          <w:highlight w:val="none"/>
          <w:u w:val="single"/>
        </w:rPr>
        <w:t>（</w:t>
      </w:r>
      <w:r>
        <w:rPr>
          <w:rFonts w:ascii="宋体" w:hAnsi="宋体"/>
          <w:color w:val="auto"/>
          <w:szCs w:val="21"/>
          <w:highlight w:val="none"/>
          <w:u w:val="single"/>
        </w:rPr>
        <w:t>包括专业分包人</w:t>
      </w:r>
      <w:r>
        <w:rPr>
          <w:rFonts w:hint="eastAsia" w:ascii="宋体" w:hAnsi="宋体"/>
          <w:color w:val="auto"/>
          <w:szCs w:val="21"/>
          <w:highlight w:val="none"/>
          <w:u w:val="single"/>
        </w:rPr>
        <w:t>）</w:t>
      </w:r>
      <w:r>
        <w:rPr>
          <w:rFonts w:ascii="宋体" w:hAnsi="宋体"/>
          <w:color w:val="auto"/>
          <w:szCs w:val="21"/>
          <w:highlight w:val="none"/>
          <w:u w:val="single"/>
        </w:rPr>
        <w:t>结算。发包人未经承包人同意不得以任何形式向分包人</w:t>
      </w:r>
      <w:r>
        <w:rPr>
          <w:rFonts w:hint="eastAsia" w:ascii="宋体" w:hAnsi="宋体"/>
          <w:color w:val="auto"/>
          <w:szCs w:val="21"/>
          <w:highlight w:val="none"/>
          <w:u w:val="single"/>
        </w:rPr>
        <w:t>（</w:t>
      </w:r>
      <w:r>
        <w:rPr>
          <w:rFonts w:ascii="宋体" w:hAnsi="宋体"/>
          <w:color w:val="auto"/>
          <w:szCs w:val="21"/>
          <w:highlight w:val="none"/>
          <w:u w:val="single"/>
        </w:rPr>
        <w:t>包括专业分包人</w:t>
      </w:r>
      <w:r>
        <w:rPr>
          <w:rFonts w:hint="eastAsia" w:ascii="宋体" w:hAnsi="宋体"/>
          <w:color w:val="auto"/>
          <w:szCs w:val="21"/>
          <w:highlight w:val="none"/>
          <w:u w:val="single"/>
        </w:rPr>
        <w:t>）</w:t>
      </w:r>
      <w:r>
        <w:rPr>
          <w:rFonts w:ascii="宋体" w:hAnsi="宋体"/>
          <w:color w:val="auto"/>
          <w:szCs w:val="21"/>
          <w:highlight w:val="none"/>
          <w:u w:val="single"/>
        </w:rPr>
        <w:t>支付相关分包合同项下的任何工程款项。因发包人未经承包人同意直接向分包人</w:t>
      </w:r>
      <w:r>
        <w:rPr>
          <w:rFonts w:hint="eastAsia" w:ascii="宋体" w:hAnsi="宋体"/>
          <w:color w:val="auto"/>
          <w:szCs w:val="21"/>
          <w:highlight w:val="none"/>
          <w:u w:val="single"/>
        </w:rPr>
        <w:t>（</w:t>
      </w:r>
      <w:r>
        <w:rPr>
          <w:rFonts w:ascii="宋体" w:hAnsi="宋体"/>
          <w:color w:val="auto"/>
          <w:szCs w:val="21"/>
          <w:highlight w:val="none"/>
          <w:u w:val="single"/>
        </w:rPr>
        <w:t>包括专业分包人</w:t>
      </w:r>
      <w:r>
        <w:rPr>
          <w:rFonts w:hint="eastAsia" w:ascii="宋体" w:hAnsi="宋体"/>
          <w:color w:val="auto"/>
          <w:szCs w:val="21"/>
          <w:highlight w:val="none"/>
          <w:u w:val="single"/>
        </w:rPr>
        <w:t>）</w:t>
      </w:r>
      <w:r>
        <w:rPr>
          <w:rFonts w:ascii="宋体" w:hAnsi="宋体"/>
          <w:color w:val="auto"/>
          <w:szCs w:val="21"/>
          <w:highlight w:val="none"/>
          <w:u w:val="single"/>
        </w:rPr>
        <w:t>支付相关分包合同项下的任何工程款项而影响承包人工作的，所造成的承包人费用增加和</w:t>
      </w:r>
      <w:r>
        <w:rPr>
          <w:rFonts w:hint="eastAsia" w:ascii="宋体" w:hAnsi="宋体"/>
          <w:color w:val="auto"/>
          <w:szCs w:val="21"/>
          <w:highlight w:val="none"/>
          <w:u w:val="single"/>
        </w:rPr>
        <w:t>（</w:t>
      </w:r>
      <w:r>
        <w:rPr>
          <w:rFonts w:ascii="宋体" w:hAnsi="宋体"/>
          <w:color w:val="auto"/>
          <w:szCs w:val="21"/>
          <w:highlight w:val="none"/>
          <w:u w:val="single"/>
        </w:rPr>
        <w:t>或</w:t>
      </w:r>
      <w:r>
        <w:rPr>
          <w:rFonts w:hint="eastAsia" w:ascii="宋体" w:hAnsi="宋体"/>
          <w:color w:val="auto"/>
          <w:szCs w:val="21"/>
          <w:highlight w:val="none"/>
          <w:u w:val="single"/>
        </w:rPr>
        <w:t>）</w:t>
      </w:r>
      <w:r>
        <w:rPr>
          <w:rFonts w:ascii="宋体" w:hAnsi="宋体"/>
          <w:color w:val="auto"/>
          <w:szCs w:val="21"/>
          <w:highlight w:val="none"/>
          <w:u w:val="single"/>
        </w:rPr>
        <w:t>延误的工期由发包人承担</w:t>
      </w:r>
      <w:r>
        <w:rPr>
          <w:rFonts w:ascii="宋体" w:hAnsi="宋体"/>
          <w:color w:val="auto"/>
          <w:szCs w:val="21"/>
          <w:highlight w:val="none"/>
        </w:rPr>
        <w:t>。</w:t>
      </w:r>
    </w:p>
    <w:p>
      <w:pPr>
        <w:spacing w:line="400" w:lineRule="exact"/>
        <w:rPr>
          <w:rFonts w:ascii="宋体" w:hAnsi="宋体"/>
          <w:b/>
          <w:color w:val="auto"/>
          <w:highlight w:val="none"/>
        </w:rPr>
      </w:pPr>
      <w:bookmarkStart w:id="262" w:name="_Toc395382513"/>
      <w:r>
        <w:rPr>
          <w:rFonts w:ascii="宋体" w:hAnsi="宋体"/>
          <w:b/>
          <w:color w:val="auto"/>
          <w:highlight w:val="none"/>
        </w:rPr>
        <w:t>3.6 工程照管与成品、半成品保护</w:t>
      </w:r>
      <w:bookmarkEnd w:id="259"/>
      <w:bookmarkEnd w:id="260"/>
      <w:bookmarkEnd w:id="261"/>
      <w:bookmarkEnd w:id="262"/>
    </w:p>
    <w:p>
      <w:pPr>
        <w:spacing w:line="400" w:lineRule="exact"/>
        <w:rPr>
          <w:rFonts w:ascii="宋体" w:hAnsi="宋体"/>
          <w:color w:val="auto"/>
          <w:kern w:val="0"/>
          <w:szCs w:val="21"/>
          <w:highlight w:val="none"/>
          <w:u w:val="single"/>
        </w:rPr>
      </w:pPr>
      <w:r>
        <w:rPr>
          <w:rFonts w:ascii="宋体" w:hAnsi="宋体"/>
          <w:color w:val="auto"/>
          <w:kern w:val="0"/>
          <w:szCs w:val="21"/>
          <w:highlight w:val="none"/>
        </w:rPr>
        <w:t>承包人负责照管工程及工程相关的材料、工程设备的起始时间：</w:t>
      </w:r>
      <w:r>
        <w:rPr>
          <w:rFonts w:hint="eastAsia" w:ascii="宋体" w:hAnsi="宋体"/>
          <w:color w:val="auto"/>
          <w:kern w:val="0"/>
          <w:szCs w:val="21"/>
          <w:highlight w:val="none"/>
          <w:u w:val="single"/>
        </w:rPr>
        <w:t>从承包人进场到工程竣工验收合格并交付承包人后</w:t>
      </w:r>
      <w:r>
        <w:rPr>
          <w:rFonts w:ascii="宋体" w:hAnsi="宋体"/>
          <w:color w:val="auto"/>
          <w:kern w:val="0"/>
          <w:szCs w:val="21"/>
          <w:highlight w:val="none"/>
        </w:rPr>
        <w:t>。</w:t>
      </w:r>
    </w:p>
    <w:p>
      <w:pPr>
        <w:spacing w:line="400" w:lineRule="exact"/>
        <w:rPr>
          <w:rFonts w:ascii="宋体" w:hAnsi="宋体"/>
          <w:b/>
          <w:color w:val="auto"/>
          <w:highlight w:val="none"/>
        </w:rPr>
      </w:pPr>
      <w:bookmarkStart w:id="263" w:name="_Toc373478359"/>
      <w:bookmarkStart w:id="264" w:name="_Toc389065278"/>
      <w:bookmarkStart w:id="265" w:name="_Toc373227712"/>
      <w:bookmarkStart w:id="266" w:name="_Toc395382514"/>
      <w:r>
        <w:rPr>
          <w:rFonts w:ascii="宋体" w:hAnsi="宋体"/>
          <w:b/>
          <w:color w:val="auto"/>
          <w:highlight w:val="none"/>
        </w:rPr>
        <w:t>3.7 履约</w:t>
      </w:r>
      <w:bookmarkEnd w:id="263"/>
      <w:bookmarkEnd w:id="264"/>
      <w:bookmarkEnd w:id="265"/>
      <w:r>
        <w:rPr>
          <w:rFonts w:hint="eastAsia" w:ascii="宋体" w:hAnsi="宋体"/>
          <w:b/>
          <w:color w:val="auto"/>
          <w:highlight w:val="none"/>
        </w:rPr>
        <w:t>保证金</w:t>
      </w:r>
      <w:bookmarkEnd w:id="266"/>
    </w:p>
    <w:p>
      <w:pPr>
        <w:spacing w:line="400" w:lineRule="exact"/>
        <w:ind w:firstLine="210" w:firstLineChars="100"/>
        <w:rPr>
          <w:rFonts w:ascii="宋体" w:hAnsi="宋体"/>
          <w:color w:val="auto"/>
          <w:kern w:val="0"/>
          <w:szCs w:val="21"/>
          <w:highlight w:val="none"/>
        </w:rPr>
      </w:pPr>
      <w:bookmarkStart w:id="267" w:name="_Toc373227713"/>
      <w:bookmarkStart w:id="268" w:name="_Toc389065279"/>
      <w:bookmarkStart w:id="269" w:name="_Toc351203636"/>
      <w:bookmarkStart w:id="270" w:name="_Toc373478360"/>
      <w:bookmarkStart w:id="271" w:name="_Toc395382515"/>
      <w:r>
        <w:rPr>
          <w:rFonts w:hint="eastAsia" w:ascii="宋体" w:hAnsi="宋体"/>
          <w:color w:val="auto"/>
          <w:kern w:val="0"/>
          <w:szCs w:val="21"/>
          <w:highlight w:val="none"/>
        </w:rPr>
        <w:t>本项目不需要提交履约保证金。</w:t>
      </w:r>
    </w:p>
    <w:p>
      <w:pPr>
        <w:spacing w:line="400" w:lineRule="exact"/>
        <w:rPr>
          <w:rFonts w:ascii="宋体" w:hAnsi="宋体"/>
          <w:b/>
          <w:color w:val="auto"/>
          <w:highlight w:val="none"/>
        </w:rPr>
      </w:pPr>
      <w:r>
        <w:rPr>
          <w:rFonts w:ascii="宋体" w:hAnsi="宋体"/>
          <w:b/>
          <w:color w:val="auto"/>
          <w:highlight w:val="none"/>
        </w:rPr>
        <w:t>4</w:t>
      </w:r>
      <w:bookmarkStart w:id="272" w:name="_Toc296891202"/>
      <w:bookmarkStart w:id="273" w:name="_Toc296944501"/>
      <w:bookmarkStart w:id="274" w:name="_Toc267251413"/>
      <w:bookmarkStart w:id="275" w:name="_Toc296890990"/>
      <w:bookmarkStart w:id="276" w:name="_Toc292559366"/>
      <w:bookmarkStart w:id="277" w:name="_Toc296347161"/>
      <w:bookmarkStart w:id="278" w:name="_Toc297048348"/>
      <w:bookmarkStart w:id="279" w:name="_Toc292559871"/>
      <w:bookmarkStart w:id="280" w:name="_Toc296503162"/>
      <w:bookmarkStart w:id="281" w:name="_Toc297120462"/>
      <w:bookmarkStart w:id="282" w:name="_Toc296346663"/>
      <w:r>
        <w:rPr>
          <w:rFonts w:ascii="宋体" w:hAnsi="宋体"/>
          <w:b/>
          <w:color w:val="auto"/>
          <w:highlight w:val="none"/>
        </w:rPr>
        <w:t>. 监</w:t>
      </w:r>
      <w:bookmarkEnd w:id="272"/>
      <w:bookmarkEnd w:id="273"/>
      <w:bookmarkEnd w:id="274"/>
      <w:bookmarkEnd w:id="275"/>
      <w:bookmarkEnd w:id="276"/>
      <w:bookmarkEnd w:id="277"/>
      <w:bookmarkEnd w:id="278"/>
      <w:bookmarkEnd w:id="279"/>
      <w:bookmarkEnd w:id="280"/>
      <w:bookmarkEnd w:id="281"/>
      <w:bookmarkEnd w:id="282"/>
      <w:r>
        <w:rPr>
          <w:rFonts w:ascii="宋体" w:hAnsi="宋体"/>
          <w:b/>
          <w:color w:val="auto"/>
          <w:highlight w:val="none"/>
        </w:rPr>
        <w:t>理人</w:t>
      </w:r>
      <w:bookmarkEnd w:id="267"/>
      <w:bookmarkEnd w:id="268"/>
      <w:bookmarkEnd w:id="269"/>
      <w:bookmarkEnd w:id="270"/>
      <w:bookmarkEnd w:id="271"/>
    </w:p>
    <w:p>
      <w:pPr>
        <w:spacing w:line="400" w:lineRule="exact"/>
        <w:rPr>
          <w:rFonts w:ascii="宋体" w:hAnsi="宋体"/>
          <w:b/>
          <w:color w:val="auto"/>
          <w:highlight w:val="none"/>
        </w:rPr>
      </w:pPr>
      <w:bookmarkStart w:id="283" w:name="_Toc395382516"/>
      <w:bookmarkStart w:id="284" w:name="_Toc373227714"/>
      <w:bookmarkStart w:id="285" w:name="_Toc373478361"/>
      <w:bookmarkStart w:id="286" w:name="_Toc389065280"/>
      <w:r>
        <w:rPr>
          <w:rFonts w:ascii="宋体" w:hAnsi="宋体"/>
          <w:b/>
          <w:color w:val="auto"/>
          <w:highlight w:val="none"/>
        </w:rPr>
        <w:t>4.1</w:t>
      </w:r>
      <w:r>
        <w:rPr>
          <w:rFonts w:hint="eastAsia" w:ascii="宋体" w:hAnsi="宋体"/>
          <w:b/>
          <w:color w:val="auto"/>
          <w:highlight w:val="none"/>
        </w:rPr>
        <w:t xml:space="preserve"> </w:t>
      </w:r>
      <w:r>
        <w:rPr>
          <w:rFonts w:ascii="宋体" w:hAnsi="宋体"/>
          <w:b/>
          <w:color w:val="auto"/>
          <w:highlight w:val="none"/>
        </w:rPr>
        <w:t>监理人的一般规定</w:t>
      </w:r>
      <w:bookmarkEnd w:id="283"/>
      <w:bookmarkEnd w:id="284"/>
      <w:bookmarkEnd w:id="285"/>
      <w:bookmarkEnd w:id="286"/>
    </w:p>
    <w:p>
      <w:pPr>
        <w:spacing w:line="400" w:lineRule="exact"/>
        <w:jc w:val="left"/>
        <w:rPr>
          <w:rFonts w:ascii="宋体" w:hAnsi="宋体"/>
          <w:color w:val="auto"/>
          <w:szCs w:val="21"/>
          <w:highlight w:val="none"/>
        </w:rPr>
      </w:pPr>
      <w:r>
        <w:rPr>
          <w:rFonts w:ascii="宋体" w:hAnsi="宋体"/>
          <w:color w:val="auto"/>
          <w:szCs w:val="21"/>
          <w:highlight w:val="none"/>
        </w:rPr>
        <w:t>关于监理人的监理内容：</w:t>
      </w:r>
      <w:r>
        <w:rPr>
          <w:rFonts w:hint="eastAsia" w:ascii="宋体" w:hAnsi="宋体"/>
          <w:color w:val="auto"/>
          <w:szCs w:val="21"/>
          <w:highlight w:val="none"/>
          <w:u w:val="single"/>
        </w:rPr>
        <w:t>详见监理合同</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关于监理人的监理权限：</w:t>
      </w:r>
      <w:r>
        <w:rPr>
          <w:rFonts w:hint="eastAsia" w:ascii="宋体" w:hAnsi="宋体"/>
          <w:color w:val="auto"/>
          <w:szCs w:val="21"/>
          <w:highlight w:val="none"/>
          <w:u w:val="single"/>
        </w:rPr>
        <w:t>详见监理合同</w:t>
      </w:r>
      <w:r>
        <w:rPr>
          <w:rFonts w:ascii="宋体" w:hAnsi="宋体"/>
          <w:color w:val="auto"/>
          <w:szCs w:val="21"/>
          <w:highlight w:val="none"/>
        </w:rPr>
        <w:t xml:space="preserve">。 </w:t>
      </w:r>
    </w:p>
    <w:p>
      <w:pPr>
        <w:spacing w:line="400" w:lineRule="exact"/>
        <w:rPr>
          <w:rFonts w:ascii="宋体" w:hAnsi="宋体"/>
          <w:color w:val="auto"/>
          <w:szCs w:val="21"/>
          <w:highlight w:val="none"/>
        </w:rPr>
      </w:pPr>
      <w:r>
        <w:rPr>
          <w:rFonts w:ascii="宋体" w:hAnsi="宋体"/>
          <w:color w:val="auto"/>
          <w:szCs w:val="21"/>
          <w:highlight w:val="none"/>
        </w:rPr>
        <w:t>关于监理人在施工现场的办公场所、生活场所的提供和费用承担的约定：</w:t>
      </w:r>
      <w:r>
        <w:rPr>
          <w:rFonts w:hint="eastAsia" w:ascii="宋体" w:hAnsi="宋体"/>
          <w:color w:val="auto"/>
          <w:szCs w:val="21"/>
          <w:highlight w:val="none"/>
          <w:u w:val="single"/>
        </w:rPr>
        <w:t>详见监理合同，由承包人提供</w:t>
      </w:r>
      <w:r>
        <w:rPr>
          <w:rFonts w:ascii="宋体" w:hAnsi="宋体"/>
          <w:color w:val="auto"/>
          <w:szCs w:val="21"/>
          <w:highlight w:val="none"/>
        </w:rPr>
        <w:t>。</w:t>
      </w:r>
    </w:p>
    <w:p>
      <w:pPr>
        <w:spacing w:line="400" w:lineRule="exact"/>
        <w:rPr>
          <w:rFonts w:ascii="宋体" w:hAnsi="宋体"/>
          <w:b/>
          <w:color w:val="auto"/>
          <w:highlight w:val="none"/>
        </w:rPr>
      </w:pPr>
      <w:bookmarkStart w:id="287" w:name="_Toc373227715"/>
      <w:bookmarkStart w:id="288" w:name="_Toc389065281"/>
      <w:bookmarkStart w:id="289" w:name="_Toc395382517"/>
      <w:bookmarkStart w:id="290" w:name="_Toc373478362"/>
      <w:r>
        <w:rPr>
          <w:rFonts w:ascii="宋体" w:hAnsi="宋体"/>
          <w:b/>
          <w:color w:val="auto"/>
          <w:highlight w:val="none"/>
        </w:rPr>
        <w:t>4.2 监理人员</w:t>
      </w:r>
      <w:bookmarkEnd w:id="287"/>
      <w:bookmarkEnd w:id="288"/>
      <w:bookmarkEnd w:id="289"/>
      <w:bookmarkEnd w:id="290"/>
    </w:p>
    <w:p>
      <w:pPr>
        <w:spacing w:line="400" w:lineRule="exact"/>
        <w:rPr>
          <w:rFonts w:ascii="宋体" w:hAnsi="宋体"/>
          <w:color w:val="auto"/>
          <w:szCs w:val="21"/>
          <w:highlight w:val="none"/>
        </w:rPr>
      </w:pPr>
      <w:r>
        <w:rPr>
          <w:rFonts w:ascii="宋体" w:hAnsi="宋体"/>
          <w:color w:val="auto"/>
          <w:szCs w:val="21"/>
          <w:highlight w:val="none"/>
        </w:rPr>
        <w:t>总监理工程师：</w:t>
      </w:r>
    </w:p>
    <w:p>
      <w:pPr>
        <w:spacing w:line="400" w:lineRule="exact"/>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职    务：</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监理工程师执业资格证书号：</w:t>
      </w:r>
      <w:r>
        <w:rPr>
          <w:rFonts w:ascii="宋体" w:hAnsi="宋体"/>
          <w:color w:val="auto"/>
          <w:szCs w:val="21"/>
          <w:highlight w:val="none"/>
          <w:u w:val="single"/>
        </w:rPr>
        <w:t>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关于监理人的其他约定：</w:t>
      </w:r>
      <w:r>
        <w:rPr>
          <w:rFonts w:ascii="宋体" w:hAnsi="宋体"/>
          <w:color w:val="auto"/>
          <w:szCs w:val="21"/>
          <w:highlight w:val="none"/>
          <w:u w:val="single"/>
        </w:rPr>
        <w:t>   </w:t>
      </w:r>
      <w:r>
        <w:rPr>
          <w:rFonts w:ascii="宋体" w:hAnsi="宋体"/>
          <w:color w:val="auto"/>
          <w:szCs w:val="21"/>
          <w:highlight w:val="none"/>
        </w:rPr>
        <w:t>。</w:t>
      </w:r>
    </w:p>
    <w:p>
      <w:pPr>
        <w:spacing w:line="400" w:lineRule="exact"/>
        <w:rPr>
          <w:rFonts w:ascii="宋体" w:hAnsi="宋体"/>
          <w:b/>
          <w:color w:val="auto"/>
          <w:highlight w:val="none"/>
        </w:rPr>
      </w:pPr>
      <w:bookmarkStart w:id="291" w:name="_Toc389065282"/>
      <w:bookmarkStart w:id="292" w:name="_Toc373478363"/>
      <w:bookmarkStart w:id="293" w:name="_Toc373227716"/>
      <w:bookmarkStart w:id="294" w:name="_Toc395382518"/>
      <w:r>
        <w:rPr>
          <w:rFonts w:ascii="宋体" w:hAnsi="宋体"/>
          <w:b/>
          <w:color w:val="auto"/>
          <w:highlight w:val="none"/>
        </w:rPr>
        <w:t>4.4 商定或确定</w:t>
      </w:r>
      <w:bookmarkEnd w:id="291"/>
      <w:bookmarkEnd w:id="292"/>
      <w:bookmarkEnd w:id="293"/>
      <w:bookmarkEnd w:id="294"/>
    </w:p>
    <w:p>
      <w:pPr>
        <w:spacing w:line="400" w:lineRule="exact"/>
        <w:rPr>
          <w:rFonts w:ascii="宋体" w:hAnsi="宋体"/>
          <w:color w:val="auto"/>
          <w:szCs w:val="21"/>
          <w:highlight w:val="none"/>
        </w:rPr>
      </w:pPr>
      <w:bookmarkStart w:id="295" w:name="_Toc267251418"/>
      <w:r>
        <w:rPr>
          <w:rFonts w:ascii="宋体" w:hAnsi="宋体"/>
          <w:color w:val="auto"/>
          <w:szCs w:val="21"/>
          <w:highlight w:val="none"/>
        </w:rPr>
        <w:t>在发包人和承包人不能通过协商达成一致意见时，发包人授权监理人对以下事项进行确定：</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szCs w:val="21"/>
          <w:highlight w:val="none"/>
          <w:u w:val="single"/>
        </w:rPr>
        <w:t>工程质量的鉴定、验收</w:t>
      </w:r>
      <w:r>
        <w:rPr>
          <w:rFonts w:ascii="宋体" w:hAnsi="宋体"/>
          <w:color w:val="auto"/>
          <w:szCs w:val="21"/>
          <w:highlight w:val="none"/>
        </w:rPr>
        <w:t>；</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szCs w:val="21"/>
          <w:highlight w:val="none"/>
          <w:u w:val="single"/>
        </w:rPr>
        <w:t>中间验收</w:t>
      </w:r>
      <w:r>
        <w:rPr>
          <w:rFonts w:hint="eastAsia" w:ascii="宋体" w:hAnsi="宋体"/>
          <w:color w:val="auto"/>
          <w:szCs w:val="21"/>
          <w:highlight w:val="none"/>
        </w:rPr>
        <w:t>。</w:t>
      </w:r>
    </w:p>
    <w:p>
      <w:pPr>
        <w:spacing w:line="400" w:lineRule="exact"/>
        <w:rPr>
          <w:rFonts w:ascii="宋体" w:hAnsi="宋体"/>
          <w:b/>
          <w:color w:val="auto"/>
          <w:highlight w:val="none"/>
        </w:rPr>
      </w:pPr>
      <w:bookmarkStart w:id="296" w:name="_Toc389065283"/>
      <w:bookmarkStart w:id="297" w:name="_Toc373227717"/>
      <w:bookmarkStart w:id="298" w:name="_Toc351203637"/>
      <w:bookmarkStart w:id="299" w:name="_Toc395382519"/>
      <w:bookmarkStart w:id="300" w:name="_Toc373478364"/>
      <w:r>
        <w:rPr>
          <w:rFonts w:ascii="宋体" w:hAnsi="宋体"/>
          <w:b/>
          <w:color w:val="auto"/>
          <w:highlight w:val="none"/>
        </w:rPr>
        <w:t>5</w:t>
      </w:r>
      <w:bookmarkEnd w:id="295"/>
      <w:bookmarkStart w:id="301" w:name="_Toc296890991"/>
      <w:bookmarkStart w:id="302" w:name="_Toc296346664"/>
      <w:bookmarkStart w:id="303" w:name="_Toc296891203"/>
      <w:bookmarkStart w:id="304" w:name="_Toc296347162"/>
      <w:bookmarkStart w:id="305" w:name="_Toc297048349"/>
      <w:bookmarkStart w:id="306" w:name="_Toc296944502"/>
      <w:bookmarkStart w:id="307" w:name="_Toc292559872"/>
      <w:bookmarkStart w:id="308" w:name="_Toc297120463"/>
      <w:bookmarkStart w:id="309" w:name="_Toc292559367"/>
      <w:bookmarkStart w:id="310" w:name="_Toc296503163"/>
      <w:r>
        <w:rPr>
          <w:rFonts w:ascii="宋体" w:hAnsi="宋体"/>
          <w:b/>
          <w:color w:val="auto"/>
          <w:highlight w:val="none"/>
        </w:rPr>
        <w:t>.工程质量</w:t>
      </w:r>
      <w:bookmarkEnd w:id="296"/>
      <w:bookmarkEnd w:id="297"/>
      <w:bookmarkEnd w:id="298"/>
      <w:bookmarkEnd w:id="299"/>
      <w:bookmarkEnd w:id="300"/>
    </w:p>
    <w:p>
      <w:pPr>
        <w:spacing w:line="400" w:lineRule="exact"/>
        <w:rPr>
          <w:rFonts w:ascii="宋体" w:hAnsi="宋体"/>
          <w:b/>
          <w:color w:val="auto"/>
          <w:highlight w:val="none"/>
        </w:rPr>
      </w:pPr>
      <w:bookmarkStart w:id="311" w:name="_Toc389065284"/>
      <w:bookmarkStart w:id="312" w:name="_Toc373227718"/>
      <w:bookmarkStart w:id="313" w:name="_Toc395382520"/>
      <w:bookmarkStart w:id="314" w:name="_Toc373478365"/>
      <w:r>
        <w:rPr>
          <w:rFonts w:ascii="宋体" w:hAnsi="宋体"/>
          <w:b/>
          <w:color w:val="auto"/>
          <w:highlight w:val="none"/>
        </w:rPr>
        <w:t>5.1 质量要求</w:t>
      </w:r>
      <w:bookmarkEnd w:id="311"/>
      <w:bookmarkEnd w:id="312"/>
      <w:bookmarkEnd w:id="313"/>
      <w:bookmarkEnd w:id="314"/>
    </w:p>
    <w:p>
      <w:pPr>
        <w:spacing w:line="400" w:lineRule="exact"/>
        <w:jc w:val="left"/>
        <w:rPr>
          <w:rFonts w:ascii="宋体" w:hAnsi="宋体"/>
          <w:color w:val="auto"/>
          <w:szCs w:val="21"/>
          <w:highlight w:val="none"/>
          <w:u w:val="single"/>
        </w:rPr>
      </w:pPr>
      <w:r>
        <w:rPr>
          <w:rFonts w:ascii="宋体" w:hAnsi="宋体"/>
          <w:color w:val="auto"/>
          <w:szCs w:val="21"/>
          <w:highlight w:val="none"/>
        </w:rPr>
        <w:t>5</w:t>
      </w:r>
      <w:bookmarkStart w:id="315" w:name="_Toc300934949"/>
      <w:bookmarkStart w:id="316" w:name="_Toc304295527"/>
      <w:bookmarkStart w:id="317" w:name="_Toc312677997"/>
      <w:bookmarkStart w:id="318" w:name="_Toc303539106"/>
      <w:bookmarkStart w:id="319" w:name="_Toc297123496"/>
      <w:bookmarkStart w:id="320" w:name="_Toc318581164"/>
      <w:bookmarkStart w:id="321" w:name="_Toc297216155"/>
      <w:r>
        <w:rPr>
          <w:rFonts w:ascii="宋体" w:hAnsi="宋体"/>
          <w:color w:val="auto"/>
          <w:szCs w:val="21"/>
          <w:highlight w:val="none"/>
        </w:rPr>
        <w:t>.1.1 特殊质量标准和要求：</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关于工程奖项的约定：</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5.3 隐蔽工程检查</w:t>
      </w:r>
    </w:p>
    <w:p>
      <w:pPr>
        <w:spacing w:line="400" w:lineRule="exact"/>
        <w:jc w:val="left"/>
        <w:rPr>
          <w:rFonts w:ascii="宋体" w:hAnsi="宋体"/>
          <w:color w:val="auto"/>
          <w:szCs w:val="21"/>
          <w:highlight w:val="none"/>
          <w:u w:val="single"/>
        </w:rPr>
      </w:pPr>
      <w:r>
        <w:rPr>
          <w:rFonts w:ascii="宋体" w:hAnsi="宋体"/>
          <w:color w:val="auto"/>
          <w:szCs w:val="21"/>
          <w:highlight w:val="none"/>
        </w:rPr>
        <w:t>5.3.2承包人提前通知监理人隐蔽工程检查的期限的约定：</w:t>
      </w:r>
      <w:r>
        <w:rPr>
          <w:rFonts w:ascii="宋体" w:hAnsi="宋体"/>
          <w:bCs/>
          <w:color w:val="auto"/>
          <w:szCs w:val="21"/>
          <w:highlight w:val="none"/>
        </w:rPr>
        <w:t>工程隐蔽或中间验收前</w:t>
      </w:r>
      <w:r>
        <w:rPr>
          <w:rFonts w:hint="eastAsia" w:ascii="宋体" w:hAnsi="宋体"/>
          <w:bCs/>
          <w:color w:val="auto"/>
          <w:szCs w:val="21"/>
          <w:highlight w:val="none"/>
        </w:rPr>
        <w:t>48</w:t>
      </w:r>
      <w:r>
        <w:rPr>
          <w:rFonts w:ascii="宋体" w:hAnsi="宋体"/>
          <w:bCs/>
          <w:color w:val="auto"/>
          <w:szCs w:val="21"/>
          <w:highlight w:val="none"/>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400" w:lineRule="exact"/>
        <w:jc w:val="left"/>
        <w:rPr>
          <w:rFonts w:ascii="宋体" w:hAnsi="宋体"/>
          <w:color w:val="auto"/>
          <w:szCs w:val="21"/>
          <w:highlight w:val="none"/>
        </w:rPr>
      </w:pPr>
      <w:r>
        <w:rPr>
          <w:rFonts w:ascii="宋体" w:hAnsi="宋体"/>
          <w:color w:val="auto"/>
          <w:szCs w:val="21"/>
          <w:highlight w:val="none"/>
        </w:rPr>
        <w:t>监理人不能按时进行检查时，应提前</w:t>
      </w:r>
      <w:r>
        <w:rPr>
          <w:rFonts w:ascii="宋体" w:hAnsi="宋体"/>
          <w:color w:val="auto"/>
          <w:szCs w:val="21"/>
          <w:highlight w:val="none"/>
          <w:u w:val="single"/>
        </w:rPr>
        <w:t xml:space="preserve"> </w:t>
      </w:r>
      <w:r>
        <w:rPr>
          <w:rFonts w:hint="eastAsia" w:ascii="宋体" w:hAnsi="宋体"/>
          <w:color w:val="auto"/>
          <w:szCs w:val="21"/>
          <w:highlight w:val="none"/>
          <w:u w:val="single"/>
        </w:rPr>
        <w:t>24</w:t>
      </w:r>
      <w:r>
        <w:rPr>
          <w:rFonts w:ascii="宋体" w:hAnsi="宋体"/>
          <w:color w:val="auto"/>
          <w:szCs w:val="21"/>
          <w:highlight w:val="none"/>
        </w:rPr>
        <w:t>小时提交书面延期要求。</w:t>
      </w:r>
    </w:p>
    <w:p>
      <w:pPr>
        <w:spacing w:line="400" w:lineRule="exact"/>
        <w:jc w:val="left"/>
        <w:rPr>
          <w:rFonts w:ascii="宋体" w:hAnsi="宋体"/>
          <w:color w:val="auto"/>
          <w:szCs w:val="21"/>
          <w:highlight w:val="none"/>
        </w:rPr>
      </w:pPr>
      <w:r>
        <w:rPr>
          <w:rFonts w:ascii="宋体" w:hAnsi="宋体"/>
          <w:color w:val="auto"/>
          <w:szCs w:val="21"/>
          <w:highlight w:val="none"/>
        </w:rPr>
        <w:t>关于延期最长不得超过：</w:t>
      </w:r>
      <w:r>
        <w:rPr>
          <w:rFonts w:hint="eastAsia" w:ascii="宋体" w:hAnsi="宋体"/>
          <w:color w:val="auto"/>
          <w:szCs w:val="21"/>
          <w:highlight w:val="none"/>
          <w:u w:val="single"/>
        </w:rPr>
        <w:t>48</w:t>
      </w:r>
      <w:r>
        <w:rPr>
          <w:rFonts w:ascii="宋体" w:hAnsi="宋体"/>
          <w:color w:val="auto"/>
          <w:szCs w:val="21"/>
          <w:highlight w:val="none"/>
        </w:rPr>
        <w:t>小时。</w:t>
      </w:r>
    </w:p>
    <w:p>
      <w:pPr>
        <w:spacing w:line="400" w:lineRule="exact"/>
        <w:rPr>
          <w:rFonts w:ascii="宋体" w:hAnsi="宋体"/>
          <w:b/>
          <w:color w:val="auto"/>
          <w:highlight w:val="none"/>
        </w:rPr>
      </w:pPr>
      <w:bookmarkStart w:id="322" w:name="_Toc351203638"/>
      <w:bookmarkStart w:id="323" w:name="_Toc389065285"/>
      <w:bookmarkStart w:id="324" w:name="_Toc395382521"/>
      <w:bookmarkStart w:id="325" w:name="_Toc373478366"/>
      <w:bookmarkStart w:id="326" w:name="_Toc373227719"/>
      <w:r>
        <w:rPr>
          <w:rFonts w:ascii="宋体" w:hAnsi="宋体"/>
          <w:b/>
          <w:color w:val="auto"/>
          <w:highlight w:val="none"/>
        </w:rPr>
        <w:t>6.安全文明施工与环境保护</w:t>
      </w:r>
      <w:bookmarkEnd w:id="322"/>
      <w:bookmarkEnd w:id="323"/>
      <w:bookmarkEnd w:id="324"/>
      <w:bookmarkEnd w:id="325"/>
      <w:bookmarkEnd w:id="326"/>
    </w:p>
    <w:p>
      <w:pPr>
        <w:spacing w:line="400" w:lineRule="exact"/>
        <w:rPr>
          <w:rFonts w:ascii="宋体" w:hAnsi="宋体"/>
          <w:b/>
          <w:color w:val="auto"/>
          <w:highlight w:val="none"/>
        </w:rPr>
      </w:pPr>
      <w:bookmarkStart w:id="327" w:name="_Toc373227720"/>
      <w:bookmarkStart w:id="328" w:name="_Toc389065286"/>
      <w:bookmarkStart w:id="329" w:name="_Toc373478367"/>
      <w:bookmarkStart w:id="330" w:name="_Toc395382522"/>
      <w:r>
        <w:rPr>
          <w:rFonts w:ascii="宋体" w:hAnsi="宋体"/>
          <w:b/>
          <w:color w:val="auto"/>
          <w:highlight w:val="none"/>
        </w:rPr>
        <w:t>6.1安全文明施工</w:t>
      </w:r>
      <w:bookmarkEnd w:id="327"/>
      <w:bookmarkEnd w:id="328"/>
      <w:bookmarkEnd w:id="329"/>
      <w:bookmarkEnd w:id="330"/>
    </w:p>
    <w:p>
      <w:pPr>
        <w:snapToGrid w:val="0"/>
        <w:spacing w:line="400" w:lineRule="exact"/>
        <w:rPr>
          <w:rFonts w:ascii="宋体" w:hAnsi="宋体"/>
          <w:color w:val="auto"/>
          <w:szCs w:val="21"/>
          <w:highlight w:val="none"/>
        </w:rPr>
      </w:pPr>
      <w:r>
        <w:rPr>
          <w:rFonts w:ascii="宋体" w:hAnsi="宋体"/>
          <w:color w:val="auto"/>
          <w:szCs w:val="21"/>
          <w:highlight w:val="none"/>
        </w:rPr>
        <w:t>6.1.1 项目安全生产的达标目标及相应事项的约定：</w:t>
      </w:r>
      <w:r>
        <w:rPr>
          <w:rFonts w:hint="eastAsia" w:ascii="宋体" w:hAnsi="宋体"/>
          <w:color w:val="auto"/>
          <w:szCs w:val="21"/>
          <w:highlight w:val="none"/>
          <w:u w:val="single"/>
        </w:rPr>
        <w:t>承包人应制定《房屋建筑和市政基础设施工程施工扬尘控制工作方案》、《房屋建筑和市政基础设施工程现场文明施工标准》等相关规定并履行好施工扬尘控制、文明施工等责任</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承包人需自行办理的有关施工场地交通、环卫和施工噪音管理等手续，并应符合国家相关规定，并自行承担其费用</w:t>
      </w:r>
      <w:r>
        <w:rPr>
          <w:rFonts w:hint="eastAsia" w:ascii="宋体" w:hAnsi="宋体" w:cs="Arial Unicode MS"/>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关于</w:t>
      </w:r>
      <w:r>
        <w:rPr>
          <w:rFonts w:hint="eastAsia" w:ascii="宋体" w:hAnsi="宋体"/>
          <w:color w:val="auto"/>
          <w:szCs w:val="21"/>
          <w:highlight w:val="none"/>
        </w:rPr>
        <w:t>安全文明施工</w:t>
      </w:r>
      <w:r>
        <w:rPr>
          <w:rFonts w:ascii="宋体" w:hAnsi="宋体"/>
          <w:color w:val="auto"/>
          <w:szCs w:val="21"/>
          <w:highlight w:val="none"/>
        </w:rPr>
        <w:t>奖项的约定：</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6.1.4 关于治安保卫的特别约定：</w:t>
      </w:r>
      <w:r>
        <w:rPr>
          <w:rFonts w:ascii="宋体" w:hAnsi="宋体"/>
          <w:color w:val="auto"/>
          <w:szCs w:val="21"/>
          <w:highlight w:val="none"/>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关于编制施工场地治安管理计划的约定：</w:t>
      </w:r>
      <w:r>
        <w:rPr>
          <w:rFonts w:hint="eastAsia" w:ascii="宋体" w:hAnsi="宋体"/>
          <w:color w:val="auto"/>
          <w:szCs w:val="21"/>
          <w:highlight w:val="none"/>
          <w:u w:val="single"/>
        </w:rPr>
        <w:t>承包人在图纸会审和设计交底之日起7天内报送</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6.1.5 文明施工</w:t>
      </w:r>
    </w:p>
    <w:p>
      <w:pPr>
        <w:snapToGrid w:val="0"/>
        <w:spacing w:line="400" w:lineRule="exact"/>
        <w:rPr>
          <w:rFonts w:ascii="宋体" w:hAnsi="宋体"/>
          <w:color w:val="auto"/>
          <w:szCs w:val="21"/>
          <w:highlight w:val="none"/>
        </w:rPr>
      </w:pPr>
      <w:r>
        <w:rPr>
          <w:rFonts w:ascii="宋体" w:hAnsi="宋体"/>
          <w:color w:val="auto"/>
          <w:szCs w:val="21"/>
          <w:highlight w:val="none"/>
        </w:rPr>
        <w:t>合同当事人对文明施工的要求：</w:t>
      </w:r>
      <w:r>
        <w:rPr>
          <w:rFonts w:hint="eastAsia" w:ascii="宋体" w:hAnsi="宋体"/>
          <w:color w:val="auto"/>
          <w:szCs w:val="21"/>
          <w:highlight w:val="none"/>
          <w:u w:val="single"/>
        </w:rPr>
        <w:t>承包人需自行办理的有关施工场地交通、环卫和施工噪音管理等手续，并应符合国家相关规定，并自行承担其费用</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对施工中的地上地下建筑物（构筑物）管线、电力设施等应按有关规定加强监控测量和保护，相应的费用或因保护不当造成的损失及法律责任由承包人承担</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环境保护工作由承包方全权负责，执行国家和地方相关规定。施工现场内不得随地抛洒剩饭及生活垃圾等，更不能将其随意倒至施工区外，施工区内不得随处大小便。做到工完场地清</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施工机械设备进场前，应做好清洁、保养和维护工作。出场车辆应有专人打扫、清洗。有密封要求的按规定必须达到</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施工期间必须保证周边单位的正常工作及居民的正常生活，尽量减少粉尘、噪声、振动等污染的扰民。必须按市委、市人大、市政府及有关部门的临时要求，调整作业方式，停止高粉尘、高噪音作业或爆破作业等</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保证周围建(构)筑物、地下及地上管线、地下人防等设施安全</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做到进入现场的施工和作业人员，配证上岗，文明施工</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按规定做好施工区域封闭及场地硬化工作，施工围墙(围挡)等维护设施应安全、美观、耐久，非施工相关人员不许入内</w:t>
      </w:r>
      <w:r>
        <w:rPr>
          <w:rFonts w:hint="eastAsia" w:ascii="宋体" w:hAnsi="宋体" w:cs="Arial Unicode MS"/>
          <w:color w:val="auto"/>
          <w:szCs w:val="21"/>
          <w:highlight w:val="none"/>
          <w:u w:val="single"/>
        </w:rPr>
        <w:t>；</w:t>
      </w:r>
      <w:r>
        <w:rPr>
          <w:rFonts w:hint="eastAsia" w:ascii="宋体" w:hAnsi="宋体"/>
          <w:color w:val="auto"/>
          <w:szCs w:val="21"/>
          <w:highlight w:val="none"/>
          <w:u w:val="single"/>
        </w:rPr>
        <w:t>上述增加列项涉及的费用由承包人承担</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6.1.6 关于安全文明施工费支付比例和支付期限的约定：</w:t>
      </w:r>
    </w:p>
    <w:p>
      <w:pPr>
        <w:autoSpaceDE w:val="0"/>
        <w:autoSpaceDN w:val="0"/>
        <w:adjustRightInd w:val="0"/>
        <w:spacing w:line="400" w:lineRule="exact"/>
        <w:jc w:val="left"/>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本合同价款已包含安全文明施工费</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元</w:t>
      </w:r>
      <w:r>
        <w:rPr>
          <w:rFonts w:hint="eastAsia" w:ascii="宋体" w:hAnsi="宋体"/>
          <w:color w:val="auto"/>
          <w:kern w:val="0"/>
          <w:szCs w:val="21"/>
          <w:highlight w:val="none"/>
        </w:rPr>
        <w:t>。</w:t>
      </w:r>
    </w:p>
    <w:p>
      <w:pPr>
        <w:autoSpaceDE w:val="0"/>
        <w:autoSpaceDN w:val="0"/>
        <w:adjustRightInd w:val="0"/>
        <w:spacing w:line="400" w:lineRule="exact"/>
        <w:jc w:val="left"/>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使用要求：专款专用。具体按</w:t>
      </w:r>
      <w:r>
        <w:rPr>
          <w:rFonts w:hint="eastAsia" w:ascii="宋体" w:hAnsi="宋体"/>
          <w:color w:val="auto"/>
          <w:kern w:val="0"/>
          <w:szCs w:val="21"/>
          <w:highlight w:val="none"/>
        </w:rPr>
        <w:t>《广西壮族自治区建设工程安全文明施工费使用管理细则》（桂建质[2015]16号）</w:t>
      </w:r>
      <w:r>
        <w:rPr>
          <w:rFonts w:ascii="宋体" w:hAnsi="宋体"/>
          <w:color w:val="auto"/>
          <w:kern w:val="0"/>
          <w:szCs w:val="21"/>
          <w:highlight w:val="none"/>
        </w:rPr>
        <w:t>和</w:t>
      </w:r>
      <w:r>
        <w:rPr>
          <w:rFonts w:hint="eastAsia" w:ascii="宋体" w:hAnsi="宋体"/>
          <w:color w:val="auto"/>
          <w:kern w:val="0"/>
          <w:szCs w:val="21"/>
          <w:highlight w:val="none"/>
          <w:lang w:val="en-US" w:eastAsia="zh-CN"/>
        </w:rPr>
        <w:t>防城港</w:t>
      </w:r>
      <w:r>
        <w:rPr>
          <w:rFonts w:ascii="宋体" w:hAnsi="宋体"/>
          <w:color w:val="auto"/>
          <w:kern w:val="0"/>
          <w:szCs w:val="21"/>
          <w:highlight w:val="none"/>
        </w:rPr>
        <w:t>市相关规定执行</w:t>
      </w:r>
      <w:r>
        <w:rPr>
          <w:rFonts w:hint="eastAsia" w:ascii="宋体" w:hAnsi="宋体"/>
          <w:color w:val="auto"/>
          <w:kern w:val="0"/>
          <w:szCs w:val="21"/>
          <w:highlight w:val="none"/>
        </w:rPr>
        <w:t>。</w:t>
      </w:r>
    </w:p>
    <w:p>
      <w:pPr>
        <w:autoSpaceDE w:val="0"/>
        <w:autoSpaceDN w:val="0"/>
        <w:adjustRightInd w:val="0"/>
        <w:spacing w:line="400" w:lineRule="exact"/>
        <w:jc w:val="left"/>
        <w:rPr>
          <w:rFonts w:ascii="宋体" w:hAnsi="宋体"/>
          <w:color w:val="auto"/>
          <w:kern w:val="0"/>
          <w:szCs w:val="21"/>
          <w:highlight w:val="none"/>
        </w:rPr>
      </w:pPr>
      <w:r>
        <w:rPr>
          <w:rFonts w:hint="eastAsia" w:ascii="宋体" w:hAnsi="宋体"/>
          <w:color w:val="auto"/>
          <w:kern w:val="0"/>
          <w:szCs w:val="21"/>
          <w:highlight w:val="none"/>
        </w:rPr>
        <w:t>（3）支付约定：</w:t>
      </w:r>
      <w:r>
        <w:rPr>
          <w:rFonts w:hint="eastAsia" w:ascii="宋体" w:hAnsi="宋体"/>
          <w:color w:val="auto"/>
          <w:kern w:val="0"/>
          <w:szCs w:val="21"/>
          <w:highlight w:val="none"/>
          <w:u w:val="single"/>
        </w:rPr>
        <w:t>设立独立的安全文明施工费专用账户，限额内专款专用，实报实销,</w:t>
      </w:r>
      <w:r>
        <w:rPr>
          <w:rFonts w:ascii="宋体" w:hAnsi="宋体"/>
          <w:color w:val="auto"/>
          <w:kern w:val="0"/>
          <w:szCs w:val="21"/>
          <w:highlight w:val="none"/>
        </w:rPr>
        <w:t>。</w:t>
      </w:r>
    </w:p>
    <w:p>
      <w:pPr>
        <w:spacing w:line="400" w:lineRule="exact"/>
        <w:rPr>
          <w:rFonts w:ascii="宋体" w:hAnsi="宋体"/>
          <w:b/>
          <w:color w:val="auto"/>
          <w:highlight w:val="none"/>
        </w:rPr>
      </w:pPr>
      <w:bookmarkStart w:id="331" w:name="_Toc373227721"/>
      <w:bookmarkStart w:id="332" w:name="_Toc373478368"/>
      <w:bookmarkStart w:id="333" w:name="_Toc395382523"/>
      <w:bookmarkStart w:id="334" w:name="_Toc389065287"/>
      <w:r>
        <w:rPr>
          <w:rFonts w:ascii="宋体" w:hAnsi="宋体"/>
          <w:b/>
          <w:color w:val="auto"/>
          <w:highlight w:val="none"/>
        </w:rPr>
        <w:t>6.3</w:t>
      </w:r>
      <w:r>
        <w:rPr>
          <w:rFonts w:hint="eastAsia" w:ascii="宋体" w:hAnsi="宋体"/>
          <w:b/>
          <w:color w:val="auto"/>
          <w:highlight w:val="none"/>
        </w:rPr>
        <w:t xml:space="preserve"> </w:t>
      </w:r>
      <w:r>
        <w:rPr>
          <w:rFonts w:ascii="宋体" w:hAnsi="宋体"/>
          <w:b/>
          <w:color w:val="auto"/>
          <w:highlight w:val="none"/>
        </w:rPr>
        <w:t>环境保护</w:t>
      </w:r>
      <w:bookmarkEnd w:id="331"/>
      <w:bookmarkEnd w:id="332"/>
      <w:bookmarkEnd w:id="333"/>
      <w:bookmarkEnd w:id="334"/>
    </w:p>
    <w:p>
      <w:pPr>
        <w:spacing w:line="400" w:lineRule="exact"/>
        <w:jc w:val="left"/>
        <w:rPr>
          <w:rFonts w:ascii="宋体" w:hAnsi="宋体"/>
          <w:color w:val="auto"/>
          <w:szCs w:val="21"/>
          <w:highlight w:val="none"/>
          <w:u w:val="single"/>
        </w:rPr>
      </w:pPr>
      <w:r>
        <w:rPr>
          <w:rFonts w:ascii="宋体" w:hAnsi="宋体"/>
          <w:color w:val="auto"/>
          <w:szCs w:val="21"/>
          <w:highlight w:val="none"/>
          <w:u w:val="single"/>
        </w:rPr>
        <w:t>因施工需要，经发包人批准，由承包人办理有关施工场地交通、环卫和施工噪音管理等手续，费用由承包人负责。</w:t>
      </w:r>
    </w:p>
    <w:p>
      <w:pPr>
        <w:spacing w:line="400" w:lineRule="exact"/>
        <w:jc w:val="left"/>
        <w:rPr>
          <w:rFonts w:ascii="宋体" w:hAnsi="宋体"/>
          <w:color w:val="auto"/>
          <w:szCs w:val="21"/>
          <w:highlight w:val="none"/>
          <w:u w:val="single"/>
        </w:rPr>
      </w:pPr>
      <w:r>
        <w:rPr>
          <w:rFonts w:ascii="宋体" w:hAnsi="宋体"/>
          <w:color w:val="auto"/>
          <w:szCs w:val="21"/>
          <w:highlight w:val="none"/>
          <w:u w:val="single"/>
        </w:rPr>
        <w:t>经过城市道路的施工车辆，必须按交警、城管、运输等部门相关规定执行。由于施工车辆造成的道路、环境等污染，其责任和费用均由承包人承担</w:t>
      </w:r>
      <w:r>
        <w:rPr>
          <w:rFonts w:ascii="宋体" w:hAnsi="宋体"/>
          <w:color w:val="auto"/>
          <w:szCs w:val="21"/>
          <w:highlight w:val="none"/>
        </w:rPr>
        <w:t>。</w:t>
      </w:r>
    </w:p>
    <w:bookmarkEnd w:id="315"/>
    <w:bookmarkEnd w:id="316"/>
    <w:bookmarkEnd w:id="317"/>
    <w:bookmarkEnd w:id="318"/>
    <w:bookmarkEnd w:id="319"/>
    <w:bookmarkEnd w:id="320"/>
    <w:bookmarkEnd w:id="321"/>
    <w:p>
      <w:pPr>
        <w:spacing w:line="400" w:lineRule="exact"/>
        <w:rPr>
          <w:rFonts w:ascii="宋体" w:hAnsi="宋体"/>
          <w:b/>
          <w:color w:val="auto"/>
          <w:highlight w:val="none"/>
        </w:rPr>
      </w:pPr>
      <w:bookmarkStart w:id="335" w:name="_Toc373227722"/>
      <w:bookmarkStart w:id="336" w:name="_Toc373478369"/>
      <w:bookmarkStart w:id="337" w:name="_Toc389065288"/>
      <w:bookmarkStart w:id="338" w:name="_Toc395382524"/>
      <w:bookmarkStart w:id="339" w:name="_Toc351203639"/>
      <w:r>
        <w:rPr>
          <w:rFonts w:hint="eastAsia" w:ascii="宋体" w:hAnsi="宋体"/>
          <w:b/>
          <w:color w:val="auto"/>
          <w:highlight w:val="none"/>
        </w:rPr>
        <w:t>7.工期和进度</w:t>
      </w:r>
      <w:bookmarkEnd w:id="335"/>
      <w:bookmarkEnd w:id="336"/>
      <w:bookmarkEnd w:id="337"/>
      <w:bookmarkEnd w:id="338"/>
      <w:bookmarkEnd w:id="339"/>
    </w:p>
    <w:p>
      <w:pPr>
        <w:spacing w:line="400" w:lineRule="exact"/>
        <w:rPr>
          <w:rFonts w:ascii="宋体" w:hAnsi="宋体"/>
          <w:b/>
          <w:color w:val="auto"/>
          <w:highlight w:val="none"/>
        </w:rPr>
      </w:pPr>
      <w:bookmarkStart w:id="340" w:name="_Toc395382525"/>
      <w:bookmarkStart w:id="341" w:name="_Toc373227723"/>
      <w:bookmarkStart w:id="342" w:name="_Toc373478370"/>
      <w:bookmarkStart w:id="343" w:name="_Toc389065289"/>
      <w:r>
        <w:rPr>
          <w:rFonts w:hint="eastAsia" w:ascii="宋体" w:hAnsi="宋体"/>
          <w:b/>
          <w:color w:val="auto"/>
          <w:highlight w:val="none"/>
        </w:rPr>
        <w:t>7.1 施工组织设计</w:t>
      </w:r>
      <w:bookmarkEnd w:id="340"/>
      <w:bookmarkEnd w:id="341"/>
      <w:bookmarkEnd w:id="342"/>
      <w:bookmarkEnd w:id="343"/>
    </w:p>
    <w:p>
      <w:pPr>
        <w:autoSpaceDE w:val="0"/>
        <w:autoSpaceDN w:val="0"/>
        <w:adjustRightInd w:val="0"/>
        <w:spacing w:line="400" w:lineRule="exact"/>
        <w:jc w:val="left"/>
        <w:rPr>
          <w:rFonts w:ascii="宋体" w:hAnsi="宋体"/>
          <w:color w:val="auto"/>
          <w:szCs w:val="21"/>
          <w:highlight w:val="none"/>
          <w:u w:val="single"/>
        </w:rPr>
      </w:pPr>
      <w:r>
        <w:rPr>
          <w:rFonts w:ascii="宋体" w:hAnsi="宋体"/>
          <w:color w:val="auto"/>
          <w:szCs w:val="21"/>
          <w:highlight w:val="none"/>
        </w:rPr>
        <w:t>7.1.1 合</w:t>
      </w:r>
      <w:r>
        <w:rPr>
          <w:rFonts w:ascii="宋体" w:hAnsi="宋体"/>
          <w:color w:val="auto"/>
          <w:kern w:val="0"/>
          <w:szCs w:val="21"/>
          <w:highlight w:val="none"/>
        </w:rPr>
        <w:t>同当事人约定的施工组织设计应包括的其他内容：</w:t>
      </w:r>
      <w:r>
        <w:rPr>
          <w:rFonts w:hint="eastAsia" w:ascii="宋体" w:hAnsi="宋体"/>
          <w:color w:val="auto"/>
          <w:szCs w:val="21"/>
          <w:highlight w:val="none"/>
          <w:u w:val="single"/>
        </w:rPr>
        <w:t>按行业管理有关要求</w:t>
      </w:r>
      <w:r>
        <w:rPr>
          <w:rFonts w:ascii="宋体" w:hAnsi="宋体"/>
          <w:color w:val="auto"/>
          <w:szCs w:val="21"/>
          <w:highlight w:val="none"/>
        </w:rPr>
        <w:t>。</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szCs w:val="21"/>
          <w:highlight w:val="none"/>
        </w:rPr>
        <w:t xml:space="preserve">7.1.2 </w:t>
      </w:r>
      <w:r>
        <w:rPr>
          <w:rFonts w:ascii="宋体" w:hAnsi="宋体"/>
          <w:color w:val="auto"/>
          <w:kern w:val="0"/>
          <w:szCs w:val="21"/>
          <w:highlight w:val="none"/>
        </w:rPr>
        <w:t>施工组织设计的提交和修改</w:t>
      </w:r>
    </w:p>
    <w:p>
      <w:pPr>
        <w:autoSpaceDE w:val="0"/>
        <w:autoSpaceDN w:val="0"/>
        <w:adjustRightInd w:val="0"/>
        <w:spacing w:line="400" w:lineRule="exact"/>
        <w:jc w:val="left"/>
        <w:rPr>
          <w:rFonts w:ascii="宋体" w:hAnsi="宋体"/>
          <w:color w:val="auto"/>
          <w:szCs w:val="21"/>
          <w:highlight w:val="none"/>
          <w:u w:val="single"/>
        </w:rPr>
      </w:pPr>
      <w:r>
        <w:rPr>
          <w:rFonts w:ascii="宋体" w:hAnsi="宋体"/>
          <w:color w:val="auto"/>
          <w:kern w:val="0"/>
          <w:szCs w:val="21"/>
          <w:highlight w:val="none"/>
        </w:rPr>
        <w:t>承包人提交详细施工组织设计的期限的约定：</w:t>
      </w:r>
      <w:r>
        <w:rPr>
          <w:rFonts w:hint="eastAsia" w:ascii="宋体" w:hAnsi="宋体"/>
          <w:color w:val="auto"/>
          <w:szCs w:val="21"/>
          <w:highlight w:val="none"/>
          <w:u w:val="single"/>
        </w:rPr>
        <w:t>承包人在图纸会审和设计交底之日起14天内报送</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发包人和监理人在收到详细的施工组织设计后确认或提出修改意见的期限：</w:t>
      </w:r>
      <w:r>
        <w:rPr>
          <w:rFonts w:hint="eastAsia" w:ascii="宋体" w:hAnsi="宋体"/>
          <w:color w:val="auto"/>
          <w:szCs w:val="21"/>
          <w:highlight w:val="none"/>
          <w:u w:val="single"/>
        </w:rPr>
        <w:t>收到之日起14</w:t>
      </w:r>
      <w:r>
        <w:rPr>
          <w:rFonts w:ascii="宋体" w:hAnsi="宋体"/>
          <w:color w:val="auto"/>
          <w:szCs w:val="21"/>
          <w:highlight w:val="none"/>
          <w:u w:val="single"/>
        </w:rPr>
        <w:t>天内</w:t>
      </w:r>
      <w:r>
        <w:rPr>
          <w:rFonts w:ascii="宋体" w:hAnsi="宋体"/>
          <w:color w:val="auto"/>
          <w:szCs w:val="21"/>
          <w:highlight w:val="none"/>
        </w:rPr>
        <w:t>。</w:t>
      </w:r>
    </w:p>
    <w:p>
      <w:pPr>
        <w:spacing w:line="400" w:lineRule="exact"/>
        <w:rPr>
          <w:rFonts w:ascii="宋体" w:hAnsi="宋体"/>
          <w:b/>
          <w:color w:val="auto"/>
          <w:highlight w:val="none"/>
        </w:rPr>
      </w:pPr>
      <w:bookmarkStart w:id="344" w:name="_Toc395382526"/>
      <w:bookmarkStart w:id="345" w:name="_Toc373478371"/>
      <w:bookmarkStart w:id="346" w:name="_Toc373227724"/>
      <w:bookmarkStart w:id="347" w:name="_Toc389065290"/>
      <w:r>
        <w:rPr>
          <w:rFonts w:hint="eastAsia" w:ascii="宋体" w:hAnsi="宋体"/>
          <w:b/>
          <w:color w:val="auto"/>
          <w:highlight w:val="none"/>
        </w:rPr>
        <w:t>7</w:t>
      </w:r>
      <w:bookmarkStart w:id="348" w:name="_Toc303539123"/>
      <w:bookmarkStart w:id="349" w:name="_Toc312678005"/>
      <w:bookmarkStart w:id="350" w:name="_Toc300934966"/>
      <w:bookmarkStart w:id="351" w:name="_Toc297216173"/>
      <w:bookmarkStart w:id="352" w:name="_Toc297123514"/>
      <w:bookmarkStart w:id="353" w:name="_Toc312677479"/>
      <w:bookmarkStart w:id="354" w:name="_Toc304295541"/>
      <w:r>
        <w:rPr>
          <w:rFonts w:hint="eastAsia" w:ascii="宋体" w:hAnsi="宋体"/>
          <w:b/>
          <w:color w:val="auto"/>
          <w:highlight w:val="none"/>
        </w:rPr>
        <w:t>.2 施工进度计划</w:t>
      </w:r>
      <w:bookmarkEnd w:id="344"/>
      <w:bookmarkEnd w:id="345"/>
      <w:bookmarkEnd w:id="346"/>
      <w:bookmarkEnd w:id="347"/>
    </w:p>
    <w:p>
      <w:pPr>
        <w:spacing w:line="400" w:lineRule="exact"/>
        <w:jc w:val="left"/>
        <w:rPr>
          <w:rFonts w:ascii="宋体" w:hAnsi="宋体"/>
          <w:color w:val="auto"/>
          <w:szCs w:val="21"/>
          <w:highlight w:val="none"/>
        </w:rPr>
      </w:pPr>
      <w:r>
        <w:rPr>
          <w:rFonts w:ascii="宋体" w:hAnsi="宋体"/>
          <w:color w:val="auto"/>
          <w:szCs w:val="21"/>
          <w:highlight w:val="none"/>
        </w:rPr>
        <w:t>7.2.2 施工进度计划的修订</w:t>
      </w:r>
    </w:p>
    <w:p>
      <w:pPr>
        <w:spacing w:line="400" w:lineRule="exact"/>
        <w:jc w:val="left"/>
        <w:rPr>
          <w:rFonts w:ascii="宋体" w:hAnsi="宋体"/>
          <w:color w:val="auto"/>
          <w:szCs w:val="21"/>
          <w:highlight w:val="none"/>
        </w:rPr>
      </w:pPr>
      <w:r>
        <w:rPr>
          <w:rFonts w:ascii="宋体" w:hAnsi="宋体"/>
          <w:color w:val="auto"/>
          <w:szCs w:val="21"/>
          <w:highlight w:val="none"/>
        </w:rPr>
        <w:t>发包人和监理人在收到修订的施工进度计划后确认或提出修改意见的期限：</w:t>
      </w:r>
      <w:r>
        <w:rPr>
          <w:rFonts w:hint="eastAsia" w:ascii="宋体" w:hAnsi="宋体"/>
          <w:color w:val="auto"/>
          <w:szCs w:val="21"/>
          <w:highlight w:val="none"/>
          <w:u w:val="single"/>
        </w:rPr>
        <w:t>收到之日起14</w:t>
      </w:r>
      <w:r>
        <w:rPr>
          <w:rFonts w:ascii="宋体" w:hAnsi="宋体"/>
          <w:color w:val="auto"/>
          <w:szCs w:val="21"/>
          <w:highlight w:val="none"/>
          <w:u w:val="single"/>
        </w:rPr>
        <w:t>天内</w:t>
      </w:r>
      <w:r>
        <w:rPr>
          <w:rFonts w:ascii="宋体" w:hAnsi="宋体"/>
          <w:color w:val="auto"/>
          <w:szCs w:val="21"/>
          <w:highlight w:val="none"/>
        </w:rPr>
        <w:t>。</w:t>
      </w:r>
    </w:p>
    <w:p>
      <w:pPr>
        <w:spacing w:line="400" w:lineRule="exact"/>
        <w:rPr>
          <w:rFonts w:ascii="宋体" w:hAnsi="宋体"/>
          <w:b/>
          <w:color w:val="auto"/>
          <w:highlight w:val="none"/>
        </w:rPr>
      </w:pPr>
      <w:bookmarkStart w:id="355" w:name="_Toc389065291"/>
      <w:bookmarkStart w:id="356" w:name="_Toc395382527"/>
      <w:bookmarkStart w:id="357" w:name="_Toc373227725"/>
      <w:bookmarkStart w:id="358" w:name="_Toc373478372"/>
      <w:r>
        <w:rPr>
          <w:rFonts w:hint="eastAsia" w:ascii="宋体" w:hAnsi="宋体"/>
          <w:b/>
          <w:color w:val="auto"/>
          <w:highlight w:val="none"/>
        </w:rPr>
        <w:t>7.3 开工</w:t>
      </w:r>
      <w:bookmarkEnd w:id="355"/>
      <w:bookmarkEnd w:id="356"/>
      <w:bookmarkEnd w:id="357"/>
      <w:bookmarkEnd w:id="358"/>
    </w:p>
    <w:p>
      <w:pPr>
        <w:spacing w:line="400" w:lineRule="exact"/>
        <w:jc w:val="left"/>
        <w:rPr>
          <w:rFonts w:ascii="宋体" w:hAnsi="宋体"/>
          <w:color w:val="auto"/>
          <w:szCs w:val="21"/>
          <w:highlight w:val="none"/>
        </w:rPr>
      </w:pPr>
      <w:r>
        <w:rPr>
          <w:rFonts w:ascii="宋体" w:hAnsi="宋体"/>
          <w:color w:val="auto"/>
          <w:szCs w:val="21"/>
          <w:highlight w:val="none"/>
        </w:rPr>
        <w:t>7.3.1 开工准备</w:t>
      </w:r>
    </w:p>
    <w:p>
      <w:pPr>
        <w:autoSpaceDE w:val="0"/>
        <w:autoSpaceDN w:val="0"/>
        <w:adjustRightInd w:val="0"/>
        <w:spacing w:line="400" w:lineRule="exact"/>
        <w:jc w:val="left"/>
        <w:rPr>
          <w:rFonts w:ascii="宋体" w:hAnsi="宋体"/>
          <w:color w:val="auto"/>
          <w:szCs w:val="21"/>
          <w:highlight w:val="none"/>
          <w:u w:val="single"/>
        </w:rPr>
      </w:pPr>
      <w:r>
        <w:rPr>
          <w:rFonts w:ascii="宋体" w:hAnsi="宋体"/>
          <w:color w:val="auto"/>
          <w:szCs w:val="21"/>
          <w:highlight w:val="none"/>
        </w:rPr>
        <w:t>关于承包人提交</w:t>
      </w:r>
      <w:r>
        <w:rPr>
          <w:rFonts w:ascii="宋体" w:hAnsi="宋体"/>
          <w:color w:val="auto"/>
          <w:kern w:val="0"/>
          <w:szCs w:val="21"/>
          <w:highlight w:val="none"/>
        </w:rPr>
        <w:t>工程开工报审表的期限：</w:t>
      </w:r>
      <w:r>
        <w:rPr>
          <w:rFonts w:hint="eastAsia" w:ascii="宋体" w:hAnsi="宋体"/>
          <w:color w:val="auto"/>
          <w:szCs w:val="21"/>
          <w:highlight w:val="none"/>
          <w:u w:val="single"/>
        </w:rPr>
        <w:t>承包人在图纸会审和设计交底之日起14天内报送</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关于发包人应完成的其他开工准备工作及期限：</w:t>
      </w:r>
      <w:r>
        <w:rPr>
          <w:rFonts w:hint="eastAsia" w:ascii="宋体" w:hAnsi="宋体"/>
          <w:color w:val="auto"/>
          <w:szCs w:val="21"/>
          <w:highlight w:val="none"/>
          <w:u w:val="single"/>
        </w:rPr>
        <w:t>开工许可证发出前</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关于承包人应完成的其他开工准备工作及期限：</w:t>
      </w:r>
      <w:r>
        <w:rPr>
          <w:rFonts w:hint="eastAsia" w:ascii="宋体" w:hAnsi="宋体"/>
          <w:color w:val="auto"/>
          <w:szCs w:val="21"/>
          <w:highlight w:val="none"/>
          <w:u w:val="single"/>
        </w:rPr>
        <w:t>开工许可证发出14天内</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7.3.2</w:t>
      </w:r>
      <w:r>
        <w:rPr>
          <w:rFonts w:hint="eastAsia" w:ascii="宋体" w:hAnsi="宋体"/>
          <w:color w:val="auto"/>
          <w:szCs w:val="21"/>
          <w:highlight w:val="none"/>
        </w:rPr>
        <w:t xml:space="preserve"> </w:t>
      </w:r>
      <w:r>
        <w:rPr>
          <w:rFonts w:ascii="宋体" w:hAnsi="宋体"/>
          <w:color w:val="auto"/>
          <w:szCs w:val="21"/>
          <w:highlight w:val="none"/>
        </w:rPr>
        <w:t>开工通知</w:t>
      </w:r>
    </w:p>
    <w:p>
      <w:pPr>
        <w:spacing w:line="400" w:lineRule="exact"/>
        <w:jc w:val="left"/>
        <w:rPr>
          <w:rFonts w:ascii="宋体" w:hAnsi="宋体"/>
          <w:color w:val="auto"/>
          <w:szCs w:val="21"/>
          <w:highlight w:val="none"/>
        </w:rPr>
      </w:pPr>
      <w:r>
        <w:rPr>
          <w:rFonts w:ascii="宋体" w:hAnsi="宋体"/>
          <w:color w:val="auto"/>
          <w:szCs w:val="21"/>
          <w:highlight w:val="none"/>
        </w:rPr>
        <w:t>因发包人原因造成监理人未能在计划开工日期之日起</w:t>
      </w:r>
      <w:r>
        <w:rPr>
          <w:rFonts w:hint="eastAsia" w:ascii="宋体" w:hAnsi="宋体"/>
          <w:color w:val="auto"/>
          <w:szCs w:val="21"/>
          <w:highlight w:val="none"/>
          <w:u w:val="single"/>
        </w:rPr>
        <w:t>90</w:t>
      </w:r>
      <w:r>
        <w:rPr>
          <w:rFonts w:ascii="宋体" w:hAnsi="宋体"/>
          <w:color w:val="auto"/>
          <w:szCs w:val="21"/>
          <w:highlight w:val="none"/>
        </w:rPr>
        <w:t>天内发出开工通知的，承包人有权提出价格调整要求，或者解除合同。</w:t>
      </w:r>
    </w:p>
    <w:bookmarkEnd w:id="348"/>
    <w:bookmarkEnd w:id="349"/>
    <w:bookmarkEnd w:id="350"/>
    <w:bookmarkEnd w:id="351"/>
    <w:bookmarkEnd w:id="352"/>
    <w:bookmarkEnd w:id="353"/>
    <w:bookmarkEnd w:id="354"/>
    <w:p>
      <w:pPr>
        <w:spacing w:line="400" w:lineRule="exact"/>
        <w:rPr>
          <w:rFonts w:ascii="宋体" w:hAnsi="宋体"/>
          <w:b/>
          <w:color w:val="auto"/>
          <w:highlight w:val="none"/>
        </w:rPr>
      </w:pPr>
      <w:bookmarkStart w:id="359" w:name="_Toc395382528"/>
      <w:bookmarkStart w:id="360" w:name="_Toc373227726"/>
      <w:bookmarkStart w:id="361" w:name="_Toc389065292"/>
      <w:bookmarkStart w:id="362" w:name="_Toc373478373"/>
      <w:r>
        <w:rPr>
          <w:rFonts w:hint="eastAsia" w:ascii="宋体" w:hAnsi="宋体"/>
          <w:b/>
          <w:color w:val="auto"/>
          <w:highlight w:val="none"/>
        </w:rPr>
        <w:t>7.4 测量放线</w:t>
      </w:r>
      <w:bookmarkEnd w:id="359"/>
      <w:bookmarkEnd w:id="360"/>
      <w:bookmarkEnd w:id="361"/>
      <w:bookmarkEnd w:id="362"/>
    </w:p>
    <w:p>
      <w:pPr>
        <w:spacing w:line="400" w:lineRule="exact"/>
        <w:jc w:val="left"/>
        <w:rPr>
          <w:rFonts w:ascii="宋体" w:hAnsi="宋体"/>
          <w:color w:val="auto"/>
          <w:szCs w:val="21"/>
          <w:highlight w:val="none"/>
        </w:rPr>
      </w:pPr>
      <w:r>
        <w:rPr>
          <w:rFonts w:ascii="宋体" w:hAnsi="宋体"/>
          <w:color w:val="auto"/>
          <w:szCs w:val="21"/>
          <w:highlight w:val="none"/>
        </w:rPr>
        <w:t>7.4.1发包人通过监理人向承包人提供测量基准点、基准线和水准点及其书面资料的期限：</w:t>
      </w:r>
      <w:r>
        <w:rPr>
          <w:rFonts w:hint="eastAsia" w:ascii="宋体" w:hAnsi="宋体"/>
          <w:color w:val="auto"/>
          <w:szCs w:val="21"/>
          <w:highlight w:val="none"/>
          <w:u w:val="single"/>
        </w:rPr>
        <w:t>开工许可证发出后3天内</w:t>
      </w:r>
      <w:r>
        <w:rPr>
          <w:rFonts w:ascii="宋体" w:hAnsi="宋体"/>
          <w:color w:val="auto"/>
          <w:szCs w:val="21"/>
          <w:highlight w:val="none"/>
        </w:rPr>
        <w:t>。</w:t>
      </w:r>
    </w:p>
    <w:p>
      <w:pPr>
        <w:spacing w:line="400" w:lineRule="exact"/>
        <w:rPr>
          <w:rFonts w:ascii="宋体" w:hAnsi="宋体"/>
          <w:b/>
          <w:color w:val="auto"/>
          <w:highlight w:val="none"/>
        </w:rPr>
      </w:pPr>
      <w:bookmarkStart w:id="363" w:name="_Toc389065293"/>
      <w:bookmarkStart w:id="364" w:name="_Toc395382529"/>
      <w:bookmarkStart w:id="365" w:name="_Toc373478374"/>
      <w:bookmarkStart w:id="366" w:name="_Toc373227727"/>
      <w:r>
        <w:rPr>
          <w:rFonts w:hint="eastAsia" w:ascii="宋体" w:hAnsi="宋体"/>
          <w:b/>
          <w:color w:val="auto"/>
          <w:highlight w:val="none"/>
        </w:rPr>
        <w:t>7</w:t>
      </w:r>
      <w:bookmarkStart w:id="367" w:name="_Toc312678010"/>
      <w:bookmarkStart w:id="368" w:name="_Toc312677484"/>
      <w:bookmarkStart w:id="369" w:name="_Toc297123516"/>
      <w:bookmarkStart w:id="370" w:name="_Toc297216175"/>
      <w:bookmarkStart w:id="371" w:name="_Toc300934968"/>
      <w:bookmarkStart w:id="372" w:name="_Toc304295546"/>
      <w:bookmarkStart w:id="373" w:name="_Toc303539125"/>
      <w:r>
        <w:rPr>
          <w:rFonts w:hint="eastAsia" w:ascii="宋体" w:hAnsi="宋体"/>
          <w:b/>
          <w:color w:val="auto"/>
          <w:highlight w:val="none"/>
        </w:rPr>
        <w:t>.5 工期延误</w:t>
      </w:r>
      <w:bookmarkEnd w:id="363"/>
      <w:bookmarkEnd w:id="364"/>
      <w:bookmarkEnd w:id="365"/>
      <w:bookmarkEnd w:id="366"/>
    </w:p>
    <w:bookmarkEnd w:id="367"/>
    <w:bookmarkEnd w:id="368"/>
    <w:bookmarkEnd w:id="369"/>
    <w:bookmarkEnd w:id="370"/>
    <w:bookmarkEnd w:id="371"/>
    <w:bookmarkEnd w:id="372"/>
    <w:bookmarkEnd w:id="373"/>
    <w:p>
      <w:pPr>
        <w:spacing w:line="400" w:lineRule="exact"/>
        <w:jc w:val="left"/>
        <w:rPr>
          <w:rFonts w:ascii="宋体" w:hAnsi="宋体"/>
          <w:color w:val="auto"/>
          <w:szCs w:val="21"/>
          <w:highlight w:val="none"/>
        </w:rPr>
      </w:pPr>
      <w:r>
        <w:rPr>
          <w:rFonts w:ascii="宋体" w:hAnsi="宋体"/>
          <w:color w:val="auto"/>
          <w:szCs w:val="21"/>
          <w:highlight w:val="none"/>
        </w:rPr>
        <w:t>7.5.1 因发包人原因导致工期延误</w:t>
      </w:r>
    </w:p>
    <w:p>
      <w:pPr>
        <w:spacing w:line="400" w:lineRule="exact"/>
        <w:rPr>
          <w:rFonts w:ascii="宋体" w:hAnsi="宋体"/>
          <w:color w:val="auto"/>
          <w:szCs w:val="21"/>
          <w:highlight w:val="none"/>
        </w:rPr>
      </w:pPr>
      <w:r>
        <w:rPr>
          <w:rFonts w:ascii="宋体" w:hAnsi="宋体"/>
          <w:color w:val="auto"/>
          <w:szCs w:val="21"/>
          <w:highlight w:val="none"/>
        </w:rPr>
        <w:t>因发包人原因导致工期延误的其他情形：</w:t>
      </w:r>
      <w:r>
        <w:rPr>
          <w:rFonts w:ascii="宋体" w:hAnsi="宋体"/>
          <w:color w:val="auto"/>
          <w:szCs w:val="21"/>
          <w:highlight w:val="none"/>
          <w:u w:val="single"/>
        </w:rPr>
        <w:t>①未按合同约定期限提供施工场地的，工期顺延。②由于设计变更导致工程量增加的，工期顺延，顺延时间按现场签证确定。③由于征地拆迁的影响，致使施工不能正常进行的，工期顺延。④不可抗力等延误承包人关键线路工作的情况</w:t>
      </w:r>
      <w:r>
        <w:rPr>
          <w:rFonts w:hint="eastAsia" w:ascii="宋体" w:hAnsi="宋体"/>
          <w:color w:val="auto"/>
          <w:szCs w:val="21"/>
          <w:highlight w:val="none"/>
          <w:u w:val="single"/>
        </w:rPr>
        <w:t>工期按时顺延。由上述情况引起的相关费用发包人不予承担，承包人也不能因此提出任何索赔</w:t>
      </w:r>
      <w:r>
        <w:rPr>
          <w:rFonts w:ascii="宋体" w:hAnsi="宋体"/>
          <w:color w:val="auto"/>
          <w:szCs w:val="21"/>
          <w:highlight w:val="none"/>
        </w:rPr>
        <w:t>。</w:t>
      </w:r>
    </w:p>
    <w:p>
      <w:pPr>
        <w:spacing w:line="400" w:lineRule="exact"/>
        <w:rPr>
          <w:rFonts w:ascii="宋体" w:hAnsi="宋体"/>
          <w:color w:val="auto"/>
          <w:szCs w:val="21"/>
          <w:highlight w:val="none"/>
          <w:u w:val="single"/>
        </w:rPr>
      </w:pPr>
      <w:r>
        <w:rPr>
          <w:rFonts w:ascii="宋体" w:hAnsi="宋体"/>
          <w:color w:val="auto"/>
          <w:szCs w:val="21"/>
          <w:highlight w:val="none"/>
        </w:rPr>
        <w:t>7</w:t>
      </w:r>
      <w:bookmarkStart w:id="374" w:name="_Toc312678012"/>
      <w:bookmarkStart w:id="375" w:name="_Toc312677486"/>
      <w:bookmarkStart w:id="376" w:name="_Toc318581169"/>
      <w:bookmarkStart w:id="377" w:name="_Toc300934970"/>
      <w:bookmarkStart w:id="378" w:name="_Toc297216177"/>
      <w:bookmarkStart w:id="379" w:name="_Toc303539127"/>
      <w:bookmarkStart w:id="380" w:name="_Toc304295548"/>
      <w:bookmarkStart w:id="381" w:name="_Toc297123518"/>
      <w:r>
        <w:rPr>
          <w:rFonts w:ascii="宋体" w:hAnsi="宋体"/>
          <w:color w:val="auto"/>
          <w:szCs w:val="21"/>
          <w:highlight w:val="none"/>
        </w:rPr>
        <w:t>.5.2 因承包人原因导致工期延误</w:t>
      </w:r>
      <w:r>
        <w:rPr>
          <w:rFonts w:hint="eastAsia" w:ascii="宋体" w:hAnsi="宋体"/>
          <w:color w:val="auto"/>
          <w:szCs w:val="21"/>
          <w:highlight w:val="none"/>
        </w:rPr>
        <w:t>：</w:t>
      </w:r>
      <w:bookmarkEnd w:id="374"/>
      <w:bookmarkEnd w:id="375"/>
      <w:bookmarkEnd w:id="376"/>
      <w:r>
        <w:rPr>
          <w:rFonts w:ascii="宋体" w:hAnsi="宋体"/>
          <w:color w:val="auto"/>
          <w:szCs w:val="21"/>
          <w:highlight w:val="none"/>
          <w:u w:val="single"/>
        </w:rPr>
        <w:t>双方约定经监理工程师确认，工期相应顺延的情况：</w:t>
      </w:r>
      <w:r>
        <w:rPr>
          <w:rFonts w:hint="eastAsia" w:ascii="宋体" w:hAnsi="宋体"/>
          <w:color w:val="auto"/>
          <w:szCs w:val="21"/>
          <w:highlight w:val="none"/>
          <w:u w:val="single"/>
        </w:rPr>
        <w:t>当地政策变化引起的延误；建设项目停、缓建；不可预见的地下障碍物和地下文物的处理；属不可抗拒的自然灾害；因发包人原因造成的延误。由于承包人原因引起的过失或违约造成的延误，责任在承包人，由承包人承担费用，不顺延工期</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因</w:t>
      </w:r>
      <w:bookmarkStart w:id="382" w:name="_Toc312678013"/>
      <w:bookmarkStart w:id="383" w:name="_Toc312677487"/>
      <w:bookmarkStart w:id="384" w:name="_Toc318581170"/>
      <w:r>
        <w:rPr>
          <w:rFonts w:ascii="宋体" w:hAnsi="宋体"/>
          <w:color w:val="auto"/>
          <w:szCs w:val="21"/>
          <w:highlight w:val="none"/>
        </w:rPr>
        <w:t>承包人原因造成工期延误，逾期竣工违约金的计算方法为：</w:t>
      </w:r>
      <w:r>
        <w:rPr>
          <w:rFonts w:ascii="宋体" w:hAnsi="宋体"/>
          <w:color w:val="auto"/>
          <w:szCs w:val="21"/>
          <w:highlight w:val="none"/>
          <w:u w:val="single"/>
        </w:rPr>
        <w:t>承包人不能按合同约定的时间竣工，承包人应承担违约责任。应向发包人支付误期赔偿费（每天赔偿金额为合同价款扣除建安劳保费、发包人材料价款、暂估专业工程、暂列金额后的万分</w:t>
      </w:r>
      <w:r>
        <w:rPr>
          <w:rFonts w:hint="eastAsia" w:ascii="宋体" w:hAnsi="宋体"/>
          <w:color w:val="auto"/>
          <w:szCs w:val="21"/>
          <w:highlight w:val="none"/>
          <w:u w:val="single"/>
        </w:rPr>
        <w:t>之四</w:t>
      </w:r>
      <w:r>
        <w:rPr>
          <w:rFonts w:ascii="宋体" w:hAnsi="宋体"/>
          <w:color w:val="auto"/>
          <w:szCs w:val="21"/>
          <w:highlight w:val="none"/>
          <w:u w:val="single"/>
        </w:rPr>
        <w:t>），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r>
        <w:rPr>
          <w:rFonts w:ascii="宋体" w:hAnsi="宋体"/>
          <w:color w:val="auto"/>
          <w:szCs w:val="21"/>
          <w:highlight w:val="none"/>
        </w:rPr>
        <w:t>。</w:t>
      </w:r>
    </w:p>
    <w:bookmarkEnd w:id="377"/>
    <w:bookmarkEnd w:id="378"/>
    <w:bookmarkEnd w:id="379"/>
    <w:bookmarkEnd w:id="380"/>
    <w:bookmarkEnd w:id="381"/>
    <w:bookmarkEnd w:id="382"/>
    <w:bookmarkEnd w:id="383"/>
    <w:bookmarkEnd w:id="384"/>
    <w:p>
      <w:pPr>
        <w:spacing w:line="400" w:lineRule="exact"/>
        <w:jc w:val="left"/>
        <w:rPr>
          <w:rFonts w:ascii="宋体" w:hAnsi="宋体"/>
          <w:color w:val="auto"/>
          <w:szCs w:val="21"/>
          <w:highlight w:val="none"/>
        </w:rPr>
      </w:pPr>
      <w:r>
        <w:rPr>
          <w:rFonts w:ascii="宋体" w:hAnsi="宋体"/>
          <w:color w:val="auto"/>
          <w:szCs w:val="21"/>
          <w:highlight w:val="none"/>
        </w:rPr>
        <w:t>因承包人原因造成工期延误，逾</w:t>
      </w:r>
      <w:bookmarkStart w:id="385" w:name="_Toc318581171"/>
      <w:bookmarkStart w:id="386" w:name="_Toc312678014"/>
      <w:r>
        <w:rPr>
          <w:rFonts w:ascii="宋体" w:hAnsi="宋体"/>
          <w:color w:val="auto"/>
          <w:szCs w:val="21"/>
          <w:highlight w:val="none"/>
        </w:rPr>
        <w:t>期竣工违约金的上限：</w:t>
      </w:r>
      <w:r>
        <w:rPr>
          <w:rFonts w:ascii="宋体" w:hAnsi="宋体"/>
          <w:color w:val="auto"/>
          <w:szCs w:val="21"/>
          <w:highlight w:val="none"/>
          <w:u w:val="single"/>
        </w:rPr>
        <w:t>合同价扣除建安劳保费、发包人材料价款、暂估专业工程、暂列金额后的</w:t>
      </w:r>
      <w:r>
        <w:rPr>
          <w:rFonts w:hint="eastAsia" w:ascii="宋体" w:hAnsi="宋体"/>
          <w:color w:val="auto"/>
          <w:szCs w:val="21"/>
          <w:highlight w:val="none"/>
          <w:u w:val="single"/>
        </w:rPr>
        <w:t>2</w:t>
      </w:r>
      <w:r>
        <w:rPr>
          <w:rFonts w:ascii="宋体" w:hAnsi="宋体"/>
          <w:color w:val="auto"/>
          <w:szCs w:val="21"/>
          <w:highlight w:val="none"/>
          <w:u w:val="single"/>
        </w:rPr>
        <w:t>%</w:t>
      </w:r>
      <w:r>
        <w:rPr>
          <w:rFonts w:ascii="宋体" w:hAnsi="宋体"/>
          <w:color w:val="auto"/>
          <w:szCs w:val="21"/>
          <w:highlight w:val="none"/>
        </w:rPr>
        <w:t>。</w:t>
      </w:r>
    </w:p>
    <w:bookmarkEnd w:id="385"/>
    <w:bookmarkEnd w:id="386"/>
    <w:p>
      <w:pPr>
        <w:spacing w:line="400" w:lineRule="exact"/>
        <w:rPr>
          <w:rFonts w:ascii="宋体" w:hAnsi="宋体"/>
          <w:b/>
          <w:color w:val="auto"/>
          <w:highlight w:val="none"/>
        </w:rPr>
      </w:pPr>
      <w:bookmarkStart w:id="387" w:name="_Toc373478375"/>
      <w:bookmarkStart w:id="388" w:name="_Toc373227728"/>
      <w:bookmarkStart w:id="389" w:name="_Toc395382530"/>
      <w:bookmarkStart w:id="390" w:name="_Toc389065294"/>
      <w:r>
        <w:rPr>
          <w:rFonts w:hint="eastAsia" w:ascii="宋体" w:hAnsi="宋体"/>
          <w:b/>
          <w:color w:val="auto"/>
          <w:highlight w:val="none"/>
        </w:rPr>
        <w:t>7</w:t>
      </w:r>
      <w:bookmarkStart w:id="391" w:name="_Toc304295549"/>
      <w:bookmarkStart w:id="392" w:name="_Toc297216178"/>
      <w:bookmarkStart w:id="393" w:name="_Toc303539128"/>
      <w:bookmarkStart w:id="394" w:name="_Toc297123519"/>
      <w:bookmarkStart w:id="395" w:name="_Toc312678015"/>
      <w:bookmarkStart w:id="396" w:name="_Toc300934971"/>
      <w:r>
        <w:rPr>
          <w:rFonts w:hint="eastAsia" w:ascii="宋体" w:hAnsi="宋体"/>
          <w:b/>
          <w:color w:val="auto"/>
          <w:highlight w:val="none"/>
        </w:rPr>
        <w:t>.6 不</w:t>
      </w:r>
      <w:bookmarkEnd w:id="391"/>
      <w:bookmarkEnd w:id="392"/>
      <w:bookmarkEnd w:id="393"/>
      <w:bookmarkEnd w:id="394"/>
      <w:bookmarkEnd w:id="395"/>
      <w:bookmarkEnd w:id="396"/>
      <w:r>
        <w:rPr>
          <w:rFonts w:hint="eastAsia" w:ascii="宋体" w:hAnsi="宋体"/>
          <w:b/>
          <w:color w:val="auto"/>
          <w:highlight w:val="none"/>
        </w:rPr>
        <w:t>利物质条件</w:t>
      </w:r>
      <w:bookmarkEnd w:id="387"/>
      <w:bookmarkEnd w:id="388"/>
      <w:bookmarkEnd w:id="389"/>
      <w:bookmarkEnd w:id="390"/>
    </w:p>
    <w:p>
      <w:pPr>
        <w:spacing w:line="400" w:lineRule="exact"/>
        <w:jc w:val="left"/>
        <w:rPr>
          <w:rFonts w:ascii="宋体" w:hAnsi="宋体"/>
          <w:color w:val="auto"/>
          <w:szCs w:val="21"/>
          <w:highlight w:val="none"/>
          <w:u w:val="single"/>
        </w:rPr>
      </w:pPr>
      <w:bookmarkStart w:id="397" w:name="_Toc312678016"/>
      <w:bookmarkStart w:id="398" w:name="_Toc318581172"/>
      <w:bookmarkStart w:id="399" w:name="_Toc304295550"/>
      <w:bookmarkStart w:id="400" w:name="_Toc300934972"/>
      <w:bookmarkStart w:id="401" w:name="_Toc303539129"/>
      <w:bookmarkStart w:id="402" w:name="_Toc297216179"/>
      <w:bookmarkStart w:id="403" w:name="_Toc297123520"/>
      <w:r>
        <w:rPr>
          <w:rFonts w:ascii="宋体" w:hAnsi="宋体"/>
          <w:color w:val="auto"/>
          <w:szCs w:val="21"/>
          <w:highlight w:val="none"/>
        </w:rPr>
        <w:t>不利物质条件的其他情形和有关约定：</w:t>
      </w:r>
      <w:r>
        <w:rPr>
          <w:rFonts w:hint="eastAsia" w:ascii="宋体" w:hAnsi="宋体"/>
          <w:color w:val="auto"/>
          <w:szCs w:val="21"/>
          <w:highlight w:val="none"/>
          <w:u w:val="single"/>
        </w:rPr>
        <w:t>气象台发布的黄色预警及以上天气、恶劣的霜冻与冰冻天气</w:t>
      </w:r>
      <w:r>
        <w:rPr>
          <w:rFonts w:ascii="宋体" w:hAnsi="宋体"/>
          <w:color w:val="auto"/>
          <w:szCs w:val="21"/>
          <w:highlight w:val="none"/>
        </w:rPr>
        <w:t>。</w:t>
      </w:r>
    </w:p>
    <w:bookmarkEnd w:id="397"/>
    <w:bookmarkEnd w:id="398"/>
    <w:bookmarkEnd w:id="399"/>
    <w:bookmarkEnd w:id="400"/>
    <w:bookmarkEnd w:id="401"/>
    <w:bookmarkEnd w:id="402"/>
    <w:bookmarkEnd w:id="403"/>
    <w:p>
      <w:pPr>
        <w:spacing w:line="400" w:lineRule="exact"/>
        <w:rPr>
          <w:rFonts w:ascii="宋体" w:hAnsi="宋体"/>
          <w:b/>
          <w:color w:val="auto"/>
          <w:highlight w:val="none"/>
        </w:rPr>
      </w:pPr>
      <w:bookmarkStart w:id="404" w:name="_Toc373227729"/>
      <w:bookmarkStart w:id="405" w:name="_Toc373478376"/>
      <w:bookmarkStart w:id="406" w:name="_Toc395382531"/>
      <w:bookmarkStart w:id="407" w:name="_Toc389065295"/>
      <w:r>
        <w:rPr>
          <w:rFonts w:hint="eastAsia" w:ascii="宋体" w:hAnsi="宋体"/>
          <w:b/>
          <w:color w:val="auto"/>
          <w:highlight w:val="none"/>
        </w:rPr>
        <w:t>7</w:t>
      </w:r>
      <w:bookmarkStart w:id="408" w:name="_Toc297123521"/>
      <w:bookmarkStart w:id="409" w:name="_Toc304295551"/>
      <w:bookmarkStart w:id="410" w:name="_Toc297216180"/>
      <w:bookmarkStart w:id="411" w:name="_Toc303539130"/>
      <w:bookmarkStart w:id="412" w:name="_Toc300934973"/>
      <w:bookmarkStart w:id="413" w:name="_Toc312678017"/>
      <w:r>
        <w:rPr>
          <w:rFonts w:hint="eastAsia" w:ascii="宋体" w:hAnsi="宋体"/>
          <w:b/>
          <w:color w:val="auto"/>
          <w:highlight w:val="none"/>
        </w:rPr>
        <w:t>.7 异常恶劣的气候条件</w:t>
      </w:r>
      <w:bookmarkEnd w:id="404"/>
      <w:bookmarkEnd w:id="405"/>
      <w:bookmarkEnd w:id="406"/>
      <w:bookmarkEnd w:id="407"/>
    </w:p>
    <w:bookmarkEnd w:id="408"/>
    <w:bookmarkEnd w:id="409"/>
    <w:bookmarkEnd w:id="410"/>
    <w:bookmarkEnd w:id="411"/>
    <w:bookmarkEnd w:id="412"/>
    <w:bookmarkEnd w:id="413"/>
    <w:p>
      <w:pPr>
        <w:spacing w:line="400" w:lineRule="exact"/>
        <w:jc w:val="left"/>
        <w:rPr>
          <w:rFonts w:ascii="宋体" w:hAnsi="宋体"/>
          <w:color w:val="auto"/>
          <w:szCs w:val="21"/>
          <w:highlight w:val="none"/>
        </w:rPr>
      </w:pPr>
      <w:r>
        <w:rPr>
          <w:rFonts w:ascii="宋体" w:hAnsi="宋体"/>
          <w:color w:val="auto"/>
          <w:szCs w:val="21"/>
          <w:highlight w:val="none"/>
        </w:rPr>
        <w:t>发包人和承包人同意以下情形视为异常恶劣的气候条件：</w:t>
      </w:r>
    </w:p>
    <w:p>
      <w:pPr>
        <w:spacing w:line="400" w:lineRule="exact"/>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u w:val="single"/>
        </w:rPr>
        <w:t>不可抗拒的自然灾害</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u w:val="single"/>
        </w:rPr>
        <w:t>气象台发布的黄色预警及以上天气、恶劣的霜冻与冰冻天气</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b/>
          <w:color w:val="auto"/>
          <w:highlight w:val="none"/>
        </w:rPr>
      </w:pPr>
      <w:bookmarkStart w:id="414" w:name="_Toc395382532"/>
      <w:bookmarkStart w:id="415" w:name="_Toc373227730"/>
      <w:bookmarkStart w:id="416" w:name="_Toc389065296"/>
      <w:bookmarkStart w:id="417" w:name="_Toc373478377"/>
      <w:r>
        <w:rPr>
          <w:rFonts w:hint="eastAsia" w:ascii="宋体" w:hAnsi="宋体"/>
          <w:b/>
          <w:color w:val="auto"/>
          <w:highlight w:val="none"/>
        </w:rPr>
        <w:t>7.9 提前竣工</w:t>
      </w:r>
      <w:bookmarkEnd w:id="414"/>
      <w:bookmarkEnd w:id="415"/>
      <w:bookmarkEnd w:id="416"/>
      <w:bookmarkEnd w:id="417"/>
    </w:p>
    <w:p>
      <w:pPr>
        <w:spacing w:line="400" w:lineRule="exact"/>
        <w:jc w:val="left"/>
        <w:rPr>
          <w:rFonts w:ascii="宋体" w:hAnsi="宋体"/>
          <w:color w:val="auto"/>
          <w:szCs w:val="21"/>
          <w:highlight w:val="none"/>
        </w:rPr>
      </w:pPr>
      <w:r>
        <w:rPr>
          <w:rFonts w:ascii="宋体" w:hAnsi="宋体"/>
          <w:color w:val="auto"/>
          <w:szCs w:val="21"/>
          <w:highlight w:val="none"/>
        </w:rPr>
        <w:t>7.9.2提前竣工</w:t>
      </w:r>
      <w:r>
        <w:rPr>
          <w:rFonts w:hint="eastAsia" w:ascii="宋体" w:hAnsi="宋体"/>
          <w:color w:val="auto"/>
          <w:szCs w:val="21"/>
          <w:highlight w:val="none"/>
        </w:rPr>
        <w:t>（赶工）增加费</w:t>
      </w:r>
      <w:r>
        <w:rPr>
          <w:rFonts w:ascii="宋体" w:hAnsi="宋体"/>
          <w:color w:val="auto"/>
          <w:szCs w:val="21"/>
          <w:highlight w:val="none"/>
        </w:rPr>
        <w:t>的</w:t>
      </w:r>
      <w:r>
        <w:rPr>
          <w:rFonts w:hint="eastAsia" w:ascii="宋体" w:hAnsi="宋体"/>
          <w:color w:val="auto"/>
          <w:szCs w:val="21"/>
          <w:highlight w:val="none"/>
        </w:rPr>
        <w:t>计算方法</w:t>
      </w:r>
      <w:r>
        <w:rPr>
          <w:rFonts w:ascii="宋体" w:hAnsi="宋体"/>
          <w:color w:val="auto"/>
          <w:szCs w:val="21"/>
          <w:highlight w:val="none"/>
        </w:rPr>
        <w:t>：</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rPr>
          <w:rFonts w:ascii="宋体" w:hAnsi="宋体"/>
          <w:b/>
          <w:color w:val="auto"/>
          <w:highlight w:val="none"/>
        </w:rPr>
      </w:pPr>
      <w:bookmarkStart w:id="418" w:name="_Toc395382533"/>
      <w:bookmarkStart w:id="419" w:name="_Toc389065297"/>
      <w:bookmarkStart w:id="420" w:name="_Toc373227731"/>
      <w:bookmarkStart w:id="421" w:name="_Toc373478378"/>
      <w:bookmarkStart w:id="422" w:name="_Toc351203640"/>
      <w:r>
        <w:rPr>
          <w:rFonts w:ascii="宋体" w:hAnsi="宋体"/>
          <w:b/>
          <w:color w:val="auto"/>
          <w:highlight w:val="none"/>
        </w:rPr>
        <w:t>8.材料与设备</w:t>
      </w:r>
      <w:bookmarkEnd w:id="418"/>
      <w:bookmarkEnd w:id="419"/>
      <w:bookmarkEnd w:id="420"/>
      <w:bookmarkEnd w:id="421"/>
      <w:bookmarkEnd w:id="422"/>
    </w:p>
    <w:bookmarkEnd w:id="301"/>
    <w:bookmarkEnd w:id="302"/>
    <w:bookmarkEnd w:id="303"/>
    <w:bookmarkEnd w:id="304"/>
    <w:bookmarkEnd w:id="305"/>
    <w:bookmarkEnd w:id="306"/>
    <w:bookmarkEnd w:id="307"/>
    <w:bookmarkEnd w:id="308"/>
    <w:bookmarkEnd w:id="309"/>
    <w:bookmarkEnd w:id="310"/>
    <w:p>
      <w:pPr>
        <w:spacing w:line="400" w:lineRule="exact"/>
        <w:rPr>
          <w:rFonts w:ascii="宋体" w:hAnsi="宋体"/>
          <w:b/>
          <w:color w:val="auto"/>
          <w:highlight w:val="none"/>
        </w:rPr>
      </w:pPr>
      <w:bookmarkStart w:id="423" w:name="_Toc373227732"/>
      <w:bookmarkStart w:id="424" w:name="_Toc373478379"/>
      <w:bookmarkStart w:id="425" w:name="_Toc389065298"/>
      <w:bookmarkStart w:id="426" w:name="_Toc395382534"/>
      <w:r>
        <w:rPr>
          <w:rFonts w:ascii="宋体" w:hAnsi="宋体"/>
          <w:b/>
          <w:color w:val="auto"/>
          <w:highlight w:val="none"/>
        </w:rPr>
        <w:t>8.2</w:t>
      </w:r>
      <w:r>
        <w:rPr>
          <w:rFonts w:hint="eastAsia" w:ascii="宋体" w:hAnsi="宋体"/>
          <w:b/>
          <w:color w:val="auto"/>
          <w:highlight w:val="none"/>
        </w:rPr>
        <w:t xml:space="preserve"> </w:t>
      </w:r>
      <w:r>
        <w:rPr>
          <w:rFonts w:ascii="宋体" w:hAnsi="宋体"/>
          <w:b/>
          <w:color w:val="auto"/>
          <w:highlight w:val="none"/>
        </w:rPr>
        <w:t>承包人采购材料与工程设备</w:t>
      </w:r>
      <w:bookmarkEnd w:id="423"/>
      <w:bookmarkEnd w:id="424"/>
      <w:bookmarkEnd w:id="425"/>
      <w:bookmarkEnd w:id="426"/>
    </w:p>
    <w:p>
      <w:pPr>
        <w:autoSpaceDE w:val="0"/>
        <w:autoSpaceDN w:val="0"/>
        <w:adjustRightInd w:val="0"/>
        <w:spacing w:line="400" w:lineRule="exact"/>
        <w:jc w:val="left"/>
        <w:rPr>
          <w:rFonts w:ascii="宋体" w:hAnsi="宋体"/>
          <w:color w:val="auto"/>
          <w:szCs w:val="21"/>
          <w:highlight w:val="none"/>
        </w:rPr>
      </w:pPr>
      <w:r>
        <w:rPr>
          <w:rFonts w:ascii="宋体" w:hAnsi="宋体"/>
          <w:color w:val="auto"/>
          <w:kern w:val="0"/>
          <w:szCs w:val="21"/>
          <w:highlight w:val="none"/>
        </w:rPr>
        <w:t>除</w:t>
      </w:r>
      <w:r>
        <w:rPr>
          <w:rFonts w:hint="eastAsia" w:ascii="宋体" w:hAnsi="宋体"/>
          <w:color w:val="auto"/>
          <w:kern w:val="0"/>
          <w:szCs w:val="21"/>
          <w:highlight w:val="none"/>
        </w:rPr>
        <w:t>已标价工程量清单</w:t>
      </w:r>
      <w:r>
        <w:rPr>
          <w:rFonts w:ascii="宋体" w:hAnsi="宋体"/>
          <w:color w:val="auto"/>
          <w:kern w:val="0"/>
          <w:szCs w:val="21"/>
          <w:highlight w:val="none"/>
        </w:rPr>
        <w:t>《发包人</w:t>
      </w:r>
      <w:r>
        <w:rPr>
          <w:rFonts w:hint="eastAsia" w:ascii="宋体" w:hAnsi="宋体"/>
          <w:color w:val="auto"/>
          <w:kern w:val="0"/>
          <w:szCs w:val="21"/>
          <w:highlight w:val="none"/>
        </w:rPr>
        <w:t>提供主要</w:t>
      </w:r>
      <w:r>
        <w:rPr>
          <w:rFonts w:ascii="宋体" w:hAnsi="宋体"/>
          <w:color w:val="auto"/>
          <w:kern w:val="0"/>
          <w:szCs w:val="21"/>
          <w:highlight w:val="none"/>
        </w:rPr>
        <w:t>材料</w:t>
      </w:r>
      <w:r>
        <w:rPr>
          <w:rFonts w:hint="eastAsia" w:ascii="宋体" w:hAnsi="宋体"/>
          <w:color w:val="auto"/>
          <w:kern w:val="0"/>
          <w:szCs w:val="21"/>
          <w:highlight w:val="none"/>
        </w:rPr>
        <w:t>和工程</w:t>
      </w:r>
      <w:r>
        <w:rPr>
          <w:rFonts w:ascii="宋体" w:hAnsi="宋体"/>
          <w:color w:val="auto"/>
          <w:kern w:val="0"/>
          <w:szCs w:val="21"/>
          <w:highlight w:val="none"/>
        </w:rPr>
        <w:t>设备一览表》</w:t>
      </w:r>
      <w:r>
        <w:rPr>
          <w:rFonts w:hint="eastAsia" w:ascii="宋体" w:hAnsi="宋体"/>
          <w:color w:val="auto"/>
          <w:kern w:val="0"/>
          <w:szCs w:val="21"/>
          <w:highlight w:val="none"/>
        </w:rPr>
        <w:t>（表-21）</w:t>
      </w:r>
      <w:r>
        <w:rPr>
          <w:rFonts w:ascii="宋体" w:hAnsi="宋体"/>
          <w:color w:val="auto"/>
          <w:kern w:val="0"/>
          <w:szCs w:val="21"/>
          <w:highlight w:val="none"/>
        </w:rPr>
        <w:t>中明确的材料、工程设备外，由承包人负责材料和工程设备的采购、运输和保管。</w:t>
      </w:r>
      <w:r>
        <w:rPr>
          <w:rFonts w:hint="eastAsia" w:ascii="宋体" w:hAnsi="宋体"/>
          <w:color w:val="auto"/>
          <w:kern w:val="0"/>
          <w:szCs w:val="21"/>
          <w:highlight w:val="none"/>
        </w:rPr>
        <w:t>《</w:t>
      </w:r>
      <w:r>
        <w:rPr>
          <w:rFonts w:ascii="宋体" w:hAnsi="宋体"/>
          <w:color w:val="auto"/>
          <w:szCs w:val="21"/>
          <w:highlight w:val="none"/>
        </w:rPr>
        <w:t>承包人提供主要材料和工程设备一览表</w:t>
      </w:r>
      <w:r>
        <w:rPr>
          <w:rFonts w:hint="eastAsia" w:ascii="宋体" w:hAnsi="宋体"/>
          <w:color w:val="auto"/>
          <w:szCs w:val="21"/>
          <w:highlight w:val="none"/>
        </w:rPr>
        <w:t>》</w:t>
      </w:r>
      <w:r>
        <w:rPr>
          <w:rFonts w:hint="eastAsia" w:ascii="宋体" w:hAnsi="宋体"/>
          <w:color w:val="auto"/>
          <w:kern w:val="0"/>
          <w:szCs w:val="21"/>
          <w:highlight w:val="none"/>
        </w:rPr>
        <w:t>（表-22）见已标价工程量清单。</w:t>
      </w:r>
    </w:p>
    <w:p>
      <w:pPr>
        <w:spacing w:line="400" w:lineRule="exact"/>
        <w:rPr>
          <w:rFonts w:ascii="宋体" w:hAnsi="宋体"/>
          <w:b/>
          <w:color w:val="auto"/>
          <w:highlight w:val="none"/>
        </w:rPr>
      </w:pPr>
      <w:bookmarkStart w:id="427" w:name="_Toc373478380"/>
      <w:bookmarkStart w:id="428" w:name="_Toc395382535"/>
      <w:bookmarkStart w:id="429" w:name="_Toc389065299"/>
      <w:bookmarkStart w:id="430" w:name="_Toc373227733"/>
      <w:r>
        <w:rPr>
          <w:rFonts w:ascii="宋体" w:hAnsi="宋体"/>
          <w:b/>
          <w:color w:val="auto"/>
          <w:highlight w:val="none"/>
        </w:rPr>
        <w:t>8</w:t>
      </w:r>
      <w:bookmarkStart w:id="431" w:name="_Toc292559877"/>
      <w:bookmarkStart w:id="432" w:name="_Toc297216186"/>
      <w:bookmarkStart w:id="433" w:name="_Toc312678019"/>
      <w:bookmarkStart w:id="434" w:name="_Toc296944506"/>
      <w:bookmarkStart w:id="435" w:name="_Toc300934979"/>
      <w:bookmarkStart w:id="436" w:name="_Toc304295556"/>
      <w:bookmarkStart w:id="437" w:name="_Toc296347166"/>
      <w:bookmarkStart w:id="438" w:name="_Toc296346668"/>
      <w:bookmarkStart w:id="439" w:name="_Toc280868654"/>
      <w:bookmarkStart w:id="440" w:name="_Toc297048353"/>
      <w:bookmarkStart w:id="441" w:name="_Toc297120467"/>
      <w:bookmarkStart w:id="442" w:name="_Toc312677493"/>
      <w:bookmarkStart w:id="443" w:name="_Toc296890995"/>
      <w:bookmarkStart w:id="444" w:name="_Toc296891207"/>
      <w:bookmarkStart w:id="445" w:name="_Toc297123527"/>
      <w:bookmarkStart w:id="446" w:name="_Toc296503167"/>
      <w:bookmarkStart w:id="447" w:name="_Toc303539136"/>
      <w:bookmarkStart w:id="448" w:name="_Toc292559372"/>
      <w:bookmarkStart w:id="449" w:name="_Toc267251424"/>
      <w:bookmarkStart w:id="450" w:name="_Toc280868656"/>
      <w:bookmarkStart w:id="451" w:name="_Toc280868655"/>
      <w:r>
        <w:rPr>
          <w:rFonts w:ascii="宋体" w:hAnsi="宋体"/>
          <w:b/>
          <w:color w:val="auto"/>
          <w:highlight w:val="none"/>
        </w:rPr>
        <w:t>.4</w:t>
      </w:r>
      <w:r>
        <w:rPr>
          <w:rFonts w:hint="eastAsia" w:ascii="宋体" w:hAnsi="宋体"/>
          <w:b/>
          <w:color w:val="auto"/>
          <w:highlight w:val="none"/>
        </w:rPr>
        <w:t xml:space="preserve"> </w:t>
      </w:r>
      <w:r>
        <w:rPr>
          <w:rFonts w:ascii="宋体" w:hAnsi="宋体"/>
          <w:b/>
          <w:color w:val="auto"/>
          <w:highlight w:val="none"/>
        </w:rPr>
        <w:t>材料与工程设备的保管与使用</w:t>
      </w:r>
      <w:bookmarkEnd w:id="427"/>
      <w:bookmarkEnd w:id="428"/>
      <w:bookmarkEnd w:id="429"/>
      <w:bookmarkEnd w:id="430"/>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Pr>
        <w:spacing w:line="400" w:lineRule="exact"/>
        <w:jc w:val="left"/>
        <w:rPr>
          <w:rFonts w:ascii="宋体" w:hAnsi="宋体"/>
          <w:color w:val="auto"/>
          <w:szCs w:val="21"/>
          <w:highlight w:val="none"/>
          <w:u w:val="single"/>
        </w:rPr>
      </w:pPr>
      <w:r>
        <w:rPr>
          <w:rFonts w:ascii="宋体" w:hAnsi="宋体"/>
          <w:color w:val="auto"/>
          <w:szCs w:val="21"/>
          <w:highlight w:val="none"/>
        </w:rPr>
        <w:t>8</w:t>
      </w:r>
      <w:bookmarkStart w:id="452" w:name="_Toc292559373"/>
      <w:bookmarkStart w:id="453" w:name="_Toc292559878"/>
      <w:bookmarkStart w:id="454" w:name="_Toc297120468"/>
      <w:bookmarkStart w:id="455" w:name="_Toc312678020"/>
      <w:bookmarkStart w:id="456" w:name="_Toc297048354"/>
      <w:bookmarkStart w:id="457" w:name="_Toc296346669"/>
      <w:bookmarkStart w:id="458" w:name="_Toc318581173"/>
      <w:bookmarkStart w:id="459" w:name="_Toc296891208"/>
      <w:bookmarkStart w:id="460" w:name="_Toc312677494"/>
      <w:bookmarkStart w:id="461" w:name="_Toc296890996"/>
      <w:bookmarkStart w:id="462" w:name="_Toc296944507"/>
      <w:bookmarkStart w:id="463" w:name="_Toc297216187"/>
      <w:bookmarkStart w:id="464" w:name="_Toc300934980"/>
      <w:bookmarkStart w:id="465" w:name="_Toc304295557"/>
      <w:bookmarkStart w:id="466" w:name="_Toc303539137"/>
      <w:bookmarkStart w:id="467" w:name="_Toc296347167"/>
      <w:bookmarkStart w:id="468" w:name="_Toc297123528"/>
      <w:bookmarkStart w:id="469" w:name="_Toc296503168"/>
      <w:r>
        <w:rPr>
          <w:rFonts w:ascii="宋体" w:hAnsi="宋体"/>
          <w:color w:val="auto"/>
          <w:szCs w:val="21"/>
          <w:highlight w:val="none"/>
        </w:rPr>
        <w:t>.4.1发包人供应的材料设备的保管费用的承担：</w:t>
      </w:r>
      <w:r>
        <w:rPr>
          <w:rFonts w:hint="eastAsia" w:ascii="宋体" w:hAnsi="宋体"/>
          <w:color w:val="auto"/>
          <w:szCs w:val="21"/>
          <w:highlight w:val="none"/>
          <w:u w:val="single"/>
        </w:rPr>
        <w:t>承包人负责</w:t>
      </w:r>
      <w:r>
        <w:rPr>
          <w:rFonts w:ascii="宋体" w:hAnsi="宋体"/>
          <w:color w:val="auto"/>
          <w:szCs w:val="21"/>
          <w:highlight w:val="none"/>
        </w:rPr>
        <w:t>。</w:t>
      </w:r>
    </w:p>
    <w:bookmarkEnd w:id="452"/>
    <w:bookmarkEnd w:id="453"/>
    <w:p>
      <w:pPr>
        <w:spacing w:line="400" w:lineRule="exact"/>
        <w:rPr>
          <w:rFonts w:ascii="宋体" w:hAnsi="宋体"/>
          <w:b/>
          <w:color w:val="auto"/>
          <w:highlight w:val="none"/>
        </w:rPr>
      </w:pPr>
      <w:bookmarkStart w:id="470" w:name="_Toc373478381"/>
      <w:bookmarkStart w:id="471" w:name="_Toc389065300"/>
      <w:bookmarkStart w:id="472" w:name="_Toc395382536"/>
      <w:bookmarkStart w:id="473" w:name="_Toc373227734"/>
      <w:r>
        <w:rPr>
          <w:rFonts w:ascii="宋体" w:hAnsi="宋体"/>
          <w:b/>
          <w:color w:val="auto"/>
          <w:highlight w:val="none"/>
        </w:rPr>
        <w:t>8.6 样品</w:t>
      </w:r>
      <w:bookmarkEnd w:id="470"/>
      <w:bookmarkEnd w:id="471"/>
      <w:bookmarkEnd w:id="472"/>
      <w:bookmarkEnd w:id="473"/>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8.6.1</w:t>
      </w:r>
      <w:r>
        <w:rPr>
          <w:rFonts w:hint="eastAsia" w:ascii="宋体" w:hAnsi="宋体"/>
          <w:color w:val="auto"/>
          <w:kern w:val="0"/>
          <w:szCs w:val="21"/>
          <w:highlight w:val="none"/>
        </w:rPr>
        <w:t xml:space="preserve"> </w:t>
      </w:r>
      <w:r>
        <w:rPr>
          <w:rFonts w:ascii="宋体" w:hAnsi="宋体"/>
          <w:color w:val="auto"/>
          <w:kern w:val="0"/>
          <w:szCs w:val="21"/>
          <w:highlight w:val="none"/>
        </w:rPr>
        <w:t>样品的报送与封存</w:t>
      </w:r>
    </w:p>
    <w:p>
      <w:pPr>
        <w:autoSpaceDE w:val="0"/>
        <w:autoSpaceDN w:val="0"/>
        <w:adjustRightInd w:val="0"/>
        <w:spacing w:line="400" w:lineRule="exact"/>
        <w:jc w:val="left"/>
        <w:rPr>
          <w:rFonts w:ascii="宋体" w:hAnsi="宋体"/>
          <w:color w:val="auto"/>
          <w:szCs w:val="21"/>
          <w:highlight w:val="none"/>
          <w:u w:val="single"/>
        </w:rPr>
      </w:pPr>
      <w:r>
        <w:rPr>
          <w:rFonts w:ascii="宋体" w:hAnsi="宋体"/>
          <w:color w:val="auto"/>
          <w:kern w:val="0"/>
          <w:szCs w:val="21"/>
          <w:highlight w:val="none"/>
        </w:rPr>
        <w:t>需要承包人报送样品的材料或工程设备，样品的种类、名称、规格、数量要求：</w:t>
      </w:r>
      <w:r>
        <w:rPr>
          <w:rFonts w:ascii="宋体" w:hAnsi="宋体"/>
          <w:color w:val="auto"/>
          <w:szCs w:val="21"/>
          <w:highlight w:val="none"/>
          <w:u w:val="single"/>
        </w:rPr>
        <w:t>主要材料涉及品种、款式、颜色等方面内容的，承包人应提交准备合格的材料样品送发包人选定</w:t>
      </w:r>
      <w:r>
        <w:rPr>
          <w:rFonts w:ascii="宋体" w:hAnsi="宋体"/>
          <w:color w:val="auto"/>
          <w:szCs w:val="21"/>
          <w:highlight w:val="none"/>
        </w:rPr>
        <w:t>。</w:t>
      </w:r>
    </w:p>
    <w:p>
      <w:pPr>
        <w:spacing w:line="400" w:lineRule="exact"/>
        <w:rPr>
          <w:rFonts w:ascii="宋体" w:hAnsi="宋体"/>
          <w:b/>
          <w:color w:val="auto"/>
          <w:highlight w:val="none"/>
        </w:rPr>
      </w:pPr>
      <w:bookmarkStart w:id="474" w:name="_Toc373478382"/>
      <w:bookmarkStart w:id="475" w:name="_Toc373227735"/>
      <w:bookmarkStart w:id="476" w:name="_Toc389065301"/>
      <w:bookmarkStart w:id="477" w:name="_Toc395382537"/>
      <w:r>
        <w:rPr>
          <w:rFonts w:ascii="宋体" w:hAnsi="宋体"/>
          <w:b/>
          <w:color w:val="auto"/>
          <w:highlight w:val="none"/>
        </w:rPr>
        <w:t>8.8 施工设备和临时设施</w:t>
      </w:r>
      <w:bookmarkEnd w:id="474"/>
      <w:bookmarkEnd w:id="475"/>
      <w:bookmarkEnd w:id="476"/>
      <w:bookmarkEnd w:id="477"/>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8.8.1 承包人提供的施工设备和临时设施</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color w:val="auto"/>
          <w:szCs w:val="21"/>
          <w:highlight w:val="none"/>
        </w:rPr>
        <w:t>承包人用于本工程的主要机械设备清单见合同附件6。</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关于修建临时设施费用承担的约定：</w:t>
      </w:r>
    </w:p>
    <w:p>
      <w:pPr>
        <w:autoSpaceDE w:val="0"/>
        <w:autoSpaceDN w:val="0"/>
        <w:adjustRightInd w:val="0"/>
        <w:spacing w:line="400" w:lineRule="exact"/>
        <w:jc w:val="left"/>
        <w:rPr>
          <w:rFonts w:ascii="宋体" w:hAnsi="宋体"/>
          <w:color w:val="auto"/>
          <w:szCs w:val="21"/>
          <w:highlight w:val="none"/>
          <w:u w:val="single"/>
        </w:rPr>
      </w:pPr>
      <w:r>
        <w:rPr>
          <w:rFonts w:ascii="宋体" w:hAnsi="宋体"/>
          <w:color w:val="auto"/>
          <w:szCs w:val="21"/>
          <w:highlight w:val="none"/>
          <w:u w:val="single"/>
        </w:rPr>
        <w:t>①承包人的临时用地（含项目部驻地等）租用费（含拆迁补偿）、临时用地的环保、恢复、临时用地的青苗补偿及地面附着物拆除等费用均由承包人负责，以上费用在</w:t>
      </w:r>
      <w:r>
        <w:rPr>
          <w:rFonts w:hint="eastAsia" w:ascii="宋体" w:hAnsi="宋体"/>
          <w:color w:val="auto"/>
          <w:szCs w:val="21"/>
          <w:highlight w:val="none"/>
          <w:u w:val="single"/>
        </w:rPr>
        <w:t>竞标</w:t>
      </w:r>
      <w:r>
        <w:rPr>
          <w:rFonts w:ascii="宋体" w:hAnsi="宋体"/>
          <w:color w:val="auto"/>
          <w:szCs w:val="21"/>
          <w:highlight w:val="none"/>
          <w:u w:val="single"/>
        </w:rPr>
        <w:t>报价中综合考虑</w:t>
      </w:r>
      <w:r>
        <w:rPr>
          <w:rFonts w:ascii="宋体" w:hAnsi="宋体"/>
          <w:color w:val="auto"/>
          <w:szCs w:val="21"/>
          <w:highlight w:val="none"/>
        </w:rPr>
        <w:t>。</w:t>
      </w:r>
    </w:p>
    <w:p>
      <w:pPr>
        <w:autoSpaceDE w:val="0"/>
        <w:autoSpaceDN w:val="0"/>
        <w:adjustRightInd w:val="0"/>
        <w:spacing w:line="400" w:lineRule="exact"/>
        <w:jc w:val="left"/>
        <w:rPr>
          <w:rFonts w:ascii="宋体" w:hAnsi="宋体"/>
          <w:color w:val="auto"/>
          <w:szCs w:val="21"/>
          <w:highlight w:val="none"/>
          <w:u w:val="single"/>
        </w:rPr>
      </w:pPr>
      <w:r>
        <w:rPr>
          <w:rFonts w:ascii="宋体" w:hAnsi="宋体"/>
          <w:color w:val="auto"/>
          <w:szCs w:val="21"/>
          <w:highlight w:val="none"/>
          <w:u w:val="single"/>
        </w:rPr>
        <w:t>②承包人负责合同实施期间其合同段内临时交通道路（含场内外连接公共交通道路）和交通设施的修建、维修、养护和交通管理工作，并承担一切费用</w:t>
      </w:r>
      <w:r>
        <w:rPr>
          <w:rFonts w:ascii="宋体" w:hAnsi="宋体"/>
          <w:color w:val="auto"/>
          <w:szCs w:val="21"/>
          <w:highlight w:val="none"/>
        </w:rPr>
        <w:t>。</w:t>
      </w:r>
    </w:p>
    <w:p>
      <w:pPr>
        <w:autoSpaceDE w:val="0"/>
        <w:autoSpaceDN w:val="0"/>
        <w:adjustRightInd w:val="0"/>
        <w:spacing w:line="400" w:lineRule="exact"/>
        <w:jc w:val="left"/>
        <w:rPr>
          <w:rFonts w:ascii="宋体" w:hAnsi="宋体"/>
          <w:color w:val="auto"/>
          <w:szCs w:val="21"/>
          <w:highlight w:val="none"/>
          <w:u w:val="single"/>
        </w:rPr>
      </w:pPr>
      <w:r>
        <w:rPr>
          <w:rFonts w:ascii="宋体" w:hAnsi="宋体"/>
          <w:color w:val="auto"/>
          <w:szCs w:val="21"/>
          <w:highlight w:val="none"/>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r>
        <w:rPr>
          <w:rFonts w:ascii="宋体" w:hAnsi="宋体"/>
          <w:color w:val="auto"/>
          <w:szCs w:val="21"/>
          <w:highlight w:val="none"/>
        </w:rPr>
        <w:t>。</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8.8.2 发包人提供的施工设备和临时设施</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发包人提供的施工设备和临时设施：</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autoSpaceDE w:val="0"/>
        <w:autoSpaceDN w:val="0"/>
        <w:adjustRightInd w:val="0"/>
        <w:spacing w:line="400" w:lineRule="exact"/>
        <w:jc w:val="left"/>
        <w:rPr>
          <w:rFonts w:ascii="宋体" w:hAnsi="宋体"/>
          <w:color w:val="auto"/>
          <w:szCs w:val="21"/>
          <w:highlight w:val="none"/>
        </w:rPr>
      </w:pPr>
      <w:r>
        <w:rPr>
          <w:rFonts w:ascii="宋体" w:hAnsi="宋体"/>
          <w:color w:val="auto"/>
          <w:szCs w:val="21"/>
          <w:highlight w:val="none"/>
        </w:rPr>
        <w:t>发包人提供的施工设备和临时设施的运行、维护、拆除、清运费用的承担人：</w:t>
      </w:r>
      <w:r>
        <w:rPr>
          <w:rFonts w:hint="eastAsia" w:ascii="宋体" w:hAnsi="宋体"/>
          <w:color w:val="auto"/>
          <w:szCs w:val="21"/>
          <w:highlight w:val="none"/>
          <w:u w:val="single"/>
        </w:rPr>
        <w:t>承包人</w:t>
      </w:r>
      <w:r>
        <w:rPr>
          <w:rFonts w:ascii="宋体" w:hAnsi="宋体"/>
          <w:color w:val="auto"/>
          <w:szCs w:val="21"/>
          <w:highlight w:val="none"/>
        </w:rPr>
        <w:t>。</w:t>
      </w:r>
    </w:p>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Pr>
        <w:spacing w:line="400" w:lineRule="exact"/>
        <w:rPr>
          <w:rFonts w:ascii="宋体" w:hAnsi="宋体"/>
          <w:b/>
          <w:color w:val="auto"/>
          <w:highlight w:val="none"/>
        </w:rPr>
      </w:pPr>
      <w:bookmarkStart w:id="478" w:name="_Toc351203641"/>
      <w:bookmarkStart w:id="479" w:name="_Toc373478383"/>
      <w:bookmarkStart w:id="480" w:name="_Toc395382538"/>
      <w:bookmarkStart w:id="481" w:name="_Toc389065302"/>
      <w:bookmarkStart w:id="482" w:name="_Toc373227736"/>
      <w:r>
        <w:rPr>
          <w:rFonts w:ascii="宋体" w:hAnsi="宋体"/>
          <w:b/>
          <w:color w:val="auto"/>
          <w:highlight w:val="none"/>
        </w:rPr>
        <w:t>9</w:t>
      </w:r>
      <w:bookmarkEnd w:id="449"/>
      <w:bookmarkEnd w:id="450"/>
      <w:bookmarkEnd w:id="451"/>
      <w:bookmarkStart w:id="483" w:name="_Toc304295559"/>
      <w:bookmarkStart w:id="484" w:name="_Toc312677495"/>
      <w:bookmarkStart w:id="485" w:name="_Toc297123533"/>
      <w:bookmarkStart w:id="486" w:name="_Toc303539139"/>
      <w:bookmarkStart w:id="487" w:name="_Toc312678021"/>
      <w:bookmarkStart w:id="488" w:name="_Toc297216192"/>
      <w:bookmarkStart w:id="489" w:name="_Toc300934982"/>
      <w:bookmarkStart w:id="490" w:name="_Toc267251428"/>
      <w:bookmarkStart w:id="491" w:name="_Toc292559378"/>
      <w:bookmarkStart w:id="492" w:name="_Toc296346674"/>
      <w:bookmarkStart w:id="493" w:name="_Toc296891001"/>
      <w:bookmarkStart w:id="494" w:name="_Toc296944512"/>
      <w:bookmarkStart w:id="495" w:name="_Toc296347172"/>
      <w:bookmarkStart w:id="496" w:name="_Toc297048359"/>
      <w:bookmarkStart w:id="497" w:name="_Toc292559883"/>
      <w:bookmarkStart w:id="498" w:name="_Toc296503173"/>
      <w:bookmarkStart w:id="499" w:name="_Toc296891213"/>
      <w:bookmarkStart w:id="500" w:name="_Toc297120473"/>
      <w:bookmarkStart w:id="501" w:name="_Toc267251427"/>
      <w:r>
        <w:rPr>
          <w:rFonts w:ascii="宋体" w:hAnsi="宋体"/>
          <w:b/>
          <w:color w:val="auto"/>
          <w:highlight w:val="none"/>
        </w:rPr>
        <w:t>. 试验与检验</w:t>
      </w:r>
      <w:bookmarkEnd w:id="478"/>
      <w:bookmarkEnd w:id="479"/>
      <w:bookmarkEnd w:id="480"/>
      <w:bookmarkEnd w:id="481"/>
      <w:bookmarkEnd w:id="482"/>
    </w:p>
    <w:bookmarkEnd w:id="483"/>
    <w:bookmarkEnd w:id="484"/>
    <w:bookmarkEnd w:id="485"/>
    <w:bookmarkEnd w:id="486"/>
    <w:bookmarkEnd w:id="487"/>
    <w:bookmarkEnd w:id="488"/>
    <w:bookmarkEnd w:id="489"/>
    <w:p>
      <w:pPr>
        <w:spacing w:line="400" w:lineRule="exact"/>
        <w:rPr>
          <w:rFonts w:ascii="宋体" w:hAnsi="宋体"/>
          <w:b/>
          <w:color w:val="auto"/>
          <w:highlight w:val="none"/>
        </w:rPr>
      </w:pPr>
      <w:bookmarkStart w:id="502" w:name="_Toc395382539"/>
      <w:bookmarkStart w:id="503" w:name="_Toc373478384"/>
      <w:bookmarkStart w:id="504" w:name="_Toc373227737"/>
      <w:bookmarkStart w:id="505" w:name="_Toc389065303"/>
      <w:r>
        <w:rPr>
          <w:rFonts w:ascii="宋体" w:hAnsi="宋体"/>
          <w:b/>
          <w:color w:val="auto"/>
          <w:highlight w:val="none"/>
        </w:rPr>
        <w:t>9</w:t>
      </w:r>
      <w:bookmarkStart w:id="506" w:name="_Toc312678022"/>
      <w:bookmarkStart w:id="507" w:name="_Toc297123534"/>
      <w:bookmarkStart w:id="508" w:name="_Toc300934983"/>
      <w:bookmarkStart w:id="509" w:name="_Toc297216193"/>
      <w:bookmarkStart w:id="510" w:name="_Toc312677496"/>
      <w:bookmarkStart w:id="511" w:name="_Toc304295560"/>
      <w:bookmarkStart w:id="512" w:name="_Toc303539140"/>
      <w:r>
        <w:rPr>
          <w:rFonts w:ascii="宋体" w:hAnsi="宋体"/>
          <w:b/>
          <w:color w:val="auto"/>
          <w:highlight w:val="none"/>
        </w:rPr>
        <w:t>.1</w:t>
      </w:r>
      <w:r>
        <w:rPr>
          <w:rFonts w:hint="eastAsia" w:ascii="宋体" w:hAnsi="宋体"/>
          <w:b/>
          <w:color w:val="auto"/>
          <w:highlight w:val="none"/>
        </w:rPr>
        <w:t xml:space="preserve"> </w:t>
      </w:r>
      <w:r>
        <w:rPr>
          <w:rFonts w:ascii="宋体" w:hAnsi="宋体"/>
          <w:b/>
          <w:color w:val="auto"/>
          <w:highlight w:val="none"/>
        </w:rPr>
        <w:t>试验设备与试验人员</w:t>
      </w:r>
      <w:bookmarkEnd w:id="502"/>
      <w:bookmarkEnd w:id="503"/>
      <w:bookmarkEnd w:id="504"/>
      <w:bookmarkEnd w:id="505"/>
    </w:p>
    <w:bookmarkEnd w:id="506"/>
    <w:bookmarkEnd w:id="507"/>
    <w:bookmarkEnd w:id="508"/>
    <w:bookmarkEnd w:id="509"/>
    <w:bookmarkEnd w:id="510"/>
    <w:bookmarkEnd w:id="511"/>
    <w:bookmarkEnd w:id="512"/>
    <w:p>
      <w:pPr>
        <w:spacing w:line="400" w:lineRule="exact"/>
        <w:jc w:val="left"/>
        <w:rPr>
          <w:rFonts w:ascii="宋体" w:hAnsi="宋体"/>
          <w:color w:val="auto"/>
          <w:szCs w:val="21"/>
          <w:highlight w:val="none"/>
        </w:rPr>
      </w:pPr>
      <w:r>
        <w:rPr>
          <w:rFonts w:ascii="宋体" w:hAnsi="宋体"/>
          <w:color w:val="auto"/>
          <w:szCs w:val="21"/>
          <w:highlight w:val="none"/>
        </w:rPr>
        <w:t>9</w:t>
      </w:r>
      <w:bookmarkStart w:id="513" w:name="_Toc312677497"/>
      <w:bookmarkStart w:id="514" w:name="_Toc304295561"/>
      <w:bookmarkStart w:id="515" w:name="_Toc312678023"/>
      <w:bookmarkStart w:id="516" w:name="_Toc303539141"/>
      <w:bookmarkStart w:id="517" w:name="_Toc297216194"/>
      <w:bookmarkStart w:id="518" w:name="_Toc300934984"/>
      <w:bookmarkStart w:id="519" w:name="_Toc297123535"/>
      <w:bookmarkStart w:id="520" w:name="_Toc318581174"/>
      <w:r>
        <w:rPr>
          <w:rFonts w:ascii="宋体" w:hAnsi="宋体"/>
          <w:color w:val="auto"/>
          <w:szCs w:val="21"/>
          <w:highlight w:val="none"/>
        </w:rPr>
        <w:t>.1.2 试验设备</w:t>
      </w:r>
    </w:p>
    <w:p>
      <w:pPr>
        <w:spacing w:line="400" w:lineRule="exact"/>
        <w:jc w:val="left"/>
        <w:rPr>
          <w:rFonts w:ascii="宋体" w:hAnsi="宋体"/>
          <w:color w:val="auto"/>
          <w:szCs w:val="21"/>
          <w:highlight w:val="none"/>
          <w:u w:val="single"/>
        </w:rPr>
      </w:pPr>
      <w:r>
        <w:rPr>
          <w:rFonts w:ascii="宋体" w:hAnsi="宋体"/>
          <w:color w:val="auto"/>
          <w:szCs w:val="21"/>
          <w:highlight w:val="none"/>
        </w:rPr>
        <w:t>施工现场需要配置的试验场所：</w:t>
      </w:r>
      <w:bookmarkEnd w:id="513"/>
      <w:bookmarkEnd w:id="514"/>
      <w:bookmarkEnd w:id="515"/>
      <w:bookmarkEnd w:id="516"/>
      <w:bookmarkEnd w:id="517"/>
      <w:bookmarkEnd w:id="518"/>
      <w:bookmarkEnd w:id="519"/>
      <w:bookmarkStart w:id="521" w:name="_Toc300934985"/>
      <w:bookmarkStart w:id="522" w:name="_Toc312678024"/>
      <w:bookmarkStart w:id="523" w:name="_Toc297216195"/>
      <w:bookmarkStart w:id="524" w:name="_Toc312677498"/>
      <w:bookmarkStart w:id="525" w:name="_Toc297123536"/>
      <w:bookmarkStart w:id="526" w:name="_Toc303539142"/>
      <w:bookmarkStart w:id="527" w:name="_Toc304295562"/>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施工现场需要配备的试验设备：</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施工现场需要具备的其他试验条件：</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b/>
          <w:color w:val="auto"/>
          <w:highlight w:val="none"/>
        </w:rPr>
      </w:pPr>
      <w:bookmarkStart w:id="528" w:name="_Toc389065304"/>
      <w:bookmarkStart w:id="529" w:name="_Toc395382540"/>
      <w:bookmarkStart w:id="530" w:name="_Toc373227738"/>
      <w:bookmarkStart w:id="531" w:name="_Toc373478385"/>
      <w:r>
        <w:rPr>
          <w:rFonts w:ascii="宋体" w:hAnsi="宋体"/>
          <w:b/>
          <w:color w:val="auto"/>
          <w:highlight w:val="none"/>
        </w:rPr>
        <w:t>9.4 现场工艺试验</w:t>
      </w:r>
      <w:bookmarkEnd w:id="528"/>
      <w:bookmarkEnd w:id="529"/>
      <w:bookmarkEnd w:id="530"/>
      <w:bookmarkEnd w:id="531"/>
      <w:r>
        <w:rPr>
          <w:rFonts w:ascii="宋体" w:hAnsi="宋体"/>
          <w:b/>
          <w:color w:val="auto"/>
          <w:highlight w:val="none"/>
        </w:rPr>
        <w:t xml:space="preserve"> </w:t>
      </w:r>
    </w:p>
    <w:p>
      <w:pPr>
        <w:spacing w:line="400" w:lineRule="exact"/>
        <w:jc w:val="left"/>
        <w:rPr>
          <w:rFonts w:ascii="宋体" w:hAnsi="宋体"/>
          <w:color w:val="auto"/>
          <w:szCs w:val="21"/>
          <w:highlight w:val="none"/>
        </w:rPr>
      </w:pPr>
      <w:r>
        <w:rPr>
          <w:rFonts w:ascii="宋体" w:hAnsi="宋体"/>
          <w:color w:val="auto"/>
          <w:szCs w:val="21"/>
          <w:highlight w:val="none"/>
        </w:rPr>
        <w:t>现场工艺试验的有关约定：</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b/>
          <w:color w:val="auto"/>
          <w:highlight w:val="none"/>
        </w:rPr>
      </w:pPr>
      <w:bookmarkStart w:id="532" w:name="_Toc395382541"/>
      <w:bookmarkStart w:id="533" w:name="OLE_LINK1"/>
      <w:r>
        <w:rPr>
          <w:rFonts w:ascii="宋体" w:hAnsi="宋体"/>
          <w:b/>
          <w:color w:val="auto"/>
          <w:highlight w:val="none"/>
        </w:rPr>
        <w:t>9.5 检验费用</w:t>
      </w:r>
      <w:bookmarkEnd w:id="532"/>
    </w:p>
    <w:p>
      <w:pPr>
        <w:spacing w:line="400" w:lineRule="exact"/>
        <w:rPr>
          <w:rFonts w:ascii="宋体" w:hAnsi="宋体"/>
          <w:color w:val="auto"/>
          <w:szCs w:val="21"/>
          <w:highlight w:val="none"/>
        </w:rPr>
      </w:pPr>
      <w:r>
        <w:rPr>
          <w:rFonts w:ascii="宋体" w:hAnsi="宋体"/>
          <w:color w:val="auto"/>
          <w:szCs w:val="21"/>
          <w:highlight w:val="none"/>
        </w:rPr>
        <w:t>根据《建设工程质量检测管理办法》（建设部令第141号）以及</w:t>
      </w:r>
      <w:r>
        <w:rPr>
          <w:rFonts w:ascii="宋体" w:hAnsi="宋体"/>
          <w:bCs/>
          <w:color w:val="auto"/>
          <w:szCs w:val="21"/>
          <w:highlight w:val="none"/>
        </w:rPr>
        <w:t>《广西壮族自治区建设工程质量检测管理规定》</w:t>
      </w:r>
      <w:r>
        <w:rPr>
          <w:rFonts w:hint="eastAsia" w:ascii="宋体" w:hAnsi="宋体"/>
          <w:bCs/>
          <w:color w:val="auto"/>
          <w:szCs w:val="21"/>
          <w:highlight w:val="none"/>
        </w:rPr>
        <w:t>（</w:t>
      </w:r>
      <w:r>
        <w:rPr>
          <w:rFonts w:ascii="宋体" w:hAnsi="宋体"/>
          <w:bCs/>
          <w:color w:val="auto"/>
          <w:szCs w:val="21"/>
          <w:highlight w:val="none"/>
        </w:rPr>
        <w:t>桂建管</w:t>
      </w:r>
      <w:r>
        <w:rPr>
          <w:rFonts w:hint="eastAsia" w:ascii="宋体" w:hAnsi="宋体"/>
          <w:bCs/>
          <w:color w:val="auto"/>
          <w:szCs w:val="21"/>
          <w:highlight w:val="none"/>
        </w:rPr>
        <w:t>〔</w:t>
      </w:r>
      <w:r>
        <w:rPr>
          <w:rFonts w:ascii="宋体" w:hAnsi="宋体"/>
          <w:bCs/>
          <w:color w:val="auto"/>
          <w:szCs w:val="21"/>
          <w:highlight w:val="none"/>
        </w:rPr>
        <w:t>2013</w:t>
      </w:r>
      <w:r>
        <w:rPr>
          <w:rFonts w:hint="eastAsia" w:ascii="宋体" w:hAnsi="宋体"/>
          <w:bCs/>
          <w:color w:val="auto"/>
          <w:szCs w:val="21"/>
          <w:highlight w:val="none"/>
        </w:rPr>
        <w:t>〕</w:t>
      </w:r>
      <w:r>
        <w:rPr>
          <w:rFonts w:ascii="宋体" w:hAnsi="宋体"/>
          <w:bCs/>
          <w:color w:val="auto"/>
          <w:szCs w:val="21"/>
          <w:highlight w:val="none"/>
        </w:rPr>
        <w:t>11号</w:t>
      </w:r>
      <w:r>
        <w:rPr>
          <w:rFonts w:hint="eastAsia" w:ascii="宋体" w:hAnsi="宋体"/>
          <w:bCs/>
          <w:color w:val="auto"/>
          <w:szCs w:val="21"/>
          <w:highlight w:val="none"/>
        </w:rPr>
        <w:t>）</w:t>
      </w:r>
      <w:r>
        <w:rPr>
          <w:rFonts w:ascii="宋体" w:hAnsi="宋体"/>
          <w:color w:val="auto"/>
          <w:szCs w:val="21"/>
          <w:highlight w:val="none"/>
        </w:rPr>
        <w:t>规定，工程质量检测业务由招标人委托有相应资质的检测机构检测。费用计入合同价款内</w:t>
      </w:r>
      <w:r>
        <w:rPr>
          <w:rFonts w:hint="eastAsia" w:ascii="宋体" w:hAnsi="宋体"/>
          <w:color w:val="auto"/>
          <w:szCs w:val="21"/>
          <w:highlight w:val="none"/>
        </w:rPr>
        <w:t>，</w:t>
      </w:r>
      <w:r>
        <w:rPr>
          <w:rFonts w:ascii="宋体" w:hAnsi="宋体"/>
          <w:color w:val="auto"/>
          <w:szCs w:val="21"/>
          <w:highlight w:val="none"/>
        </w:rPr>
        <w:t>从招标人的项目建设经费中支出</w:t>
      </w:r>
      <w:r>
        <w:rPr>
          <w:rFonts w:hint="eastAsia" w:ascii="宋体" w:hAnsi="宋体"/>
          <w:color w:val="auto"/>
          <w:szCs w:val="21"/>
          <w:highlight w:val="none"/>
        </w:rPr>
        <w:t>，由承包人</w:t>
      </w:r>
      <w:r>
        <w:rPr>
          <w:rFonts w:ascii="宋体" w:hAnsi="宋体"/>
          <w:color w:val="auto"/>
          <w:szCs w:val="21"/>
          <w:highlight w:val="none"/>
        </w:rPr>
        <w:t>支付给检测机构。</w:t>
      </w:r>
      <w:bookmarkEnd w:id="520"/>
      <w:bookmarkEnd w:id="521"/>
      <w:bookmarkEnd w:id="522"/>
      <w:bookmarkEnd w:id="523"/>
      <w:bookmarkEnd w:id="524"/>
      <w:bookmarkEnd w:id="525"/>
      <w:bookmarkEnd w:id="526"/>
      <w:bookmarkEnd w:id="527"/>
      <w:bookmarkEnd w:id="533"/>
      <w:bookmarkStart w:id="534" w:name="_Toc373227739"/>
      <w:bookmarkStart w:id="535" w:name="_Toc351203642"/>
      <w:bookmarkStart w:id="536" w:name="_Toc373478386"/>
      <w:bookmarkStart w:id="537" w:name="_Toc389065305"/>
      <w:bookmarkStart w:id="538" w:name="_Toc395382542"/>
    </w:p>
    <w:p>
      <w:pPr>
        <w:spacing w:line="400" w:lineRule="exact"/>
        <w:rPr>
          <w:rFonts w:ascii="宋体" w:hAnsi="宋体"/>
          <w:b/>
          <w:color w:val="auto"/>
          <w:highlight w:val="none"/>
        </w:rPr>
      </w:pPr>
      <w:r>
        <w:rPr>
          <w:rFonts w:ascii="宋体" w:hAnsi="宋体"/>
          <w:b/>
          <w:color w:val="auto"/>
          <w:highlight w:val="none"/>
        </w:rPr>
        <w:t>1</w:t>
      </w:r>
      <w:bookmarkEnd w:id="490"/>
      <w:bookmarkEnd w:id="491"/>
      <w:bookmarkEnd w:id="492"/>
      <w:bookmarkEnd w:id="493"/>
      <w:bookmarkEnd w:id="494"/>
      <w:bookmarkEnd w:id="495"/>
      <w:bookmarkEnd w:id="496"/>
      <w:bookmarkEnd w:id="497"/>
      <w:bookmarkEnd w:id="498"/>
      <w:bookmarkEnd w:id="499"/>
      <w:bookmarkEnd w:id="500"/>
      <w:bookmarkEnd w:id="501"/>
      <w:bookmarkStart w:id="539" w:name="_Toc303539146"/>
      <w:bookmarkStart w:id="540" w:name="_Toc292559398"/>
      <w:bookmarkStart w:id="541" w:name="_Toc296891233"/>
      <w:bookmarkStart w:id="542" w:name="_Toc297120493"/>
      <w:bookmarkStart w:id="543" w:name="_Toc296891021"/>
      <w:bookmarkStart w:id="544" w:name="_Toc296347192"/>
      <w:bookmarkStart w:id="545" w:name="_Toc296503193"/>
      <w:bookmarkStart w:id="546" w:name="_Toc300934989"/>
      <w:bookmarkStart w:id="547" w:name="_Toc292559903"/>
      <w:bookmarkStart w:id="548" w:name="_Toc297216199"/>
      <w:bookmarkStart w:id="549" w:name="_Toc296346694"/>
      <w:bookmarkStart w:id="550" w:name="_Toc304295566"/>
      <w:bookmarkStart w:id="551" w:name="_Toc297123540"/>
      <w:bookmarkStart w:id="552" w:name="_Toc297048379"/>
      <w:bookmarkStart w:id="553" w:name="_Toc296944532"/>
      <w:bookmarkStart w:id="554" w:name="_Toc312678025"/>
      <w:bookmarkStart w:id="555" w:name="_Toc312677499"/>
      <w:bookmarkStart w:id="556" w:name="_Toc267251440"/>
      <w:bookmarkStart w:id="557" w:name="_Toc267251435"/>
      <w:bookmarkStart w:id="558" w:name="_Toc267251439"/>
      <w:bookmarkStart w:id="559" w:name="_Toc267251437"/>
      <w:bookmarkStart w:id="560" w:name="_Toc267251433"/>
      <w:bookmarkStart w:id="561" w:name="_Toc267251441"/>
      <w:bookmarkStart w:id="562" w:name="_Toc267251442"/>
      <w:r>
        <w:rPr>
          <w:rFonts w:ascii="宋体" w:hAnsi="宋体"/>
          <w:b/>
          <w:color w:val="auto"/>
          <w:highlight w:val="none"/>
        </w:rPr>
        <w:t>0. 变更</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bookmarkEnd w:id="554"/>
    <w:bookmarkEnd w:id="555"/>
    <w:p>
      <w:pPr>
        <w:spacing w:line="400" w:lineRule="exact"/>
        <w:rPr>
          <w:rFonts w:ascii="宋体" w:hAnsi="宋体"/>
          <w:b/>
          <w:color w:val="auto"/>
          <w:highlight w:val="none"/>
        </w:rPr>
      </w:pPr>
      <w:bookmarkStart w:id="563" w:name="_Toc373478387"/>
      <w:bookmarkStart w:id="564" w:name="_Toc373227740"/>
      <w:bookmarkStart w:id="565" w:name="_Toc395382543"/>
      <w:bookmarkStart w:id="566" w:name="_Toc389065306"/>
      <w:r>
        <w:rPr>
          <w:rFonts w:ascii="宋体" w:hAnsi="宋体"/>
          <w:b/>
          <w:color w:val="auto"/>
          <w:highlight w:val="none"/>
        </w:rPr>
        <w:t>1</w:t>
      </w:r>
      <w:bookmarkStart w:id="567" w:name="_Toc303539147"/>
      <w:bookmarkStart w:id="568" w:name="_Toc296347193"/>
      <w:bookmarkStart w:id="569" w:name="_Toc296891234"/>
      <w:bookmarkStart w:id="570" w:name="_Toc292559399"/>
      <w:bookmarkStart w:id="571" w:name="_Toc297120494"/>
      <w:bookmarkStart w:id="572" w:name="_Toc304295567"/>
      <w:bookmarkStart w:id="573" w:name="_Toc296346695"/>
      <w:bookmarkStart w:id="574" w:name="_Toc297048380"/>
      <w:bookmarkStart w:id="575" w:name="_Toc300934990"/>
      <w:bookmarkStart w:id="576" w:name="_Toc312677500"/>
      <w:bookmarkStart w:id="577" w:name="_Toc296503194"/>
      <w:bookmarkStart w:id="578" w:name="_Toc292559904"/>
      <w:bookmarkStart w:id="579" w:name="_Toc297216200"/>
      <w:bookmarkStart w:id="580" w:name="_Toc296944533"/>
      <w:bookmarkStart w:id="581" w:name="_Toc312678026"/>
      <w:bookmarkStart w:id="582" w:name="_Toc297123541"/>
      <w:bookmarkStart w:id="583" w:name="_Toc296891022"/>
      <w:r>
        <w:rPr>
          <w:rFonts w:ascii="宋体" w:hAnsi="宋体"/>
          <w:b/>
          <w:color w:val="auto"/>
          <w:highlight w:val="none"/>
        </w:rPr>
        <w:t>0.1</w:t>
      </w:r>
      <w:r>
        <w:rPr>
          <w:rFonts w:hint="eastAsia" w:ascii="宋体" w:hAnsi="宋体"/>
          <w:b/>
          <w:color w:val="auto"/>
          <w:highlight w:val="none"/>
        </w:rPr>
        <w:t xml:space="preserve"> </w:t>
      </w:r>
      <w:r>
        <w:rPr>
          <w:rFonts w:ascii="宋体" w:hAnsi="宋体"/>
          <w:b/>
          <w:color w:val="auto"/>
          <w:highlight w:val="none"/>
        </w:rPr>
        <w:t>变更的范围</w:t>
      </w:r>
      <w:bookmarkEnd w:id="563"/>
      <w:bookmarkEnd w:id="564"/>
      <w:bookmarkEnd w:id="565"/>
      <w:bookmarkEnd w:id="566"/>
    </w:p>
    <w:p>
      <w:pPr>
        <w:spacing w:line="400" w:lineRule="exact"/>
        <w:jc w:val="left"/>
        <w:rPr>
          <w:rFonts w:ascii="宋体" w:hAnsi="宋体"/>
          <w:color w:val="auto"/>
          <w:szCs w:val="21"/>
          <w:highlight w:val="none"/>
        </w:rPr>
      </w:pPr>
      <w:r>
        <w:rPr>
          <w:rFonts w:ascii="宋体" w:hAnsi="宋体"/>
          <w:color w:val="auto"/>
          <w:szCs w:val="21"/>
          <w:highlight w:val="none"/>
        </w:rPr>
        <w:t>关于变更的范围的约定：</w:t>
      </w:r>
      <w:r>
        <w:rPr>
          <w:rFonts w:hint="eastAsia" w:ascii="宋体" w:hAnsi="宋体"/>
          <w:color w:val="auto"/>
          <w:szCs w:val="21"/>
          <w:highlight w:val="none"/>
          <w:u w:val="single"/>
        </w:rPr>
        <w:t>设计变更、施工变更或施工过程中出现新增项目、招标文件中的暂定价款项目等均属工程变更（所有工程变更须经设计及监理审核确认，最后经发包人书面批准后方能有效）</w:t>
      </w:r>
      <w:r>
        <w:rPr>
          <w:rFonts w:ascii="宋体" w:hAnsi="宋体"/>
          <w:color w:val="auto"/>
          <w:szCs w:val="21"/>
          <w:highlight w:val="none"/>
        </w:rPr>
        <w:t>。</w:t>
      </w:r>
    </w:p>
    <w:p>
      <w:pPr>
        <w:spacing w:line="400" w:lineRule="exact"/>
        <w:rPr>
          <w:rFonts w:ascii="宋体" w:hAnsi="宋体"/>
          <w:b/>
          <w:color w:val="auto"/>
          <w:highlight w:val="none"/>
        </w:rPr>
      </w:pPr>
      <w:bookmarkStart w:id="584" w:name="_Toc373478388"/>
      <w:bookmarkStart w:id="585" w:name="_Toc395382544"/>
      <w:bookmarkStart w:id="586" w:name="_Toc389065307"/>
      <w:bookmarkStart w:id="587" w:name="_Toc373227741"/>
      <w:r>
        <w:rPr>
          <w:rFonts w:ascii="宋体" w:hAnsi="宋体"/>
          <w:b/>
          <w:color w:val="auto"/>
          <w:highlight w:val="none"/>
        </w:rPr>
        <w:t>10.3 变更程序</w:t>
      </w:r>
      <w:bookmarkEnd w:id="584"/>
      <w:bookmarkEnd w:id="585"/>
      <w:bookmarkEnd w:id="586"/>
      <w:bookmarkEnd w:id="587"/>
    </w:p>
    <w:p>
      <w:pPr>
        <w:pStyle w:val="25"/>
        <w:spacing w:line="400" w:lineRule="exact"/>
        <w:rPr>
          <w:rFonts w:hAnsi="宋体"/>
          <w:bCs/>
          <w:color w:val="auto"/>
          <w:szCs w:val="21"/>
          <w:highlight w:val="none"/>
        </w:rPr>
      </w:pPr>
      <w:r>
        <w:rPr>
          <w:rFonts w:hAnsi="宋体"/>
          <w:bCs/>
          <w:color w:val="auto"/>
          <w:szCs w:val="21"/>
          <w:highlight w:val="none"/>
        </w:rPr>
        <w:t>10.3.1</w:t>
      </w:r>
      <w:r>
        <w:rPr>
          <w:rFonts w:hint="eastAsia" w:hAnsi="宋体"/>
          <w:bCs/>
          <w:color w:val="auto"/>
          <w:szCs w:val="21"/>
          <w:highlight w:val="none"/>
        </w:rPr>
        <w:t xml:space="preserve"> </w:t>
      </w:r>
      <w:r>
        <w:rPr>
          <w:rFonts w:hAnsi="宋体"/>
          <w:bCs/>
          <w:color w:val="auto"/>
          <w:szCs w:val="21"/>
          <w:highlight w:val="none"/>
        </w:rPr>
        <w:t>国有投资项目：</w:t>
      </w:r>
    </w:p>
    <w:p>
      <w:pPr>
        <w:pStyle w:val="25"/>
        <w:spacing w:line="400" w:lineRule="exact"/>
        <w:rPr>
          <w:rFonts w:hAnsi="宋体"/>
          <w:bCs/>
          <w:color w:val="auto"/>
          <w:szCs w:val="21"/>
          <w:highlight w:val="none"/>
        </w:rPr>
      </w:pPr>
      <w:r>
        <w:rPr>
          <w:rFonts w:hAnsi="宋体"/>
          <w:bCs/>
          <w:color w:val="auto"/>
          <w:szCs w:val="21"/>
          <w:highlight w:val="none"/>
        </w:rPr>
        <w:t>⑴设计变更和工程签证，按各市政府或相关部门的规定办理。属不可抗力（自然灾害、突发事件等）造成变更的，按特事特办原则予以办理。</w:t>
      </w:r>
    </w:p>
    <w:p>
      <w:pPr>
        <w:pStyle w:val="25"/>
        <w:spacing w:line="400" w:lineRule="exact"/>
        <w:rPr>
          <w:rFonts w:hAnsi="宋体"/>
          <w:bCs/>
          <w:color w:val="auto"/>
          <w:szCs w:val="21"/>
          <w:highlight w:val="none"/>
        </w:rPr>
      </w:pPr>
      <w:r>
        <w:rPr>
          <w:rFonts w:hAnsi="宋体"/>
          <w:bCs/>
          <w:color w:val="auto"/>
          <w:szCs w:val="21"/>
          <w:highlight w:val="none"/>
        </w:rPr>
        <w:t>⑵建设单位在实施项目过程中，若发生单价变动，由建设单位、监理单位、施工单位及其他相关单位共同商定并签字确认。</w:t>
      </w:r>
    </w:p>
    <w:p>
      <w:pPr>
        <w:spacing w:line="400" w:lineRule="exact"/>
        <w:jc w:val="left"/>
        <w:rPr>
          <w:rFonts w:ascii="宋体" w:hAnsi="宋体"/>
          <w:bCs/>
          <w:color w:val="auto"/>
          <w:szCs w:val="21"/>
          <w:highlight w:val="none"/>
        </w:rPr>
      </w:pPr>
      <w:r>
        <w:rPr>
          <w:rFonts w:ascii="宋体" w:hAnsi="宋体"/>
          <w:bCs/>
          <w:color w:val="auto"/>
          <w:szCs w:val="21"/>
          <w:highlight w:val="none"/>
        </w:rPr>
        <w:t>⑶ 当合同规定的合同价款调整情况发生后，承包人未在规定时间内通知发包人，或者未在规定时间内提出调整报告，发包人可以根据有关资料，决定是否调整和调整的金额，并书面通知承包人。</w:t>
      </w:r>
    </w:p>
    <w:p>
      <w:pPr>
        <w:spacing w:line="400" w:lineRule="exact"/>
        <w:jc w:val="left"/>
        <w:rPr>
          <w:rFonts w:ascii="宋体" w:hAnsi="宋体"/>
          <w:bCs/>
          <w:color w:val="auto"/>
          <w:szCs w:val="21"/>
          <w:highlight w:val="none"/>
        </w:rPr>
      </w:pPr>
      <w:r>
        <w:rPr>
          <w:rFonts w:ascii="宋体" w:hAnsi="宋体"/>
          <w:bCs/>
          <w:color w:val="auto"/>
          <w:szCs w:val="21"/>
          <w:highlight w:val="none"/>
        </w:rPr>
        <w:t>10.3.2</w:t>
      </w:r>
      <w:r>
        <w:rPr>
          <w:rFonts w:hint="eastAsia" w:ascii="宋体" w:hAnsi="宋体"/>
          <w:bCs/>
          <w:color w:val="auto"/>
          <w:szCs w:val="21"/>
          <w:highlight w:val="none"/>
        </w:rPr>
        <w:t xml:space="preserve"> </w:t>
      </w:r>
      <w:r>
        <w:rPr>
          <w:rFonts w:ascii="宋体" w:hAnsi="宋体"/>
          <w:bCs/>
          <w:color w:val="auto"/>
          <w:szCs w:val="21"/>
          <w:highlight w:val="none"/>
        </w:rPr>
        <w:t xml:space="preserve">非国有投资项目： </w:t>
      </w:r>
      <w:r>
        <w:rPr>
          <w:rFonts w:hint="eastAsia" w:ascii="宋体" w:hAnsi="宋体"/>
          <w:bCs/>
          <w:color w:val="auto"/>
          <w:szCs w:val="21"/>
          <w:highlight w:val="none"/>
          <w:u w:val="single"/>
        </w:rPr>
        <w:t>/</w:t>
      </w:r>
      <w:r>
        <w:rPr>
          <w:rFonts w:ascii="宋体" w:hAnsi="宋体"/>
          <w:bCs/>
          <w:color w:val="auto"/>
          <w:szCs w:val="21"/>
          <w:highlight w:val="none"/>
        </w:rPr>
        <w:t>。</w:t>
      </w:r>
    </w:p>
    <w:p>
      <w:pPr>
        <w:spacing w:line="400" w:lineRule="exact"/>
        <w:rPr>
          <w:rFonts w:ascii="宋体" w:hAnsi="宋体"/>
          <w:b/>
          <w:color w:val="auto"/>
          <w:highlight w:val="none"/>
        </w:rPr>
      </w:pPr>
      <w:bookmarkStart w:id="588" w:name="_Toc373227742"/>
      <w:bookmarkStart w:id="589" w:name="_Toc373478389"/>
      <w:bookmarkStart w:id="590" w:name="_Toc395382545"/>
      <w:bookmarkStart w:id="591" w:name="_Toc389065308"/>
      <w:r>
        <w:rPr>
          <w:rFonts w:ascii="宋体" w:hAnsi="宋体"/>
          <w:b/>
          <w:color w:val="auto"/>
          <w:highlight w:val="none"/>
        </w:rPr>
        <w:t>10.4 变更估价</w:t>
      </w:r>
      <w:bookmarkEnd w:id="588"/>
      <w:bookmarkEnd w:id="589"/>
      <w:bookmarkEnd w:id="590"/>
      <w:bookmarkEnd w:id="591"/>
    </w:p>
    <w:p>
      <w:pPr>
        <w:spacing w:line="400" w:lineRule="exact"/>
        <w:jc w:val="left"/>
        <w:rPr>
          <w:rFonts w:ascii="宋体" w:hAnsi="宋体"/>
          <w:color w:val="auto"/>
          <w:szCs w:val="21"/>
          <w:highlight w:val="none"/>
        </w:rPr>
      </w:pPr>
      <w:r>
        <w:rPr>
          <w:rFonts w:ascii="宋体" w:hAnsi="宋体"/>
          <w:color w:val="auto"/>
          <w:szCs w:val="21"/>
          <w:highlight w:val="none"/>
        </w:rPr>
        <w:t>10.4.1 变更估价原则</w:t>
      </w:r>
    </w:p>
    <w:p>
      <w:pPr>
        <w:spacing w:line="400" w:lineRule="exact"/>
        <w:jc w:val="left"/>
        <w:rPr>
          <w:rFonts w:ascii="宋体" w:hAnsi="宋体"/>
          <w:color w:val="auto"/>
          <w:szCs w:val="21"/>
          <w:highlight w:val="none"/>
          <w:u w:val="single"/>
        </w:rPr>
      </w:pPr>
      <w:r>
        <w:rPr>
          <w:rFonts w:ascii="宋体" w:hAnsi="宋体"/>
          <w:color w:val="auto"/>
          <w:szCs w:val="21"/>
          <w:highlight w:val="none"/>
        </w:rPr>
        <w:t xml:space="preserve">关于变更估价的约定: </w:t>
      </w:r>
      <w:bookmarkStart w:id="592" w:name="_Toc251051742"/>
      <w:r>
        <w:rPr>
          <w:rFonts w:ascii="宋体" w:hAnsi="宋体"/>
          <w:bCs/>
          <w:color w:val="auto"/>
          <w:szCs w:val="21"/>
          <w:highlight w:val="none"/>
          <w:u w:val="single"/>
        </w:rPr>
        <w:t>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乘以下浮系数</w:t>
      </w:r>
      <w:r>
        <w:rPr>
          <w:rFonts w:hint="eastAsia" w:ascii="宋体" w:hAnsi="宋体"/>
          <w:bCs/>
          <w:color w:val="auto"/>
          <w:szCs w:val="21"/>
          <w:highlight w:val="none"/>
          <w:u w:val="single"/>
        </w:rPr>
        <w:t>(按成交价/招标控制价的下浮比例)</w:t>
      </w:r>
      <w:r>
        <w:rPr>
          <w:rFonts w:ascii="宋体" w:hAnsi="宋体"/>
          <w:bCs/>
          <w:color w:val="auto"/>
          <w:szCs w:val="21"/>
          <w:highlight w:val="none"/>
          <w:u w:val="single"/>
        </w:rPr>
        <w:t>计算，其中材料价格按施工期间的《</w:t>
      </w:r>
      <w:r>
        <w:rPr>
          <w:rFonts w:hint="eastAsia" w:ascii="宋体" w:hAnsi="宋体"/>
          <w:bCs/>
          <w:color w:val="auto"/>
          <w:szCs w:val="21"/>
          <w:highlight w:val="none"/>
          <w:u w:val="single"/>
          <w:lang w:val="en-US" w:eastAsia="zh-CN"/>
        </w:rPr>
        <w:t>防城港</w:t>
      </w:r>
      <w:r>
        <w:rPr>
          <w:rFonts w:ascii="宋体" w:hAnsi="宋体"/>
          <w:bCs/>
          <w:color w:val="auto"/>
          <w:szCs w:val="21"/>
          <w:highlight w:val="none"/>
          <w:u w:val="single"/>
        </w:rPr>
        <w:t>市建设工程造价信息》相应价格信息进行计算；《</w:t>
      </w:r>
      <w:r>
        <w:rPr>
          <w:rFonts w:hint="eastAsia" w:ascii="宋体" w:hAnsi="宋体"/>
          <w:bCs/>
          <w:color w:val="auto"/>
          <w:szCs w:val="21"/>
          <w:highlight w:val="none"/>
          <w:u w:val="single"/>
          <w:lang w:val="en-US" w:eastAsia="zh-CN"/>
        </w:rPr>
        <w:t>防城港</w:t>
      </w:r>
      <w:r>
        <w:rPr>
          <w:rFonts w:ascii="宋体" w:hAnsi="宋体"/>
          <w:bCs/>
          <w:color w:val="auto"/>
          <w:szCs w:val="21"/>
          <w:highlight w:val="none"/>
          <w:u w:val="single"/>
        </w:rPr>
        <w:t>市建设工程造价信息》没有相应价格信息的按市场价计算；无定额可套的，根据市场价格协商确定综合价格；对于国有资产投资的项目，新增项目的单价必须经</w:t>
      </w:r>
      <w:r>
        <w:rPr>
          <w:rFonts w:hint="eastAsia" w:ascii="宋体" w:hAnsi="宋体"/>
          <w:bCs/>
          <w:color w:val="auto"/>
          <w:szCs w:val="21"/>
          <w:highlight w:val="none"/>
          <w:u w:val="single"/>
        </w:rPr>
        <w:t>财政或审计有关部门</w:t>
      </w:r>
      <w:r>
        <w:rPr>
          <w:rFonts w:ascii="宋体" w:hAnsi="宋体"/>
          <w:bCs/>
          <w:color w:val="auto"/>
          <w:szCs w:val="21"/>
          <w:highlight w:val="none"/>
          <w:u w:val="single"/>
        </w:rPr>
        <w:t>审定</w:t>
      </w:r>
      <w:bookmarkEnd w:id="592"/>
      <w:r>
        <w:rPr>
          <w:rFonts w:ascii="宋体" w:hAnsi="宋体"/>
          <w:color w:val="auto"/>
          <w:szCs w:val="21"/>
          <w:highlight w:val="none"/>
        </w:rPr>
        <w:t>。</w:t>
      </w:r>
    </w:p>
    <w:p>
      <w:pPr>
        <w:spacing w:line="400" w:lineRule="exact"/>
        <w:rPr>
          <w:rFonts w:ascii="宋体" w:hAnsi="宋体"/>
          <w:b/>
          <w:color w:val="auto"/>
          <w:highlight w:val="none"/>
        </w:rPr>
      </w:pPr>
      <w:bookmarkStart w:id="593" w:name="_Toc395382546"/>
      <w:bookmarkStart w:id="594" w:name="_Toc373227743"/>
      <w:bookmarkStart w:id="595" w:name="_Toc389065309"/>
      <w:bookmarkStart w:id="596" w:name="_Toc373478390"/>
      <w:r>
        <w:rPr>
          <w:rFonts w:ascii="宋体" w:hAnsi="宋体"/>
          <w:b/>
          <w:color w:val="auto"/>
          <w:highlight w:val="none"/>
        </w:rPr>
        <w:t>1</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Start w:id="597" w:name="_Toc297048383"/>
      <w:bookmarkStart w:id="598" w:name="_Toc297123544"/>
      <w:bookmarkStart w:id="599" w:name="_Toc296944536"/>
      <w:bookmarkStart w:id="600" w:name="_Toc297120497"/>
      <w:bookmarkStart w:id="601" w:name="_Toc296891025"/>
      <w:bookmarkStart w:id="602" w:name="_Toc297216203"/>
      <w:bookmarkStart w:id="603" w:name="_Toc300934993"/>
      <w:bookmarkStart w:id="604" w:name="_Toc292559907"/>
      <w:bookmarkStart w:id="605" w:name="_Toc296503197"/>
      <w:bookmarkStart w:id="606" w:name="_Toc296347196"/>
      <w:bookmarkStart w:id="607" w:name="_Toc292559402"/>
      <w:bookmarkStart w:id="608" w:name="_Toc303539150"/>
      <w:bookmarkStart w:id="609" w:name="_Toc296346698"/>
      <w:bookmarkStart w:id="610" w:name="_Toc296891237"/>
      <w:bookmarkStart w:id="611" w:name="_Toc304295570"/>
      <w:bookmarkStart w:id="612" w:name="_Toc312678029"/>
      <w:bookmarkStart w:id="613" w:name="_Toc312677503"/>
      <w:r>
        <w:rPr>
          <w:rFonts w:ascii="宋体" w:hAnsi="宋体"/>
          <w:b/>
          <w:color w:val="auto"/>
          <w:highlight w:val="none"/>
        </w:rPr>
        <w:t>0.5</w:t>
      </w:r>
      <w:r>
        <w:rPr>
          <w:rFonts w:hint="eastAsia" w:ascii="宋体" w:hAnsi="宋体"/>
          <w:b/>
          <w:color w:val="auto"/>
          <w:highlight w:val="none"/>
        </w:rPr>
        <w:t xml:space="preserve"> </w:t>
      </w:r>
      <w:r>
        <w:rPr>
          <w:rFonts w:ascii="宋体" w:hAnsi="宋体"/>
          <w:b/>
          <w:color w:val="auto"/>
          <w:highlight w:val="none"/>
        </w:rPr>
        <w:t>承</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Start w:id="614" w:name="_Toc296944542"/>
      <w:bookmarkStart w:id="615" w:name="_Toc296503203"/>
      <w:bookmarkStart w:id="616" w:name="_Toc296891031"/>
      <w:bookmarkStart w:id="617" w:name="_Toc296891243"/>
      <w:bookmarkStart w:id="618" w:name="_Toc300934994"/>
      <w:bookmarkStart w:id="619" w:name="_Toc292559913"/>
      <w:bookmarkStart w:id="620" w:name="_Toc292559408"/>
      <w:bookmarkStart w:id="621" w:name="_Toc296347202"/>
      <w:bookmarkStart w:id="622" w:name="_Toc297120503"/>
      <w:bookmarkStart w:id="623" w:name="_Toc296346704"/>
      <w:bookmarkStart w:id="624" w:name="_Toc297123545"/>
      <w:bookmarkStart w:id="625" w:name="_Toc297048389"/>
      <w:bookmarkStart w:id="626" w:name="_Toc297216204"/>
      <w:bookmarkStart w:id="627" w:name="_Toc303539151"/>
      <w:r>
        <w:rPr>
          <w:rFonts w:ascii="宋体" w:hAnsi="宋体"/>
          <w:b/>
          <w:color w:val="auto"/>
          <w:highlight w:val="none"/>
        </w:rPr>
        <w:t>包人的合理化建议</w:t>
      </w:r>
      <w:bookmarkEnd w:id="593"/>
      <w:bookmarkEnd w:id="594"/>
      <w:bookmarkEnd w:id="595"/>
      <w:bookmarkEnd w:id="596"/>
    </w:p>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400" w:lineRule="exact"/>
        <w:jc w:val="left"/>
        <w:rPr>
          <w:rFonts w:ascii="宋体" w:hAnsi="宋体"/>
          <w:color w:val="auto"/>
          <w:szCs w:val="21"/>
          <w:highlight w:val="none"/>
        </w:rPr>
      </w:pPr>
      <w:r>
        <w:rPr>
          <w:rFonts w:ascii="宋体" w:hAnsi="宋体"/>
          <w:color w:val="auto"/>
          <w:szCs w:val="21"/>
          <w:highlight w:val="none"/>
        </w:rPr>
        <w:t>监理人审查承包人合理化建议的期限：</w:t>
      </w:r>
      <w:r>
        <w:rPr>
          <w:rFonts w:hint="eastAsia" w:ascii="宋体" w:hAnsi="宋体"/>
          <w:color w:val="auto"/>
          <w:szCs w:val="21"/>
          <w:highlight w:val="none"/>
          <w:u w:val="single"/>
        </w:rPr>
        <w:t>提交合理化建议后14天内</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发包人审批承包人合理化建议的期限：</w:t>
      </w:r>
      <w:r>
        <w:rPr>
          <w:rFonts w:hint="eastAsia" w:ascii="宋体" w:hAnsi="宋体"/>
          <w:color w:val="auto"/>
          <w:szCs w:val="21"/>
          <w:highlight w:val="none"/>
          <w:u w:val="single"/>
        </w:rPr>
        <w:t>提交合理化建议后14天内</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承</w:t>
      </w:r>
      <w:bookmarkStart w:id="628" w:name="_Toc300934995"/>
      <w:bookmarkStart w:id="629" w:name="_Toc312677504"/>
      <w:bookmarkStart w:id="630" w:name="_Toc292559409"/>
      <w:bookmarkStart w:id="631" w:name="_Toc297123546"/>
      <w:bookmarkStart w:id="632" w:name="_Toc296891032"/>
      <w:bookmarkStart w:id="633" w:name="_Toc318581175"/>
      <w:bookmarkStart w:id="634" w:name="_Toc296346705"/>
      <w:bookmarkStart w:id="635" w:name="_Toc296503204"/>
      <w:bookmarkStart w:id="636" w:name="_Toc303539152"/>
      <w:bookmarkStart w:id="637" w:name="_Toc296347203"/>
      <w:bookmarkStart w:id="638" w:name="_Toc297216205"/>
      <w:bookmarkStart w:id="639" w:name="_Toc304295571"/>
      <w:bookmarkStart w:id="640" w:name="_Toc296944543"/>
      <w:bookmarkStart w:id="641" w:name="_Toc297048390"/>
      <w:bookmarkStart w:id="642" w:name="_Toc312678030"/>
      <w:bookmarkStart w:id="643" w:name="_Toc292559914"/>
      <w:bookmarkStart w:id="644" w:name="_Toc297120504"/>
      <w:bookmarkStart w:id="645" w:name="_Toc296891244"/>
      <w:r>
        <w:rPr>
          <w:rFonts w:ascii="宋体" w:hAnsi="宋体"/>
          <w:color w:val="auto"/>
          <w:szCs w:val="21"/>
          <w:highlight w:val="none"/>
        </w:rPr>
        <w:t>包人提出的合理化建议降低了合同价格或者提高了工程经济效益的奖励的方法和金额为：</w:t>
      </w:r>
      <w:r>
        <w:rPr>
          <w:rFonts w:hint="eastAsia" w:ascii="宋体" w:hAnsi="宋体"/>
          <w:color w:val="auto"/>
          <w:szCs w:val="21"/>
          <w:highlight w:val="none"/>
          <w:u w:val="single"/>
        </w:rPr>
        <w:t>/</w:t>
      </w:r>
      <w:r>
        <w:rPr>
          <w:rFonts w:ascii="宋体" w:hAnsi="宋体"/>
          <w:color w:val="auto"/>
          <w:szCs w:val="21"/>
          <w:highlight w:val="none"/>
        </w:rPr>
        <w:t>。</w:t>
      </w:r>
    </w:p>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Pr>
        <w:spacing w:line="400" w:lineRule="exact"/>
        <w:rPr>
          <w:rFonts w:ascii="宋体" w:hAnsi="宋体"/>
          <w:b/>
          <w:color w:val="auto"/>
          <w:highlight w:val="none"/>
        </w:rPr>
      </w:pPr>
      <w:bookmarkStart w:id="646" w:name="_Toc373227744"/>
      <w:bookmarkStart w:id="647" w:name="_Toc389065310"/>
      <w:bookmarkStart w:id="648" w:name="_Toc373478391"/>
      <w:bookmarkStart w:id="649" w:name="_Toc395382547"/>
      <w:r>
        <w:rPr>
          <w:rFonts w:ascii="宋体" w:hAnsi="宋体"/>
          <w:b/>
          <w:color w:val="auto"/>
          <w:highlight w:val="none"/>
        </w:rPr>
        <w:t>1</w:t>
      </w:r>
      <w:bookmarkStart w:id="650" w:name="_Toc297123548"/>
      <w:bookmarkStart w:id="651" w:name="_Toc296891239"/>
      <w:bookmarkStart w:id="652" w:name="_Toc292559404"/>
      <w:bookmarkStart w:id="653" w:name="_Toc296944538"/>
      <w:bookmarkStart w:id="654" w:name="_Toc297048385"/>
      <w:bookmarkStart w:id="655" w:name="_Toc296346700"/>
      <w:bookmarkStart w:id="656" w:name="_Toc297216207"/>
      <w:bookmarkStart w:id="657" w:name="_Toc296503199"/>
      <w:bookmarkStart w:id="658" w:name="_Toc297120499"/>
      <w:bookmarkStart w:id="659" w:name="_Toc312677507"/>
      <w:bookmarkStart w:id="660" w:name="_Toc296891027"/>
      <w:bookmarkStart w:id="661" w:name="_Toc296347198"/>
      <w:bookmarkStart w:id="662" w:name="_Toc304295574"/>
      <w:bookmarkStart w:id="663" w:name="_Toc312678033"/>
      <w:bookmarkStart w:id="664" w:name="_Toc303539154"/>
      <w:bookmarkStart w:id="665" w:name="_Toc300934997"/>
      <w:bookmarkStart w:id="666" w:name="_Toc292559909"/>
      <w:r>
        <w:rPr>
          <w:rFonts w:ascii="宋体" w:hAnsi="宋体"/>
          <w:b/>
          <w:color w:val="auto"/>
          <w:highlight w:val="none"/>
        </w:rPr>
        <w:t>0.7 暂估价</w:t>
      </w:r>
      <w:bookmarkEnd w:id="646"/>
      <w:bookmarkEnd w:id="647"/>
      <w:bookmarkEnd w:id="648"/>
      <w:bookmarkEnd w:id="649"/>
    </w:p>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Pr>
        <w:spacing w:line="400" w:lineRule="exact"/>
        <w:jc w:val="left"/>
        <w:rPr>
          <w:rFonts w:ascii="宋体" w:hAnsi="宋体"/>
          <w:color w:val="auto"/>
          <w:szCs w:val="21"/>
          <w:highlight w:val="none"/>
        </w:rPr>
      </w:pPr>
      <w:r>
        <w:rPr>
          <w:rFonts w:ascii="宋体" w:hAnsi="宋体"/>
          <w:color w:val="auto"/>
          <w:kern w:val="0"/>
          <w:szCs w:val="21"/>
          <w:highlight w:val="none"/>
        </w:rPr>
        <w:t>暂</w:t>
      </w:r>
      <w:bookmarkStart w:id="667" w:name="_Toc312678034"/>
      <w:bookmarkStart w:id="668" w:name="_Toc318581176"/>
      <w:bookmarkStart w:id="669" w:name="_Toc312677508"/>
      <w:r>
        <w:rPr>
          <w:rFonts w:ascii="宋体" w:hAnsi="宋体"/>
          <w:color w:val="auto"/>
          <w:kern w:val="0"/>
          <w:szCs w:val="21"/>
          <w:highlight w:val="none"/>
        </w:rPr>
        <w:t>估价材料和工程设备的明细详见</w:t>
      </w:r>
      <w:r>
        <w:rPr>
          <w:rFonts w:hint="eastAsia" w:ascii="宋体" w:hAnsi="宋体"/>
          <w:color w:val="auto"/>
          <w:kern w:val="0"/>
          <w:szCs w:val="21"/>
          <w:highlight w:val="none"/>
        </w:rPr>
        <w:t>已标价工程量清单《</w:t>
      </w:r>
      <w:r>
        <w:rPr>
          <w:rFonts w:ascii="宋体" w:hAnsi="宋体"/>
          <w:color w:val="auto"/>
          <w:szCs w:val="21"/>
          <w:highlight w:val="none"/>
        </w:rPr>
        <w:t>材料（工程设备）暂估价格及调整表</w:t>
      </w:r>
      <w:r>
        <w:rPr>
          <w:rFonts w:hint="eastAsia" w:ascii="宋体" w:hAnsi="宋体"/>
          <w:color w:val="auto"/>
          <w:szCs w:val="21"/>
          <w:highlight w:val="none"/>
        </w:rPr>
        <w:t>》</w:t>
      </w:r>
      <w:r>
        <w:rPr>
          <w:rFonts w:hint="eastAsia" w:ascii="宋体" w:hAnsi="宋体"/>
          <w:color w:val="auto"/>
          <w:kern w:val="0"/>
          <w:szCs w:val="21"/>
          <w:highlight w:val="none"/>
        </w:rPr>
        <w:t>（表12-2）和《</w:t>
      </w:r>
      <w:r>
        <w:rPr>
          <w:rFonts w:ascii="宋体" w:hAnsi="宋体"/>
          <w:color w:val="auto"/>
          <w:szCs w:val="21"/>
          <w:highlight w:val="none"/>
        </w:rPr>
        <w:t>专业工程暂估价表</w:t>
      </w:r>
      <w:r>
        <w:rPr>
          <w:rFonts w:hint="eastAsia" w:ascii="宋体" w:hAnsi="宋体"/>
          <w:color w:val="auto"/>
          <w:szCs w:val="21"/>
          <w:highlight w:val="none"/>
        </w:rPr>
        <w:t>》（</w:t>
      </w:r>
      <w:r>
        <w:rPr>
          <w:rFonts w:hint="eastAsia" w:ascii="宋体" w:hAnsi="宋体"/>
          <w:color w:val="auto"/>
          <w:kern w:val="0"/>
          <w:szCs w:val="21"/>
          <w:highlight w:val="none"/>
        </w:rPr>
        <w:t>表12-3）</w:t>
      </w:r>
      <w:r>
        <w:rPr>
          <w:rFonts w:ascii="宋体" w:hAnsi="宋体"/>
          <w:color w:val="auto"/>
          <w:kern w:val="0"/>
          <w:szCs w:val="21"/>
          <w:highlight w:val="none"/>
        </w:rPr>
        <w:t>。</w:t>
      </w:r>
    </w:p>
    <w:bookmarkEnd w:id="667"/>
    <w:bookmarkEnd w:id="668"/>
    <w:bookmarkEnd w:id="669"/>
    <w:p>
      <w:pPr>
        <w:spacing w:line="400" w:lineRule="exact"/>
        <w:jc w:val="left"/>
        <w:rPr>
          <w:rFonts w:ascii="宋体" w:hAnsi="宋体"/>
          <w:color w:val="auto"/>
          <w:szCs w:val="21"/>
          <w:highlight w:val="none"/>
        </w:rPr>
      </w:pPr>
      <w:r>
        <w:rPr>
          <w:rFonts w:ascii="宋体" w:hAnsi="宋体"/>
          <w:color w:val="auto"/>
          <w:szCs w:val="21"/>
          <w:highlight w:val="none"/>
        </w:rPr>
        <w:t>1</w:t>
      </w:r>
      <w:bookmarkStart w:id="670" w:name="_Toc312678035"/>
      <w:bookmarkStart w:id="671" w:name="_Toc318581177"/>
      <w:bookmarkStart w:id="672" w:name="_Toc312677509"/>
      <w:r>
        <w:rPr>
          <w:rFonts w:ascii="宋体" w:hAnsi="宋体"/>
          <w:color w:val="auto"/>
          <w:szCs w:val="21"/>
          <w:highlight w:val="none"/>
        </w:rPr>
        <w:t>0.7.1 依法必须招标的暂估价项目</w:t>
      </w:r>
    </w:p>
    <w:bookmarkEnd w:id="670"/>
    <w:bookmarkEnd w:id="671"/>
    <w:bookmarkEnd w:id="672"/>
    <w:p>
      <w:pPr>
        <w:spacing w:line="400" w:lineRule="exact"/>
        <w:jc w:val="left"/>
        <w:rPr>
          <w:rFonts w:ascii="宋体" w:hAnsi="宋体"/>
          <w:color w:val="auto"/>
          <w:szCs w:val="21"/>
          <w:highlight w:val="none"/>
        </w:rPr>
      </w:pPr>
      <w:r>
        <w:rPr>
          <w:rFonts w:ascii="宋体" w:hAnsi="宋体"/>
          <w:color w:val="auto"/>
          <w:szCs w:val="21"/>
          <w:highlight w:val="none"/>
        </w:rPr>
        <w:t>对于依法必须招标的暂估价项目的确认和批准采取第</w:t>
      </w:r>
      <w:r>
        <w:rPr>
          <w:rFonts w:hint="eastAsia" w:ascii="宋体" w:hAnsi="宋体"/>
          <w:color w:val="auto"/>
          <w:szCs w:val="21"/>
          <w:highlight w:val="none"/>
          <w:u w:val="single"/>
        </w:rPr>
        <w:t>2</w:t>
      </w:r>
      <w:r>
        <w:rPr>
          <w:rFonts w:ascii="宋体" w:hAnsi="宋体"/>
          <w:color w:val="auto"/>
          <w:szCs w:val="21"/>
          <w:highlight w:val="none"/>
          <w:u w:val="single"/>
        </w:rPr>
        <w:t xml:space="preserve"> </w:t>
      </w:r>
      <w:r>
        <w:rPr>
          <w:rFonts w:ascii="宋体" w:hAnsi="宋体"/>
          <w:color w:val="auto"/>
          <w:szCs w:val="21"/>
          <w:highlight w:val="none"/>
        </w:rPr>
        <w:t>种方式确定。</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第1种方式：对于依法必须招标的暂估价项目，由承包人招标，对该暂估价项目的确认和批准按照以下约定执行：</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2）承包人应当根据施工进度计划，提前14天将招标文件通过监理人报送发包人审批，发包人应当在收到承包人报送的相关文件后7天内完成审批或提出修改意见；发包人有权确定招标控制价并委派评标委员会成员；</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（3）承包人与供应商、分包人在签订暂估价合同前，应当提前7天将确定的</w:t>
      </w:r>
      <w:r>
        <w:rPr>
          <w:rFonts w:hint="eastAsia" w:ascii="宋体" w:hAnsi="宋体"/>
          <w:color w:val="auto"/>
          <w:kern w:val="0"/>
          <w:szCs w:val="21"/>
          <w:highlight w:val="none"/>
        </w:rPr>
        <w:t>成交</w:t>
      </w:r>
      <w:r>
        <w:rPr>
          <w:rFonts w:ascii="宋体" w:hAnsi="宋体"/>
          <w:color w:val="auto"/>
          <w:kern w:val="0"/>
          <w:szCs w:val="21"/>
          <w:highlight w:val="none"/>
        </w:rPr>
        <w:t>候选供应商或</w:t>
      </w:r>
      <w:r>
        <w:rPr>
          <w:rFonts w:hint="eastAsia" w:ascii="宋体" w:hAnsi="宋体"/>
          <w:color w:val="auto"/>
          <w:kern w:val="0"/>
          <w:szCs w:val="21"/>
          <w:highlight w:val="none"/>
        </w:rPr>
        <w:t>成交</w:t>
      </w:r>
      <w:r>
        <w:rPr>
          <w:rFonts w:ascii="宋体" w:hAnsi="宋体"/>
          <w:color w:val="auto"/>
          <w:kern w:val="0"/>
          <w:szCs w:val="21"/>
          <w:highlight w:val="none"/>
        </w:rPr>
        <w:t>候选分包人的资料报送发包人，发包人应在收到资料后3天内与承包人共同确定</w:t>
      </w:r>
      <w:r>
        <w:rPr>
          <w:rFonts w:hint="eastAsia" w:ascii="宋体" w:hAnsi="宋体"/>
          <w:color w:val="auto"/>
          <w:kern w:val="0"/>
          <w:szCs w:val="21"/>
          <w:highlight w:val="none"/>
        </w:rPr>
        <w:t>成交</w:t>
      </w:r>
      <w:r>
        <w:rPr>
          <w:rFonts w:ascii="宋体" w:hAnsi="宋体"/>
          <w:color w:val="auto"/>
          <w:kern w:val="0"/>
          <w:szCs w:val="21"/>
          <w:highlight w:val="none"/>
        </w:rPr>
        <w:t>人；承包人应当在签订合同后7天内，将暂估价合同副本报送发包人留存。</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w:t>
      </w:r>
      <w:r>
        <w:rPr>
          <w:rFonts w:hint="eastAsia" w:ascii="宋体" w:hAnsi="宋体"/>
          <w:color w:val="auto"/>
          <w:kern w:val="0"/>
          <w:szCs w:val="21"/>
          <w:highlight w:val="none"/>
        </w:rPr>
        <w:t>成交</w:t>
      </w:r>
      <w:r>
        <w:rPr>
          <w:rFonts w:ascii="宋体" w:hAnsi="宋体"/>
          <w:color w:val="auto"/>
          <w:kern w:val="0"/>
          <w:szCs w:val="21"/>
          <w:highlight w:val="none"/>
        </w:rPr>
        <w:t>人后，由发包人、承包人与</w:t>
      </w:r>
      <w:r>
        <w:rPr>
          <w:rFonts w:hint="eastAsia" w:ascii="宋体" w:hAnsi="宋体"/>
          <w:color w:val="auto"/>
          <w:kern w:val="0"/>
          <w:szCs w:val="21"/>
          <w:highlight w:val="none"/>
        </w:rPr>
        <w:t>成交</w:t>
      </w:r>
      <w:r>
        <w:rPr>
          <w:rFonts w:ascii="宋体" w:hAnsi="宋体"/>
          <w:color w:val="auto"/>
          <w:kern w:val="0"/>
          <w:szCs w:val="21"/>
          <w:highlight w:val="none"/>
        </w:rPr>
        <w:t>人共同签订暂估价合同。</w:t>
      </w:r>
    </w:p>
    <w:p>
      <w:pPr>
        <w:spacing w:line="400" w:lineRule="exact"/>
        <w:jc w:val="left"/>
        <w:rPr>
          <w:rFonts w:ascii="宋体" w:hAnsi="宋体"/>
          <w:color w:val="auto"/>
          <w:szCs w:val="21"/>
          <w:highlight w:val="none"/>
        </w:rPr>
      </w:pPr>
      <w:r>
        <w:rPr>
          <w:rFonts w:ascii="宋体" w:hAnsi="宋体"/>
          <w:color w:val="auto"/>
          <w:szCs w:val="21"/>
          <w:highlight w:val="none"/>
        </w:rPr>
        <w:t>10.7.2 不属于依法必须招标的暂估价项目</w:t>
      </w:r>
    </w:p>
    <w:p>
      <w:pPr>
        <w:spacing w:line="400" w:lineRule="exact"/>
        <w:jc w:val="left"/>
        <w:rPr>
          <w:rFonts w:ascii="宋体" w:hAnsi="宋体"/>
          <w:color w:val="auto"/>
          <w:kern w:val="0"/>
          <w:szCs w:val="21"/>
          <w:highlight w:val="none"/>
        </w:rPr>
      </w:pPr>
      <w:r>
        <w:rPr>
          <w:rFonts w:ascii="宋体" w:hAnsi="宋体"/>
          <w:color w:val="auto"/>
          <w:szCs w:val="21"/>
          <w:highlight w:val="none"/>
        </w:rPr>
        <w:t>对于不属于依法必须招标的暂估价项目的确认和批准采取第</w:t>
      </w:r>
      <w:r>
        <w:rPr>
          <w:rFonts w:ascii="宋体" w:hAnsi="宋体"/>
          <w:color w:val="auto"/>
          <w:szCs w:val="21"/>
          <w:highlight w:val="none"/>
          <w:u w:val="single"/>
        </w:rPr>
        <w:t xml:space="preserve"> </w:t>
      </w:r>
      <w:r>
        <w:rPr>
          <w:rFonts w:hint="eastAsia" w:ascii="宋体" w:hAnsi="宋体"/>
          <w:color w:val="auto"/>
          <w:szCs w:val="21"/>
          <w:highlight w:val="none"/>
          <w:u w:val="single"/>
        </w:rPr>
        <w:t>1</w:t>
      </w:r>
      <w:r>
        <w:rPr>
          <w:rFonts w:ascii="宋体" w:hAnsi="宋体"/>
          <w:color w:val="auto"/>
          <w:szCs w:val="21"/>
          <w:highlight w:val="none"/>
        </w:rPr>
        <w:t xml:space="preserve"> 种方式确定。</w:t>
      </w:r>
      <w:r>
        <w:rPr>
          <w:rFonts w:ascii="宋体" w:hAnsi="宋体"/>
          <w:color w:val="auto"/>
          <w:kern w:val="0"/>
          <w:szCs w:val="21"/>
          <w:highlight w:val="none"/>
        </w:rPr>
        <w:t>第1种方式：对于不属于依法必须招标的暂估价项目，按本项约定确认和批准：</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（2）发包人认为承包人确定的供应商、分包人无法满足工程质量或合同要求的，发包人可以要求承包人重新确定暂估价项目的供应商、分包人</w:t>
      </w:r>
      <w:r>
        <w:rPr>
          <w:rFonts w:hint="eastAsia" w:ascii="宋体" w:hAnsi="宋体"/>
          <w:color w:val="auto"/>
          <w:kern w:val="0"/>
          <w:szCs w:val="21"/>
          <w:highlight w:val="none"/>
        </w:rPr>
        <w:t>；</w:t>
      </w:r>
      <w:r>
        <w:rPr>
          <w:rFonts w:ascii="宋体" w:hAnsi="宋体"/>
          <w:color w:val="auto"/>
          <w:kern w:val="0"/>
          <w:szCs w:val="21"/>
          <w:highlight w:val="none"/>
        </w:rPr>
        <w:t>（3）承包人应当在签订暂估价合同后7天内，将暂估价合同副本报送发包人留存。</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第2种方式：承包人按照第</w:t>
      </w:r>
      <w:r>
        <w:rPr>
          <w:rFonts w:hint="eastAsia" w:ascii="宋体" w:hAnsi="宋体"/>
          <w:color w:val="auto"/>
          <w:kern w:val="0"/>
          <w:szCs w:val="21"/>
          <w:highlight w:val="none"/>
        </w:rPr>
        <w:t>10</w:t>
      </w:r>
      <w:r>
        <w:rPr>
          <w:rFonts w:ascii="宋体" w:hAnsi="宋体"/>
          <w:color w:val="auto"/>
          <w:kern w:val="0"/>
          <w:szCs w:val="21"/>
          <w:highlight w:val="none"/>
        </w:rPr>
        <w:t>.</w:t>
      </w:r>
      <w:r>
        <w:rPr>
          <w:rFonts w:hint="eastAsia" w:ascii="宋体" w:hAnsi="宋体"/>
          <w:color w:val="auto"/>
          <w:kern w:val="0"/>
          <w:szCs w:val="21"/>
          <w:highlight w:val="none"/>
        </w:rPr>
        <w:t>7</w:t>
      </w:r>
      <w:r>
        <w:rPr>
          <w:rFonts w:ascii="宋体" w:hAnsi="宋体"/>
          <w:color w:val="auto"/>
          <w:kern w:val="0"/>
          <w:szCs w:val="21"/>
          <w:highlight w:val="none"/>
        </w:rPr>
        <w:t>.1项【依法必须招标的暂估价项目】约定的第1种方式确定暂估价项目。</w:t>
      </w:r>
    </w:p>
    <w:p>
      <w:pPr>
        <w:spacing w:line="400" w:lineRule="exact"/>
        <w:jc w:val="left"/>
        <w:rPr>
          <w:rFonts w:ascii="宋体" w:hAnsi="宋体"/>
          <w:color w:val="auto"/>
          <w:kern w:val="0"/>
          <w:szCs w:val="21"/>
          <w:highlight w:val="none"/>
        </w:rPr>
      </w:pPr>
      <w:r>
        <w:rPr>
          <w:rFonts w:ascii="宋体" w:hAnsi="宋体"/>
          <w:color w:val="auto"/>
          <w:szCs w:val="21"/>
          <w:highlight w:val="none"/>
        </w:rPr>
        <w:t>第3种方式：</w:t>
      </w:r>
      <w:r>
        <w:rPr>
          <w:rFonts w:ascii="宋体" w:hAnsi="宋体"/>
          <w:color w:val="auto"/>
          <w:kern w:val="0"/>
          <w:szCs w:val="21"/>
          <w:highlight w:val="none"/>
        </w:rPr>
        <w:t>承包人直接实施的暂估价项目</w:t>
      </w:r>
    </w:p>
    <w:p>
      <w:pPr>
        <w:spacing w:line="400" w:lineRule="exact"/>
        <w:jc w:val="left"/>
        <w:rPr>
          <w:rFonts w:ascii="宋体" w:hAnsi="宋体"/>
          <w:color w:val="auto"/>
          <w:szCs w:val="21"/>
          <w:highlight w:val="none"/>
          <w:u w:val="single"/>
        </w:rPr>
      </w:pPr>
      <w:r>
        <w:rPr>
          <w:rFonts w:ascii="宋体" w:hAnsi="宋体"/>
          <w:color w:val="auto"/>
          <w:szCs w:val="21"/>
          <w:highlight w:val="none"/>
        </w:rPr>
        <w:t>承包人直接实施的暂估价项目的约定：</w:t>
      </w:r>
      <w:r>
        <w:rPr>
          <w:rFonts w:ascii="宋体" w:hAnsi="宋体"/>
          <w:color w:val="auto"/>
          <w:kern w:val="0"/>
          <w:szCs w:val="21"/>
          <w:highlight w:val="none"/>
          <w:u w:val="single"/>
        </w:rPr>
        <w:t>承包人具备实施暂估价项目的资格和条件的，经发包人和承包人协商一致后，可由承包人自行实施暂估价项目，合同当事人可以在合同条款约定具体事项</w:t>
      </w:r>
      <w:r>
        <w:rPr>
          <w:rFonts w:hint="eastAsia" w:ascii="宋体" w:hAnsi="宋体"/>
          <w:color w:val="auto"/>
          <w:szCs w:val="21"/>
          <w:highlight w:val="none"/>
        </w:rPr>
        <w:t>。</w:t>
      </w:r>
    </w:p>
    <w:p>
      <w:pPr>
        <w:spacing w:line="400" w:lineRule="exact"/>
        <w:rPr>
          <w:rFonts w:ascii="宋体" w:hAnsi="宋体"/>
          <w:b/>
          <w:color w:val="auto"/>
          <w:highlight w:val="none"/>
        </w:rPr>
      </w:pPr>
      <w:bookmarkStart w:id="673" w:name="_Toc373478392"/>
      <w:bookmarkStart w:id="674" w:name="_Toc373227745"/>
      <w:bookmarkStart w:id="675" w:name="_Toc395382548"/>
      <w:bookmarkStart w:id="676" w:name="_Toc389065311"/>
      <w:r>
        <w:rPr>
          <w:rFonts w:ascii="宋体" w:hAnsi="宋体"/>
          <w:b/>
          <w:color w:val="auto"/>
          <w:highlight w:val="none"/>
        </w:rPr>
        <w:t>10.8 暂列金额</w:t>
      </w:r>
      <w:bookmarkEnd w:id="673"/>
      <w:bookmarkEnd w:id="674"/>
      <w:bookmarkEnd w:id="675"/>
      <w:bookmarkEnd w:id="676"/>
    </w:p>
    <w:p>
      <w:pPr>
        <w:spacing w:line="400" w:lineRule="exact"/>
        <w:rPr>
          <w:rFonts w:ascii="宋体" w:hAnsi="宋体"/>
          <w:color w:val="auto"/>
          <w:szCs w:val="21"/>
          <w:highlight w:val="none"/>
        </w:rPr>
      </w:pPr>
      <w:r>
        <w:rPr>
          <w:rFonts w:ascii="宋体" w:hAnsi="宋体"/>
          <w:color w:val="auto"/>
          <w:kern w:val="0"/>
          <w:szCs w:val="21"/>
          <w:highlight w:val="none"/>
        </w:rPr>
        <w:t>合同当事人关于暂列金额使用的约定：</w:t>
      </w:r>
      <w:r>
        <w:rPr>
          <w:rFonts w:hint="eastAsia" w:ascii="宋体" w:hAnsi="宋体"/>
          <w:color w:val="auto"/>
          <w:szCs w:val="21"/>
          <w:highlight w:val="none"/>
        </w:rPr>
        <w:t xml:space="preserve">（1）已签约合同价中的暂列金额由发包人掌握使用。 </w:t>
      </w:r>
    </w:p>
    <w:p>
      <w:pPr>
        <w:spacing w:line="400" w:lineRule="exact"/>
        <w:rPr>
          <w:rFonts w:ascii="宋体" w:hAnsi="宋体"/>
          <w:color w:val="auto"/>
          <w:szCs w:val="21"/>
          <w:highlight w:val="none"/>
          <w:u w:val="single"/>
        </w:rPr>
      </w:pPr>
      <w:r>
        <w:rPr>
          <w:rFonts w:hint="eastAsia" w:ascii="宋体" w:hAnsi="宋体"/>
          <w:bCs/>
          <w:color w:val="auto"/>
          <w:szCs w:val="21"/>
          <w:highlight w:val="none"/>
        </w:rPr>
        <w:t>（2）发包人按照规定所作支付后，暂列金额如有余额归发包人</w:t>
      </w:r>
      <w:r>
        <w:rPr>
          <w:rFonts w:hint="eastAsia" w:ascii="宋体" w:hAnsi="宋体"/>
          <w:color w:val="auto"/>
          <w:szCs w:val="21"/>
          <w:highlight w:val="none"/>
        </w:rPr>
        <w:t>。</w:t>
      </w:r>
    </w:p>
    <w:p>
      <w:pPr>
        <w:spacing w:line="400" w:lineRule="exact"/>
        <w:rPr>
          <w:rFonts w:ascii="宋体" w:hAnsi="宋体"/>
          <w:b/>
          <w:color w:val="auto"/>
          <w:highlight w:val="none"/>
        </w:rPr>
      </w:pPr>
      <w:bookmarkStart w:id="677" w:name="_Toc389065312"/>
      <w:bookmarkStart w:id="678" w:name="_Toc351203643"/>
      <w:bookmarkStart w:id="679" w:name="_Toc373478393"/>
      <w:bookmarkStart w:id="680" w:name="_Toc373227746"/>
      <w:bookmarkStart w:id="681" w:name="_Toc395382549"/>
      <w:r>
        <w:rPr>
          <w:rFonts w:ascii="宋体" w:hAnsi="宋体"/>
          <w:b/>
          <w:color w:val="auto"/>
          <w:highlight w:val="none"/>
        </w:rPr>
        <w:t>11.价格调整</w:t>
      </w:r>
      <w:bookmarkEnd w:id="677"/>
      <w:bookmarkEnd w:id="678"/>
      <w:bookmarkEnd w:id="679"/>
      <w:bookmarkEnd w:id="680"/>
      <w:bookmarkEnd w:id="681"/>
    </w:p>
    <w:p>
      <w:pPr>
        <w:spacing w:line="400" w:lineRule="exact"/>
        <w:rPr>
          <w:rFonts w:ascii="宋体" w:hAnsi="宋体"/>
          <w:b/>
          <w:color w:val="auto"/>
          <w:highlight w:val="none"/>
        </w:rPr>
      </w:pPr>
      <w:bookmarkStart w:id="682" w:name="_Toc373478394"/>
      <w:bookmarkStart w:id="683" w:name="_Toc389065313"/>
      <w:bookmarkStart w:id="684" w:name="_Toc395382550"/>
      <w:bookmarkStart w:id="685" w:name="_Toc373227747"/>
      <w:bookmarkStart w:id="686" w:name="_Toc296347200"/>
      <w:bookmarkStart w:id="687" w:name="_Toc304295577"/>
      <w:bookmarkStart w:id="688" w:name="_Toc297216209"/>
      <w:bookmarkStart w:id="689" w:name="_Toc300935000"/>
      <w:bookmarkStart w:id="690" w:name="_Toc303539157"/>
      <w:bookmarkStart w:id="691" w:name="_Toc296891029"/>
      <w:bookmarkStart w:id="692" w:name="_Toc296346702"/>
      <w:bookmarkStart w:id="693" w:name="_Toc296503201"/>
      <w:bookmarkStart w:id="694" w:name="_Toc296891241"/>
      <w:bookmarkStart w:id="695" w:name="_Toc312678039"/>
      <w:bookmarkStart w:id="696" w:name="_Toc297120501"/>
      <w:bookmarkStart w:id="697" w:name="_Toc297123550"/>
      <w:bookmarkStart w:id="698" w:name="_Toc292559406"/>
      <w:bookmarkStart w:id="699" w:name="_Toc296944540"/>
      <w:bookmarkStart w:id="700" w:name="_Toc297048387"/>
      <w:bookmarkStart w:id="701" w:name="_Toc292559911"/>
      <w:r>
        <w:rPr>
          <w:rFonts w:ascii="宋体" w:hAnsi="宋体"/>
          <w:b/>
          <w:color w:val="auto"/>
          <w:highlight w:val="none"/>
        </w:rPr>
        <w:t>11.1 市场价格波动引起的调整</w:t>
      </w:r>
      <w:bookmarkEnd w:id="682"/>
      <w:bookmarkEnd w:id="683"/>
      <w:bookmarkEnd w:id="684"/>
      <w:bookmarkEnd w:id="685"/>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spacing w:line="400" w:lineRule="exact"/>
        <w:rPr>
          <w:rFonts w:ascii="宋体" w:hAnsi="宋体"/>
          <w:b/>
          <w:color w:val="auto"/>
          <w:highlight w:val="none"/>
        </w:rPr>
      </w:pPr>
      <w:r>
        <w:rPr>
          <w:rFonts w:ascii="宋体" w:hAnsi="宋体"/>
          <w:color w:val="auto"/>
          <w:kern w:val="0"/>
          <w:szCs w:val="21"/>
          <w:highlight w:val="none"/>
        </w:rPr>
        <w:t>市场价格波动是否调整合同价格的约定：</w:t>
      </w:r>
      <w:r>
        <w:rPr>
          <w:rFonts w:hint="eastAsia" w:ascii="宋体" w:hAnsi="宋体"/>
          <w:color w:val="auto"/>
          <w:kern w:val="0"/>
          <w:szCs w:val="21"/>
          <w:highlight w:val="none"/>
          <w:u w:val="single"/>
        </w:rPr>
        <w:t xml:space="preserve"> 不调整 </w:t>
      </w:r>
      <w:r>
        <w:rPr>
          <w:rFonts w:hint="eastAsia" w:ascii="宋体" w:hAnsi="宋体"/>
          <w:color w:val="auto"/>
          <w:kern w:val="0"/>
          <w:szCs w:val="21"/>
          <w:highlight w:val="none"/>
        </w:rPr>
        <w:t xml:space="preserve"> 。    </w:t>
      </w:r>
      <w:bookmarkEnd w:id="556"/>
      <w:bookmarkEnd w:id="557"/>
      <w:bookmarkEnd w:id="558"/>
      <w:bookmarkEnd w:id="559"/>
      <w:bookmarkEnd w:id="560"/>
      <w:bookmarkEnd w:id="561"/>
      <w:bookmarkStart w:id="702" w:name="_Toc312678040"/>
      <w:bookmarkStart w:id="703" w:name="_Toc304295579"/>
      <w:bookmarkStart w:id="704" w:name="_Toc300935002"/>
      <w:bookmarkStart w:id="705" w:name="_Toc297216211"/>
      <w:bookmarkStart w:id="706" w:name="_Toc303539159"/>
      <w:bookmarkStart w:id="707" w:name="_Toc297123552"/>
    </w:p>
    <w:bookmarkEnd w:id="702"/>
    <w:bookmarkEnd w:id="703"/>
    <w:bookmarkEnd w:id="704"/>
    <w:bookmarkEnd w:id="705"/>
    <w:bookmarkEnd w:id="706"/>
    <w:bookmarkEnd w:id="707"/>
    <w:p>
      <w:pPr>
        <w:spacing w:line="400" w:lineRule="exact"/>
        <w:rPr>
          <w:rFonts w:ascii="宋体" w:hAnsi="宋体"/>
          <w:b/>
          <w:color w:val="auto"/>
          <w:highlight w:val="none"/>
        </w:rPr>
      </w:pPr>
      <w:bookmarkStart w:id="708" w:name="_Toc292559411"/>
      <w:bookmarkStart w:id="709" w:name="_Toc292559916"/>
      <w:bookmarkStart w:id="710" w:name="_Toc267251461"/>
      <w:bookmarkStart w:id="711" w:name="_Toc296891246"/>
      <w:bookmarkStart w:id="712" w:name="_Toc297120506"/>
      <w:bookmarkStart w:id="713" w:name="_Toc296347205"/>
      <w:bookmarkStart w:id="714" w:name="_Toc297048392"/>
      <w:bookmarkStart w:id="715" w:name="_Toc296891034"/>
      <w:bookmarkStart w:id="716" w:name="_Toc296944545"/>
      <w:bookmarkStart w:id="717" w:name="_Toc296503206"/>
      <w:bookmarkStart w:id="718" w:name="_Toc296346707"/>
      <w:bookmarkStart w:id="719" w:name="_Toc395382552"/>
      <w:bookmarkStart w:id="720" w:name="_Toc389065314"/>
      <w:bookmarkStart w:id="721" w:name="_Toc373478396"/>
      <w:bookmarkStart w:id="722" w:name="_Toc373227749"/>
      <w:bookmarkStart w:id="723" w:name="_Toc304295580"/>
      <w:bookmarkStart w:id="724" w:name="_Toc300935003"/>
      <w:bookmarkStart w:id="725" w:name="_Toc303539160"/>
      <w:bookmarkStart w:id="726" w:name="_Toc312678041"/>
      <w:bookmarkStart w:id="727" w:name="_Toc297216212"/>
      <w:bookmarkStart w:id="728" w:name="_Toc297123553"/>
      <w:r>
        <w:rPr>
          <w:rFonts w:ascii="宋体" w:hAnsi="宋体"/>
          <w:b/>
          <w:color w:val="auto"/>
          <w:highlight w:val="none"/>
        </w:rPr>
        <w:t>12.1 合</w:t>
      </w:r>
      <w:bookmarkEnd w:id="708"/>
      <w:bookmarkEnd w:id="709"/>
      <w:bookmarkEnd w:id="710"/>
      <w:r>
        <w:rPr>
          <w:rFonts w:ascii="宋体" w:hAnsi="宋体"/>
          <w:b/>
          <w:color w:val="auto"/>
          <w:highlight w:val="none"/>
        </w:rPr>
        <w:t>同价</w:t>
      </w:r>
      <w:bookmarkEnd w:id="711"/>
      <w:bookmarkEnd w:id="712"/>
      <w:bookmarkEnd w:id="713"/>
      <w:bookmarkEnd w:id="714"/>
      <w:bookmarkEnd w:id="715"/>
      <w:bookmarkEnd w:id="716"/>
      <w:bookmarkEnd w:id="717"/>
      <w:bookmarkEnd w:id="718"/>
      <w:r>
        <w:rPr>
          <w:rFonts w:ascii="宋体" w:hAnsi="宋体"/>
          <w:b/>
          <w:color w:val="auto"/>
          <w:highlight w:val="none"/>
        </w:rPr>
        <w:t>格形式</w:t>
      </w:r>
      <w:bookmarkEnd w:id="719"/>
      <w:bookmarkEnd w:id="720"/>
      <w:bookmarkEnd w:id="721"/>
      <w:bookmarkEnd w:id="722"/>
    </w:p>
    <w:bookmarkEnd w:id="723"/>
    <w:bookmarkEnd w:id="724"/>
    <w:bookmarkEnd w:id="725"/>
    <w:bookmarkEnd w:id="726"/>
    <w:bookmarkEnd w:id="727"/>
    <w:bookmarkEnd w:id="728"/>
    <w:p>
      <w:pPr>
        <w:spacing w:line="400" w:lineRule="exact"/>
        <w:jc w:val="left"/>
        <w:rPr>
          <w:rFonts w:ascii="宋体" w:hAnsi="宋体"/>
          <w:color w:val="auto"/>
          <w:szCs w:val="21"/>
          <w:highlight w:val="none"/>
        </w:rPr>
      </w:pPr>
      <w:bookmarkStart w:id="729" w:name="_Toc296346708"/>
      <w:bookmarkStart w:id="730" w:name="_Toc297216213"/>
      <w:bookmarkStart w:id="731" w:name="_Toc292559917"/>
      <w:bookmarkStart w:id="732" w:name="_Toc296944546"/>
      <w:bookmarkStart w:id="733" w:name="_Toc297048393"/>
      <w:bookmarkStart w:id="734" w:name="_Toc389065315"/>
      <w:bookmarkStart w:id="735" w:name="_Toc304295581"/>
      <w:bookmarkStart w:id="736" w:name="_Toc373227750"/>
      <w:bookmarkStart w:id="737" w:name="_Toc296347206"/>
      <w:bookmarkStart w:id="738" w:name="_Toc296503207"/>
      <w:bookmarkStart w:id="739" w:name="_Toc292559412"/>
      <w:bookmarkStart w:id="740" w:name="_Toc312678042"/>
      <w:bookmarkStart w:id="741" w:name="_Toc296891247"/>
      <w:bookmarkStart w:id="742" w:name="_Toc373478397"/>
      <w:bookmarkStart w:id="743" w:name="_Toc296891035"/>
      <w:bookmarkStart w:id="744" w:name="_Toc303539161"/>
      <w:bookmarkStart w:id="745" w:name="_Toc300935004"/>
      <w:bookmarkStart w:id="746" w:name="_Toc297123554"/>
      <w:bookmarkStart w:id="747" w:name="_Toc297120507"/>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总价合同。</w:t>
      </w:r>
    </w:p>
    <w:p>
      <w:pPr>
        <w:spacing w:line="400" w:lineRule="exact"/>
        <w:jc w:val="left"/>
        <w:rPr>
          <w:rFonts w:ascii="宋体" w:hAnsi="宋体"/>
          <w:color w:val="auto"/>
          <w:szCs w:val="21"/>
          <w:highlight w:val="none"/>
        </w:rPr>
      </w:pPr>
      <w:r>
        <w:rPr>
          <w:rFonts w:ascii="宋体" w:hAnsi="宋体"/>
          <w:color w:val="auto"/>
          <w:szCs w:val="21"/>
          <w:highlight w:val="none"/>
        </w:rPr>
        <w:t>本合同价款采用</w:t>
      </w:r>
      <w:r>
        <w:rPr>
          <w:rFonts w:ascii="宋体" w:hAnsi="宋体"/>
          <w:color w:val="auto"/>
          <w:szCs w:val="21"/>
          <w:highlight w:val="none"/>
          <w:u w:val="single"/>
        </w:rPr>
        <w:t>固定合同总价方式</w:t>
      </w:r>
      <w:r>
        <w:rPr>
          <w:rFonts w:ascii="宋体" w:hAnsi="宋体"/>
          <w:color w:val="auto"/>
          <w:szCs w:val="21"/>
          <w:highlight w:val="none"/>
        </w:rPr>
        <w:t>确定。</w:t>
      </w:r>
    </w:p>
    <w:bookmarkEnd w:id="562"/>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Pr>
        <w:spacing w:line="400" w:lineRule="exact"/>
        <w:rPr>
          <w:rFonts w:ascii="宋体" w:hAnsi="宋体"/>
          <w:b/>
          <w:color w:val="auto"/>
          <w:highlight w:val="none"/>
        </w:rPr>
      </w:pPr>
      <w:bookmarkStart w:id="748" w:name="_Toc395382553"/>
      <w:bookmarkStart w:id="749" w:name="_Toc351203645"/>
      <w:bookmarkStart w:id="750" w:name="_Toc395382556"/>
      <w:bookmarkStart w:id="751" w:name="_Toc373227753"/>
      <w:bookmarkStart w:id="752" w:name="_Toc389065318"/>
      <w:bookmarkStart w:id="753" w:name="_Toc373478400"/>
      <w:bookmarkStart w:id="754" w:name="_Toc296347218"/>
      <w:bookmarkStart w:id="755" w:name="_Toc296891259"/>
      <w:bookmarkStart w:id="756" w:name="_Toc292559424"/>
      <w:bookmarkStart w:id="757" w:name="_Toc303539172"/>
      <w:bookmarkStart w:id="758" w:name="_Toc296503219"/>
      <w:bookmarkStart w:id="759" w:name="_Toc297123564"/>
      <w:bookmarkStart w:id="760" w:name="_Toc292559929"/>
      <w:bookmarkStart w:id="761" w:name="_Toc312678053"/>
      <w:bookmarkStart w:id="762" w:name="_Toc304295593"/>
      <w:bookmarkStart w:id="763" w:name="_Toc297120519"/>
      <w:bookmarkStart w:id="764" w:name="_Toc300935015"/>
      <w:bookmarkStart w:id="765" w:name="_Toc296891047"/>
      <w:bookmarkStart w:id="766" w:name="_Toc296346720"/>
      <w:bookmarkStart w:id="767" w:name="_Toc297048405"/>
      <w:bookmarkStart w:id="768" w:name="_Toc297216223"/>
      <w:bookmarkStart w:id="769" w:name="_Toc296944558"/>
      <w:r>
        <w:rPr>
          <w:rFonts w:ascii="宋体" w:hAnsi="宋体"/>
          <w:b/>
          <w:color w:val="auto"/>
          <w:highlight w:val="none"/>
        </w:rPr>
        <w:t>12.2 预付款</w:t>
      </w:r>
      <w:bookmarkEnd w:id="748"/>
    </w:p>
    <w:p>
      <w:pPr>
        <w:spacing w:line="400" w:lineRule="exact"/>
        <w:jc w:val="left"/>
        <w:rPr>
          <w:rFonts w:ascii="宋体" w:hAnsi="宋体"/>
          <w:color w:val="auto"/>
          <w:szCs w:val="21"/>
          <w:highlight w:val="none"/>
        </w:rPr>
      </w:pPr>
      <w:bookmarkStart w:id="770" w:name="_Toc373478398"/>
      <w:bookmarkStart w:id="771" w:name="_Toc373227751"/>
      <w:bookmarkStart w:id="772" w:name="_Toc395382554"/>
      <w:bookmarkStart w:id="773" w:name="_Toc389065316"/>
      <w:r>
        <w:rPr>
          <w:rFonts w:ascii="宋体" w:hAnsi="宋体"/>
          <w:color w:val="auto"/>
          <w:szCs w:val="21"/>
          <w:highlight w:val="none"/>
        </w:rPr>
        <w:t>12.2.1 预付款的支付</w:t>
      </w:r>
    </w:p>
    <w:p>
      <w:pPr>
        <w:spacing w:line="400" w:lineRule="exact"/>
        <w:jc w:val="left"/>
        <w:rPr>
          <w:rFonts w:ascii="宋体" w:hAnsi="宋体"/>
          <w:color w:val="auto"/>
          <w:szCs w:val="21"/>
          <w:highlight w:val="none"/>
        </w:rPr>
      </w:pPr>
      <w:r>
        <w:rPr>
          <w:rFonts w:ascii="宋体" w:hAnsi="宋体"/>
          <w:color w:val="auto"/>
          <w:szCs w:val="21"/>
          <w:highlight w:val="none"/>
        </w:rPr>
        <w:t>预付款支付比例或金额：</w:t>
      </w:r>
      <w:r>
        <w:rPr>
          <w:rFonts w:hint="eastAsia" w:ascii="宋体" w:hAnsi="宋体"/>
          <w:color w:val="auto"/>
          <w:szCs w:val="21"/>
          <w:highlight w:val="none"/>
        </w:rPr>
        <w:t>合同价款的</w:t>
      </w:r>
      <w:r>
        <w:rPr>
          <w:rFonts w:hint="eastAsia" w:ascii="宋体" w:hAnsi="宋体"/>
          <w:color w:val="auto"/>
          <w:szCs w:val="21"/>
          <w:highlight w:val="none"/>
          <w:u w:val="single"/>
        </w:rPr>
        <w:t xml:space="preserve"> 30 %</w:t>
      </w:r>
      <w:r>
        <w:rPr>
          <w:rFonts w:hint="eastAsia" w:ascii="宋体" w:hAnsi="宋体"/>
          <w:color w:val="auto"/>
          <w:szCs w:val="21"/>
          <w:highlight w:val="none"/>
        </w:rPr>
        <w:t xml:space="preserve"> 。</w:t>
      </w:r>
    </w:p>
    <w:p>
      <w:pPr>
        <w:spacing w:line="400" w:lineRule="exact"/>
        <w:jc w:val="left"/>
        <w:rPr>
          <w:rFonts w:ascii="宋体" w:hAnsi="宋体"/>
          <w:color w:val="auto"/>
          <w:szCs w:val="21"/>
          <w:highlight w:val="none"/>
        </w:rPr>
      </w:pPr>
      <w:r>
        <w:rPr>
          <w:rFonts w:ascii="宋体" w:hAnsi="宋体"/>
          <w:color w:val="auto"/>
          <w:szCs w:val="21"/>
          <w:highlight w:val="none"/>
        </w:rPr>
        <w:t>预付款支付期限：</w:t>
      </w:r>
      <w:r>
        <w:rPr>
          <w:rFonts w:hint="eastAsia" w:ascii="宋体" w:hAnsi="宋体"/>
          <w:color w:val="auto"/>
          <w:szCs w:val="21"/>
          <w:highlight w:val="none"/>
          <w:u w:val="single"/>
        </w:rPr>
        <w:t xml:space="preserve"> 合同签订后7个工作日内向财政申请  ，以</w:t>
      </w:r>
      <w:r>
        <w:rPr>
          <w:rFonts w:hint="eastAsia" w:ascii="宋体" w:hAnsi="宋体"/>
          <w:color w:val="auto"/>
          <w:szCs w:val="21"/>
          <w:highlight w:val="none"/>
          <w:u w:val="single"/>
          <w:lang w:val="en-US" w:eastAsia="zh-CN"/>
        </w:rPr>
        <w:t>当地</w:t>
      </w:r>
      <w:r>
        <w:rPr>
          <w:rFonts w:hint="eastAsia" w:ascii="宋体" w:hAnsi="宋体"/>
          <w:color w:val="auto"/>
          <w:szCs w:val="21"/>
          <w:highlight w:val="none"/>
          <w:u w:val="single"/>
        </w:rPr>
        <w:t>财政审批拨付为准</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预付款扣回的方式：</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12.2.2 预付款担保</w:t>
      </w:r>
      <w:r>
        <w:rPr>
          <w:rFonts w:hint="eastAsia" w:ascii="宋体" w:hAnsi="宋体"/>
          <w:color w:val="auto"/>
          <w:szCs w:val="21"/>
          <w:highlight w:val="none"/>
        </w:rPr>
        <w:t xml:space="preserve">  </w:t>
      </w:r>
    </w:p>
    <w:p>
      <w:pPr>
        <w:spacing w:line="400" w:lineRule="exact"/>
        <w:jc w:val="left"/>
        <w:rPr>
          <w:rFonts w:ascii="宋体" w:hAnsi="宋体"/>
          <w:color w:val="auto"/>
          <w:szCs w:val="21"/>
          <w:highlight w:val="none"/>
        </w:rPr>
      </w:pPr>
      <w:r>
        <w:rPr>
          <w:rFonts w:ascii="宋体" w:hAnsi="宋体"/>
          <w:color w:val="auto"/>
          <w:szCs w:val="21"/>
          <w:highlight w:val="none"/>
        </w:rPr>
        <w:t>承包人提交预付款担保的期限：</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预付款担保的形式为：</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hint="eastAsia" w:ascii="宋体" w:hAnsi="宋体"/>
          <w:color w:val="auto"/>
          <w:szCs w:val="21"/>
          <w:highlight w:val="none"/>
        </w:rPr>
        <w:t>预付款担保格式见合同附件7。</w:t>
      </w:r>
    </w:p>
    <w:p>
      <w:pPr>
        <w:spacing w:line="400" w:lineRule="exact"/>
        <w:rPr>
          <w:rFonts w:ascii="宋体" w:hAnsi="宋体"/>
          <w:b/>
          <w:color w:val="auto"/>
          <w:highlight w:val="none"/>
        </w:rPr>
      </w:pPr>
      <w:r>
        <w:rPr>
          <w:rFonts w:ascii="宋体" w:hAnsi="宋体"/>
          <w:b/>
          <w:color w:val="auto"/>
          <w:highlight w:val="none"/>
        </w:rPr>
        <w:t>12.3 计量</w:t>
      </w:r>
      <w:bookmarkEnd w:id="770"/>
      <w:bookmarkEnd w:id="771"/>
      <w:bookmarkEnd w:id="772"/>
      <w:bookmarkEnd w:id="773"/>
    </w:p>
    <w:p>
      <w:pPr>
        <w:spacing w:line="400" w:lineRule="exact"/>
        <w:jc w:val="left"/>
        <w:rPr>
          <w:rFonts w:ascii="宋体" w:hAnsi="宋体"/>
          <w:color w:val="auto"/>
          <w:szCs w:val="21"/>
          <w:highlight w:val="none"/>
        </w:rPr>
      </w:pPr>
      <w:bookmarkStart w:id="774" w:name="_Toc300935006"/>
      <w:bookmarkStart w:id="775" w:name="_Toc297123556"/>
      <w:bookmarkStart w:id="776" w:name="_Toc297120511"/>
      <w:bookmarkStart w:id="777" w:name="_Toc297216215"/>
      <w:bookmarkStart w:id="778" w:name="_Toc303539163"/>
      <w:bookmarkStart w:id="779" w:name="_Toc292559416"/>
      <w:bookmarkStart w:id="780" w:name="_Toc296346712"/>
      <w:bookmarkStart w:id="781" w:name="_Toc297048397"/>
      <w:bookmarkStart w:id="782" w:name="_Toc296503211"/>
      <w:bookmarkStart w:id="783" w:name="_Toc296891251"/>
      <w:bookmarkStart w:id="784" w:name="_Toc296347210"/>
      <w:bookmarkStart w:id="785" w:name="_Toc296944550"/>
      <w:bookmarkStart w:id="786" w:name="_Toc296891039"/>
      <w:bookmarkStart w:id="787" w:name="_Toc292559921"/>
      <w:r>
        <w:rPr>
          <w:rFonts w:ascii="宋体" w:hAnsi="宋体"/>
          <w:color w:val="auto"/>
          <w:szCs w:val="21"/>
          <w:highlight w:val="none"/>
        </w:rPr>
        <w:t>12.3.1 计量原则</w:t>
      </w:r>
    </w:p>
    <w:p>
      <w:pPr>
        <w:spacing w:line="400" w:lineRule="exact"/>
        <w:jc w:val="left"/>
        <w:rPr>
          <w:rFonts w:ascii="宋体" w:hAnsi="宋体"/>
          <w:color w:val="auto"/>
          <w:szCs w:val="21"/>
          <w:highlight w:val="none"/>
        </w:rPr>
      </w:pPr>
      <w:r>
        <w:rPr>
          <w:rFonts w:ascii="宋体" w:hAnsi="宋体"/>
          <w:color w:val="auto"/>
          <w:szCs w:val="21"/>
          <w:highlight w:val="none"/>
        </w:rPr>
        <w:t>工程量计算规则：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12.3.2 计量周期</w:t>
      </w:r>
    </w:p>
    <w:p>
      <w:pPr>
        <w:spacing w:line="400" w:lineRule="exact"/>
        <w:jc w:val="left"/>
        <w:rPr>
          <w:rFonts w:ascii="宋体" w:hAnsi="宋体"/>
          <w:color w:val="auto"/>
          <w:szCs w:val="21"/>
          <w:highlight w:val="none"/>
        </w:rPr>
      </w:pPr>
      <w:r>
        <w:rPr>
          <w:rFonts w:ascii="宋体" w:hAnsi="宋体"/>
          <w:color w:val="auto"/>
          <w:szCs w:val="21"/>
          <w:highlight w:val="none"/>
        </w:rPr>
        <w:t>关于计量周期的约定：</w:t>
      </w:r>
      <w:r>
        <w:rPr>
          <w:rFonts w:ascii="宋体" w:hAnsi="宋体"/>
          <w:color w:val="auto"/>
          <w:szCs w:val="21"/>
          <w:highlight w:val="none"/>
          <w:u w:val="single"/>
        </w:rPr>
        <w:t>每月25日前</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12.3.3 单价合同的计量</w:t>
      </w:r>
    </w:p>
    <w:p>
      <w:pPr>
        <w:spacing w:line="400" w:lineRule="exact"/>
        <w:jc w:val="left"/>
        <w:rPr>
          <w:rFonts w:ascii="宋体" w:hAnsi="宋体"/>
          <w:color w:val="auto"/>
          <w:szCs w:val="21"/>
          <w:highlight w:val="none"/>
        </w:rPr>
      </w:pPr>
      <w:r>
        <w:rPr>
          <w:rFonts w:ascii="宋体" w:hAnsi="宋体"/>
          <w:color w:val="auto"/>
          <w:szCs w:val="21"/>
          <w:highlight w:val="none"/>
        </w:rPr>
        <w:t>关于单价合同计量的约定：</w:t>
      </w:r>
    </w:p>
    <w:p>
      <w:pPr>
        <w:spacing w:line="400" w:lineRule="exact"/>
        <w:rPr>
          <w:rFonts w:ascii="宋体" w:hAnsi="宋体"/>
          <w:color w:val="auto"/>
          <w:szCs w:val="21"/>
          <w:highlight w:val="none"/>
        </w:rPr>
      </w:pPr>
      <w:r>
        <w:rPr>
          <w:rFonts w:ascii="宋体" w:hAnsi="宋体"/>
          <w:color w:val="auto"/>
          <w:szCs w:val="21"/>
          <w:highlight w:val="none"/>
        </w:rPr>
        <w:t>(1) 工程量清单所列的工程量，不能作为承包人按合同履行其责任依据，实际施工中发生的工程量增加或减少并不影响承包人履行合同的责任，工程结算以完成的实际工程量为准。</w:t>
      </w:r>
    </w:p>
    <w:p>
      <w:pPr>
        <w:spacing w:line="400" w:lineRule="exact"/>
        <w:rPr>
          <w:rFonts w:ascii="宋体" w:hAnsi="宋体"/>
          <w:color w:val="auto"/>
          <w:szCs w:val="21"/>
          <w:highlight w:val="none"/>
        </w:rPr>
      </w:pPr>
      <w:r>
        <w:rPr>
          <w:rFonts w:ascii="宋体" w:hAnsi="宋体"/>
          <w:color w:val="auto"/>
          <w:szCs w:val="21"/>
          <w:highlight w:val="non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400" w:lineRule="exact"/>
        <w:jc w:val="left"/>
        <w:rPr>
          <w:rFonts w:ascii="宋体" w:hAnsi="宋体"/>
          <w:color w:val="auto"/>
          <w:szCs w:val="21"/>
          <w:highlight w:val="none"/>
        </w:rPr>
      </w:pPr>
      <w:r>
        <w:rPr>
          <w:rFonts w:ascii="宋体" w:hAnsi="宋体"/>
          <w:color w:val="auto"/>
          <w:szCs w:val="21"/>
          <w:highlight w:val="none"/>
        </w:rPr>
        <w:t>12.3.4 总价合同的计量</w:t>
      </w:r>
    </w:p>
    <w:p>
      <w:pPr>
        <w:spacing w:line="400" w:lineRule="exact"/>
        <w:jc w:val="left"/>
        <w:rPr>
          <w:rFonts w:ascii="宋体" w:hAnsi="宋体"/>
          <w:color w:val="auto"/>
          <w:szCs w:val="21"/>
          <w:highlight w:val="none"/>
        </w:rPr>
      </w:pPr>
      <w:r>
        <w:rPr>
          <w:rFonts w:ascii="宋体" w:hAnsi="宋体"/>
          <w:color w:val="auto"/>
          <w:szCs w:val="21"/>
          <w:highlight w:val="none"/>
        </w:rPr>
        <w:t>关于总价合同计量的约定：</w:t>
      </w:r>
      <w:r>
        <w:rPr>
          <w:rFonts w:hint="eastAsia" w:ascii="宋体" w:hAnsi="宋体"/>
          <w:color w:val="auto"/>
          <w:szCs w:val="21"/>
          <w:highlight w:val="none"/>
        </w:rPr>
        <w:t>除工程变更外，原图纸范围内的工程量不得按实计量。进度款按支付分解表支付，按通用条款</w:t>
      </w:r>
      <w:r>
        <w:rPr>
          <w:rFonts w:ascii="宋体" w:hAnsi="宋体"/>
          <w:color w:val="auto"/>
          <w:szCs w:val="21"/>
          <w:highlight w:val="none"/>
        </w:rPr>
        <w:t>第</w:t>
      </w:r>
      <w:r>
        <w:rPr>
          <w:rFonts w:ascii="宋体" w:hAnsi="宋体"/>
          <w:color w:val="auto"/>
          <w:kern w:val="0"/>
          <w:szCs w:val="21"/>
          <w:highlight w:val="none"/>
        </w:rPr>
        <w:t>12.3.4</w:t>
      </w:r>
      <w:r>
        <w:rPr>
          <w:rFonts w:ascii="宋体" w:hAnsi="宋体"/>
          <w:color w:val="auto"/>
          <w:szCs w:val="21"/>
          <w:highlight w:val="none"/>
        </w:rPr>
        <w:t>项</w:t>
      </w:r>
      <w:r>
        <w:rPr>
          <w:rFonts w:ascii="宋体" w:hAnsi="宋体"/>
          <w:color w:val="auto"/>
          <w:kern w:val="0"/>
          <w:szCs w:val="21"/>
          <w:highlight w:val="none"/>
        </w:rPr>
        <w:t>〔总价合同的计量〕</w:t>
      </w:r>
      <w:r>
        <w:rPr>
          <w:rFonts w:ascii="宋体" w:hAnsi="宋体"/>
          <w:color w:val="auto"/>
          <w:szCs w:val="21"/>
          <w:highlight w:val="none"/>
        </w:rPr>
        <w:t>约定</w:t>
      </w:r>
      <w:r>
        <w:rPr>
          <w:rFonts w:hint="eastAsia" w:ascii="宋体" w:hAnsi="宋体"/>
          <w:color w:val="auto"/>
          <w:szCs w:val="21"/>
          <w:highlight w:val="none"/>
        </w:rPr>
        <w:t>进行计量，但</w:t>
      </w:r>
      <w:r>
        <w:rPr>
          <w:rFonts w:ascii="宋体" w:hAnsi="宋体"/>
          <w:color w:val="auto"/>
          <w:kern w:val="0"/>
          <w:szCs w:val="21"/>
          <w:highlight w:val="none"/>
        </w:rPr>
        <w:t>合同价款按照支付分解表进行支付。</w:t>
      </w:r>
    </w:p>
    <w:p>
      <w:pPr>
        <w:spacing w:line="400" w:lineRule="exact"/>
        <w:jc w:val="left"/>
        <w:rPr>
          <w:rFonts w:ascii="宋体" w:hAnsi="宋体"/>
          <w:color w:val="auto"/>
          <w:szCs w:val="21"/>
          <w:highlight w:val="none"/>
        </w:rPr>
      </w:pPr>
      <w:r>
        <w:rPr>
          <w:rFonts w:ascii="宋体" w:hAnsi="宋体"/>
          <w:color w:val="auto"/>
          <w:szCs w:val="21"/>
          <w:highlight w:val="none"/>
        </w:rPr>
        <w:t>12.3.6 其他价格形式合同的计量</w:t>
      </w:r>
    </w:p>
    <w:p>
      <w:pPr>
        <w:spacing w:line="400" w:lineRule="exact"/>
        <w:jc w:val="left"/>
        <w:rPr>
          <w:rFonts w:ascii="宋体" w:hAnsi="宋体"/>
          <w:color w:val="auto"/>
          <w:szCs w:val="21"/>
          <w:highlight w:val="none"/>
          <w:u w:val="single"/>
        </w:rPr>
      </w:pPr>
      <w:r>
        <w:rPr>
          <w:rFonts w:ascii="宋体" w:hAnsi="宋体"/>
          <w:color w:val="auto"/>
          <w:szCs w:val="21"/>
          <w:highlight w:val="none"/>
        </w:rPr>
        <w:t>其他价格形式的计量方式和程序：</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rPr>
          <w:rFonts w:ascii="宋体" w:hAnsi="宋体"/>
          <w:b/>
          <w:color w:val="auto"/>
          <w:highlight w:val="none"/>
        </w:rPr>
      </w:pPr>
      <w:bookmarkStart w:id="788" w:name="_Toc373478399"/>
      <w:bookmarkStart w:id="789" w:name="_Toc373227752"/>
      <w:bookmarkStart w:id="790" w:name="_Toc389065317"/>
      <w:bookmarkStart w:id="791" w:name="_Toc395382555"/>
      <w:r>
        <w:rPr>
          <w:rFonts w:ascii="宋体" w:hAnsi="宋体"/>
          <w:b/>
          <w:color w:val="auto"/>
          <w:highlight w:val="none"/>
        </w:rPr>
        <w:t>12.4 工程进度款支付</w:t>
      </w:r>
      <w:bookmarkEnd w:id="788"/>
      <w:bookmarkEnd w:id="789"/>
      <w:bookmarkEnd w:id="790"/>
      <w:bookmarkEnd w:id="791"/>
    </w:p>
    <w:p>
      <w:pPr>
        <w:spacing w:line="400" w:lineRule="exact"/>
        <w:jc w:val="left"/>
        <w:rPr>
          <w:rFonts w:ascii="宋体" w:hAnsi="宋体"/>
          <w:color w:val="auto"/>
          <w:szCs w:val="21"/>
          <w:highlight w:val="none"/>
        </w:rPr>
      </w:pPr>
      <w:r>
        <w:rPr>
          <w:rFonts w:ascii="宋体" w:hAnsi="宋体"/>
          <w:color w:val="auto"/>
          <w:szCs w:val="21"/>
          <w:highlight w:val="none"/>
        </w:rPr>
        <w:t>12.4.1 付款周期</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签订合同后预付工程款30%，主要材料进场后工程款支付至60%，工程完工验收达到质量要求后15天内支付至已完成合同总价的80%，结算经审计部门审定后，工程款支付至结算总价的97%；发包人按工程价款结算总额的3%预留工程质量保修金，待工程质量保修期满后返还。</w:t>
      </w:r>
    </w:p>
    <w:p>
      <w:pPr>
        <w:spacing w:line="400" w:lineRule="exact"/>
        <w:jc w:val="left"/>
        <w:rPr>
          <w:rFonts w:ascii="宋体" w:hAnsi="宋体"/>
          <w:color w:val="auto"/>
          <w:szCs w:val="21"/>
          <w:highlight w:val="none"/>
        </w:rPr>
      </w:pPr>
      <w:r>
        <w:rPr>
          <w:rFonts w:ascii="宋体" w:hAnsi="宋体"/>
          <w:color w:val="auto"/>
          <w:szCs w:val="21"/>
          <w:highlight w:val="none"/>
        </w:rPr>
        <w:t>12.4.2 进度付款申请单的编制</w:t>
      </w:r>
    </w:p>
    <w:p>
      <w:pPr>
        <w:spacing w:line="400" w:lineRule="exact"/>
        <w:rPr>
          <w:rFonts w:ascii="宋体" w:hAnsi="宋体"/>
          <w:color w:val="auto"/>
          <w:szCs w:val="21"/>
          <w:highlight w:val="none"/>
          <w:u w:val="single"/>
        </w:rPr>
      </w:pPr>
      <w:r>
        <w:rPr>
          <w:rFonts w:ascii="宋体" w:hAnsi="宋体"/>
          <w:color w:val="auto"/>
          <w:szCs w:val="21"/>
          <w:highlight w:val="none"/>
        </w:rPr>
        <w:t>关于进度付款申请单编制的约定：</w:t>
      </w:r>
      <w:r>
        <w:rPr>
          <w:rFonts w:hint="eastAsia" w:ascii="宋体" w:hAnsi="宋体"/>
          <w:color w:val="auto"/>
          <w:szCs w:val="21"/>
          <w:highlight w:val="none"/>
          <w:u w:val="single"/>
        </w:rPr>
        <w:t>承包人应在每个计量周期到期后的7天内向发包人提交已完工程进度款支付申请一式四份，详细说明此周期自己认为有权得到的款额，包括分包人已完工程的价款，按有关规定编制</w:t>
      </w:r>
      <w:r>
        <w:rPr>
          <w:rFonts w:ascii="宋体" w:hAnsi="宋体"/>
          <w:bCs/>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12.4.3 进度付款申请单的提交</w:t>
      </w:r>
    </w:p>
    <w:p>
      <w:pPr>
        <w:spacing w:line="400" w:lineRule="exact"/>
        <w:jc w:val="left"/>
        <w:rPr>
          <w:rFonts w:ascii="宋体" w:hAnsi="宋体"/>
          <w:color w:val="auto"/>
          <w:szCs w:val="21"/>
          <w:highlight w:val="none"/>
        </w:rPr>
      </w:pPr>
      <w:r>
        <w:rPr>
          <w:rFonts w:ascii="宋体" w:hAnsi="宋体"/>
          <w:color w:val="auto"/>
          <w:szCs w:val="21"/>
          <w:highlight w:val="none"/>
        </w:rPr>
        <w:t>（1）单价合同进度付款申请单提交的约定：</w:t>
      </w:r>
      <w:r>
        <w:rPr>
          <w:rFonts w:hint="eastAsia" w:ascii="宋体" w:hAnsi="宋体"/>
          <w:color w:val="auto"/>
          <w:szCs w:val="21"/>
          <w:highlight w:val="none"/>
          <w:u w:val="single"/>
        </w:rPr>
        <w:t xml:space="preserve">       </w:t>
      </w:r>
      <w:r>
        <w:rPr>
          <w:rFonts w:ascii="宋体" w:hAnsi="宋体"/>
          <w:bCs/>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（2）总价合同进度付款申请单提交的约定：</w:t>
      </w:r>
      <w:r>
        <w:rPr>
          <w:rFonts w:hint="eastAsia" w:ascii="宋体" w:hAnsi="宋体"/>
          <w:color w:val="auto"/>
          <w:szCs w:val="21"/>
          <w:highlight w:val="none"/>
          <w:u w:val="single"/>
        </w:rPr>
        <w:t>承包人应在竣工验收后的7天内向发包人提交已完工程进度款支付申请一式四份，详细说明此周期自己认为有权得到的款额，包括分包人已完工程的价款，按有关规定编制</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（3）其他价格形式合同进度付款申请单提交的约定：</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12.4.4 进度款审核和支付</w:t>
      </w:r>
    </w:p>
    <w:p>
      <w:pPr>
        <w:spacing w:line="400" w:lineRule="exact"/>
        <w:jc w:val="left"/>
        <w:rPr>
          <w:rFonts w:ascii="宋体" w:hAnsi="宋体"/>
          <w:color w:val="auto"/>
          <w:szCs w:val="21"/>
          <w:highlight w:val="none"/>
          <w:u w:val="single"/>
        </w:rPr>
      </w:pPr>
      <w:r>
        <w:rPr>
          <w:rFonts w:ascii="宋体" w:hAnsi="宋体"/>
          <w:color w:val="auto"/>
          <w:szCs w:val="21"/>
          <w:highlight w:val="none"/>
        </w:rPr>
        <w:t>（1）监理人审查并报送发包人的期限：</w:t>
      </w:r>
      <w:r>
        <w:rPr>
          <w:rFonts w:hint="eastAsia" w:ascii="宋体" w:hAnsi="宋体"/>
          <w:color w:val="auto"/>
          <w:szCs w:val="21"/>
          <w:highlight w:val="none"/>
          <w:u w:val="single"/>
        </w:rPr>
        <w:t>收到申请7天内</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发包人完成审批并签发进度款支付证书的期限：</w:t>
      </w:r>
      <w:r>
        <w:rPr>
          <w:rFonts w:hint="eastAsia" w:ascii="宋体" w:hAnsi="宋体"/>
          <w:color w:val="auto"/>
          <w:szCs w:val="21"/>
          <w:highlight w:val="none"/>
          <w:u w:val="single"/>
        </w:rPr>
        <w:t>收到监理审查并确认后报送7天内</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（2）发包人支付进度款的期限：</w:t>
      </w:r>
      <w:r>
        <w:rPr>
          <w:rFonts w:hint="eastAsia" w:ascii="宋体" w:hAnsi="宋体"/>
          <w:color w:val="auto"/>
          <w:szCs w:val="21"/>
          <w:highlight w:val="none"/>
          <w:u w:val="single"/>
        </w:rPr>
        <w:t>审查并确认后14天内，以</w:t>
      </w:r>
      <w:r>
        <w:rPr>
          <w:rFonts w:hint="eastAsia" w:ascii="宋体" w:hAnsi="宋体"/>
          <w:color w:val="auto"/>
          <w:szCs w:val="21"/>
          <w:highlight w:val="none"/>
          <w:u w:val="single"/>
          <w:lang w:val="en-US" w:eastAsia="zh-CN"/>
        </w:rPr>
        <w:t>当地</w:t>
      </w:r>
      <w:r>
        <w:rPr>
          <w:rFonts w:hint="eastAsia" w:ascii="宋体" w:hAnsi="宋体"/>
          <w:color w:val="auto"/>
          <w:szCs w:val="21"/>
          <w:highlight w:val="none"/>
          <w:u w:val="single"/>
        </w:rPr>
        <w:t>财政审批拨付为准</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发包人逾期支付进度款的违约金的计算方式：</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进度款支付方式：</w:t>
      </w:r>
      <w:r>
        <w:rPr>
          <w:rFonts w:ascii="宋体" w:hAnsi="宋体"/>
          <w:color w:val="auto"/>
          <w:szCs w:val="21"/>
          <w:highlight w:val="none"/>
          <w:u w:val="single"/>
        </w:rPr>
        <w:t>银行转账</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12.4.6 支付分解表的编制</w:t>
      </w:r>
    </w:p>
    <w:p>
      <w:pPr>
        <w:spacing w:line="400" w:lineRule="exact"/>
        <w:jc w:val="left"/>
        <w:rPr>
          <w:rFonts w:ascii="宋体" w:hAnsi="宋体"/>
          <w:color w:val="auto"/>
          <w:szCs w:val="21"/>
          <w:highlight w:val="none"/>
          <w:u w:val="singl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总价合同支付分解表的编制与审批：</w:t>
      </w:r>
      <w:r>
        <w:rPr>
          <w:rFonts w:hint="eastAsia" w:ascii="宋体" w:hAnsi="宋体"/>
          <w:color w:val="auto"/>
          <w:szCs w:val="21"/>
          <w:highlight w:val="none"/>
          <w:u w:val="single"/>
        </w:rPr>
        <w:t>/</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单价合同的总价项目支付分解表的编制与审批：</w:t>
      </w:r>
      <w:r>
        <w:rPr>
          <w:rFonts w:hint="eastAsia" w:ascii="宋体" w:hAnsi="宋体"/>
          <w:color w:val="auto"/>
          <w:szCs w:val="21"/>
          <w:highlight w:val="none"/>
          <w:u w:val="single"/>
        </w:rPr>
        <w:t xml:space="preserve">      </w:t>
      </w:r>
      <w:r>
        <w:rPr>
          <w:rFonts w:ascii="宋体" w:hAnsi="宋体"/>
          <w:color w:val="auto"/>
          <w:szCs w:val="21"/>
          <w:highlight w:val="none"/>
        </w:rPr>
        <w:t>。</w:t>
      </w:r>
    </w:p>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Pr>
        <w:spacing w:line="400" w:lineRule="exact"/>
        <w:rPr>
          <w:rFonts w:ascii="宋体" w:hAnsi="宋体"/>
          <w:b/>
          <w:color w:val="auto"/>
          <w:highlight w:val="none"/>
        </w:rPr>
      </w:pPr>
      <w:r>
        <w:rPr>
          <w:rFonts w:ascii="宋体" w:hAnsi="宋体"/>
          <w:b/>
          <w:color w:val="auto"/>
          <w:highlight w:val="none"/>
        </w:rPr>
        <w:t>13. 验收和工程试车</w:t>
      </w:r>
      <w:bookmarkEnd w:id="749"/>
      <w:bookmarkEnd w:id="750"/>
      <w:bookmarkEnd w:id="751"/>
      <w:bookmarkEnd w:id="752"/>
      <w:bookmarkEnd w:id="753"/>
    </w:p>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Pr>
        <w:spacing w:line="400" w:lineRule="exact"/>
        <w:rPr>
          <w:rFonts w:ascii="宋体" w:hAnsi="宋体"/>
          <w:b/>
          <w:color w:val="auto"/>
          <w:highlight w:val="none"/>
        </w:rPr>
      </w:pPr>
      <w:bookmarkStart w:id="792" w:name="_Toc373478401"/>
      <w:bookmarkStart w:id="793" w:name="_Toc373227754"/>
      <w:bookmarkStart w:id="794" w:name="_Toc389065319"/>
      <w:bookmarkStart w:id="795" w:name="_Toc395382557"/>
      <w:r>
        <w:rPr>
          <w:rFonts w:ascii="宋体" w:hAnsi="宋体"/>
          <w:b/>
          <w:color w:val="auto"/>
          <w:highlight w:val="none"/>
        </w:rPr>
        <w:t>13.1 分部分项工程验收</w:t>
      </w:r>
      <w:bookmarkEnd w:id="792"/>
      <w:bookmarkEnd w:id="793"/>
      <w:bookmarkEnd w:id="794"/>
      <w:bookmarkEnd w:id="795"/>
    </w:p>
    <w:p>
      <w:pPr>
        <w:spacing w:line="400" w:lineRule="exact"/>
        <w:jc w:val="left"/>
        <w:rPr>
          <w:rFonts w:ascii="宋体" w:hAnsi="宋体"/>
          <w:color w:val="auto"/>
          <w:szCs w:val="21"/>
          <w:highlight w:val="none"/>
        </w:rPr>
      </w:pPr>
      <w:r>
        <w:rPr>
          <w:rFonts w:ascii="宋体" w:hAnsi="宋体"/>
          <w:color w:val="auto"/>
          <w:szCs w:val="21"/>
          <w:highlight w:val="none"/>
        </w:rPr>
        <w:t>13.1.2监理人不能按时进行验收时，应提前</w:t>
      </w:r>
      <w:r>
        <w:rPr>
          <w:rFonts w:hint="eastAsia" w:ascii="宋体" w:hAnsi="宋体"/>
          <w:color w:val="auto"/>
          <w:szCs w:val="21"/>
          <w:highlight w:val="none"/>
          <w:u w:val="single"/>
        </w:rPr>
        <w:t>24</w:t>
      </w:r>
      <w:r>
        <w:rPr>
          <w:rFonts w:ascii="宋体" w:hAnsi="宋体"/>
          <w:color w:val="auto"/>
          <w:szCs w:val="21"/>
          <w:highlight w:val="none"/>
        </w:rPr>
        <w:t>小时提交书面延期要求。</w:t>
      </w:r>
    </w:p>
    <w:p>
      <w:pPr>
        <w:spacing w:line="400" w:lineRule="exact"/>
        <w:jc w:val="left"/>
        <w:rPr>
          <w:rFonts w:ascii="宋体" w:hAnsi="宋体"/>
          <w:b/>
          <w:color w:val="auto"/>
          <w:szCs w:val="21"/>
          <w:highlight w:val="none"/>
        </w:rPr>
      </w:pPr>
      <w:r>
        <w:rPr>
          <w:rFonts w:ascii="宋体" w:hAnsi="宋体"/>
          <w:color w:val="auto"/>
          <w:szCs w:val="21"/>
          <w:highlight w:val="none"/>
        </w:rPr>
        <w:t>关于延期最长不得超过：</w:t>
      </w:r>
      <w:r>
        <w:rPr>
          <w:rFonts w:hint="eastAsia" w:ascii="宋体" w:hAnsi="宋体"/>
          <w:color w:val="auto"/>
          <w:szCs w:val="21"/>
          <w:highlight w:val="none"/>
          <w:u w:val="single"/>
        </w:rPr>
        <w:t>48</w:t>
      </w:r>
      <w:r>
        <w:rPr>
          <w:rFonts w:ascii="宋体" w:hAnsi="宋体"/>
          <w:color w:val="auto"/>
          <w:szCs w:val="21"/>
          <w:highlight w:val="none"/>
        </w:rPr>
        <w:t>小时。</w:t>
      </w:r>
    </w:p>
    <w:p>
      <w:pPr>
        <w:spacing w:line="400" w:lineRule="exact"/>
        <w:rPr>
          <w:rFonts w:ascii="宋体" w:hAnsi="宋体"/>
          <w:b/>
          <w:color w:val="auto"/>
          <w:highlight w:val="none"/>
        </w:rPr>
      </w:pPr>
      <w:bookmarkStart w:id="796" w:name="_Toc373227755"/>
      <w:bookmarkStart w:id="797" w:name="_Toc389065320"/>
      <w:bookmarkStart w:id="798" w:name="_Toc373478402"/>
      <w:bookmarkStart w:id="799" w:name="_Toc395382558"/>
      <w:bookmarkStart w:id="800" w:name="_Toc292559933"/>
      <w:bookmarkStart w:id="801" w:name="_Toc304295596"/>
      <w:bookmarkStart w:id="802" w:name="_Toc303539173"/>
      <w:bookmarkStart w:id="803" w:name="_Toc296891051"/>
      <w:bookmarkStart w:id="804" w:name="_Toc297123565"/>
      <w:bookmarkStart w:id="805" w:name="_Toc312678056"/>
      <w:bookmarkStart w:id="806" w:name="_Toc297120523"/>
      <w:bookmarkStart w:id="807" w:name="_Toc297048409"/>
      <w:bookmarkStart w:id="808" w:name="_Toc296503223"/>
      <w:bookmarkStart w:id="809" w:name="_Toc292559428"/>
      <w:bookmarkStart w:id="810" w:name="_Toc296346724"/>
      <w:bookmarkStart w:id="811" w:name="_Toc296944562"/>
      <w:bookmarkStart w:id="812" w:name="_Toc300935016"/>
      <w:bookmarkStart w:id="813" w:name="_Toc296347222"/>
      <w:bookmarkStart w:id="814" w:name="_Toc297216224"/>
      <w:bookmarkStart w:id="815" w:name="_Toc296891263"/>
      <w:bookmarkStart w:id="816" w:name="_Toc267251472"/>
      <w:bookmarkStart w:id="817" w:name="_Toc267251473"/>
      <w:bookmarkStart w:id="818" w:name="_Toc267251471"/>
      <w:bookmarkStart w:id="819" w:name="_Toc267251476"/>
      <w:bookmarkStart w:id="820" w:name="_Toc267251474"/>
      <w:bookmarkStart w:id="821" w:name="_Toc267251470"/>
      <w:bookmarkStart w:id="822" w:name="_Toc267251475"/>
      <w:r>
        <w:rPr>
          <w:rFonts w:ascii="宋体" w:hAnsi="宋体"/>
          <w:b/>
          <w:color w:val="auto"/>
          <w:highlight w:val="none"/>
        </w:rPr>
        <w:t>13.2 竣工验收</w:t>
      </w:r>
      <w:bookmarkEnd w:id="796"/>
      <w:bookmarkEnd w:id="797"/>
      <w:bookmarkEnd w:id="798"/>
      <w:bookmarkEnd w:id="799"/>
    </w:p>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Pr>
        <w:spacing w:line="400" w:lineRule="exact"/>
        <w:jc w:val="left"/>
        <w:rPr>
          <w:rFonts w:ascii="宋体" w:hAnsi="宋体"/>
          <w:color w:val="auto"/>
          <w:szCs w:val="21"/>
          <w:highlight w:val="none"/>
        </w:rPr>
      </w:pPr>
      <w:bookmarkStart w:id="823" w:name="_Toc280868704"/>
      <w:bookmarkStart w:id="824" w:name="_Toc280868705"/>
      <w:bookmarkStart w:id="825" w:name="_Toc280868706"/>
      <w:bookmarkStart w:id="826" w:name="_Toc280868707"/>
      <w:bookmarkStart w:id="827" w:name="_Toc280868708"/>
      <w:bookmarkStart w:id="828" w:name="_Toc280868709"/>
      <w:r>
        <w:rPr>
          <w:rFonts w:ascii="宋体" w:hAnsi="宋体"/>
          <w:color w:val="auto"/>
          <w:szCs w:val="21"/>
          <w:highlight w:val="none"/>
        </w:rPr>
        <w:t>13.2.1竣工验收条件</w:t>
      </w:r>
    </w:p>
    <w:p>
      <w:pPr>
        <w:spacing w:line="400" w:lineRule="exac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承包人负责整理和提交的竣工验收资料应当符合工程所在地建设行政主管部门和(或)城市建设档案管理机构有关施工资料的要求，具体内容包括：</w:t>
      </w:r>
      <w:r>
        <w:rPr>
          <w:rFonts w:hint="eastAsia" w:ascii="宋体" w:hAnsi="宋体"/>
          <w:color w:val="auto"/>
          <w:szCs w:val="21"/>
          <w:highlight w:val="none"/>
          <w:u w:val="single"/>
        </w:rPr>
        <w:t>按工程所在地建设行政主管部门（或）城市建设档案管理机构有关施工资料的要求</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竣工验收资料的份数：</w:t>
      </w:r>
      <w:r>
        <w:rPr>
          <w:rFonts w:hint="eastAsia" w:ascii="宋体" w:hAnsi="宋体"/>
          <w:bCs/>
          <w:color w:val="auto"/>
          <w:szCs w:val="21"/>
          <w:highlight w:val="none"/>
          <w:u w:val="single"/>
        </w:rPr>
        <w:t>承包人应在竣工后30天内按照建设行政主管部门及发包人的要求提供有关竣工资料，其套数除满足各政府部门存档案需要外还需另提供两套原件由发包人存档备用</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bCs/>
          <w:color w:val="auto"/>
          <w:szCs w:val="21"/>
          <w:highlight w:val="none"/>
        </w:rPr>
        <w:t>承包人提供竣工图的约定：</w:t>
      </w:r>
      <w:r>
        <w:rPr>
          <w:rFonts w:ascii="宋体" w:hAnsi="宋体"/>
          <w:bCs/>
          <w:color w:val="auto"/>
          <w:szCs w:val="21"/>
          <w:highlight w:val="none"/>
          <w:u w:val="single"/>
        </w:rPr>
        <w:t>竣工验收正式通过后5天（工程造价在500万元以下含500万元）、10天（工程造价在500万元至1000万元之间含1000万元）、15天（工程造价在1000万元以上），提供竣工图的数量分别为2套、4套、6套</w:t>
      </w:r>
      <w:r>
        <w:rPr>
          <w:rFonts w:ascii="宋体" w:hAnsi="宋体"/>
          <w:bCs/>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13.2.2竣工验收程序</w:t>
      </w:r>
    </w:p>
    <w:bookmarkEnd w:id="823"/>
    <w:p>
      <w:pPr>
        <w:spacing w:line="400" w:lineRule="exact"/>
        <w:jc w:val="left"/>
        <w:rPr>
          <w:rFonts w:ascii="宋体" w:hAnsi="宋体"/>
          <w:color w:val="auto"/>
          <w:szCs w:val="21"/>
          <w:highlight w:val="none"/>
          <w:u w:val="single"/>
        </w:rPr>
      </w:pPr>
      <w:r>
        <w:rPr>
          <w:rFonts w:ascii="宋体" w:hAnsi="宋体"/>
          <w:color w:val="auto"/>
          <w:kern w:val="0"/>
          <w:szCs w:val="21"/>
          <w:highlight w:val="none"/>
        </w:rPr>
        <w:t>关于竣工验收程序的约定：</w:t>
      </w:r>
      <w:r>
        <w:rPr>
          <w:rFonts w:hint="eastAsia" w:ascii="宋体" w:hAnsi="宋体"/>
          <w:color w:val="auto"/>
          <w:kern w:val="0"/>
          <w:szCs w:val="21"/>
          <w:highlight w:val="none"/>
          <w:u w:val="single"/>
        </w:rPr>
        <w:t>按工程所在地建设行政主管部门的规定，</w:t>
      </w:r>
      <w:r>
        <w:rPr>
          <w:rFonts w:hint="eastAsia" w:ascii="宋体" w:hAnsi="宋体"/>
          <w:color w:val="auto"/>
          <w:szCs w:val="21"/>
          <w:highlight w:val="none"/>
          <w:u w:val="single"/>
        </w:rPr>
        <w:t>经验收合格的工程，实际竣工日期为承包人按照提交竣工验收申请报告或按照本款重新提交竣工验收申请报告的日期（以两者中时间在后者为准）</w:t>
      </w:r>
      <w:r>
        <w:rPr>
          <w:rFonts w:ascii="宋体" w:hAnsi="宋体"/>
          <w:color w:val="auto"/>
          <w:szCs w:val="21"/>
          <w:highlight w:val="none"/>
        </w:rPr>
        <w:t>。</w:t>
      </w:r>
    </w:p>
    <w:bookmarkEnd w:id="824"/>
    <w:p>
      <w:pPr>
        <w:spacing w:line="400" w:lineRule="exact"/>
        <w:jc w:val="left"/>
        <w:rPr>
          <w:rFonts w:ascii="宋体" w:hAnsi="宋体"/>
          <w:color w:val="auto"/>
          <w:szCs w:val="21"/>
          <w:highlight w:val="none"/>
        </w:rPr>
      </w:pPr>
      <w:r>
        <w:rPr>
          <w:rFonts w:ascii="宋体" w:hAnsi="宋体"/>
          <w:color w:val="auto"/>
          <w:szCs w:val="21"/>
          <w:highlight w:val="none"/>
        </w:rPr>
        <w:t>13.2.5移交、接收全部与部分工程</w:t>
      </w:r>
    </w:p>
    <w:bookmarkEnd w:id="825"/>
    <w:p>
      <w:pPr>
        <w:spacing w:line="400" w:lineRule="exact"/>
        <w:jc w:val="left"/>
        <w:rPr>
          <w:rFonts w:ascii="宋体" w:hAnsi="宋体"/>
          <w:color w:val="auto"/>
          <w:kern w:val="0"/>
          <w:szCs w:val="21"/>
          <w:highlight w:val="none"/>
        </w:rPr>
      </w:pPr>
      <w:r>
        <w:rPr>
          <w:rFonts w:ascii="宋体" w:hAnsi="宋体"/>
          <w:color w:val="auto"/>
          <w:kern w:val="0"/>
          <w:szCs w:val="21"/>
          <w:highlight w:val="none"/>
        </w:rPr>
        <w:t>承包人向发包人移交工程的期限：</w:t>
      </w:r>
      <w:r>
        <w:rPr>
          <w:rFonts w:hint="eastAsia" w:ascii="宋体" w:hAnsi="宋体"/>
          <w:color w:val="auto"/>
          <w:szCs w:val="21"/>
          <w:highlight w:val="none"/>
          <w:u w:val="single"/>
        </w:rPr>
        <w:t>竣工验收合格之日起14天内</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kern w:val="0"/>
          <w:szCs w:val="21"/>
          <w:highlight w:val="none"/>
        </w:rPr>
        <w:t>发包人未按本合同约定接收全部或部分工程的，违约金的计算方法为</w:t>
      </w:r>
      <w:r>
        <w:rPr>
          <w:rFonts w:hint="eastAsia" w:ascii="宋体" w:hAnsi="宋体"/>
          <w:color w:val="auto"/>
          <w:kern w:val="0"/>
          <w:szCs w:val="21"/>
          <w:highlight w:val="none"/>
        </w:rPr>
        <w:t>：</w:t>
      </w:r>
      <w:r>
        <w:rPr>
          <w:rFonts w:hint="eastAsia" w:ascii="宋体" w:hAnsi="宋体"/>
          <w:color w:val="auto"/>
          <w:szCs w:val="21"/>
          <w:highlight w:val="none"/>
          <w:u w:val="single"/>
        </w:rPr>
        <w:t>合同价款的万分之三/天</w:t>
      </w:r>
      <w:r>
        <w:rPr>
          <w:rFonts w:ascii="宋体" w:hAnsi="宋体"/>
          <w:color w:val="auto"/>
          <w:szCs w:val="21"/>
          <w:highlight w:val="none"/>
        </w:rPr>
        <w:t>。</w:t>
      </w:r>
    </w:p>
    <w:bookmarkEnd w:id="826"/>
    <w:p>
      <w:pPr>
        <w:spacing w:line="400" w:lineRule="exact"/>
        <w:jc w:val="left"/>
        <w:rPr>
          <w:rFonts w:ascii="宋体" w:hAnsi="宋体"/>
          <w:color w:val="auto"/>
          <w:szCs w:val="21"/>
          <w:highlight w:val="none"/>
          <w:u w:val="single"/>
        </w:rPr>
      </w:pPr>
      <w:r>
        <w:rPr>
          <w:rFonts w:ascii="宋体" w:hAnsi="宋体"/>
          <w:color w:val="auto"/>
          <w:szCs w:val="21"/>
          <w:highlight w:val="none"/>
        </w:rPr>
        <w:t>承包人未按时移交工程的，违约金的计算方法为</w:t>
      </w:r>
      <w:r>
        <w:rPr>
          <w:rFonts w:hint="eastAsia" w:ascii="宋体" w:hAnsi="宋体"/>
          <w:color w:val="auto"/>
          <w:szCs w:val="21"/>
          <w:highlight w:val="none"/>
        </w:rPr>
        <w:t>：</w:t>
      </w:r>
      <w:r>
        <w:rPr>
          <w:rFonts w:hint="eastAsia" w:ascii="宋体" w:hAnsi="宋体"/>
          <w:color w:val="auto"/>
          <w:szCs w:val="21"/>
          <w:highlight w:val="none"/>
          <w:u w:val="single"/>
        </w:rPr>
        <w:t>合同价款的万分之三/天</w:t>
      </w:r>
      <w:r>
        <w:rPr>
          <w:rFonts w:ascii="宋体" w:hAnsi="宋体"/>
          <w:color w:val="auto"/>
          <w:szCs w:val="21"/>
          <w:highlight w:val="none"/>
        </w:rPr>
        <w:t>。</w:t>
      </w:r>
    </w:p>
    <w:p>
      <w:pPr>
        <w:spacing w:line="400" w:lineRule="exact"/>
        <w:rPr>
          <w:rFonts w:ascii="宋体" w:hAnsi="宋体"/>
          <w:b/>
          <w:color w:val="auto"/>
          <w:highlight w:val="none"/>
        </w:rPr>
      </w:pPr>
      <w:bookmarkStart w:id="829" w:name="_Toc373478403"/>
      <w:bookmarkStart w:id="830" w:name="_Toc373227756"/>
      <w:bookmarkStart w:id="831" w:name="_Toc395382559"/>
      <w:bookmarkStart w:id="832" w:name="_Toc389065321"/>
      <w:r>
        <w:rPr>
          <w:rFonts w:ascii="宋体" w:hAnsi="宋体"/>
          <w:b/>
          <w:color w:val="auto"/>
          <w:highlight w:val="none"/>
        </w:rPr>
        <w:t>13.3 工程试车</w:t>
      </w:r>
      <w:bookmarkEnd w:id="829"/>
      <w:bookmarkEnd w:id="830"/>
      <w:bookmarkEnd w:id="831"/>
      <w:bookmarkEnd w:id="832"/>
    </w:p>
    <w:bookmarkEnd w:id="827"/>
    <w:p>
      <w:pPr>
        <w:spacing w:line="400" w:lineRule="exact"/>
        <w:jc w:val="left"/>
        <w:rPr>
          <w:rFonts w:ascii="宋体" w:hAnsi="宋体"/>
          <w:color w:val="auto"/>
          <w:kern w:val="0"/>
          <w:szCs w:val="21"/>
          <w:highlight w:val="none"/>
        </w:rPr>
      </w:pPr>
      <w:r>
        <w:rPr>
          <w:rFonts w:ascii="宋体" w:hAnsi="宋体"/>
          <w:color w:val="auto"/>
          <w:kern w:val="0"/>
          <w:szCs w:val="21"/>
          <w:highlight w:val="none"/>
        </w:rPr>
        <w:t>13.3.1 试车程序</w:t>
      </w:r>
    </w:p>
    <w:p>
      <w:pPr>
        <w:spacing w:line="400" w:lineRule="exact"/>
        <w:rPr>
          <w:rFonts w:ascii="宋体" w:hAnsi="宋体"/>
          <w:color w:val="auto"/>
          <w:kern w:val="0"/>
          <w:szCs w:val="21"/>
          <w:highlight w:val="none"/>
        </w:rPr>
      </w:pPr>
      <w:r>
        <w:rPr>
          <w:rFonts w:ascii="宋体" w:hAnsi="宋体"/>
          <w:color w:val="auto"/>
          <w:kern w:val="0"/>
          <w:szCs w:val="21"/>
          <w:highlight w:val="none"/>
        </w:rPr>
        <w:t>工程试车内容</w:t>
      </w:r>
      <w:r>
        <w:rPr>
          <w:rFonts w:hint="eastAsia" w:ascii="宋体" w:hAnsi="宋体"/>
          <w:color w:val="auto"/>
          <w:kern w:val="0"/>
          <w:szCs w:val="21"/>
          <w:highlight w:val="none"/>
        </w:rPr>
        <w:t>：</w:t>
      </w:r>
    </w:p>
    <w:p>
      <w:pPr>
        <w:spacing w:line="400" w:lineRule="exact"/>
        <w:rPr>
          <w:rFonts w:ascii="宋体" w:hAnsi="宋体"/>
          <w:color w:val="auto"/>
          <w:szCs w:val="21"/>
          <w:highlight w:val="none"/>
        </w:rPr>
      </w:pPr>
      <w:r>
        <w:rPr>
          <w:rFonts w:hint="eastAsia" w:ascii="宋体" w:hAnsi="宋体"/>
          <w:color w:val="auto"/>
          <w:szCs w:val="21"/>
          <w:highlight w:val="none"/>
        </w:rPr>
        <w:t>（1）工程设备安装具备单机无负荷试运行条件，由承包人组织试运行，费用由承包人承担。</w:t>
      </w:r>
    </w:p>
    <w:p>
      <w:pPr>
        <w:spacing w:line="400" w:lineRule="exact"/>
        <w:rPr>
          <w:rFonts w:ascii="宋体" w:hAnsi="宋体"/>
          <w:color w:val="auto"/>
          <w:szCs w:val="21"/>
          <w:highlight w:val="none"/>
        </w:rPr>
      </w:pPr>
      <w:r>
        <w:rPr>
          <w:rFonts w:hint="eastAsia" w:ascii="宋体" w:hAnsi="宋体"/>
          <w:color w:val="auto"/>
          <w:szCs w:val="21"/>
          <w:highlight w:val="none"/>
        </w:rPr>
        <w:t>（2）工程设备安装具备无负荷联动试运行条件，由发包人组织试运行，费用由发包人承担。</w:t>
      </w:r>
    </w:p>
    <w:p>
      <w:pPr>
        <w:spacing w:line="400" w:lineRule="exact"/>
        <w:rPr>
          <w:rFonts w:ascii="宋体" w:hAnsi="宋体"/>
          <w:color w:val="auto"/>
          <w:szCs w:val="21"/>
          <w:highlight w:val="none"/>
          <w:u w:val="single"/>
        </w:rPr>
      </w:pPr>
      <w:r>
        <w:rPr>
          <w:rFonts w:hint="eastAsia" w:ascii="宋体" w:hAnsi="宋体"/>
          <w:color w:val="auto"/>
          <w:szCs w:val="21"/>
          <w:highlight w:val="none"/>
        </w:rPr>
        <w:t>（3）投料试运行应在工程竣工验收后由发包人负责，如发包人要求在工程竣工验收前进行或需要承包人配合时，应征得承包人同意，另行签订补充协议。</w:t>
      </w:r>
    </w:p>
    <w:p>
      <w:pPr>
        <w:spacing w:line="400" w:lineRule="exact"/>
        <w:rPr>
          <w:rFonts w:ascii="宋体" w:hAnsi="宋体"/>
          <w:b/>
          <w:color w:val="auto"/>
          <w:highlight w:val="none"/>
        </w:rPr>
      </w:pPr>
      <w:bookmarkStart w:id="833" w:name="_Toc389065322"/>
      <w:bookmarkStart w:id="834" w:name="_Toc373227757"/>
      <w:bookmarkStart w:id="835" w:name="_Toc395382560"/>
      <w:bookmarkStart w:id="836" w:name="_Toc373478404"/>
      <w:r>
        <w:rPr>
          <w:rFonts w:ascii="宋体" w:hAnsi="宋体"/>
          <w:b/>
          <w:color w:val="auto"/>
          <w:highlight w:val="none"/>
        </w:rPr>
        <w:t>13.6 竣工退场</w:t>
      </w:r>
      <w:bookmarkEnd w:id="833"/>
      <w:bookmarkEnd w:id="834"/>
      <w:bookmarkEnd w:id="835"/>
      <w:bookmarkEnd w:id="836"/>
    </w:p>
    <w:p>
      <w:pPr>
        <w:spacing w:line="400" w:lineRule="exact"/>
        <w:jc w:val="left"/>
        <w:rPr>
          <w:rFonts w:ascii="宋体" w:hAnsi="宋体"/>
          <w:color w:val="auto"/>
          <w:kern w:val="0"/>
          <w:szCs w:val="21"/>
          <w:highlight w:val="none"/>
        </w:rPr>
      </w:pPr>
      <w:r>
        <w:rPr>
          <w:rFonts w:ascii="宋体" w:hAnsi="宋体"/>
          <w:color w:val="auto"/>
          <w:kern w:val="0"/>
          <w:szCs w:val="21"/>
          <w:highlight w:val="none"/>
        </w:rPr>
        <w:t>13.6.1 竣工退场</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承包人完成竣工退场的期限：</w:t>
      </w:r>
      <w:r>
        <w:rPr>
          <w:rFonts w:hint="eastAsia" w:ascii="宋体" w:hAnsi="宋体"/>
          <w:color w:val="auto"/>
          <w:szCs w:val="21"/>
          <w:highlight w:val="none"/>
          <w:u w:val="single"/>
        </w:rPr>
        <w:t>在合同解除之日起15天内，承包人应将除为安全需要以外的所有其它物资、机具、设备和设施，全部撤离现场</w:t>
      </w:r>
      <w:r>
        <w:rPr>
          <w:rFonts w:ascii="宋体" w:hAnsi="宋体"/>
          <w:color w:val="auto"/>
          <w:kern w:val="0"/>
          <w:szCs w:val="21"/>
          <w:highlight w:val="none"/>
        </w:rPr>
        <w:t>。</w:t>
      </w:r>
    </w:p>
    <w:p>
      <w:pPr>
        <w:spacing w:line="400" w:lineRule="exact"/>
        <w:rPr>
          <w:rFonts w:ascii="宋体" w:hAnsi="宋体"/>
          <w:b/>
          <w:color w:val="auto"/>
          <w:highlight w:val="none"/>
        </w:rPr>
      </w:pPr>
      <w:bookmarkStart w:id="837" w:name="_Toc373227758"/>
      <w:bookmarkStart w:id="838" w:name="_Toc395382561"/>
      <w:bookmarkStart w:id="839" w:name="_Toc351203646"/>
      <w:bookmarkStart w:id="840" w:name="_Toc373478405"/>
      <w:bookmarkStart w:id="841" w:name="_Toc389065323"/>
      <w:r>
        <w:rPr>
          <w:rFonts w:ascii="宋体" w:hAnsi="宋体"/>
          <w:b/>
          <w:color w:val="auto"/>
          <w:highlight w:val="none"/>
        </w:rPr>
        <w:t>14.竣工结算</w:t>
      </w:r>
      <w:bookmarkEnd w:id="837"/>
      <w:bookmarkEnd w:id="838"/>
      <w:bookmarkEnd w:id="839"/>
      <w:bookmarkEnd w:id="840"/>
      <w:bookmarkEnd w:id="841"/>
    </w:p>
    <w:p>
      <w:pPr>
        <w:spacing w:line="400" w:lineRule="exact"/>
        <w:rPr>
          <w:rFonts w:ascii="宋体" w:hAnsi="宋体"/>
          <w:b/>
          <w:color w:val="auto"/>
          <w:highlight w:val="none"/>
        </w:rPr>
      </w:pPr>
      <w:bookmarkStart w:id="842" w:name="_Toc389065324"/>
      <w:bookmarkStart w:id="843" w:name="_Toc373227759"/>
      <w:bookmarkStart w:id="844" w:name="_Toc373478406"/>
      <w:bookmarkStart w:id="845" w:name="_Toc395382562"/>
      <w:r>
        <w:rPr>
          <w:rFonts w:ascii="宋体" w:hAnsi="宋体"/>
          <w:b/>
          <w:color w:val="auto"/>
          <w:highlight w:val="none"/>
        </w:rPr>
        <w:t>14.1 竣工付款申请</w:t>
      </w:r>
      <w:bookmarkEnd w:id="842"/>
      <w:bookmarkEnd w:id="843"/>
      <w:bookmarkEnd w:id="844"/>
      <w:bookmarkEnd w:id="845"/>
    </w:p>
    <w:p>
      <w:pPr>
        <w:spacing w:line="400" w:lineRule="exact"/>
        <w:rPr>
          <w:rFonts w:ascii="宋体" w:hAnsi="宋体"/>
          <w:color w:val="auto"/>
          <w:szCs w:val="21"/>
          <w:highlight w:val="none"/>
        </w:rPr>
      </w:pPr>
      <w:r>
        <w:rPr>
          <w:rFonts w:ascii="宋体" w:hAnsi="宋体"/>
          <w:color w:val="auto"/>
          <w:szCs w:val="21"/>
          <w:highlight w:val="none"/>
        </w:rPr>
        <w:t>承包人提交竣工付款申请单的期限：</w:t>
      </w:r>
      <w:r>
        <w:rPr>
          <w:rFonts w:hint="eastAsia" w:ascii="宋体" w:hAnsi="宋体"/>
          <w:color w:val="auto"/>
          <w:szCs w:val="21"/>
          <w:highlight w:val="none"/>
          <w:u w:val="single"/>
        </w:rPr>
        <w:t>审计报告发出后14天内提交6份竣工付款申请单，6个月内工程款支付至竣工结算审计总价的</w:t>
      </w:r>
      <w:r>
        <w:rPr>
          <w:rFonts w:hint="eastAsia" w:ascii="宋体" w:hAnsi="宋体"/>
          <w:color w:val="auto"/>
          <w:szCs w:val="21"/>
          <w:highlight w:val="none"/>
          <w:u w:val="single"/>
          <w:lang w:val="en-US" w:eastAsia="zh-CN"/>
        </w:rPr>
        <w:t>97</w:t>
      </w:r>
      <w:r>
        <w:rPr>
          <w:rFonts w:hint="eastAsia" w:ascii="宋体" w:hAnsi="宋体"/>
          <w:color w:val="auto"/>
          <w:szCs w:val="21"/>
          <w:highlight w:val="none"/>
          <w:u w:val="single"/>
        </w:rPr>
        <w:t>%</w:t>
      </w:r>
      <w:r>
        <w:rPr>
          <w:rFonts w:hint="eastAsia"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竣工付款申请单应包括的内容：</w:t>
      </w:r>
      <w:r>
        <w:rPr>
          <w:rFonts w:hint="eastAsia" w:ascii="宋体" w:hAnsi="宋体"/>
          <w:color w:val="auto"/>
          <w:szCs w:val="21"/>
          <w:highlight w:val="none"/>
          <w:u w:val="single"/>
        </w:rPr>
        <w:t>竣工结算审计总价、已支付工程价款、应扣留质量保修金、应支付的竣工付款金额等</w:t>
      </w:r>
      <w:r>
        <w:rPr>
          <w:rFonts w:ascii="宋体" w:hAnsi="宋体"/>
          <w:color w:val="auto"/>
          <w:szCs w:val="21"/>
          <w:highlight w:val="none"/>
        </w:rPr>
        <w:t>。</w:t>
      </w:r>
    </w:p>
    <w:p>
      <w:pPr>
        <w:spacing w:line="400" w:lineRule="exact"/>
        <w:rPr>
          <w:rFonts w:ascii="宋体" w:hAnsi="宋体"/>
          <w:b/>
          <w:color w:val="auto"/>
          <w:highlight w:val="none"/>
        </w:rPr>
      </w:pPr>
      <w:bookmarkStart w:id="846" w:name="_Toc373478407"/>
      <w:bookmarkStart w:id="847" w:name="_Toc395382563"/>
      <w:bookmarkStart w:id="848" w:name="_Toc373227760"/>
      <w:bookmarkStart w:id="849" w:name="_Toc389065325"/>
      <w:r>
        <w:rPr>
          <w:rFonts w:ascii="宋体" w:hAnsi="宋体"/>
          <w:b/>
          <w:color w:val="auto"/>
          <w:highlight w:val="none"/>
        </w:rPr>
        <w:t>14.2 竣工结算审核</w:t>
      </w:r>
      <w:bookmarkEnd w:id="846"/>
      <w:bookmarkEnd w:id="847"/>
      <w:bookmarkEnd w:id="848"/>
      <w:bookmarkEnd w:id="849"/>
    </w:p>
    <w:p>
      <w:pPr>
        <w:spacing w:line="400" w:lineRule="exact"/>
        <w:jc w:val="left"/>
        <w:rPr>
          <w:rFonts w:ascii="宋体" w:hAnsi="宋体"/>
          <w:color w:val="auto"/>
          <w:szCs w:val="21"/>
          <w:highlight w:val="none"/>
        </w:rPr>
      </w:pPr>
      <w:r>
        <w:rPr>
          <w:rFonts w:ascii="宋体" w:hAnsi="宋体"/>
          <w:color w:val="auto"/>
          <w:szCs w:val="21"/>
          <w:highlight w:val="none"/>
        </w:rPr>
        <w:t>发包人审批竣工付款申请单的期限：</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Align w:val="center"/>
          </w:tcPr>
          <w:p>
            <w:pPr>
              <w:spacing w:line="300" w:lineRule="exact"/>
              <w:rPr>
                <w:rFonts w:ascii="宋体" w:hAnsi="宋体"/>
                <w:bCs/>
                <w:color w:val="auto"/>
                <w:szCs w:val="21"/>
                <w:highlight w:val="none"/>
              </w:rPr>
            </w:pPr>
          </w:p>
        </w:tc>
        <w:tc>
          <w:tcPr>
            <w:tcW w:w="2466" w:type="dxa"/>
            <w:vAlign w:val="center"/>
          </w:tcPr>
          <w:p>
            <w:pPr>
              <w:spacing w:line="300" w:lineRule="exact"/>
              <w:ind w:firstLine="27" w:firstLineChars="13"/>
              <w:jc w:val="center"/>
              <w:rPr>
                <w:rFonts w:ascii="宋体" w:hAnsi="宋体"/>
                <w:bCs/>
                <w:color w:val="auto"/>
                <w:szCs w:val="21"/>
                <w:highlight w:val="none"/>
              </w:rPr>
            </w:pPr>
            <w:r>
              <w:rPr>
                <w:rFonts w:ascii="宋体" w:hAnsi="宋体"/>
                <w:bCs/>
                <w:color w:val="auto"/>
                <w:szCs w:val="21"/>
                <w:highlight w:val="none"/>
              </w:rPr>
              <w:t>工程竣工结算报告金额</w:t>
            </w:r>
          </w:p>
        </w:tc>
        <w:tc>
          <w:tcPr>
            <w:tcW w:w="7083" w:type="dxa"/>
            <w:vAlign w:val="center"/>
          </w:tcPr>
          <w:p>
            <w:pPr>
              <w:spacing w:line="300" w:lineRule="exact"/>
              <w:ind w:firstLine="441" w:firstLineChars="210"/>
              <w:jc w:val="center"/>
              <w:rPr>
                <w:rFonts w:ascii="宋体" w:hAnsi="宋体"/>
                <w:bCs/>
                <w:color w:val="auto"/>
                <w:szCs w:val="21"/>
                <w:highlight w:val="none"/>
              </w:rPr>
            </w:pPr>
            <w:r>
              <w:rPr>
                <w:rFonts w:ascii="宋体" w:hAnsi="宋体"/>
                <w:bCs/>
                <w:color w:val="auto"/>
                <w:szCs w:val="21"/>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1</w:t>
            </w:r>
          </w:p>
        </w:tc>
        <w:tc>
          <w:tcPr>
            <w:tcW w:w="2466" w:type="dxa"/>
            <w:vAlign w:val="center"/>
          </w:tcPr>
          <w:p>
            <w:pPr>
              <w:spacing w:line="300" w:lineRule="exact"/>
              <w:ind w:firstLine="27" w:firstLineChars="13"/>
              <w:jc w:val="center"/>
              <w:rPr>
                <w:rFonts w:ascii="宋体" w:hAnsi="宋体"/>
                <w:bCs/>
                <w:color w:val="auto"/>
                <w:szCs w:val="21"/>
                <w:highlight w:val="none"/>
              </w:rPr>
            </w:pPr>
            <w:r>
              <w:rPr>
                <w:rFonts w:ascii="宋体" w:hAnsi="宋体"/>
                <w:bCs/>
                <w:color w:val="auto"/>
                <w:szCs w:val="21"/>
                <w:highlight w:val="none"/>
              </w:rPr>
              <w:t>500万元以下</w:t>
            </w:r>
          </w:p>
        </w:tc>
        <w:tc>
          <w:tcPr>
            <w:tcW w:w="7083" w:type="dxa"/>
            <w:vAlign w:val="center"/>
          </w:tcPr>
          <w:p>
            <w:pPr>
              <w:spacing w:line="300" w:lineRule="exact"/>
              <w:ind w:firstLine="441" w:firstLineChars="210"/>
              <w:jc w:val="center"/>
              <w:rPr>
                <w:rFonts w:ascii="宋体" w:hAnsi="宋体"/>
                <w:bCs/>
                <w:color w:val="auto"/>
                <w:szCs w:val="21"/>
                <w:highlight w:val="none"/>
              </w:rPr>
            </w:pPr>
            <w:r>
              <w:rPr>
                <w:rFonts w:ascii="宋体" w:hAnsi="宋体"/>
                <w:bCs/>
                <w:color w:val="auto"/>
                <w:szCs w:val="21"/>
                <w:highlight w:val="none"/>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2</w:t>
            </w:r>
          </w:p>
        </w:tc>
        <w:tc>
          <w:tcPr>
            <w:tcW w:w="2466" w:type="dxa"/>
            <w:vAlign w:val="center"/>
          </w:tcPr>
          <w:p>
            <w:pPr>
              <w:spacing w:line="300" w:lineRule="exact"/>
              <w:ind w:firstLine="27" w:firstLineChars="13"/>
              <w:jc w:val="center"/>
              <w:rPr>
                <w:rFonts w:ascii="宋体" w:hAnsi="宋体"/>
                <w:bCs/>
                <w:color w:val="auto"/>
                <w:szCs w:val="21"/>
                <w:highlight w:val="none"/>
              </w:rPr>
            </w:pPr>
            <w:r>
              <w:rPr>
                <w:rFonts w:ascii="宋体" w:hAnsi="宋体"/>
                <w:bCs/>
                <w:color w:val="auto"/>
                <w:szCs w:val="21"/>
                <w:highlight w:val="none"/>
              </w:rPr>
              <w:t>500万元-2000万元</w:t>
            </w:r>
          </w:p>
        </w:tc>
        <w:tc>
          <w:tcPr>
            <w:tcW w:w="7083" w:type="dxa"/>
            <w:vAlign w:val="center"/>
          </w:tcPr>
          <w:p>
            <w:pPr>
              <w:spacing w:line="300" w:lineRule="exact"/>
              <w:ind w:firstLine="441" w:firstLineChars="210"/>
              <w:jc w:val="center"/>
              <w:rPr>
                <w:rFonts w:ascii="宋体" w:hAnsi="宋体"/>
                <w:bCs/>
                <w:color w:val="auto"/>
                <w:szCs w:val="21"/>
                <w:highlight w:val="none"/>
              </w:rPr>
            </w:pPr>
            <w:r>
              <w:rPr>
                <w:rFonts w:ascii="宋体" w:hAnsi="宋体"/>
                <w:bCs/>
                <w:color w:val="auto"/>
                <w:szCs w:val="21"/>
                <w:highlight w:val="none"/>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3</w:t>
            </w:r>
          </w:p>
        </w:tc>
        <w:tc>
          <w:tcPr>
            <w:tcW w:w="2466" w:type="dxa"/>
            <w:vAlign w:val="center"/>
          </w:tcPr>
          <w:p>
            <w:pPr>
              <w:spacing w:line="300" w:lineRule="exact"/>
              <w:ind w:firstLine="27" w:firstLineChars="13"/>
              <w:jc w:val="center"/>
              <w:rPr>
                <w:rFonts w:ascii="宋体" w:hAnsi="宋体"/>
                <w:bCs/>
                <w:color w:val="auto"/>
                <w:szCs w:val="21"/>
                <w:highlight w:val="none"/>
              </w:rPr>
            </w:pPr>
            <w:r>
              <w:rPr>
                <w:rFonts w:ascii="宋体" w:hAnsi="宋体"/>
                <w:bCs/>
                <w:color w:val="auto"/>
                <w:szCs w:val="21"/>
                <w:highlight w:val="none"/>
              </w:rPr>
              <w:t>2000万元-5000万元</w:t>
            </w:r>
          </w:p>
        </w:tc>
        <w:tc>
          <w:tcPr>
            <w:tcW w:w="7083" w:type="dxa"/>
            <w:vAlign w:val="center"/>
          </w:tcPr>
          <w:p>
            <w:pPr>
              <w:spacing w:line="300" w:lineRule="exact"/>
              <w:ind w:firstLine="441" w:firstLineChars="210"/>
              <w:jc w:val="center"/>
              <w:rPr>
                <w:rFonts w:ascii="宋体" w:hAnsi="宋体"/>
                <w:bCs/>
                <w:color w:val="auto"/>
                <w:szCs w:val="21"/>
                <w:highlight w:val="none"/>
              </w:rPr>
            </w:pPr>
            <w:r>
              <w:rPr>
                <w:rFonts w:ascii="宋体" w:hAnsi="宋体"/>
                <w:bCs/>
                <w:color w:val="auto"/>
                <w:szCs w:val="21"/>
                <w:highlight w:val="none"/>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4</w:t>
            </w:r>
          </w:p>
        </w:tc>
        <w:tc>
          <w:tcPr>
            <w:tcW w:w="2466" w:type="dxa"/>
            <w:vAlign w:val="center"/>
          </w:tcPr>
          <w:p>
            <w:pPr>
              <w:spacing w:line="300" w:lineRule="exact"/>
              <w:ind w:firstLine="27" w:firstLineChars="13"/>
              <w:jc w:val="center"/>
              <w:rPr>
                <w:rFonts w:ascii="宋体" w:hAnsi="宋体"/>
                <w:bCs/>
                <w:color w:val="auto"/>
                <w:szCs w:val="21"/>
                <w:highlight w:val="none"/>
              </w:rPr>
            </w:pPr>
            <w:r>
              <w:rPr>
                <w:rFonts w:ascii="宋体" w:hAnsi="宋体"/>
                <w:bCs/>
                <w:color w:val="auto"/>
                <w:szCs w:val="21"/>
                <w:highlight w:val="none"/>
              </w:rPr>
              <w:t>5000万元以上</w:t>
            </w:r>
          </w:p>
        </w:tc>
        <w:tc>
          <w:tcPr>
            <w:tcW w:w="7083" w:type="dxa"/>
            <w:vAlign w:val="center"/>
          </w:tcPr>
          <w:p>
            <w:pPr>
              <w:spacing w:line="300" w:lineRule="exact"/>
              <w:ind w:firstLine="441" w:firstLineChars="210"/>
              <w:jc w:val="center"/>
              <w:rPr>
                <w:rFonts w:ascii="宋体" w:hAnsi="宋体"/>
                <w:bCs/>
                <w:color w:val="auto"/>
                <w:szCs w:val="21"/>
                <w:highlight w:val="none"/>
              </w:rPr>
            </w:pPr>
            <w:r>
              <w:rPr>
                <w:rFonts w:ascii="宋体" w:hAnsi="宋体"/>
                <w:bCs/>
                <w:color w:val="auto"/>
                <w:szCs w:val="21"/>
                <w:highlight w:val="none"/>
              </w:rPr>
              <w:t>从接到竣工结算报告和完整的竣工结算资料之日起60天</w:t>
            </w:r>
          </w:p>
        </w:tc>
      </w:tr>
    </w:tbl>
    <w:p>
      <w:pPr>
        <w:spacing w:line="400" w:lineRule="exact"/>
        <w:jc w:val="left"/>
        <w:rPr>
          <w:rFonts w:ascii="宋体" w:hAnsi="宋体"/>
          <w:color w:val="auto"/>
          <w:szCs w:val="21"/>
          <w:highlight w:val="none"/>
        </w:rPr>
      </w:pPr>
      <w:r>
        <w:rPr>
          <w:rFonts w:ascii="宋体" w:hAnsi="宋体"/>
          <w:bCs/>
          <w:color w:val="auto"/>
          <w:szCs w:val="21"/>
          <w:highlight w:val="none"/>
        </w:rPr>
        <w:t>因承包人提供的结算资料不完整而需要补充或承包人不按时对账耽误时间时，审查时间应相应顺延</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发包人完成竣工付款的期限：</w:t>
      </w:r>
      <w:r>
        <w:rPr>
          <w:rFonts w:hint="eastAsia" w:ascii="宋体" w:hAnsi="宋体"/>
          <w:color w:val="auto"/>
          <w:szCs w:val="21"/>
          <w:highlight w:val="none"/>
          <w:u w:val="single"/>
        </w:rPr>
        <w:t>缺陷责任期终止证书颁发后28天内</w:t>
      </w:r>
      <w:r>
        <w:rPr>
          <w:rFonts w:ascii="宋体" w:hAnsi="宋体"/>
          <w:color w:val="auto"/>
          <w:szCs w:val="21"/>
          <w:highlight w:val="none"/>
        </w:rPr>
        <w:t>。</w:t>
      </w:r>
    </w:p>
    <w:p>
      <w:pPr>
        <w:spacing w:line="400" w:lineRule="exact"/>
        <w:jc w:val="left"/>
        <w:rPr>
          <w:rFonts w:ascii="宋体" w:hAnsi="宋体"/>
          <w:color w:val="auto"/>
          <w:szCs w:val="21"/>
          <w:highlight w:val="none"/>
          <w:u w:val="single"/>
        </w:rPr>
      </w:pPr>
      <w:r>
        <w:rPr>
          <w:rFonts w:ascii="宋体" w:hAnsi="宋体"/>
          <w:color w:val="auto"/>
          <w:szCs w:val="21"/>
          <w:highlight w:val="none"/>
        </w:rPr>
        <w:t>关于竣工付款证书异议部分复核的方式和程序：</w:t>
      </w:r>
      <w:r>
        <w:rPr>
          <w:rFonts w:hint="eastAsia" w:ascii="宋体" w:hAnsi="宋体"/>
          <w:color w:val="auto"/>
          <w:szCs w:val="21"/>
          <w:highlight w:val="none"/>
          <w:u w:val="single"/>
        </w:rPr>
        <w:t>先由监理复核，报发包人审核，最后由有关部门审定</w:t>
      </w:r>
      <w:r>
        <w:rPr>
          <w:rFonts w:ascii="宋体" w:hAnsi="宋体"/>
          <w:color w:val="auto"/>
          <w:szCs w:val="21"/>
          <w:highlight w:val="none"/>
        </w:rPr>
        <w:t>。</w:t>
      </w:r>
    </w:p>
    <w:p>
      <w:pPr>
        <w:spacing w:line="400" w:lineRule="exact"/>
        <w:rPr>
          <w:rFonts w:ascii="宋体" w:hAnsi="宋体"/>
          <w:b/>
          <w:color w:val="auto"/>
          <w:highlight w:val="none"/>
        </w:rPr>
      </w:pPr>
      <w:bookmarkStart w:id="850" w:name="_Toc373227761"/>
      <w:bookmarkStart w:id="851" w:name="_Toc389065326"/>
      <w:bookmarkStart w:id="852" w:name="_Toc373478408"/>
      <w:bookmarkStart w:id="853" w:name="_Toc395382564"/>
      <w:r>
        <w:rPr>
          <w:rFonts w:ascii="宋体" w:hAnsi="宋体"/>
          <w:b/>
          <w:color w:val="auto"/>
          <w:highlight w:val="none"/>
        </w:rPr>
        <w:t>14.4 最终结清</w:t>
      </w:r>
      <w:bookmarkEnd w:id="850"/>
      <w:bookmarkEnd w:id="851"/>
      <w:bookmarkEnd w:id="852"/>
      <w:bookmarkEnd w:id="853"/>
    </w:p>
    <w:p>
      <w:pPr>
        <w:spacing w:line="400" w:lineRule="exact"/>
        <w:jc w:val="left"/>
        <w:rPr>
          <w:rFonts w:ascii="宋体" w:hAnsi="宋体"/>
          <w:color w:val="auto"/>
          <w:kern w:val="0"/>
          <w:szCs w:val="21"/>
          <w:highlight w:val="none"/>
        </w:rPr>
      </w:pPr>
      <w:r>
        <w:rPr>
          <w:rFonts w:ascii="宋体" w:hAnsi="宋体"/>
          <w:color w:val="auto"/>
          <w:kern w:val="0"/>
          <w:szCs w:val="21"/>
          <w:highlight w:val="none"/>
        </w:rPr>
        <w:t>14.4.1 最终结清申请单</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承包人提交最终结清申请单的份数：</w:t>
      </w:r>
      <w:r>
        <w:rPr>
          <w:rFonts w:hint="eastAsia" w:ascii="宋体" w:hAnsi="宋体"/>
          <w:color w:val="auto"/>
          <w:szCs w:val="21"/>
          <w:highlight w:val="none"/>
          <w:u w:val="single"/>
        </w:rPr>
        <w:t>缺陷责任期终止证书颁发后7天内提交10份最终结清申请单</w:t>
      </w:r>
      <w:r>
        <w:rPr>
          <w:rFonts w:ascii="宋体" w:hAnsi="宋体"/>
          <w:color w:val="auto"/>
          <w:szCs w:val="21"/>
          <w:highlight w:val="none"/>
        </w:rPr>
        <w:t>。</w:t>
      </w:r>
    </w:p>
    <w:p>
      <w:pPr>
        <w:spacing w:line="400" w:lineRule="exact"/>
        <w:jc w:val="left"/>
        <w:rPr>
          <w:rFonts w:ascii="宋体" w:hAnsi="宋体"/>
          <w:color w:val="auto"/>
          <w:kern w:val="0"/>
          <w:szCs w:val="21"/>
          <w:highlight w:val="none"/>
        </w:rPr>
      </w:pPr>
      <w:r>
        <w:rPr>
          <w:rFonts w:ascii="宋体" w:hAnsi="宋体"/>
          <w:color w:val="auto"/>
          <w:szCs w:val="21"/>
          <w:highlight w:val="none"/>
        </w:rPr>
        <w:t>14.4.2 最终结清证书和支付</w:t>
      </w:r>
    </w:p>
    <w:p>
      <w:pPr>
        <w:spacing w:line="400" w:lineRule="exact"/>
        <w:jc w:val="left"/>
        <w:rPr>
          <w:rFonts w:ascii="宋体" w:hAnsi="宋体"/>
          <w:color w:val="auto"/>
          <w:szCs w:val="21"/>
          <w:highlight w:val="none"/>
        </w:rPr>
      </w:pPr>
      <w:r>
        <w:rPr>
          <w:rFonts w:ascii="宋体" w:hAnsi="宋体"/>
          <w:color w:val="auto"/>
          <w:szCs w:val="21"/>
          <w:highlight w:val="none"/>
        </w:rPr>
        <w:t>（1）发包人完成最终结清申请单的审批并颁发最终结清证书的期限：</w:t>
      </w:r>
      <w:r>
        <w:rPr>
          <w:rFonts w:hint="eastAsia" w:ascii="宋体" w:hAnsi="宋体"/>
          <w:color w:val="auto"/>
          <w:szCs w:val="21"/>
          <w:highlight w:val="none"/>
          <w:u w:val="single"/>
        </w:rPr>
        <w:t>收到最终结清申请单30天内</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（2）发包人完成支付的期限：</w:t>
      </w:r>
      <w:r>
        <w:rPr>
          <w:rFonts w:hint="eastAsia" w:ascii="宋体" w:hAnsi="宋体"/>
          <w:color w:val="auto"/>
          <w:szCs w:val="21"/>
          <w:highlight w:val="none"/>
          <w:u w:val="single"/>
        </w:rPr>
        <w:t>审批后30天内</w:t>
      </w:r>
      <w:r>
        <w:rPr>
          <w:rFonts w:ascii="宋体" w:hAnsi="宋体"/>
          <w:color w:val="auto"/>
          <w:szCs w:val="21"/>
          <w:highlight w:val="none"/>
        </w:rPr>
        <w:t>。</w:t>
      </w:r>
    </w:p>
    <w:bookmarkEnd w:id="816"/>
    <w:bookmarkEnd w:id="817"/>
    <w:bookmarkEnd w:id="818"/>
    <w:bookmarkEnd w:id="819"/>
    <w:bookmarkEnd w:id="820"/>
    <w:bookmarkEnd w:id="821"/>
    <w:bookmarkEnd w:id="822"/>
    <w:bookmarkEnd w:id="828"/>
    <w:p>
      <w:pPr>
        <w:spacing w:line="400" w:lineRule="exact"/>
        <w:rPr>
          <w:rFonts w:ascii="宋体" w:hAnsi="宋体"/>
          <w:b/>
          <w:color w:val="auto"/>
          <w:highlight w:val="none"/>
        </w:rPr>
      </w:pPr>
      <w:bookmarkStart w:id="854" w:name="_Toc389065327"/>
      <w:bookmarkStart w:id="855" w:name="_Toc373478409"/>
      <w:bookmarkStart w:id="856" w:name="_Toc351203647"/>
      <w:bookmarkStart w:id="857" w:name="_Toc395382565"/>
      <w:bookmarkStart w:id="858" w:name="_Toc373227762"/>
      <w:bookmarkStart w:id="859" w:name="_Toc267251483"/>
      <w:bookmarkStart w:id="860" w:name="_Toc267251484"/>
      <w:bookmarkStart w:id="861" w:name="_Toc267251482"/>
      <w:bookmarkStart w:id="862" w:name="_Toc267251485"/>
      <w:bookmarkStart w:id="863" w:name="_Toc267251486"/>
      <w:bookmarkStart w:id="864" w:name="_Toc267251490"/>
      <w:bookmarkStart w:id="865" w:name="_Toc267251489"/>
      <w:bookmarkStart w:id="866" w:name="_Toc267251488"/>
      <w:bookmarkStart w:id="867" w:name="_Toc267251502"/>
      <w:bookmarkStart w:id="868" w:name="_Toc267251492"/>
      <w:bookmarkStart w:id="869" w:name="_Toc267251501"/>
      <w:bookmarkStart w:id="870" w:name="_Toc267251496"/>
      <w:bookmarkStart w:id="871" w:name="_Toc267251497"/>
      <w:bookmarkStart w:id="872" w:name="_Toc267251503"/>
      <w:bookmarkStart w:id="873" w:name="_Toc267251495"/>
      <w:bookmarkStart w:id="874" w:name="_Toc267251491"/>
      <w:bookmarkStart w:id="875" w:name="_Toc267251494"/>
      <w:bookmarkStart w:id="876" w:name="_Toc267251498"/>
      <w:bookmarkStart w:id="877" w:name="_Toc267251493"/>
      <w:bookmarkStart w:id="878" w:name="_Toc267251499"/>
      <w:bookmarkStart w:id="879" w:name="_Toc267251504"/>
      <w:bookmarkStart w:id="880" w:name="_Toc267251506"/>
      <w:bookmarkStart w:id="881" w:name="_Toc267251507"/>
      <w:bookmarkStart w:id="882" w:name="_Toc267251508"/>
      <w:bookmarkStart w:id="883" w:name="_Toc267251511"/>
      <w:bookmarkStart w:id="884" w:name="_Toc267251510"/>
      <w:bookmarkStart w:id="885" w:name="_Toc267251514"/>
      <w:bookmarkStart w:id="886" w:name="_Toc267251513"/>
      <w:bookmarkStart w:id="887" w:name="_Toc267251515"/>
      <w:bookmarkStart w:id="888" w:name="_Toc267251509"/>
      <w:r>
        <w:rPr>
          <w:rFonts w:ascii="宋体" w:hAnsi="宋体"/>
          <w:b/>
          <w:color w:val="auto"/>
          <w:highlight w:val="none"/>
        </w:rPr>
        <w:t>15.缺陷责任期与保修</w:t>
      </w:r>
      <w:bookmarkEnd w:id="854"/>
      <w:bookmarkEnd w:id="855"/>
      <w:bookmarkEnd w:id="856"/>
      <w:bookmarkEnd w:id="857"/>
      <w:bookmarkEnd w:id="858"/>
    </w:p>
    <w:p>
      <w:pPr>
        <w:spacing w:line="400" w:lineRule="exact"/>
        <w:rPr>
          <w:rFonts w:ascii="宋体" w:hAnsi="宋体"/>
          <w:b/>
          <w:color w:val="auto"/>
          <w:highlight w:val="none"/>
        </w:rPr>
      </w:pPr>
      <w:bookmarkStart w:id="889" w:name="_Toc395382566"/>
      <w:bookmarkStart w:id="890" w:name="_Toc373227763"/>
      <w:bookmarkStart w:id="891" w:name="_Toc389065328"/>
      <w:bookmarkStart w:id="892" w:name="_Toc373478410"/>
      <w:r>
        <w:rPr>
          <w:rFonts w:ascii="宋体" w:hAnsi="宋体"/>
          <w:b/>
          <w:color w:val="auto"/>
          <w:highlight w:val="none"/>
        </w:rPr>
        <w:t>15.2</w:t>
      </w:r>
      <w:r>
        <w:rPr>
          <w:rFonts w:hint="eastAsia" w:ascii="宋体" w:hAnsi="宋体"/>
          <w:b/>
          <w:color w:val="auto"/>
          <w:highlight w:val="none"/>
        </w:rPr>
        <w:t xml:space="preserve"> </w:t>
      </w:r>
      <w:r>
        <w:rPr>
          <w:rFonts w:ascii="宋体" w:hAnsi="宋体"/>
          <w:b/>
          <w:color w:val="auto"/>
          <w:highlight w:val="none"/>
        </w:rPr>
        <w:t>缺陷责任期</w:t>
      </w:r>
      <w:bookmarkEnd w:id="859"/>
      <w:bookmarkEnd w:id="889"/>
      <w:bookmarkEnd w:id="890"/>
      <w:bookmarkEnd w:id="891"/>
      <w:bookmarkEnd w:id="892"/>
    </w:p>
    <w:p>
      <w:pPr>
        <w:spacing w:line="400" w:lineRule="exact"/>
        <w:rPr>
          <w:rFonts w:ascii="宋体" w:hAnsi="宋体"/>
          <w:color w:val="auto"/>
          <w:szCs w:val="21"/>
          <w:highlight w:val="none"/>
        </w:rPr>
      </w:pPr>
      <w:r>
        <w:rPr>
          <w:rFonts w:ascii="宋体" w:hAnsi="宋体"/>
          <w:color w:val="auto"/>
          <w:szCs w:val="21"/>
          <w:highlight w:val="none"/>
        </w:rPr>
        <w:t>缺陷责任期的具体期限：</w:t>
      </w:r>
      <w:bookmarkStart w:id="893" w:name="_Toc395382567"/>
      <w:bookmarkStart w:id="894" w:name="_Toc373478411"/>
      <w:bookmarkStart w:id="895" w:name="_Toc373227764"/>
      <w:bookmarkStart w:id="896" w:name="_Toc389065329"/>
      <w:r>
        <w:rPr>
          <w:rFonts w:hint="eastAsia" w:ascii="宋体" w:hAnsi="宋体"/>
          <w:color w:val="auto"/>
          <w:szCs w:val="21"/>
          <w:highlight w:val="none"/>
          <w:u w:val="single"/>
        </w:rPr>
        <w:t>12个月，自工程竣工验收合格之日起计算。</w:t>
      </w:r>
    </w:p>
    <w:p>
      <w:pPr>
        <w:spacing w:line="400" w:lineRule="exact"/>
        <w:rPr>
          <w:rFonts w:ascii="宋体" w:hAnsi="宋体"/>
          <w:b/>
          <w:color w:val="auto"/>
          <w:highlight w:val="none"/>
        </w:rPr>
      </w:pPr>
      <w:r>
        <w:rPr>
          <w:rFonts w:ascii="宋体" w:hAnsi="宋体"/>
          <w:b/>
          <w:color w:val="auto"/>
          <w:highlight w:val="none"/>
        </w:rPr>
        <w:t>15.3 质量保证金</w:t>
      </w:r>
      <w:bookmarkEnd w:id="893"/>
      <w:bookmarkEnd w:id="894"/>
      <w:bookmarkEnd w:id="895"/>
      <w:bookmarkEnd w:id="896"/>
    </w:p>
    <w:p>
      <w:pPr>
        <w:spacing w:line="400" w:lineRule="exact"/>
        <w:rPr>
          <w:rFonts w:hint="eastAsia" w:ascii="宋体" w:hAnsi="宋体" w:eastAsia="宋体"/>
          <w:bCs/>
          <w:color w:val="auto"/>
          <w:szCs w:val="21"/>
          <w:highlight w:val="none"/>
          <w:u w:val="single"/>
          <w:lang w:val="en-US" w:eastAsia="zh-CN"/>
        </w:rPr>
      </w:pPr>
      <w:r>
        <w:rPr>
          <w:rFonts w:ascii="宋体" w:hAnsi="宋体"/>
          <w:color w:val="auto"/>
          <w:szCs w:val="21"/>
          <w:highlight w:val="none"/>
        </w:rPr>
        <w:t>关于</w:t>
      </w:r>
      <w:r>
        <w:rPr>
          <w:rFonts w:hint="eastAsia" w:ascii="宋体" w:hAnsi="宋体"/>
          <w:color w:val="auto"/>
          <w:szCs w:val="21"/>
          <w:highlight w:val="none"/>
        </w:rPr>
        <w:t>缴纳</w:t>
      </w:r>
      <w:r>
        <w:rPr>
          <w:rFonts w:ascii="宋体" w:hAnsi="宋体"/>
          <w:color w:val="auto"/>
          <w:szCs w:val="21"/>
          <w:highlight w:val="none"/>
        </w:rPr>
        <w:t>质量保证金的约定：</w:t>
      </w:r>
      <w:r>
        <w:rPr>
          <w:rFonts w:hint="eastAsia" w:ascii="宋体" w:hAnsi="宋体"/>
          <w:bCs/>
          <w:color w:val="auto"/>
          <w:szCs w:val="21"/>
          <w:highlight w:val="none"/>
          <w:u w:val="single"/>
        </w:rPr>
        <w:t>发包人按工程价款结算总额的3%预留工程质量保修金，待工程质量保修期满后返还。</w:t>
      </w:r>
    </w:p>
    <w:p>
      <w:pPr>
        <w:spacing w:line="400" w:lineRule="exact"/>
        <w:jc w:val="left"/>
        <w:rPr>
          <w:rFonts w:ascii="宋体" w:hAnsi="宋体"/>
          <w:color w:val="auto"/>
          <w:szCs w:val="21"/>
          <w:highlight w:val="none"/>
        </w:rPr>
      </w:pPr>
      <w:r>
        <w:rPr>
          <w:rFonts w:ascii="宋体" w:hAnsi="宋体"/>
          <w:color w:val="auto"/>
          <w:szCs w:val="21"/>
          <w:highlight w:val="none"/>
        </w:rPr>
        <w:t>15.3.1 承包人提供质量保证金的方式</w:t>
      </w:r>
    </w:p>
    <w:p>
      <w:pPr>
        <w:spacing w:line="400" w:lineRule="exact"/>
        <w:jc w:val="left"/>
        <w:rPr>
          <w:rFonts w:ascii="宋体" w:hAnsi="宋体"/>
          <w:color w:val="auto"/>
          <w:szCs w:val="21"/>
          <w:highlight w:val="none"/>
        </w:rPr>
      </w:pPr>
      <w:r>
        <w:rPr>
          <w:rFonts w:ascii="宋体" w:hAnsi="宋体"/>
          <w:color w:val="auto"/>
          <w:szCs w:val="21"/>
          <w:highlight w:val="none"/>
        </w:rPr>
        <w:t>质量保证金采用以下第</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3</w:t>
      </w:r>
      <w:r>
        <w:rPr>
          <w:rFonts w:hint="eastAsia" w:ascii="宋体" w:hAnsi="宋体"/>
          <w:color w:val="auto"/>
          <w:szCs w:val="21"/>
          <w:highlight w:val="none"/>
          <w:u w:val="single"/>
        </w:rPr>
        <w:t>）</w:t>
      </w:r>
      <w:r>
        <w:rPr>
          <w:rFonts w:ascii="宋体" w:hAnsi="宋体"/>
          <w:color w:val="auto"/>
          <w:szCs w:val="21"/>
          <w:highlight w:val="none"/>
        </w:rPr>
        <w:t>种方式：</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（1）质量保证金保函，保证金额为：</w:t>
      </w:r>
      <w:r>
        <w:rPr>
          <w:rFonts w:ascii="宋体" w:hAnsi="宋体"/>
          <w:color w:val="auto"/>
          <w:kern w:val="0"/>
          <w:szCs w:val="21"/>
          <w:highlight w:val="none"/>
          <w:u w:val="single"/>
        </w:rPr>
        <w:t xml:space="preserve">                  ；</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%的工程款；</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（3）其他方式</w:t>
      </w:r>
      <w:r>
        <w:rPr>
          <w:rFonts w:hint="eastAsia" w:ascii="宋体" w:hAnsi="宋体"/>
          <w:color w:val="auto"/>
          <w:kern w:val="0"/>
          <w:szCs w:val="21"/>
          <w:highlight w:val="none"/>
        </w:rPr>
        <w:t>：</w:t>
      </w:r>
      <w:r>
        <w:rPr>
          <w:rFonts w:hint="eastAsia" w:ascii="宋体" w:hAnsi="宋体"/>
          <w:bCs/>
          <w:color w:val="auto"/>
          <w:szCs w:val="21"/>
          <w:highlight w:val="none"/>
          <w:u w:val="single"/>
        </w:rPr>
        <w:t>发包人按工程价款结算总额的3%预留工程质量保修金，待工程质量保修期满后返还。</w:t>
      </w:r>
    </w:p>
    <w:p>
      <w:pPr>
        <w:spacing w:line="400" w:lineRule="exact"/>
        <w:jc w:val="left"/>
        <w:rPr>
          <w:rFonts w:ascii="宋体" w:hAnsi="宋体"/>
          <w:color w:val="auto"/>
          <w:szCs w:val="21"/>
          <w:highlight w:val="none"/>
        </w:rPr>
      </w:pPr>
      <w:r>
        <w:rPr>
          <w:rFonts w:ascii="宋体" w:hAnsi="宋体"/>
          <w:color w:val="auto"/>
          <w:szCs w:val="21"/>
          <w:highlight w:val="none"/>
        </w:rPr>
        <w:t>15.3.2 质量保证金的扣留</w:t>
      </w:r>
    </w:p>
    <w:p>
      <w:pPr>
        <w:spacing w:line="400" w:lineRule="exact"/>
        <w:jc w:val="left"/>
        <w:rPr>
          <w:rFonts w:ascii="宋体" w:hAnsi="宋体"/>
          <w:color w:val="auto"/>
          <w:szCs w:val="21"/>
          <w:highlight w:val="none"/>
        </w:rPr>
      </w:pPr>
      <w:r>
        <w:rPr>
          <w:rFonts w:ascii="宋体" w:hAnsi="宋体"/>
          <w:color w:val="auto"/>
          <w:szCs w:val="21"/>
          <w:highlight w:val="none"/>
        </w:rPr>
        <w:t>质量保证金的扣留采取以下第</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3</w:t>
      </w:r>
      <w:r>
        <w:rPr>
          <w:rFonts w:hint="eastAsia" w:ascii="宋体" w:hAnsi="宋体"/>
          <w:color w:val="auto"/>
          <w:szCs w:val="21"/>
          <w:highlight w:val="none"/>
          <w:u w:val="single"/>
        </w:rPr>
        <w:t>）</w:t>
      </w:r>
      <w:r>
        <w:rPr>
          <w:rFonts w:ascii="宋体" w:hAnsi="宋体"/>
          <w:color w:val="auto"/>
          <w:szCs w:val="21"/>
          <w:highlight w:val="none"/>
        </w:rPr>
        <w:t>种方式：</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（2）工程竣工结算时一次性</w:t>
      </w:r>
      <w:r>
        <w:rPr>
          <w:rFonts w:hint="eastAsia" w:ascii="宋体" w:hAnsi="宋体"/>
          <w:color w:val="auto"/>
          <w:kern w:val="0"/>
          <w:szCs w:val="21"/>
          <w:highlight w:val="none"/>
        </w:rPr>
        <w:t>缴纳</w:t>
      </w:r>
      <w:r>
        <w:rPr>
          <w:rFonts w:ascii="宋体" w:hAnsi="宋体"/>
          <w:color w:val="auto"/>
          <w:kern w:val="0"/>
          <w:szCs w:val="21"/>
          <w:highlight w:val="none"/>
        </w:rPr>
        <w:t>质量保证金；</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（3）其他扣留方式</w:t>
      </w:r>
      <w:r>
        <w:rPr>
          <w:rFonts w:hint="eastAsia" w:ascii="宋体" w:hAnsi="宋体"/>
          <w:color w:val="auto"/>
          <w:kern w:val="0"/>
          <w:szCs w:val="21"/>
          <w:highlight w:val="none"/>
        </w:rPr>
        <w:t>：</w:t>
      </w:r>
      <w:r>
        <w:rPr>
          <w:rFonts w:hint="eastAsia" w:ascii="宋体" w:hAnsi="宋体"/>
          <w:color w:val="auto"/>
          <w:kern w:val="0"/>
          <w:szCs w:val="21"/>
          <w:highlight w:val="none"/>
          <w:u w:val="single"/>
        </w:rPr>
        <w:t>发包人按工程价款结算总额的3%预留工程质量保修金，待工程质量保修期满后返还</w:t>
      </w:r>
      <w:r>
        <w:rPr>
          <w:rFonts w:ascii="宋体" w:hAnsi="宋体"/>
          <w:color w:val="auto"/>
          <w:kern w:val="0"/>
          <w:szCs w:val="21"/>
          <w:highlight w:val="none"/>
        </w:rPr>
        <w:t>。</w:t>
      </w:r>
    </w:p>
    <w:p>
      <w:pPr>
        <w:snapToGrid w:val="0"/>
        <w:spacing w:line="400" w:lineRule="exact"/>
        <w:rPr>
          <w:rFonts w:ascii="宋体" w:hAnsi="宋体"/>
          <w:color w:val="auto"/>
          <w:kern w:val="0"/>
          <w:szCs w:val="21"/>
          <w:highlight w:val="none"/>
          <w:u w:val="single"/>
        </w:rPr>
      </w:pPr>
      <w:r>
        <w:rPr>
          <w:rFonts w:ascii="宋体" w:hAnsi="宋体"/>
          <w:color w:val="auto"/>
          <w:szCs w:val="21"/>
          <w:highlight w:val="none"/>
        </w:rPr>
        <w:t>关于质量保证金的补充约定：</w:t>
      </w:r>
      <w:r>
        <w:rPr>
          <w:rFonts w:hint="eastAsia" w:ascii="宋体" w:hAnsi="宋体"/>
          <w:color w:val="auto"/>
          <w:szCs w:val="21"/>
          <w:highlight w:val="none"/>
          <w:u w:val="single"/>
        </w:rPr>
        <w:t>发包人在竣工验收合格之日起12个月（质量保修责任期满）后14天内一次性</w:t>
      </w:r>
      <w:r>
        <w:rPr>
          <w:rFonts w:ascii="宋体" w:hAnsi="宋体"/>
          <w:color w:val="auto"/>
          <w:szCs w:val="21"/>
          <w:highlight w:val="none"/>
          <w:u w:val="single"/>
        </w:rPr>
        <w:t>返还</w:t>
      </w:r>
      <w:r>
        <w:rPr>
          <w:rFonts w:hint="eastAsia" w:ascii="宋体" w:hAnsi="宋体"/>
          <w:color w:val="auto"/>
          <w:szCs w:val="21"/>
          <w:highlight w:val="none"/>
          <w:u w:val="single"/>
        </w:rPr>
        <w:t>承包人</w:t>
      </w:r>
      <w:r>
        <w:rPr>
          <w:rFonts w:ascii="宋体" w:hAnsi="宋体"/>
          <w:color w:val="auto"/>
          <w:szCs w:val="21"/>
          <w:highlight w:val="none"/>
          <w:u w:val="single"/>
        </w:rPr>
        <w:t>。质量保修金的返还，并不能免除承包人按照合同约定应承担的质量保修责任和应履行的质量保修义务</w:t>
      </w:r>
      <w:r>
        <w:rPr>
          <w:rFonts w:ascii="宋体" w:hAnsi="宋体"/>
          <w:color w:val="auto"/>
          <w:szCs w:val="21"/>
          <w:highlight w:val="none"/>
        </w:rPr>
        <w:t>。</w:t>
      </w:r>
    </w:p>
    <w:bookmarkEnd w:id="860"/>
    <w:bookmarkEnd w:id="861"/>
    <w:p>
      <w:pPr>
        <w:spacing w:line="400" w:lineRule="exact"/>
        <w:rPr>
          <w:rFonts w:ascii="宋体" w:hAnsi="宋体"/>
          <w:b/>
          <w:color w:val="auto"/>
          <w:highlight w:val="none"/>
        </w:rPr>
      </w:pPr>
      <w:bookmarkStart w:id="897" w:name="_Toc373478412"/>
      <w:bookmarkStart w:id="898" w:name="_Toc389065330"/>
      <w:bookmarkStart w:id="899" w:name="_Toc373227765"/>
      <w:bookmarkStart w:id="900" w:name="_Toc395382568"/>
      <w:r>
        <w:rPr>
          <w:rFonts w:ascii="宋体" w:hAnsi="宋体"/>
          <w:b/>
          <w:color w:val="auto"/>
          <w:highlight w:val="none"/>
        </w:rPr>
        <w:t>15.4</w:t>
      </w:r>
      <w:r>
        <w:rPr>
          <w:rFonts w:hint="eastAsia" w:ascii="宋体" w:hAnsi="宋体"/>
          <w:b/>
          <w:color w:val="auto"/>
          <w:highlight w:val="none"/>
        </w:rPr>
        <w:t xml:space="preserve"> </w:t>
      </w:r>
      <w:r>
        <w:rPr>
          <w:rFonts w:ascii="宋体" w:hAnsi="宋体"/>
          <w:b/>
          <w:color w:val="auto"/>
          <w:highlight w:val="none"/>
        </w:rPr>
        <w:t>保修</w:t>
      </w:r>
      <w:bookmarkEnd w:id="897"/>
      <w:bookmarkEnd w:id="898"/>
      <w:bookmarkEnd w:id="899"/>
      <w:bookmarkEnd w:id="900"/>
    </w:p>
    <w:bookmarkEnd w:id="862"/>
    <w:p>
      <w:pPr>
        <w:spacing w:line="400" w:lineRule="exact"/>
        <w:jc w:val="left"/>
        <w:rPr>
          <w:rFonts w:ascii="宋体" w:hAnsi="宋体"/>
          <w:color w:val="auto"/>
          <w:szCs w:val="21"/>
          <w:highlight w:val="none"/>
        </w:rPr>
      </w:pPr>
      <w:r>
        <w:rPr>
          <w:rFonts w:ascii="宋体" w:hAnsi="宋体"/>
          <w:color w:val="auto"/>
          <w:szCs w:val="21"/>
          <w:highlight w:val="none"/>
        </w:rPr>
        <w:t>15.4.1 保修责任</w:t>
      </w:r>
    </w:p>
    <w:p>
      <w:pPr>
        <w:spacing w:line="400" w:lineRule="exact"/>
        <w:jc w:val="left"/>
        <w:rPr>
          <w:rFonts w:ascii="宋体" w:hAnsi="宋体"/>
          <w:color w:val="auto"/>
          <w:kern w:val="0"/>
          <w:szCs w:val="21"/>
          <w:highlight w:val="none"/>
        </w:rPr>
      </w:pPr>
      <w:r>
        <w:rPr>
          <w:rFonts w:ascii="宋体" w:hAnsi="宋体"/>
          <w:color w:val="auto"/>
          <w:szCs w:val="21"/>
          <w:highlight w:val="none"/>
        </w:rPr>
        <w:t>工程保修期为：</w:t>
      </w:r>
      <w:r>
        <w:rPr>
          <w:rFonts w:hint="eastAsia" w:ascii="宋体" w:hAnsi="宋体"/>
          <w:color w:val="auto"/>
          <w:kern w:val="0"/>
          <w:szCs w:val="21"/>
          <w:highlight w:val="none"/>
          <w:u w:val="single"/>
        </w:rPr>
        <w:t>按国家有关规定</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u w:val="single"/>
        </w:rPr>
      </w:pPr>
      <w:r>
        <w:rPr>
          <w:rFonts w:hint="eastAsia" w:ascii="宋体" w:hAnsi="宋体"/>
          <w:color w:val="auto"/>
          <w:szCs w:val="21"/>
          <w:highlight w:val="none"/>
        </w:rPr>
        <w:t>工程保修书具体内容见合同附件8。</w:t>
      </w:r>
    </w:p>
    <w:p>
      <w:pPr>
        <w:spacing w:line="400" w:lineRule="exact"/>
        <w:jc w:val="left"/>
        <w:rPr>
          <w:rFonts w:ascii="宋体" w:hAnsi="宋体"/>
          <w:color w:val="auto"/>
          <w:szCs w:val="21"/>
          <w:highlight w:val="none"/>
        </w:rPr>
      </w:pPr>
      <w:r>
        <w:rPr>
          <w:rFonts w:ascii="宋体" w:hAnsi="宋体"/>
          <w:color w:val="auto"/>
          <w:szCs w:val="21"/>
          <w:highlight w:val="none"/>
        </w:rPr>
        <w:t>15.4.3 修复通知</w:t>
      </w:r>
    </w:p>
    <w:p>
      <w:pPr>
        <w:spacing w:line="400" w:lineRule="exact"/>
        <w:jc w:val="left"/>
        <w:rPr>
          <w:rFonts w:ascii="宋体" w:hAnsi="宋体"/>
          <w:color w:val="auto"/>
          <w:kern w:val="0"/>
          <w:szCs w:val="21"/>
          <w:highlight w:val="none"/>
          <w:u w:val="single"/>
        </w:rPr>
      </w:pPr>
      <w:r>
        <w:rPr>
          <w:rFonts w:ascii="宋体" w:hAnsi="宋体"/>
          <w:color w:val="auto"/>
          <w:kern w:val="0"/>
          <w:szCs w:val="21"/>
          <w:highlight w:val="none"/>
        </w:rPr>
        <w:t>承包人收到保修通知并到达工程现场的合理时间：</w:t>
      </w:r>
      <w:r>
        <w:rPr>
          <w:rFonts w:hint="eastAsia" w:ascii="宋体" w:hAnsi="宋体"/>
          <w:color w:val="auto"/>
          <w:kern w:val="0"/>
          <w:szCs w:val="21"/>
          <w:highlight w:val="none"/>
          <w:u w:val="single"/>
        </w:rPr>
        <w:t>48小时内</w:t>
      </w:r>
      <w:r>
        <w:rPr>
          <w:rFonts w:ascii="宋体" w:hAnsi="宋体"/>
          <w:color w:val="auto"/>
          <w:kern w:val="0"/>
          <w:szCs w:val="21"/>
          <w:highlight w:val="none"/>
        </w:rPr>
        <w:t>。</w:t>
      </w:r>
    </w:p>
    <w:bookmarkEnd w:id="863"/>
    <w:bookmarkEnd w:id="864"/>
    <w:bookmarkEnd w:id="865"/>
    <w:bookmarkEnd w:id="866"/>
    <w:p>
      <w:pPr>
        <w:spacing w:line="400" w:lineRule="exact"/>
        <w:rPr>
          <w:rFonts w:ascii="宋体" w:hAnsi="宋体"/>
          <w:b/>
          <w:color w:val="auto"/>
          <w:highlight w:val="none"/>
        </w:rPr>
      </w:pPr>
      <w:bookmarkStart w:id="901" w:name="_Toc395382569"/>
      <w:bookmarkStart w:id="902" w:name="_Toc373227766"/>
      <w:bookmarkStart w:id="903" w:name="_Toc351203648"/>
      <w:bookmarkStart w:id="904" w:name="_Toc389065331"/>
      <w:bookmarkStart w:id="905" w:name="_Toc373478413"/>
      <w:bookmarkStart w:id="906" w:name="_Toc280868717"/>
      <w:bookmarkStart w:id="907" w:name="_Toc280868718"/>
      <w:r>
        <w:rPr>
          <w:rFonts w:ascii="宋体" w:hAnsi="宋体"/>
          <w:b/>
          <w:color w:val="auto"/>
          <w:highlight w:val="none"/>
        </w:rPr>
        <w:t>16. 违约</w:t>
      </w:r>
      <w:bookmarkEnd w:id="901"/>
      <w:bookmarkEnd w:id="902"/>
      <w:bookmarkEnd w:id="903"/>
      <w:bookmarkEnd w:id="904"/>
      <w:bookmarkEnd w:id="905"/>
    </w:p>
    <w:p>
      <w:pPr>
        <w:spacing w:line="400" w:lineRule="exact"/>
        <w:rPr>
          <w:rFonts w:ascii="宋体" w:hAnsi="宋体"/>
          <w:b/>
          <w:color w:val="auto"/>
          <w:highlight w:val="none"/>
        </w:rPr>
      </w:pPr>
      <w:bookmarkStart w:id="908" w:name="_Toc389065332"/>
      <w:bookmarkStart w:id="909" w:name="_Toc373227767"/>
      <w:bookmarkStart w:id="910" w:name="_Toc373478414"/>
      <w:bookmarkStart w:id="911" w:name="_Toc395382570"/>
      <w:r>
        <w:rPr>
          <w:rFonts w:ascii="宋体" w:hAnsi="宋体"/>
          <w:b/>
          <w:color w:val="auto"/>
          <w:highlight w:val="none"/>
        </w:rPr>
        <w:t>16.1 发包人违约</w:t>
      </w:r>
      <w:bookmarkEnd w:id="908"/>
      <w:bookmarkEnd w:id="909"/>
      <w:bookmarkEnd w:id="910"/>
      <w:bookmarkEnd w:id="911"/>
    </w:p>
    <w:p>
      <w:pPr>
        <w:spacing w:line="400" w:lineRule="exact"/>
        <w:jc w:val="left"/>
        <w:rPr>
          <w:rFonts w:ascii="宋体" w:hAnsi="宋体"/>
          <w:color w:val="auto"/>
          <w:szCs w:val="21"/>
          <w:highlight w:val="none"/>
        </w:rPr>
      </w:pPr>
      <w:r>
        <w:rPr>
          <w:rFonts w:ascii="宋体" w:hAnsi="宋体"/>
          <w:color w:val="auto"/>
          <w:szCs w:val="21"/>
          <w:highlight w:val="none"/>
        </w:rPr>
        <w:t>16.1.1发包人违约的情形</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发包人违约的其他情形：</w:t>
      </w:r>
      <w:r>
        <w:rPr>
          <w:rFonts w:hint="eastAsia" w:ascii="宋体" w:hAnsi="宋体"/>
          <w:color w:val="auto"/>
          <w:kern w:val="0"/>
          <w:szCs w:val="21"/>
          <w:highlight w:val="none"/>
          <w:u w:val="single"/>
        </w:rPr>
        <w:t>/</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16.1.2 发包人违约的责任</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发包人违约责任的承担方式和计算方法：</w:t>
      </w:r>
    </w:p>
    <w:p>
      <w:pPr>
        <w:spacing w:line="400" w:lineRule="exact"/>
        <w:jc w:val="left"/>
        <w:rPr>
          <w:rFonts w:ascii="宋体" w:hAnsi="宋体"/>
          <w:color w:val="auto"/>
          <w:kern w:val="0"/>
          <w:szCs w:val="21"/>
          <w:highlight w:val="none"/>
          <w:u w:val="single"/>
        </w:rPr>
      </w:pPr>
      <w:r>
        <w:rPr>
          <w:rFonts w:ascii="宋体" w:hAnsi="宋体"/>
          <w:color w:val="auto"/>
          <w:kern w:val="0"/>
          <w:szCs w:val="21"/>
          <w:highlight w:val="none"/>
        </w:rPr>
        <w:t>（1）因发包人原因未能在计划开工日期前7天内下达开工通知的违约责任：</w:t>
      </w:r>
      <w:r>
        <w:rPr>
          <w:rFonts w:hint="eastAsia" w:ascii="宋体" w:hAnsi="宋体"/>
          <w:color w:val="auto"/>
          <w:kern w:val="0"/>
          <w:szCs w:val="21"/>
          <w:highlight w:val="none"/>
          <w:u w:val="single"/>
        </w:rPr>
        <w:t>工期顺延</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（2）因发包人原因未能按合同约定支付合同价款的违约责任：</w:t>
      </w:r>
      <w:r>
        <w:rPr>
          <w:rFonts w:hint="eastAsia" w:ascii="宋体" w:hAnsi="宋体"/>
          <w:color w:val="auto"/>
          <w:kern w:val="0"/>
          <w:szCs w:val="21"/>
          <w:highlight w:val="none"/>
          <w:u w:val="single"/>
        </w:rPr>
        <w:t>按银行同期基准利率赔偿</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（3）发包人违反第10.1款〔变更的范围〕第（2）项约定，自行实施被取消的工作或转由他人实施的违约责任：</w:t>
      </w:r>
      <w:r>
        <w:rPr>
          <w:rFonts w:hint="eastAsia" w:ascii="宋体" w:hAnsi="宋体"/>
          <w:color w:val="auto"/>
          <w:kern w:val="0"/>
          <w:szCs w:val="21"/>
          <w:highlight w:val="none"/>
          <w:u w:val="single"/>
        </w:rPr>
        <w:t>/</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color w:val="auto"/>
          <w:kern w:val="0"/>
          <w:szCs w:val="21"/>
          <w:highlight w:val="none"/>
          <w:u w:val="single"/>
        </w:rPr>
        <w:t>工期顺延</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u w:val="single"/>
        </w:rPr>
      </w:pPr>
      <w:r>
        <w:rPr>
          <w:rFonts w:ascii="宋体" w:hAnsi="宋体"/>
          <w:color w:val="auto"/>
          <w:kern w:val="0"/>
          <w:szCs w:val="21"/>
          <w:highlight w:val="none"/>
        </w:rPr>
        <w:t>（5）因发包人违反合同约定造成暂停施工的违约责任：</w:t>
      </w:r>
      <w:r>
        <w:rPr>
          <w:rFonts w:hint="eastAsia" w:ascii="宋体" w:hAnsi="宋体"/>
          <w:color w:val="auto"/>
          <w:kern w:val="0"/>
          <w:szCs w:val="21"/>
          <w:highlight w:val="none"/>
          <w:u w:val="single"/>
        </w:rPr>
        <w:t>/</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（6）发包人无正当理由没有在约定期限内发出复工指示，导致承包人无法复工的违约责任：</w:t>
      </w:r>
      <w:r>
        <w:rPr>
          <w:rFonts w:hint="eastAsia" w:ascii="宋体" w:hAnsi="宋体"/>
          <w:color w:val="auto"/>
          <w:kern w:val="0"/>
          <w:szCs w:val="21"/>
          <w:highlight w:val="none"/>
          <w:u w:val="single"/>
        </w:rPr>
        <w:t>/</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（7）其他：</w:t>
      </w:r>
      <w:r>
        <w:rPr>
          <w:rFonts w:hint="eastAsia" w:ascii="宋体" w:hAnsi="宋体"/>
          <w:color w:val="auto"/>
          <w:kern w:val="0"/>
          <w:szCs w:val="21"/>
          <w:highlight w:val="none"/>
          <w:u w:val="single"/>
        </w:rPr>
        <w:t>/</w:t>
      </w:r>
      <w:r>
        <w:rPr>
          <w:rFonts w:ascii="宋体" w:hAnsi="宋体"/>
          <w:color w:val="auto"/>
          <w:kern w:val="0"/>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16.1.3 因发包人违约解除合同</w:t>
      </w:r>
    </w:p>
    <w:p>
      <w:pPr>
        <w:autoSpaceDE w:val="0"/>
        <w:autoSpaceDN w:val="0"/>
        <w:adjustRightInd w:val="0"/>
        <w:spacing w:line="400" w:lineRule="exact"/>
        <w:jc w:val="left"/>
        <w:rPr>
          <w:rFonts w:ascii="宋体" w:hAnsi="宋体"/>
          <w:color w:val="auto"/>
          <w:kern w:val="0"/>
          <w:szCs w:val="21"/>
          <w:highlight w:val="none"/>
        </w:rPr>
      </w:pPr>
      <w:r>
        <w:rPr>
          <w:rFonts w:ascii="宋体" w:hAnsi="宋体"/>
          <w:color w:val="auto"/>
          <w:kern w:val="0"/>
          <w:szCs w:val="21"/>
          <w:highlight w:val="none"/>
        </w:rPr>
        <w:t>承包人按16.1.1项〔发包人违约的情形〕约定暂停施工满</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90</w:t>
      </w:r>
      <w:r>
        <w:rPr>
          <w:rFonts w:ascii="宋体" w:hAnsi="宋体"/>
          <w:color w:val="auto"/>
          <w:kern w:val="0"/>
          <w:szCs w:val="21"/>
          <w:highlight w:val="none"/>
        </w:rPr>
        <w:t>天后发包人仍不纠正其违约行为并致使合同目的不能实现的，承包人有权解除合同。</w:t>
      </w:r>
    </w:p>
    <w:p>
      <w:pPr>
        <w:spacing w:line="400" w:lineRule="exact"/>
        <w:rPr>
          <w:rFonts w:ascii="宋体" w:hAnsi="宋体"/>
          <w:b/>
          <w:color w:val="auto"/>
          <w:highlight w:val="none"/>
        </w:rPr>
      </w:pPr>
      <w:bookmarkStart w:id="912" w:name="_Toc389065333"/>
      <w:bookmarkStart w:id="913" w:name="_Toc395382571"/>
      <w:bookmarkStart w:id="914" w:name="_Toc373227768"/>
      <w:bookmarkStart w:id="915" w:name="_Toc373478415"/>
      <w:r>
        <w:rPr>
          <w:rFonts w:ascii="宋体" w:hAnsi="宋体"/>
          <w:b/>
          <w:color w:val="auto"/>
          <w:highlight w:val="none"/>
        </w:rPr>
        <w:t>16.2 承包人违约</w:t>
      </w:r>
      <w:bookmarkEnd w:id="912"/>
      <w:bookmarkEnd w:id="913"/>
      <w:bookmarkEnd w:id="914"/>
      <w:bookmarkEnd w:id="915"/>
    </w:p>
    <w:p>
      <w:pPr>
        <w:spacing w:line="400" w:lineRule="exact"/>
        <w:jc w:val="left"/>
        <w:rPr>
          <w:rFonts w:ascii="宋体" w:hAnsi="宋体"/>
          <w:color w:val="auto"/>
          <w:kern w:val="0"/>
          <w:szCs w:val="21"/>
          <w:highlight w:val="none"/>
        </w:rPr>
      </w:pPr>
      <w:r>
        <w:rPr>
          <w:rFonts w:ascii="宋体" w:hAnsi="宋体"/>
          <w:color w:val="auto"/>
          <w:kern w:val="0"/>
          <w:szCs w:val="21"/>
          <w:highlight w:val="none"/>
        </w:rPr>
        <w:t>16.2.1 承包人违约的情形</w:t>
      </w:r>
    </w:p>
    <w:p>
      <w:pPr>
        <w:spacing w:line="400" w:lineRule="exact"/>
        <w:jc w:val="left"/>
        <w:rPr>
          <w:rFonts w:ascii="宋体" w:hAnsi="宋体"/>
          <w:color w:val="auto"/>
          <w:kern w:val="0"/>
          <w:szCs w:val="21"/>
          <w:highlight w:val="none"/>
          <w:u w:val="single"/>
        </w:rPr>
      </w:pPr>
      <w:r>
        <w:rPr>
          <w:rFonts w:ascii="宋体" w:hAnsi="宋体"/>
          <w:color w:val="auto"/>
          <w:kern w:val="0"/>
          <w:szCs w:val="21"/>
          <w:highlight w:val="none"/>
        </w:rPr>
        <w:t>承包人违约的其他情形：</w:t>
      </w:r>
      <w:r>
        <w:rPr>
          <w:rFonts w:hint="eastAsia" w:ascii="宋体" w:hAnsi="宋体"/>
          <w:color w:val="auto"/>
          <w:kern w:val="0"/>
          <w:szCs w:val="21"/>
          <w:highlight w:val="none"/>
          <w:u w:val="single"/>
        </w:rPr>
        <w:t>/</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16.2.2承包人违约的责任</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承包人违约责任的承担方式和计算方法：</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（1）承包人未按本合同通用条款第16.2.1（2）</w:t>
      </w:r>
      <w:r>
        <w:rPr>
          <w:rFonts w:hint="eastAsia" w:ascii="宋体" w:hAnsi="宋体"/>
          <w:color w:val="auto"/>
          <w:kern w:val="0"/>
          <w:szCs w:val="21"/>
          <w:highlight w:val="none"/>
        </w:rPr>
        <w:t>、</w:t>
      </w:r>
      <w:r>
        <w:rPr>
          <w:rFonts w:ascii="宋体" w:hAnsi="宋体"/>
          <w:color w:val="auto"/>
          <w:kern w:val="0"/>
          <w:szCs w:val="21"/>
          <w:highlight w:val="none"/>
        </w:rPr>
        <w:t>（3）条内容完成的，承包人无条件返工处理，修复至工程质量要求并承担相关费用，并在发包人规定的时间内完成返工，否则发包人有权扣罚该分项工程10%的工程款作为处罚。</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（2）承包人有本合同通用条款第16.2.1（6）条情形的，或经监理人检验认为修复质量不合格而承包人拒绝再进行修补的，发包人将扣除承包人全部质量保修金。</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400" w:lineRule="exact"/>
        <w:jc w:val="left"/>
        <w:rPr>
          <w:rFonts w:ascii="宋体" w:hAnsi="宋体"/>
          <w:color w:val="auto"/>
          <w:szCs w:val="21"/>
          <w:highlight w:val="none"/>
        </w:rPr>
      </w:pPr>
      <w:r>
        <w:rPr>
          <w:rFonts w:ascii="宋体" w:hAnsi="宋体"/>
          <w:color w:val="auto"/>
          <w:szCs w:val="21"/>
          <w:highlight w:val="none"/>
        </w:rPr>
        <w:t>16.2.3 因承包人违约解除合同</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关于承包人违约解除合同的特别约定：</w:t>
      </w:r>
      <w:r>
        <w:rPr>
          <w:rFonts w:ascii="宋体" w:hAnsi="宋体"/>
          <w:color w:val="auto"/>
          <w:kern w:val="0"/>
          <w:szCs w:val="21"/>
          <w:highlight w:val="none"/>
          <w:u w:val="single"/>
        </w:rPr>
        <w:t>承包人有违反以下情况之一的，发包人有权解除合同，并没收其全部履约保证金</w:t>
      </w:r>
      <w:r>
        <w:rPr>
          <w:rFonts w:ascii="宋体" w:hAnsi="宋体"/>
          <w:color w:val="auto"/>
          <w:kern w:val="0"/>
          <w:szCs w:val="21"/>
          <w:highlight w:val="none"/>
        </w:rPr>
        <w:t>。</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(1)承包人无正当理由不按开工通知的要求及时进场组织施工和不按签订协议书时商</w:t>
      </w:r>
      <w:r>
        <w:rPr>
          <w:rFonts w:hint="eastAsia" w:ascii="宋体" w:hAnsi="宋体"/>
          <w:color w:val="auto"/>
          <w:kern w:val="0"/>
          <w:szCs w:val="21"/>
          <w:highlight w:val="none"/>
        </w:rPr>
        <w:t>定</w:t>
      </w:r>
      <w:r>
        <w:rPr>
          <w:rFonts w:ascii="宋体" w:hAnsi="宋体"/>
          <w:color w:val="auto"/>
          <w:kern w:val="0"/>
          <w:szCs w:val="21"/>
          <w:highlight w:val="none"/>
        </w:rPr>
        <w:t>的进度计划有效地开展施工准备，造成工期延误的；</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(2)承包人违反本合同通用条款第3.5条规定私自将合同或合同的任何部分或任何权利转让给其他人，或私自将工程或工程的一部分分包出去的；</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(3)未经监理人批准，承包人私自将已按</w:t>
      </w:r>
      <w:r>
        <w:rPr>
          <w:rFonts w:hint="eastAsia" w:ascii="宋体" w:hAnsi="宋体"/>
          <w:color w:val="auto"/>
          <w:kern w:val="0"/>
          <w:szCs w:val="21"/>
          <w:highlight w:val="none"/>
        </w:rPr>
        <w:t>竞标</w:t>
      </w:r>
      <w:r>
        <w:rPr>
          <w:rFonts w:ascii="宋体" w:hAnsi="宋体"/>
          <w:color w:val="auto"/>
          <w:kern w:val="0"/>
          <w:szCs w:val="21"/>
          <w:highlight w:val="none"/>
        </w:rPr>
        <w:t>文件承诺进入工地的工程设备、施工设备、临时工程或材料撤离工地的；</w:t>
      </w:r>
    </w:p>
    <w:p>
      <w:pPr>
        <w:spacing w:line="400" w:lineRule="exact"/>
        <w:jc w:val="left"/>
        <w:rPr>
          <w:rFonts w:ascii="宋体" w:hAnsi="宋体"/>
          <w:color w:val="auto"/>
          <w:kern w:val="0"/>
          <w:szCs w:val="21"/>
          <w:highlight w:val="none"/>
        </w:rPr>
      </w:pPr>
      <w:r>
        <w:rPr>
          <w:rFonts w:ascii="宋体" w:hAnsi="宋体"/>
          <w:color w:val="auto"/>
          <w:kern w:val="0"/>
          <w:szCs w:val="21"/>
          <w:highlight w:val="none"/>
        </w:rPr>
        <w:t>(4)由于承包人原因拒绝按合同进度计划及时完成合同规定的工程，而又未采取有效措施赶上进度，造成工期延误的；</w:t>
      </w:r>
    </w:p>
    <w:p>
      <w:pPr>
        <w:spacing w:line="400" w:lineRule="exact"/>
        <w:rPr>
          <w:rFonts w:ascii="宋体" w:hAnsi="宋体"/>
          <w:color w:val="auto"/>
          <w:kern w:val="0"/>
          <w:szCs w:val="21"/>
          <w:highlight w:val="none"/>
        </w:rPr>
      </w:pPr>
      <w:r>
        <w:rPr>
          <w:rFonts w:ascii="宋体" w:hAnsi="宋体"/>
          <w:color w:val="auto"/>
          <w:kern w:val="0"/>
          <w:szCs w:val="21"/>
          <w:highlight w:val="none"/>
        </w:rPr>
        <w:t>(5)承包人否认合同有效或拒绝履行合同规定的承包人义务，或由于法律、财务等原因导致承包人无法继续履行或实质上已停止履行合同的义务的；</w:t>
      </w:r>
    </w:p>
    <w:p>
      <w:pPr>
        <w:spacing w:line="400" w:lineRule="exact"/>
        <w:rPr>
          <w:rFonts w:ascii="宋体" w:hAnsi="宋体"/>
          <w:color w:val="auto"/>
          <w:kern w:val="0"/>
          <w:szCs w:val="21"/>
          <w:highlight w:val="none"/>
        </w:rPr>
      </w:pPr>
      <w:r>
        <w:rPr>
          <w:rFonts w:ascii="宋体" w:hAnsi="宋体"/>
          <w:color w:val="auto"/>
          <w:kern w:val="0"/>
          <w:szCs w:val="21"/>
          <w:highlight w:val="none"/>
        </w:rPr>
        <w:t>(6)合同签订之日起十五日内，承包人无法按合同规定及</w:t>
      </w:r>
      <w:r>
        <w:rPr>
          <w:rFonts w:hint="eastAsia" w:ascii="宋体" w:hAnsi="宋体"/>
          <w:color w:val="auto"/>
          <w:kern w:val="0"/>
          <w:szCs w:val="21"/>
          <w:highlight w:val="none"/>
        </w:rPr>
        <w:t>竞标</w:t>
      </w:r>
      <w:r>
        <w:rPr>
          <w:rFonts w:ascii="宋体" w:hAnsi="宋体"/>
          <w:color w:val="auto"/>
          <w:kern w:val="0"/>
          <w:szCs w:val="21"/>
          <w:highlight w:val="none"/>
        </w:rPr>
        <w:t>文件的承诺进场经监理工程师认可的全部人员和机械的。</w:t>
      </w:r>
    </w:p>
    <w:p>
      <w:pPr>
        <w:spacing w:line="400" w:lineRule="exact"/>
        <w:rPr>
          <w:rFonts w:ascii="宋体" w:hAnsi="宋体"/>
          <w:color w:val="auto"/>
          <w:kern w:val="0"/>
          <w:szCs w:val="21"/>
          <w:highlight w:val="none"/>
        </w:rPr>
      </w:pPr>
      <w:r>
        <w:rPr>
          <w:rFonts w:ascii="宋体" w:hAnsi="宋体"/>
          <w:color w:val="auto"/>
          <w:kern w:val="0"/>
          <w:szCs w:val="21"/>
          <w:highlight w:val="none"/>
        </w:rPr>
        <w:t>发包人继续使用承包人在施工现场的材料、设备、临时工程、承包人文件和由承包人或以其名义编制的其他文件的费用承担方式：</w:t>
      </w:r>
      <w:r>
        <w:rPr>
          <w:rFonts w:hint="eastAsia" w:ascii="宋体" w:hAnsi="宋体"/>
          <w:color w:val="auto"/>
          <w:kern w:val="0"/>
          <w:szCs w:val="21"/>
          <w:highlight w:val="none"/>
          <w:u w:val="single"/>
        </w:rPr>
        <w:t>双方协商</w:t>
      </w:r>
      <w:r>
        <w:rPr>
          <w:rFonts w:ascii="宋体" w:hAnsi="宋体"/>
          <w:color w:val="auto"/>
          <w:kern w:val="0"/>
          <w:szCs w:val="21"/>
          <w:highlight w:val="none"/>
        </w:rPr>
        <w:t>。</w:t>
      </w:r>
    </w:p>
    <w:p>
      <w:pPr>
        <w:spacing w:line="400" w:lineRule="exact"/>
        <w:rPr>
          <w:rFonts w:ascii="宋体" w:hAnsi="宋体"/>
          <w:b/>
          <w:color w:val="auto"/>
          <w:highlight w:val="none"/>
        </w:rPr>
      </w:pPr>
      <w:bookmarkStart w:id="916" w:name="_Toc389065334"/>
      <w:bookmarkStart w:id="917" w:name="_Toc395382572"/>
      <w:bookmarkStart w:id="918" w:name="_Toc373227769"/>
      <w:bookmarkStart w:id="919" w:name="_Toc373478416"/>
      <w:bookmarkStart w:id="920" w:name="_Toc351203649"/>
      <w:r>
        <w:rPr>
          <w:rFonts w:ascii="宋体" w:hAnsi="宋体"/>
          <w:b/>
          <w:color w:val="auto"/>
          <w:highlight w:val="none"/>
        </w:rPr>
        <w:t>17.不可抗力</w:t>
      </w:r>
      <w:bookmarkEnd w:id="916"/>
      <w:bookmarkEnd w:id="917"/>
      <w:bookmarkEnd w:id="918"/>
      <w:bookmarkEnd w:id="919"/>
      <w:bookmarkEnd w:id="920"/>
      <w:r>
        <w:rPr>
          <w:rFonts w:ascii="宋体" w:hAnsi="宋体"/>
          <w:b/>
          <w:color w:val="auto"/>
          <w:highlight w:val="none"/>
        </w:rPr>
        <w:t xml:space="preserve"> </w:t>
      </w:r>
      <w:bookmarkEnd w:id="906"/>
    </w:p>
    <w:p>
      <w:pPr>
        <w:spacing w:line="400" w:lineRule="exact"/>
        <w:rPr>
          <w:rFonts w:ascii="宋体" w:hAnsi="宋体"/>
          <w:b/>
          <w:color w:val="auto"/>
          <w:highlight w:val="none"/>
        </w:rPr>
      </w:pPr>
      <w:bookmarkStart w:id="921" w:name="_Toc395382573"/>
      <w:bookmarkStart w:id="922" w:name="_Toc373227770"/>
      <w:bookmarkStart w:id="923" w:name="_Toc373478417"/>
      <w:bookmarkStart w:id="924" w:name="_Toc389065335"/>
      <w:r>
        <w:rPr>
          <w:rFonts w:ascii="宋体" w:hAnsi="宋体"/>
          <w:b/>
          <w:color w:val="auto"/>
          <w:highlight w:val="none"/>
        </w:rPr>
        <w:t>17.1 不可抗力的确认</w:t>
      </w:r>
      <w:bookmarkEnd w:id="921"/>
      <w:bookmarkEnd w:id="922"/>
      <w:bookmarkEnd w:id="923"/>
      <w:bookmarkEnd w:id="924"/>
    </w:p>
    <w:p>
      <w:pPr>
        <w:spacing w:line="400" w:lineRule="exact"/>
        <w:jc w:val="left"/>
        <w:rPr>
          <w:rFonts w:ascii="宋体" w:hAnsi="宋体"/>
          <w:color w:val="auto"/>
          <w:kern w:val="0"/>
          <w:szCs w:val="21"/>
          <w:highlight w:val="none"/>
          <w:u w:val="single"/>
        </w:rPr>
      </w:pPr>
      <w:r>
        <w:rPr>
          <w:rFonts w:ascii="宋体" w:hAnsi="宋体"/>
          <w:color w:val="auto"/>
          <w:szCs w:val="21"/>
          <w:highlight w:val="none"/>
        </w:rPr>
        <w:t>除通用合同条款约定的不可抗力事件之外，视为不可抗力的其他情形：</w:t>
      </w:r>
      <w:r>
        <w:rPr>
          <w:rFonts w:hint="eastAsia" w:ascii="宋体" w:hAnsi="宋体"/>
          <w:color w:val="auto"/>
          <w:szCs w:val="21"/>
          <w:highlight w:val="none"/>
          <w:u w:val="single"/>
        </w:rPr>
        <w:t>包括战争、恐怖活动、动乱、瘟疫、空中飞行物体坠落或其他非发包人承包人责任造成的爆炸、火灾，以及地震、洪涝等自然灾害</w:t>
      </w:r>
      <w:r>
        <w:rPr>
          <w:rFonts w:ascii="宋体" w:hAnsi="宋体"/>
          <w:color w:val="auto"/>
          <w:kern w:val="0"/>
          <w:szCs w:val="21"/>
          <w:highlight w:val="none"/>
        </w:rPr>
        <w:t>。</w:t>
      </w:r>
    </w:p>
    <w:p>
      <w:pPr>
        <w:spacing w:line="400" w:lineRule="exact"/>
        <w:rPr>
          <w:rFonts w:ascii="宋体" w:hAnsi="宋体"/>
          <w:b/>
          <w:color w:val="auto"/>
          <w:highlight w:val="none"/>
        </w:rPr>
      </w:pPr>
      <w:bookmarkStart w:id="925" w:name="_Toc395382574"/>
      <w:bookmarkStart w:id="926" w:name="_Toc373478418"/>
      <w:bookmarkStart w:id="927" w:name="_Toc373227771"/>
      <w:bookmarkStart w:id="928" w:name="_Toc389065336"/>
      <w:r>
        <w:rPr>
          <w:rFonts w:ascii="宋体" w:hAnsi="宋体"/>
          <w:b/>
          <w:color w:val="auto"/>
          <w:highlight w:val="none"/>
        </w:rPr>
        <w:t>17.4 因不可抗力解除合同</w:t>
      </w:r>
      <w:bookmarkEnd w:id="925"/>
      <w:bookmarkEnd w:id="926"/>
      <w:bookmarkEnd w:id="927"/>
      <w:bookmarkEnd w:id="928"/>
    </w:p>
    <w:p>
      <w:pPr>
        <w:spacing w:line="400" w:lineRule="exact"/>
        <w:jc w:val="left"/>
        <w:rPr>
          <w:rFonts w:ascii="宋体" w:hAnsi="宋体"/>
          <w:color w:val="auto"/>
          <w:szCs w:val="21"/>
          <w:highlight w:val="none"/>
        </w:rPr>
      </w:pPr>
      <w:r>
        <w:rPr>
          <w:rFonts w:ascii="宋体" w:hAnsi="宋体"/>
          <w:color w:val="auto"/>
          <w:szCs w:val="21"/>
          <w:highlight w:val="none"/>
        </w:rPr>
        <w:t>合同解除后，发包人应在商定或确定发包人应支付款项后</w:t>
      </w:r>
      <w:r>
        <w:rPr>
          <w:rFonts w:hint="eastAsia" w:ascii="宋体" w:hAnsi="宋体"/>
          <w:color w:val="auto"/>
          <w:szCs w:val="21"/>
          <w:highlight w:val="none"/>
          <w:u w:val="single"/>
        </w:rPr>
        <w:t>90</w:t>
      </w:r>
      <w:r>
        <w:rPr>
          <w:rFonts w:ascii="宋体" w:hAnsi="宋体"/>
          <w:color w:val="auto"/>
          <w:szCs w:val="21"/>
          <w:highlight w:val="none"/>
        </w:rPr>
        <w:t>天内完成款项的支付。</w:t>
      </w:r>
    </w:p>
    <w:p>
      <w:pPr>
        <w:spacing w:line="400" w:lineRule="exact"/>
        <w:rPr>
          <w:rFonts w:ascii="宋体" w:hAnsi="宋体"/>
          <w:b/>
          <w:color w:val="auto"/>
          <w:highlight w:val="none"/>
        </w:rPr>
      </w:pPr>
      <w:bookmarkStart w:id="929" w:name="_Toc373227772"/>
      <w:bookmarkStart w:id="930" w:name="_Toc395382575"/>
      <w:bookmarkStart w:id="931" w:name="_Toc389065337"/>
      <w:bookmarkStart w:id="932" w:name="_Toc351203650"/>
      <w:bookmarkStart w:id="933" w:name="_Toc373478419"/>
      <w:r>
        <w:rPr>
          <w:rFonts w:ascii="宋体" w:hAnsi="宋体"/>
          <w:b/>
          <w:color w:val="auto"/>
          <w:highlight w:val="none"/>
        </w:rPr>
        <w:t>18.保险</w:t>
      </w:r>
      <w:bookmarkEnd w:id="929"/>
      <w:bookmarkEnd w:id="930"/>
      <w:bookmarkEnd w:id="931"/>
      <w:bookmarkEnd w:id="932"/>
      <w:bookmarkEnd w:id="933"/>
    </w:p>
    <w:bookmarkEnd w:id="907"/>
    <w:p>
      <w:pPr>
        <w:spacing w:line="400" w:lineRule="exact"/>
        <w:rPr>
          <w:rFonts w:ascii="宋体" w:hAnsi="宋体"/>
          <w:b/>
          <w:color w:val="auto"/>
          <w:highlight w:val="none"/>
        </w:rPr>
      </w:pPr>
      <w:bookmarkStart w:id="934" w:name="_Toc373227773"/>
      <w:bookmarkStart w:id="935" w:name="_Toc373478420"/>
      <w:bookmarkStart w:id="936" w:name="_Toc389065338"/>
      <w:bookmarkStart w:id="937" w:name="_Toc395382576"/>
      <w:r>
        <w:rPr>
          <w:rFonts w:ascii="宋体" w:hAnsi="宋体"/>
          <w:b/>
          <w:color w:val="auto"/>
          <w:highlight w:val="none"/>
        </w:rPr>
        <w:t>18.1 工程保险</w:t>
      </w:r>
      <w:bookmarkEnd w:id="934"/>
      <w:bookmarkEnd w:id="935"/>
      <w:bookmarkEnd w:id="936"/>
      <w:bookmarkEnd w:id="937"/>
    </w:p>
    <w:p>
      <w:pPr>
        <w:spacing w:line="400" w:lineRule="exact"/>
        <w:rPr>
          <w:rFonts w:ascii="宋体" w:hAnsi="宋体"/>
          <w:color w:val="auto"/>
          <w:kern w:val="0"/>
          <w:szCs w:val="21"/>
          <w:highlight w:val="none"/>
        </w:rPr>
      </w:pPr>
      <w:r>
        <w:rPr>
          <w:rFonts w:ascii="宋体" w:hAnsi="宋体"/>
          <w:color w:val="auto"/>
          <w:szCs w:val="21"/>
          <w:highlight w:val="none"/>
        </w:rPr>
        <w:t>关于工程保险的特别约定：</w:t>
      </w:r>
      <w:r>
        <w:rPr>
          <w:rFonts w:hint="eastAsia" w:ascii="宋体" w:hAnsi="宋体"/>
          <w:color w:val="auto"/>
          <w:szCs w:val="21"/>
          <w:highlight w:val="none"/>
          <w:u w:val="single"/>
        </w:rPr>
        <w:t>建设工程</w:t>
      </w:r>
      <w:r>
        <w:rPr>
          <w:rFonts w:hint="eastAsia" w:ascii="宋体" w:hAnsi="宋体"/>
          <w:bCs/>
          <w:color w:val="auto"/>
          <w:szCs w:val="21"/>
          <w:highlight w:val="none"/>
          <w:u w:val="single"/>
        </w:rPr>
        <w:t>一切险、安全生产责任险和第三方责任险</w:t>
      </w:r>
      <w:r>
        <w:rPr>
          <w:rFonts w:ascii="宋体" w:hAnsi="宋体"/>
          <w:color w:val="auto"/>
          <w:kern w:val="0"/>
          <w:szCs w:val="21"/>
          <w:highlight w:val="none"/>
        </w:rPr>
        <w:t>。</w:t>
      </w:r>
    </w:p>
    <w:p>
      <w:pPr>
        <w:spacing w:line="400" w:lineRule="exact"/>
        <w:rPr>
          <w:rFonts w:ascii="宋体" w:hAnsi="宋体"/>
          <w:color w:val="auto"/>
          <w:szCs w:val="21"/>
          <w:highlight w:val="none"/>
        </w:rPr>
      </w:pPr>
      <w:r>
        <w:rPr>
          <w:rFonts w:hint="eastAsia" w:ascii="宋体" w:hAnsi="宋体"/>
          <w:color w:val="auto"/>
          <w:szCs w:val="21"/>
          <w:highlight w:val="none"/>
        </w:rPr>
        <w:t>18.1.1投保</w:t>
      </w:r>
    </w:p>
    <w:p>
      <w:pPr>
        <w:spacing w:line="400" w:lineRule="exact"/>
        <w:rPr>
          <w:rFonts w:ascii="宋体" w:hAnsi="宋体"/>
          <w:color w:val="auto"/>
          <w:szCs w:val="21"/>
          <w:highlight w:val="none"/>
        </w:rPr>
      </w:pPr>
      <w:r>
        <w:rPr>
          <w:rFonts w:hint="eastAsia" w:ascii="宋体" w:hAnsi="宋体"/>
          <w:color w:val="auto"/>
          <w:szCs w:val="21"/>
          <w:highlight w:val="none"/>
        </w:rPr>
        <w:t>（1）投保人：</w:t>
      </w:r>
      <w:r>
        <w:rPr>
          <w:rFonts w:hint="eastAsia" w:ascii="宋体" w:hAnsi="宋体"/>
          <w:color w:val="auto"/>
          <w:szCs w:val="21"/>
          <w:highlight w:val="none"/>
          <w:u w:val="single"/>
        </w:rPr>
        <w:t>承包人</w:t>
      </w:r>
      <w:r>
        <w:rPr>
          <w:rFonts w:hint="eastAsia" w:ascii="宋体" w:hAnsi="宋体"/>
          <w:color w:val="auto"/>
          <w:szCs w:val="21"/>
          <w:highlight w:val="none"/>
        </w:rPr>
        <w:t>。</w:t>
      </w:r>
    </w:p>
    <w:p>
      <w:pPr>
        <w:spacing w:line="400" w:lineRule="exact"/>
        <w:rPr>
          <w:rFonts w:ascii="宋体" w:hAnsi="宋体"/>
          <w:bCs/>
          <w:color w:val="auto"/>
          <w:szCs w:val="21"/>
          <w:highlight w:val="none"/>
        </w:rPr>
      </w:pPr>
      <w:r>
        <w:rPr>
          <w:rFonts w:hint="eastAsia" w:ascii="宋体" w:hAnsi="宋体"/>
          <w:color w:val="auto"/>
          <w:szCs w:val="21"/>
          <w:highlight w:val="none"/>
        </w:rPr>
        <w:t>（2）投保内容：</w:t>
      </w:r>
      <w:r>
        <w:rPr>
          <w:rFonts w:hint="eastAsia" w:ascii="宋体" w:hAnsi="宋体"/>
          <w:bCs/>
          <w:color w:val="auto"/>
          <w:szCs w:val="21"/>
          <w:highlight w:val="none"/>
          <w:u w:val="single"/>
        </w:rPr>
        <w:t>承包人必须为从事危险作业的职工办理意外伤害保险，并为施工场地内承包人的自有人员生命财产及施工机械设备办理保险，支付保险费用。</w:t>
      </w:r>
      <w:r>
        <w:rPr>
          <w:rFonts w:ascii="宋体" w:hAnsi="宋体"/>
          <w:bCs/>
          <w:color w:val="auto"/>
          <w:szCs w:val="21"/>
          <w:highlight w:val="none"/>
          <w:u w:val="single"/>
        </w:rPr>
        <w:t>保险</w:t>
      </w:r>
      <w:r>
        <w:rPr>
          <w:rFonts w:hint="eastAsia" w:ascii="宋体" w:hAnsi="宋体"/>
          <w:bCs/>
          <w:color w:val="auto"/>
          <w:szCs w:val="21"/>
          <w:highlight w:val="none"/>
          <w:u w:val="single"/>
        </w:rPr>
        <w:t>合同约定的保险责任范围应当包括</w:t>
      </w:r>
      <w:r>
        <w:rPr>
          <w:rFonts w:ascii="宋体" w:hAnsi="宋体"/>
          <w:bCs/>
          <w:color w:val="auto"/>
          <w:szCs w:val="21"/>
          <w:highlight w:val="none"/>
          <w:u w:val="single"/>
        </w:rPr>
        <w:t>工地范围内</w:t>
      </w:r>
      <w:r>
        <w:rPr>
          <w:rFonts w:hint="eastAsia" w:ascii="宋体" w:hAnsi="宋体"/>
          <w:bCs/>
          <w:color w:val="auto"/>
          <w:szCs w:val="21"/>
          <w:highlight w:val="none"/>
          <w:u w:val="single"/>
        </w:rPr>
        <w:t>的全部财产的</w:t>
      </w:r>
      <w:r>
        <w:rPr>
          <w:rFonts w:ascii="宋体" w:hAnsi="宋体"/>
          <w:bCs/>
          <w:color w:val="auto"/>
          <w:szCs w:val="21"/>
          <w:highlight w:val="none"/>
          <w:u w:val="single"/>
        </w:rPr>
        <w:t>物质损坏或灭失</w:t>
      </w:r>
      <w:r>
        <w:rPr>
          <w:rFonts w:hint="eastAsia" w:ascii="宋体" w:hAnsi="宋体"/>
          <w:bCs/>
          <w:color w:val="auto"/>
          <w:szCs w:val="21"/>
          <w:highlight w:val="none"/>
          <w:u w:val="single"/>
        </w:rPr>
        <w:t>以及所产生的费用、</w:t>
      </w:r>
      <w:r>
        <w:rPr>
          <w:rFonts w:ascii="宋体" w:hAnsi="宋体"/>
          <w:bCs/>
          <w:color w:val="auto"/>
          <w:szCs w:val="21"/>
          <w:highlight w:val="none"/>
          <w:u w:val="single"/>
        </w:rPr>
        <w:t>因发生与所承保工程直接相关的意外事故引起工地内及邻近区域的第三者</w:t>
      </w:r>
      <w:r>
        <w:rPr>
          <w:rFonts w:hint="eastAsia" w:ascii="宋体" w:hAnsi="宋体"/>
          <w:bCs/>
          <w:color w:val="auto"/>
          <w:szCs w:val="21"/>
          <w:highlight w:val="none"/>
          <w:u w:val="single"/>
        </w:rPr>
        <w:t>（包括发包人的人员）</w:t>
      </w:r>
      <w:r>
        <w:rPr>
          <w:rFonts w:ascii="宋体" w:hAnsi="宋体"/>
          <w:bCs/>
          <w:color w:val="auto"/>
          <w:szCs w:val="21"/>
          <w:highlight w:val="none"/>
          <w:u w:val="single"/>
        </w:rPr>
        <w:t>人身伤亡、财产损失</w:t>
      </w:r>
      <w:r>
        <w:rPr>
          <w:rFonts w:hint="eastAsia" w:ascii="宋体" w:hAnsi="宋体"/>
          <w:bCs/>
          <w:color w:val="auto"/>
          <w:szCs w:val="21"/>
          <w:highlight w:val="none"/>
          <w:u w:val="single"/>
        </w:rPr>
        <w:t>以及所产生的费用、承包人施工人员</w:t>
      </w:r>
      <w:r>
        <w:rPr>
          <w:rFonts w:ascii="宋体" w:hAnsi="宋体"/>
          <w:bCs/>
          <w:color w:val="auto"/>
          <w:szCs w:val="21"/>
          <w:highlight w:val="none"/>
          <w:u w:val="single"/>
        </w:rPr>
        <w:t>因发生与所承保工程直接相关的意外事故引起</w:t>
      </w:r>
      <w:r>
        <w:rPr>
          <w:rFonts w:hint="eastAsia" w:ascii="宋体" w:hAnsi="宋体"/>
          <w:bCs/>
          <w:color w:val="auto"/>
          <w:szCs w:val="21"/>
          <w:highlight w:val="none"/>
          <w:u w:val="single"/>
        </w:rPr>
        <w:t>的</w:t>
      </w:r>
      <w:r>
        <w:rPr>
          <w:rFonts w:ascii="宋体" w:hAnsi="宋体"/>
          <w:bCs/>
          <w:color w:val="auto"/>
          <w:szCs w:val="21"/>
          <w:highlight w:val="none"/>
          <w:u w:val="single"/>
        </w:rPr>
        <w:t>人身伤亡、疾病或财产损失</w:t>
      </w:r>
      <w:r>
        <w:rPr>
          <w:rFonts w:hint="eastAsia" w:ascii="宋体" w:hAnsi="宋体"/>
          <w:bCs/>
          <w:color w:val="auto"/>
          <w:szCs w:val="21"/>
          <w:highlight w:val="none"/>
          <w:u w:val="single"/>
        </w:rPr>
        <w:t>以及所产生的费用。无论是否获得保险机构的赔偿，凡施工中发生的一切安全事故，均由承包人负责所发生事故的依法应该支付的损失赔偿费、抚恤费和承担法律责任，发包人不承担该等责任</w:t>
      </w:r>
      <w:r>
        <w:rPr>
          <w:rFonts w:hint="eastAsia" w:ascii="宋体" w:hAnsi="宋体"/>
          <w:bCs/>
          <w:color w:val="auto"/>
          <w:szCs w:val="21"/>
          <w:highlight w:val="none"/>
        </w:rPr>
        <w:t>。</w:t>
      </w:r>
    </w:p>
    <w:p>
      <w:pPr>
        <w:spacing w:line="400" w:lineRule="exact"/>
        <w:rPr>
          <w:rFonts w:ascii="宋体" w:hAnsi="宋体"/>
          <w:color w:val="auto"/>
          <w:szCs w:val="21"/>
          <w:highlight w:val="none"/>
        </w:rPr>
      </w:pPr>
      <w:r>
        <w:rPr>
          <w:rFonts w:hint="eastAsia" w:ascii="宋体" w:hAnsi="宋体"/>
          <w:color w:val="auto"/>
          <w:szCs w:val="21"/>
          <w:highlight w:val="none"/>
        </w:rPr>
        <w:t>（3）保险费率：</w:t>
      </w:r>
      <w:r>
        <w:rPr>
          <w:rFonts w:hint="eastAsia" w:ascii="宋体" w:hAnsi="宋体"/>
          <w:color w:val="auto"/>
          <w:szCs w:val="21"/>
          <w:highlight w:val="none"/>
          <w:u w:val="single"/>
        </w:rPr>
        <w:t>由投保人与合同双方同意的保险人商定</w:t>
      </w:r>
      <w:r>
        <w:rPr>
          <w:rFonts w:hint="eastAsia" w:ascii="宋体" w:hAnsi="宋体"/>
          <w:bCs/>
          <w:color w:val="auto"/>
          <w:szCs w:val="21"/>
          <w:highlight w:val="none"/>
        </w:rPr>
        <w:t>。</w:t>
      </w:r>
    </w:p>
    <w:p>
      <w:pPr>
        <w:spacing w:line="400" w:lineRule="exact"/>
        <w:rPr>
          <w:rFonts w:ascii="宋体" w:hAnsi="宋体"/>
          <w:color w:val="auto"/>
          <w:szCs w:val="21"/>
          <w:highlight w:val="none"/>
        </w:rPr>
      </w:pPr>
      <w:r>
        <w:rPr>
          <w:rFonts w:hint="eastAsia" w:ascii="宋体" w:hAnsi="宋体"/>
          <w:color w:val="auto"/>
          <w:szCs w:val="21"/>
          <w:highlight w:val="none"/>
        </w:rPr>
        <w:t>（4）保险金额：</w:t>
      </w:r>
      <w:r>
        <w:rPr>
          <w:rFonts w:hint="eastAsia" w:ascii="宋体" w:hAnsi="宋体"/>
          <w:color w:val="auto"/>
          <w:szCs w:val="21"/>
          <w:highlight w:val="none"/>
          <w:u w:val="single"/>
        </w:rPr>
        <w:t>由投保人与合同双方同意的保险人商定</w:t>
      </w:r>
      <w:r>
        <w:rPr>
          <w:rFonts w:hint="eastAsia" w:ascii="宋体" w:hAnsi="宋体"/>
          <w:bCs/>
          <w:color w:val="auto"/>
          <w:szCs w:val="21"/>
          <w:highlight w:val="none"/>
        </w:rPr>
        <w:t>。</w:t>
      </w:r>
    </w:p>
    <w:p>
      <w:pPr>
        <w:spacing w:line="400" w:lineRule="exact"/>
        <w:rPr>
          <w:rFonts w:ascii="宋体" w:hAnsi="宋体"/>
          <w:bCs/>
          <w:color w:val="auto"/>
          <w:szCs w:val="21"/>
          <w:highlight w:val="none"/>
        </w:rPr>
      </w:pPr>
      <w:r>
        <w:rPr>
          <w:rFonts w:hint="eastAsia" w:ascii="宋体" w:hAnsi="宋体"/>
          <w:color w:val="auto"/>
          <w:szCs w:val="21"/>
          <w:highlight w:val="none"/>
        </w:rPr>
        <w:t>（5）保险期限：</w:t>
      </w:r>
      <w:r>
        <w:rPr>
          <w:rFonts w:hint="eastAsia" w:ascii="宋体" w:hAnsi="宋体"/>
          <w:bCs/>
          <w:color w:val="auto"/>
          <w:szCs w:val="21"/>
          <w:highlight w:val="none"/>
          <w:u w:val="single"/>
        </w:rPr>
        <w:t>保险种类包括</w:t>
      </w:r>
      <w:r>
        <w:rPr>
          <w:rFonts w:hint="eastAsia" w:ascii="宋体" w:hAnsi="宋体"/>
          <w:color w:val="auto"/>
          <w:szCs w:val="21"/>
          <w:highlight w:val="none"/>
          <w:u w:val="single"/>
        </w:rPr>
        <w:t>建设工程</w:t>
      </w:r>
      <w:r>
        <w:rPr>
          <w:rFonts w:hint="eastAsia" w:ascii="宋体" w:hAnsi="宋体"/>
          <w:bCs/>
          <w:color w:val="auto"/>
          <w:szCs w:val="21"/>
          <w:highlight w:val="none"/>
          <w:u w:val="single"/>
        </w:rPr>
        <w:t>一切险、安全生产责任险和第三方责任险，保险期从工程开工之日起到工程竣工验收之日，如若项目延期，竞标单位必须无条件办理延期手续并承担一切费用, 如故意或疏忽而没有投保、少投保或漏投保，造成的后果由承包人负全部责任</w:t>
      </w:r>
      <w:r>
        <w:rPr>
          <w:rFonts w:hint="eastAsia" w:ascii="宋体" w:hAnsi="宋体"/>
          <w:bCs/>
          <w:color w:val="auto"/>
          <w:szCs w:val="21"/>
          <w:highlight w:val="none"/>
        </w:rPr>
        <w:t>。</w:t>
      </w:r>
    </w:p>
    <w:p>
      <w:pPr>
        <w:spacing w:line="400" w:lineRule="exact"/>
        <w:rPr>
          <w:rFonts w:ascii="宋体" w:hAnsi="宋体"/>
          <w:bCs/>
          <w:color w:val="auto"/>
          <w:szCs w:val="21"/>
          <w:highlight w:val="none"/>
          <w:u w:val="single"/>
        </w:rPr>
      </w:pPr>
      <w:r>
        <w:rPr>
          <w:rFonts w:hint="eastAsia" w:ascii="宋体" w:hAnsi="宋体"/>
          <w:color w:val="auto"/>
          <w:szCs w:val="21"/>
          <w:highlight w:val="none"/>
        </w:rPr>
        <w:t>18.1.2</w:t>
      </w:r>
      <w:r>
        <w:rPr>
          <w:rFonts w:hint="eastAsia" w:ascii="宋体" w:hAnsi="宋体"/>
          <w:bCs/>
          <w:color w:val="auto"/>
          <w:szCs w:val="21"/>
          <w:highlight w:val="none"/>
          <w:u w:val="single"/>
        </w:rPr>
        <w:t>安全生产责任险</w:t>
      </w:r>
    </w:p>
    <w:p>
      <w:pPr>
        <w:spacing w:line="400" w:lineRule="exact"/>
        <w:rPr>
          <w:rFonts w:ascii="宋体" w:hAnsi="宋体"/>
          <w:bCs/>
          <w:color w:val="auto"/>
          <w:szCs w:val="21"/>
          <w:highlight w:val="none"/>
          <w:u w:val="single"/>
        </w:rPr>
      </w:pPr>
      <w:r>
        <w:rPr>
          <w:rFonts w:hint="eastAsia" w:ascii="宋体" w:hAnsi="宋体"/>
          <w:color w:val="auto"/>
          <w:szCs w:val="21"/>
          <w:highlight w:val="none"/>
        </w:rPr>
        <w:t>保险金额：</w:t>
      </w:r>
      <w:r>
        <w:rPr>
          <w:rFonts w:hint="eastAsia" w:ascii="宋体" w:hAnsi="宋体"/>
          <w:bCs/>
          <w:color w:val="auto"/>
          <w:szCs w:val="21"/>
          <w:highlight w:val="none"/>
          <w:u w:val="single"/>
        </w:rPr>
        <w:t>承包人必须为</w:t>
      </w:r>
      <w:r>
        <w:rPr>
          <w:rFonts w:ascii="宋体" w:hAnsi="宋体"/>
          <w:bCs/>
          <w:color w:val="auto"/>
          <w:szCs w:val="21"/>
          <w:highlight w:val="none"/>
          <w:u w:val="single"/>
        </w:rPr>
        <w:t>生产经营单位发生的建筑生产安全事故所造成的人员伤亡和财产损失等</w:t>
      </w:r>
      <w:r>
        <w:rPr>
          <w:rFonts w:hint="eastAsia" w:ascii="宋体" w:hAnsi="宋体"/>
          <w:bCs/>
          <w:color w:val="auto"/>
          <w:szCs w:val="21"/>
          <w:highlight w:val="none"/>
          <w:u w:val="single"/>
        </w:rPr>
        <w:t>办理安全生产责任险</w:t>
      </w:r>
      <w:r>
        <w:rPr>
          <w:rFonts w:ascii="宋体" w:hAnsi="宋体"/>
          <w:bCs/>
          <w:color w:val="auto"/>
          <w:szCs w:val="21"/>
          <w:highlight w:val="none"/>
          <w:u w:val="single"/>
        </w:rPr>
        <w:t>，</w:t>
      </w:r>
      <w:r>
        <w:rPr>
          <w:rFonts w:hint="eastAsia" w:ascii="宋体" w:hAnsi="宋体"/>
          <w:bCs/>
          <w:color w:val="auto"/>
          <w:szCs w:val="21"/>
          <w:highlight w:val="none"/>
          <w:u w:val="single"/>
        </w:rPr>
        <w:t>并为施工场地内</w:t>
      </w:r>
      <w:r>
        <w:rPr>
          <w:rFonts w:ascii="宋体" w:hAnsi="宋体"/>
          <w:bCs/>
          <w:color w:val="auto"/>
          <w:szCs w:val="21"/>
          <w:highlight w:val="none"/>
          <w:u w:val="single"/>
        </w:rPr>
        <w:t>的建筑生产安全事故所造成的人员伤亡和财产损失</w:t>
      </w:r>
      <w:r>
        <w:rPr>
          <w:rFonts w:hint="eastAsia" w:ascii="宋体" w:hAnsi="宋体"/>
          <w:bCs/>
          <w:color w:val="auto"/>
          <w:szCs w:val="21"/>
          <w:highlight w:val="none"/>
          <w:u w:val="single"/>
        </w:rPr>
        <w:t>支付保险费用。</w:t>
      </w:r>
      <w:r>
        <w:rPr>
          <w:rFonts w:ascii="宋体" w:hAnsi="宋体"/>
          <w:bCs/>
          <w:color w:val="auto"/>
          <w:szCs w:val="21"/>
          <w:highlight w:val="none"/>
          <w:u w:val="single"/>
        </w:rPr>
        <w:t>可以向保险公司申请理赔，进行损失补偿。此外，建筑安全责任保险还可以为投保的生产经营单位提供事故预防服务。赔偿范围一般包括人身伤害累计赔偿，医疗费用累计赔偿，第三者责任累计赔偿，附加施救以及事故善后处理费用累计赔偿等</w:t>
      </w:r>
      <w:r>
        <w:rPr>
          <w:rFonts w:hint="eastAsia" w:ascii="宋体" w:hAnsi="宋体"/>
          <w:bCs/>
          <w:color w:val="auto"/>
          <w:szCs w:val="21"/>
          <w:highlight w:val="none"/>
          <w:u w:val="single"/>
        </w:rPr>
        <w:t>。无论是否获得保险机构的赔偿，凡施工中发生的安全生产责任险事故，均由承包人负责所发生事故的依法应该支付的损失赔偿费、抚恤费和承担法律责任。</w:t>
      </w:r>
    </w:p>
    <w:p>
      <w:pPr>
        <w:spacing w:line="400" w:lineRule="exact"/>
        <w:rPr>
          <w:rFonts w:ascii="宋体" w:hAnsi="宋体"/>
          <w:color w:val="auto"/>
          <w:szCs w:val="21"/>
          <w:highlight w:val="none"/>
        </w:rPr>
      </w:pPr>
      <w:bookmarkStart w:id="938" w:name="_Toc360462320"/>
      <w:r>
        <w:rPr>
          <w:rFonts w:hint="eastAsia" w:ascii="宋体" w:hAnsi="宋体"/>
          <w:color w:val="auto"/>
          <w:szCs w:val="21"/>
          <w:highlight w:val="none"/>
        </w:rPr>
        <w:t>18.1.3第三者责任险</w:t>
      </w:r>
      <w:bookmarkEnd w:id="938"/>
    </w:p>
    <w:p>
      <w:pPr>
        <w:spacing w:line="400" w:lineRule="exact"/>
        <w:rPr>
          <w:rFonts w:ascii="宋体" w:hAnsi="宋体"/>
          <w:bCs/>
          <w:color w:val="auto"/>
          <w:szCs w:val="21"/>
          <w:highlight w:val="none"/>
          <w:u w:val="single"/>
        </w:rPr>
      </w:pPr>
      <w:r>
        <w:rPr>
          <w:rFonts w:hint="eastAsia" w:ascii="宋体" w:hAnsi="宋体"/>
          <w:color w:val="auto"/>
          <w:szCs w:val="21"/>
          <w:highlight w:val="none"/>
        </w:rPr>
        <w:t>保险金额：</w:t>
      </w:r>
      <w:r>
        <w:rPr>
          <w:rFonts w:hint="eastAsia" w:ascii="宋体" w:hAnsi="宋体"/>
          <w:bCs/>
          <w:color w:val="auto"/>
          <w:szCs w:val="21"/>
          <w:highlight w:val="none"/>
          <w:u w:val="single"/>
        </w:rPr>
        <w:t>承包人必须为从事危险作业的职工办理意外伤害保险，并为施工场地内承包人的自有人员生命财产，支付保险费用。</w:t>
      </w:r>
      <w:r>
        <w:rPr>
          <w:rFonts w:ascii="宋体" w:hAnsi="宋体"/>
          <w:bCs/>
          <w:color w:val="auto"/>
          <w:szCs w:val="21"/>
          <w:highlight w:val="none"/>
          <w:u w:val="single"/>
        </w:rPr>
        <w:t>保险</w:t>
      </w:r>
      <w:r>
        <w:rPr>
          <w:rFonts w:hint="eastAsia" w:ascii="宋体" w:hAnsi="宋体"/>
          <w:bCs/>
          <w:color w:val="auto"/>
          <w:szCs w:val="21"/>
          <w:highlight w:val="none"/>
          <w:u w:val="single"/>
        </w:rPr>
        <w:t>合同约定的保险责任范围应当包括</w:t>
      </w:r>
      <w:r>
        <w:rPr>
          <w:rFonts w:ascii="宋体" w:hAnsi="宋体"/>
          <w:bCs/>
          <w:color w:val="auto"/>
          <w:szCs w:val="21"/>
          <w:highlight w:val="none"/>
          <w:u w:val="single"/>
        </w:rPr>
        <w:t>因发生与所承保工程直接相关的意外事故引起工地内及邻近区域</w:t>
      </w:r>
      <w:r>
        <w:rPr>
          <w:rFonts w:hint="eastAsia" w:ascii="宋体" w:hAnsi="宋体"/>
          <w:bCs/>
          <w:color w:val="auto"/>
          <w:szCs w:val="21"/>
          <w:highlight w:val="none"/>
          <w:u w:val="single"/>
        </w:rPr>
        <w:t>的</w:t>
      </w:r>
      <w:r>
        <w:rPr>
          <w:rFonts w:ascii="宋体" w:hAnsi="宋体"/>
          <w:bCs/>
          <w:color w:val="auto"/>
          <w:szCs w:val="21"/>
          <w:highlight w:val="none"/>
          <w:u w:val="single"/>
        </w:rPr>
        <w:t>第三者</w:t>
      </w:r>
      <w:r>
        <w:rPr>
          <w:rFonts w:hint="eastAsia" w:ascii="宋体" w:hAnsi="宋体"/>
          <w:bCs/>
          <w:color w:val="auto"/>
          <w:szCs w:val="21"/>
          <w:highlight w:val="none"/>
          <w:u w:val="single"/>
        </w:rPr>
        <w:t>（包括发包人的人员）</w:t>
      </w:r>
      <w:r>
        <w:rPr>
          <w:rFonts w:ascii="宋体" w:hAnsi="宋体"/>
          <w:bCs/>
          <w:color w:val="auto"/>
          <w:szCs w:val="21"/>
          <w:highlight w:val="none"/>
          <w:u w:val="single"/>
        </w:rPr>
        <w:t>人身伤亡、财产损失</w:t>
      </w:r>
      <w:r>
        <w:rPr>
          <w:rFonts w:hint="eastAsia" w:ascii="宋体" w:hAnsi="宋体"/>
          <w:bCs/>
          <w:color w:val="auto"/>
          <w:szCs w:val="21"/>
          <w:highlight w:val="none"/>
          <w:u w:val="single"/>
        </w:rPr>
        <w:t>以及所产生的费用、承包人施工人员</w:t>
      </w:r>
      <w:r>
        <w:rPr>
          <w:rFonts w:ascii="宋体" w:hAnsi="宋体"/>
          <w:bCs/>
          <w:color w:val="auto"/>
          <w:szCs w:val="21"/>
          <w:highlight w:val="none"/>
          <w:u w:val="single"/>
        </w:rPr>
        <w:t>因发生与所承保工程直接相关的意外事故引起</w:t>
      </w:r>
      <w:r>
        <w:rPr>
          <w:rFonts w:hint="eastAsia" w:ascii="宋体" w:hAnsi="宋体"/>
          <w:bCs/>
          <w:color w:val="auto"/>
          <w:szCs w:val="21"/>
          <w:highlight w:val="none"/>
          <w:u w:val="single"/>
        </w:rPr>
        <w:t>的</w:t>
      </w:r>
      <w:r>
        <w:rPr>
          <w:rFonts w:ascii="宋体" w:hAnsi="宋体"/>
          <w:bCs/>
          <w:color w:val="auto"/>
          <w:szCs w:val="21"/>
          <w:highlight w:val="none"/>
          <w:u w:val="single"/>
        </w:rPr>
        <w:t>人身伤亡、疾病或财产损失</w:t>
      </w:r>
      <w:r>
        <w:rPr>
          <w:rFonts w:hint="eastAsia" w:ascii="宋体" w:hAnsi="宋体"/>
          <w:bCs/>
          <w:color w:val="auto"/>
          <w:szCs w:val="21"/>
          <w:highlight w:val="none"/>
          <w:u w:val="single"/>
        </w:rPr>
        <w:t>以及所产生的费用。无论是否获得保险机构的赔偿，凡施工中发生的一切安全事故，均由承包人负责所发生事故的依法应该支付的损失赔偿费、抚恤费和承担法律责任，发包人不承担该等责任。</w:t>
      </w:r>
      <w:r>
        <w:rPr>
          <w:rFonts w:hint="eastAsia" w:ascii="宋体" w:hAnsi="宋体"/>
          <w:color w:val="auto"/>
          <w:szCs w:val="21"/>
          <w:highlight w:val="none"/>
          <w:u w:val="single"/>
        </w:rPr>
        <w:t>保险费率由承包人与发包人同意的保险人商定，相关保险费由承包人承担</w:t>
      </w:r>
      <w:r>
        <w:rPr>
          <w:rFonts w:hint="eastAsia" w:ascii="宋体" w:hAnsi="宋体"/>
          <w:bCs/>
          <w:color w:val="auto"/>
          <w:szCs w:val="21"/>
          <w:highlight w:val="none"/>
        </w:rPr>
        <w:t>。</w:t>
      </w:r>
    </w:p>
    <w:p>
      <w:pPr>
        <w:spacing w:line="400" w:lineRule="exact"/>
        <w:rPr>
          <w:rFonts w:ascii="宋体" w:hAnsi="宋体"/>
          <w:b/>
          <w:color w:val="auto"/>
          <w:highlight w:val="none"/>
        </w:rPr>
      </w:pPr>
      <w:bookmarkStart w:id="939" w:name="_Toc395382577"/>
      <w:bookmarkStart w:id="940" w:name="_Toc373478421"/>
      <w:bookmarkStart w:id="941" w:name="_Toc373227774"/>
      <w:bookmarkStart w:id="942" w:name="_Toc389065339"/>
      <w:r>
        <w:rPr>
          <w:rFonts w:ascii="宋体" w:hAnsi="宋体"/>
          <w:b/>
          <w:color w:val="auto"/>
          <w:highlight w:val="none"/>
        </w:rPr>
        <w:t>18.3 其他保险</w:t>
      </w:r>
      <w:bookmarkEnd w:id="939"/>
      <w:bookmarkEnd w:id="940"/>
      <w:bookmarkEnd w:id="941"/>
      <w:bookmarkEnd w:id="942"/>
    </w:p>
    <w:p>
      <w:pPr>
        <w:spacing w:line="400" w:lineRule="exact"/>
        <w:jc w:val="left"/>
        <w:rPr>
          <w:rFonts w:ascii="宋体" w:hAnsi="宋体"/>
          <w:color w:val="auto"/>
          <w:kern w:val="0"/>
          <w:szCs w:val="21"/>
          <w:highlight w:val="none"/>
        </w:rPr>
      </w:pPr>
      <w:r>
        <w:rPr>
          <w:rFonts w:ascii="宋体" w:hAnsi="宋体"/>
          <w:color w:val="auto"/>
          <w:szCs w:val="21"/>
          <w:highlight w:val="none"/>
        </w:rPr>
        <w:t>关于其他保险的约定：</w:t>
      </w:r>
      <w:r>
        <w:rPr>
          <w:rFonts w:hint="eastAsia" w:ascii="宋体" w:hAnsi="宋体"/>
          <w:color w:val="auto"/>
          <w:szCs w:val="21"/>
          <w:highlight w:val="none"/>
          <w:u w:val="single"/>
        </w:rPr>
        <w:t>按工程所在地建设行政主管部门有关规定</w:t>
      </w:r>
      <w:r>
        <w:rPr>
          <w:rFonts w:hint="eastAsia" w:ascii="宋体" w:hAnsi="宋体"/>
          <w:bCs/>
          <w:color w:val="auto"/>
          <w:szCs w:val="21"/>
          <w:highlight w:val="none"/>
        </w:rPr>
        <w:t>。</w:t>
      </w:r>
    </w:p>
    <w:p>
      <w:pPr>
        <w:spacing w:line="400" w:lineRule="exact"/>
        <w:rPr>
          <w:rFonts w:ascii="宋体" w:hAnsi="宋体"/>
          <w:color w:val="auto"/>
          <w:szCs w:val="21"/>
          <w:highlight w:val="none"/>
          <w:u w:val="single"/>
        </w:rPr>
      </w:pPr>
      <w:r>
        <w:rPr>
          <w:rFonts w:ascii="宋体" w:hAnsi="宋体"/>
          <w:color w:val="auto"/>
          <w:szCs w:val="21"/>
          <w:highlight w:val="none"/>
        </w:rPr>
        <w:t>承包人是否应为其施工设备等办理财产保险：</w:t>
      </w:r>
      <w:r>
        <w:rPr>
          <w:rFonts w:hint="eastAsia" w:ascii="宋体" w:hAnsi="宋体"/>
          <w:color w:val="auto"/>
          <w:szCs w:val="21"/>
          <w:highlight w:val="none"/>
        </w:rPr>
        <w:t xml:space="preserve"> </w:t>
      </w:r>
      <w:r>
        <w:rPr>
          <w:rFonts w:hint="eastAsia" w:ascii="宋体" w:hAnsi="宋体"/>
          <w:bCs/>
          <w:color w:val="auto"/>
          <w:szCs w:val="21"/>
          <w:highlight w:val="none"/>
          <w:u w:val="single"/>
        </w:rPr>
        <w:t>承包人必须为</w:t>
      </w:r>
      <w:r>
        <w:rPr>
          <w:rFonts w:hint="eastAsia" w:ascii="宋体" w:hAnsi="宋体"/>
          <w:color w:val="auto"/>
          <w:szCs w:val="21"/>
          <w:highlight w:val="none"/>
          <w:u w:val="single"/>
        </w:rPr>
        <w:t>其施工设备、进场材料和工程设备等办理的保险</w:t>
      </w:r>
      <w:r>
        <w:rPr>
          <w:rFonts w:hint="eastAsia" w:ascii="宋体" w:hAnsi="宋体"/>
          <w:bCs/>
          <w:color w:val="auto"/>
          <w:szCs w:val="21"/>
          <w:highlight w:val="none"/>
          <w:u w:val="single"/>
        </w:rPr>
        <w:t>，支付保险费用</w:t>
      </w:r>
      <w:r>
        <w:rPr>
          <w:rFonts w:hint="eastAsia" w:ascii="宋体" w:hAnsi="宋体"/>
          <w:color w:val="auto"/>
          <w:szCs w:val="21"/>
          <w:highlight w:val="none"/>
          <w:u w:val="single"/>
        </w:rPr>
        <w:t>。</w:t>
      </w:r>
      <w:r>
        <w:rPr>
          <w:rFonts w:ascii="宋体" w:hAnsi="宋体"/>
          <w:bCs/>
          <w:color w:val="auto"/>
          <w:szCs w:val="21"/>
          <w:highlight w:val="none"/>
          <w:u w:val="single"/>
        </w:rPr>
        <w:t>保险</w:t>
      </w:r>
      <w:r>
        <w:rPr>
          <w:rFonts w:hint="eastAsia" w:ascii="宋体" w:hAnsi="宋体"/>
          <w:bCs/>
          <w:color w:val="auto"/>
          <w:szCs w:val="21"/>
          <w:highlight w:val="none"/>
          <w:u w:val="single"/>
        </w:rPr>
        <w:t>合同约定的保险责任范围应当包括</w:t>
      </w:r>
      <w:r>
        <w:rPr>
          <w:rFonts w:ascii="宋体" w:hAnsi="宋体"/>
          <w:bCs/>
          <w:color w:val="auto"/>
          <w:szCs w:val="21"/>
          <w:highlight w:val="none"/>
          <w:u w:val="single"/>
        </w:rPr>
        <w:t>工地范围内</w:t>
      </w:r>
      <w:r>
        <w:rPr>
          <w:rFonts w:hint="eastAsia" w:ascii="宋体" w:hAnsi="宋体"/>
          <w:bCs/>
          <w:color w:val="auto"/>
          <w:szCs w:val="21"/>
          <w:highlight w:val="none"/>
          <w:u w:val="single"/>
        </w:rPr>
        <w:t>的全部财产的</w:t>
      </w:r>
      <w:r>
        <w:rPr>
          <w:rFonts w:ascii="宋体" w:hAnsi="宋体"/>
          <w:bCs/>
          <w:color w:val="auto"/>
          <w:szCs w:val="21"/>
          <w:highlight w:val="none"/>
          <w:u w:val="single"/>
        </w:rPr>
        <w:t>物质损坏或灭失</w:t>
      </w:r>
      <w:r>
        <w:rPr>
          <w:rFonts w:hint="eastAsia" w:ascii="宋体" w:hAnsi="宋体"/>
          <w:bCs/>
          <w:color w:val="auto"/>
          <w:szCs w:val="21"/>
          <w:highlight w:val="none"/>
          <w:u w:val="single"/>
        </w:rPr>
        <w:t>以及所产生的费用，无论是否获得保险机构的赔偿，凡施工中发生的一切安全事故，均由承包人负责所发生事故的依法应该支付的损失赔偿费和承担法律责任，发包人不承担该等责任。</w:t>
      </w:r>
      <w:r>
        <w:rPr>
          <w:rFonts w:hint="eastAsia" w:ascii="宋体" w:hAnsi="宋体"/>
          <w:color w:val="auto"/>
          <w:szCs w:val="21"/>
          <w:highlight w:val="none"/>
          <w:u w:val="single"/>
        </w:rPr>
        <w:t>保险费率由承包人与发包人同意的保险人商定，相关保险费由承包人承担</w:t>
      </w:r>
      <w:r>
        <w:rPr>
          <w:rFonts w:ascii="宋体" w:hAnsi="宋体"/>
          <w:color w:val="auto"/>
          <w:szCs w:val="21"/>
          <w:highlight w:val="none"/>
        </w:rPr>
        <w:t>。</w:t>
      </w:r>
    </w:p>
    <w:p>
      <w:pPr>
        <w:spacing w:line="400" w:lineRule="exact"/>
        <w:rPr>
          <w:rFonts w:ascii="宋体" w:hAnsi="宋体"/>
          <w:b/>
          <w:color w:val="auto"/>
          <w:highlight w:val="none"/>
        </w:rPr>
      </w:pPr>
      <w:bookmarkStart w:id="943" w:name="_Toc373227775"/>
      <w:bookmarkStart w:id="944" w:name="_Toc373478422"/>
      <w:bookmarkStart w:id="945" w:name="_Toc389065340"/>
      <w:bookmarkStart w:id="946" w:name="_Toc395382578"/>
      <w:r>
        <w:rPr>
          <w:rFonts w:ascii="宋体" w:hAnsi="宋体"/>
          <w:b/>
          <w:color w:val="auto"/>
          <w:highlight w:val="none"/>
        </w:rPr>
        <w:t>18.7 通知义务</w:t>
      </w:r>
      <w:bookmarkEnd w:id="943"/>
      <w:bookmarkEnd w:id="944"/>
      <w:bookmarkEnd w:id="945"/>
      <w:bookmarkEnd w:id="946"/>
    </w:p>
    <w:p>
      <w:pPr>
        <w:spacing w:line="400" w:lineRule="exact"/>
        <w:jc w:val="left"/>
        <w:rPr>
          <w:rFonts w:ascii="宋体" w:hAnsi="宋体"/>
          <w:color w:val="auto"/>
          <w:szCs w:val="21"/>
          <w:highlight w:val="none"/>
        </w:rPr>
      </w:pPr>
      <w:r>
        <w:rPr>
          <w:rFonts w:ascii="宋体" w:hAnsi="宋体"/>
          <w:color w:val="auto"/>
          <w:kern w:val="0"/>
          <w:szCs w:val="21"/>
          <w:highlight w:val="none"/>
        </w:rPr>
        <w:t>关于变更保险合同时的通知义务的约定：</w:t>
      </w:r>
      <w:r>
        <w:rPr>
          <w:rFonts w:hint="eastAsia" w:ascii="宋体" w:hAnsi="宋体"/>
          <w:color w:val="auto"/>
          <w:szCs w:val="21"/>
          <w:highlight w:val="none"/>
          <w:u w:val="single"/>
        </w:rPr>
        <w:t>承包人向发包人提交各项保险生效的证据和保险单副本的期限：各项保险生效 3天内</w:t>
      </w:r>
      <w:r>
        <w:rPr>
          <w:rFonts w:hint="eastAsia" w:ascii="宋体" w:hAnsi="宋体"/>
          <w:bCs/>
          <w:color w:val="auto"/>
          <w:szCs w:val="21"/>
          <w:highlight w:val="none"/>
        </w:rPr>
        <w:t>。</w:t>
      </w:r>
    </w:p>
    <w:bookmarkEnd w:id="867"/>
    <w:bookmarkEnd w:id="868"/>
    <w:bookmarkEnd w:id="869"/>
    <w:bookmarkEnd w:id="870"/>
    <w:bookmarkEnd w:id="871"/>
    <w:bookmarkEnd w:id="872"/>
    <w:bookmarkEnd w:id="873"/>
    <w:bookmarkEnd w:id="874"/>
    <w:bookmarkEnd w:id="875"/>
    <w:bookmarkEnd w:id="876"/>
    <w:bookmarkEnd w:id="877"/>
    <w:bookmarkEnd w:id="878"/>
    <w:p>
      <w:pPr>
        <w:spacing w:line="400" w:lineRule="exact"/>
        <w:rPr>
          <w:rFonts w:ascii="宋体" w:hAnsi="宋体"/>
          <w:b/>
          <w:color w:val="auto"/>
          <w:highlight w:val="none"/>
        </w:rPr>
      </w:pPr>
      <w:bookmarkStart w:id="947" w:name="_Toc389065341"/>
      <w:bookmarkStart w:id="948" w:name="_Toc395382579"/>
      <w:bookmarkStart w:id="949" w:name="_Toc351203651"/>
      <w:bookmarkStart w:id="950" w:name="_Toc373478423"/>
      <w:bookmarkStart w:id="951" w:name="_Toc373227776"/>
      <w:r>
        <w:rPr>
          <w:rFonts w:ascii="宋体" w:hAnsi="宋体"/>
          <w:b/>
          <w:color w:val="auto"/>
          <w:highlight w:val="none"/>
        </w:rPr>
        <w:t>20.争议解决</w:t>
      </w:r>
      <w:bookmarkEnd w:id="947"/>
      <w:bookmarkEnd w:id="948"/>
      <w:bookmarkEnd w:id="949"/>
      <w:bookmarkEnd w:id="950"/>
      <w:bookmarkEnd w:id="951"/>
    </w:p>
    <w:bookmarkEnd w:id="879"/>
    <w:bookmarkEnd w:id="880"/>
    <w:bookmarkEnd w:id="881"/>
    <w:p>
      <w:pPr>
        <w:spacing w:line="400" w:lineRule="exact"/>
        <w:rPr>
          <w:rFonts w:ascii="宋体" w:hAnsi="宋体"/>
          <w:b/>
          <w:color w:val="auto"/>
          <w:highlight w:val="none"/>
        </w:rPr>
      </w:pPr>
      <w:bookmarkStart w:id="952" w:name="_Toc373478425"/>
      <w:bookmarkStart w:id="953" w:name="_Toc395382581"/>
      <w:bookmarkStart w:id="954" w:name="_Toc373227778"/>
      <w:bookmarkStart w:id="955" w:name="_Toc389065343"/>
      <w:r>
        <w:rPr>
          <w:rFonts w:ascii="宋体" w:hAnsi="宋体"/>
          <w:b/>
          <w:color w:val="auto"/>
          <w:highlight w:val="none"/>
        </w:rPr>
        <w:t>20.4</w:t>
      </w:r>
      <w:r>
        <w:rPr>
          <w:rFonts w:hint="eastAsia" w:ascii="宋体" w:hAnsi="宋体"/>
          <w:b/>
          <w:color w:val="auto"/>
          <w:highlight w:val="none"/>
        </w:rPr>
        <w:t xml:space="preserve"> </w:t>
      </w:r>
      <w:r>
        <w:rPr>
          <w:rFonts w:ascii="宋体" w:hAnsi="宋体"/>
          <w:b/>
          <w:color w:val="auto"/>
          <w:highlight w:val="none"/>
        </w:rPr>
        <w:t>仲裁或诉讼</w:t>
      </w:r>
      <w:bookmarkEnd w:id="882"/>
      <w:bookmarkEnd w:id="952"/>
      <w:bookmarkEnd w:id="953"/>
      <w:bookmarkEnd w:id="954"/>
      <w:bookmarkEnd w:id="955"/>
    </w:p>
    <w:p>
      <w:pPr>
        <w:spacing w:line="400" w:lineRule="exact"/>
        <w:rPr>
          <w:rFonts w:ascii="宋体" w:hAnsi="宋体"/>
          <w:color w:val="auto"/>
          <w:szCs w:val="21"/>
          <w:highlight w:val="none"/>
        </w:rPr>
      </w:pPr>
      <w:r>
        <w:rPr>
          <w:rFonts w:ascii="宋体" w:hAnsi="宋体"/>
          <w:color w:val="auto"/>
          <w:szCs w:val="21"/>
          <w:highlight w:val="none"/>
        </w:rPr>
        <w:t>因合同及合同有关事项发生的争议，按下列第</w:t>
      </w:r>
      <w:r>
        <w:rPr>
          <w:rFonts w:hint="eastAsia" w:ascii="宋体" w:hAnsi="宋体"/>
          <w:color w:val="auto"/>
          <w:szCs w:val="21"/>
          <w:highlight w:val="none"/>
          <w:u w:val="single"/>
        </w:rPr>
        <w:t>(2)</w:t>
      </w:r>
      <w:r>
        <w:rPr>
          <w:rFonts w:ascii="宋体" w:hAnsi="宋体"/>
          <w:color w:val="auto"/>
          <w:szCs w:val="21"/>
          <w:highlight w:val="none"/>
        </w:rPr>
        <w:t>种方式解决：</w:t>
      </w:r>
    </w:p>
    <w:p>
      <w:pPr>
        <w:spacing w:line="400" w:lineRule="exact"/>
        <w:jc w:val="left"/>
        <w:rPr>
          <w:rFonts w:ascii="宋体" w:hAnsi="宋体"/>
          <w:color w:val="auto"/>
          <w:szCs w:val="21"/>
          <w:highlight w:val="none"/>
        </w:rPr>
      </w:pPr>
      <w:r>
        <w:rPr>
          <w:rFonts w:ascii="宋体" w:hAnsi="宋体"/>
          <w:color w:val="auto"/>
          <w:szCs w:val="21"/>
          <w:highlight w:val="none"/>
        </w:rPr>
        <w:t>（1）提请</w:t>
      </w:r>
      <w:r>
        <w:rPr>
          <w:rFonts w:ascii="宋体" w:hAnsi="宋体"/>
          <w:color w:val="auto"/>
          <w:szCs w:val="21"/>
          <w:highlight w:val="none"/>
          <w:u w:val="single"/>
        </w:rPr>
        <w:t xml:space="preserve">     </w:t>
      </w:r>
      <w:r>
        <w:rPr>
          <w:rFonts w:ascii="宋体" w:hAnsi="宋体"/>
          <w:color w:val="auto"/>
          <w:szCs w:val="21"/>
          <w:highlight w:val="none"/>
        </w:rPr>
        <w:t>仲裁委员会按照该会仲裁规则进行仲裁，仲裁裁决是终局的，对合同双方均有约束力。</w:t>
      </w:r>
    </w:p>
    <w:p>
      <w:pPr>
        <w:spacing w:line="400" w:lineRule="exact"/>
        <w:jc w:val="left"/>
        <w:rPr>
          <w:rFonts w:ascii="宋体" w:hAnsi="宋体"/>
          <w:color w:val="auto"/>
          <w:szCs w:val="21"/>
          <w:highlight w:val="none"/>
        </w:rPr>
      </w:pPr>
      <w:r>
        <w:rPr>
          <w:rFonts w:ascii="宋体" w:hAnsi="宋体"/>
          <w:color w:val="auto"/>
          <w:szCs w:val="21"/>
          <w:highlight w:val="none"/>
        </w:rPr>
        <w:t>（2）向</w:t>
      </w:r>
      <w:r>
        <w:rPr>
          <w:rFonts w:hint="eastAsia" w:ascii="宋体" w:hAnsi="宋体"/>
          <w:color w:val="auto"/>
          <w:szCs w:val="21"/>
          <w:highlight w:val="none"/>
          <w:u w:val="single"/>
        </w:rPr>
        <w:t>发项目所在地有管辖权的</w:t>
      </w:r>
      <w:r>
        <w:rPr>
          <w:rFonts w:ascii="宋体" w:hAnsi="宋体"/>
          <w:color w:val="auto"/>
          <w:szCs w:val="21"/>
          <w:highlight w:val="none"/>
        </w:rPr>
        <w:t>人民法院起诉。</w:t>
      </w:r>
      <w:bookmarkEnd w:id="883"/>
      <w:bookmarkEnd w:id="884"/>
      <w:bookmarkEnd w:id="885"/>
      <w:bookmarkEnd w:id="886"/>
      <w:bookmarkEnd w:id="887"/>
      <w:bookmarkEnd w:id="888"/>
    </w:p>
    <w:p>
      <w:pPr>
        <w:spacing w:line="400" w:lineRule="exact"/>
        <w:rPr>
          <w:rFonts w:ascii="宋体" w:hAnsi="宋体"/>
          <w:b/>
          <w:color w:val="auto"/>
          <w:highlight w:val="none"/>
        </w:rPr>
      </w:pPr>
      <w:bookmarkStart w:id="956" w:name="_Toc389065344"/>
      <w:bookmarkStart w:id="957" w:name="_Toc373227779"/>
      <w:bookmarkStart w:id="958" w:name="_Toc373478426"/>
      <w:bookmarkStart w:id="959" w:name="_Toc395382582"/>
      <w:r>
        <w:rPr>
          <w:rFonts w:ascii="宋体" w:hAnsi="宋体"/>
          <w:b/>
          <w:color w:val="auto"/>
          <w:highlight w:val="none"/>
        </w:rPr>
        <w:t>21</w:t>
      </w:r>
      <w:r>
        <w:rPr>
          <w:rFonts w:hint="eastAsia" w:ascii="宋体" w:hAnsi="宋体"/>
          <w:b/>
          <w:color w:val="auto"/>
          <w:highlight w:val="none"/>
        </w:rPr>
        <w:t>.</w:t>
      </w:r>
      <w:r>
        <w:rPr>
          <w:rFonts w:ascii="宋体" w:hAnsi="宋体"/>
          <w:b/>
          <w:color w:val="auto"/>
          <w:highlight w:val="none"/>
        </w:rPr>
        <w:t>补充条款</w:t>
      </w:r>
      <w:bookmarkEnd w:id="956"/>
      <w:bookmarkEnd w:id="957"/>
      <w:bookmarkEnd w:id="958"/>
      <w:bookmarkEnd w:id="959"/>
    </w:p>
    <w:p>
      <w:pPr>
        <w:spacing w:line="400" w:lineRule="exact"/>
        <w:rPr>
          <w:rFonts w:ascii="宋体" w:hAnsi="宋体"/>
          <w:color w:val="auto"/>
          <w:szCs w:val="21"/>
          <w:highlight w:val="none"/>
        </w:rPr>
      </w:pPr>
      <w:r>
        <w:rPr>
          <w:rFonts w:ascii="宋体" w:hAnsi="宋体"/>
          <w:color w:val="auto"/>
          <w:szCs w:val="21"/>
          <w:highlight w:val="none"/>
        </w:rPr>
        <w:t>21.1 凡进入本工程工作的妇女应持有计生证、否则不准安排工作，禁止使用童工。</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21.2关于工期：</w:t>
      </w:r>
      <w:r>
        <w:rPr>
          <w:rFonts w:hint="eastAsia" w:ascii="宋体" w:hAnsi="宋体"/>
          <w:color w:val="auto"/>
          <w:szCs w:val="21"/>
          <w:highlight w:val="none"/>
          <w:u w:val="single"/>
        </w:rPr>
        <w:t>（1）凡双方认可的合理工期顺延，发包人不承担因工期顺延、停工产生的一切损失及费用。（2）保证文明施工，安全生产，因承包人原因发生安全事故或造成其他损失，由承包人承担一切费用，工期不予延长；因承包人原因造成的停工，由承包人承担一切费用，工期不予延长；因供水、供电部门的原因停水、停电导致的停工，连续超过24小时，工期顺延，发包人不承担由此造成的损失。（3）一般设计变更工期不予延长；重大设计变更由双方协商相应延长工期</w:t>
      </w:r>
      <w:r>
        <w:rPr>
          <w:rFonts w:hint="eastAsia" w:ascii="宋体" w:hAnsi="宋体"/>
          <w:bCs/>
          <w:color w:val="auto"/>
          <w:szCs w:val="21"/>
          <w:highlight w:val="none"/>
        </w:rPr>
        <w:t>。</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21.3关于安全文明施工：</w:t>
      </w:r>
      <w:r>
        <w:rPr>
          <w:rFonts w:hint="eastAsia" w:ascii="宋体" w:hAnsi="宋体"/>
          <w:color w:val="auto"/>
          <w:szCs w:val="21"/>
          <w:highlight w:val="none"/>
          <w:u w:val="single"/>
        </w:rPr>
        <w:t>（1）承包人应遵守政府有关主管部门对施工场地的管理规定，并按规定办理相关手续</w:t>
      </w:r>
      <w:r>
        <w:rPr>
          <w:rFonts w:hint="eastAsia" w:ascii="宋体" w:hAnsi="宋体"/>
          <w:bCs/>
          <w:color w:val="auto"/>
          <w:szCs w:val="21"/>
          <w:highlight w:val="none"/>
        </w:rPr>
        <w:t>。</w:t>
      </w:r>
      <w:r>
        <w:rPr>
          <w:rFonts w:hint="eastAsia" w:ascii="宋体" w:hAnsi="宋体"/>
          <w:color w:val="auto"/>
          <w:szCs w:val="21"/>
          <w:highlight w:val="none"/>
          <w:u w:val="single"/>
        </w:rPr>
        <w:t xml:space="preserve"> </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21.4关于结算审计：</w:t>
      </w:r>
      <w:r>
        <w:rPr>
          <w:rFonts w:hint="eastAsia" w:ascii="宋体" w:hAnsi="宋体"/>
          <w:color w:val="auto"/>
          <w:szCs w:val="21"/>
          <w:highlight w:val="none"/>
          <w:u w:val="single"/>
        </w:rPr>
        <w:t>（1）工程竣工验收合格后三十日内，承包人将完整的竣工资料和结算资料送到发包人 ，发包人在收到完整的竣工资料和结算资料后6个月内办清结算并提交审计审核。若因承包人提交审计资料不完整、延迟及双方争议等原因造成审计工作不能按期完成的，审计时间顺延。（2）所有竣工和结算资料必须经业主项目负责人、现场代表、监理工程师、承包人签字确认后，方可做为有效竣工和结算资料。（3）、工程结算审计由发包人委托审计单位。工程造价审减或审增（增减不相互抵消）与报审价相比小于6%（含6%）时，由发包人承担审计费用，待工程财审后由发包人申请</w:t>
      </w:r>
      <w:r>
        <w:rPr>
          <w:rFonts w:hint="eastAsia" w:ascii="宋体" w:hAnsi="宋体"/>
          <w:color w:val="auto"/>
          <w:szCs w:val="21"/>
          <w:highlight w:val="none"/>
          <w:u w:val="single"/>
          <w:lang w:val="en-US" w:eastAsia="zh-CN"/>
        </w:rPr>
        <w:t>当地</w:t>
      </w:r>
      <w:r>
        <w:rPr>
          <w:rFonts w:hint="eastAsia" w:ascii="宋体" w:hAnsi="宋体"/>
          <w:color w:val="auto"/>
          <w:szCs w:val="21"/>
          <w:highlight w:val="none"/>
          <w:u w:val="single"/>
        </w:rPr>
        <w:t>财政审核支付；工程造价审减或审增（增减不相互抵消）与报价相比大于6%（不含6%）时，由承包人承担审计费用</w:t>
      </w:r>
      <w:r>
        <w:rPr>
          <w:rFonts w:hint="eastAsia" w:ascii="宋体" w:hAnsi="宋体"/>
          <w:bCs/>
          <w:color w:val="auto"/>
          <w:szCs w:val="21"/>
          <w:highlight w:val="none"/>
        </w:rPr>
        <w:t>。</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21.5</w:t>
      </w:r>
      <w:r>
        <w:rPr>
          <w:rFonts w:hint="eastAsia" w:ascii="宋体" w:hAnsi="宋体"/>
          <w:color w:val="auto"/>
          <w:szCs w:val="21"/>
          <w:highlight w:val="none"/>
          <w:u w:val="single"/>
        </w:rPr>
        <w:t>承包人在施工过程中涉及的设计变更、签证与计量、材料价格核定以及工程款和竣工结算审核等工作，需严格按发包人相关管理办法以及程序执行</w:t>
      </w:r>
      <w:r>
        <w:rPr>
          <w:rFonts w:hint="eastAsia" w:ascii="宋体" w:hAnsi="宋体"/>
          <w:bCs/>
          <w:color w:val="auto"/>
          <w:szCs w:val="21"/>
          <w:highlight w:val="none"/>
        </w:rPr>
        <w:t>。</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21.6</w:t>
      </w:r>
      <w:r>
        <w:rPr>
          <w:rFonts w:hint="eastAsia" w:ascii="宋体" w:hAnsi="宋体"/>
          <w:color w:val="auto"/>
          <w:szCs w:val="21"/>
          <w:highlight w:val="none"/>
          <w:u w:val="single"/>
        </w:rPr>
        <w:t>承包人必须设立独立的农民工工资专用账户同时实行实名制，每月由承包人签字盖章确认农民工工资数额，按月支付人工费，若有拖欠人工工资款时，业主有权从月进度款支付中扣除，直接支付人工工资，承包人并因此承担工程结算总价0.1%的违约责任</w:t>
      </w:r>
      <w:r>
        <w:rPr>
          <w:rFonts w:hint="eastAsia" w:ascii="宋体" w:hAnsi="宋体"/>
          <w:bCs/>
          <w:color w:val="auto"/>
          <w:szCs w:val="21"/>
          <w:highlight w:val="none"/>
        </w:rPr>
        <w:t>。</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21.7</w:t>
      </w:r>
      <w:r>
        <w:rPr>
          <w:rFonts w:hint="eastAsia" w:ascii="宋体" w:hAnsi="宋体"/>
          <w:color w:val="auto"/>
          <w:szCs w:val="21"/>
          <w:highlight w:val="none"/>
          <w:u w:val="single"/>
        </w:rPr>
        <w:t>承包人须按《工程建设标准强制性条文》、《建筑工程质量验收统一标准》（GB50300-2013）、国家及地方现行建筑工程各专业工程施工质量验收规范，对工程质量一次验收达到合格，否则，属承包人违约。除承包人返修达到合格外，发包人按本项目结算总价的2%处罚承包人（同时如工期违约仍按上条执行），且承包人自行承担因此而造成的损失及赔偿责任</w:t>
      </w:r>
      <w:r>
        <w:rPr>
          <w:rFonts w:hint="eastAsia" w:ascii="宋体" w:hAnsi="宋体"/>
          <w:bCs/>
          <w:color w:val="auto"/>
          <w:szCs w:val="21"/>
          <w:highlight w:val="none"/>
        </w:rPr>
        <w:t>。</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21.8</w:t>
      </w:r>
      <w:r>
        <w:rPr>
          <w:rFonts w:hint="eastAsia" w:ascii="宋体" w:hAnsi="宋体"/>
          <w:color w:val="auto"/>
          <w:szCs w:val="21"/>
          <w:highlight w:val="none"/>
          <w:u w:val="single"/>
        </w:rPr>
        <w:t>承包人应在施工中注意排查地下管线，做到安全文明施工。发现地下管网等不安全隐患时应采取措施加以保护。对突发隐患险情应积极组织力量排危抢险，并同时联络有关单位施救并及时通报监理单位和发包人</w:t>
      </w:r>
      <w:r>
        <w:rPr>
          <w:rFonts w:hint="eastAsia" w:ascii="宋体" w:hAnsi="宋体"/>
          <w:bCs/>
          <w:color w:val="auto"/>
          <w:szCs w:val="21"/>
          <w:highlight w:val="none"/>
        </w:rPr>
        <w:t>。</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21.9</w:t>
      </w:r>
      <w:r>
        <w:rPr>
          <w:rFonts w:hint="eastAsia" w:ascii="宋体" w:hAnsi="宋体"/>
          <w:color w:val="auto"/>
          <w:szCs w:val="21"/>
          <w:highlight w:val="none"/>
          <w:u w:val="single"/>
        </w:rPr>
        <w:t>因承包人原因解除合同，发包人将扣除全部履约保证金，并对已完成合格工程量按相应结算依据执行</w:t>
      </w:r>
      <w:r>
        <w:rPr>
          <w:rFonts w:hint="eastAsia" w:ascii="宋体" w:hAnsi="宋体"/>
          <w:bCs/>
          <w:color w:val="auto"/>
          <w:szCs w:val="21"/>
          <w:highlight w:val="none"/>
        </w:rPr>
        <w:t>。</w:t>
      </w:r>
    </w:p>
    <w:p>
      <w:pPr>
        <w:autoSpaceDE w:val="0"/>
        <w:autoSpaceDN w:val="0"/>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21.10</w:t>
      </w:r>
      <w:r>
        <w:rPr>
          <w:rFonts w:hint="eastAsia" w:ascii="宋体" w:hAnsi="宋体"/>
          <w:color w:val="auto"/>
          <w:szCs w:val="21"/>
          <w:highlight w:val="none"/>
          <w:u w:val="single"/>
        </w:rPr>
        <w:t>未尽事宜双方协商签订补充协议解决</w:t>
      </w:r>
      <w:r>
        <w:rPr>
          <w:rFonts w:hint="eastAsia" w:ascii="宋体" w:hAnsi="宋体"/>
          <w:bCs/>
          <w:color w:val="auto"/>
          <w:szCs w:val="21"/>
          <w:highlight w:val="none"/>
        </w:rPr>
        <w:t>。</w:t>
      </w:r>
    </w:p>
    <w:p>
      <w:pPr>
        <w:spacing w:line="400" w:lineRule="exact"/>
        <w:rPr>
          <w:rFonts w:ascii="宋体" w:hAnsi="宋体"/>
          <w:color w:val="auto"/>
          <w:szCs w:val="21"/>
          <w:highlight w:val="none"/>
        </w:rPr>
      </w:pPr>
    </w:p>
    <w:p>
      <w:pPr>
        <w:spacing w:line="400" w:lineRule="exact"/>
        <w:jc w:val="left"/>
        <w:rPr>
          <w:rFonts w:ascii="宋体" w:hAnsi="宋体"/>
          <w:b/>
          <w:color w:val="auto"/>
          <w:szCs w:val="21"/>
          <w:highlight w:val="none"/>
        </w:rPr>
      </w:pPr>
      <w:bookmarkStart w:id="960" w:name="_Toc351203652"/>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r>
        <w:rPr>
          <w:rFonts w:ascii="宋体" w:hAnsi="宋体"/>
          <w:b/>
          <w:color w:val="auto"/>
          <w:szCs w:val="21"/>
          <w:highlight w:val="none"/>
        </w:rPr>
        <w:t>附件</w:t>
      </w:r>
      <w:bookmarkEnd w:id="960"/>
    </w:p>
    <w:p>
      <w:pPr>
        <w:spacing w:line="400" w:lineRule="exact"/>
        <w:jc w:val="left"/>
        <w:rPr>
          <w:rFonts w:ascii="宋体" w:hAnsi="宋体"/>
          <w:color w:val="auto"/>
          <w:szCs w:val="21"/>
          <w:highlight w:val="none"/>
        </w:rPr>
      </w:pPr>
      <w:r>
        <w:rPr>
          <w:rFonts w:ascii="宋体" w:hAnsi="宋体"/>
          <w:color w:val="auto"/>
          <w:szCs w:val="21"/>
          <w:highlight w:val="none"/>
        </w:rPr>
        <w:t>附件1：承包人承揽工程项目一览表</w:t>
      </w:r>
    </w:p>
    <w:p>
      <w:pPr>
        <w:spacing w:line="400" w:lineRule="exact"/>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2</w:t>
      </w:r>
      <w:r>
        <w:rPr>
          <w:rFonts w:ascii="宋体" w:hAnsi="宋体"/>
          <w:color w:val="auto"/>
          <w:szCs w:val="21"/>
          <w:highlight w:val="none"/>
        </w:rPr>
        <w:t>：支付担保格式</w:t>
      </w:r>
    </w:p>
    <w:p>
      <w:pPr>
        <w:spacing w:line="400" w:lineRule="exact"/>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承包人主要施工管理人员表</w:t>
      </w:r>
    </w:p>
    <w:p>
      <w:pPr>
        <w:spacing w:line="400" w:lineRule="exact"/>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分包人主要施工管理人员表</w:t>
      </w:r>
    </w:p>
    <w:p>
      <w:pPr>
        <w:spacing w:line="400" w:lineRule="exact"/>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履约担保格式</w:t>
      </w:r>
    </w:p>
    <w:p>
      <w:pPr>
        <w:spacing w:line="400" w:lineRule="exact"/>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6</w:t>
      </w:r>
      <w:r>
        <w:rPr>
          <w:rFonts w:ascii="宋体" w:hAnsi="宋体"/>
          <w:color w:val="auto"/>
          <w:szCs w:val="21"/>
          <w:highlight w:val="none"/>
        </w:rPr>
        <w:t>：</w:t>
      </w:r>
      <w:r>
        <w:rPr>
          <w:rFonts w:hint="eastAsia" w:ascii="宋体" w:hAnsi="宋体"/>
          <w:color w:val="auto"/>
          <w:szCs w:val="21"/>
          <w:highlight w:val="none"/>
        </w:rPr>
        <w:t>承包人用于本工程施工的机械设备表</w:t>
      </w:r>
    </w:p>
    <w:p>
      <w:pPr>
        <w:spacing w:line="400" w:lineRule="exact"/>
        <w:jc w:val="left"/>
        <w:rPr>
          <w:rFonts w:ascii="宋体" w:hAnsi="宋体"/>
          <w:color w:val="auto"/>
          <w:szCs w:val="21"/>
          <w:highlight w:val="none"/>
        </w:rPr>
      </w:pPr>
      <w:r>
        <w:rPr>
          <w:rFonts w:ascii="宋体" w:hAnsi="宋体"/>
          <w:color w:val="auto"/>
          <w:szCs w:val="21"/>
          <w:highlight w:val="none"/>
        </w:rPr>
        <w:t>附件</w:t>
      </w:r>
      <w:r>
        <w:rPr>
          <w:rFonts w:hint="eastAsia" w:ascii="宋体" w:hAnsi="宋体"/>
          <w:color w:val="auto"/>
          <w:szCs w:val="21"/>
          <w:highlight w:val="none"/>
        </w:rPr>
        <w:t>7</w:t>
      </w:r>
      <w:r>
        <w:rPr>
          <w:rFonts w:ascii="宋体" w:hAnsi="宋体"/>
          <w:color w:val="auto"/>
          <w:szCs w:val="21"/>
          <w:highlight w:val="none"/>
        </w:rPr>
        <w:t>：</w:t>
      </w:r>
      <w:r>
        <w:rPr>
          <w:rFonts w:hint="eastAsia" w:ascii="宋体" w:hAnsi="宋体"/>
          <w:color w:val="auto"/>
          <w:szCs w:val="21"/>
          <w:highlight w:val="none"/>
        </w:rPr>
        <w:t>预付款担保格式</w:t>
      </w: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p>
    <w:p>
      <w:pPr>
        <w:bidi w:val="0"/>
        <w:rPr>
          <w:color w:val="auto"/>
          <w:highlight w:val="none"/>
        </w:rPr>
      </w:pPr>
    </w:p>
    <w:p>
      <w:pPr>
        <w:bidi w:val="0"/>
        <w:rPr>
          <w:color w:val="auto"/>
          <w:highlight w:val="none"/>
        </w:rPr>
      </w:pPr>
    </w:p>
    <w:p>
      <w:pPr>
        <w:spacing w:line="400" w:lineRule="exact"/>
        <w:jc w:val="left"/>
        <w:rPr>
          <w:rFonts w:ascii="宋体" w:hAnsi="宋体"/>
          <w:b/>
          <w:color w:val="auto"/>
          <w:szCs w:val="21"/>
          <w:highlight w:val="none"/>
        </w:rPr>
      </w:pPr>
      <w:r>
        <w:rPr>
          <w:rFonts w:hint="eastAsia" w:ascii="宋体" w:hAnsi="宋体"/>
          <w:b/>
          <w:color w:val="auto"/>
          <w:szCs w:val="21"/>
          <w:highlight w:val="none"/>
        </w:rPr>
        <w:t>附件1：</w:t>
      </w:r>
      <w:r>
        <w:rPr>
          <w:rFonts w:ascii="宋体" w:hAnsi="宋体"/>
          <w:b/>
          <w:color w:val="auto"/>
          <w:szCs w:val="21"/>
          <w:highlight w:val="none"/>
        </w:rPr>
        <w:t>承包人承揽工程项目一览表</w:t>
      </w:r>
      <w:r>
        <w:rPr>
          <w:rFonts w:hint="eastAsia" w:ascii="宋体" w:hAnsi="宋体"/>
          <w:b/>
          <w:color w:val="auto"/>
          <w:szCs w:val="21"/>
          <w:highlight w:val="none"/>
        </w:rPr>
        <w:t>（格式）</w:t>
      </w:r>
    </w:p>
    <w:p>
      <w:pPr>
        <w:spacing w:line="400" w:lineRule="exact"/>
        <w:jc w:val="left"/>
        <w:rPr>
          <w:rFonts w:ascii="宋体" w:hAnsi="宋体"/>
          <w:b/>
          <w:color w:val="auto"/>
          <w:szCs w:val="21"/>
          <w:highlight w:val="none"/>
        </w:rPr>
      </w:pPr>
    </w:p>
    <w:p>
      <w:pPr>
        <w:spacing w:line="400" w:lineRule="exact"/>
        <w:jc w:val="center"/>
        <w:rPr>
          <w:rFonts w:ascii="宋体" w:hAnsi="宋体"/>
          <w:b/>
          <w:color w:val="auto"/>
          <w:szCs w:val="21"/>
          <w:highlight w:val="none"/>
        </w:rPr>
      </w:pPr>
      <w:r>
        <w:rPr>
          <w:rFonts w:ascii="宋体" w:hAnsi="宋体"/>
          <w:b/>
          <w:color w:val="auto"/>
          <w:szCs w:val="21"/>
          <w:highlight w:val="none"/>
        </w:rPr>
        <w:t>承包人承揽工程项目一览表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3"/>
        <w:gridCol w:w="1023"/>
        <w:gridCol w:w="1024"/>
        <w:gridCol w:w="1023"/>
        <w:gridCol w:w="1024"/>
        <w:gridCol w:w="1023"/>
        <w:gridCol w:w="1023"/>
        <w:gridCol w:w="1024"/>
        <w:gridCol w:w="102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023"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单位工程</w:t>
            </w:r>
          </w:p>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名称</w:t>
            </w:r>
          </w:p>
        </w:tc>
        <w:tc>
          <w:tcPr>
            <w:tcW w:w="1023"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建设规模</w:t>
            </w:r>
          </w:p>
        </w:tc>
        <w:tc>
          <w:tcPr>
            <w:tcW w:w="1024"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建筑面积</w:t>
            </w:r>
          </w:p>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(平方米)</w:t>
            </w:r>
          </w:p>
        </w:tc>
        <w:tc>
          <w:tcPr>
            <w:tcW w:w="1023"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结构</w:t>
            </w:r>
            <w:r>
              <w:rPr>
                <w:rFonts w:hint="eastAsia" w:ascii="宋体" w:hAnsi="宋体"/>
                <w:b/>
                <w:color w:val="auto"/>
                <w:sz w:val="21"/>
                <w:szCs w:val="21"/>
                <w:highlight w:val="none"/>
              </w:rPr>
              <w:t>形式</w:t>
            </w:r>
          </w:p>
        </w:tc>
        <w:tc>
          <w:tcPr>
            <w:tcW w:w="1024"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层数</w:t>
            </w:r>
          </w:p>
        </w:tc>
        <w:tc>
          <w:tcPr>
            <w:tcW w:w="1023"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生产能力</w:t>
            </w:r>
          </w:p>
        </w:tc>
        <w:tc>
          <w:tcPr>
            <w:tcW w:w="1023"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设备安装</w:t>
            </w:r>
          </w:p>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内容</w:t>
            </w:r>
          </w:p>
        </w:tc>
        <w:tc>
          <w:tcPr>
            <w:tcW w:w="1024"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合同价格</w:t>
            </w:r>
          </w:p>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（元）</w:t>
            </w:r>
          </w:p>
        </w:tc>
        <w:tc>
          <w:tcPr>
            <w:tcW w:w="1023"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开工日期</w:t>
            </w:r>
          </w:p>
        </w:tc>
        <w:tc>
          <w:tcPr>
            <w:tcW w:w="1024"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023" w:type="dxa"/>
            <w:vAlign w:val="center"/>
          </w:tcPr>
          <w:p>
            <w:pPr>
              <w:pStyle w:val="18"/>
              <w:keepNext/>
              <w:spacing w:line="300" w:lineRule="exact"/>
              <w:ind w:left="63" w:right="63"/>
              <w:rPr>
                <w:rFonts w:ascii="宋体" w:hAnsi="宋体"/>
                <w:b/>
                <w:color w:val="auto"/>
                <w:sz w:val="21"/>
                <w:szCs w:val="21"/>
                <w:highlight w:val="none"/>
              </w:rPr>
            </w:pPr>
            <w:r>
              <w:rPr>
                <w:rFonts w:hint="eastAsia" w:ascii="宋体" w:hAnsi="宋体"/>
                <w:b/>
                <w:color w:val="auto"/>
                <w:sz w:val="21"/>
                <w:szCs w:val="21"/>
                <w:highlight w:val="none"/>
              </w:rPr>
              <w:t>……</w:t>
            </w: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023" w:type="dxa"/>
            <w:vAlign w:val="center"/>
          </w:tcPr>
          <w:p>
            <w:pPr>
              <w:pStyle w:val="18"/>
              <w:keepNext/>
              <w:spacing w:line="300" w:lineRule="exact"/>
              <w:ind w:left="63" w:right="63"/>
              <w:rPr>
                <w:rFonts w:ascii="宋体" w:hAnsi="宋体"/>
                <w:b/>
                <w:color w:val="auto"/>
                <w:sz w:val="21"/>
                <w:szCs w:val="21"/>
                <w:highlight w:val="none"/>
              </w:rPr>
            </w:pPr>
            <w:r>
              <w:rPr>
                <w:rFonts w:hint="eastAsia" w:ascii="宋体" w:hAnsi="宋体"/>
                <w:b/>
                <w:color w:val="auto"/>
                <w:sz w:val="21"/>
                <w:szCs w:val="21"/>
                <w:highlight w:val="none"/>
              </w:rPr>
              <w:t>N</w:t>
            </w: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c>
          <w:tcPr>
            <w:tcW w:w="1023" w:type="dxa"/>
            <w:vAlign w:val="center"/>
          </w:tcPr>
          <w:p>
            <w:pPr>
              <w:pStyle w:val="18"/>
              <w:keepNext/>
              <w:spacing w:line="300" w:lineRule="exact"/>
              <w:ind w:left="63" w:right="63"/>
              <w:rPr>
                <w:rFonts w:ascii="宋体" w:hAnsi="宋体"/>
                <w:b/>
                <w:color w:val="auto"/>
                <w:sz w:val="21"/>
                <w:szCs w:val="21"/>
                <w:highlight w:val="none"/>
              </w:rPr>
            </w:pPr>
          </w:p>
        </w:tc>
        <w:tc>
          <w:tcPr>
            <w:tcW w:w="1024" w:type="dxa"/>
            <w:vAlign w:val="center"/>
          </w:tcPr>
          <w:p>
            <w:pPr>
              <w:pStyle w:val="18"/>
              <w:keepNext/>
              <w:spacing w:line="300" w:lineRule="exact"/>
              <w:ind w:left="63" w:right="63"/>
              <w:rPr>
                <w:rFonts w:ascii="宋体" w:hAnsi="宋体"/>
                <w:b/>
                <w:color w:val="auto"/>
                <w:sz w:val="21"/>
                <w:szCs w:val="21"/>
                <w:highlight w:val="none"/>
              </w:rPr>
            </w:pPr>
          </w:p>
        </w:tc>
      </w:tr>
    </w:tbl>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ind w:firstLine="420" w:firstLineChars="200"/>
        <w:rPr>
          <w:color w:val="auto"/>
          <w:szCs w:val="21"/>
          <w:highlight w:val="none"/>
        </w:rPr>
      </w:pPr>
    </w:p>
    <w:p>
      <w:pPr>
        <w:spacing w:line="400" w:lineRule="exact"/>
        <w:rPr>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p>
    <w:p>
      <w:pPr>
        <w:spacing w:line="400" w:lineRule="exact"/>
        <w:jc w:val="left"/>
        <w:rPr>
          <w:rFonts w:ascii="宋体" w:hAnsi="宋体"/>
          <w:b/>
          <w:color w:val="auto"/>
          <w:szCs w:val="21"/>
          <w:highlight w:val="none"/>
        </w:rPr>
      </w:pPr>
      <w:r>
        <w:rPr>
          <w:rFonts w:ascii="宋体" w:hAnsi="宋体"/>
          <w:b/>
          <w:color w:val="auto"/>
          <w:szCs w:val="21"/>
          <w:highlight w:val="none"/>
        </w:rPr>
        <w:t>附</w:t>
      </w:r>
      <w:bookmarkStart w:id="961" w:name="_Toc296347232"/>
      <w:bookmarkStart w:id="962" w:name="_Toc296944572"/>
      <w:bookmarkStart w:id="963" w:name="_Toc296346734"/>
      <w:bookmarkStart w:id="964" w:name="_Toc296891273"/>
      <w:bookmarkStart w:id="965" w:name="_Toc296891061"/>
      <w:bookmarkStart w:id="966" w:name="_Toc296503233"/>
      <w:r>
        <w:rPr>
          <w:rFonts w:ascii="宋体" w:hAnsi="宋体"/>
          <w:b/>
          <w:color w:val="auto"/>
          <w:szCs w:val="21"/>
          <w:highlight w:val="none"/>
        </w:rPr>
        <w:t>件</w:t>
      </w:r>
      <w:r>
        <w:rPr>
          <w:rFonts w:hint="eastAsia" w:ascii="宋体" w:hAnsi="宋体"/>
          <w:b/>
          <w:color w:val="auto"/>
          <w:szCs w:val="21"/>
          <w:highlight w:val="none"/>
        </w:rPr>
        <w:t>2：</w:t>
      </w:r>
      <w:r>
        <w:rPr>
          <w:rFonts w:ascii="宋体" w:hAnsi="宋体"/>
          <w:b/>
          <w:color w:val="auto"/>
          <w:szCs w:val="21"/>
          <w:highlight w:val="none"/>
        </w:rPr>
        <w:t>支付担保</w:t>
      </w:r>
      <w:r>
        <w:rPr>
          <w:rFonts w:hint="eastAsia" w:ascii="宋体" w:hAnsi="宋体"/>
          <w:b/>
          <w:color w:val="auto"/>
          <w:szCs w:val="21"/>
          <w:highlight w:val="none"/>
        </w:rPr>
        <w:t>（格式）</w:t>
      </w:r>
    </w:p>
    <w:p>
      <w:pPr>
        <w:spacing w:line="400" w:lineRule="exact"/>
        <w:jc w:val="left"/>
        <w:rPr>
          <w:rFonts w:ascii="宋体" w:hAnsi="宋体"/>
          <w:b/>
          <w:color w:val="auto"/>
          <w:szCs w:val="21"/>
          <w:highlight w:val="none"/>
        </w:rPr>
      </w:pPr>
    </w:p>
    <w:bookmarkEnd w:id="961"/>
    <w:bookmarkEnd w:id="962"/>
    <w:bookmarkEnd w:id="963"/>
    <w:bookmarkEnd w:id="964"/>
    <w:bookmarkEnd w:id="965"/>
    <w:bookmarkEnd w:id="966"/>
    <w:p>
      <w:pPr>
        <w:spacing w:before="156" w:beforeLines="50" w:after="156" w:afterLines="50" w:line="400" w:lineRule="exact"/>
        <w:jc w:val="center"/>
        <w:rPr>
          <w:rFonts w:ascii="宋体" w:hAnsi="宋体"/>
          <w:b/>
          <w:color w:val="auto"/>
          <w:szCs w:val="21"/>
          <w:highlight w:val="none"/>
        </w:rPr>
      </w:pPr>
      <w:r>
        <w:rPr>
          <w:rFonts w:ascii="宋体" w:hAnsi="宋体"/>
          <w:b/>
          <w:color w:val="auto"/>
          <w:szCs w:val="21"/>
          <w:highlight w:val="none"/>
        </w:rPr>
        <w:t>支付担保</w:t>
      </w:r>
    </w:p>
    <w:p>
      <w:pPr>
        <w:spacing w:line="400" w:lineRule="exact"/>
        <w:jc w:val="left"/>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（承包人）：</w:t>
      </w:r>
    </w:p>
    <w:p>
      <w:pPr>
        <w:spacing w:line="400" w:lineRule="exact"/>
        <w:jc w:val="left"/>
        <w:rPr>
          <w:rFonts w:ascii="宋体" w:hAnsi="宋体"/>
          <w:color w:val="auto"/>
          <w:szCs w:val="21"/>
          <w:highlight w:val="none"/>
        </w:rPr>
      </w:pPr>
      <w:r>
        <w:rPr>
          <w:rFonts w:ascii="宋体" w:hAnsi="宋体"/>
          <w:color w:val="auto"/>
          <w:szCs w:val="21"/>
          <w:highlight w:val="none"/>
        </w:rPr>
        <w:t>鉴于你方作为承包人已经与</w:t>
      </w:r>
      <w:r>
        <w:rPr>
          <w:rFonts w:ascii="宋体" w:hAnsi="宋体"/>
          <w:color w:val="auto"/>
          <w:szCs w:val="21"/>
          <w:highlight w:val="none"/>
          <w:u w:val="single"/>
        </w:rPr>
        <w:t xml:space="preserve">           </w:t>
      </w:r>
      <w:r>
        <w:rPr>
          <w:rFonts w:ascii="宋体" w:hAnsi="宋体"/>
          <w:color w:val="auto"/>
          <w:szCs w:val="21"/>
          <w:highlight w:val="none"/>
        </w:rPr>
        <w:t>（发包人名称）（以下称“发包人”）于</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日签订了</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（工程名称）《建设工程施工合同》（以下称“主合同”），应发包人的申请，我方愿就发包人履行主合同约定的工程款支付义务以保证的方式向你方提供如下担保：</w:t>
      </w:r>
    </w:p>
    <w:p>
      <w:pPr>
        <w:spacing w:line="400" w:lineRule="exact"/>
        <w:jc w:val="left"/>
        <w:rPr>
          <w:rFonts w:ascii="宋体" w:hAnsi="宋体"/>
          <w:color w:val="auto"/>
          <w:szCs w:val="21"/>
          <w:highlight w:val="none"/>
        </w:rPr>
      </w:pPr>
      <w:r>
        <w:rPr>
          <w:rFonts w:hint="eastAsia" w:ascii="宋体" w:hAnsi="宋体"/>
          <w:color w:val="auto"/>
          <w:szCs w:val="21"/>
          <w:highlight w:val="none"/>
        </w:rPr>
        <w:t>一．保证的范围及保证金额</w:t>
      </w:r>
    </w:p>
    <w:p>
      <w:pPr>
        <w:spacing w:line="400" w:lineRule="exact"/>
        <w:jc w:val="left"/>
        <w:rPr>
          <w:rFonts w:ascii="宋体" w:hAnsi="宋体"/>
          <w:color w:val="auto"/>
          <w:szCs w:val="21"/>
          <w:highlight w:val="none"/>
        </w:rPr>
      </w:pPr>
      <w:r>
        <w:rPr>
          <w:rFonts w:ascii="宋体" w:hAnsi="宋体"/>
          <w:color w:val="auto"/>
          <w:szCs w:val="21"/>
          <w:highlight w:val="none"/>
        </w:rPr>
        <w:t>1. 我方的保证范围是主合同约定的工程款。</w:t>
      </w:r>
    </w:p>
    <w:p>
      <w:pPr>
        <w:spacing w:line="400" w:lineRule="exact"/>
        <w:jc w:val="left"/>
        <w:rPr>
          <w:rFonts w:ascii="宋体" w:hAnsi="宋体"/>
          <w:color w:val="auto"/>
          <w:szCs w:val="21"/>
          <w:highlight w:val="none"/>
        </w:rPr>
      </w:pPr>
      <w:r>
        <w:rPr>
          <w:rFonts w:ascii="宋体" w:hAnsi="宋体"/>
          <w:color w:val="auto"/>
          <w:szCs w:val="21"/>
          <w:highlight w:val="none"/>
        </w:rPr>
        <w:t>2. 本保函所称主合同约定的工程款是指主合同约定的除工程质量保证金以外的合同价款。</w:t>
      </w:r>
    </w:p>
    <w:p>
      <w:pPr>
        <w:spacing w:line="400" w:lineRule="exact"/>
        <w:jc w:val="left"/>
        <w:rPr>
          <w:rFonts w:ascii="宋体" w:hAnsi="宋体"/>
          <w:color w:val="auto"/>
          <w:szCs w:val="21"/>
          <w:highlight w:val="none"/>
        </w:rPr>
      </w:pPr>
      <w:r>
        <w:rPr>
          <w:rFonts w:ascii="宋体" w:hAnsi="宋体"/>
          <w:color w:val="auto"/>
          <w:szCs w:val="21"/>
          <w:highlight w:val="none"/>
        </w:rPr>
        <w:t>3. 我方保证的金额是主合同约定的工程款的</w:t>
      </w:r>
      <w:r>
        <w:rPr>
          <w:rFonts w:ascii="宋体" w:hAnsi="宋体"/>
          <w:color w:val="auto"/>
          <w:szCs w:val="21"/>
          <w:highlight w:val="none"/>
          <w:u w:val="single"/>
        </w:rPr>
        <w:t xml:space="preserve">      </w:t>
      </w:r>
      <w:r>
        <w:rPr>
          <w:rFonts w:ascii="宋体" w:hAnsi="宋体"/>
          <w:color w:val="auto"/>
          <w:szCs w:val="21"/>
          <w:highlight w:val="none"/>
        </w:rPr>
        <w:t>%，数额最高不超过人民币元（大写：</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hint="eastAsia" w:ascii="宋体" w:hAnsi="宋体"/>
          <w:color w:val="auto"/>
          <w:szCs w:val="21"/>
          <w:highlight w:val="none"/>
        </w:rPr>
        <w:t>二．保证的方式及保证期间</w:t>
      </w:r>
    </w:p>
    <w:p>
      <w:pPr>
        <w:spacing w:line="400" w:lineRule="exact"/>
        <w:jc w:val="left"/>
        <w:rPr>
          <w:rFonts w:ascii="宋体" w:hAnsi="宋体"/>
          <w:color w:val="auto"/>
          <w:szCs w:val="21"/>
          <w:highlight w:val="none"/>
        </w:rPr>
      </w:pPr>
      <w:r>
        <w:rPr>
          <w:rFonts w:ascii="宋体" w:hAnsi="宋体"/>
          <w:color w:val="auto"/>
          <w:szCs w:val="21"/>
          <w:highlight w:val="none"/>
        </w:rPr>
        <w:t>1. 我方保证的方式为：连带责任保证。</w:t>
      </w:r>
    </w:p>
    <w:p>
      <w:pPr>
        <w:spacing w:line="400" w:lineRule="exact"/>
        <w:jc w:val="left"/>
        <w:rPr>
          <w:rFonts w:ascii="宋体" w:hAnsi="宋体"/>
          <w:color w:val="auto"/>
          <w:szCs w:val="21"/>
          <w:highlight w:val="none"/>
        </w:rPr>
      </w:pPr>
      <w:r>
        <w:rPr>
          <w:rFonts w:ascii="宋体" w:hAnsi="宋体"/>
          <w:color w:val="auto"/>
          <w:szCs w:val="21"/>
          <w:highlight w:val="none"/>
        </w:rPr>
        <w:t>2. 我方保证的期间为：自本合同生效之日起至主合同约定的工程款支付完毕之日后</w:t>
      </w:r>
      <w:r>
        <w:rPr>
          <w:rFonts w:ascii="宋体" w:hAnsi="宋体"/>
          <w:color w:val="auto"/>
          <w:szCs w:val="21"/>
          <w:highlight w:val="none"/>
          <w:u w:val="single"/>
        </w:rPr>
        <w:t xml:space="preserve">    </w:t>
      </w:r>
      <w:r>
        <w:rPr>
          <w:rFonts w:ascii="宋体" w:hAnsi="宋体"/>
          <w:color w:val="auto"/>
          <w:szCs w:val="21"/>
          <w:highlight w:val="none"/>
        </w:rPr>
        <w:t>日内。</w:t>
      </w:r>
    </w:p>
    <w:p>
      <w:pPr>
        <w:spacing w:line="400" w:lineRule="exact"/>
        <w:jc w:val="left"/>
        <w:rPr>
          <w:rFonts w:ascii="宋体" w:hAnsi="宋体"/>
          <w:color w:val="auto"/>
          <w:szCs w:val="21"/>
          <w:highlight w:val="none"/>
        </w:rPr>
      </w:pPr>
      <w:r>
        <w:rPr>
          <w:rFonts w:ascii="宋体" w:hAnsi="宋体"/>
          <w:color w:val="auto"/>
          <w:szCs w:val="21"/>
          <w:highlight w:val="none"/>
        </w:rPr>
        <w:t>3. 你方与发包人协议变更工程款支付日期的，经我方书面同意后，保证期间按照变更后的支付日期做相应调整。</w:t>
      </w:r>
    </w:p>
    <w:p>
      <w:pPr>
        <w:spacing w:line="400" w:lineRule="exact"/>
        <w:jc w:val="left"/>
        <w:rPr>
          <w:rFonts w:ascii="宋体" w:hAnsi="宋体"/>
          <w:color w:val="auto"/>
          <w:szCs w:val="21"/>
          <w:highlight w:val="none"/>
        </w:rPr>
      </w:pPr>
      <w:r>
        <w:rPr>
          <w:rFonts w:hint="eastAsia" w:ascii="宋体" w:hAnsi="宋体"/>
          <w:color w:val="auto"/>
          <w:szCs w:val="21"/>
          <w:highlight w:val="none"/>
        </w:rPr>
        <w:t>三．承担保证责任的形式</w:t>
      </w:r>
    </w:p>
    <w:p>
      <w:pPr>
        <w:spacing w:line="400" w:lineRule="exact"/>
        <w:jc w:val="left"/>
        <w:rPr>
          <w:rFonts w:ascii="宋体" w:hAnsi="宋体"/>
          <w:color w:val="auto"/>
          <w:szCs w:val="21"/>
          <w:highlight w:val="none"/>
        </w:rPr>
      </w:pPr>
      <w:r>
        <w:rPr>
          <w:rFonts w:ascii="宋体" w:hAnsi="宋体"/>
          <w:color w:val="auto"/>
          <w:szCs w:val="21"/>
          <w:highlight w:val="none"/>
        </w:rPr>
        <w:t>我方承担保证责任的形式是代为支付。发包人未按主合同约定向你方支付工程款的，由我方在保证金额内代为支付。</w:t>
      </w:r>
    </w:p>
    <w:p>
      <w:pPr>
        <w:spacing w:line="400" w:lineRule="exact"/>
        <w:jc w:val="left"/>
        <w:rPr>
          <w:rFonts w:ascii="宋体" w:hAnsi="宋体"/>
          <w:color w:val="auto"/>
          <w:szCs w:val="21"/>
          <w:highlight w:val="none"/>
        </w:rPr>
      </w:pPr>
      <w:r>
        <w:rPr>
          <w:rFonts w:hint="eastAsia" w:ascii="宋体" w:hAnsi="宋体"/>
          <w:color w:val="auto"/>
          <w:szCs w:val="21"/>
          <w:highlight w:val="none"/>
        </w:rPr>
        <w:t>四．代偿的安排</w:t>
      </w:r>
    </w:p>
    <w:p>
      <w:pPr>
        <w:spacing w:line="400" w:lineRule="exact"/>
        <w:jc w:val="left"/>
        <w:rPr>
          <w:rFonts w:ascii="宋体" w:hAnsi="宋体"/>
          <w:color w:val="auto"/>
          <w:szCs w:val="21"/>
          <w:highlight w:val="none"/>
        </w:rPr>
      </w:pPr>
      <w:r>
        <w:rPr>
          <w:rFonts w:ascii="宋体" w:hAnsi="宋体"/>
          <w:color w:val="auto"/>
          <w:szCs w:val="21"/>
          <w:highlight w:val="none"/>
        </w:rPr>
        <w:t>1. 你方要求我方承担保证责任的，应向我方发出书面索赔通知及发包人未支付主合同约定工程款的证明材料。索赔通知应写明要求索赔的金额，支付款项应到达的账号。</w:t>
      </w:r>
    </w:p>
    <w:p>
      <w:pPr>
        <w:spacing w:line="400" w:lineRule="exact"/>
        <w:jc w:val="left"/>
        <w:rPr>
          <w:rFonts w:ascii="宋体" w:hAnsi="宋体"/>
          <w:color w:val="auto"/>
          <w:szCs w:val="21"/>
          <w:highlight w:val="none"/>
        </w:rPr>
      </w:pPr>
      <w:r>
        <w:rPr>
          <w:rFonts w:ascii="宋体" w:hAnsi="宋体"/>
          <w:color w:val="auto"/>
          <w:szCs w:val="21"/>
          <w:highlight w:val="none"/>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jc w:val="left"/>
        <w:rPr>
          <w:rFonts w:ascii="宋体" w:hAnsi="宋体"/>
          <w:color w:val="auto"/>
          <w:szCs w:val="21"/>
          <w:highlight w:val="none"/>
        </w:rPr>
      </w:pPr>
      <w:r>
        <w:rPr>
          <w:rFonts w:ascii="宋体" w:hAnsi="宋体"/>
          <w:color w:val="auto"/>
          <w:szCs w:val="21"/>
          <w:highlight w:val="none"/>
        </w:rPr>
        <w:t>3. 我方收到你方的书面索赔通知及相应的证明材料后７天内无条件支付。</w:t>
      </w:r>
    </w:p>
    <w:p>
      <w:pPr>
        <w:spacing w:line="400" w:lineRule="exact"/>
        <w:jc w:val="left"/>
        <w:rPr>
          <w:rFonts w:ascii="宋体" w:hAnsi="宋体"/>
          <w:color w:val="auto"/>
          <w:szCs w:val="21"/>
          <w:highlight w:val="none"/>
        </w:rPr>
      </w:pPr>
      <w:r>
        <w:rPr>
          <w:rFonts w:hint="eastAsia" w:ascii="宋体" w:hAnsi="宋体"/>
          <w:color w:val="auto"/>
          <w:szCs w:val="21"/>
          <w:highlight w:val="none"/>
        </w:rPr>
        <w:t>五．保证责任的解除</w:t>
      </w:r>
    </w:p>
    <w:p>
      <w:pPr>
        <w:spacing w:line="400" w:lineRule="exact"/>
        <w:jc w:val="left"/>
        <w:rPr>
          <w:rFonts w:ascii="宋体" w:hAnsi="宋体"/>
          <w:color w:val="auto"/>
          <w:szCs w:val="21"/>
          <w:highlight w:val="none"/>
        </w:rPr>
      </w:pPr>
      <w:r>
        <w:rPr>
          <w:rFonts w:ascii="宋体" w:hAnsi="宋体"/>
          <w:color w:val="auto"/>
          <w:szCs w:val="21"/>
          <w:highlight w:val="none"/>
        </w:rPr>
        <w:t>1. 在本保函承诺的保证期间内，你方未书面向我方主张保证责任的，自保证期间届满次日起，我方保证责解除。</w:t>
      </w:r>
    </w:p>
    <w:p>
      <w:pPr>
        <w:spacing w:line="400" w:lineRule="exact"/>
        <w:jc w:val="left"/>
        <w:rPr>
          <w:rFonts w:ascii="宋体" w:hAnsi="宋体"/>
          <w:color w:val="auto"/>
          <w:szCs w:val="21"/>
          <w:highlight w:val="none"/>
        </w:rPr>
      </w:pPr>
      <w:r>
        <w:rPr>
          <w:rFonts w:ascii="宋体" w:hAnsi="宋体"/>
          <w:color w:val="auto"/>
          <w:szCs w:val="21"/>
          <w:highlight w:val="none"/>
        </w:rPr>
        <w:t>2. 发包人按主合同约定履行了工程款的全部支付义务的，自本保函承诺的保证期间届满次日起，我方保证责任解除。</w:t>
      </w:r>
    </w:p>
    <w:p>
      <w:pPr>
        <w:spacing w:line="400" w:lineRule="exact"/>
        <w:jc w:val="left"/>
        <w:rPr>
          <w:rFonts w:ascii="宋体" w:hAnsi="宋体"/>
          <w:color w:val="auto"/>
          <w:szCs w:val="21"/>
          <w:highlight w:val="none"/>
        </w:rPr>
      </w:pPr>
      <w:r>
        <w:rPr>
          <w:rFonts w:ascii="宋体" w:hAnsi="宋体"/>
          <w:color w:val="auto"/>
          <w:szCs w:val="21"/>
          <w:highlight w:val="none"/>
        </w:rPr>
        <w:t>3. 我方按照本保函向你方履行保证责任所支付金额达到本保函保证金额时，自我方向你方支付（支付款项从我方账户划出）之日起，保证责任即解除。</w:t>
      </w:r>
    </w:p>
    <w:p>
      <w:pPr>
        <w:spacing w:line="400" w:lineRule="exact"/>
        <w:jc w:val="left"/>
        <w:rPr>
          <w:rFonts w:ascii="宋体" w:hAnsi="宋体"/>
          <w:color w:val="auto"/>
          <w:szCs w:val="21"/>
          <w:highlight w:val="none"/>
        </w:rPr>
      </w:pPr>
      <w:r>
        <w:rPr>
          <w:rFonts w:ascii="宋体" w:hAnsi="宋体"/>
          <w:color w:val="auto"/>
          <w:szCs w:val="21"/>
          <w:highlight w:val="none"/>
        </w:rPr>
        <w:t>4. 按照法律法规的规定或出现应解除我方保证责任的其他情形的，我方在本保函项下的保证责任亦解除。</w:t>
      </w:r>
    </w:p>
    <w:p>
      <w:pPr>
        <w:spacing w:line="400" w:lineRule="exact"/>
        <w:jc w:val="left"/>
        <w:rPr>
          <w:rFonts w:ascii="宋体" w:hAnsi="宋体"/>
          <w:color w:val="auto"/>
          <w:szCs w:val="21"/>
          <w:highlight w:val="none"/>
        </w:rPr>
      </w:pPr>
      <w:r>
        <w:rPr>
          <w:rFonts w:ascii="宋体" w:hAnsi="宋体"/>
          <w:color w:val="auto"/>
          <w:szCs w:val="21"/>
          <w:highlight w:val="none"/>
        </w:rPr>
        <w:t>5. 我方解除保证责任后，你方应自我方保证责任解除之日起</w:t>
      </w:r>
      <w:r>
        <w:rPr>
          <w:rFonts w:ascii="宋体" w:hAnsi="宋体"/>
          <w:color w:val="auto"/>
          <w:szCs w:val="21"/>
          <w:highlight w:val="none"/>
          <w:u w:val="single"/>
        </w:rPr>
        <w:t xml:space="preserve">  </w:t>
      </w:r>
      <w:r>
        <w:rPr>
          <w:rFonts w:ascii="宋体" w:hAnsi="宋体"/>
          <w:color w:val="auto"/>
          <w:szCs w:val="21"/>
          <w:highlight w:val="none"/>
        </w:rPr>
        <w:t>个工作日内，将本保函原件返还我方。</w:t>
      </w:r>
    </w:p>
    <w:p>
      <w:pPr>
        <w:spacing w:line="400" w:lineRule="exact"/>
        <w:jc w:val="left"/>
        <w:rPr>
          <w:rFonts w:ascii="宋体" w:hAnsi="宋体"/>
          <w:color w:val="auto"/>
          <w:szCs w:val="21"/>
          <w:highlight w:val="none"/>
        </w:rPr>
      </w:pPr>
      <w:r>
        <w:rPr>
          <w:rFonts w:hint="eastAsia" w:ascii="宋体" w:hAnsi="宋体"/>
          <w:color w:val="auto"/>
          <w:szCs w:val="21"/>
          <w:highlight w:val="none"/>
        </w:rPr>
        <w:t>六．免责条款</w:t>
      </w:r>
    </w:p>
    <w:p>
      <w:pPr>
        <w:spacing w:line="400" w:lineRule="exact"/>
        <w:jc w:val="left"/>
        <w:rPr>
          <w:rFonts w:ascii="宋体" w:hAnsi="宋体"/>
          <w:color w:val="auto"/>
          <w:szCs w:val="21"/>
          <w:highlight w:val="none"/>
        </w:rPr>
      </w:pPr>
      <w:r>
        <w:rPr>
          <w:rFonts w:ascii="宋体" w:hAnsi="宋体"/>
          <w:color w:val="auto"/>
          <w:szCs w:val="21"/>
          <w:highlight w:val="none"/>
        </w:rPr>
        <w:t>1. 因你方违约致使发包人不能履行义务的，我方不承担保证责任。</w:t>
      </w:r>
    </w:p>
    <w:p>
      <w:pPr>
        <w:spacing w:line="400" w:lineRule="exact"/>
        <w:jc w:val="left"/>
        <w:rPr>
          <w:rFonts w:ascii="宋体" w:hAnsi="宋体"/>
          <w:color w:val="auto"/>
          <w:szCs w:val="21"/>
          <w:highlight w:val="none"/>
        </w:rPr>
      </w:pPr>
      <w:r>
        <w:rPr>
          <w:rFonts w:ascii="宋体" w:hAnsi="宋体"/>
          <w:color w:val="auto"/>
          <w:szCs w:val="21"/>
          <w:highlight w:val="none"/>
        </w:rPr>
        <w:t>2. 依照法律法规的规定或你方与发包人的另行约定，免除发包人部分或全部义务的，我方亦免除其相应的保证责任。</w:t>
      </w:r>
    </w:p>
    <w:p>
      <w:pPr>
        <w:spacing w:line="400" w:lineRule="exact"/>
        <w:jc w:val="left"/>
        <w:rPr>
          <w:rFonts w:ascii="宋体" w:hAnsi="宋体"/>
          <w:color w:val="auto"/>
          <w:szCs w:val="21"/>
          <w:highlight w:val="none"/>
        </w:rPr>
      </w:pPr>
      <w:r>
        <w:rPr>
          <w:rFonts w:ascii="宋体" w:hAnsi="宋体"/>
          <w:color w:val="auto"/>
          <w:szCs w:val="21"/>
          <w:highlight w:val="none"/>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00" w:lineRule="exact"/>
        <w:jc w:val="left"/>
        <w:rPr>
          <w:rFonts w:ascii="宋体" w:hAnsi="宋体"/>
          <w:color w:val="auto"/>
          <w:szCs w:val="21"/>
          <w:highlight w:val="none"/>
        </w:rPr>
      </w:pPr>
      <w:r>
        <w:rPr>
          <w:rFonts w:ascii="宋体" w:hAnsi="宋体"/>
          <w:color w:val="auto"/>
          <w:szCs w:val="21"/>
          <w:highlight w:val="none"/>
        </w:rPr>
        <w:t>4. 因不可抗力造成发包人不能履行义务的，我方不承担保证责任。</w:t>
      </w:r>
    </w:p>
    <w:p>
      <w:pPr>
        <w:spacing w:line="400" w:lineRule="exact"/>
        <w:jc w:val="left"/>
        <w:rPr>
          <w:rFonts w:ascii="宋体" w:hAnsi="宋体"/>
          <w:color w:val="auto"/>
          <w:szCs w:val="21"/>
          <w:highlight w:val="none"/>
        </w:rPr>
      </w:pPr>
      <w:r>
        <w:rPr>
          <w:rFonts w:hint="eastAsia" w:ascii="宋体" w:hAnsi="宋体"/>
          <w:color w:val="auto"/>
          <w:szCs w:val="21"/>
          <w:highlight w:val="none"/>
        </w:rPr>
        <w:t>七．争议解决</w:t>
      </w:r>
    </w:p>
    <w:p>
      <w:pPr>
        <w:spacing w:line="400" w:lineRule="exact"/>
        <w:rPr>
          <w:rFonts w:ascii="宋体" w:hAnsi="宋体"/>
          <w:color w:val="auto"/>
          <w:szCs w:val="21"/>
          <w:highlight w:val="none"/>
        </w:rPr>
      </w:pPr>
      <w:r>
        <w:rPr>
          <w:rFonts w:ascii="宋体" w:hAnsi="宋体"/>
          <w:color w:val="auto"/>
          <w:szCs w:val="21"/>
          <w:highlight w:val="none"/>
        </w:rPr>
        <w:t>因本保函或本保函相关事项发生的纠纷，可由双方协商解决，协商不成的，按下列第</w:t>
      </w:r>
      <w:r>
        <w:rPr>
          <w:rFonts w:ascii="宋体" w:hAnsi="宋体"/>
          <w:color w:val="auto"/>
          <w:szCs w:val="21"/>
          <w:highlight w:val="none"/>
          <w:u w:val="single"/>
        </w:rPr>
        <w:t xml:space="preserve">     </w:t>
      </w:r>
      <w:r>
        <w:rPr>
          <w:rFonts w:ascii="宋体" w:hAnsi="宋体"/>
          <w:color w:val="auto"/>
          <w:szCs w:val="21"/>
          <w:highlight w:val="none"/>
        </w:rPr>
        <w:t>种方式解决：</w:t>
      </w:r>
    </w:p>
    <w:p>
      <w:pPr>
        <w:spacing w:line="400" w:lineRule="exact"/>
        <w:jc w:val="left"/>
        <w:rPr>
          <w:rFonts w:ascii="宋体" w:hAnsi="宋体"/>
          <w:color w:val="auto"/>
          <w:szCs w:val="21"/>
          <w:highlight w:val="none"/>
        </w:rPr>
      </w:pPr>
      <w:r>
        <w:rPr>
          <w:rFonts w:ascii="宋体" w:hAnsi="宋体"/>
          <w:color w:val="auto"/>
          <w:szCs w:val="21"/>
          <w:highlight w:val="none"/>
        </w:rPr>
        <w:t>（1）向</w:t>
      </w:r>
      <w:r>
        <w:rPr>
          <w:rFonts w:ascii="宋体" w:hAnsi="宋体"/>
          <w:color w:val="auto"/>
          <w:szCs w:val="21"/>
          <w:highlight w:val="none"/>
          <w:u w:val="single"/>
        </w:rPr>
        <w:t xml:space="preserve">                     </w:t>
      </w:r>
      <w:r>
        <w:rPr>
          <w:rFonts w:ascii="宋体" w:hAnsi="宋体"/>
          <w:color w:val="auto"/>
          <w:szCs w:val="21"/>
          <w:highlight w:val="none"/>
        </w:rPr>
        <w:t>仲裁委员会申请仲裁；</w:t>
      </w:r>
    </w:p>
    <w:p>
      <w:pPr>
        <w:spacing w:line="400" w:lineRule="exact"/>
        <w:jc w:val="left"/>
        <w:rPr>
          <w:rFonts w:ascii="宋体" w:hAnsi="宋体"/>
          <w:color w:val="auto"/>
          <w:szCs w:val="21"/>
          <w:highlight w:val="none"/>
        </w:rPr>
      </w:pPr>
      <w:r>
        <w:rPr>
          <w:rFonts w:ascii="宋体" w:hAnsi="宋体"/>
          <w:color w:val="auto"/>
          <w:szCs w:val="21"/>
          <w:highlight w:val="none"/>
        </w:rPr>
        <w:t>（2）向</w:t>
      </w:r>
      <w:r>
        <w:rPr>
          <w:rFonts w:ascii="宋体" w:hAnsi="宋体"/>
          <w:color w:val="auto"/>
          <w:szCs w:val="21"/>
          <w:highlight w:val="none"/>
          <w:u w:val="single"/>
        </w:rPr>
        <w:t xml:space="preserve">                     </w:t>
      </w:r>
      <w:r>
        <w:rPr>
          <w:rFonts w:ascii="宋体" w:hAnsi="宋体"/>
          <w:color w:val="auto"/>
          <w:szCs w:val="21"/>
          <w:highlight w:val="none"/>
        </w:rPr>
        <w:t>人民法院起诉。</w:t>
      </w:r>
    </w:p>
    <w:p>
      <w:pPr>
        <w:spacing w:line="400" w:lineRule="exact"/>
        <w:jc w:val="left"/>
        <w:rPr>
          <w:rFonts w:ascii="宋体" w:hAnsi="宋体"/>
          <w:color w:val="auto"/>
          <w:szCs w:val="21"/>
          <w:highlight w:val="none"/>
        </w:rPr>
      </w:pPr>
      <w:r>
        <w:rPr>
          <w:rFonts w:hint="eastAsia" w:ascii="宋体" w:hAnsi="宋体"/>
          <w:color w:val="auto"/>
          <w:szCs w:val="21"/>
          <w:highlight w:val="none"/>
        </w:rPr>
        <w:t>八．保函的生效</w:t>
      </w:r>
    </w:p>
    <w:p>
      <w:pPr>
        <w:spacing w:line="400" w:lineRule="exact"/>
        <w:jc w:val="left"/>
        <w:rPr>
          <w:rFonts w:ascii="宋体" w:hAnsi="宋体"/>
          <w:color w:val="auto"/>
          <w:szCs w:val="21"/>
          <w:highlight w:val="none"/>
        </w:rPr>
      </w:pPr>
      <w:r>
        <w:rPr>
          <w:rFonts w:ascii="宋体" w:hAnsi="宋体"/>
          <w:color w:val="auto"/>
          <w:szCs w:val="21"/>
          <w:highlight w:val="none"/>
        </w:rPr>
        <w:t>本保函自我方法定代表人（或其授权代理人）签字并加盖公章之日起生效。</w:t>
      </w:r>
    </w:p>
    <w:p>
      <w:pPr>
        <w:spacing w:line="400" w:lineRule="exact"/>
        <w:jc w:val="left"/>
        <w:rPr>
          <w:rFonts w:ascii="宋体" w:hAnsi="宋体"/>
          <w:color w:val="auto"/>
          <w:szCs w:val="21"/>
          <w:highlight w:val="none"/>
        </w:rPr>
      </w:pPr>
    </w:p>
    <w:p>
      <w:pPr>
        <w:spacing w:line="400" w:lineRule="exact"/>
        <w:ind w:right="600"/>
        <w:jc w:val="left"/>
        <w:rPr>
          <w:rFonts w:ascii="宋体" w:hAnsi="宋体"/>
          <w:color w:val="auto"/>
          <w:szCs w:val="21"/>
          <w:highlight w:val="none"/>
        </w:rPr>
      </w:pPr>
    </w:p>
    <w:p>
      <w:pPr>
        <w:spacing w:line="400" w:lineRule="exact"/>
        <w:ind w:right="600"/>
        <w:jc w:val="left"/>
        <w:rPr>
          <w:rFonts w:ascii="宋体" w:hAnsi="宋体"/>
          <w:color w:val="auto"/>
          <w:szCs w:val="21"/>
          <w:highlight w:val="none"/>
        </w:rPr>
      </w:pPr>
      <w:r>
        <w:rPr>
          <w:rFonts w:ascii="宋体" w:hAnsi="宋体"/>
          <w:color w:val="auto"/>
          <w:szCs w:val="21"/>
          <w:highlight w:val="none"/>
        </w:rPr>
        <w:t>担保人：</w:t>
      </w:r>
      <w:r>
        <w:rPr>
          <w:rFonts w:ascii="宋体" w:hAnsi="宋体"/>
          <w:color w:val="auto"/>
          <w:szCs w:val="21"/>
          <w:highlight w:val="none"/>
          <w:u w:val="single"/>
        </w:rPr>
        <w:t xml:space="preserve">                                   </w:t>
      </w:r>
      <w:r>
        <w:rPr>
          <w:rFonts w:ascii="宋体" w:hAnsi="宋体"/>
          <w:color w:val="auto"/>
          <w:szCs w:val="21"/>
          <w:highlight w:val="none"/>
        </w:rPr>
        <w:t>（盖章）</w:t>
      </w:r>
    </w:p>
    <w:p>
      <w:pPr>
        <w:spacing w:line="400" w:lineRule="exact"/>
        <w:ind w:right="1200"/>
        <w:rPr>
          <w:rFonts w:ascii="宋体" w:hAnsi="宋体"/>
          <w:color w:val="auto"/>
          <w:szCs w:val="21"/>
          <w:highlight w:val="none"/>
        </w:rPr>
      </w:pPr>
      <w:r>
        <w:rPr>
          <w:rFonts w:ascii="宋体" w:hAnsi="宋体"/>
          <w:color w:val="auto"/>
          <w:szCs w:val="21"/>
          <w:highlight w:val="none"/>
        </w:rPr>
        <w:t>法定代表人或委托代理人：</w:t>
      </w:r>
      <w:r>
        <w:rPr>
          <w:rFonts w:ascii="宋体" w:hAnsi="宋体"/>
          <w:color w:val="auto"/>
          <w:szCs w:val="21"/>
          <w:highlight w:val="none"/>
          <w:u w:val="single"/>
        </w:rPr>
        <w:t xml:space="preserve">                   </w:t>
      </w:r>
      <w:r>
        <w:rPr>
          <w:rFonts w:ascii="宋体" w:hAnsi="宋体"/>
          <w:color w:val="auto"/>
          <w:szCs w:val="21"/>
          <w:highlight w:val="none"/>
        </w:rPr>
        <w:t>（签字）</w:t>
      </w:r>
    </w:p>
    <w:p>
      <w:pPr>
        <w:spacing w:line="400" w:lineRule="exact"/>
        <w:jc w:val="left"/>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 xml:space="preserve">                                        </w:t>
      </w:r>
    </w:p>
    <w:p>
      <w:pPr>
        <w:spacing w:line="400" w:lineRule="exact"/>
        <w:jc w:val="left"/>
        <w:rPr>
          <w:rFonts w:ascii="宋体" w:hAnsi="宋体"/>
          <w:color w:val="auto"/>
          <w:szCs w:val="21"/>
          <w:highlight w:val="none"/>
        </w:rPr>
      </w:pPr>
      <w:r>
        <w:rPr>
          <w:rFonts w:ascii="宋体" w:hAnsi="宋体"/>
          <w:color w:val="auto"/>
          <w:szCs w:val="21"/>
          <w:highlight w:val="none"/>
        </w:rPr>
        <w:t>邮政编码：</w:t>
      </w:r>
      <w:r>
        <w:rPr>
          <w:rFonts w:ascii="宋体" w:hAnsi="宋体"/>
          <w:color w:val="auto"/>
          <w:szCs w:val="21"/>
          <w:highlight w:val="none"/>
          <w:u w:val="single"/>
        </w:rPr>
        <w:t xml:space="preserve">                                        </w:t>
      </w:r>
    </w:p>
    <w:p>
      <w:pPr>
        <w:spacing w:line="400" w:lineRule="exact"/>
        <w:jc w:val="left"/>
        <w:rPr>
          <w:rFonts w:ascii="宋体" w:hAnsi="宋体"/>
          <w:color w:val="auto"/>
          <w:szCs w:val="21"/>
          <w:highlight w:val="none"/>
        </w:rPr>
      </w:pPr>
      <w:r>
        <w:rPr>
          <w:rFonts w:ascii="宋体" w:hAnsi="宋体"/>
          <w:color w:val="auto"/>
          <w:szCs w:val="21"/>
          <w:highlight w:val="none"/>
        </w:rPr>
        <w:t>传    真：</w:t>
      </w:r>
      <w:r>
        <w:rPr>
          <w:rFonts w:ascii="宋体" w:hAnsi="宋体"/>
          <w:color w:val="auto"/>
          <w:szCs w:val="21"/>
          <w:highlight w:val="none"/>
          <w:u w:val="single"/>
        </w:rPr>
        <w:t xml:space="preserve">                                        </w:t>
      </w:r>
    </w:p>
    <w:p>
      <w:pPr>
        <w:spacing w:line="400" w:lineRule="exact"/>
        <w:ind w:right="150"/>
        <w:jc w:val="left"/>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400" w:lineRule="exact"/>
        <w:ind w:right="150"/>
        <w:jc w:val="left"/>
        <w:rPr>
          <w:rFonts w:ascii="宋体" w:hAnsi="宋体"/>
          <w:color w:val="auto"/>
          <w:szCs w:val="21"/>
          <w:highlight w:val="none"/>
        </w:rPr>
      </w:pPr>
    </w:p>
    <w:p>
      <w:pPr>
        <w:spacing w:line="400" w:lineRule="exact"/>
        <w:ind w:right="150"/>
        <w:jc w:val="left"/>
        <w:rPr>
          <w:rFonts w:ascii="宋体" w:hAnsi="宋体"/>
          <w:color w:val="auto"/>
          <w:szCs w:val="21"/>
          <w:highlight w:val="none"/>
        </w:rPr>
      </w:pPr>
    </w:p>
    <w:p>
      <w:pPr>
        <w:spacing w:line="400" w:lineRule="exact"/>
        <w:ind w:right="150"/>
        <w:jc w:val="left"/>
        <w:rPr>
          <w:rFonts w:ascii="宋体" w:hAnsi="宋体"/>
          <w:color w:val="auto"/>
          <w:szCs w:val="21"/>
          <w:highlight w:val="none"/>
        </w:rPr>
      </w:pPr>
    </w:p>
    <w:p>
      <w:pPr>
        <w:spacing w:line="400" w:lineRule="exact"/>
        <w:ind w:right="150"/>
        <w:jc w:val="left"/>
        <w:rPr>
          <w:rFonts w:ascii="宋体" w:hAnsi="宋体"/>
          <w:color w:val="auto"/>
          <w:szCs w:val="21"/>
          <w:highlight w:val="none"/>
        </w:rPr>
      </w:pPr>
    </w:p>
    <w:p>
      <w:pPr>
        <w:spacing w:line="400" w:lineRule="exact"/>
        <w:ind w:right="150"/>
        <w:jc w:val="left"/>
        <w:rPr>
          <w:rFonts w:ascii="宋体" w:hAnsi="宋体"/>
          <w:color w:val="auto"/>
          <w:szCs w:val="21"/>
          <w:highlight w:val="none"/>
        </w:rPr>
      </w:pPr>
    </w:p>
    <w:p>
      <w:pPr>
        <w:spacing w:line="400" w:lineRule="exact"/>
        <w:ind w:right="150"/>
        <w:jc w:val="left"/>
        <w:rPr>
          <w:rFonts w:ascii="宋体" w:hAnsi="宋体"/>
          <w:color w:val="auto"/>
          <w:szCs w:val="21"/>
          <w:highlight w:val="none"/>
        </w:rPr>
      </w:pPr>
    </w:p>
    <w:p>
      <w:pPr>
        <w:spacing w:line="400" w:lineRule="exact"/>
        <w:ind w:right="150"/>
        <w:jc w:val="left"/>
        <w:rPr>
          <w:rFonts w:ascii="宋体" w:hAnsi="宋体"/>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ascii="宋体" w:hAnsi="宋体"/>
          <w:b/>
          <w:color w:val="auto"/>
          <w:szCs w:val="21"/>
          <w:highlight w:val="none"/>
        </w:rPr>
        <w:t>附</w:t>
      </w:r>
      <w:bookmarkStart w:id="967" w:name="_Toc296346729"/>
      <w:bookmarkStart w:id="968" w:name="_Toc296891268"/>
      <w:bookmarkStart w:id="969" w:name="_Toc296891056"/>
      <w:bookmarkStart w:id="970" w:name="_Toc296503228"/>
      <w:bookmarkStart w:id="971" w:name="_Toc296347227"/>
      <w:bookmarkStart w:id="972" w:name="_Toc296944567"/>
      <w:bookmarkStart w:id="973" w:name="_Toc267261699"/>
      <w:r>
        <w:rPr>
          <w:rFonts w:ascii="宋体" w:hAnsi="宋体"/>
          <w:b/>
          <w:color w:val="auto"/>
          <w:szCs w:val="21"/>
          <w:highlight w:val="none"/>
        </w:rPr>
        <w:t>件</w:t>
      </w:r>
      <w:r>
        <w:rPr>
          <w:rFonts w:hint="eastAsia" w:ascii="宋体" w:hAnsi="宋体"/>
          <w:b/>
          <w:color w:val="auto"/>
          <w:szCs w:val="21"/>
          <w:highlight w:val="none"/>
        </w:rPr>
        <w:t>3</w:t>
      </w:r>
      <w:r>
        <w:rPr>
          <w:rFonts w:ascii="宋体" w:hAnsi="宋体"/>
          <w:b/>
          <w:color w:val="auto"/>
          <w:szCs w:val="21"/>
          <w:highlight w:val="none"/>
        </w:rPr>
        <w:t>：承包人主要施工管理人员表</w:t>
      </w:r>
      <w:r>
        <w:rPr>
          <w:rFonts w:hint="eastAsia" w:ascii="宋体" w:hAnsi="宋体"/>
          <w:b/>
          <w:color w:val="auto"/>
          <w:szCs w:val="21"/>
          <w:highlight w:val="none"/>
        </w:rPr>
        <w:t>（格式）</w:t>
      </w:r>
    </w:p>
    <w:p>
      <w:pPr>
        <w:spacing w:line="400" w:lineRule="exact"/>
        <w:rPr>
          <w:rFonts w:ascii="宋体" w:hAnsi="宋体"/>
          <w:color w:val="auto"/>
          <w:szCs w:val="21"/>
          <w:highlight w:val="none"/>
        </w:rPr>
      </w:pPr>
    </w:p>
    <w:bookmarkEnd w:id="967"/>
    <w:bookmarkEnd w:id="968"/>
    <w:bookmarkEnd w:id="969"/>
    <w:bookmarkEnd w:id="970"/>
    <w:bookmarkEnd w:id="971"/>
    <w:bookmarkEnd w:id="972"/>
    <w:bookmarkEnd w:id="973"/>
    <w:p>
      <w:pPr>
        <w:spacing w:line="400" w:lineRule="exact"/>
        <w:jc w:val="center"/>
        <w:rPr>
          <w:rFonts w:ascii="宋体" w:hAnsi="宋体"/>
          <w:b/>
          <w:color w:val="auto"/>
          <w:szCs w:val="21"/>
          <w:highlight w:val="none"/>
        </w:rPr>
      </w:pPr>
      <w:r>
        <w:rPr>
          <w:rFonts w:ascii="宋体" w:hAnsi="宋体"/>
          <w:b/>
          <w:color w:val="auto"/>
          <w:szCs w:val="21"/>
          <w:highlight w:val="none"/>
        </w:rPr>
        <w:t>承包人主要施工管理人员表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名称</w:t>
            </w:r>
          </w:p>
        </w:tc>
        <w:tc>
          <w:tcPr>
            <w:tcW w:w="1418"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姓名</w:t>
            </w:r>
          </w:p>
        </w:tc>
        <w:tc>
          <w:tcPr>
            <w:tcW w:w="1134"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职务</w:t>
            </w:r>
          </w:p>
        </w:tc>
        <w:tc>
          <w:tcPr>
            <w:tcW w:w="1134"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职称</w:t>
            </w:r>
          </w:p>
        </w:tc>
        <w:tc>
          <w:tcPr>
            <w:tcW w:w="4252" w:type="dxa"/>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9809" w:type="dxa"/>
            <w:gridSpan w:val="5"/>
            <w:vAlign w:val="center"/>
          </w:tcPr>
          <w:p>
            <w:pPr>
              <w:spacing w:line="300" w:lineRule="exact"/>
              <w:jc w:val="center"/>
              <w:rPr>
                <w:rFonts w:ascii="宋体" w:hAnsi="宋体"/>
                <w:color w:val="auto"/>
                <w:szCs w:val="21"/>
                <w:highlight w:val="none"/>
              </w:rPr>
            </w:pPr>
            <w:r>
              <w:rPr>
                <w:rFonts w:ascii="宋体" w:hAnsi="宋体"/>
                <w:color w:val="auto"/>
                <w:szCs w:val="21"/>
                <w:highlight w:val="none"/>
              </w:rPr>
              <w:t>一</w:t>
            </w:r>
            <w:r>
              <w:rPr>
                <w:rFonts w:hint="eastAsia" w:ascii="宋体" w:hAnsi="宋体"/>
                <w:color w:val="auto"/>
                <w:szCs w:val="21"/>
                <w:highlight w:val="none"/>
              </w:rPr>
              <w:t>．</w:t>
            </w:r>
            <w:r>
              <w:rPr>
                <w:rFonts w:ascii="宋体" w:hAnsi="宋体"/>
                <w:color w:val="auto"/>
                <w:szCs w:val="21"/>
                <w:highlight w:val="none"/>
              </w:rPr>
              <w:t>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项目主管</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restart"/>
            <w:vAlign w:val="center"/>
          </w:tcPr>
          <w:p>
            <w:pPr>
              <w:spacing w:line="30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9809" w:type="dxa"/>
            <w:gridSpan w:val="5"/>
            <w:vAlign w:val="center"/>
          </w:tcPr>
          <w:p>
            <w:pPr>
              <w:spacing w:line="300" w:lineRule="exact"/>
              <w:jc w:val="center"/>
              <w:rPr>
                <w:rFonts w:ascii="宋体" w:hAnsi="宋体"/>
                <w:color w:val="auto"/>
                <w:szCs w:val="21"/>
                <w:highlight w:val="none"/>
              </w:rPr>
            </w:pPr>
            <w:r>
              <w:rPr>
                <w:rFonts w:ascii="宋体" w:hAnsi="宋体"/>
                <w:color w:val="auto"/>
                <w:szCs w:val="21"/>
                <w:highlight w:val="none"/>
              </w:rPr>
              <w:t>二</w:t>
            </w:r>
            <w:r>
              <w:rPr>
                <w:rFonts w:hint="eastAsia" w:ascii="宋体" w:hAnsi="宋体"/>
                <w:color w:val="auto"/>
                <w:szCs w:val="21"/>
                <w:highlight w:val="none"/>
              </w:rPr>
              <w:t>．</w:t>
            </w:r>
            <w:r>
              <w:rPr>
                <w:rFonts w:ascii="宋体" w:hAnsi="宋体"/>
                <w:color w:val="auto"/>
                <w:szCs w:val="21"/>
                <w:highlight w:val="none"/>
              </w:rPr>
              <w:t>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项目经理</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项目副经理</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技术负责人</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造价管理</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restart"/>
            <w:vAlign w:val="center"/>
          </w:tcPr>
          <w:p>
            <w:pPr>
              <w:spacing w:line="300" w:lineRule="exact"/>
              <w:jc w:val="center"/>
              <w:rPr>
                <w:rFonts w:ascii="宋体" w:hAnsi="宋体"/>
                <w:color w:val="auto"/>
                <w:szCs w:val="21"/>
                <w:highlight w:val="none"/>
              </w:rPr>
            </w:pPr>
            <w:r>
              <w:rPr>
                <w:rFonts w:ascii="宋体" w:hAnsi="宋体"/>
                <w:color w:val="auto"/>
                <w:szCs w:val="21"/>
                <w:highlight w:val="none"/>
              </w:rPr>
              <w:t>质量管理</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材料管理</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计划管理</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restart"/>
            <w:vAlign w:val="center"/>
          </w:tcPr>
          <w:p>
            <w:pPr>
              <w:spacing w:line="300" w:lineRule="exact"/>
              <w:jc w:val="center"/>
              <w:rPr>
                <w:rFonts w:ascii="宋体" w:hAnsi="宋体"/>
                <w:color w:val="auto"/>
                <w:szCs w:val="21"/>
                <w:highlight w:val="none"/>
              </w:rPr>
            </w:pPr>
            <w:r>
              <w:rPr>
                <w:rFonts w:ascii="宋体" w:hAnsi="宋体"/>
                <w:color w:val="auto"/>
                <w:szCs w:val="21"/>
                <w:highlight w:val="none"/>
              </w:rPr>
              <w:t>安全管理</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restart"/>
            <w:vAlign w:val="center"/>
          </w:tcPr>
          <w:p>
            <w:pPr>
              <w:spacing w:line="30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300" w:lineRule="exact"/>
              <w:jc w:val="center"/>
              <w:rPr>
                <w:rFonts w:ascii="宋体" w:hAnsi="宋体"/>
                <w:color w:val="auto"/>
                <w:szCs w:val="21"/>
                <w:highlight w:val="none"/>
              </w:rPr>
            </w:pPr>
          </w:p>
        </w:tc>
        <w:tc>
          <w:tcPr>
            <w:tcW w:w="1418"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1134" w:type="dxa"/>
            <w:vAlign w:val="center"/>
          </w:tcPr>
          <w:p>
            <w:pPr>
              <w:spacing w:line="300" w:lineRule="exact"/>
              <w:jc w:val="center"/>
              <w:rPr>
                <w:rFonts w:ascii="宋体" w:hAnsi="宋体"/>
                <w:color w:val="auto"/>
                <w:szCs w:val="21"/>
                <w:highlight w:val="none"/>
              </w:rPr>
            </w:pPr>
          </w:p>
        </w:tc>
        <w:tc>
          <w:tcPr>
            <w:tcW w:w="4252" w:type="dxa"/>
            <w:vAlign w:val="center"/>
          </w:tcPr>
          <w:p>
            <w:pPr>
              <w:spacing w:line="300" w:lineRule="exact"/>
              <w:jc w:val="center"/>
              <w:rPr>
                <w:rFonts w:ascii="宋体" w:hAnsi="宋体"/>
                <w:color w:val="auto"/>
                <w:szCs w:val="21"/>
                <w:highlight w:val="none"/>
              </w:rPr>
            </w:pPr>
          </w:p>
        </w:tc>
      </w:tr>
    </w:tbl>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ascii="宋体" w:hAnsi="宋体"/>
          <w:b/>
          <w:color w:val="auto"/>
          <w:szCs w:val="21"/>
          <w:highlight w:val="none"/>
        </w:rPr>
        <w:t>附</w:t>
      </w:r>
      <w:bookmarkStart w:id="974" w:name="_Toc296347228"/>
      <w:bookmarkStart w:id="975" w:name="_Toc296891269"/>
      <w:bookmarkStart w:id="976" w:name="_Toc296891057"/>
      <w:bookmarkStart w:id="977" w:name="_Toc296944568"/>
      <w:bookmarkStart w:id="978" w:name="_Toc296346730"/>
      <w:bookmarkStart w:id="979" w:name="_Toc296503229"/>
      <w:r>
        <w:rPr>
          <w:rFonts w:ascii="宋体" w:hAnsi="宋体"/>
          <w:b/>
          <w:color w:val="auto"/>
          <w:szCs w:val="21"/>
          <w:highlight w:val="none"/>
        </w:rPr>
        <w:t>件</w:t>
      </w:r>
      <w:r>
        <w:rPr>
          <w:rFonts w:hint="eastAsia" w:ascii="宋体" w:hAnsi="宋体"/>
          <w:b/>
          <w:color w:val="auto"/>
          <w:szCs w:val="21"/>
          <w:highlight w:val="none"/>
        </w:rPr>
        <w:t>4：</w:t>
      </w:r>
      <w:bookmarkEnd w:id="974"/>
      <w:bookmarkEnd w:id="975"/>
      <w:bookmarkEnd w:id="976"/>
      <w:bookmarkEnd w:id="977"/>
      <w:bookmarkEnd w:id="978"/>
      <w:bookmarkEnd w:id="979"/>
      <w:r>
        <w:rPr>
          <w:rFonts w:ascii="宋体" w:hAnsi="宋体"/>
          <w:b/>
          <w:color w:val="auto"/>
          <w:szCs w:val="21"/>
          <w:highlight w:val="none"/>
        </w:rPr>
        <w:t>分包人主要施工管理人员表</w:t>
      </w:r>
      <w:r>
        <w:rPr>
          <w:rFonts w:hint="eastAsia" w:ascii="宋体" w:hAnsi="宋体"/>
          <w:b/>
          <w:color w:val="auto"/>
          <w:szCs w:val="21"/>
          <w:highlight w:val="none"/>
        </w:rPr>
        <w:t>（格式）</w:t>
      </w:r>
    </w:p>
    <w:p>
      <w:pPr>
        <w:spacing w:line="400" w:lineRule="exact"/>
        <w:rPr>
          <w:rFonts w:ascii="宋体" w:hAnsi="宋体"/>
          <w:b/>
          <w:color w:val="auto"/>
          <w:szCs w:val="21"/>
          <w:highlight w:val="none"/>
        </w:rPr>
      </w:pPr>
    </w:p>
    <w:p>
      <w:pPr>
        <w:spacing w:line="400" w:lineRule="exact"/>
        <w:jc w:val="center"/>
        <w:rPr>
          <w:rFonts w:ascii="宋体" w:hAnsi="宋体"/>
          <w:b/>
          <w:color w:val="auto"/>
          <w:szCs w:val="21"/>
          <w:highlight w:val="none"/>
        </w:rPr>
      </w:pPr>
      <w:r>
        <w:rPr>
          <w:rFonts w:ascii="宋体" w:hAnsi="宋体"/>
          <w:b/>
          <w:color w:val="auto"/>
          <w:szCs w:val="21"/>
          <w:highlight w:val="none"/>
        </w:rPr>
        <w:t>分包人主要施工管理人员表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名称</w:t>
            </w:r>
          </w:p>
        </w:tc>
        <w:tc>
          <w:tcPr>
            <w:tcW w:w="1418"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姓名</w:t>
            </w:r>
          </w:p>
        </w:tc>
        <w:tc>
          <w:tcPr>
            <w:tcW w:w="1134"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职务</w:t>
            </w:r>
          </w:p>
        </w:tc>
        <w:tc>
          <w:tcPr>
            <w:tcW w:w="1134"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职称</w:t>
            </w:r>
          </w:p>
        </w:tc>
        <w:tc>
          <w:tcPr>
            <w:tcW w:w="4677"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0234" w:type="dxa"/>
            <w:gridSpan w:val="5"/>
            <w:vAlign w:val="center"/>
          </w:tcPr>
          <w:p>
            <w:pPr>
              <w:spacing w:line="400" w:lineRule="exact"/>
              <w:jc w:val="center"/>
              <w:rPr>
                <w:rFonts w:ascii="宋体" w:hAnsi="宋体"/>
                <w:color w:val="auto"/>
                <w:szCs w:val="21"/>
                <w:highlight w:val="none"/>
              </w:rPr>
            </w:pPr>
            <w:r>
              <w:rPr>
                <w:rFonts w:ascii="宋体" w:hAnsi="宋体"/>
                <w:color w:val="auto"/>
                <w:szCs w:val="21"/>
                <w:highlight w:val="none"/>
              </w:rPr>
              <w:t>一</w:t>
            </w:r>
            <w:r>
              <w:rPr>
                <w:rFonts w:hint="eastAsia" w:ascii="宋体" w:hAnsi="宋体"/>
                <w:color w:val="auto"/>
                <w:szCs w:val="21"/>
                <w:highlight w:val="none"/>
              </w:rPr>
              <w:t>．</w:t>
            </w:r>
            <w:r>
              <w:rPr>
                <w:rFonts w:ascii="宋体" w:hAnsi="宋体"/>
                <w:color w:val="auto"/>
                <w:szCs w:val="21"/>
                <w:highlight w:val="none"/>
              </w:rPr>
              <w:t>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项目主管</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restart"/>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0234" w:type="dxa"/>
            <w:gridSpan w:val="5"/>
            <w:vAlign w:val="center"/>
          </w:tcPr>
          <w:p>
            <w:pPr>
              <w:spacing w:line="400" w:lineRule="exact"/>
              <w:jc w:val="center"/>
              <w:rPr>
                <w:rFonts w:ascii="宋体" w:hAnsi="宋体"/>
                <w:color w:val="auto"/>
                <w:szCs w:val="21"/>
                <w:highlight w:val="none"/>
              </w:rPr>
            </w:pPr>
            <w:r>
              <w:rPr>
                <w:rFonts w:ascii="宋体" w:hAnsi="宋体"/>
                <w:color w:val="auto"/>
                <w:szCs w:val="21"/>
                <w:highlight w:val="none"/>
              </w:rPr>
              <w:t>二</w:t>
            </w:r>
            <w:r>
              <w:rPr>
                <w:rFonts w:hint="eastAsia" w:ascii="宋体" w:hAnsi="宋体"/>
                <w:color w:val="auto"/>
                <w:szCs w:val="21"/>
                <w:highlight w:val="none"/>
              </w:rPr>
              <w:t>．</w:t>
            </w:r>
            <w:r>
              <w:rPr>
                <w:rFonts w:ascii="宋体" w:hAnsi="宋体"/>
                <w:color w:val="auto"/>
                <w:szCs w:val="21"/>
                <w:highlight w:val="none"/>
              </w:rPr>
              <w:t>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项目经理</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项目副经理</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技术负责人</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造价管理</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质量管理</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材料管理</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计划管理</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安全管理</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restart"/>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其他人员</w:t>
            </w: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871" w:type="dxa"/>
            <w:vMerge w:val="continue"/>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1134" w:type="dxa"/>
            <w:vAlign w:val="center"/>
          </w:tcPr>
          <w:p>
            <w:pPr>
              <w:spacing w:line="400" w:lineRule="exact"/>
              <w:jc w:val="center"/>
              <w:rPr>
                <w:rFonts w:ascii="宋体" w:hAnsi="宋体"/>
                <w:color w:val="auto"/>
                <w:szCs w:val="21"/>
                <w:highlight w:val="none"/>
              </w:rPr>
            </w:pPr>
          </w:p>
        </w:tc>
        <w:tc>
          <w:tcPr>
            <w:tcW w:w="4677" w:type="dxa"/>
            <w:vAlign w:val="center"/>
          </w:tcPr>
          <w:p>
            <w:pPr>
              <w:spacing w:line="400" w:lineRule="exact"/>
              <w:jc w:val="center"/>
              <w:rPr>
                <w:rFonts w:ascii="宋体" w:hAnsi="宋体"/>
                <w:color w:val="auto"/>
                <w:szCs w:val="21"/>
                <w:highlight w:val="none"/>
              </w:rPr>
            </w:pPr>
          </w:p>
        </w:tc>
      </w:tr>
    </w:tbl>
    <w:p>
      <w:pPr>
        <w:spacing w:line="400" w:lineRule="exact"/>
        <w:rPr>
          <w:rFonts w:ascii="宋体" w:hAnsi="宋体"/>
          <w:b/>
          <w:color w:val="auto"/>
          <w:szCs w:val="21"/>
          <w:highlight w:val="none"/>
        </w:rPr>
      </w:pPr>
      <w:bookmarkStart w:id="980" w:name="_Toc267261701"/>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pStyle w:val="2"/>
        <w:rPr>
          <w:color w:val="auto"/>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ascii="宋体" w:hAnsi="宋体"/>
          <w:b/>
          <w:color w:val="auto"/>
          <w:szCs w:val="21"/>
          <w:highlight w:val="none"/>
        </w:rPr>
        <w:t>附</w:t>
      </w:r>
      <w:bookmarkStart w:id="981" w:name="_Toc296347230"/>
      <w:bookmarkStart w:id="982" w:name="_Toc296891271"/>
      <w:bookmarkStart w:id="983" w:name="_Toc296503231"/>
      <w:bookmarkStart w:id="984" w:name="_Toc296944570"/>
      <w:bookmarkStart w:id="985" w:name="_Toc296346732"/>
      <w:bookmarkStart w:id="986" w:name="_Toc296891059"/>
      <w:r>
        <w:rPr>
          <w:rFonts w:ascii="宋体" w:hAnsi="宋体"/>
          <w:b/>
          <w:color w:val="auto"/>
          <w:szCs w:val="21"/>
          <w:highlight w:val="none"/>
        </w:rPr>
        <w:t>件</w:t>
      </w:r>
      <w:r>
        <w:rPr>
          <w:rFonts w:hint="eastAsia" w:ascii="宋体" w:hAnsi="宋体"/>
          <w:b/>
          <w:color w:val="auto"/>
          <w:szCs w:val="21"/>
          <w:highlight w:val="none"/>
        </w:rPr>
        <w:t>5：</w:t>
      </w:r>
      <w:bookmarkEnd w:id="980"/>
      <w:bookmarkEnd w:id="981"/>
      <w:bookmarkEnd w:id="982"/>
      <w:bookmarkEnd w:id="983"/>
      <w:bookmarkEnd w:id="984"/>
      <w:bookmarkEnd w:id="985"/>
      <w:bookmarkEnd w:id="986"/>
      <w:r>
        <w:rPr>
          <w:rFonts w:ascii="宋体" w:hAnsi="宋体"/>
          <w:b/>
          <w:color w:val="auto"/>
          <w:szCs w:val="21"/>
          <w:highlight w:val="none"/>
        </w:rPr>
        <w:t>履约担保</w:t>
      </w:r>
      <w:r>
        <w:rPr>
          <w:rFonts w:hint="eastAsia" w:ascii="宋体" w:hAnsi="宋体"/>
          <w:b/>
          <w:color w:val="auto"/>
          <w:szCs w:val="21"/>
          <w:highlight w:val="none"/>
        </w:rPr>
        <w:t>（格式）</w:t>
      </w:r>
    </w:p>
    <w:p>
      <w:pPr>
        <w:spacing w:line="360" w:lineRule="auto"/>
        <w:rPr>
          <w:color w:val="auto"/>
          <w:szCs w:val="21"/>
          <w:highlight w:val="none"/>
          <w:u w:val="single"/>
        </w:rPr>
      </w:pPr>
    </w:p>
    <w:p>
      <w:pPr>
        <w:spacing w:line="360" w:lineRule="auto"/>
        <w:jc w:val="center"/>
        <w:rPr>
          <w:color w:val="auto"/>
          <w:szCs w:val="21"/>
          <w:highlight w:val="none"/>
          <w:u w:val="single"/>
        </w:rPr>
      </w:pPr>
      <w:r>
        <w:rPr>
          <w:rFonts w:ascii="宋体" w:hAnsi="宋体"/>
          <w:b/>
          <w:color w:val="auto"/>
          <w:szCs w:val="21"/>
          <w:highlight w:val="none"/>
        </w:rPr>
        <w:t>履约担保</w:t>
      </w:r>
    </w:p>
    <w:p>
      <w:pPr>
        <w:spacing w:line="400" w:lineRule="exact"/>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（发包人名称）：</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鉴于</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（发包人名称，以下简称“发包人”）与</w:t>
      </w:r>
      <w:r>
        <w:rPr>
          <w:rFonts w:ascii="宋体" w:hAnsi="宋体"/>
          <w:color w:val="auto"/>
          <w:szCs w:val="21"/>
          <w:highlight w:val="none"/>
          <w:u w:val="single"/>
        </w:rPr>
        <w:t xml:space="preserve">           </w:t>
      </w:r>
      <w:r>
        <w:rPr>
          <w:rFonts w:ascii="宋体" w:hAnsi="宋体"/>
          <w:color w:val="auto"/>
          <w:szCs w:val="21"/>
          <w:highlight w:val="none"/>
        </w:rPr>
        <w:t>（承包人名称）（以下称“承包人”）</w:t>
      </w:r>
      <w:r>
        <w:rPr>
          <w:rFonts w:ascii="宋体" w:hAnsi="宋体" w:cs="宋体"/>
          <w:color w:val="auto"/>
          <w:kern w:val="0"/>
          <w:sz w:val="24"/>
          <w:highlight w:val="none"/>
        </w:rPr>
        <w:t xml:space="preserve"> </w:t>
      </w:r>
      <w:r>
        <w:rPr>
          <w:rFonts w:ascii="宋体" w:hAnsi="宋体"/>
          <w:color w:val="auto"/>
          <w:szCs w:val="21"/>
          <w:highlight w:val="none"/>
        </w:rPr>
        <w:t>于</w:t>
      </w:r>
      <w:r>
        <w:rPr>
          <w:rFonts w:ascii="宋体" w:hAnsi="宋体"/>
          <w:color w:val="auto"/>
          <w:szCs w:val="21"/>
          <w:highlight w:val="none"/>
          <w:u w:val="single"/>
        </w:rPr>
        <w:t>       </w:t>
      </w:r>
      <w:r>
        <w:rPr>
          <w:rFonts w:ascii="宋体" w:hAnsi="宋体"/>
          <w:color w:val="auto"/>
          <w:szCs w:val="21"/>
          <w:highlight w:val="none"/>
        </w:rPr>
        <w:t>年</w:t>
      </w:r>
      <w:r>
        <w:rPr>
          <w:rFonts w:ascii="宋体" w:hAnsi="宋体"/>
          <w:color w:val="auto"/>
          <w:szCs w:val="21"/>
          <w:highlight w:val="none"/>
          <w:u w:val="single"/>
        </w:rPr>
        <w:t>      </w:t>
      </w:r>
      <w:r>
        <w:rPr>
          <w:rFonts w:ascii="宋体" w:hAnsi="宋体"/>
          <w:color w:val="auto"/>
          <w:szCs w:val="21"/>
          <w:highlight w:val="none"/>
        </w:rPr>
        <w:t>月</w:t>
      </w:r>
      <w:r>
        <w:rPr>
          <w:rFonts w:ascii="宋体" w:hAnsi="宋体"/>
          <w:color w:val="auto"/>
          <w:szCs w:val="21"/>
          <w:highlight w:val="none"/>
          <w:u w:val="single"/>
        </w:rPr>
        <w:t>     </w:t>
      </w:r>
      <w:r>
        <w:rPr>
          <w:rFonts w:ascii="宋体" w:hAnsi="宋体"/>
          <w:color w:val="auto"/>
          <w:szCs w:val="21"/>
          <w:highlight w:val="none"/>
        </w:rPr>
        <w:t> 日</w:t>
      </w:r>
      <w:r>
        <w:rPr>
          <w:rFonts w:hint="eastAsia" w:ascii="宋体" w:hAnsi="宋体"/>
          <w:color w:val="auto"/>
          <w:szCs w:val="21"/>
          <w:highlight w:val="none"/>
        </w:rPr>
        <w:t>成交</w:t>
      </w:r>
      <w:r>
        <w:rPr>
          <w:rFonts w:ascii="宋体" w:hAnsi="宋体"/>
          <w:color w:val="auto"/>
          <w:szCs w:val="21"/>
          <w:highlight w:val="none"/>
        </w:rPr>
        <w:t>的</w:t>
      </w:r>
      <w:r>
        <w:rPr>
          <w:rFonts w:ascii="宋体" w:hAnsi="宋体"/>
          <w:color w:val="auto"/>
          <w:szCs w:val="21"/>
          <w:highlight w:val="none"/>
          <w:u w:val="single"/>
        </w:rPr>
        <w:t>                           </w:t>
      </w:r>
      <w:r>
        <w:rPr>
          <w:rFonts w:ascii="宋体" w:hAnsi="宋体"/>
          <w:color w:val="auto"/>
          <w:szCs w:val="21"/>
          <w:highlight w:val="none"/>
        </w:rPr>
        <w:t xml:space="preserve">（工程名称）。我方愿意无条件地、不可撤销地就该项目，向你方提供连带责任担保。 </w:t>
      </w:r>
    </w:p>
    <w:p>
      <w:pPr>
        <w:spacing w:line="400" w:lineRule="exact"/>
        <w:rPr>
          <w:rFonts w:ascii="宋体" w:hAnsi="宋体"/>
          <w:color w:val="auto"/>
          <w:szCs w:val="21"/>
          <w:highlight w:val="none"/>
        </w:rPr>
      </w:pPr>
      <w:r>
        <w:rPr>
          <w:rFonts w:ascii="宋体" w:hAnsi="宋体"/>
          <w:color w:val="auto"/>
          <w:szCs w:val="21"/>
          <w:highlight w:val="none"/>
        </w:rPr>
        <w:t>1. 担保金额人民币（大写）</w:t>
      </w:r>
      <w:r>
        <w:rPr>
          <w:rFonts w:ascii="宋体" w:hAnsi="宋体"/>
          <w:color w:val="auto"/>
          <w:szCs w:val="21"/>
          <w:highlight w:val="none"/>
          <w:u w:val="single"/>
        </w:rPr>
        <w:t xml:space="preserve">                 </w:t>
      </w:r>
      <w:r>
        <w:rPr>
          <w:rFonts w:ascii="宋体" w:hAnsi="宋体"/>
          <w:color w:val="auto"/>
          <w:szCs w:val="21"/>
          <w:highlight w:val="none"/>
        </w:rPr>
        <w:t>元（¥</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2. 担保有效期自你方与承包人签订的合同生效之日起至你方签发或应签发工程接收证书之日止。</w:t>
      </w:r>
    </w:p>
    <w:p>
      <w:pPr>
        <w:spacing w:line="400" w:lineRule="exact"/>
        <w:rPr>
          <w:rFonts w:ascii="宋体" w:hAnsi="宋体"/>
          <w:color w:val="auto"/>
          <w:szCs w:val="21"/>
          <w:highlight w:val="none"/>
        </w:rPr>
      </w:pPr>
      <w:r>
        <w:rPr>
          <w:rFonts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400" w:lineRule="exact"/>
        <w:rPr>
          <w:rFonts w:ascii="宋体" w:hAnsi="宋体"/>
          <w:color w:val="auto"/>
          <w:szCs w:val="21"/>
          <w:highlight w:val="none"/>
        </w:rPr>
      </w:pPr>
      <w:r>
        <w:rPr>
          <w:rFonts w:ascii="宋体" w:hAnsi="宋体"/>
          <w:color w:val="auto"/>
          <w:szCs w:val="21"/>
          <w:highlight w:val="none"/>
        </w:rPr>
        <w:t>4. 你方和承包人按合同约定变更合同时，我方承担本担保规定的义务不变。</w:t>
      </w:r>
    </w:p>
    <w:p>
      <w:pPr>
        <w:spacing w:line="400" w:lineRule="exact"/>
        <w:rPr>
          <w:rFonts w:ascii="宋体" w:hAnsi="宋体"/>
          <w:color w:val="auto"/>
          <w:szCs w:val="21"/>
          <w:highlight w:val="none"/>
        </w:rPr>
      </w:pPr>
      <w:r>
        <w:rPr>
          <w:rFonts w:ascii="宋体" w:hAnsi="宋体"/>
          <w:color w:val="auto"/>
          <w:szCs w:val="21"/>
          <w:highlight w:val="none"/>
        </w:rPr>
        <w:t>5. 因本保函发生的纠纷，可由双方协商解决，协商不成的，任何一方均可提请</w:t>
      </w:r>
      <w:r>
        <w:rPr>
          <w:rFonts w:hint="eastAsia" w:ascii="宋体" w:hAnsi="宋体"/>
          <w:color w:val="auto"/>
          <w:szCs w:val="21"/>
          <w:highlight w:val="none"/>
          <w:u w:val="single"/>
        </w:rPr>
        <w:t>项目所在地人民法院</w:t>
      </w:r>
      <w:r>
        <w:rPr>
          <w:rFonts w:hint="eastAsia" w:ascii="宋体" w:hAnsi="宋体"/>
          <w:color w:val="auto"/>
          <w:szCs w:val="21"/>
          <w:highlight w:val="none"/>
        </w:rPr>
        <w:t>起诉</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6. 本保函自我方法定代表人（或其授权代理人）签字并加盖公章之日起生效。</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ascii="宋体" w:hAnsi="宋体"/>
          <w:color w:val="auto"/>
          <w:szCs w:val="21"/>
          <w:highlight w:val="none"/>
        </w:rPr>
        <w:t>担 保 人：</w:t>
      </w:r>
      <w:r>
        <w:rPr>
          <w:rFonts w:ascii="宋体" w:hAnsi="宋体"/>
          <w:color w:val="auto"/>
          <w:szCs w:val="21"/>
          <w:highlight w:val="none"/>
          <w:u w:val="single"/>
        </w:rPr>
        <w:t xml:space="preserve">                           </w:t>
      </w:r>
      <w:r>
        <w:rPr>
          <w:rFonts w:ascii="宋体" w:hAnsi="宋体"/>
          <w:color w:val="auto"/>
          <w:szCs w:val="21"/>
          <w:highlight w:val="none"/>
        </w:rPr>
        <w:t>（盖单位章）</w:t>
      </w:r>
    </w:p>
    <w:p>
      <w:pPr>
        <w:spacing w:line="400" w:lineRule="exact"/>
        <w:rPr>
          <w:rFonts w:ascii="宋体" w:hAnsi="宋体"/>
          <w:color w:val="auto"/>
          <w:szCs w:val="21"/>
          <w:highlight w:val="none"/>
        </w:rPr>
      </w:pPr>
      <w:r>
        <w:rPr>
          <w:rFonts w:ascii="宋体" w:hAnsi="宋体"/>
          <w:color w:val="auto"/>
          <w:szCs w:val="21"/>
          <w:highlight w:val="none"/>
        </w:rPr>
        <w:t>法定代表人或其委托代理人：</w:t>
      </w:r>
      <w:r>
        <w:rPr>
          <w:rFonts w:ascii="宋体" w:hAnsi="宋体"/>
          <w:color w:val="auto"/>
          <w:szCs w:val="21"/>
          <w:highlight w:val="none"/>
          <w:u w:val="single"/>
        </w:rPr>
        <w:t xml:space="preserve">               </w:t>
      </w:r>
      <w:r>
        <w:rPr>
          <w:rFonts w:ascii="宋体" w:hAnsi="宋体"/>
          <w:color w:val="auto"/>
          <w:szCs w:val="21"/>
          <w:highlight w:val="none"/>
        </w:rPr>
        <w:t>（签字）</w:t>
      </w:r>
    </w:p>
    <w:p>
      <w:pPr>
        <w:spacing w:line="400" w:lineRule="exact"/>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szCs w:val="21"/>
          <w:highlight w:val="none"/>
        </w:rPr>
        <w:t>邮政编码：</w:t>
      </w:r>
      <w:r>
        <w:rPr>
          <w:rFonts w:ascii="宋体" w:hAnsi="宋体"/>
          <w:color w:val="auto"/>
          <w:szCs w:val="21"/>
          <w:highlight w:val="none"/>
          <w:u w:val="single"/>
        </w:rPr>
        <w:t xml:space="preserve">                                      </w:t>
      </w:r>
    </w:p>
    <w:p>
      <w:pPr>
        <w:spacing w:line="400" w:lineRule="exact"/>
        <w:rPr>
          <w:rFonts w:ascii="宋体" w:hAnsi="宋体"/>
          <w:color w:val="auto"/>
          <w:szCs w:val="21"/>
          <w:highlight w:val="none"/>
          <w:u w:val="single"/>
        </w:rPr>
      </w:pPr>
      <w:r>
        <w:rPr>
          <w:rFonts w:ascii="宋体" w:hAnsi="宋体"/>
          <w:color w:val="auto"/>
          <w:szCs w:val="21"/>
          <w:highlight w:val="none"/>
        </w:rPr>
        <w:t>电    话：</w:t>
      </w:r>
      <w:r>
        <w:rPr>
          <w:rFonts w:ascii="宋体" w:hAnsi="宋体"/>
          <w:color w:val="auto"/>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szCs w:val="21"/>
          <w:highlight w:val="none"/>
        </w:rPr>
        <w:t>传    真：</w:t>
      </w:r>
      <w:r>
        <w:rPr>
          <w:rFonts w:ascii="宋体" w:hAnsi="宋体"/>
          <w:color w:val="auto"/>
          <w:szCs w:val="21"/>
          <w:highlight w:val="none"/>
          <w:u w:val="single"/>
        </w:rPr>
        <w:t xml:space="preserve">                                      </w:t>
      </w:r>
    </w:p>
    <w:p>
      <w:pPr>
        <w:spacing w:line="400" w:lineRule="exact"/>
        <w:ind w:left="1329" w:hanging="1329" w:hangingChars="633"/>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400" w:lineRule="exact"/>
        <w:ind w:left="1329" w:hanging="1329" w:hangingChars="633"/>
        <w:rPr>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ascii="宋体" w:hAnsi="宋体"/>
          <w:b/>
          <w:color w:val="auto"/>
          <w:szCs w:val="21"/>
          <w:highlight w:val="none"/>
        </w:rPr>
        <w:t>附</w:t>
      </w:r>
      <w:bookmarkStart w:id="987" w:name="_Toc296891053"/>
      <w:bookmarkStart w:id="988" w:name="_Toc296346726"/>
      <w:bookmarkStart w:id="989" w:name="_Toc267261692"/>
      <w:bookmarkStart w:id="990" w:name="_Toc296944564"/>
      <w:bookmarkStart w:id="991" w:name="_Toc296891265"/>
      <w:bookmarkStart w:id="992" w:name="_Toc296503225"/>
      <w:bookmarkStart w:id="993" w:name="_Toc296347224"/>
      <w:r>
        <w:rPr>
          <w:rFonts w:ascii="宋体" w:hAnsi="宋体"/>
          <w:b/>
          <w:color w:val="auto"/>
          <w:szCs w:val="21"/>
          <w:highlight w:val="none"/>
        </w:rPr>
        <w:t>件</w:t>
      </w:r>
      <w:r>
        <w:rPr>
          <w:rFonts w:hint="eastAsia" w:ascii="宋体" w:hAnsi="宋体"/>
          <w:b/>
          <w:color w:val="auto"/>
          <w:szCs w:val="21"/>
          <w:highlight w:val="none"/>
        </w:rPr>
        <w:t>6：</w:t>
      </w:r>
      <w:bookmarkEnd w:id="987"/>
      <w:bookmarkEnd w:id="988"/>
      <w:bookmarkEnd w:id="989"/>
      <w:bookmarkEnd w:id="990"/>
      <w:bookmarkEnd w:id="991"/>
      <w:bookmarkEnd w:id="992"/>
      <w:bookmarkEnd w:id="993"/>
      <w:r>
        <w:rPr>
          <w:rFonts w:ascii="宋体" w:hAnsi="宋体"/>
          <w:b/>
          <w:color w:val="auto"/>
          <w:szCs w:val="21"/>
          <w:highlight w:val="none"/>
        </w:rPr>
        <w:t>承包人用于本工程施工的机械设备表</w:t>
      </w:r>
      <w:r>
        <w:rPr>
          <w:rFonts w:hint="eastAsia" w:ascii="宋体" w:hAnsi="宋体"/>
          <w:b/>
          <w:color w:val="auto"/>
          <w:szCs w:val="21"/>
          <w:highlight w:val="none"/>
        </w:rPr>
        <w:t>（格式）</w:t>
      </w:r>
    </w:p>
    <w:p>
      <w:pPr>
        <w:spacing w:line="400" w:lineRule="exact"/>
        <w:rPr>
          <w:rFonts w:ascii="宋体" w:hAnsi="宋体"/>
          <w:b/>
          <w:color w:val="auto"/>
          <w:szCs w:val="21"/>
          <w:highlight w:val="none"/>
        </w:rPr>
      </w:pPr>
    </w:p>
    <w:p>
      <w:pPr>
        <w:spacing w:line="400" w:lineRule="exact"/>
        <w:jc w:val="center"/>
        <w:rPr>
          <w:rFonts w:ascii="宋体" w:hAnsi="宋体"/>
          <w:b/>
          <w:color w:val="auto"/>
          <w:szCs w:val="21"/>
          <w:highlight w:val="none"/>
        </w:rPr>
      </w:pPr>
      <w:r>
        <w:rPr>
          <w:rFonts w:ascii="宋体" w:hAnsi="宋体"/>
          <w:b/>
          <w:color w:val="auto"/>
          <w:szCs w:val="21"/>
          <w:highlight w:val="none"/>
        </w:rPr>
        <w:t>承包人用于本工程施工的机械设备表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7"/>
        <w:gridCol w:w="1137"/>
        <w:gridCol w:w="1137"/>
        <w:gridCol w:w="1137"/>
        <w:gridCol w:w="1137"/>
        <w:gridCol w:w="1137"/>
        <w:gridCol w:w="1137"/>
        <w:gridCol w:w="1137"/>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序号</w:t>
            </w:r>
          </w:p>
        </w:tc>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机械或设备名称</w:t>
            </w:r>
          </w:p>
        </w:tc>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规格</w:t>
            </w:r>
          </w:p>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型号</w:t>
            </w:r>
          </w:p>
        </w:tc>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数量</w:t>
            </w:r>
          </w:p>
        </w:tc>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产地</w:t>
            </w:r>
          </w:p>
        </w:tc>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制造</w:t>
            </w:r>
          </w:p>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年份</w:t>
            </w:r>
          </w:p>
        </w:tc>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额定功率</w:t>
            </w:r>
          </w:p>
          <w:p>
            <w:pPr>
              <w:pStyle w:val="18"/>
              <w:keepNext/>
              <w:spacing w:line="300" w:lineRule="exact"/>
              <w:ind w:left="63" w:right="63"/>
              <w:rPr>
                <w:rFonts w:ascii="宋体" w:hAnsi="宋体"/>
                <w:b/>
                <w:color w:val="auto"/>
                <w:sz w:val="21"/>
                <w:szCs w:val="21"/>
                <w:highlight w:val="none"/>
              </w:rPr>
            </w:pPr>
            <w:r>
              <w:rPr>
                <w:rFonts w:hint="eastAsia" w:ascii="宋体" w:hAnsi="宋体"/>
                <w:b/>
                <w:color w:val="auto"/>
                <w:sz w:val="21"/>
                <w:szCs w:val="21"/>
                <w:highlight w:val="none"/>
              </w:rPr>
              <w:t>（</w:t>
            </w:r>
            <w:r>
              <w:rPr>
                <w:rFonts w:ascii="宋体" w:hAnsi="宋体"/>
                <w:b/>
                <w:color w:val="auto"/>
                <w:sz w:val="21"/>
                <w:szCs w:val="21"/>
                <w:highlight w:val="none"/>
              </w:rPr>
              <w:t>kW</w:t>
            </w:r>
            <w:r>
              <w:rPr>
                <w:rFonts w:hint="eastAsia" w:ascii="宋体" w:hAnsi="宋体"/>
                <w:b/>
                <w:color w:val="auto"/>
                <w:sz w:val="21"/>
                <w:szCs w:val="21"/>
                <w:highlight w:val="none"/>
              </w:rPr>
              <w:t>）</w:t>
            </w:r>
          </w:p>
        </w:tc>
        <w:tc>
          <w:tcPr>
            <w:tcW w:w="1137"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生产</w:t>
            </w:r>
          </w:p>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能力</w:t>
            </w:r>
          </w:p>
        </w:tc>
        <w:tc>
          <w:tcPr>
            <w:tcW w:w="1138" w:type="dxa"/>
            <w:vAlign w:val="center"/>
          </w:tcPr>
          <w:p>
            <w:pPr>
              <w:pStyle w:val="18"/>
              <w:keepNext/>
              <w:spacing w:line="300" w:lineRule="exact"/>
              <w:ind w:left="63" w:right="63"/>
              <w:rPr>
                <w:rFonts w:ascii="宋体" w:hAnsi="宋体"/>
                <w:b/>
                <w:color w:val="auto"/>
                <w:sz w:val="21"/>
                <w:szCs w:val="21"/>
                <w:highlight w:val="none"/>
              </w:rPr>
            </w:pPr>
            <w:r>
              <w:rPr>
                <w:rFonts w:ascii="宋体" w:hAnsi="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137" w:type="dxa"/>
            <w:vAlign w:val="center"/>
          </w:tcPr>
          <w:p>
            <w:pPr>
              <w:pStyle w:val="18"/>
              <w:keepNext/>
              <w:spacing w:line="300" w:lineRule="exact"/>
              <w:ind w:left="63" w:right="63"/>
              <w:rPr>
                <w:rFonts w:ascii="宋体" w:hAnsi="宋体"/>
                <w:b/>
                <w:color w:val="auto"/>
                <w:sz w:val="21"/>
                <w:szCs w:val="21"/>
                <w:highlight w:val="none"/>
              </w:rPr>
            </w:pPr>
            <w:r>
              <w:rPr>
                <w:rFonts w:hint="eastAsia" w:ascii="宋体" w:hAnsi="宋体"/>
                <w:b/>
                <w:color w:val="auto"/>
                <w:sz w:val="21"/>
                <w:szCs w:val="21"/>
                <w:highlight w:val="none"/>
              </w:rPr>
              <w:t>……</w:t>
            </w: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8" w:type="dxa"/>
            <w:vAlign w:val="center"/>
          </w:tcPr>
          <w:p>
            <w:pPr>
              <w:pStyle w:val="18"/>
              <w:keepNext/>
              <w:spacing w:line="300" w:lineRule="exact"/>
              <w:ind w:left="63" w:right="63"/>
              <w:rPr>
                <w:rFonts w:ascii="宋体" w:hAnsi="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137" w:type="dxa"/>
            <w:vAlign w:val="center"/>
          </w:tcPr>
          <w:p>
            <w:pPr>
              <w:pStyle w:val="18"/>
              <w:keepNext/>
              <w:spacing w:line="300" w:lineRule="exact"/>
              <w:ind w:left="63" w:right="63"/>
              <w:rPr>
                <w:rFonts w:ascii="宋体" w:hAnsi="宋体"/>
                <w:b/>
                <w:color w:val="auto"/>
                <w:sz w:val="21"/>
                <w:szCs w:val="21"/>
                <w:highlight w:val="none"/>
              </w:rPr>
            </w:pPr>
            <w:r>
              <w:rPr>
                <w:rFonts w:hint="eastAsia" w:ascii="宋体" w:hAnsi="宋体"/>
                <w:b/>
                <w:color w:val="auto"/>
                <w:sz w:val="21"/>
                <w:szCs w:val="21"/>
                <w:highlight w:val="none"/>
              </w:rPr>
              <w:t>N</w:t>
            </w: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7" w:type="dxa"/>
            <w:vAlign w:val="center"/>
          </w:tcPr>
          <w:p>
            <w:pPr>
              <w:pStyle w:val="18"/>
              <w:keepNext/>
              <w:spacing w:line="300" w:lineRule="exact"/>
              <w:ind w:left="63" w:right="63"/>
              <w:rPr>
                <w:rFonts w:ascii="宋体" w:hAnsi="宋体"/>
                <w:b/>
                <w:color w:val="auto"/>
                <w:sz w:val="21"/>
                <w:szCs w:val="21"/>
                <w:highlight w:val="none"/>
              </w:rPr>
            </w:pPr>
          </w:p>
        </w:tc>
        <w:tc>
          <w:tcPr>
            <w:tcW w:w="1138" w:type="dxa"/>
            <w:vAlign w:val="center"/>
          </w:tcPr>
          <w:p>
            <w:pPr>
              <w:pStyle w:val="18"/>
              <w:keepNext/>
              <w:spacing w:line="300" w:lineRule="exact"/>
              <w:ind w:left="63" w:right="63"/>
              <w:rPr>
                <w:rFonts w:ascii="宋体" w:hAnsi="宋体"/>
                <w:b/>
                <w:color w:val="auto"/>
                <w:sz w:val="21"/>
                <w:szCs w:val="21"/>
                <w:highlight w:val="none"/>
              </w:rPr>
            </w:pPr>
          </w:p>
        </w:tc>
      </w:tr>
    </w:tbl>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pStyle w:val="2"/>
        <w:rPr>
          <w:color w:val="auto"/>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ascii="宋体" w:hAnsi="宋体"/>
          <w:b/>
          <w:color w:val="auto"/>
          <w:szCs w:val="21"/>
          <w:highlight w:val="none"/>
        </w:rPr>
        <w:t>附件</w:t>
      </w:r>
      <w:r>
        <w:rPr>
          <w:rFonts w:hint="eastAsia" w:ascii="宋体" w:hAnsi="宋体"/>
          <w:b/>
          <w:color w:val="auto"/>
          <w:szCs w:val="21"/>
          <w:highlight w:val="none"/>
        </w:rPr>
        <w:t>7</w:t>
      </w:r>
      <w:r>
        <w:rPr>
          <w:rFonts w:ascii="宋体" w:hAnsi="宋体"/>
          <w:b/>
          <w:color w:val="auto"/>
          <w:szCs w:val="21"/>
          <w:highlight w:val="none"/>
        </w:rPr>
        <w:t>：预付款担保</w:t>
      </w:r>
      <w:r>
        <w:rPr>
          <w:rFonts w:hint="eastAsia" w:ascii="宋体" w:hAnsi="宋体"/>
          <w:b/>
          <w:color w:val="auto"/>
          <w:szCs w:val="21"/>
          <w:highlight w:val="none"/>
        </w:rPr>
        <w:t>（格式）</w:t>
      </w:r>
    </w:p>
    <w:p>
      <w:pPr>
        <w:spacing w:line="400" w:lineRule="exact"/>
        <w:rPr>
          <w:rFonts w:ascii="宋体" w:hAnsi="宋体"/>
          <w:b/>
          <w:color w:val="auto"/>
          <w:szCs w:val="21"/>
          <w:highlight w:val="none"/>
        </w:rPr>
      </w:pPr>
    </w:p>
    <w:p>
      <w:pPr>
        <w:spacing w:before="156" w:beforeLines="50" w:after="156" w:afterLines="50" w:line="400" w:lineRule="exact"/>
        <w:jc w:val="center"/>
        <w:rPr>
          <w:rFonts w:ascii="宋体" w:hAnsi="宋体"/>
          <w:b/>
          <w:color w:val="auto"/>
          <w:szCs w:val="21"/>
          <w:highlight w:val="none"/>
        </w:rPr>
      </w:pPr>
      <w:r>
        <w:rPr>
          <w:rFonts w:ascii="宋体" w:hAnsi="宋体"/>
          <w:b/>
          <w:color w:val="auto"/>
          <w:szCs w:val="21"/>
          <w:highlight w:val="none"/>
        </w:rPr>
        <w:t>预付款担保</w:t>
      </w:r>
    </w:p>
    <w:p>
      <w:pPr>
        <w:spacing w:line="400" w:lineRule="exact"/>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 xml:space="preserve"> （发包人名称）：</w:t>
      </w:r>
    </w:p>
    <w:p>
      <w:pPr>
        <w:spacing w:line="400" w:lineRule="exact"/>
        <w:rPr>
          <w:rFonts w:ascii="宋体" w:hAnsi="宋体"/>
          <w:color w:val="auto"/>
          <w:szCs w:val="21"/>
          <w:highlight w:val="none"/>
        </w:rPr>
      </w:pPr>
      <w:r>
        <w:rPr>
          <w:rFonts w:ascii="宋体" w:hAnsi="宋体"/>
          <w:color w:val="auto"/>
          <w:szCs w:val="21"/>
          <w:highlight w:val="none"/>
        </w:rPr>
        <w:t>根据</w:t>
      </w:r>
      <w:r>
        <w:rPr>
          <w:rFonts w:ascii="宋体" w:hAnsi="宋体"/>
          <w:color w:val="auto"/>
          <w:szCs w:val="21"/>
          <w:highlight w:val="none"/>
          <w:u w:val="single"/>
        </w:rPr>
        <w:t xml:space="preserve">                 </w:t>
      </w:r>
      <w:r>
        <w:rPr>
          <w:rFonts w:ascii="宋体" w:hAnsi="宋体"/>
          <w:color w:val="auto"/>
          <w:szCs w:val="21"/>
          <w:highlight w:val="none"/>
        </w:rPr>
        <w:t>（承包人名称）（以下称“承包人”）与</w:t>
      </w:r>
      <w:r>
        <w:rPr>
          <w:rFonts w:ascii="宋体" w:hAnsi="宋体"/>
          <w:color w:val="auto"/>
          <w:szCs w:val="21"/>
          <w:highlight w:val="none"/>
          <w:u w:val="single"/>
        </w:rPr>
        <w:t xml:space="preserve">                        </w:t>
      </w:r>
      <w:r>
        <w:rPr>
          <w:rFonts w:ascii="宋体" w:hAnsi="宋体"/>
          <w:color w:val="auto"/>
          <w:szCs w:val="21"/>
          <w:highlight w:val="none"/>
        </w:rPr>
        <w:t>（发包人名称）（以下简称“发包人”）于</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日签订的</w:t>
      </w:r>
      <w:r>
        <w:rPr>
          <w:rFonts w:ascii="宋体" w:hAnsi="宋体"/>
          <w:color w:val="auto"/>
          <w:szCs w:val="21"/>
          <w:highlight w:val="none"/>
          <w:u w:val="single"/>
        </w:rPr>
        <w:t xml:space="preserve">                   </w:t>
      </w:r>
      <w:r>
        <w:rPr>
          <w:rFonts w:ascii="宋体" w:hAnsi="宋体"/>
          <w:color w:val="auto"/>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spacing w:line="400" w:lineRule="exact"/>
        <w:rPr>
          <w:rFonts w:ascii="宋体" w:hAnsi="宋体"/>
          <w:color w:val="auto"/>
          <w:szCs w:val="21"/>
          <w:highlight w:val="none"/>
        </w:rPr>
      </w:pPr>
      <w:r>
        <w:rPr>
          <w:rFonts w:ascii="宋体" w:hAnsi="宋体"/>
          <w:color w:val="auto"/>
          <w:szCs w:val="21"/>
          <w:highlight w:val="none"/>
        </w:rPr>
        <w:t>1. 担保金额人民币（大写）</w:t>
      </w:r>
      <w:r>
        <w:rPr>
          <w:rFonts w:ascii="宋体" w:hAnsi="宋体"/>
          <w:color w:val="auto"/>
          <w:szCs w:val="21"/>
          <w:highlight w:val="none"/>
          <w:u w:val="single"/>
        </w:rPr>
        <w:t xml:space="preserve">                </w:t>
      </w:r>
      <w:r>
        <w:rPr>
          <w:rFonts w:ascii="宋体" w:hAnsi="宋体"/>
          <w:color w:val="auto"/>
          <w:szCs w:val="21"/>
          <w:highlight w:val="none"/>
        </w:rPr>
        <w:t>元（¥</w:t>
      </w:r>
      <w:r>
        <w:rPr>
          <w:rFonts w:ascii="宋体" w:hAnsi="宋体"/>
          <w:color w:val="auto"/>
          <w:szCs w:val="21"/>
          <w:highlight w:val="none"/>
          <w:u w:val="single"/>
        </w:rPr>
        <w:t xml:space="preserve">             </w:t>
      </w:r>
      <w:r>
        <w:rPr>
          <w:rFonts w:ascii="宋体" w:hAnsi="宋体"/>
          <w:color w:val="auto"/>
          <w:szCs w:val="21"/>
          <w:highlight w:val="none"/>
        </w:rPr>
        <w:t>）。</w:t>
      </w:r>
    </w:p>
    <w:p>
      <w:pPr>
        <w:spacing w:line="400" w:lineRule="exact"/>
        <w:rPr>
          <w:rFonts w:ascii="宋体" w:hAnsi="宋体"/>
          <w:color w:val="auto"/>
          <w:szCs w:val="21"/>
          <w:highlight w:val="none"/>
        </w:rPr>
      </w:pPr>
      <w:r>
        <w:rPr>
          <w:rFonts w:ascii="宋体" w:hAnsi="宋体"/>
          <w:color w:val="auto"/>
          <w:szCs w:val="21"/>
          <w:highlight w:val="none"/>
        </w:rPr>
        <w:t>2. 担保有效期自预付款支付给承包人起生效，至你方签发的进度款支付证书说明已完全扣清止。</w:t>
      </w:r>
    </w:p>
    <w:p>
      <w:pPr>
        <w:spacing w:line="400" w:lineRule="exact"/>
        <w:rPr>
          <w:rFonts w:ascii="宋体" w:hAnsi="宋体"/>
          <w:color w:val="auto"/>
          <w:szCs w:val="21"/>
          <w:highlight w:val="none"/>
        </w:rPr>
      </w:pPr>
      <w:r>
        <w:rPr>
          <w:rFonts w:ascii="宋体" w:hAnsi="宋体"/>
          <w:color w:val="auto"/>
          <w:szCs w:val="21"/>
          <w:highlight w:val="none"/>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400" w:lineRule="exact"/>
        <w:rPr>
          <w:rFonts w:ascii="宋体" w:hAnsi="宋体"/>
          <w:color w:val="auto"/>
          <w:szCs w:val="21"/>
          <w:highlight w:val="none"/>
        </w:rPr>
      </w:pPr>
      <w:r>
        <w:rPr>
          <w:rFonts w:ascii="宋体" w:hAnsi="宋体"/>
          <w:color w:val="auto"/>
          <w:szCs w:val="21"/>
          <w:highlight w:val="none"/>
        </w:rPr>
        <w:t>4. 你方和承包人按合同约定变更合同时，我方承担本保函规定的义务不变。</w:t>
      </w:r>
    </w:p>
    <w:p>
      <w:pPr>
        <w:spacing w:line="400" w:lineRule="exact"/>
        <w:rPr>
          <w:rFonts w:ascii="宋体" w:hAnsi="宋体"/>
          <w:color w:val="auto"/>
          <w:szCs w:val="21"/>
          <w:highlight w:val="none"/>
        </w:rPr>
      </w:pPr>
      <w:r>
        <w:rPr>
          <w:rFonts w:ascii="宋体" w:hAnsi="宋体"/>
          <w:color w:val="auto"/>
          <w:szCs w:val="21"/>
          <w:highlight w:val="none"/>
        </w:rPr>
        <w:t>5. 因本保函发生的纠纷，可由双方协商解决，协商不成的，任何一方均可提请</w:t>
      </w:r>
      <w:r>
        <w:rPr>
          <w:rFonts w:hint="eastAsia" w:ascii="宋体" w:hAnsi="宋体"/>
          <w:color w:val="auto"/>
          <w:szCs w:val="21"/>
          <w:highlight w:val="none"/>
          <w:u w:val="single"/>
        </w:rPr>
        <w:t>项目所在地人民法院</w:t>
      </w:r>
      <w:r>
        <w:rPr>
          <w:rFonts w:hint="eastAsia" w:ascii="宋体" w:hAnsi="宋体"/>
          <w:color w:val="auto"/>
          <w:szCs w:val="21"/>
          <w:highlight w:val="none"/>
        </w:rPr>
        <w:t>起诉</w:t>
      </w:r>
      <w:r>
        <w:rPr>
          <w:rFonts w:ascii="宋体" w:hAnsi="宋体"/>
          <w:color w:val="auto"/>
          <w:szCs w:val="21"/>
          <w:highlight w:val="none"/>
        </w:rPr>
        <w:t>。</w:t>
      </w:r>
    </w:p>
    <w:p>
      <w:pPr>
        <w:spacing w:line="400" w:lineRule="exact"/>
        <w:jc w:val="left"/>
        <w:rPr>
          <w:rFonts w:ascii="宋体" w:hAnsi="宋体"/>
          <w:color w:val="auto"/>
          <w:szCs w:val="21"/>
          <w:highlight w:val="none"/>
        </w:rPr>
      </w:pPr>
      <w:r>
        <w:rPr>
          <w:rFonts w:ascii="宋体" w:hAnsi="宋体"/>
          <w:color w:val="auto"/>
          <w:szCs w:val="21"/>
          <w:highlight w:val="none"/>
        </w:rPr>
        <w:t>6. 本保函自我方法定代表人（或其授权代理人）签字并加盖公章之日起生效。</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ascii="宋体" w:hAnsi="宋体"/>
          <w:color w:val="auto"/>
          <w:szCs w:val="21"/>
          <w:highlight w:val="none"/>
        </w:rPr>
        <w:t>担保人：</w:t>
      </w:r>
      <w:r>
        <w:rPr>
          <w:rFonts w:ascii="宋体" w:hAnsi="宋体"/>
          <w:color w:val="auto"/>
          <w:szCs w:val="21"/>
          <w:highlight w:val="none"/>
          <w:u w:val="single"/>
        </w:rPr>
        <w:t xml:space="preserve">                          </w:t>
      </w:r>
      <w:r>
        <w:rPr>
          <w:rFonts w:ascii="宋体" w:hAnsi="宋体"/>
          <w:color w:val="auto"/>
          <w:szCs w:val="21"/>
          <w:highlight w:val="none"/>
        </w:rPr>
        <w:t>（盖单位章）</w:t>
      </w:r>
    </w:p>
    <w:p>
      <w:pPr>
        <w:spacing w:line="400" w:lineRule="exact"/>
        <w:rPr>
          <w:rFonts w:ascii="宋体" w:hAnsi="宋体"/>
          <w:color w:val="auto"/>
          <w:szCs w:val="21"/>
          <w:highlight w:val="none"/>
        </w:rPr>
      </w:pPr>
      <w:r>
        <w:rPr>
          <w:rFonts w:ascii="宋体" w:hAnsi="宋体"/>
          <w:color w:val="auto"/>
          <w:szCs w:val="21"/>
          <w:highlight w:val="none"/>
        </w:rPr>
        <w:t>法定代表人或其委托代理人：</w:t>
      </w:r>
      <w:r>
        <w:rPr>
          <w:rFonts w:ascii="宋体" w:hAnsi="宋体"/>
          <w:color w:val="auto"/>
          <w:szCs w:val="21"/>
          <w:highlight w:val="none"/>
          <w:u w:val="single"/>
        </w:rPr>
        <w:t xml:space="preserve">            </w:t>
      </w:r>
      <w:r>
        <w:rPr>
          <w:rFonts w:ascii="宋体" w:hAnsi="宋体"/>
          <w:color w:val="auto"/>
          <w:szCs w:val="21"/>
          <w:highlight w:val="none"/>
        </w:rPr>
        <w:t>（签字）</w:t>
      </w:r>
    </w:p>
    <w:p>
      <w:pPr>
        <w:spacing w:line="400" w:lineRule="exact"/>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 xml:space="preserve">                            </w:t>
      </w:r>
    </w:p>
    <w:p>
      <w:pPr>
        <w:spacing w:line="400" w:lineRule="exact"/>
        <w:rPr>
          <w:rFonts w:ascii="宋体" w:hAnsi="宋体"/>
          <w:color w:val="auto"/>
          <w:szCs w:val="21"/>
          <w:highlight w:val="none"/>
          <w:u w:val="single"/>
        </w:rPr>
      </w:pPr>
      <w:r>
        <w:rPr>
          <w:rFonts w:ascii="宋体" w:hAnsi="宋体"/>
          <w:color w:val="auto"/>
          <w:szCs w:val="21"/>
          <w:highlight w:val="none"/>
        </w:rPr>
        <w:t>邮政编码：</w:t>
      </w:r>
      <w:r>
        <w:rPr>
          <w:rFonts w:ascii="宋体" w:hAnsi="宋体"/>
          <w:color w:val="auto"/>
          <w:szCs w:val="21"/>
          <w:highlight w:val="none"/>
          <w:u w:val="single"/>
        </w:rPr>
        <w:t xml:space="preserve">                            </w:t>
      </w:r>
    </w:p>
    <w:p>
      <w:pPr>
        <w:spacing w:line="400" w:lineRule="exact"/>
        <w:rPr>
          <w:rFonts w:ascii="宋体" w:hAnsi="宋体"/>
          <w:color w:val="auto"/>
          <w:szCs w:val="21"/>
          <w:highlight w:val="none"/>
          <w:u w:val="single"/>
        </w:rPr>
      </w:pPr>
      <w:r>
        <w:rPr>
          <w:rFonts w:ascii="宋体" w:hAnsi="宋体"/>
          <w:color w:val="auto"/>
          <w:szCs w:val="21"/>
          <w:highlight w:val="none"/>
        </w:rPr>
        <w:t>电    话：</w:t>
      </w:r>
      <w:r>
        <w:rPr>
          <w:rFonts w:ascii="宋体" w:hAnsi="宋体"/>
          <w:color w:val="auto"/>
          <w:szCs w:val="21"/>
          <w:highlight w:val="none"/>
          <w:u w:val="single"/>
        </w:rPr>
        <w:t xml:space="preserve">                            </w:t>
      </w:r>
    </w:p>
    <w:p>
      <w:pPr>
        <w:spacing w:line="400" w:lineRule="exact"/>
        <w:rPr>
          <w:rFonts w:ascii="宋体" w:hAnsi="宋体"/>
          <w:color w:val="auto"/>
          <w:szCs w:val="21"/>
          <w:highlight w:val="none"/>
          <w:u w:val="single"/>
        </w:rPr>
      </w:pPr>
      <w:r>
        <w:rPr>
          <w:rFonts w:ascii="宋体" w:hAnsi="宋体"/>
          <w:color w:val="auto"/>
          <w:szCs w:val="21"/>
          <w:highlight w:val="none"/>
        </w:rPr>
        <w:t>传    真：</w:t>
      </w:r>
      <w:r>
        <w:rPr>
          <w:rFonts w:ascii="宋体" w:hAnsi="宋体"/>
          <w:color w:val="auto"/>
          <w:szCs w:val="21"/>
          <w:highlight w:val="none"/>
          <w:u w:val="single"/>
        </w:rPr>
        <w:t xml:space="preserve">                            </w:t>
      </w:r>
    </w:p>
    <w:p>
      <w:pPr>
        <w:spacing w:line="400" w:lineRule="exact"/>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widowControl/>
        <w:jc w:val="left"/>
        <w:rPr>
          <w:rFonts w:ascii="宋体" w:cs="宋体"/>
          <w:color w:val="auto"/>
          <w:kern w:val="0"/>
          <w:sz w:val="24"/>
          <w:highlight w:val="none"/>
        </w:rPr>
      </w:pPr>
    </w:p>
    <w:p>
      <w:pPr>
        <w:pStyle w:val="4"/>
        <w:rPr>
          <w:rFonts w:ascii="宋体" w:cs="宋体"/>
          <w:color w:val="auto"/>
          <w:kern w:val="0"/>
          <w:sz w:val="24"/>
          <w:highlight w:val="none"/>
        </w:rPr>
      </w:pPr>
    </w:p>
    <w:p>
      <w:pPr>
        <w:rPr>
          <w:rFonts w:ascii="宋体" w:cs="宋体"/>
          <w:color w:val="auto"/>
          <w:kern w:val="0"/>
          <w:sz w:val="24"/>
          <w:highlight w:val="none"/>
        </w:rPr>
      </w:pPr>
    </w:p>
    <w:p>
      <w:pPr>
        <w:pStyle w:val="4"/>
        <w:rPr>
          <w:rFonts w:ascii="宋体" w:cs="宋体"/>
          <w:color w:val="auto"/>
          <w:kern w:val="0"/>
          <w:sz w:val="24"/>
          <w:highlight w:val="none"/>
        </w:rPr>
      </w:pPr>
    </w:p>
    <w:p>
      <w:pPr>
        <w:rPr>
          <w:rFonts w:ascii="宋体" w:cs="宋体"/>
          <w:color w:val="auto"/>
          <w:kern w:val="0"/>
          <w:sz w:val="24"/>
          <w:highlight w:val="none"/>
        </w:rPr>
      </w:pPr>
    </w:p>
    <w:p>
      <w:pPr>
        <w:pStyle w:val="4"/>
        <w:rPr>
          <w:rFonts w:ascii="宋体" w:cs="宋体"/>
          <w:color w:val="auto"/>
          <w:kern w:val="0"/>
          <w:sz w:val="24"/>
          <w:highlight w:val="none"/>
        </w:rPr>
      </w:pPr>
    </w:p>
    <w:p>
      <w:pPr>
        <w:rPr>
          <w:color w:val="auto"/>
          <w:highlight w:val="none"/>
        </w:rPr>
      </w:pPr>
    </w:p>
    <w:p>
      <w:pPr>
        <w:pStyle w:val="67"/>
        <w:rPr>
          <w:color w:val="auto"/>
          <w:highlight w:val="none"/>
        </w:rPr>
      </w:pPr>
    </w:p>
    <w:p>
      <w:pPr>
        <w:spacing w:line="390" w:lineRule="exact"/>
        <w:jc w:val="center"/>
        <w:outlineLvl w:val="0"/>
        <w:rPr>
          <w:rFonts w:ascii="宋体" w:hAnsi="宋体"/>
          <w:b/>
          <w:color w:val="auto"/>
          <w:sz w:val="36"/>
          <w:szCs w:val="36"/>
          <w:highlight w:val="none"/>
        </w:rPr>
      </w:pPr>
      <w:r>
        <w:rPr>
          <w:rFonts w:hint="eastAsia" w:ascii="宋体" w:hAnsi="宋体"/>
          <w:b/>
          <w:color w:val="auto"/>
          <w:sz w:val="40"/>
          <w:szCs w:val="40"/>
          <w:highlight w:val="none"/>
        </w:rPr>
        <w:t xml:space="preserve">  </w:t>
      </w:r>
      <w:bookmarkStart w:id="994" w:name="_Toc26645"/>
      <w:r>
        <w:rPr>
          <w:rFonts w:hint="eastAsia" w:hAnsi="宋体"/>
          <w:b/>
          <w:color w:val="auto"/>
          <w:sz w:val="36"/>
          <w:szCs w:val="36"/>
          <w:highlight w:val="none"/>
        </w:rPr>
        <w:t>第四章</w:t>
      </w:r>
      <w:r>
        <w:rPr>
          <w:rFonts w:hint="eastAsia" w:ascii="宋体" w:hAnsi="宋体"/>
          <w:b/>
          <w:color w:val="auto"/>
          <w:sz w:val="40"/>
          <w:szCs w:val="40"/>
          <w:highlight w:val="none"/>
        </w:rPr>
        <w:t xml:space="preserve"> </w:t>
      </w:r>
      <w:r>
        <w:rPr>
          <w:rFonts w:hint="eastAsia" w:hAnsi="宋体"/>
          <w:b/>
          <w:color w:val="auto"/>
          <w:sz w:val="36"/>
          <w:szCs w:val="36"/>
          <w:highlight w:val="none"/>
        </w:rPr>
        <w:t>工程量清单</w:t>
      </w:r>
      <w:bookmarkEnd w:id="994"/>
    </w:p>
    <w:p>
      <w:pPr>
        <w:spacing w:line="400" w:lineRule="exact"/>
        <w:jc w:val="center"/>
        <w:rPr>
          <w:rFonts w:ascii="黑体" w:eastAsia="黑体"/>
          <w:b/>
          <w:color w:val="auto"/>
          <w:sz w:val="32"/>
          <w:szCs w:val="32"/>
          <w:highlight w:val="none"/>
        </w:rPr>
      </w:pPr>
    </w:p>
    <w:p>
      <w:pPr>
        <w:spacing w:line="400" w:lineRule="exact"/>
        <w:jc w:val="center"/>
        <w:rPr>
          <w:rFonts w:ascii="黑体" w:eastAsia="黑体"/>
          <w:b/>
          <w:color w:val="auto"/>
          <w:sz w:val="32"/>
          <w:szCs w:val="32"/>
          <w:highlight w:val="none"/>
        </w:rPr>
      </w:pPr>
      <w:r>
        <w:rPr>
          <w:rFonts w:hint="eastAsia" w:ascii="黑体" w:eastAsia="黑体"/>
          <w:b/>
          <w:color w:val="auto"/>
          <w:sz w:val="32"/>
          <w:szCs w:val="32"/>
          <w:highlight w:val="none"/>
        </w:rPr>
        <w:t>工程量清单</w:t>
      </w:r>
    </w:p>
    <w:p>
      <w:pPr>
        <w:spacing w:line="400" w:lineRule="exact"/>
        <w:jc w:val="center"/>
        <w:rPr>
          <w:rFonts w:ascii="黑体" w:eastAsia="黑体"/>
          <w:b/>
          <w:color w:val="auto"/>
          <w:sz w:val="32"/>
          <w:szCs w:val="32"/>
          <w:highlight w:val="none"/>
        </w:rPr>
      </w:pPr>
      <w:r>
        <w:rPr>
          <w:rFonts w:hint="eastAsia" w:ascii="黑体" w:eastAsia="黑体"/>
          <w:b/>
          <w:color w:val="auto"/>
          <w:sz w:val="32"/>
          <w:szCs w:val="32"/>
          <w:highlight w:val="none"/>
        </w:rPr>
        <w:t>（另附）</w:t>
      </w:r>
    </w:p>
    <w:p>
      <w:pPr>
        <w:pStyle w:val="67"/>
        <w:rPr>
          <w:color w:val="auto"/>
          <w:sz w:val="21"/>
          <w:szCs w:val="21"/>
          <w:highlight w:val="none"/>
        </w:rPr>
      </w:pPr>
    </w:p>
    <w:p>
      <w:pPr>
        <w:tabs>
          <w:tab w:val="left" w:pos="0"/>
        </w:tabs>
        <w:autoSpaceDE w:val="0"/>
        <w:autoSpaceDN w:val="0"/>
        <w:adjustRightInd w:val="0"/>
        <w:spacing w:line="400" w:lineRule="exact"/>
        <w:ind w:right="84" w:firstLine="420" w:firstLineChars="200"/>
        <w:rPr>
          <w:rFonts w:ascii="宋体" w:hAnsi="宋体" w:cs="宋体"/>
          <w:color w:val="auto"/>
          <w:szCs w:val="21"/>
          <w:highlight w:val="none"/>
        </w:rPr>
      </w:pPr>
    </w:p>
    <w:p>
      <w:pPr>
        <w:tabs>
          <w:tab w:val="left" w:pos="0"/>
        </w:tabs>
        <w:autoSpaceDE w:val="0"/>
        <w:autoSpaceDN w:val="0"/>
        <w:adjustRightInd w:val="0"/>
        <w:spacing w:line="400" w:lineRule="exact"/>
        <w:ind w:right="84"/>
        <w:rPr>
          <w:rFonts w:ascii="宋体" w:hAnsi="宋体" w:cs="宋体"/>
          <w:color w:val="auto"/>
          <w:szCs w:val="21"/>
          <w:highlight w:val="none"/>
        </w:rPr>
      </w:pPr>
    </w:p>
    <w:p>
      <w:pPr>
        <w:tabs>
          <w:tab w:val="left" w:pos="0"/>
        </w:tabs>
        <w:autoSpaceDE w:val="0"/>
        <w:autoSpaceDN w:val="0"/>
        <w:adjustRightInd w:val="0"/>
        <w:spacing w:line="400" w:lineRule="exact"/>
        <w:ind w:right="84" w:firstLine="420" w:firstLineChars="200"/>
        <w:rPr>
          <w:rFonts w:ascii="宋体" w:hAnsi="宋体" w:cs="宋体"/>
          <w:color w:val="auto"/>
          <w:szCs w:val="21"/>
          <w:highlight w:val="none"/>
        </w:rPr>
      </w:pPr>
    </w:p>
    <w:p>
      <w:pPr>
        <w:pStyle w:val="67"/>
        <w:ind w:firstLine="480" w:firstLineChars="200"/>
        <w:rPr>
          <w:rFonts w:hAnsi="宋体"/>
          <w:color w:val="auto"/>
          <w:szCs w:val="21"/>
          <w:highlight w:val="none"/>
        </w:rPr>
      </w:pPr>
    </w:p>
    <w:p>
      <w:pPr>
        <w:spacing w:line="400" w:lineRule="exact"/>
        <w:rPr>
          <w:rFonts w:ascii="宋体" w:hAnsi="宋体"/>
          <w:bCs/>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ind w:left="-4" w:leftChars="-2" w:right="-153" w:rightChars="-73" w:firstLine="2" w:firstLineChars="1"/>
        <w:rPr>
          <w:rFonts w:ascii="宋体" w:hAnsi="宋体"/>
          <w:b/>
          <w:color w:val="auto"/>
          <w:szCs w:val="21"/>
          <w:highlight w:val="none"/>
        </w:rPr>
      </w:pPr>
    </w:p>
    <w:p>
      <w:pPr>
        <w:spacing w:before="156" w:beforeLines="50" w:after="156" w:afterLines="50" w:line="440" w:lineRule="exact"/>
        <w:rPr>
          <w:rFonts w:ascii="宋体" w:hAnsi="宋体"/>
          <w:color w:val="auto"/>
          <w:sz w:val="32"/>
          <w:szCs w:val="32"/>
          <w:highlight w:val="none"/>
        </w:rPr>
      </w:pPr>
    </w:p>
    <w:p>
      <w:pPr>
        <w:spacing w:before="156" w:beforeLines="50" w:after="156" w:afterLines="50" w:line="440" w:lineRule="exact"/>
        <w:jc w:val="center"/>
        <w:rPr>
          <w:rFonts w:ascii="宋体" w:hAnsi="宋体"/>
          <w:color w:val="auto"/>
          <w:sz w:val="32"/>
          <w:szCs w:val="32"/>
          <w:highlight w:val="none"/>
        </w:rPr>
      </w:pPr>
    </w:p>
    <w:p>
      <w:pPr>
        <w:pStyle w:val="31"/>
        <w:rPr>
          <w:rFonts w:ascii="宋体" w:hAnsi="宋体"/>
          <w:color w:val="auto"/>
          <w:sz w:val="32"/>
          <w:szCs w:val="32"/>
          <w:highlight w:val="none"/>
        </w:rPr>
      </w:pPr>
    </w:p>
    <w:p>
      <w:pPr>
        <w:pStyle w:val="31"/>
        <w:rPr>
          <w:rFonts w:ascii="宋体" w:hAnsi="宋体"/>
          <w:color w:val="auto"/>
          <w:sz w:val="32"/>
          <w:szCs w:val="32"/>
          <w:highlight w:val="none"/>
        </w:rPr>
      </w:pPr>
    </w:p>
    <w:bookmarkEnd w:id="86"/>
    <w:bookmarkEnd w:id="87"/>
    <w:p>
      <w:pPr>
        <w:rPr>
          <w:rFonts w:ascii="宋体" w:hAnsi="宋体"/>
          <w:b/>
          <w:color w:val="auto"/>
          <w:sz w:val="32"/>
          <w:szCs w:val="32"/>
          <w:highlight w:val="none"/>
        </w:rPr>
      </w:pPr>
      <w:r>
        <w:rPr>
          <w:rFonts w:hint="eastAsia" w:ascii="宋体" w:hAnsi="宋体"/>
          <w:b/>
          <w:color w:val="auto"/>
          <w:sz w:val="32"/>
          <w:szCs w:val="32"/>
          <w:highlight w:val="none"/>
        </w:rPr>
        <w:br w:type="page"/>
      </w:r>
    </w:p>
    <w:p>
      <w:pPr>
        <w:spacing w:line="390" w:lineRule="exact"/>
        <w:jc w:val="center"/>
        <w:rPr>
          <w:rFonts w:hAnsi="宋体"/>
          <w:b/>
          <w:color w:val="auto"/>
          <w:sz w:val="36"/>
          <w:szCs w:val="36"/>
          <w:highlight w:val="none"/>
        </w:rPr>
      </w:pPr>
    </w:p>
    <w:p>
      <w:pPr>
        <w:spacing w:line="390" w:lineRule="exact"/>
        <w:jc w:val="center"/>
        <w:rPr>
          <w:rFonts w:hAnsi="宋体"/>
          <w:b/>
          <w:color w:val="auto"/>
          <w:sz w:val="36"/>
          <w:szCs w:val="36"/>
          <w:highlight w:val="none"/>
        </w:rPr>
      </w:pPr>
    </w:p>
    <w:p>
      <w:pPr>
        <w:spacing w:line="390" w:lineRule="exact"/>
        <w:jc w:val="center"/>
        <w:rPr>
          <w:rFonts w:hAnsi="宋体"/>
          <w:b/>
          <w:color w:val="auto"/>
          <w:sz w:val="36"/>
          <w:szCs w:val="36"/>
          <w:highlight w:val="none"/>
        </w:rPr>
      </w:pPr>
    </w:p>
    <w:p>
      <w:pPr>
        <w:spacing w:line="390" w:lineRule="exact"/>
        <w:jc w:val="center"/>
        <w:outlineLvl w:val="0"/>
        <w:rPr>
          <w:rFonts w:hAnsi="宋体"/>
          <w:b/>
          <w:color w:val="auto"/>
          <w:sz w:val="36"/>
          <w:szCs w:val="36"/>
          <w:highlight w:val="none"/>
        </w:rPr>
      </w:pPr>
      <w:bookmarkStart w:id="995" w:name="_Toc8893"/>
      <w:r>
        <w:rPr>
          <w:rFonts w:hint="eastAsia" w:hAnsi="宋体"/>
          <w:b/>
          <w:color w:val="auto"/>
          <w:sz w:val="36"/>
          <w:szCs w:val="36"/>
          <w:highlight w:val="none"/>
        </w:rPr>
        <w:t>第五章  图纸</w:t>
      </w:r>
      <w:bookmarkEnd w:id="995"/>
    </w:p>
    <w:p>
      <w:pPr>
        <w:spacing w:line="400" w:lineRule="exact"/>
        <w:rPr>
          <w:rFonts w:ascii="黑体" w:eastAsia="黑体"/>
          <w:b/>
          <w:color w:val="auto"/>
          <w:sz w:val="32"/>
          <w:szCs w:val="32"/>
          <w:highlight w:val="none"/>
        </w:rPr>
      </w:pPr>
    </w:p>
    <w:p>
      <w:pPr>
        <w:spacing w:line="400" w:lineRule="exact"/>
        <w:jc w:val="center"/>
        <w:rPr>
          <w:rFonts w:ascii="黑体" w:eastAsia="黑体"/>
          <w:b/>
          <w:color w:val="auto"/>
          <w:sz w:val="32"/>
          <w:szCs w:val="32"/>
          <w:highlight w:val="none"/>
        </w:rPr>
      </w:pPr>
      <w:r>
        <w:rPr>
          <w:rFonts w:hint="eastAsia" w:ascii="黑体" w:eastAsia="黑体"/>
          <w:b/>
          <w:color w:val="auto"/>
          <w:sz w:val="32"/>
          <w:szCs w:val="32"/>
          <w:highlight w:val="none"/>
        </w:rPr>
        <w:t>（另附）</w:t>
      </w:r>
    </w:p>
    <w:p>
      <w:pPr>
        <w:spacing w:line="390" w:lineRule="exact"/>
        <w:jc w:val="center"/>
        <w:outlineLvl w:val="0"/>
        <w:rPr>
          <w:rFonts w:ascii="黑体" w:hAnsi="宋体" w:eastAsia="黑体"/>
          <w:b/>
          <w:color w:val="auto"/>
          <w:sz w:val="32"/>
          <w:szCs w:val="32"/>
          <w:highlight w:val="none"/>
        </w:rPr>
      </w:pPr>
      <w:r>
        <w:rPr>
          <w:rFonts w:ascii="宋体" w:hAnsi="宋体"/>
          <w:color w:val="auto"/>
          <w:szCs w:val="21"/>
          <w:highlight w:val="none"/>
        </w:rPr>
        <w:br w:type="page"/>
      </w:r>
      <w:bookmarkStart w:id="996" w:name="_Toc2801"/>
      <w:bookmarkStart w:id="997" w:name="_Toc440877587"/>
      <w:bookmarkStart w:id="998" w:name="_Toc430095345"/>
      <w:r>
        <w:rPr>
          <w:rFonts w:hint="eastAsia" w:hAnsi="宋体"/>
          <w:b/>
          <w:color w:val="auto"/>
          <w:sz w:val="36"/>
          <w:szCs w:val="36"/>
          <w:highlight w:val="none"/>
        </w:rPr>
        <w:t>第六章  技术标准和要求</w:t>
      </w:r>
      <w:bookmarkEnd w:id="996"/>
    </w:p>
    <w:p>
      <w:pPr>
        <w:pStyle w:val="25"/>
        <w:spacing w:line="400" w:lineRule="exact"/>
        <w:rPr>
          <w:rFonts w:hAnsi="宋体"/>
          <w:b/>
          <w:color w:val="auto"/>
          <w:szCs w:val="21"/>
          <w:highlight w:val="none"/>
        </w:rPr>
      </w:pPr>
    </w:p>
    <w:p>
      <w:pPr>
        <w:pStyle w:val="25"/>
        <w:spacing w:line="400" w:lineRule="exact"/>
        <w:rPr>
          <w:rFonts w:hAnsi="宋体"/>
          <w:b/>
          <w:color w:val="auto"/>
          <w:szCs w:val="21"/>
          <w:highlight w:val="none"/>
        </w:rPr>
      </w:pPr>
      <w:r>
        <w:rPr>
          <w:rFonts w:hint="eastAsia" w:hAnsi="宋体"/>
          <w:b/>
          <w:color w:val="auto"/>
          <w:szCs w:val="21"/>
          <w:highlight w:val="none"/>
        </w:rPr>
        <w:t>一．工程建设地点的现场条件</w:t>
      </w:r>
    </w:p>
    <w:p>
      <w:pPr>
        <w:pStyle w:val="25"/>
        <w:spacing w:line="400" w:lineRule="exact"/>
        <w:rPr>
          <w:rFonts w:hAnsi="宋体"/>
          <w:color w:val="auto"/>
          <w:szCs w:val="21"/>
          <w:highlight w:val="none"/>
        </w:rPr>
      </w:pPr>
      <w:r>
        <w:rPr>
          <w:rFonts w:hint="eastAsia" w:hAnsi="宋体"/>
          <w:color w:val="auto"/>
          <w:szCs w:val="21"/>
          <w:highlight w:val="none"/>
        </w:rPr>
        <w:t>（一）现场自然条件</w:t>
      </w:r>
    </w:p>
    <w:p>
      <w:pPr>
        <w:pStyle w:val="25"/>
        <w:spacing w:line="400" w:lineRule="exact"/>
        <w:rPr>
          <w:rFonts w:hAnsi="宋体"/>
          <w:color w:val="auto"/>
          <w:szCs w:val="21"/>
          <w:highlight w:val="none"/>
        </w:rPr>
      </w:pPr>
      <w:r>
        <w:rPr>
          <w:rFonts w:hint="eastAsia" w:hAnsi="宋体"/>
          <w:color w:val="auto"/>
          <w:szCs w:val="21"/>
          <w:highlight w:val="none"/>
        </w:rPr>
        <w:t>满足施工要求。</w:t>
      </w:r>
    </w:p>
    <w:p>
      <w:pPr>
        <w:pStyle w:val="25"/>
        <w:spacing w:line="400" w:lineRule="exact"/>
        <w:rPr>
          <w:rFonts w:hAnsi="宋体"/>
          <w:color w:val="auto"/>
          <w:szCs w:val="21"/>
          <w:highlight w:val="none"/>
        </w:rPr>
      </w:pPr>
      <w:r>
        <w:rPr>
          <w:rFonts w:hint="eastAsia" w:hAnsi="宋体"/>
          <w:color w:val="auto"/>
          <w:szCs w:val="21"/>
          <w:highlight w:val="none"/>
        </w:rPr>
        <w:t>（二）现场施工条件</w:t>
      </w:r>
    </w:p>
    <w:p>
      <w:pPr>
        <w:pStyle w:val="25"/>
        <w:spacing w:line="400" w:lineRule="exact"/>
        <w:rPr>
          <w:rFonts w:hAnsi="宋体"/>
          <w:color w:val="auto"/>
          <w:szCs w:val="21"/>
          <w:highlight w:val="none"/>
        </w:rPr>
      </w:pPr>
      <w:r>
        <w:rPr>
          <w:rFonts w:hint="eastAsia" w:hAnsi="宋体"/>
          <w:color w:val="auto"/>
          <w:szCs w:val="21"/>
          <w:highlight w:val="none"/>
        </w:rPr>
        <w:t>符合施工要求。</w:t>
      </w:r>
    </w:p>
    <w:p>
      <w:pPr>
        <w:pStyle w:val="25"/>
        <w:spacing w:line="400" w:lineRule="exact"/>
        <w:rPr>
          <w:rFonts w:hAnsi="宋体"/>
          <w:b/>
          <w:color w:val="auto"/>
          <w:szCs w:val="21"/>
          <w:highlight w:val="none"/>
        </w:rPr>
      </w:pPr>
    </w:p>
    <w:p>
      <w:pPr>
        <w:pStyle w:val="25"/>
        <w:spacing w:line="400" w:lineRule="exact"/>
        <w:rPr>
          <w:rFonts w:hAnsi="宋体"/>
          <w:b/>
          <w:color w:val="auto"/>
          <w:szCs w:val="21"/>
          <w:highlight w:val="none"/>
        </w:rPr>
      </w:pPr>
      <w:r>
        <w:rPr>
          <w:rFonts w:hint="eastAsia" w:hAnsi="宋体"/>
          <w:b/>
          <w:color w:val="auto"/>
          <w:szCs w:val="21"/>
          <w:highlight w:val="none"/>
        </w:rPr>
        <w:t>二．技术规范</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本工程执行国家现行的</w:t>
      </w:r>
      <w:r>
        <w:rPr>
          <w:rFonts w:hint="eastAsia" w:ascii="宋体" w:hAnsi="宋体" w:cs="宋体"/>
          <w:color w:val="auto"/>
          <w:szCs w:val="21"/>
          <w:highlight w:val="none"/>
        </w:rPr>
        <w:t>有关的工程建设标准、技术规范及强制性标准条文、以及施工图纸载明的其他有关规范标</w:t>
      </w:r>
      <w:r>
        <w:rPr>
          <w:rFonts w:hint="eastAsia" w:ascii="宋体" w:hAnsi="宋体" w:cs="宋体"/>
          <w:color w:val="auto"/>
          <w:kern w:val="0"/>
          <w:szCs w:val="21"/>
          <w:highlight w:val="none"/>
        </w:rPr>
        <w:t>准。</w:t>
      </w:r>
    </w:p>
    <w:p>
      <w:pPr>
        <w:pStyle w:val="2"/>
        <w:rPr>
          <w:rFonts w:hint="eastAsia"/>
          <w:color w:val="auto"/>
          <w:highlight w:val="none"/>
        </w:rPr>
      </w:pPr>
    </w:p>
    <w:p>
      <w:pPr>
        <w:pStyle w:val="2"/>
        <w:rPr>
          <w:rFonts w:hint="eastAsia"/>
          <w:color w:val="auto"/>
          <w:highlight w:val="none"/>
        </w:rPr>
      </w:pPr>
    </w:p>
    <w:p>
      <w:pPr>
        <w:spacing w:line="390" w:lineRule="exact"/>
        <w:jc w:val="center"/>
        <w:outlineLvl w:val="0"/>
        <w:rPr>
          <w:rFonts w:hint="eastAsia" w:ascii="宋体" w:hAnsi="宋体"/>
          <w:b/>
          <w:color w:val="auto"/>
          <w:sz w:val="32"/>
          <w:szCs w:val="32"/>
          <w:highlight w:val="none"/>
        </w:rPr>
      </w:pPr>
    </w:p>
    <w:p>
      <w:pPr>
        <w:spacing w:line="390" w:lineRule="exact"/>
        <w:jc w:val="center"/>
        <w:outlineLvl w:val="0"/>
        <w:rPr>
          <w:rFonts w:ascii="宋体" w:hAnsi="宋体"/>
          <w:b/>
          <w:color w:val="auto"/>
          <w:kern w:val="44"/>
          <w:sz w:val="36"/>
          <w:szCs w:val="36"/>
          <w:highlight w:val="none"/>
        </w:rPr>
      </w:pPr>
      <w:r>
        <w:rPr>
          <w:rFonts w:hint="eastAsia" w:ascii="宋体" w:hAnsi="宋体"/>
          <w:b/>
          <w:color w:val="auto"/>
          <w:sz w:val="32"/>
          <w:szCs w:val="32"/>
          <w:highlight w:val="none"/>
        </w:rPr>
        <w:br w:type="page"/>
      </w:r>
      <w:bookmarkStart w:id="999" w:name="_Toc86935944"/>
      <w:bookmarkStart w:id="1000" w:name="_Toc8127"/>
      <w:r>
        <w:rPr>
          <w:rFonts w:hint="eastAsia" w:hAnsi="宋体"/>
          <w:b/>
          <w:color w:val="auto"/>
          <w:sz w:val="36"/>
          <w:szCs w:val="36"/>
          <w:highlight w:val="none"/>
        </w:rPr>
        <w:t>第七章  《响应文件》（格式）</w:t>
      </w:r>
      <w:bookmarkEnd w:id="997"/>
      <w:bookmarkEnd w:id="998"/>
      <w:bookmarkEnd w:id="999"/>
      <w:bookmarkEnd w:id="1000"/>
    </w:p>
    <w:p>
      <w:pPr>
        <w:jc w:val="center"/>
        <w:rPr>
          <w:rFonts w:ascii="宋体" w:hAnsi="宋体"/>
          <w:b/>
          <w:color w:val="auto"/>
          <w:kern w:val="44"/>
          <w:sz w:val="28"/>
          <w:szCs w:val="28"/>
          <w:highlight w:val="none"/>
        </w:rPr>
      </w:pPr>
    </w:p>
    <w:p>
      <w:pPr>
        <w:jc w:val="center"/>
        <w:rPr>
          <w:rFonts w:ascii="宋体" w:hAnsi="宋体"/>
          <w:b/>
          <w:color w:val="auto"/>
          <w:kern w:val="44"/>
          <w:sz w:val="28"/>
          <w:szCs w:val="28"/>
          <w:highlight w:val="none"/>
        </w:rPr>
      </w:pPr>
      <w:r>
        <w:rPr>
          <w:rFonts w:hint="eastAsia" w:ascii="宋体" w:hAnsi="宋体"/>
          <w:b/>
          <w:color w:val="auto"/>
          <w:kern w:val="44"/>
          <w:sz w:val="28"/>
          <w:szCs w:val="28"/>
          <w:highlight w:val="none"/>
        </w:rPr>
        <w:t>第一节  资格证明文件格式</w:t>
      </w: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spacing w:val="-2"/>
          <w:kern w:val="0"/>
          <w:sz w:val="24"/>
          <w:highlight w:val="none"/>
        </w:rPr>
      </w:pPr>
    </w:p>
    <w:p>
      <w:pPr>
        <w:pStyle w:val="67"/>
        <w:rPr>
          <w:color w:val="auto"/>
          <w:highlight w:val="none"/>
        </w:rPr>
      </w:pP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kern w:val="0"/>
          <w:sz w:val="24"/>
          <w:highlight w:val="none"/>
        </w:rPr>
      </w:pPr>
      <w:r>
        <w:rPr>
          <w:rFonts w:hint="eastAsia" w:ascii="宋体" w:hAnsi="宋体" w:cs="宋体"/>
          <w:snapToGrid w:val="0"/>
          <w:color w:val="auto"/>
          <w:spacing w:val="-2"/>
          <w:kern w:val="0"/>
          <w:sz w:val="24"/>
          <w:highlight w:val="none"/>
        </w:rPr>
        <w:t>全流程电子文件</w:t>
      </w:r>
    </w:p>
    <w:p>
      <w:pPr>
        <w:rPr>
          <w:color w:val="auto"/>
          <w:sz w:val="28"/>
          <w:szCs w:val="28"/>
          <w:highlight w:val="none"/>
          <w:u w:val="single"/>
        </w:rPr>
      </w:pPr>
    </w:p>
    <w:p>
      <w:pPr>
        <w:jc w:val="center"/>
        <w:rPr>
          <w:b/>
          <w:bCs/>
          <w:color w:val="auto"/>
          <w:sz w:val="28"/>
          <w:szCs w:val="28"/>
          <w:highlight w:val="none"/>
        </w:rPr>
      </w:pPr>
      <w:r>
        <w:rPr>
          <w:rFonts w:hint="eastAsia"/>
          <w:b/>
          <w:bCs/>
          <w:color w:val="auto"/>
          <w:sz w:val="28"/>
          <w:szCs w:val="28"/>
          <w:highlight w:val="none"/>
        </w:rPr>
        <w:t>资  格  证  明  文  件（封面）</w:t>
      </w:r>
    </w:p>
    <w:p>
      <w:pPr>
        <w:jc w:val="center"/>
        <w:rPr>
          <w:b/>
          <w:bCs/>
          <w:color w:val="auto"/>
          <w:sz w:val="28"/>
          <w:szCs w:val="28"/>
          <w:highlight w:val="none"/>
        </w:rPr>
      </w:pPr>
    </w:p>
    <w:p>
      <w:pPr>
        <w:jc w:val="center"/>
        <w:rPr>
          <w:b/>
          <w:bCs/>
          <w:color w:val="auto"/>
          <w:sz w:val="28"/>
          <w:szCs w:val="28"/>
          <w:highlight w:val="none"/>
        </w:rPr>
      </w:pPr>
    </w:p>
    <w:p>
      <w:pPr>
        <w:spacing w:before="312" w:beforeLines="100"/>
        <w:jc w:val="center"/>
        <w:rPr>
          <w:b/>
          <w:bCs/>
          <w:color w:val="auto"/>
          <w:sz w:val="52"/>
          <w:szCs w:val="52"/>
          <w:highlight w:val="none"/>
        </w:rPr>
      </w:pPr>
      <w:r>
        <w:rPr>
          <w:rFonts w:hint="eastAsia"/>
          <w:b/>
          <w:bCs/>
          <w:color w:val="auto"/>
          <w:sz w:val="52"/>
          <w:szCs w:val="52"/>
          <w:highlight w:val="none"/>
        </w:rPr>
        <w:t xml:space="preserve">响 应 </w:t>
      </w:r>
      <w:r>
        <w:rPr>
          <w:b/>
          <w:bCs/>
          <w:color w:val="auto"/>
          <w:sz w:val="52"/>
          <w:szCs w:val="52"/>
          <w:highlight w:val="none"/>
        </w:rPr>
        <w:t>文</w:t>
      </w:r>
      <w:r>
        <w:rPr>
          <w:rFonts w:hint="eastAsia"/>
          <w:b/>
          <w:bCs/>
          <w:color w:val="auto"/>
          <w:sz w:val="52"/>
          <w:szCs w:val="52"/>
          <w:highlight w:val="none"/>
        </w:rPr>
        <w:t xml:space="preserve"> </w:t>
      </w:r>
      <w:r>
        <w:rPr>
          <w:b/>
          <w:bCs/>
          <w:color w:val="auto"/>
          <w:sz w:val="52"/>
          <w:szCs w:val="52"/>
          <w:highlight w:val="none"/>
        </w:rPr>
        <w:t>件</w:t>
      </w:r>
    </w:p>
    <w:p>
      <w:pPr>
        <w:spacing w:line="360" w:lineRule="auto"/>
        <w:ind w:firstLine="2380" w:firstLineChars="850"/>
        <w:rPr>
          <w:b/>
          <w:bCs/>
          <w:color w:val="auto"/>
          <w:sz w:val="28"/>
          <w:szCs w:val="28"/>
          <w:highlight w:val="none"/>
        </w:rPr>
      </w:pPr>
      <w:r>
        <w:rPr>
          <w:rFonts w:hint="eastAsia"/>
          <w:b/>
          <w:bCs/>
          <w:color w:val="auto"/>
          <w:sz w:val="28"/>
          <w:szCs w:val="28"/>
          <w:highlight w:val="none"/>
        </w:rPr>
        <w:t>项目名称：</w:t>
      </w:r>
    </w:p>
    <w:p>
      <w:pPr>
        <w:spacing w:line="360" w:lineRule="auto"/>
        <w:ind w:firstLine="2380" w:firstLineChars="850"/>
        <w:rPr>
          <w:b/>
          <w:bCs/>
          <w:color w:val="auto"/>
          <w:sz w:val="28"/>
          <w:szCs w:val="28"/>
          <w:highlight w:val="none"/>
        </w:rPr>
      </w:pPr>
      <w:r>
        <w:rPr>
          <w:b/>
          <w:bCs/>
          <w:color w:val="auto"/>
          <w:sz w:val="28"/>
          <w:szCs w:val="28"/>
          <w:highlight w:val="none"/>
        </w:rPr>
        <w:t>项目编号：</w:t>
      </w:r>
    </w:p>
    <w:p>
      <w:pPr>
        <w:pStyle w:val="67"/>
        <w:rPr>
          <w:color w:val="auto"/>
          <w:highlight w:val="none"/>
        </w:rPr>
      </w:pPr>
    </w:p>
    <w:p>
      <w:pPr>
        <w:jc w:val="center"/>
        <w:rPr>
          <w:b/>
          <w:bCs/>
          <w:color w:val="auto"/>
          <w:sz w:val="28"/>
          <w:szCs w:val="28"/>
          <w:highlight w:val="none"/>
        </w:rPr>
      </w:pPr>
    </w:p>
    <w:p>
      <w:pPr>
        <w:rPr>
          <w:b/>
          <w:bCs/>
          <w:color w:val="auto"/>
          <w:sz w:val="28"/>
          <w:szCs w:val="28"/>
          <w:highlight w:val="none"/>
        </w:rPr>
      </w:pPr>
    </w:p>
    <w:p>
      <w:pP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spacing w:line="360" w:lineRule="auto"/>
        <w:ind w:firstLine="1400" w:firstLineChars="500"/>
        <w:rPr>
          <w:b/>
          <w:bCs/>
          <w:color w:val="auto"/>
          <w:sz w:val="28"/>
          <w:szCs w:val="28"/>
          <w:highlight w:val="none"/>
        </w:rPr>
      </w:pPr>
      <w:r>
        <w:rPr>
          <w:rFonts w:hint="eastAsia"/>
          <w:b/>
          <w:bCs/>
          <w:color w:val="auto"/>
          <w:sz w:val="28"/>
          <w:szCs w:val="28"/>
          <w:highlight w:val="none"/>
        </w:rPr>
        <w:t>磋商供应商</w:t>
      </w:r>
      <w:r>
        <w:rPr>
          <w:b/>
          <w:bCs/>
          <w:color w:val="auto"/>
          <w:sz w:val="28"/>
          <w:szCs w:val="28"/>
          <w:highlight w:val="none"/>
        </w:rPr>
        <w:t>：</w:t>
      </w:r>
      <w:r>
        <w:rPr>
          <w:rFonts w:hint="eastAsia"/>
          <w:b/>
          <w:bCs/>
          <w:color w:val="auto"/>
          <w:sz w:val="28"/>
          <w:szCs w:val="28"/>
          <w:highlight w:val="none"/>
          <w:u w:val="single"/>
        </w:rPr>
        <w:t xml:space="preserve">                 </w:t>
      </w:r>
      <w:r>
        <w:rPr>
          <w:b/>
          <w:bCs/>
          <w:color w:val="auto"/>
          <w:sz w:val="28"/>
          <w:szCs w:val="28"/>
          <w:highlight w:val="none"/>
        </w:rPr>
        <w:t>（</w:t>
      </w:r>
      <w:r>
        <w:rPr>
          <w:rFonts w:hint="eastAsia"/>
          <w:b/>
          <w:bCs/>
          <w:color w:val="auto"/>
          <w:sz w:val="28"/>
          <w:szCs w:val="28"/>
          <w:highlight w:val="none"/>
        </w:rPr>
        <w:t>公章或电子签章</w:t>
      </w:r>
      <w:r>
        <w:rPr>
          <w:b/>
          <w:bCs/>
          <w:color w:val="auto"/>
          <w:sz w:val="28"/>
          <w:szCs w:val="28"/>
          <w:highlight w:val="none"/>
        </w:rPr>
        <w:t>）</w:t>
      </w:r>
    </w:p>
    <w:p>
      <w:pPr>
        <w:spacing w:line="360" w:lineRule="auto"/>
        <w:ind w:firstLine="1400" w:firstLineChars="500"/>
        <w:rPr>
          <w:rFonts w:hint="eastAsia" w:eastAsia="宋体"/>
          <w:b/>
          <w:bCs/>
          <w:color w:val="auto"/>
          <w:sz w:val="28"/>
          <w:szCs w:val="28"/>
          <w:highlight w:val="none"/>
          <w:lang w:eastAsia="zh-CN"/>
        </w:rPr>
      </w:pPr>
      <w:r>
        <w:rPr>
          <w:b/>
          <w:bCs/>
          <w:color w:val="auto"/>
          <w:sz w:val="28"/>
          <w:szCs w:val="28"/>
          <w:highlight w:val="none"/>
        </w:rPr>
        <w:t>法定代表人或其委托代理人：</w:t>
      </w:r>
      <w:r>
        <w:rPr>
          <w:rFonts w:hint="eastAsia"/>
          <w:b/>
          <w:bCs/>
          <w:color w:val="auto"/>
          <w:sz w:val="28"/>
          <w:szCs w:val="28"/>
          <w:highlight w:val="none"/>
          <w:u w:val="single"/>
        </w:rPr>
        <w:t xml:space="preserve">         </w:t>
      </w:r>
      <w:r>
        <w:rPr>
          <w:rFonts w:hint="eastAsia"/>
          <w:b/>
          <w:bCs/>
          <w:color w:val="auto"/>
          <w:sz w:val="28"/>
          <w:szCs w:val="28"/>
          <w:highlight w:val="none"/>
          <w:lang w:eastAsia="zh-CN"/>
        </w:rPr>
        <w:t>（手写签名或电子签章）</w:t>
      </w:r>
    </w:p>
    <w:p>
      <w:pPr>
        <w:jc w:val="center"/>
        <w:rPr>
          <w:b/>
          <w:bCs/>
          <w:color w:val="auto"/>
          <w:sz w:val="28"/>
          <w:szCs w:val="28"/>
          <w:highlight w:val="none"/>
        </w:rPr>
      </w:pPr>
      <w:r>
        <w:rPr>
          <w:b/>
          <w:bCs/>
          <w:color w:val="auto"/>
          <w:sz w:val="28"/>
          <w:szCs w:val="28"/>
          <w:highlight w:val="none"/>
        </w:rPr>
        <w:t xml:space="preserve">  年  月  日</w:t>
      </w:r>
    </w:p>
    <w:p>
      <w:pPr>
        <w:spacing w:line="336" w:lineRule="auto"/>
        <w:ind w:right="-153" w:rightChars="-73"/>
        <w:jc w:val="center"/>
        <w:rPr>
          <w:rFonts w:ascii="宋体" w:hAnsi="宋体"/>
          <w:b/>
          <w:color w:val="auto"/>
          <w:szCs w:val="21"/>
          <w:highlight w:val="none"/>
        </w:rPr>
      </w:pPr>
      <w:r>
        <w:rPr>
          <w:rFonts w:ascii="宋体" w:hAnsi="宋体"/>
          <w:b/>
          <w:color w:val="auto"/>
          <w:szCs w:val="21"/>
          <w:highlight w:val="none"/>
        </w:rPr>
        <w:br w:type="page"/>
      </w:r>
    </w:p>
    <w:p>
      <w:pPr>
        <w:spacing w:line="336" w:lineRule="auto"/>
        <w:ind w:right="-153" w:rightChars="-73"/>
        <w:jc w:val="center"/>
        <w:rPr>
          <w:rFonts w:ascii="黑体" w:eastAsia="黑体"/>
          <w:b/>
          <w:color w:val="auto"/>
          <w:sz w:val="28"/>
          <w:szCs w:val="28"/>
          <w:highlight w:val="none"/>
        </w:rPr>
      </w:pPr>
      <w:r>
        <w:rPr>
          <w:rFonts w:hint="eastAsia" w:ascii="黑体" w:eastAsia="黑体"/>
          <w:b/>
          <w:color w:val="auto"/>
          <w:sz w:val="28"/>
          <w:szCs w:val="28"/>
          <w:highlight w:val="none"/>
        </w:rPr>
        <w:t>目录</w:t>
      </w:r>
    </w:p>
    <w:p>
      <w:pPr>
        <w:spacing w:line="336" w:lineRule="auto"/>
        <w:ind w:right="-153" w:rightChars="-73"/>
        <w:jc w:val="center"/>
        <w:rPr>
          <w:rFonts w:ascii="宋体" w:hAnsi="宋体" w:cs="宋体"/>
          <w:bCs/>
          <w:color w:val="auto"/>
          <w:sz w:val="18"/>
          <w:szCs w:val="18"/>
          <w:highlight w:val="none"/>
        </w:rPr>
      </w:pPr>
      <w:r>
        <w:rPr>
          <w:rFonts w:hint="eastAsia" w:ascii="宋体" w:hAnsi="宋体" w:cs="宋体"/>
          <w:bCs/>
          <w:color w:val="auto"/>
          <w:sz w:val="18"/>
          <w:szCs w:val="18"/>
          <w:highlight w:val="none"/>
        </w:rPr>
        <w:t>（自行编页码）</w:t>
      </w:r>
    </w:p>
    <w:p>
      <w:pPr>
        <w:spacing w:line="336" w:lineRule="auto"/>
        <w:ind w:right="-153" w:rightChars="-73"/>
        <w:rPr>
          <w:rFonts w:ascii="宋体" w:hAnsi="宋体"/>
          <w:b/>
          <w:color w:val="auto"/>
          <w:szCs w:val="21"/>
          <w:highlight w:val="none"/>
        </w:rPr>
      </w:pPr>
    </w:p>
    <w:p>
      <w:pPr>
        <w:pStyle w:val="25"/>
        <w:spacing w:line="390" w:lineRule="exact"/>
        <w:rPr>
          <w:rFonts w:hAnsi="宋体" w:cs="宋体"/>
          <w:bCs/>
          <w:color w:val="auto"/>
          <w:szCs w:val="21"/>
          <w:highlight w:val="none"/>
        </w:rPr>
      </w:pPr>
      <w:r>
        <w:rPr>
          <w:rFonts w:hint="eastAsia" w:hAnsi="宋体" w:cs="宋体"/>
          <w:bCs/>
          <w:color w:val="auto"/>
          <w:szCs w:val="21"/>
          <w:highlight w:val="none"/>
        </w:rPr>
        <w:t>（1）有效的法人营业执照副本扫描件；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（2）有效的资质证书副本扫描件；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（3）有效的安全生产许可证副本扫描件；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（4）“诚信要求”信用查询；</w:t>
      </w:r>
    </w:p>
    <w:p>
      <w:pPr>
        <w:pStyle w:val="25"/>
        <w:spacing w:line="390" w:lineRule="exact"/>
        <w:rPr>
          <w:rFonts w:hAnsi="宋体" w:cs="宋体"/>
          <w:bCs/>
          <w:color w:val="auto"/>
          <w:szCs w:val="21"/>
          <w:highlight w:val="none"/>
        </w:rPr>
      </w:pPr>
      <w:r>
        <w:rPr>
          <w:rFonts w:hint="eastAsia" w:hAnsi="宋体" w:cs="宋体"/>
          <w:bCs/>
          <w:color w:val="auto"/>
          <w:szCs w:val="21"/>
          <w:highlight w:val="none"/>
        </w:rPr>
        <w:t>（5）法定代表人身份证明书；</w:t>
      </w:r>
    </w:p>
    <w:p>
      <w:pPr>
        <w:pStyle w:val="25"/>
        <w:spacing w:line="390" w:lineRule="exact"/>
        <w:rPr>
          <w:rFonts w:hAnsi="宋体" w:cs="宋体"/>
          <w:bCs/>
          <w:color w:val="auto"/>
          <w:szCs w:val="21"/>
          <w:highlight w:val="none"/>
        </w:rPr>
      </w:pPr>
      <w:r>
        <w:rPr>
          <w:rFonts w:hint="eastAsia" w:hAnsi="宋体" w:cs="宋体"/>
          <w:bCs/>
          <w:color w:val="auto"/>
          <w:szCs w:val="21"/>
          <w:highlight w:val="none"/>
        </w:rPr>
        <w:t>（6）授权委托书（委托时必须提供）；</w:t>
      </w:r>
    </w:p>
    <w:p>
      <w:pPr>
        <w:rPr>
          <w:color w:val="auto"/>
          <w:highlight w:val="none"/>
        </w:rPr>
      </w:pPr>
      <w:r>
        <w:rPr>
          <w:rFonts w:hint="eastAsia" w:hAnsi="宋体" w:cs="宋体"/>
          <w:bCs/>
          <w:color w:val="auto"/>
          <w:szCs w:val="21"/>
          <w:highlight w:val="none"/>
        </w:rPr>
        <w:t>（7）磋商保证金；</w:t>
      </w:r>
    </w:p>
    <w:p>
      <w:pPr>
        <w:pStyle w:val="25"/>
        <w:spacing w:line="390" w:lineRule="exact"/>
        <w:rPr>
          <w:rFonts w:hAnsi="宋体" w:cs="宋体"/>
          <w:bCs/>
          <w:color w:val="auto"/>
          <w:szCs w:val="21"/>
          <w:highlight w:val="none"/>
        </w:rPr>
      </w:pPr>
      <w:r>
        <w:rPr>
          <w:rFonts w:hint="eastAsia" w:hAnsi="宋体" w:cs="宋体"/>
          <w:bCs/>
          <w:color w:val="auto"/>
          <w:szCs w:val="21"/>
          <w:highlight w:val="none"/>
        </w:rPr>
        <w:t>（8）</w:t>
      </w:r>
      <w:r>
        <w:rPr>
          <w:rFonts w:hint="eastAsia" w:hAnsi="宋体" w:cs="宋体"/>
          <w:bCs/>
          <w:color w:val="auto"/>
          <w:szCs w:val="21"/>
          <w:highlight w:val="none"/>
          <w:lang w:eastAsia="zh-CN"/>
        </w:rPr>
        <w:t>2023年12月至磋商截止之日前连续三个月供应商依法纳税证明</w:t>
      </w:r>
      <w:r>
        <w:rPr>
          <w:rFonts w:hint="eastAsia" w:hAnsi="宋体" w:cs="宋体"/>
          <w:bCs/>
          <w:color w:val="auto"/>
          <w:szCs w:val="21"/>
          <w:highlight w:val="none"/>
        </w:rPr>
        <w:t>；无纳税记录的，应提供由竞标人所在地的税务部门出具的《依法纳税或依法免税证明》（格式自拟，扫描件）；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（9）</w:t>
      </w:r>
      <w:r>
        <w:rPr>
          <w:rFonts w:hint="eastAsia" w:hAnsi="宋体" w:cs="宋体"/>
          <w:bCs/>
          <w:color w:val="auto"/>
          <w:szCs w:val="21"/>
          <w:highlight w:val="none"/>
          <w:lang w:eastAsia="zh-CN"/>
        </w:rPr>
        <w:t>2023年12月至磋商截止之日前连续三个月供应商依法缴纳社保证明</w:t>
      </w:r>
      <w:r>
        <w:rPr>
          <w:rFonts w:hint="eastAsia" w:hAnsi="宋体" w:cs="宋体"/>
          <w:bCs/>
          <w:color w:val="auto"/>
          <w:szCs w:val="21"/>
          <w:highlight w:val="none"/>
        </w:rPr>
        <w:t>；无</w:t>
      </w:r>
      <w:r>
        <w:rPr>
          <w:rFonts w:hint="eastAsia" w:hAnsi="宋体" w:cs="宋体"/>
          <w:bCs/>
          <w:color w:val="auto"/>
          <w:szCs w:val="21"/>
          <w:highlight w:val="none"/>
          <w:lang w:val="en-US" w:eastAsia="zh-CN"/>
        </w:rPr>
        <w:t>缴纳记录</w:t>
      </w:r>
      <w:r>
        <w:rPr>
          <w:rFonts w:hint="eastAsia" w:hAnsi="宋体" w:cs="宋体"/>
          <w:bCs/>
          <w:color w:val="auto"/>
          <w:szCs w:val="21"/>
          <w:highlight w:val="none"/>
        </w:rPr>
        <w:t>的，应提供由投标人所在地社保部门出具的《依法缴纳或依法免缴社保费证明》（格式自拟，扫描件）；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（10）拟派项目经理具备</w:t>
      </w:r>
      <w:r>
        <w:rPr>
          <w:rFonts w:hint="eastAsia" w:hAnsi="宋体" w:cs="宋体"/>
          <w:bCs/>
          <w:color w:val="auto"/>
          <w:szCs w:val="21"/>
          <w:highlight w:val="none"/>
          <w:lang w:eastAsia="zh-CN"/>
        </w:rPr>
        <w:t>建筑工程</w:t>
      </w:r>
      <w:r>
        <w:rPr>
          <w:rFonts w:hint="eastAsia" w:hAnsi="宋体" w:cs="宋体"/>
          <w:bCs/>
          <w:color w:val="auto"/>
          <w:szCs w:val="21"/>
          <w:highlight w:val="none"/>
        </w:rPr>
        <w:t>二级及以上注册建造师证书及有效的省级或省级以上建设行政主管部门颁发的安全生产考核合格证书的扫描件；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（11）拟派往本项目专职安全员岗位证书扫描件及有效的省级或省级以上建设行政主管部门颁发的安全生产考核合格证书的扫描件；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（12）2023年经审计的财务报告，或竞争性磋商公告日期后银行出具的有效资信证明，或竞争性磋商公告日期后政府采购专业担保机构出具的有效投标担保函（格式自拟，扫描件）；</w:t>
      </w:r>
    </w:p>
    <w:p>
      <w:pPr>
        <w:pStyle w:val="25"/>
        <w:spacing w:line="390" w:lineRule="exact"/>
        <w:rPr>
          <w:rFonts w:hAnsi="宋体" w:cs="宋体"/>
          <w:bCs/>
          <w:color w:val="auto"/>
          <w:szCs w:val="21"/>
          <w:highlight w:val="none"/>
        </w:rPr>
      </w:pPr>
      <w:r>
        <w:rPr>
          <w:rFonts w:hint="eastAsia" w:hAnsi="宋体" w:cs="宋体"/>
          <w:bCs/>
          <w:color w:val="auto"/>
          <w:szCs w:val="21"/>
          <w:highlight w:val="none"/>
        </w:rPr>
        <w:t>（13）磋商供应商认为必要提供的声明及文件资料。</w:t>
      </w:r>
    </w:p>
    <w:p>
      <w:pPr>
        <w:rPr>
          <w:rFonts w:ascii="宋体" w:hAnsi="宋体"/>
          <w:b/>
          <w:bCs/>
          <w:color w:val="auto"/>
          <w:sz w:val="24"/>
          <w:highlight w:val="none"/>
        </w:rPr>
      </w:pPr>
    </w:p>
    <w:p>
      <w:pPr>
        <w:rPr>
          <w:rFonts w:ascii="宋体" w:hAnsi="宋体"/>
          <w:b/>
          <w:color w:val="auto"/>
          <w:sz w:val="28"/>
          <w:szCs w:val="28"/>
          <w:highlight w:val="none"/>
        </w:rPr>
      </w:pPr>
    </w:p>
    <w:p>
      <w:pPr>
        <w:pStyle w:val="68"/>
        <w:jc w:val="center"/>
        <w:rPr>
          <w:color w:val="auto"/>
          <w:highlight w:val="none"/>
        </w:rPr>
      </w:pPr>
      <w:r>
        <w:rPr>
          <w:rFonts w:hint="eastAsia" w:hAnsi="宋体"/>
          <w:color w:val="auto"/>
          <w:sz w:val="24"/>
          <w:highlight w:val="none"/>
        </w:rPr>
        <w:t>正文格式自拟</w:t>
      </w:r>
    </w:p>
    <w:p>
      <w:pPr>
        <w:spacing w:line="480" w:lineRule="auto"/>
        <w:rPr>
          <w:rFonts w:ascii="宋体" w:hAnsi="宋体"/>
          <w:b/>
          <w:color w:val="auto"/>
          <w:sz w:val="24"/>
          <w:highlight w:val="none"/>
        </w:rPr>
      </w:pPr>
      <w:r>
        <w:rPr>
          <w:rFonts w:hint="eastAsia" w:ascii="宋体" w:hAnsi="宋体"/>
          <w:b/>
          <w:bCs/>
          <w:color w:val="auto"/>
          <w:sz w:val="24"/>
          <w:highlight w:val="none"/>
        </w:rPr>
        <w:t>注：1.</w:t>
      </w:r>
      <w:r>
        <w:rPr>
          <w:rFonts w:hint="eastAsia" w:ascii="宋体" w:hAnsi="宋体"/>
          <w:b/>
          <w:color w:val="auto"/>
          <w:sz w:val="24"/>
          <w:highlight w:val="none"/>
          <w:u w:val="single"/>
        </w:rPr>
        <w:t>上述材料缺少任何一项或任何一项无效均会被视为资格审查不合格，作无效磋商处理</w:t>
      </w:r>
      <w:r>
        <w:rPr>
          <w:rFonts w:hint="eastAsia" w:ascii="宋体" w:hAnsi="宋体"/>
          <w:b/>
          <w:color w:val="auto"/>
          <w:sz w:val="24"/>
          <w:highlight w:val="none"/>
        </w:rPr>
        <w:t>。</w:t>
      </w:r>
    </w:p>
    <w:p>
      <w:pPr>
        <w:numPr>
          <w:ilvl w:val="0"/>
          <w:numId w:val="8"/>
        </w:numPr>
        <w:spacing w:line="480" w:lineRule="auto"/>
        <w:ind w:firstLine="480" w:firstLineChars="200"/>
        <w:rPr>
          <w:rFonts w:ascii="宋体" w:hAnsi="宋体"/>
          <w:b/>
          <w:color w:val="auto"/>
          <w:sz w:val="24"/>
          <w:highlight w:val="none"/>
          <w:u w:val="single"/>
        </w:rPr>
      </w:pPr>
      <w:r>
        <w:rPr>
          <w:rFonts w:hint="eastAsia" w:ascii="宋体" w:hAnsi="宋体"/>
          <w:b/>
          <w:color w:val="auto"/>
          <w:sz w:val="24"/>
          <w:highlight w:val="none"/>
          <w:u w:val="single"/>
        </w:rPr>
        <w:t>以上材料属于复印件的扫描件的，必须加盖供应商电子公章，否则响应文件按无效响应处理。</w:t>
      </w:r>
    </w:p>
    <w:p>
      <w:pPr>
        <w:pStyle w:val="67"/>
        <w:rPr>
          <w:color w:val="auto"/>
          <w:highlight w:val="none"/>
        </w:rPr>
      </w:pPr>
    </w:p>
    <w:p>
      <w:pPr>
        <w:pStyle w:val="68"/>
        <w:rPr>
          <w:color w:val="auto"/>
          <w:highlight w:val="none"/>
        </w:rPr>
      </w:pPr>
    </w:p>
    <w:p>
      <w:pPr>
        <w:widowControl/>
        <w:jc w:val="left"/>
        <w:rPr>
          <w:rFonts w:ascii="宋体" w:hAnsi="宋体"/>
          <w:b/>
          <w:color w:val="auto"/>
          <w:sz w:val="28"/>
          <w:szCs w:val="28"/>
          <w:highlight w:val="none"/>
        </w:rPr>
      </w:pPr>
      <w:r>
        <w:rPr>
          <w:rFonts w:ascii="宋体" w:hAnsi="宋体"/>
          <w:b/>
          <w:color w:val="auto"/>
          <w:sz w:val="28"/>
          <w:szCs w:val="28"/>
          <w:highlight w:val="none"/>
        </w:rPr>
        <w:br w:type="page"/>
      </w:r>
    </w:p>
    <w:p>
      <w:pPr>
        <w:jc w:val="center"/>
        <w:rPr>
          <w:rFonts w:ascii="宋体" w:hAnsi="宋体"/>
          <w:b/>
          <w:color w:val="auto"/>
          <w:szCs w:val="21"/>
          <w:highlight w:val="none"/>
        </w:rPr>
      </w:pPr>
      <w:r>
        <w:rPr>
          <w:rFonts w:hint="eastAsia" w:ascii="宋体" w:hAnsi="宋体"/>
          <w:b/>
          <w:color w:val="auto"/>
          <w:sz w:val="28"/>
          <w:szCs w:val="28"/>
          <w:highlight w:val="none"/>
        </w:rPr>
        <w:t>附1、</w:t>
      </w:r>
      <w:r>
        <w:rPr>
          <w:rFonts w:hint="eastAsia" w:ascii="宋体" w:hAnsi="宋体" w:cs="黑体"/>
          <w:b/>
          <w:color w:val="auto"/>
          <w:kern w:val="0"/>
          <w:sz w:val="28"/>
          <w:szCs w:val="28"/>
          <w:highlight w:val="none"/>
        </w:rPr>
        <w:t>法定代表人身份证明书</w:t>
      </w:r>
      <w:r>
        <w:rPr>
          <w:rFonts w:hint="eastAsia" w:ascii="宋体" w:hAnsi="宋体"/>
          <w:b/>
          <w:color w:val="auto"/>
          <w:sz w:val="28"/>
          <w:szCs w:val="28"/>
          <w:highlight w:val="none"/>
        </w:rPr>
        <w:t>（格式）</w:t>
      </w:r>
    </w:p>
    <w:p>
      <w:pPr>
        <w:autoSpaceDE w:val="0"/>
        <w:autoSpaceDN w:val="0"/>
        <w:adjustRightInd w:val="0"/>
        <w:rPr>
          <w:rFonts w:ascii="宋体" w:hAnsi="宋体" w:cs="黑体"/>
          <w:b/>
          <w:color w:val="auto"/>
          <w:kern w:val="0"/>
          <w:szCs w:val="21"/>
          <w:highlight w:val="none"/>
        </w:rPr>
      </w:pPr>
    </w:p>
    <w:p>
      <w:pPr>
        <w:autoSpaceDE w:val="0"/>
        <w:autoSpaceDN w:val="0"/>
        <w:adjustRightInd w:val="0"/>
        <w:spacing w:line="360" w:lineRule="auto"/>
        <w:ind w:firstLine="315" w:firstLineChars="150"/>
        <w:jc w:val="left"/>
        <w:rPr>
          <w:rFonts w:ascii="宋体" w:hAnsi="宋体" w:cs="仿宋_GB2312"/>
          <w:color w:val="auto"/>
          <w:kern w:val="0"/>
          <w:szCs w:val="21"/>
          <w:highlight w:val="none"/>
        </w:rPr>
      </w:pPr>
    </w:p>
    <w:p>
      <w:pPr>
        <w:autoSpaceDE w:val="0"/>
        <w:autoSpaceDN w:val="0"/>
        <w:adjustRightInd w:val="0"/>
        <w:spacing w:line="360" w:lineRule="auto"/>
        <w:ind w:firstLine="315" w:firstLineChars="150"/>
        <w:jc w:val="left"/>
        <w:rPr>
          <w:rFonts w:ascii="宋体" w:hAnsi="宋体" w:cs="仿宋_GB2312"/>
          <w:color w:val="auto"/>
          <w:kern w:val="0"/>
          <w:szCs w:val="21"/>
          <w:highlight w:val="none"/>
        </w:rPr>
      </w:pPr>
      <w:r>
        <w:rPr>
          <w:rFonts w:hint="eastAsia" w:ascii="宋体" w:hAnsi="宋体" w:cs="仿宋_GB2312"/>
          <w:color w:val="auto"/>
          <w:kern w:val="0"/>
          <w:szCs w:val="21"/>
          <w:highlight w:val="none"/>
        </w:rPr>
        <w:t>磋商供应商名称：</w:t>
      </w:r>
    </w:p>
    <w:p>
      <w:pPr>
        <w:autoSpaceDE w:val="0"/>
        <w:autoSpaceDN w:val="0"/>
        <w:adjustRightInd w:val="0"/>
        <w:spacing w:line="360" w:lineRule="auto"/>
        <w:ind w:firstLine="315" w:firstLineChars="150"/>
        <w:jc w:val="left"/>
        <w:rPr>
          <w:rFonts w:ascii="宋体" w:hAnsi="宋体" w:cs="仿宋_GB2312"/>
          <w:color w:val="auto"/>
          <w:kern w:val="0"/>
          <w:szCs w:val="21"/>
          <w:highlight w:val="none"/>
          <w:u w:val="single"/>
        </w:rPr>
      </w:pPr>
      <w:r>
        <w:rPr>
          <w:rFonts w:hint="eastAsia" w:ascii="宋体" w:hAnsi="宋体" w:cs="仿宋_GB2312"/>
          <w:color w:val="auto"/>
          <w:kern w:val="0"/>
          <w:szCs w:val="21"/>
          <w:highlight w:val="none"/>
        </w:rPr>
        <w:t>单位性质：</w:t>
      </w:r>
    </w:p>
    <w:p>
      <w:pPr>
        <w:autoSpaceDE w:val="0"/>
        <w:autoSpaceDN w:val="0"/>
        <w:adjustRightInd w:val="0"/>
        <w:spacing w:line="360" w:lineRule="auto"/>
        <w:ind w:firstLine="315" w:firstLineChars="150"/>
        <w:jc w:val="left"/>
        <w:rPr>
          <w:rFonts w:ascii="宋体" w:hAnsi="宋体" w:cs="仿宋_GB2312"/>
          <w:color w:val="auto"/>
          <w:kern w:val="0"/>
          <w:szCs w:val="21"/>
          <w:highlight w:val="none"/>
          <w:u w:val="single"/>
        </w:rPr>
      </w:pPr>
      <w:r>
        <w:rPr>
          <w:rFonts w:hint="eastAsia" w:ascii="宋体" w:hAnsi="宋体" w:cs="仿宋_GB2312"/>
          <w:color w:val="auto"/>
          <w:kern w:val="0"/>
          <w:szCs w:val="21"/>
          <w:highlight w:val="none"/>
        </w:rPr>
        <w:t>地址：</w:t>
      </w:r>
    </w:p>
    <w:p>
      <w:pPr>
        <w:autoSpaceDE w:val="0"/>
        <w:autoSpaceDN w:val="0"/>
        <w:adjustRightInd w:val="0"/>
        <w:spacing w:line="360" w:lineRule="auto"/>
        <w:ind w:firstLine="315" w:firstLineChars="150"/>
        <w:jc w:val="left"/>
        <w:rPr>
          <w:rFonts w:ascii="宋体" w:hAnsi="宋体" w:cs="仿宋_GB2312"/>
          <w:color w:val="auto"/>
          <w:kern w:val="0"/>
          <w:szCs w:val="21"/>
          <w:highlight w:val="none"/>
        </w:rPr>
      </w:pPr>
      <w:r>
        <w:rPr>
          <w:rFonts w:hint="eastAsia" w:ascii="宋体" w:hAnsi="宋体" w:cs="仿宋_GB2312"/>
          <w:color w:val="auto"/>
          <w:kern w:val="0"/>
          <w:szCs w:val="21"/>
          <w:highlight w:val="none"/>
        </w:rPr>
        <w:t>成立时间：   年  月  日</w:t>
      </w:r>
    </w:p>
    <w:p>
      <w:pPr>
        <w:autoSpaceDE w:val="0"/>
        <w:autoSpaceDN w:val="0"/>
        <w:adjustRightInd w:val="0"/>
        <w:spacing w:line="360" w:lineRule="auto"/>
        <w:ind w:firstLine="315" w:firstLineChars="150"/>
        <w:jc w:val="left"/>
        <w:rPr>
          <w:rFonts w:ascii="宋体" w:hAnsi="宋体" w:cs="仿宋_GB2312"/>
          <w:color w:val="auto"/>
          <w:kern w:val="0"/>
          <w:szCs w:val="21"/>
          <w:highlight w:val="none"/>
          <w:u w:val="single"/>
        </w:rPr>
      </w:pPr>
      <w:r>
        <w:rPr>
          <w:rFonts w:hint="eastAsia" w:ascii="宋体" w:hAnsi="宋体" w:cs="仿宋_GB2312"/>
          <w:color w:val="auto"/>
          <w:kern w:val="0"/>
          <w:szCs w:val="21"/>
          <w:highlight w:val="none"/>
        </w:rPr>
        <w:t>经营期限：</w:t>
      </w:r>
    </w:p>
    <w:p>
      <w:pPr>
        <w:autoSpaceDE w:val="0"/>
        <w:autoSpaceDN w:val="0"/>
        <w:adjustRightInd w:val="0"/>
        <w:spacing w:line="360" w:lineRule="auto"/>
        <w:ind w:firstLine="315" w:firstLineChars="150"/>
        <w:jc w:val="left"/>
        <w:rPr>
          <w:rFonts w:ascii="宋体" w:hAnsi="宋体" w:cs="仿宋_GB2312"/>
          <w:color w:val="auto"/>
          <w:kern w:val="0"/>
          <w:szCs w:val="21"/>
          <w:highlight w:val="none"/>
          <w:u w:val="single"/>
        </w:rPr>
      </w:pPr>
      <w:r>
        <w:rPr>
          <w:rFonts w:hint="eastAsia" w:ascii="宋体" w:hAnsi="宋体" w:cs="仿宋_GB2312"/>
          <w:color w:val="auto"/>
          <w:kern w:val="0"/>
          <w:szCs w:val="21"/>
          <w:highlight w:val="none"/>
        </w:rPr>
        <w:t>姓名： 性别： 年龄： 职务：</w:t>
      </w:r>
    </w:p>
    <w:p>
      <w:pPr>
        <w:autoSpaceDE w:val="0"/>
        <w:autoSpaceDN w:val="0"/>
        <w:adjustRightInd w:val="0"/>
        <w:spacing w:line="360" w:lineRule="auto"/>
        <w:ind w:firstLine="315" w:firstLineChars="150"/>
        <w:jc w:val="left"/>
        <w:rPr>
          <w:rFonts w:ascii="宋体" w:hAnsi="宋体" w:cs="仿宋_GB2312"/>
          <w:color w:val="auto"/>
          <w:kern w:val="0"/>
          <w:szCs w:val="21"/>
          <w:highlight w:val="none"/>
          <w:u w:val="single"/>
        </w:rPr>
      </w:pPr>
      <w:r>
        <w:rPr>
          <w:rFonts w:hint="eastAsia" w:ascii="宋体" w:hAnsi="宋体" w:cs="仿宋_GB2312"/>
          <w:color w:val="auto"/>
          <w:kern w:val="0"/>
          <w:szCs w:val="21"/>
          <w:highlight w:val="none"/>
        </w:rPr>
        <w:t>身份证号：</w:t>
      </w:r>
    </w:p>
    <w:p>
      <w:pPr>
        <w:autoSpaceDE w:val="0"/>
        <w:autoSpaceDN w:val="0"/>
        <w:adjustRightInd w:val="0"/>
        <w:spacing w:line="360" w:lineRule="auto"/>
        <w:ind w:firstLine="315" w:firstLineChars="150"/>
        <w:jc w:val="left"/>
        <w:rPr>
          <w:rFonts w:ascii="宋体" w:hAnsi="宋体" w:cs="仿宋_GB2312"/>
          <w:color w:val="auto"/>
          <w:kern w:val="0"/>
          <w:szCs w:val="21"/>
          <w:highlight w:val="none"/>
        </w:rPr>
      </w:pPr>
      <w:r>
        <w:rPr>
          <w:rFonts w:hint="eastAsia" w:ascii="宋体" w:hAnsi="宋体" w:cs="仿宋_GB2312"/>
          <w:color w:val="auto"/>
          <w:kern w:val="0"/>
          <w:szCs w:val="21"/>
          <w:highlight w:val="none"/>
        </w:rPr>
        <w:t>系 （磋商供应商名称）的法定代表人。</w:t>
      </w:r>
    </w:p>
    <w:p>
      <w:pPr>
        <w:autoSpaceDE w:val="0"/>
        <w:autoSpaceDN w:val="0"/>
        <w:adjustRightInd w:val="0"/>
        <w:spacing w:line="360" w:lineRule="auto"/>
        <w:ind w:firstLine="315" w:firstLineChars="150"/>
        <w:jc w:val="left"/>
        <w:rPr>
          <w:rFonts w:ascii="宋体" w:hAnsi="宋体" w:cs="仿宋_GB2312"/>
          <w:color w:val="auto"/>
          <w:kern w:val="0"/>
          <w:szCs w:val="21"/>
          <w:highlight w:val="none"/>
        </w:rPr>
      </w:pPr>
      <w:r>
        <w:rPr>
          <w:rFonts w:hint="eastAsia" w:ascii="宋体" w:hAnsi="宋体" w:cs="仿宋_GB2312"/>
          <w:color w:val="auto"/>
          <w:kern w:val="0"/>
          <w:szCs w:val="21"/>
          <w:highlight w:val="none"/>
        </w:rPr>
        <w:t>特此证明。</w:t>
      </w:r>
    </w:p>
    <w:p>
      <w:pPr>
        <w:autoSpaceDE w:val="0"/>
        <w:autoSpaceDN w:val="0"/>
        <w:adjustRightInd w:val="0"/>
        <w:spacing w:line="360" w:lineRule="auto"/>
        <w:ind w:firstLine="3150" w:firstLineChars="1500"/>
        <w:jc w:val="left"/>
        <w:rPr>
          <w:rFonts w:ascii="宋体" w:hAnsi="宋体" w:cs="仿宋_GB2312"/>
          <w:color w:val="auto"/>
          <w:kern w:val="0"/>
          <w:szCs w:val="21"/>
          <w:highlight w:val="none"/>
        </w:rPr>
      </w:pPr>
    </w:p>
    <w:p>
      <w:pPr>
        <w:autoSpaceDE w:val="0"/>
        <w:autoSpaceDN w:val="0"/>
        <w:adjustRightInd w:val="0"/>
        <w:spacing w:line="360" w:lineRule="auto"/>
        <w:ind w:firstLine="3150" w:firstLineChars="1500"/>
        <w:jc w:val="left"/>
        <w:rPr>
          <w:rFonts w:ascii="宋体" w:hAnsi="宋体" w:cs="仿宋_GB2312"/>
          <w:color w:val="auto"/>
          <w:kern w:val="0"/>
          <w:szCs w:val="21"/>
          <w:highlight w:val="none"/>
        </w:rPr>
      </w:pPr>
    </w:p>
    <w:p>
      <w:pPr>
        <w:autoSpaceDE w:val="0"/>
        <w:autoSpaceDN w:val="0"/>
        <w:adjustRightInd w:val="0"/>
        <w:spacing w:line="360" w:lineRule="auto"/>
        <w:ind w:firstLine="3150" w:firstLineChars="1500"/>
        <w:jc w:val="right"/>
        <w:rPr>
          <w:rFonts w:ascii="宋体" w:hAnsi="宋体" w:cs="仿宋_GB2312"/>
          <w:color w:val="auto"/>
          <w:kern w:val="0"/>
          <w:szCs w:val="21"/>
          <w:highlight w:val="none"/>
        </w:rPr>
      </w:pPr>
      <w:r>
        <w:rPr>
          <w:rFonts w:hint="eastAsia" w:ascii="宋体" w:hAnsi="宋体" w:cs="仿宋_GB2312"/>
          <w:color w:val="auto"/>
          <w:kern w:val="0"/>
          <w:szCs w:val="21"/>
          <w:highlight w:val="none"/>
        </w:rPr>
        <w:t>磋商供应商：</w:t>
      </w:r>
      <w:r>
        <w:rPr>
          <w:rFonts w:hint="eastAsia" w:ascii="宋体" w:hAnsi="宋体" w:cs="仿宋_GB2312"/>
          <w:color w:val="auto"/>
          <w:kern w:val="0"/>
          <w:szCs w:val="21"/>
          <w:highlight w:val="none"/>
          <w:u w:val="single"/>
        </w:rPr>
        <w:t xml:space="preserve">          </w:t>
      </w:r>
      <w:r>
        <w:rPr>
          <w:rFonts w:hint="eastAsia" w:ascii="宋体" w:hAnsi="宋体" w:cs="仿宋_GB2312"/>
          <w:color w:val="auto"/>
          <w:kern w:val="0"/>
          <w:szCs w:val="21"/>
          <w:highlight w:val="none"/>
        </w:rPr>
        <w:t>（</w:t>
      </w:r>
      <w:r>
        <w:rPr>
          <w:rFonts w:hint="eastAsia" w:ascii="宋体" w:cs="宋体"/>
          <w:color w:val="auto"/>
          <w:kern w:val="0"/>
          <w:szCs w:val="21"/>
          <w:highlight w:val="none"/>
        </w:rPr>
        <w:t>公章或电子签章</w:t>
      </w:r>
      <w:r>
        <w:rPr>
          <w:rFonts w:hint="eastAsia" w:ascii="宋体" w:hAnsi="宋体" w:cs="仿宋_GB2312"/>
          <w:color w:val="auto"/>
          <w:kern w:val="0"/>
          <w:szCs w:val="21"/>
          <w:highlight w:val="none"/>
        </w:rPr>
        <w:t>）</w:t>
      </w:r>
    </w:p>
    <w:p>
      <w:pPr>
        <w:autoSpaceDE w:val="0"/>
        <w:autoSpaceDN w:val="0"/>
        <w:adjustRightInd w:val="0"/>
        <w:spacing w:line="360" w:lineRule="auto"/>
        <w:ind w:firstLine="3780" w:firstLineChars="1800"/>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年  月  日</w:t>
      </w:r>
    </w:p>
    <w:p>
      <w:pPr>
        <w:autoSpaceDE w:val="0"/>
        <w:autoSpaceDN w:val="0"/>
        <w:adjustRightInd w:val="0"/>
        <w:spacing w:line="240" w:lineRule="exact"/>
        <w:ind w:firstLine="308" w:firstLineChars="147"/>
        <w:jc w:val="left"/>
        <w:rPr>
          <w:rFonts w:ascii="宋体" w:hAnsi="宋体"/>
          <w:b/>
          <w:color w:val="auto"/>
          <w:szCs w:val="21"/>
          <w:highlight w:val="none"/>
        </w:rPr>
      </w:pPr>
    </w:p>
    <w:p>
      <w:pPr>
        <w:autoSpaceDE w:val="0"/>
        <w:autoSpaceDN w:val="0"/>
        <w:adjustRightInd w:val="0"/>
        <w:spacing w:line="360" w:lineRule="auto"/>
        <w:ind w:firstLine="308" w:firstLineChars="147"/>
        <w:jc w:val="left"/>
        <w:rPr>
          <w:rFonts w:ascii="宋体" w:hAnsi="宋体"/>
          <w:b/>
          <w:color w:val="auto"/>
          <w:szCs w:val="21"/>
          <w:highlight w:val="none"/>
        </w:rPr>
      </w:pPr>
    </w:p>
    <w:p>
      <w:pPr>
        <w:autoSpaceDE w:val="0"/>
        <w:autoSpaceDN w:val="0"/>
        <w:adjustRightInd w:val="0"/>
        <w:spacing w:line="360" w:lineRule="auto"/>
        <w:ind w:firstLine="308" w:firstLineChars="147"/>
        <w:jc w:val="left"/>
        <w:rPr>
          <w:rFonts w:ascii="宋体" w:hAnsi="宋体"/>
          <w:b/>
          <w:color w:val="auto"/>
          <w:szCs w:val="21"/>
          <w:highlight w:val="none"/>
        </w:rPr>
      </w:pPr>
    </w:p>
    <w:p>
      <w:pPr>
        <w:autoSpaceDE w:val="0"/>
        <w:autoSpaceDN w:val="0"/>
        <w:adjustRightInd w:val="0"/>
        <w:spacing w:line="360" w:lineRule="auto"/>
        <w:ind w:firstLine="308" w:firstLineChars="147"/>
        <w:jc w:val="left"/>
        <w:rPr>
          <w:rFonts w:ascii="宋体" w:hAnsi="宋体" w:cs="仿宋_GB2312"/>
          <w:color w:val="auto"/>
          <w:kern w:val="0"/>
          <w:szCs w:val="21"/>
          <w:highlight w:val="none"/>
        </w:rPr>
      </w:pPr>
      <w:r>
        <w:rPr>
          <w:rFonts w:hint="eastAsia" w:ascii="宋体" w:hAnsi="宋体"/>
          <w:b/>
          <w:color w:val="auto"/>
          <w:szCs w:val="21"/>
          <w:highlight w:val="none"/>
        </w:rPr>
        <w:t>附：法定代表人二代居民身份证正、反两面扫描件</w:t>
      </w:r>
    </w:p>
    <w:p>
      <w:pPr>
        <w:autoSpaceDE w:val="0"/>
        <w:autoSpaceDN w:val="0"/>
        <w:adjustRightInd w:val="0"/>
        <w:spacing w:line="240" w:lineRule="exact"/>
        <w:ind w:firstLine="4620" w:firstLineChars="2200"/>
        <w:jc w:val="left"/>
        <w:rPr>
          <w:rFonts w:ascii="宋体" w:hAnsi="宋体" w:cs="仿宋_GB2312"/>
          <w:color w:val="auto"/>
          <w:kern w:val="0"/>
          <w:szCs w:val="21"/>
          <w:highlight w:val="none"/>
        </w:rPr>
      </w:pPr>
    </w:p>
    <w:p>
      <w:pPr>
        <w:autoSpaceDE w:val="0"/>
        <w:autoSpaceDN w:val="0"/>
        <w:adjustRightInd w:val="0"/>
        <w:jc w:val="center"/>
        <w:rPr>
          <w:rFonts w:ascii="宋体" w:hAnsi="宋体"/>
          <w:b/>
          <w:color w:val="auto"/>
          <w:szCs w:val="21"/>
          <w:highlight w:val="none"/>
        </w:rPr>
      </w:pPr>
    </w:p>
    <w:p>
      <w:pPr>
        <w:autoSpaceDE w:val="0"/>
        <w:autoSpaceDN w:val="0"/>
        <w:adjustRightInd w:val="0"/>
        <w:jc w:val="center"/>
        <w:rPr>
          <w:rFonts w:ascii="宋体" w:hAnsi="宋体" w:cs="黑体"/>
          <w:b/>
          <w:color w:val="auto"/>
          <w:kern w:val="0"/>
          <w:szCs w:val="21"/>
          <w:highlight w:val="none"/>
        </w:rPr>
      </w:pPr>
      <w:r>
        <w:rPr>
          <w:rFonts w:ascii="宋体" w:hAnsi="宋体"/>
          <w:b/>
          <w:color w:val="auto"/>
          <w:szCs w:val="21"/>
          <w:highlight w:val="none"/>
        </w:rPr>
        <w:br w:type="page"/>
      </w:r>
      <w:r>
        <w:rPr>
          <w:rFonts w:hint="eastAsia" w:ascii="宋体" w:hAnsi="宋体"/>
          <w:b/>
          <w:color w:val="auto"/>
          <w:sz w:val="28"/>
          <w:szCs w:val="28"/>
          <w:highlight w:val="none"/>
        </w:rPr>
        <w:t>附2、</w:t>
      </w:r>
      <w:r>
        <w:rPr>
          <w:rFonts w:hint="eastAsia" w:ascii="宋体" w:hAnsi="宋体" w:cs="黑体"/>
          <w:b/>
          <w:color w:val="auto"/>
          <w:kern w:val="0"/>
          <w:sz w:val="28"/>
          <w:szCs w:val="28"/>
          <w:highlight w:val="none"/>
        </w:rPr>
        <w:t>授权委托书</w:t>
      </w:r>
      <w:r>
        <w:rPr>
          <w:rFonts w:hint="eastAsia" w:ascii="宋体" w:hAnsi="宋体"/>
          <w:b/>
          <w:color w:val="auto"/>
          <w:sz w:val="28"/>
          <w:szCs w:val="28"/>
          <w:highlight w:val="none"/>
        </w:rPr>
        <w:t>（格式）</w:t>
      </w:r>
    </w:p>
    <w:p>
      <w:pPr>
        <w:autoSpaceDE w:val="0"/>
        <w:autoSpaceDN w:val="0"/>
        <w:adjustRightInd w:val="0"/>
        <w:ind w:firstLine="3045" w:firstLineChars="1450"/>
        <w:rPr>
          <w:rFonts w:ascii="宋体" w:hAnsi="宋体" w:cs="黑体"/>
          <w:b/>
          <w:color w:val="auto"/>
          <w:kern w:val="0"/>
          <w:szCs w:val="21"/>
          <w:highlight w:val="none"/>
        </w:rPr>
      </w:pPr>
    </w:p>
    <w:p>
      <w:pPr>
        <w:autoSpaceDE w:val="0"/>
        <w:autoSpaceDN w:val="0"/>
        <w:adjustRightInd w:val="0"/>
        <w:spacing w:line="360" w:lineRule="auto"/>
        <w:ind w:firstLine="525" w:firstLineChars="250"/>
        <w:jc w:val="left"/>
        <w:rPr>
          <w:rFonts w:ascii="宋体" w:hAnsi="宋体" w:cs="仿宋_GB2312"/>
          <w:color w:val="auto"/>
          <w:kern w:val="0"/>
          <w:szCs w:val="21"/>
          <w:highlight w:val="none"/>
        </w:rPr>
      </w:pPr>
    </w:p>
    <w:p>
      <w:pPr>
        <w:spacing w:line="360" w:lineRule="auto"/>
        <w:ind w:firstLine="411" w:firstLineChars="196"/>
        <w:jc w:val="left"/>
        <w:rPr>
          <w:rFonts w:ascii="宋体" w:hAnsi="宋体"/>
          <w:color w:val="auto"/>
          <w:szCs w:val="21"/>
          <w:highlight w:val="none"/>
        </w:rPr>
      </w:pPr>
      <w:r>
        <w:rPr>
          <w:rFonts w:ascii="宋体" w:hAnsi="宋体"/>
          <w:color w:val="auto"/>
          <w:szCs w:val="21"/>
          <w:highlight w:val="none"/>
        </w:rPr>
        <w:t>本授权委托书声明：我</w:t>
      </w:r>
      <w:r>
        <w:rPr>
          <w:rFonts w:ascii="宋体" w:hAnsi="宋体"/>
          <w:color w:val="auto"/>
          <w:szCs w:val="21"/>
          <w:highlight w:val="none"/>
          <w:u w:val="single"/>
        </w:rPr>
        <w:t xml:space="preserve">       （姓名）</w:t>
      </w:r>
      <w:r>
        <w:rPr>
          <w:rFonts w:ascii="宋体" w:hAnsi="宋体"/>
          <w:color w:val="auto"/>
          <w:szCs w:val="21"/>
          <w:highlight w:val="none"/>
        </w:rPr>
        <w:t>系</w:t>
      </w:r>
      <w:r>
        <w:rPr>
          <w:rFonts w:ascii="宋体" w:hAnsi="宋体"/>
          <w:color w:val="auto"/>
          <w:szCs w:val="21"/>
          <w:highlight w:val="none"/>
          <w:u w:val="single"/>
        </w:rPr>
        <w:t xml:space="preserve">        （</w:t>
      </w:r>
      <w:r>
        <w:rPr>
          <w:rFonts w:hint="eastAsia" w:ascii="宋体" w:hAnsi="宋体"/>
          <w:color w:val="auto"/>
          <w:szCs w:val="21"/>
          <w:highlight w:val="none"/>
          <w:u w:val="single"/>
        </w:rPr>
        <w:t>磋商供应商</w:t>
      </w:r>
      <w:r>
        <w:rPr>
          <w:rFonts w:ascii="宋体" w:hAnsi="宋体"/>
          <w:color w:val="auto"/>
          <w:szCs w:val="21"/>
          <w:highlight w:val="none"/>
          <w:u w:val="single"/>
        </w:rPr>
        <w:t>名称）</w:t>
      </w:r>
      <w:r>
        <w:rPr>
          <w:rFonts w:ascii="宋体" w:hAnsi="宋体"/>
          <w:color w:val="auto"/>
          <w:szCs w:val="21"/>
          <w:highlight w:val="none"/>
        </w:rPr>
        <w:t>的法定代表人，现授权委托</w:t>
      </w:r>
      <w:r>
        <w:rPr>
          <w:rFonts w:ascii="宋体" w:hAnsi="宋体"/>
          <w:color w:val="auto"/>
          <w:szCs w:val="21"/>
          <w:highlight w:val="none"/>
          <w:u w:val="single"/>
        </w:rPr>
        <w:t xml:space="preserve">      （单位名称）     </w:t>
      </w:r>
      <w:r>
        <w:rPr>
          <w:rFonts w:ascii="宋体" w:hAnsi="宋体"/>
          <w:color w:val="auto"/>
          <w:szCs w:val="21"/>
          <w:highlight w:val="none"/>
        </w:rPr>
        <w:t>的</w:t>
      </w:r>
      <w:r>
        <w:rPr>
          <w:rFonts w:ascii="宋体" w:hAnsi="宋体"/>
          <w:color w:val="auto"/>
          <w:szCs w:val="21"/>
          <w:highlight w:val="none"/>
          <w:u w:val="single"/>
        </w:rPr>
        <w:t xml:space="preserve">    （姓名）</w:t>
      </w:r>
      <w:r>
        <w:rPr>
          <w:rFonts w:ascii="宋体" w:hAnsi="宋体"/>
          <w:color w:val="auto"/>
          <w:szCs w:val="21"/>
          <w:highlight w:val="none"/>
        </w:rPr>
        <w:t>为我公司签署</w:t>
      </w:r>
      <w:r>
        <w:rPr>
          <w:rFonts w:hint="eastAsia" w:ascii="宋体" w:hAnsi="宋体"/>
          <w:color w:val="auto"/>
          <w:szCs w:val="21"/>
          <w:highlight w:val="none"/>
          <w:u w:val="single"/>
        </w:rPr>
        <w:t xml:space="preserve">                    （项目名称及项目编号）</w:t>
      </w:r>
      <w:r>
        <w:rPr>
          <w:rFonts w:ascii="宋体" w:hAnsi="宋体"/>
          <w:color w:val="auto"/>
          <w:szCs w:val="21"/>
          <w:highlight w:val="none"/>
        </w:rPr>
        <w:t>的</w:t>
      </w:r>
      <w:r>
        <w:rPr>
          <w:rFonts w:hint="eastAsia" w:ascii="宋体" w:hAnsi="宋体"/>
          <w:color w:val="auto"/>
          <w:szCs w:val="21"/>
          <w:highlight w:val="none"/>
        </w:rPr>
        <w:t>《响应文件》</w:t>
      </w:r>
      <w:r>
        <w:rPr>
          <w:rFonts w:ascii="宋体" w:hAnsi="宋体"/>
          <w:color w:val="auto"/>
          <w:szCs w:val="21"/>
          <w:highlight w:val="none"/>
        </w:rPr>
        <w:t>的法定代表人授权委托代理人，我承认代理人全权代表我所签署的本工程的</w:t>
      </w:r>
      <w:r>
        <w:rPr>
          <w:rFonts w:hint="eastAsia" w:ascii="宋体" w:hAnsi="宋体"/>
          <w:color w:val="auto"/>
          <w:szCs w:val="21"/>
          <w:highlight w:val="none"/>
        </w:rPr>
        <w:t>《响应文件》</w:t>
      </w:r>
      <w:r>
        <w:rPr>
          <w:rFonts w:ascii="宋体" w:hAnsi="宋体"/>
          <w:color w:val="auto"/>
          <w:szCs w:val="21"/>
          <w:highlight w:val="none"/>
        </w:rPr>
        <w:t>的内容。</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代理人无转委托权，特此委托。</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wordWrap w:val="0"/>
        <w:spacing w:line="360" w:lineRule="auto"/>
        <w:ind w:left="2699"/>
        <w:jc w:val="center"/>
        <w:rPr>
          <w:rFonts w:ascii="宋体" w:hAnsi="宋体"/>
          <w:color w:val="auto"/>
          <w:szCs w:val="21"/>
          <w:highlight w:val="none"/>
          <w:u w:val="single"/>
        </w:rPr>
      </w:pPr>
      <w:r>
        <w:rPr>
          <w:rFonts w:ascii="宋体" w:hAnsi="宋体"/>
          <w:color w:val="auto"/>
          <w:szCs w:val="21"/>
          <w:highlight w:val="none"/>
        </w:rPr>
        <w:t>代理人：</w:t>
      </w:r>
      <w:r>
        <w:rPr>
          <w:rFonts w:hint="eastAsia" w:ascii="宋体" w:hAnsi="宋体"/>
          <w:color w:val="auto"/>
          <w:szCs w:val="21"/>
          <w:highlight w:val="none"/>
          <w:u w:val="single"/>
        </w:rPr>
        <w:t xml:space="preserve">         </w:t>
      </w:r>
      <w:r>
        <w:rPr>
          <w:rFonts w:ascii="宋体" w:hAnsi="宋体"/>
          <w:color w:val="auto"/>
          <w:szCs w:val="21"/>
          <w:highlight w:val="none"/>
        </w:rPr>
        <w:t>性别：</w:t>
      </w:r>
      <w:r>
        <w:rPr>
          <w:rFonts w:hint="eastAsia" w:ascii="宋体" w:hAnsi="宋体"/>
          <w:color w:val="auto"/>
          <w:szCs w:val="21"/>
          <w:highlight w:val="none"/>
          <w:u w:val="single"/>
        </w:rPr>
        <w:t xml:space="preserve">       </w:t>
      </w:r>
      <w:r>
        <w:rPr>
          <w:rFonts w:ascii="宋体" w:hAnsi="宋体"/>
          <w:color w:val="auto"/>
          <w:szCs w:val="21"/>
          <w:highlight w:val="none"/>
        </w:rPr>
        <w:t>年龄：</w:t>
      </w:r>
      <w:r>
        <w:rPr>
          <w:rFonts w:hint="eastAsia" w:ascii="宋体" w:hAnsi="宋体"/>
          <w:color w:val="auto"/>
          <w:szCs w:val="21"/>
          <w:highlight w:val="none"/>
          <w:u w:val="single"/>
        </w:rPr>
        <w:t xml:space="preserve">       </w:t>
      </w:r>
    </w:p>
    <w:p>
      <w:pPr>
        <w:spacing w:line="360" w:lineRule="auto"/>
        <w:ind w:right="124" w:firstLine="3990" w:firstLineChars="1900"/>
        <w:rPr>
          <w:rFonts w:ascii="宋体" w:hAnsi="宋体"/>
          <w:color w:val="auto"/>
          <w:szCs w:val="21"/>
          <w:highlight w:val="none"/>
          <w:u w:val="single"/>
        </w:rPr>
      </w:pPr>
      <w:r>
        <w:rPr>
          <w:rFonts w:ascii="宋体" w:hAnsi="宋体"/>
          <w:color w:val="auto"/>
          <w:szCs w:val="21"/>
          <w:highlight w:val="none"/>
        </w:rPr>
        <w:t>身份证号码：</w:t>
      </w:r>
      <w:r>
        <w:rPr>
          <w:rFonts w:hint="eastAsia" w:ascii="宋体" w:hAnsi="宋体"/>
          <w:color w:val="auto"/>
          <w:szCs w:val="21"/>
          <w:highlight w:val="none"/>
          <w:u w:val="single"/>
        </w:rPr>
        <w:t xml:space="preserve">                 </w:t>
      </w:r>
      <w:r>
        <w:rPr>
          <w:rFonts w:ascii="宋体" w:hAnsi="宋体"/>
          <w:color w:val="auto"/>
          <w:szCs w:val="21"/>
          <w:highlight w:val="none"/>
        </w:rPr>
        <w:t>职务：</w:t>
      </w:r>
      <w:r>
        <w:rPr>
          <w:rFonts w:hint="eastAsia" w:ascii="宋体" w:hAnsi="宋体"/>
          <w:color w:val="auto"/>
          <w:szCs w:val="21"/>
          <w:highlight w:val="none"/>
          <w:u w:val="single"/>
        </w:rPr>
        <w:t xml:space="preserve">            </w:t>
      </w:r>
    </w:p>
    <w:p>
      <w:pPr>
        <w:spacing w:line="360" w:lineRule="auto"/>
        <w:ind w:left="2699"/>
        <w:jc w:val="right"/>
        <w:rPr>
          <w:rFonts w:ascii="宋体" w:hAnsi="宋体"/>
          <w:color w:val="auto"/>
          <w:szCs w:val="21"/>
          <w:highlight w:val="none"/>
        </w:rPr>
      </w:pPr>
      <w:r>
        <w:rPr>
          <w:rFonts w:hint="eastAsia" w:ascii="宋体" w:hAnsi="宋体"/>
          <w:color w:val="auto"/>
          <w:szCs w:val="21"/>
          <w:highlight w:val="none"/>
        </w:rPr>
        <w:t>磋商供应商</w:t>
      </w:r>
      <w:r>
        <w:rPr>
          <w:rFonts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公章或电子签章</w:t>
      </w:r>
      <w:r>
        <w:rPr>
          <w:rFonts w:ascii="宋体" w:hAnsi="宋体"/>
          <w:color w:val="auto"/>
          <w:szCs w:val="21"/>
          <w:highlight w:val="none"/>
          <w:u w:val="single"/>
        </w:rPr>
        <w:t>）</w:t>
      </w:r>
    </w:p>
    <w:p>
      <w:pPr>
        <w:spacing w:line="360" w:lineRule="auto"/>
        <w:ind w:left="2699"/>
        <w:jc w:val="right"/>
        <w:rPr>
          <w:rFonts w:hint="eastAsia" w:ascii="宋体" w:hAnsi="宋体" w:eastAsia="宋体"/>
          <w:color w:val="auto"/>
          <w:szCs w:val="21"/>
          <w:highlight w:val="none"/>
          <w:lang w:eastAsia="zh-CN"/>
        </w:rPr>
      </w:pPr>
      <w:r>
        <w:rPr>
          <w:rFonts w:ascii="宋体" w:hAnsi="宋体"/>
          <w:color w:val="auto"/>
          <w:szCs w:val="21"/>
          <w:highlight w:val="none"/>
        </w:rPr>
        <w:t>法定代表人：</w:t>
      </w:r>
      <w:r>
        <w:rPr>
          <w:rFonts w:ascii="宋体" w:hAnsi="宋体"/>
          <w:color w:val="auto"/>
          <w:szCs w:val="21"/>
          <w:highlight w:val="none"/>
          <w:u w:val="single"/>
        </w:rPr>
        <w:t xml:space="preserve">                       </w:t>
      </w:r>
      <w:r>
        <w:rPr>
          <w:rFonts w:hint="eastAsia" w:ascii="宋体" w:hAnsi="宋体"/>
          <w:color w:val="auto"/>
          <w:szCs w:val="21"/>
          <w:highlight w:val="none"/>
          <w:u w:val="single"/>
          <w:lang w:eastAsia="zh-CN"/>
        </w:rPr>
        <w:t>（手写签名或电子签章）</w:t>
      </w:r>
    </w:p>
    <w:p>
      <w:pPr>
        <w:spacing w:line="360" w:lineRule="auto"/>
        <w:ind w:left="2699" w:firstLine="1260" w:firstLineChars="600"/>
        <w:rPr>
          <w:rFonts w:ascii="宋体" w:hAnsi="宋体"/>
          <w:color w:val="auto"/>
          <w:szCs w:val="21"/>
          <w:highlight w:val="none"/>
        </w:rPr>
      </w:pPr>
      <w:r>
        <w:rPr>
          <w:rFonts w:ascii="宋体" w:hAnsi="宋体"/>
          <w:color w:val="auto"/>
          <w:szCs w:val="21"/>
          <w:highlight w:val="none"/>
        </w:rPr>
        <w:t xml:space="preserve">授权委托日期：  年  月  日 </w:t>
      </w: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b/>
          <w:bCs/>
          <w:color w:val="auto"/>
          <w:highlight w:val="none"/>
        </w:rPr>
      </w:pPr>
      <w:r>
        <w:rPr>
          <w:b/>
          <w:bCs/>
          <w:color w:val="auto"/>
          <w:highlight w:val="none"/>
        </w:rPr>
        <w:t>附</w:t>
      </w:r>
      <w:r>
        <w:rPr>
          <w:rFonts w:hint="eastAsia"/>
          <w:b/>
          <w:bCs/>
          <w:color w:val="auto"/>
          <w:highlight w:val="none"/>
        </w:rPr>
        <w:t>：委托代理人</w:t>
      </w:r>
      <w:r>
        <w:rPr>
          <w:rFonts w:hint="eastAsia" w:ascii="宋体" w:hAnsi="宋体"/>
          <w:b/>
          <w:bCs/>
          <w:color w:val="auto"/>
          <w:szCs w:val="21"/>
          <w:highlight w:val="none"/>
        </w:rPr>
        <w:t>二代居民身份证</w:t>
      </w:r>
      <w:r>
        <w:rPr>
          <w:rFonts w:hint="eastAsia" w:ascii="宋体" w:hAnsi="宋体"/>
          <w:b/>
          <w:color w:val="auto"/>
          <w:szCs w:val="21"/>
          <w:highlight w:val="none"/>
        </w:rPr>
        <w:t>正、反两面</w:t>
      </w:r>
      <w:r>
        <w:rPr>
          <w:rFonts w:hint="eastAsia" w:ascii="宋体" w:hAnsi="宋体"/>
          <w:b/>
          <w:bCs/>
          <w:color w:val="auto"/>
          <w:szCs w:val="21"/>
          <w:highlight w:val="none"/>
        </w:rPr>
        <w:t>扫描件。</w:t>
      </w:r>
    </w:p>
    <w:p>
      <w:pPr>
        <w:ind w:firstLine="420" w:firstLineChars="200"/>
        <w:rPr>
          <w:rFonts w:ascii="宋体" w:hAnsi="宋体"/>
          <w:color w:val="auto"/>
          <w:szCs w:val="21"/>
          <w:highlight w:val="none"/>
        </w:rPr>
      </w:pPr>
    </w:p>
    <w:p>
      <w:pPr>
        <w:rPr>
          <w:rFonts w:ascii="宋体" w:hAnsi="宋体"/>
          <w:b/>
          <w:color w:val="auto"/>
          <w:szCs w:val="21"/>
          <w:highlight w:val="none"/>
        </w:rPr>
      </w:pPr>
    </w:p>
    <w:p>
      <w:pPr>
        <w:rPr>
          <w:rFonts w:ascii="宋体" w:hAnsi="宋体"/>
          <w:b/>
          <w:bCs/>
          <w:color w:val="auto"/>
          <w:sz w:val="24"/>
          <w:highlight w:val="none"/>
        </w:rPr>
      </w:pPr>
    </w:p>
    <w:p>
      <w:pPr>
        <w:pStyle w:val="67"/>
        <w:rPr>
          <w:rFonts w:hAnsi="宋体" w:cs="Times New Roman"/>
          <w:b/>
          <w:bCs/>
          <w:color w:val="auto"/>
          <w:highlight w:val="none"/>
        </w:rPr>
      </w:pPr>
    </w:p>
    <w:p>
      <w:pPr>
        <w:ind w:firstLine="315" w:firstLineChars="150"/>
        <w:rPr>
          <w:rFonts w:ascii="宋体" w:hAnsi="宋体"/>
          <w:bCs/>
          <w:color w:val="auto"/>
          <w:szCs w:val="21"/>
          <w:highlight w:val="none"/>
        </w:rPr>
      </w:pPr>
    </w:p>
    <w:p>
      <w:pPr>
        <w:rPr>
          <w:rFonts w:ascii="宋体" w:hAnsi="宋体"/>
          <w:bCs/>
          <w:color w:val="auto"/>
          <w:szCs w:val="21"/>
          <w:highlight w:val="none"/>
        </w:rPr>
      </w:pPr>
    </w:p>
    <w:p>
      <w:pPr>
        <w:rPr>
          <w:rFonts w:hAnsi="宋体" w:cs="宋体"/>
          <w:bCs/>
          <w:color w:val="auto"/>
          <w:szCs w:val="21"/>
          <w:highlight w:val="none"/>
        </w:rPr>
      </w:pPr>
      <w:r>
        <w:rPr>
          <w:rFonts w:ascii="宋体" w:hAnsi="宋体"/>
          <w:color w:val="auto"/>
          <w:szCs w:val="21"/>
          <w:highlight w:val="none"/>
        </w:rPr>
        <w:br w:type="page"/>
      </w: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jc w:val="center"/>
        <w:rPr>
          <w:rFonts w:ascii="宋体" w:hAnsi="宋体"/>
          <w:b/>
          <w:color w:val="auto"/>
          <w:kern w:val="44"/>
          <w:sz w:val="28"/>
          <w:szCs w:val="28"/>
          <w:highlight w:val="none"/>
        </w:rPr>
      </w:pPr>
      <w:r>
        <w:rPr>
          <w:rFonts w:hint="eastAsia" w:ascii="宋体" w:hAnsi="宋体"/>
          <w:b/>
          <w:color w:val="auto"/>
          <w:kern w:val="44"/>
          <w:sz w:val="28"/>
          <w:szCs w:val="28"/>
          <w:highlight w:val="none"/>
        </w:rPr>
        <w:t>第二节  报价文件格式</w:t>
      </w: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spacing w:val="-2"/>
          <w:kern w:val="0"/>
          <w:sz w:val="24"/>
          <w:highlight w:val="none"/>
        </w:rPr>
      </w:pP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spacing w:val="-2"/>
          <w:kern w:val="0"/>
          <w:sz w:val="24"/>
          <w:highlight w:val="none"/>
        </w:rPr>
      </w:pP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spacing w:val="-2"/>
          <w:kern w:val="0"/>
          <w:sz w:val="24"/>
          <w:highlight w:val="none"/>
        </w:rPr>
      </w:pPr>
    </w:p>
    <w:p>
      <w:pPr>
        <w:pStyle w:val="67"/>
        <w:rPr>
          <w:color w:val="auto"/>
          <w:highlight w:val="none"/>
        </w:rPr>
      </w:pP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kern w:val="0"/>
          <w:sz w:val="24"/>
          <w:highlight w:val="none"/>
        </w:rPr>
      </w:pPr>
      <w:r>
        <w:rPr>
          <w:rFonts w:hint="eastAsia" w:ascii="宋体" w:hAnsi="宋体" w:cs="宋体"/>
          <w:snapToGrid w:val="0"/>
          <w:color w:val="auto"/>
          <w:spacing w:val="-2"/>
          <w:kern w:val="0"/>
          <w:sz w:val="24"/>
          <w:highlight w:val="none"/>
        </w:rPr>
        <w:t>全流程电子文件</w:t>
      </w:r>
    </w:p>
    <w:p>
      <w:pPr>
        <w:rPr>
          <w:color w:val="auto"/>
          <w:sz w:val="28"/>
          <w:szCs w:val="28"/>
          <w:highlight w:val="none"/>
          <w:u w:val="single"/>
        </w:rPr>
      </w:pPr>
    </w:p>
    <w:p>
      <w:pPr>
        <w:jc w:val="center"/>
        <w:rPr>
          <w:b/>
          <w:bCs/>
          <w:color w:val="auto"/>
          <w:sz w:val="28"/>
          <w:szCs w:val="28"/>
          <w:highlight w:val="none"/>
        </w:rPr>
      </w:pPr>
      <w:r>
        <w:rPr>
          <w:rFonts w:hint="eastAsia"/>
          <w:b/>
          <w:bCs/>
          <w:color w:val="auto"/>
          <w:sz w:val="28"/>
          <w:szCs w:val="28"/>
          <w:highlight w:val="none"/>
        </w:rPr>
        <w:t>报  价  文  件（封面）</w:t>
      </w:r>
    </w:p>
    <w:p>
      <w:pPr>
        <w:jc w:val="center"/>
        <w:rPr>
          <w:b/>
          <w:bCs/>
          <w:color w:val="auto"/>
          <w:sz w:val="28"/>
          <w:szCs w:val="28"/>
          <w:highlight w:val="none"/>
        </w:rPr>
      </w:pPr>
    </w:p>
    <w:p>
      <w:pPr>
        <w:jc w:val="center"/>
        <w:rPr>
          <w:b/>
          <w:bCs/>
          <w:color w:val="auto"/>
          <w:sz w:val="28"/>
          <w:szCs w:val="28"/>
          <w:highlight w:val="none"/>
        </w:rPr>
      </w:pPr>
    </w:p>
    <w:p>
      <w:pPr>
        <w:spacing w:before="312" w:beforeLines="100"/>
        <w:jc w:val="center"/>
        <w:rPr>
          <w:b/>
          <w:bCs/>
          <w:color w:val="auto"/>
          <w:sz w:val="52"/>
          <w:szCs w:val="52"/>
          <w:highlight w:val="none"/>
        </w:rPr>
      </w:pPr>
      <w:r>
        <w:rPr>
          <w:rFonts w:hint="eastAsia"/>
          <w:b/>
          <w:bCs/>
          <w:color w:val="auto"/>
          <w:sz w:val="52"/>
          <w:szCs w:val="52"/>
          <w:highlight w:val="none"/>
        </w:rPr>
        <w:t xml:space="preserve">响 应 </w:t>
      </w:r>
      <w:r>
        <w:rPr>
          <w:b/>
          <w:bCs/>
          <w:color w:val="auto"/>
          <w:sz w:val="52"/>
          <w:szCs w:val="52"/>
          <w:highlight w:val="none"/>
        </w:rPr>
        <w:t>文件</w:t>
      </w:r>
    </w:p>
    <w:p>
      <w:pPr>
        <w:spacing w:line="360" w:lineRule="auto"/>
        <w:ind w:firstLine="2380" w:firstLineChars="850"/>
        <w:rPr>
          <w:b/>
          <w:bCs/>
          <w:color w:val="auto"/>
          <w:sz w:val="28"/>
          <w:szCs w:val="28"/>
          <w:highlight w:val="none"/>
        </w:rPr>
      </w:pPr>
      <w:r>
        <w:rPr>
          <w:rFonts w:hint="eastAsia"/>
          <w:b/>
          <w:bCs/>
          <w:color w:val="auto"/>
          <w:sz w:val="28"/>
          <w:szCs w:val="28"/>
          <w:highlight w:val="none"/>
        </w:rPr>
        <w:t>项目名称：</w:t>
      </w:r>
    </w:p>
    <w:p>
      <w:pPr>
        <w:spacing w:line="360" w:lineRule="auto"/>
        <w:ind w:firstLine="2380" w:firstLineChars="850"/>
        <w:rPr>
          <w:b/>
          <w:bCs/>
          <w:color w:val="auto"/>
          <w:sz w:val="28"/>
          <w:szCs w:val="28"/>
          <w:highlight w:val="none"/>
        </w:rPr>
      </w:pPr>
      <w:r>
        <w:rPr>
          <w:b/>
          <w:bCs/>
          <w:color w:val="auto"/>
          <w:sz w:val="28"/>
          <w:szCs w:val="28"/>
          <w:highlight w:val="none"/>
        </w:rPr>
        <w:t>项目编号：</w:t>
      </w:r>
    </w:p>
    <w:p>
      <w:pPr>
        <w:pStyle w:val="67"/>
        <w:rPr>
          <w:color w:val="auto"/>
          <w:highlight w:val="none"/>
        </w:rPr>
      </w:pPr>
    </w:p>
    <w:p>
      <w:pPr>
        <w:jc w:val="center"/>
        <w:rPr>
          <w:b/>
          <w:bCs/>
          <w:color w:val="auto"/>
          <w:sz w:val="28"/>
          <w:szCs w:val="28"/>
          <w:highlight w:val="none"/>
        </w:rPr>
      </w:pPr>
    </w:p>
    <w:p>
      <w:pPr>
        <w:rPr>
          <w:b/>
          <w:bCs/>
          <w:color w:val="auto"/>
          <w:sz w:val="28"/>
          <w:szCs w:val="28"/>
          <w:highlight w:val="none"/>
        </w:rPr>
      </w:pPr>
    </w:p>
    <w:p>
      <w:pP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spacing w:line="360" w:lineRule="auto"/>
        <w:ind w:firstLine="1400" w:firstLineChars="500"/>
        <w:rPr>
          <w:b/>
          <w:bCs/>
          <w:color w:val="auto"/>
          <w:sz w:val="28"/>
          <w:szCs w:val="28"/>
          <w:highlight w:val="none"/>
        </w:rPr>
      </w:pPr>
      <w:r>
        <w:rPr>
          <w:rFonts w:hint="eastAsia"/>
          <w:b/>
          <w:bCs/>
          <w:color w:val="auto"/>
          <w:sz w:val="28"/>
          <w:szCs w:val="28"/>
          <w:highlight w:val="none"/>
        </w:rPr>
        <w:t>磋商供应商</w:t>
      </w:r>
      <w:r>
        <w:rPr>
          <w:b/>
          <w:bCs/>
          <w:color w:val="auto"/>
          <w:sz w:val="28"/>
          <w:szCs w:val="28"/>
          <w:highlight w:val="none"/>
        </w:rPr>
        <w:t>：（</w:t>
      </w:r>
      <w:r>
        <w:rPr>
          <w:rFonts w:hint="eastAsia"/>
          <w:b/>
          <w:bCs/>
          <w:color w:val="auto"/>
          <w:sz w:val="28"/>
          <w:szCs w:val="28"/>
          <w:highlight w:val="none"/>
        </w:rPr>
        <w:t>公章或电子签章</w:t>
      </w:r>
      <w:r>
        <w:rPr>
          <w:b/>
          <w:bCs/>
          <w:color w:val="auto"/>
          <w:sz w:val="28"/>
          <w:szCs w:val="28"/>
          <w:highlight w:val="none"/>
        </w:rPr>
        <w:t>）</w:t>
      </w:r>
    </w:p>
    <w:p>
      <w:pPr>
        <w:spacing w:line="360" w:lineRule="auto"/>
        <w:ind w:firstLine="1400" w:firstLineChars="500"/>
        <w:rPr>
          <w:rFonts w:hint="eastAsia" w:eastAsia="宋体"/>
          <w:b/>
          <w:bCs/>
          <w:color w:val="auto"/>
          <w:sz w:val="28"/>
          <w:szCs w:val="28"/>
          <w:highlight w:val="none"/>
          <w:lang w:eastAsia="zh-CN"/>
        </w:rPr>
      </w:pPr>
      <w:r>
        <w:rPr>
          <w:b/>
          <w:bCs/>
          <w:color w:val="auto"/>
          <w:sz w:val="28"/>
          <w:szCs w:val="28"/>
          <w:highlight w:val="none"/>
        </w:rPr>
        <w:t>法定代表人或其委托代理人：</w:t>
      </w:r>
      <w:r>
        <w:rPr>
          <w:rFonts w:hint="eastAsia"/>
          <w:b/>
          <w:bCs/>
          <w:color w:val="auto"/>
          <w:sz w:val="28"/>
          <w:szCs w:val="28"/>
          <w:highlight w:val="none"/>
          <w:lang w:eastAsia="zh-CN"/>
        </w:rPr>
        <w:t>（手写签名或电子签章）</w:t>
      </w:r>
    </w:p>
    <w:p>
      <w:pPr>
        <w:jc w:val="center"/>
        <w:rPr>
          <w:b/>
          <w:bCs/>
          <w:color w:val="auto"/>
          <w:sz w:val="28"/>
          <w:szCs w:val="28"/>
          <w:highlight w:val="none"/>
        </w:rPr>
      </w:pPr>
      <w:r>
        <w:rPr>
          <w:b/>
          <w:bCs/>
          <w:color w:val="auto"/>
          <w:sz w:val="28"/>
          <w:szCs w:val="28"/>
          <w:highlight w:val="none"/>
        </w:rPr>
        <w:t xml:space="preserve">  年  月  日</w:t>
      </w: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黑体" w:eastAsia="黑体"/>
          <w:b/>
          <w:color w:val="auto"/>
          <w:sz w:val="28"/>
          <w:szCs w:val="28"/>
          <w:highlight w:val="none"/>
        </w:rPr>
      </w:pPr>
      <w:r>
        <w:rPr>
          <w:rFonts w:hint="eastAsia" w:ascii="黑体" w:eastAsia="黑体"/>
          <w:b/>
          <w:color w:val="auto"/>
          <w:sz w:val="28"/>
          <w:szCs w:val="28"/>
          <w:highlight w:val="none"/>
        </w:rPr>
        <w:t>目录</w:t>
      </w:r>
    </w:p>
    <w:p>
      <w:pPr>
        <w:spacing w:line="336" w:lineRule="auto"/>
        <w:ind w:right="-153" w:rightChars="-73"/>
        <w:jc w:val="center"/>
        <w:rPr>
          <w:rFonts w:ascii="宋体" w:hAnsi="宋体" w:cs="宋体"/>
          <w:bCs/>
          <w:color w:val="auto"/>
          <w:sz w:val="18"/>
          <w:szCs w:val="18"/>
          <w:highlight w:val="none"/>
        </w:rPr>
      </w:pPr>
      <w:r>
        <w:rPr>
          <w:rFonts w:hint="eastAsia" w:ascii="宋体" w:hAnsi="宋体" w:cs="宋体"/>
          <w:bCs/>
          <w:color w:val="auto"/>
          <w:sz w:val="18"/>
          <w:szCs w:val="18"/>
          <w:highlight w:val="none"/>
        </w:rPr>
        <w:t>（自行编页码）</w:t>
      </w:r>
    </w:p>
    <w:p>
      <w:pPr>
        <w:pStyle w:val="25"/>
        <w:spacing w:line="390" w:lineRule="exact"/>
        <w:rPr>
          <w:rFonts w:hAnsi="宋体" w:cs="宋体"/>
          <w:bCs/>
          <w:color w:val="auto"/>
          <w:szCs w:val="21"/>
          <w:highlight w:val="none"/>
        </w:rPr>
      </w:pPr>
      <w:r>
        <w:rPr>
          <w:rFonts w:hint="eastAsia" w:hAnsi="宋体" w:cs="宋体"/>
          <w:bCs/>
          <w:color w:val="auto"/>
          <w:szCs w:val="21"/>
          <w:highlight w:val="none"/>
        </w:rPr>
        <w:t>（1）磋商函及磋商函附录</w:t>
      </w:r>
    </w:p>
    <w:p>
      <w:pPr>
        <w:pStyle w:val="25"/>
        <w:spacing w:line="390" w:lineRule="exact"/>
        <w:rPr>
          <w:rFonts w:hAnsi="宋体" w:cs="宋体"/>
          <w:bCs/>
          <w:color w:val="auto"/>
          <w:szCs w:val="21"/>
          <w:highlight w:val="none"/>
        </w:rPr>
      </w:pPr>
      <w:r>
        <w:rPr>
          <w:rFonts w:hint="eastAsia" w:hAnsi="宋体" w:cs="宋体"/>
          <w:bCs/>
          <w:color w:val="auto"/>
          <w:szCs w:val="21"/>
          <w:highlight w:val="none"/>
        </w:rPr>
        <w:t>（2）竞标人基本情况表</w:t>
      </w:r>
    </w:p>
    <w:p>
      <w:pPr>
        <w:pStyle w:val="25"/>
        <w:spacing w:line="390" w:lineRule="exact"/>
        <w:rPr>
          <w:rFonts w:hAnsi="宋体" w:cs="宋体"/>
          <w:bCs/>
          <w:color w:val="auto"/>
          <w:szCs w:val="21"/>
          <w:highlight w:val="none"/>
        </w:rPr>
      </w:pPr>
      <w:r>
        <w:rPr>
          <w:rFonts w:hint="eastAsia" w:hAnsi="宋体" w:cs="宋体"/>
          <w:bCs/>
          <w:color w:val="auto"/>
          <w:szCs w:val="21"/>
          <w:highlight w:val="none"/>
        </w:rPr>
        <w:t>（3）已标价工程量清单</w:t>
      </w: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rPr>
          <w:rFonts w:ascii="宋体" w:hAnsi="宋体"/>
          <w:b/>
          <w:color w:val="auto"/>
          <w:sz w:val="28"/>
          <w:szCs w:val="28"/>
          <w:highlight w:val="none"/>
        </w:rPr>
      </w:pPr>
      <w:r>
        <w:rPr>
          <w:rFonts w:hint="eastAsia" w:ascii="宋体" w:hAnsi="宋体"/>
          <w:b/>
          <w:color w:val="auto"/>
          <w:sz w:val="28"/>
          <w:szCs w:val="28"/>
          <w:highlight w:val="none"/>
        </w:rPr>
        <w:br w:type="page"/>
      </w:r>
    </w:p>
    <w:p>
      <w:pPr>
        <w:spacing w:line="336" w:lineRule="auto"/>
        <w:ind w:right="-153" w:rightChars="-73"/>
        <w:jc w:val="center"/>
        <w:rPr>
          <w:rFonts w:ascii="宋体" w:hAnsi="宋体"/>
          <w:b/>
          <w:color w:val="auto"/>
          <w:sz w:val="24"/>
          <w:highlight w:val="none"/>
        </w:rPr>
      </w:pPr>
      <w:r>
        <w:rPr>
          <w:rFonts w:hint="eastAsia" w:ascii="宋体" w:hAnsi="宋体"/>
          <w:b/>
          <w:color w:val="auto"/>
          <w:sz w:val="28"/>
          <w:szCs w:val="28"/>
          <w:highlight w:val="none"/>
        </w:rPr>
        <w:t>一、磋商函及磋商函附录</w:t>
      </w:r>
    </w:p>
    <w:p>
      <w:pPr>
        <w:ind w:firstLine="2040" w:firstLineChars="850"/>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（一）磋商函</w:t>
      </w:r>
    </w:p>
    <w:p>
      <w:pPr>
        <w:ind w:left="5250"/>
        <w:jc w:val="center"/>
        <w:rPr>
          <w:rFonts w:ascii="宋体" w:hAnsi="宋体"/>
          <w:b/>
          <w:bCs/>
          <w:color w:val="auto"/>
          <w:szCs w:val="21"/>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（采购人名称）：</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1、我方已仔细研究了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（项目名称及项目编号）《竞争性磋商文件》的全部内容，愿意以人民币（大写）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）的磋商总报价，工期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日历天，按合同约定实施和完成承包工程，修补工程中的任何缺陷，工程质量等级达到</w:t>
      </w:r>
      <w:r>
        <w:rPr>
          <w:rFonts w:hint="eastAsia" w:ascii="宋体" w:hAnsi="宋体" w:cs="宋体"/>
          <w:color w:val="auto"/>
          <w:szCs w:val="21"/>
          <w:highlight w:val="none"/>
          <w:u w:val="single"/>
        </w:rPr>
        <w:t xml:space="preserve">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2、我方同意所递交的《响应文件》在“磋商供应商须知前附表”第8条规定的磋商有效期内有效，在此期间内我方的磋商有可能成交，我方将受此约束。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3、我方承诺已经具备《中华人民共和国政府采购法》第二十二条中规定的参加政府采购活动的供应商应当具备的条件。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4、我方根据《竞争性磋商文件》的规定，承担完成合同的责任和义务。</w:t>
      </w:r>
    </w:p>
    <w:p>
      <w:pPr>
        <w:pStyle w:val="25"/>
        <w:spacing w:line="400" w:lineRule="exact"/>
        <w:ind w:firstLine="420" w:firstLineChars="200"/>
        <w:rPr>
          <w:rFonts w:hAnsi="宋体" w:cs="宋体"/>
          <w:color w:val="auto"/>
          <w:szCs w:val="21"/>
          <w:highlight w:val="none"/>
        </w:rPr>
      </w:pPr>
      <w:r>
        <w:rPr>
          <w:rFonts w:hint="eastAsia" w:hAnsi="宋体" w:cs="宋体"/>
          <w:color w:val="auto"/>
          <w:szCs w:val="21"/>
          <w:highlight w:val="none"/>
        </w:rPr>
        <w:t>5、我方已详细审核《竞争性磋商文件》，我方知道必须放弃提出含糊不清或误解问题的权利。</w:t>
      </w:r>
    </w:p>
    <w:p>
      <w:pPr>
        <w:pStyle w:val="25"/>
        <w:spacing w:line="400" w:lineRule="exact"/>
        <w:ind w:firstLine="420" w:firstLineChars="200"/>
        <w:rPr>
          <w:rFonts w:hAnsi="宋体" w:cs="宋体"/>
          <w:color w:val="auto"/>
          <w:szCs w:val="21"/>
          <w:highlight w:val="none"/>
        </w:rPr>
      </w:pPr>
      <w:r>
        <w:rPr>
          <w:rFonts w:hint="eastAsia" w:hAnsi="宋体" w:cs="宋体"/>
          <w:color w:val="auto"/>
          <w:szCs w:val="21"/>
          <w:highlight w:val="none"/>
        </w:rPr>
        <w:t>6、如果在磋商截止时间后的磋商有效期内撤回磋商或者有其他违约行为，贵方可不退还我方的磋商保证金。</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7、同意向贵方提供贵方可能要求的与本磋商有关的任何数据或资料。</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8、我方完全理解贵方不一定要接受最低报价的磋商供应商为成交供应商。</w:t>
      </w:r>
    </w:p>
    <w:p>
      <w:pPr>
        <w:pStyle w:val="25"/>
        <w:spacing w:line="400" w:lineRule="exact"/>
        <w:ind w:firstLine="420" w:firstLineChars="200"/>
        <w:rPr>
          <w:rFonts w:hAnsi="宋体" w:cs="宋体"/>
          <w:color w:val="auto"/>
          <w:szCs w:val="21"/>
          <w:highlight w:val="none"/>
        </w:rPr>
      </w:pPr>
      <w:r>
        <w:rPr>
          <w:rFonts w:hint="eastAsia" w:hAnsi="宋体" w:cs="宋体"/>
          <w:color w:val="auto"/>
          <w:szCs w:val="21"/>
          <w:highlight w:val="none"/>
        </w:rPr>
        <w:t>9.若贵方需要，我方愿意提供我方作出的一切承诺的证明材料。</w:t>
      </w:r>
    </w:p>
    <w:p>
      <w:pPr>
        <w:pStyle w:val="25"/>
        <w:spacing w:line="400" w:lineRule="exact"/>
        <w:ind w:firstLine="420" w:firstLineChars="200"/>
        <w:rPr>
          <w:rFonts w:hAnsi="宋体" w:cs="宋体"/>
          <w:color w:val="auto"/>
          <w:szCs w:val="21"/>
          <w:highlight w:val="none"/>
        </w:rPr>
      </w:pPr>
      <w:r>
        <w:rPr>
          <w:rFonts w:hint="eastAsia" w:hAnsi="宋体" w:cs="宋体"/>
          <w:color w:val="auto"/>
          <w:szCs w:val="21"/>
          <w:highlight w:val="none"/>
        </w:rPr>
        <w:t>10.</w:t>
      </w:r>
      <w:r>
        <w:rPr>
          <w:rFonts w:hint="eastAsia" w:hAnsi="宋体" w:cs="宋体"/>
          <w:color w:val="auto"/>
          <w:spacing w:val="-2"/>
          <w:szCs w:val="21"/>
          <w:highlight w:val="none"/>
        </w:rPr>
        <w:t>我方将严格遵守《中华人民共和国政府采购法》的规定，知悉作为政府采购供应商应负的法律责任。</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11、</w:t>
      </w:r>
      <w:r>
        <w:rPr>
          <w:rFonts w:hint="eastAsia" w:ascii="宋体" w:hAnsi="宋体" w:cs="宋体"/>
          <w:color w:val="auto"/>
          <w:szCs w:val="21"/>
          <w:highlight w:val="none"/>
          <w:u w:val="single"/>
        </w:rPr>
        <w:t xml:space="preserve">       （其他）        </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与本项目磋商有关的正式通讯地址为：</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磋商供应商名称：</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 xml:space="preserve">地址：              </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邮政编码：</w:t>
      </w:r>
    </w:p>
    <w:p>
      <w:pPr>
        <w:pStyle w:val="25"/>
        <w:spacing w:line="400" w:lineRule="exact"/>
        <w:ind w:firstLine="420"/>
        <w:rPr>
          <w:rFonts w:hAnsi="宋体" w:cs="宋体"/>
          <w:color w:val="auto"/>
          <w:szCs w:val="21"/>
          <w:highlight w:val="none"/>
          <w:u w:val="single"/>
        </w:rPr>
      </w:pPr>
      <w:r>
        <w:rPr>
          <w:rFonts w:hint="eastAsia" w:hAnsi="宋体" w:cs="宋体"/>
          <w:color w:val="auto"/>
          <w:szCs w:val="21"/>
          <w:highlight w:val="none"/>
        </w:rPr>
        <w:t>电话、电报、传真或电传：</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开户名称：</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开户银行：</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银行帐号：</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法定代表人或委托代理人</w:t>
      </w:r>
      <w:r>
        <w:rPr>
          <w:rFonts w:hint="eastAsia" w:cs="宋体"/>
          <w:color w:val="auto"/>
          <w:kern w:val="0"/>
          <w:szCs w:val="21"/>
          <w:highlight w:val="none"/>
        </w:rPr>
        <w:t>手写签名或</w:t>
      </w:r>
      <w:r>
        <w:rPr>
          <w:rFonts w:hint="eastAsia" w:cs="宋体"/>
          <w:color w:val="auto"/>
          <w:kern w:val="0"/>
          <w:szCs w:val="21"/>
          <w:highlight w:val="none"/>
          <w:lang w:val="en-US" w:eastAsia="zh-CN"/>
        </w:rPr>
        <w:t>电子签章</w:t>
      </w:r>
      <w:r>
        <w:rPr>
          <w:rFonts w:hint="eastAsia" w:hAnsi="宋体" w:cs="宋体"/>
          <w:color w:val="auto"/>
          <w:szCs w:val="21"/>
          <w:highlight w:val="none"/>
        </w:rPr>
        <w:t>：</w:t>
      </w:r>
    </w:p>
    <w:p>
      <w:pPr>
        <w:pStyle w:val="25"/>
        <w:spacing w:line="400" w:lineRule="exact"/>
        <w:ind w:firstLine="420"/>
        <w:rPr>
          <w:rFonts w:hAnsi="宋体" w:cs="宋体"/>
          <w:color w:val="auto"/>
          <w:szCs w:val="21"/>
          <w:highlight w:val="none"/>
        </w:rPr>
      </w:pPr>
      <w:r>
        <w:rPr>
          <w:rFonts w:hint="eastAsia" w:hAnsi="宋体" w:cs="宋体"/>
          <w:color w:val="auto"/>
          <w:szCs w:val="21"/>
          <w:highlight w:val="none"/>
        </w:rPr>
        <w:t>磋商供应商盖公章或电子签章：</w:t>
      </w:r>
    </w:p>
    <w:p>
      <w:pPr>
        <w:pStyle w:val="25"/>
        <w:spacing w:line="400" w:lineRule="exact"/>
        <w:ind w:firstLine="420" w:firstLineChars="200"/>
        <w:rPr>
          <w:rFonts w:hAnsi="宋体" w:cs="宋体"/>
          <w:color w:val="auto"/>
          <w:szCs w:val="21"/>
          <w:highlight w:val="none"/>
          <w:u w:val="single"/>
        </w:rPr>
      </w:pPr>
      <w:r>
        <w:rPr>
          <w:rFonts w:hint="eastAsia" w:hAnsi="宋体" w:cs="宋体"/>
          <w:color w:val="auto"/>
          <w:szCs w:val="21"/>
          <w:highlight w:val="none"/>
        </w:rPr>
        <w:t>磋商日期：</w:t>
      </w:r>
    </w:p>
    <w:p>
      <w:pPr>
        <w:spacing w:line="480" w:lineRule="auto"/>
        <w:jc w:val="center"/>
        <w:rPr>
          <w:rFonts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 w:val="24"/>
          <w:highlight w:val="none"/>
        </w:rPr>
        <w:t>（二） 磋商函附录</w:t>
      </w:r>
    </w:p>
    <w:p>
      <w:pPr>
        <w:spacing w:line="336" w:lineRule="auto"/>
        <w:ind w:left="-4" w:leftChars="-2" w:right="-153" w:rightChars="-73" w:firstLine="2627" w:firstLineChars="1251"/>
        <w:rPr>
          <w:rFonts w:ascii="宋体" w:hAnsi="宋体"/>
          <w:b/>
          <w:color w:val="auto"/>
          <w:szCs w:val="21"/>
          <w:highlight w:val="none"/>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706"/>
        <w:gridCol w:w="2017"/>
        <w:gridCol w:w="1984"/>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序 号</w:t>
            </w:r>
          </w:p>
        </w:tc>
        <w:tc>
          <w:tcPr>
            <w:tcW w:w="2706"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条款内容</w:t>
            </w:r>
          </w:p>
        </w:tc>
        <w:tc>
          <w:tcPr>
            <w:tcW w:w="2017"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合同条款号</w:t>
            </w:r>
          </w:p>
        </w:tc>
        <w:tc>
          <w:tcPr>
            <w:tcW w:w="1984"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约定内容</w:t>
            </w:r>
          </w:p>
        </w:tc>
        <w:tc>
          <w:tcPr>
            <w:tcW w:w="2107"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项目经理</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姓名：</w:t>
            </w: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磋商有效期</w:t>
            </w:r>
          </w:p>
        </w:tc>
        <w:tc>
          <w:tcPr>
            <w:tcW w:w="2017" w:type="dxa"/>
            <w:noWrap/>
            <w:tcMar>
              <w:left w:w="170" w:type="dxa"/>
            </w:tcMar>
            <w:vAlign w:val="center"/>
          </w:tcPr>
          <w:p>
            <w:pPr>
              <w:spacing w:line="300" w:lineRule="exact"/>
              <w:rPr>
                <w:rFonts w:ascii="宋体" w:hAnsi="宋体" w:cs="宋体"/>
                <w:color w:val="auto"/>
                <w:szCs w:val="21"/>
                <w:highlight w:val="none"/>
              </w:rPr>
            </w:pPr>
          </w:p>
        </w:tc>
        <w:tc>
          <w:tcPr>
            <w:tcW w:w="1984" w:type="dxa"/>
            <w:noWrap/>
            <w:vAlign w:val="center"/>
          </w:tcPr>
          <w:p>
            <w:pPr>
              <w:spacing w:line="300" w:lineRule="exact"/>
              <w:jc w:val="center"/>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工期</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缺陷责任期</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jc w:val="center"/>
              <w:rPr>
                <w:rFonts w:ascii="宋体" w:hAnsi="宋体" w:cs="宋体"/>
                <w:color w:val="auto"/>
                <w:szCs w:val="21"/>
                <w:highlight w:val="none"/>
              </w:rPr>
            </w:pP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分包</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jc w:val="center"/>
              <w:rPr>
                <w:rFonts w:ascii="宋体" w:hAnsi="宋体" w:cs="宋体"/>
                <w:color w:val="auto"/>
                <w:szCs w:val="21"/>
                <w:highlight w:val="none"/>
              </w:rPr>
            </w:pP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逾期交工违约金</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合同价款/天</w:t>
            </w: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逾期交工违约金最高限额</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合同价款</w:t>
            </w:r>
            <w:r>
              <w:rPr>
                <w:rFonts w:hint="eastAsia" w:ascii="宋体" w:hAnsi="宋体" w:cs="宋体"/>
                <w:color w:val="auto"/>
                <w:szCs w:val="21"/>
                <w:highlight w:val="none"/>
                <w:u w:val="single"/>
              </w:rPr>
              <w:t xml:space="preserve">    %</w:t>
            </w: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质量标准</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jc w:val="center"/>
              <w:rPr>
                <w:rFonts w:ascii="宋体" w:hAnsi="宋体" w:cs="宋体"/>
                <w:color w:val="auto"/>
                <w:szCs w:val="21"/>
                <w:highlight w:val="none"/>
              </w:rPr>
            </w:pP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预付款额度</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jc w:val="center"/>
              <w:rPr>
                <w:rFonts w:ascii="宋体" w:hAnsi="宋体" w:cs="宋体"/>
                <w:color w:val="auto"/>
                <w:szCs w:val="21"/>
                <w:highlight w:val="none"/>
              </w:rPr>
            </w:pP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2706" w:type="dxa"/>
            <w:noWrap/>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质量保证金额度</w:t>
            </w:r>
          </w:p>
        </w:tc>
        <w:tc>
          <w:tcPr>
            <w:tcW w:w="2017" w:type="dxa"/>
            <w:noWrap/>
            <w:tcMar>
              <w:left w:w="170" w:type="dxa"/>
            </w:tcMar>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u w:val="single"/>
              </w:rPr>
              <w:t xml:space="preserve">计量额的    % </w:t>
            </w:r>
          </w:p>
        </w:tc>
        <w:tc>
          <w:tcPr>
            <w:tcW w:w="2107" w:type="dxa"/>
            <w:noWrap/>
            <w:vAlign w:val="center"/>
          </w:tcPr>
          <w:p>
            <w:pPr>
              <w:spacing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706" w:type="dxa"/>
            <w:noWrap/>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017" w:type="dxa"/>
            <w:noWrap/>
            <w:tcMar>
              <w:left w:w="170" w:type="dxa"/>
            </w:tcMar>
            <w:vAlign w:val="center"/>
          </w:tcPr>
          <w:p>
            <w:pPr>
              <w:spacing w:line="300" w:lineRule="exact"/>
              <w:rPr>
                <w:rFonts w:ascii="宋体" w:hAnsi="宋体" w:cs="宋体"/>
                <w:color w:val="auto"/>
                <w:szCs w:val="21"/>
                <w:highlight w:val="none"/>
              </w:rPr>
            </w:pPr>
          </w:p>
        </w:tc>
        <w:tc>
          <w:tcPr>
            <w:tcW w:w="1984" w:type="dxa"/>
            <w:noWrap/>
            <w:vAlign w:val="center"/>
          </w:tcPr>
          <w:p>
            <w:pPr>
              <w:spacing w:line="300" w:lineRule="exact"/>
              <w:jc w:val="center"/>
              <w:rPr>
                <w:rFonts w:ascii="宋体" w:hAnsi="宋体" w:cs="宋体"/>
                <w:color w:val="auto"/>
                <w:szCs w:val="21"/>
                <w:highlight w:val="none"/>
              </w:rPr>
            </w:pPr>
          </w:p>
        </w:tc>
        <w:tc>
          <w:tcPr>
            <w:tcW w:w="2107" w:type="dxa"/>
            <w:noWrap/>
            <w:vAlign w:val="center"/>
          </w:tcPr>
          <w:p>
            <w:pPr>
              <w:spacing w:line="300" w:lineRule="exact"/>
              <w:jc w:val="center"/>
              <w:rPr>
                <w:rFonts w:ascii="宋体" w:hAnsi="宋体" w:cs="宋体"/>
                <w:color w:val="auto"/>
                <w:szCs w:val="21"/>
                <w:highlight w:val="none"/>
              </w:rPr>
            </w:pPr>
          </w:p>
        </w:tc>
      </w:tr>
    </w:tbl>
    <w:p>
      <w:pPr>
        <w:spacing w:line="336" w:lineRule="auto"/>
        <w:ind w:left="-4" w:leftChars="-2" w:right="-153" w:rightChars="-73" w:firstLine="363" w:firstLineChars="173"/>
        <w:jc w:val="center"/>
        <w:rPr>
          <w:rFonts w:ascii="宋体" w:hAnsi="宋体"/>
          <w:b/>
          <w:color w:val="auto"/>
          <w:szCs w:val="21"/>
          <w:highlight w:val="none"/>
        </w:rPr>
      </w:pPr>
    </w:p>
    <w:p>
      <w:pPr>
        <w:spacing w:line="336" w:lineRule="auto"/>
        <w:ind w:left="-4" w:leftChars="-2" w:right="-153" w:rightChars="-73" w:firstLine="363" w:firstLineChars="173"/>
        <w:jc w:val="center"/>
        <w:rPr>
          <w:rFonts w:ascii="宋体" w:hAnsi="宋体"/>
          <w:b/>
          <w:color w:val="auto"/>
          <w:szCs w:val="21"/>
          <w:highlight w:val="none"/>
        </w:rPr>
      </w:pPr>
    </w:p>
    <w:p>
      <w:pPr>
        <w:spacing w:line="336" w:lineRule="auto"/>
        <w:ind w:left="-4" w:leftChars="-2" w:right="-153" w:rightChars="-73" w:firstLine="363" w:firstLineChars="173"/>
        <w:jc w:val="center"/>
        <w:rPr>
          <w:rFonts w:ascii="宋体" w:hAnsi="宋体"/>
          <w:b/>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t>磋商供应商：（公章或电子签章）</w:t>
      </w:r>
    </w:p>
    <w:p>
      <w:pPr>
        <w:spacing w:line="480" w:lineRule="auto"/>
        <w:rPr>
          <w:rFonts w:ascii="宋体" w:hAnsi="宋体"/>
          <w:color w:val="auto"/>
          <w:szCs w:val="21"/>
          <w:highlight w:val="none"/>
          <w:u w:val="single"/>
        </w:rPr>
      </w:pPr>
      <w:r>
        <w:rPr>
          <w:rFonts w:hint="eastAsia" w:ascii="宋体" w:hAnsi="宋体"/>
          <w:color w:val="auto"/>
          <w:szCs w:val="21"/>
          <w:highlight w:val="none"/>
        </w:rPr>
        <w:t>法定代表人（或授权委托代理人）：</w:t>
      </w:r>
      <w:r>
        <w:rPr>
          <w:rFonts w:hint="eastAsia" w:ascii="宋体" w:hAnsi="宋体"/>
          <w:color w:val="auto"/>
          <w:szCs w:val="21"/>
          <w:highlight w:val="none"/>
          <w:lang w:eastAsia="zh-CN"/>
        </w:rPr>
        <w:t>（手写签名或电子签章）</w:t>
      </w:r>
      <w:r>
        <w:rPr>
          <w:rFonts w:hint="eastAsia" w:ascii="宋体" w:hAnsi="宋体"/>
          <w:color w:val="auto"/>
          <w:szCs w:val="21"/>
          <w:highlight w:val="none"/>
        </w:rPr>
        <w:t xml:space="preserve"> </w:t>
      </w:r>
    </w:p>
    <w:p>
      <w:pPr>
        <w:spacing w:line="480" w:lineRule="auto"/>
        <w:rPr>
          <w:rFonts w:ascii="宋体" w:hAnsi="宋体"/>
          <w:color w:val="auto"/>
          <w:szCs w:val="21"/>
          <w:highlight w:val="none"/>
        </w:rPr>
      </w:pPr>
      <w:r>
        <w:rPr>
          <w:rFonts w:hint="eastAsia" w:ascii="宋体" w:hAnsi="宋体"/>
          <w:color w:val="auto"/>
          <w:szCs w:val="21"/>
          <w:highlight w:val="none"/>
        </w:rPr>
        <w:t>日期：  年  月  日</w:t>
      </w:r>
    </w:p>
    <w:p>
      <w:pPr>
        <w:jc w:val="center"/>
        <w:rPr>
          <w:rFonts w:ascii="宋体" w:hAnsi="宋体"/>
          <w:b/>
          <w:color w:val="auto"/>
          <w:sz w:val="24"/>
          <w:highlight w:val="none"/>
        </w:rPr>
      </w:pPr>
      <w:r>
        <w:rPr>
          <w:rFonts w:ascii="宋体" w:hAnsi="宋体"/>
          <w:color w:val="auto"/>
          <w:szCs w:val="21"/>
          <w:highlight w:val="none"/>
        </w:rPr>
        <w:br w:type="page"/>
      </w:r>
      <w:r>
        <w:rPr>
          <w:rFonts w:hint="eastAsia" w:ascii="宋体" w:hAnsi="宋体" w:cs="黑体"/>
          <w:b/>
          <w:color w:val="auto"/>
          <w:kern w:val="0"/>
          <w:sz w:val="28"/>
          <w:szCs w:val="28"/>
          <w:highlight w:val="none"/>
        </w:rPr>
        <w:t>二、竞标人基本情况表</w:t>
      </w:r>
    </w:p>
    <w:p>
      <w:pPr>
        <w:pStyle w:val="85"/>
        <w:ind w:firstLine="0"/>
        <w:rPr>
          <w:color w:val="auto"/>
          <w:highlight w:val="none"/>
        </w:rPr>
      </w:pPr>
    </w:p>
    <w:tbl>
      <w:tblPr>
        <w:tblStyle w:val="49"/>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917"/>
        <w:gridCol w:w="1377"/>
        <w:gridCol w:w="1172"/>
        <w:gridCol w:w="1540"/>
        <w:gridCol w:w="1016"/>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rFonts w:hint="eastAsia"/>
                <w:color w:val="auto"/>
                <w:szCs w:val="21"/>
                <w:highlight w:val="none"/>
              </w:rPr>
              <w:t>竞标人</w:t>
            </w:r>
            <w:r>
              <w:rPr>
                <w:color w:val="auto"/>
                <w:szCs w:val="21"/>
                <w:highlight w:val="none"/>
              </w:rPr>
              <w:t>名称</w:t>
            </w:r>
          </w:p>
        </w:tc>
        <w:tc>
          <w:tcPr>
            <w:tcW w:w="8757" w:type="dxa"/>
            <w:gridSpan w:val="6"/>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注册地址</w:t>
            </w:r>
          </w:p>
        </w:tc>
        <w:tc>
          <w:tcPr>
            <w:tcW w:w="3466" w:type="dxa"/>
            <w:gridSpan w:val="3"/>
            <w:noWrap/>
            <w:vAlign w:val="center"/>
          </w:tcPr>
          <w:p>
            <w:pPr>
              <w:spacing w:line="300" w:lineRule="exact"/>
              <w:jc w:val="center"/>
              <w:rPr>
                <w:color w:val="auto"/>
                <w:szCs w:val="21"/>
                <w:highlight w:val="none"/>
              </w:rPr>
            </w:pPr>
          </w:p>
        </w:tc>
        <w:tc>
          <w:tcPr>
            <w:tcW w:w="1540" w:type="dxa"/>
            <w:noWrap/>
            <w:vAlign w:val="center"/>
          </w:tcPr>
          <w:p>
            <w:pPr>
              <w:spacing w:line="300" w:lineRule="exact"/>
              <w:jc w:val="center"/>
              <w:rPr>
                <w:color w:val="auto"/>
                <w:szCs w:val="21"/>
                <w:highlight w:val="none"/>
              </w:rPr>
            </w:pPr>
            <w:r>
              <w:rPr>
                <w:color w:val="auto"/>
                <w:szCs w:val="21"/>
                <w:highlight w:val="none"/>
              </w:rPr>
              <w:t>邮政编码</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Merge w:val="restart"/>
            <w:noWrap/>
            <w:vAlign w:val="center"/>
          </w:tcPr>
          <w:p>
            <w:pPr>
              <w:spacing w:line="300" w:lineRule="exact"/>
              <w:jc w:val="center"/>
              <w:rPr>
                <w:color w:val="auto"/>
                <w:szCs w:val="21"/>
                <w:highlight w:val="none"/>
              </w:rPr>
            </w:pPr>
            <w:r>
              <w:rPr>
                <w:color w:val="auto"/>
                <w:szCs w:val="21"/>
                <w:highlight w:val="none"/>
              </w:rPr>
              <w:t>联系方式</w:t>
            </w:r>
          </w:p>
        </w:tc>
        <w:tc>
          <w:tcPr>
            <w:tcW w:w="917" w:type="dxa"/>
            <w:noWrap/>
            <w:vAlign w:val="center"/>
          </w:tcPr>
          <w:p>
            <w:pPr>
              <w:spacing w:line="300" w:lineRule="exact"/>
              <w:jc w:val="center"/>
              <w:rPr>
                <w:color w:val="auto"/>
                <w:szCs w:val="21"/>
                <w:highlight w:val="none"/>
              </w:rPr>
            </w:pPr>
            <w:r>
              <w:rPr>
                <w:color w:val="auto"/>
                <w:szCs w:val="21"/>
                <w:highlight w:val="none"/>
              </w:rPr>
              <w:t>联系人</w:t>
            </w:r>
          </w:p>
        </w:tc>
        <w:tc>
          <w:tcPr>
            <w:tcW w:w="2549" w:type="dxa"/>
            <w:gridSpan w:val="2"/>
            <w:noWrap/>
            <w:vAlign w:val="center"/>
          </w:tcPr>
          <w:p>
            <w:pPr>
              <w:spacing w:line="300" w:lineRule="exact"/>
              <w:jc w:val="center"/>
              <w:rPr>
                <w:color w:val="auto"/>
                <w:szCs w:val="21"/>
                <w:highlight w:val="none"/>
              </w:rPr>
            </w:pPr>
          </w:p>
        </w:tc>
        <w:tc>
          <w:tcPr>
            <w:tcW w:w="1540" w:type="dxa"/>
            <w:noWrap/>
            <w:vAlign w:val="center"/>
          </w:tcPr>
          <w:p>
            <w:pPr>
              <w:spacing w:line="300" w:lineRule="exact"/>
              <w:jc w:val="center"/>
              <w:rPr>
                <w:color w:val="auto"/>
                <w:szCs w:val="21"/>
                <w:highlight w:val="none"/>
              </w:rPr>
            </w:pPr>
            <w:r>
              <w:rPr>
                <w:color w:val="auto"/>
                <w:szCs w:val="21"/>
                <w:highlight w:val="none"/>
              </w:rPr>
              <w:t>电话</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vMerge w:val="continue"/>
            <w:noWrap/>
            <w:vAlign w:val="center"/>
          </w:tcPr>
          <w:p>
            <w:pPr>
              <w:spacing w:line="300" w:lineRule="exact"/>
              <w:jc w:val="center"/>
              <w:rPr>
                <w:color w:val="auto"/>
                <w:szCs w:val="21"/>
                <w:highlight w:val="none"/>
              </w:rPr>
            </w:pPr>
          </w:p>
        </w:tc>
        <w:tc>
          <w:tcPr>
            <w:tcW w:w="917" w:type="dxa"/>
            <w:noWrap/>
            <w:vAlign w:val="center"/>
          </w:tcPr>
          <w:p>
            <w:pPr>
              <w:spacing w:line="300" w:lineRule="exact"/>
              <w:jc w:val="center"/>
              <w:rPr>
                <w:color w:val="auto"/>
                <w:szCs w:val="21"/>
                <w:highlight w:val="none"/>
              </w:rPr>
            </w:pPr>
            <w:r>
              <w:rPr>
                <w:color w:val="auto"/>
                <w:szCs w:val="21"/>
                <w:highlight w:val="none"/>
              </w:rPr>
              <w:t>传真</w:t>
            </w:r>
          </w:p>
        </w:tc>
        <w:tc>
          <w:tcPr>
            <w:tcW w:w="2549" w:type="dxa"/>
            <w:gridSpan w:val="2"/>
            <w:noWrap/>
            <w:vAlign w:val="center"/>
          </w:tcPr>
          <w:p>
            <w:pPr>
              <w:spacing w:line="300" w:lineRule="exact"/>
              <w:jc w:val="center"/>
              <w:rPr>
                <w:color w:val="auto"/>
                <w:szCs w:val="21"/>
                <w:highlight w:val="none"/>
              </w:rPr>
            </w:pPr>
          </w:p>
        </w:tc>
        <w:tc>
          <w:tcPr>
            <w:tcW w:w="1540" w:type="dxa"/>
            <w:noWrap/>
            <w:vAlign w:val="center"/>
          </w:tcPr>
          <w:p>
            <w:pPr>
              <w:spacing w:line="300" w:lineRule="exact"/>
              <w:jc w:val="center"/>
              <w:rPr>
                <w:color w:val="auto"/>
                <w:szCs w:val="21"/>
                <w:highlight w:val="none"/>
              </w:rPr>
            </w:pPr>
            <w:r>
              <w:rPr>
                <w:color w:val="auto"/>
                <w:szCs w:val="21"/>
                <w:highlight w:val="none"/>
              </w:rPr>
              <w:t>网址</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组织</w:t>
            </w:r>
            <w:r>
              <w:rPr>
                <w:rFonts w:hint="eastAsia"/>
                <w:color w:val="auto"/>
                <w:szCs w:val="21"/>
                <w:highlight w:val="none"/>
              </w:rPr>
              <w:t>机构</w:t>
            </w:r>
          </w:p>
        </w:tc>
        <w:tc>
          <w:tcPr>
            <w:tcW w:w="8757" w:type="dxa"/>
            <w:gridSpan w:val="6"/>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法定代表人</w:t>
            </w:r>
          </w:p>
        </w:tc>
        <w:tc>
          <w:tcPr>
            <w:tcW w:w="917" w:type="dxa"/>
            <w:noWrap/>
            <w:vAlign w:val="center"/>
          </w:tcPr>
          <w:p>
            <w:pPr>
              <w:spacing w:line="300" w:lineRule="exact"/>
              <w:jc w:val="center"/>
              <w:rPr>
                <w:color w:val="auto"/>
                <w:szCs w:val="21"/>
                <w:highlight w:val="none"/>
              </w:rPr>
            </w:pPr>
            <w:r>
              <w:rPr>
                <w:color w:val="auto"/>
                <w:szCs w:val="21"/>
                <w:highlight w:val="none"/>
              </w:rPr>
              <w:t>姓名</w:t>
            </w:r>
          </w:p>
        </w:tc>
        <w:tc>
          <w:tcPr>
            <w:tcW w:w="1377" w:type="dxa"/>
            <w:noWrap/>
            <w:vAlign w:val="center"/>
          </w:tcPr>
          <w:p>
            <w:pPr>
              <w:spacing w:line="300" w:lineRule="exact"/>
              <w:jc w:val="center"/>
              <w:rPr>
                <w:color w:val="auto"/>
                <w:szCs w:val="21"/>
                <w:highlight w:val="none"/>
              </w:rPr>
            </w:pPr>
          </w:p>
        </w:tc>
        <w:tc>
          <w:tcPr>
            <w:tcW w:w="1172" w:type="dxa"/>
            <w:noWrap/>
            <w:vAlign w:val="center"/>
          </w:tcPr>
          <w:p>
            <w:pPr>
              <w:spacing w:line="300" w:lineRule="exact"/>
              <w:jc w:val="center"/>
              <w:rPr>
                <w:color w:val="auto"/>
                <w:szCs w:val="21"/>
                <w:highlight w:val="none"/>
              </w:rPr>
            </w:pPr>
            <w:r>
              <w:rPr>
                <w:color w:val="auto"/>
                <w:szCs w:val="21"/>
                <w:highlight w:val="none"/>
              </w:rPr>
              <w:t>技术职称</w:t>
            </w:r>
          </w:p>
        </w:tc>
        <w:tc>
          <w:tcPr>
            <w:tcW w:w="1540" w:type="dxa"/>
            <w:noWrap/>
            <w:vAlign w:val="center"/>
          </w:tcPr>
          <w:p>
            <w:pPr>
              <w:spacing w:line="300" w:lineRule="exact"/>
              <w:jc w:val="center"/>
              <w:rPr>
                <w:color w:val="auto"/>
                <w:szCs w:val="21"/>
                <w:highlight w:val="none"/>
              </w:rPr>
            </w:pPr>
          </w:p>
        </w:tc>
        <w:tc>
          <w:tcPr>
            <w:tcW w:w="1016" w:type="dxa"/>
            <w:noWrap/>
            <w:vAlign w:val="center"/>
          </w:tcPr>
          <w:p>
            <w:pPr>
              <w:spacing w:line="300" w:lineRule="exact"/>
              <w:jc w:val="center"/>
              <w:rPr>
                <w:color w:val="auto"/>
                <w:szCs w:val="21"/>
                <w:highlight w:val="none"/>
              </w:rPr>
            </w:pPr>
            <w:r>
              <w:rPr>
                <w:color w:val="auto"/>
                <w:szCs w:val="21"/>
                <w:highlight w:val="none"/>
              </w:rPr>
              <w:t>电话</w:t>
            </w:r>
          </w:p>
        </w:tc>
        <w:tc>
          <w:tcPr>
            <w:tcW w:w="2735" w:type="dxa"/>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技术负责人</w:t>
            </w:r>
          </w:p>
        </w:tc>
        <w:tc>
          <w:tcPr>
            <w:tcW w:w="917" w:type="dxa"/>
            <w:noWrap/>
            <w:vAlign w:val="center"/>
          </w:tcPr>
          <w:p>
            <w:pPr>
              <w:spacing w:line="300" w:lineRule="exact"/>
              <w:jc w:val="center"/>
              <w:rPr>
                <w:color w:val="auto"/>
                <w:szCs w:val="21"/>
                <w:highlight w:val="none"/>
              </w:rPr>
            </w:pPr>
            <w:r>
              <w:rPr>
                <w:color w:val="auto"/>
                <w:szCs w:val="21"/>
                <w:highlight w:val="none"/>
              </w:rPr>
              <w:t>姓名</w:t>
            </w:r>
          </w:p>
        </w:tc>
        <w:tc>
          <w:tcPr>
            <w:tcW w:w="1377" w:type="dxa"/>
            <w:noWrap/>
            <w:vAlign w:val="center"/>
          </w:tcPr>
          <w:p>
            <w:pPr>
              <w:spacing w:line="300" w:lineRule="exact"/>
              <w:jc w:val="center"/>
              <w:rPr>
                <w:color w:val="auto"/>
                <w:szCs w:val="21"/>
                <w:highlight w:val="none"/>
              </w:rPr>
            </w:pPr>
          </w:p>
        </w:tc>
        <w:tc>
          <w:tcPr>
            <w:tcW w:w="1172" w:type="dxa"/>
            <w:noWrap/>
            <w:vAlign w:val="center"/>
          </w:tcPr>
          <w:p>
            <w:pPr>
              <w:spacing w:line="300" w:lineRule="exact"/>
              <w:jc w:val="center"/>
              <w:rPr>
                <w:color w:val="auto"/>
                <w:szCs w:val="21"/>
                <w:highlight w:val="none"/>
              </w:rPr>
            </w:pPr>
            <w:r>
              <w:rPr>
                <w:color w:val="auto"/>
                <w:szCs w:val="21"/>
                <w:highlight w:val="none"/>
              </w:rPr>
              <w:t>技术职称</w:t>
            </w:r>
          </w:p>
        </w:tc>
        <w:tc>
          <w:tcPr>
            <w:tcW w:w="1540" w:type="dxa"/>
            <w:noWrap/>
            <w:vAlign w:val="center"/>
          </w:tcPr>
          <w:p>
            <w:pPr>
              <w:spacing w:line="300" w:lineRule="exact"/>
              <w:jc w:val="center"/>
              <w:rPr>
                <w:color w:val="auto"/>
                <w:szCs w:val="21"/>
                <w:highlight w:val="none"/>
              </w:rPr>
            </w:pPr>
          </w:p>
        </w:tc>
        <w:tc>
          <w:tcPr>
            <w:tcW w:w="1016" w:type="dxa"/>
            <w:noWrap/>
            <w:vAlign w:val="center"/>
          </w:tcPr>
          <w:p>
            <w:pPr>
              <w:spacing w:line="300" w:lineRule="exact"/>
              <w:jc w:val="center"/>
              <w:rPr>
                <w:color w:val="auto"/>
                <w:szCs w:val="21"/>
                <w:highlight w:val="none"/>
              </w:rPr>
            </w:pPr>
            <w:r>
              <w:rPr>
                <w:color w:val="auto"/>
                <w:szCs w:val="21"/>
                <w:highlight w:val="none"/>
              </w:rPr>
              <w:t>电话</w:t>
            </w:r>
          </w:p>
        </w:tc>
        <w:tc>
          <w:tcPr>
            <w:tcW w:w="2735" w:type="dxa"/>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成立时间</w:t>
            </w:r>
          </w:p>
        </w:tc>
        <w:tc>
          <w:tcPr>
            <w:tcW w:w="2294" w:type="dxa"/>
            <w:gridSpan w:val="2"/>
            <w:noWrap/>
            <w:vAlign w:val="center"/>
          </w:tcPr>
          <w:p>
            <w:pPr>
              <w:spacing w:line="300" w:lineRule="exact"/>
              <w:jc w:val="center"/>
              <w:rPr>
                <w:color w:val="auto"/>
                <w:szCs w:val="21"/>
                <w:highlight w:val="none"/>
              </w:rPr>
            </w:pPr>
          </w:p>
        </w:tc>
        <w:tc>
          <w:tcPr>
            <w:tcW w:w="6463" w:type="dxa"/>
            <w:gridSpan w:val="4"/>
            <w:noWrap/>
            <w:vAlign w:val="center"/>
          </w:tcPr>
          <w:p>
            <w:pPr>
              <w:spacing w:line="300" w:lineRule="exact"/>
              <w:jc w:val="center"/>
              <w:rPr>
                <w:color w:val="auto"/>
                <w:szCs w:val="21"/>
                <w:highlight w:val="none"/>
              </w:rPr>
            </w:pPr>
            <w:r>
              <w:rPr>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企业资质等级</w:t>
            </w:r>
          </w:p>
        </w:tc>
        <w:tc>
          <w:tcPr>
            <w:tcW w:w="2294" w:type="dxa"/>
            <w:gridSpan w:val="2"/>
            <w:noWrap/>
            <w:vAlign w:val="center"/>
          </w:tcPr>
          <w:p>
            <w:pPr>
              <w:spacing w:line="300" w:lineRule="exact"/>
              <w:jc w:val="center"/>
              <w:rPr>
                <w:color w:val="auto"/>
                <w:szCs w:val="21"/>
                <w:highlight w:val="none"/>
              </w:rPr>
            </w:pPr>
          </w:p>
        </w:tc>
        <w:tc>
          <w:tcPr>
            <w:tcW w:w="1172" w:type="dxa"/>
            <w:vMerge w:val="restart"/>
            <w:noWrap/>
            <w:vAlign w:val="center"/>
          </w:tcPr>
          <w:p>
            <w:pPr>
              <w:spacing w:line="300" w:lineRule="exact"/>
              <w:jc w:val="center"/>
              <w:rPr>
                <w:color w:val="auto"/>
                <w:szCs w:val="21"/>
                <w:highlight w:val="none"/>
              </w:rPr>
            </w:pPr>
            <w:r>
              <w:rPr>
                <w:color w:val="auto"/>
                <w:szCs w:val="21"/>
                <w:highlight w:val="none"/>
              </w:rPr>
              <w:t>其中</w:t>
            </w:r>
          </w:p>
        </w:tc>
        <w:tc>
          <w:tcPr>
            <w:tcW w:w="1540" w:type="dxa"/>
            <w:noWrap/>
            <w:vAlign w:val="center"/>
          </w:tcPr>
          <w:p>
            <w:pPr>
              <w:spacing w:line="300" w:lineRule="exact"/>
              <w:jc w:val="center"/>
              <w:rPr>
                <w:color w:val="auto"/>
                <w:szCs w:val="21"/>
                <w:highlight w:val="none"/>
              </w:rPr>
            </w:pPr>
            <w:r>
              <w:rPr>
                <w:color w:val="auto"/>
                <w:szCs w:val="21"/>
                <w:highlight w:val="none"/>
              </w:rPr>
              <w:t>项目经理</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营业执照号</w:t>
            </w:r>
          </w:p>
        </w:tc>
        <w:tc>
          <w:tcPr>
            <w:tcW w:w="2294" w:type="dxa"/>
            <w:gridSpan w:val="2"/>
            <w:noWrap/>
            <w:vAlign w:val="center"/>
          </w:tcPr>
          <w:p>
            <w:pPr>
              <w:spacing w:line="300" w:lineRule="exact"/>
              <w:jc w:val="center"/>
              <w:rPr>
                <w:color w:val="auto"/>
                <w:szCs w:val="21"/>
                <w:highlight w:val="none"/>
              </w:rPr>
            </w:pPr>
          </w:p>
        </w:tc>
        <w:tc>
          <w:tcPr>
            <w:tcW w:w="1172" w:type="dxa"/>
            <w:vMerge w:val="continue"/>
            <w:noWrap/>
            <w:vAlign w:val="center"/>
          </w:tcPr>
          <w:p>
            <w:pPr>
              <w:spacing w:line="300" w:lineRule="exact"/>
              <w:jc w:val="center"/>
              <w:rPr>
                <w:color w:val="auto"/>
                <w:szCs w:val="21"/>
                <w:highlight w:val="none"/>
              </w:rPr>
            </w:pPr>
          </w:p>
        </w:tc>
        <w:tc>
          <w:tcPr>
            <w:tcW w:w="1540" w:type="dxa"/>
            <w:noWrap/>
            <w:vAlign w:val="center"/>
          </w:tcPr>
          <w:p>
            <w:pPr>
              <w:spacing w:line="300" w:lineRule="exact"/>
              <w:jc w:val="center"/>
              <w:rPr>
                <w:color w:val="auto"/>
                <w:szCs w:val="21"/>
                <w:highlight w:val="none"/>
              </w:rPr>
            </w:pPr>
            <w:r>
              <w:rPr>
                <w:color w:val="auto"/>
                <w:szCs w:val="21"/>
                <w:highlight w:val="none"/>
              </w:rPr>
              <w:t>高级职称人员</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注册资金</w:t>
            </w:r>
          </w:p>
        </w:tc>
        <w:tc>
          <w:tcPr>
            <w:tcW w:w="2294" w:type="dxa"/>
            <w:gridSpan w:val="2"/>
            <w:noWrap/>
            <w:vAlign w:val="center"/>
          </w:tcPr>
          <w:p>
            <w:pPr>
              <w:spacing w:line="300" w:lineRule="exact"/>
              <w:jc w:val="center"/>
              <w:rPr>
                <w:color w:val="auto"/>
                <w:szCs w:val="21"/>
                <w:highlight w:val="none"/>
              </w:rPr>
            </w:pPr>
          </w:p>
        </w:tc>
        <w:tc>
          <w:tcPr>
            <w:tcW w:w="1172" w:type="dxa"/>
            <w:vMerge w:val="continue"/>
            <w:noWrap/>
            <w:vAlign w:val="center"/>
          </w:tcPr>
          <w:p>
            <w:pPr>
              <w:spacing w:line="300" w:lineRule="exact"/>
              <w:jc w:val="center"/>
              <w:rPr>
                <w:color w:val="auto"/>
                <w:szCs w:val="21"/>
                <w:highlight w:val="none"/>
              </w:rPr>
            </w:pPr>
          </w:p>
        </w:tc>
        <w:tc>
          <w:tcPr>
            <w:tcW w:w="1540" w:type="dxa"/>
            <w:noWrap/>
            <w:vAlign w:val="center"/>
          </w:tcPr>
          <w:p>
            <w:pPr>
              <w:spacing w:line="300" w:lineRule="exact"/>
              <w:jc w:val="center"/>
              <w:rPr>
                <w:color w:val="auto"/>
                <w:szCs w:val="21"/>
                <w:highlight w:val="none"/>
              </w:rPr>
            </w:pPr>
            <w:r>
              <w:rPr>
                <w:color w:val="auto"/>
                <w:szCs w:val="21"/>
                <w:highlight w:val="none"/>
              </w:rPr>
              <w:t>中级职称人员</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开户银行</w:t>
            </w:r>
          </w:p>
        </w:tc>
        <w:tc>
          <w:tcPr>
            <w:tcW w:w="2294" w:type="dxa"/>
            <w:gridSpan w:val="2"/>
            <w:noWrap/>
            <w:vAlign w:val="center"/>
          </w:tcPr>
          <w:p>
            <w:pPr>
              <w:spacing w:line="300" w:lineRule="exact"/>
              <w:jc w:val="center"/>
              <w:rPr>
                <w:color w:val="auto"/>
                <w:szCs w:val="21"/>
                <w:highlight w:val="none"/>
              </w:rPr>
            </w:pPr>
          </w:p>
        </w:tc>
        <w:tc>
          <w:tcPr>
            <w:tcW w:w="1172" w:type="dxa"/>
            <w:vMerge w:val="continue"/>
            <w:noWrap/>
            <w:vAlign w:val="center"/>
          </w:tcPr>
          <w:p>
            <w:pPr>
              <w:spacing w:line="300" w:lineRule="exact"/>
              <w:jc w:val="center"/>
              <w:rPr>
                <w:color w:val="auto"/>
                <w:szCs w:val="21"/>
                <w:highlight w:val="none"/>
              </w:rPr>
            </w:pPr>
          </w:p>
        </w:tc>
        <w:tc>
          <w:tcPr>
            <w:tcW w:w="1540" w:type="dxa"/>
            <w:noWrap/>
            <w:vAlign w:val="center"/>
          </w:tcPr>
          <w:p>
            <w:pPr>
              <w:spacing w:line="300" w:lineRule="exact"/>
              <w:jc w:val="center"/>
              <w:rPr>
                <w:color w:val="auto"/>
                <w:szCs w:val="21"/>
                <w:highlight w:val="none"/>
              </w:rPr>
            </w:pPr>
            <w:r>
              <w:rPr>
                <w:color w:val="auto"/>
                <w:szCs w:val="21"/>
                <w:highlight w:val="none"/>
              </w:rPr>
              <w:t>初级职称人员</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账号</w:t>
            </w:r>
          </w:p>
        </w:tc>
        <w:tc>
          <w:tcPr>
            <w:tcW w:w="2294" w:type="dxa"/>
            <w:gridSpan w:val="2"/>
            <w:noWrap/>
            <w:vAlign w:val="center"/>
          </w:tcPr>
          <w:p>
            <w:pPr>
              <w:spacing w:line="300" w:lineRule="exact"/>
              <w:jc w:val="center"/>
              <w:rPr>
                <w:color w:val="auto"/>
                <w:szCs w:val="21"/>
                <w:highlight w:val="none"/>
              </w:rPr>
            </w:pPr>
          </w:p>
        </w:tc>
        <w:tc>
          <w:tcPr>
            <w:tcW w:w="1172" w:type="dxa"/>
            <w:vMerge w:val="continue"/>
            <w:noWrap/>
            <w:vAlign w:val="center"/>
          </w:tcPr>
          <w:p>
            <w:pPr>
              <w:spacing w:line="300" w:lineRule="exact"/>
              <w:jc w:val="center"/>
              <w:rPr>
                <w:color w:val="auto"/>
                <w:szCs w:val="21"/>
                <w:highlight w:val="none"/>
              </w:rPr>
            </w:pPr>
          </w:p>
        </w:tc>
        <w:tc>
          <w:tcPr>
            <w:tcW w:w="1540" w:type="dxa"/>
            <w:noWrap/>
            <w:vAlign w:val="center"/>
          </w:tcPr>
          <w:p>
            <w:pPr>
              <w:spacing w:line="300" w:lineRule="exact"/>
              <w:jc w:val="center"/>
              <w:rPr>
                <w:color w:val="auto"/>
                <w:szCs w:val="21"/>
                <w:highlight w:val="none"/>
              </w:rPr>
            </w:pPr>
            <w:r>
              <w:rPr>
                <w:color w:val="auto"/>
                <w:szCs w:val="21"/>
                <w:highlight w:val="none"/>
              </w:rPr>
              <w:t>技工</w:t>
            </w:r>
          </w:p>
        </w:tc>
        <w:tc>
          <w:tcPr>
            <w:tcW w:w="3751" w:type="dxa"/>
            <w:gridSpan w:val="2"/>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color w:val="auto"/>
                <w:szCs w:val="21"/>
                <w:highlight w:val="none"/>
              </w:rPr>
            </w:pPr>
            <w:r>
              <w:rPr>
                <w:color w:val="auto"/>
                <w:szCs w:val="21"/>
                <w:highlight w:val="none"/>
              </w:rPr>
              <w:t>经营范围</w:t>
            </w:r>
          </w:p>
        </w:tc>
        <w:tc>
          <w:tcPr>
            <w:tcW w:w="8757" w:type="dxa"/>
            <w:gridSpan w:val="6"/>
            <w:noWrap/>
            <w:vAlign w:val="center"/>
          </w:tcPr>
          <w:p>
            <w:pPr>
              <w:spacing w:line="30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3"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备注</w:t>
            </w:r>
          </w:p>
        </w:tc>
        <w:tc>
          <w:tcPr>
            <w:tcW w:w="8757" w:type="dxa"/>
            <w:gridSpan w:val="6"/>
            <w:noWrap/>
            <w:vAlign w:val="center"/>
          </w:tcPr>
          <w:p>
            <w:pPr>
              <w:spacing w:line="300" w:lineRule="exact"/>
              <w:jc w:val="center"/>
              <w:rPr>
                <w:rFonts w:ascii="宋体" w:hAnsi="宋体"/>
                <w:color w:val="auto"/>
                <w:szCs w:val="21"/>
                <w:highlight w:val="none"/>
              </w:rPr>
            </w:pPr>
          </w:p>
        </w:tc>
      </w:tr>
    </w:tbl>
    <w:p>
      <w:pPr>
        <w:jc w:val="left"/>
        <w:rPr>
          <w:rFonts w:ascii="宋体" w:hAnsi="宋体"/>
          <w:bCs/>
          <w:color w:val="auto"/>
          <w:szCs w:val="21"/>
          <w:highlight w:val="none"/>
        </w:rPr>
      </w:pPr>
    </w:p>
    <w:p>
      <w:pPr>
        <w:jc w:val="center"/>
        <w:rPr>
          <w:rFonts w:ascii="宋体" w:hAnsi="宋体"/>
          <w:b/>
          <w:color w:val="auto"/>
          <w:sz w:val="28"/>
          <w:szCs w:val="28"/>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t>磋商供应商：（公章或电子签章）</w:t>
      </w:r>
    </w:p>
    <w:p>
      <w:pPr>
        <w:spacing w:line="480" w:lineRule="auto"/>
        <w:rPr>
          <w:rFonts w:ascii="宋体" w:hAnsi="宋体"/>
          <w:color w:val="auto"/>
          <w:szCs w:val="21"/>
          <w:highlight w:val="none"/>
          <w:u w:val="single"/>
        </w:rPr>
      </w:pPr>
      <w:r>
        <w:rPr>
          <w:rFonts w:hint="eastAsia" w:ascii="宋体" w:hAnsi="宋体"/>
          <w:color w:val="auto"/>
          <w:szCs w:val="21"/>
          <w:highlight w:val="none"/>
        </w:rPr>
        <w:t>法定代表人（或授权委托代理人）：</w:t>
      </w:r>
      <w:r>
        <w:rPr>
          <w:rFonts w:hint="eastAsia" w:ascii="宋体" w:hAnsi="宋体"/>
          <w:color w:val="auto"/>
          <w:szCs w:val="21"/>
          <w:highlight w:val="none"/>
          <w:lang w:eastAsia="zh-CN"/>
        </w:rPr>
        <w:t>（手写签名或电子签章）</w:t>
      </w:r>
      <w:r>
        <w:rPr>
          <w:rFonts w:hint="eastAsia" w:ascii="宋体" w:hAnsi="宋体"/>
          <w:color w:val="auto"/>
          <w:szCs w:val="21"/>
          <w:highlight w:val="none"/>
        </w:rPr>
        <w:t xml:space="preserve"> </w:t>
      </w:r>
    </w:p>
    <w:p>
      <w:pPr>
        <w:spacing w:line="480" w:lineRule="auto"/>
        <w:rPr>
          <w:rFonts w:ascii="宋体" w:hAnsi="宋体"/>
          <w:color w:val="auto"/>
          <w:szCs w:val="21"/>
          <w:highlight w:val="none"/>
        </w:rPr>
      </w:pPr>
      <w:r>
        <w:rPr>
          <w:rFonts w:hint="eastAsia" w:ascii="宋体" w:hAnsi="宋体"/>
          <w:color w:val="auto"/>
          <w:szCs w:val="21"/>
          <w:highlight w:val="none"/>
        </w:rPr>
        <w:t>日期：  年  月  日</w:t>
      </w:r>
    </w:p>
    <w:p>
      <w:pPr>
        <w:jc w:val="center"/>
        <w:rPr>
          <w:rFonts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 w:val="28"/>
          <w:szCs w:val="28"/>
          <w:highlight w:val="none"/>
        </w:rPr>
        <w:t>三、已标价工程量清单（格式自拟）</w:t>
      </w:r>
    </w:p>
    <w:p>
      <w:pPr>
        <w:jc w:val="center"/>
        <w:rPr>
          <w:rFonts w:ascii="宋体" w:hAnsi="宋体"/>
          <w:color w:val="auto"/>
          <w:szCs w:val="21"/>
          <w:highlight w:val="none"/>
        </w:rPr>
      </w:pPr>
    </w:p>
    <w:p>
      <w:pPr>
        <w:ind w:firstLine="1050" w:firstLineChars="500"/>
        <w:jc w:val="center"/>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ind w:left="2100"/>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spacing w:line="336" w:lineRule="auto"/>
        <w:ind w:right="-153" w:rightChars="-73"/>
        <w:jc w:val="center"/>
        <w:rPr>
          <w:rFonts w:ascii="宋体" w:hAnsi="宋体"/>
          <w:b/>
          <w:color w:val="auto"/>
          <w:szCs w:val="21"/>
          <w:highlight w:val="none"/>
        </w:rPr>
      </w:pPr>
      <w:r>
        <w:rPr>
          <w:rFonts w:ascii="宋体" w:hAnsi="宋体"/>
          <w:color w:val="auto"/>
          <w:szCs w:val="21"/>
          <w:highlight w:val="none"/>
        </w:rPr>
        <w:br w:type="page"/>
      </w:r>
      <w:r>
        <w:rPr>
          <w:rFonts w:hint="eastAsia" w:ascii="宋体" w:hAnsi="宋体"/>
          <w:b/>
          <w:color w:val="auto"/>
          <w:kern w:val="44"/>
          <w:sz w:val="28"/>
          <w:szCs w:val="28"/>
          <w:highlight w:val="none"/>
        </w:rPr>
        <w:t>第三节  商务</w:t>
      </w:r>
      <w:r>
        <w:rPr>
          <w:rFonts w:hint="eastAsia" w:ascii="宋体" w:hAnsi="宋体"/>
          <w:b/>
          <w:color w:val="auto"/>
          <w:sz w:val="32"/>
          <w:szCs w:val="32"/>
          <w:highlight w:val="none"/>
        </w:rPr>
        <w:t>技术</w:t>
      </w:r>
      <w:r>
        <w:rPr>
          <w:rFonts w:hint="eastAsia" w:ascii="宋体" w:hAnsi="宋体"/>
          <w:b/>
          <w:color w:val="auto"/>
          <w:kern w:val="44"/>
          <w:sz w:val="28"/>
          <w:szCs w:val="28"/>
          <w:highlight w:val="none"/>
        </w:rPr>
        <w:t>文件格式</w:t>
      </w: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spacing w:val="-2"/>
          <w:kern w:val="0"/>
          <w:sz w:val="24"/>
          <w:highlight w:val="none"/>
        </w:rPr>
      </w:pP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spacing w:val="-2"/>
          <w:kern w:val="0"/>
          <w:sz w:val="24"/>
          <w:highlight w:val="none"/>
        </w:rPr>
      </w:pP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spacing w:val="-2"/>
          <w:kern w:val="0"/>
          <w:sz w:val="24"/>
          <w:highlight w:val="none"/>
        </w:rPr>
      </w:pPr>
    </w:p>
    <w:p>
      <w:pPr>
        <w:pStyle w:val="67"/>
        <w:rPr>
          <w:color w:val="auto"/>
          <w:highlight w:val="none"/>
        </w:rPr>
      </w:pPr>
    </w:p>
    <w:p>
      <w:pPr>
        <w:widowControl/>
        <w:kinsoku w:val="0"/>
        <w:autoSpaceDE w:val="0"/>
        <w:autoSpaceDN w:val="0"/>
        <w:adjustRightInd w:val="0"/>
        <w:snapToGrid w:val="0"/>
        <w:spacing w:before="69"/>
        <w:ind w:firstLine="6250"/>
        <w:jc w:val="left"/>
        <w:textAlignment w:val="baseline"/>
        <w:rPr>
          <w:rFonts w:ascii="宋体" w:hAnsi="宋体" w:cs="宋体"/>
          <w:snapToGrid w:val="0"/>
          <w:color w:val="auto"/>
          <w:kern w:val="0"/>
          <w:sz w:val="24"/>
          <w:highlight w:val="none"/>
        </w:rPr>
      </w:pPr>
      <w:r>
        <w:rPr>
          <w:rFonts w:hint="eastAsia" w:ascii="宋体" w:hAnsi="宋体" w:cs="宋体"/>
          <w:snapToGrid w:val="0"/>
          <w:color w:val="auto"/>
          <w:spacing w:val="-2"/>
          <w:kern w:val="0"/>
          <w:sz w:val="24"/>
          <w:highlight w:val="none"/>
        </w:rPr>
        <w:t>全流程电子文件</w:t>
      </w:r>
    </w:p>
    <w:p>
      <w:pPr>
        <w:rPr>
          <w:color w:val="auto"/>
          <w:sz w:val="28"/>
          <w:szCs w:val="28"/>
          <w:highlight w:val="none"/>
          <w:u w:val="single"/>
        </w:rPr>
      </w:pPr>
    </w:p>
    <w:p>
      <w:pPr>
        <w:jc w:val="center"/>
        <w:rPr>
          <w:b/>
          <w:bCs/>
          <w:color w:val="auto"/>
          <w:sz w:val="28"/>
          <w:szCs w:val="28"/>
          <w:highlight w:val="none"/>
        </w:rPr>
      </w:pPr>
      <w:r>
        <w:rPr>
          <w:rFonts w:hint="eastAsia"/>
          <w:b/>
          <w:bCs/>
          <w:color w:val="auto"/>
          <w:sz w:val="28"/>
          <w:szCs w:val="28"/>
          <w:highlight w:val="none"/>
        </w:rPr>
        <w:t>商  务  技  术 文  件（封面）</w:t>
      </w:r>
    </w:p>
    <w:p>
      <w:pPr>
        <w:jc w:val="center"/>
        <w:rPr>
          <w:b/>
          <w:bCs/>
          <w:color w:val="auto"/>
          <w:sz w:val="28"/>
          <w:szCs w:val="28"/>
          <w:highlight w:val="none"/>
        </w:rPr>
      </w:pPr>
    </w:p>
    <w:p>
      <w:pPr>
        <w:jc w:val="center"/>
        <w:rPr>
          <w:b/>
          <w:bCs/>
          <w:color w:val="auto"/>
          <w:sz w:val="28"/>
          <w:szCs w:val="28"/>
          <w:highlight w:val="none"/>
        </w:rPr>
      </w:pPr>
    </w:p>
    <w:p>
      <w:pPr>
        <w:spacing w:before="312" w:beforeLines="100"/>
        <w:jc w:val="center"/>
        <w:rPr>
          <w:b/>
          <w:bCs/>
          <w:color w:val="auto"/>
          <w:sz w:val="52"/>
          <w:szCs w:val="52"/>
          <w:highlight w:val="none"/>
        </w:rPr>
      </w:pPr>
      <w:r>
        <w:rPr>
          <w:rFonts w:hint="eastAsia"/>
          <w:b/>
          <w:bCs/>
          <w:color w:val="auto"/>
          <w:sz w:val="52"/>
          <w:szCs w:val="52"/>
          <w:highlight w:val="none"/>
        </w:rPr>
        <w:t xml:space="preserve">响 应 </w:t>
      </w:r>
      <w:r>
        <w:rPr>
          <w:b/>
          <w:bCs/>
          <w:color w:val="auto"/>
          <w:sz w:val="52"/>
          <w:szCs w:val="52"/>
          <w:highlight w:val="none"/>
        </w:rPr>
        <w:t>文</w:t>
      </w:r>
      <w:r>
        <w:rPr>
          <w:rFonts w:hint="eastAsia"/>
          <w:b/>
          <w:bCs/>
          <w:color w:val="auto"/>
          <w:sz w:val="52"/>
          <w:szCs w:val="52"/>
          <w:highlight w:val="none"/>
        </w:rPr>
        <w:t xml:space="preserve"> </w:t>
      </w:r>
      <w:r>
        <w:rPr>
          <w:b/>
          <w:bCs/>
          <w:color w:val="auto"/>
          <w:sz w:val="52"/>
          <w:szCs w:val="52"/>
          <w:highlight w:val="none"/>
        </w:rPr>
        <w:t>件</w:t>
      </w:r>
    </w:p>
    <w:p>
      <w:pPr>
        <w:spacing w:line="360" w:lineRule="auto"/>
        <w:ind w:firstLine="2380" w:firstLineChars="850"/>
        <w:rPr>
          <w:b/>
          <w:bCs/>
          <w:color w:val="auto"/>
          <w:sz w:val="28"/>
          <w:szCs w:val="28"/>
          <w:highlight w:val="none"/>
        </w:rPr>
      </w:pPr>
      <w:r>
        <w:rPr>
          <w:rFonts w:hint="eastAsia"/>
          <w:b/>
          <w:bCs/>
          <w:color w:val="auto"/>
          <w:sz w:val="28"/>
          <w:szCs w:val="28"/>
          <w:highlight w:val="none"/>
        </w:rPr>
        <w:t>项目名称：</w:t>
      </w:r>
    </w:p>
    <w:p>
      <w:pPr>
        <w:spacing w:line="360" w:lineRule="auto"/>
        <w:ind w:firstLine="2380" w:firstLineChars="850"/>
        <w:rPr>
          <w:b/>
          <w:bCs/>
          <w:color w:val="auto"/>
          <w:sz w:val="28"/>
          <w:szCs w:val="28"/>
          <w:highlight w:val="none"/>
        </w:rPr>
      </w:pPr>
      <w:r>
        <w:rPr>
          <w:b/>
          <w:bCs/>
          <w:color w:val="auto"/>
          <w:sz w:val="28"/>
          <w:szCs w:val="28"/>
          <w:highlight w:val="none"/>
        </w:rPr>
        <w:t>项目编号：</w:t>
      </w:r>
    </w:p>
    <w:p>
      <w:pPr>
        <w:pStyle w:val="67"/>
        <w:rPr>
          <w:color w:val="auto"/>
          <w:highlight w:val="none"/>
        </w:rPr>
      </w:pPr>
    </w:p>
    <w:p>
      <w:pPr>
        <w:jc w:val="center"/>
        <w:rPr>
          <w:b/>
          <w:bCs/>
          <w:color w:val="auto"/>
          <w:sz w:val="28"/>
          <w:szCs w:val="28"/>
          <w:highlight w:val="none"/>
        </w:rPr>
      </w:pPr>
    </w:p>
    <w:p>
      <w:pPr>
        <w:rPr>
          <w:b/>
          <w:bCs/>
          <w:color w:val="auto"/>
          <w:sz w:val="28"/>
          <w:szCs w:val="28"/>
          <w:highlight w:val="none"/>
        </w:rPr>
      </w:pPr>
    </w:p>
    <w:p>
      <w:pP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spacing w:line="360" w:lineRule="auto"/>
        <w:ind w:firstLine="1400" w:firstLineChars="500"/>
        <w:rPr>
          <w:b/>
          <w:bCs/>
          <w:color w:val="auto"/>
          <w:sz w:val="28"/>
          <w:szCs w:val="28"/>
          <w:highlight w:val="none"/>
        </w:rPr>
      </w:pPr>
      <w:r>
        <w:rPr>
          <w:rFonts w:hint="eastAsia"/>
          <w:b/>
          <w:bCs/>
          <w:color w:val="auto"/>
          <w:sz w:val="28"/>
          <w:szCs w:val="28"/>
          <w:highlight w:val="none"/>
        </w:rPr>
        <w:t>磋商供应商</w:t>
      </w:r>
      <w:r>
        <w:rPr>
          <w:b/>
          <w:bCs/>
          <w:color w:val="auto"/>
          <w:sz w:val="28"/>
          <w:szCs w:val="28"/>
          <w:highlight w:val="none"/>
        </w:rPr>
        <w:t>：（</w:t>
      </w:r>
      <w:r>
        <w:rPr>
          <w:rFonts w:hint="eastAsia"/>
          <w:b/>
          <w:bCs/>
          <w:color w:val="auto"/>
          <w:sz w:val="28"/>
          <w:szCs w:val="28"/>
          <w:highlight w:val="none"/>
        </w:rPr>
        <w:t>公章或电子签章</w:t>
      </w:r>
      <w:r>
        <w:rPr>
          <w:b/>
          <w:bCs/>
          <w:color w:val="auto"/>
          <w:sz w:val="28"/>
          <w:szCs w:val="28"/>
          <w:highlight w:val="none"/>
        </w:rPr>
        <w:t>）</w:t>
      </w:r>
    </w:p>
    <w:p>
      <w:pPr>
        <w:spacing w:line="360" w:lineRule="auto"/>
        <w:ind w:firstLine="1400" w:firstLineChars="500"/>
        <w:rPr>
          <w:rFonts w:hint="eastAsia" w:eastAsia="宋体"/>
          <w:b/>
          <w:bCs/>
          <w:color w:val="auto"/>
          <w:sz w:val="28"/>
          <w:szCs w:val="28"/>
          <w:highlight w:val="none"/>
          <w:lang w:eastAsia="zh-CN"/>
        </w:rPr>
      </w:pPr>
      <w:r>
        <w:rPr>
          <w:b/>
          <w:bCs/>
          <w:color w:val="auto"/>
          <w:sz w:val="28"/>
          <w:szCs w:val="28"/>
          <w:highlight w:val="none"/>
        </w:rPr>
        <w:t>法定代表人或其委托代理人：</w:t>
      </w:r>
      <w:r>
        <w:rPr>
          <w:rFonts w:hint="eastAsia"/>
          <w:b/>
          <w:bCs/>
          <w:color w:val="auto"/>
          <w:sz w:val="28"/>
          <w:szCs w:val="28"/>
          <w:highlight w:val="none"/>
          <w:lang w:eastAsia="zh-CN"/>
        </w:rPr>
        <w:t>（手写签名或电子签章）</w:t>
      </w:r>
    </w:p>
    <w:p>
      <w:pPr>
        <w:jc w:val="center"/>
        <w:rPr>
          <w:b/>
          <w:bCs/>
          <w:color w:val="auto"/>
          <w:sz w:val="28"/>
          <w:szCs w:val="28"/>
          <w:highlight w:val="none"/>
        </w:rPr>
      </w:pPr>
      <w:r>
        <w:rPr>
          <w:b/>
          <w:bCs/>
          <w:color w:val="auto"/>
          <w:sz w:val="28"/>
          <w:szCs w:val="28"/>
          <w:highlight w:val="none"/>
        </w:rPr>
        <w:t xml:space="preserve">  年  月  日</w:t>
      </w: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spacing w:line="336" w:lineRule="auto"/>
        <w:ind w:right="-153" w:rightChars="-73"/>
        <w:rPr>
          <w:rFonts w:ascii="宋体" w:hAnsi="宋体"/>
          <w:b/>
          <w:color w:val="auto"/>
          <w:szCs w:val="21"/>
          <w:highlight w:val="none"/>
        </w:rPr>
      </w:pPr>
    </w:p>
    <w:p>
      <w:pPr>
        <w:spacing w:line="336" w:lineRule="auto"/>
        <w:ind w:right="-153" w:rightChars="-73"/>
        <w:jc w:val="center"/>
        <w:rPr>
          <w:rFonts w:ascii="黑体" w:eastAsia="黑体"/>
          <w:b/>
          <w:color w:val="auto"/>
          <w:sz w:val="28"/>
          <w:szCs w:val="28"/>
          <w:highlight w:val="none"/>
        </w:rPr>
      </w:pPr>
      <w:r>
        <w:rPr>
          <w:rFonts w:hint="eastAsia" w:ascii="黑体" w:eastAsia="黑体"/>
          <w:b/>
          <w:color w:val="auto"/>
          <w:sz w:val="28"/>
          <w:szCs w:val="28"/>
          <w:highlight w:val="none"/>
        </w:rPr>
        <w:t>目录</w:t>
      </w:r>
    </w:p>
    <w:p>
      <w:pPr>
        <w:spacing w:line="336" w:lineRule="auto"/>
        <w:ind w:right="-153" w:rightChars="-73"/>
        <w:jc w:val="center"/>
        <w:rPr>
          <w:rFonts w:ascii="宋体" w:hAnsi="宋体" w:cs="宋体"/>
          <w:bCs/>
          <w:color w:val="auto"/>
          <w:szCs w:val="21"/>
          <w:highlight w:val="none"/>
        </w:rPr>
      </w:pPr>
      <w:r>
        <w:rPr>
          <w:rFonts w:hint="eastAsia" w:ascii="宋体" w:hAnsi="宋体" w:cs="宋体"/>
          <w:bCs/>
          <w:color w:val="auto"/>
          <w:sz w:val="18"/>
          <w:szCs w:val="18"/>
          <w:highlight w:val="none"/>
        </w:rPr>
        <w:t>（自行编页码）</w:t>
      </w:r>
    </w:p>
    <w:p>
      <w:pPr>
        <w:pStyle w:val="25"/>
        <w:spacing w:line="390" w:lineRule="exact"/>
        <w:rPr>
          <w:rFonts w:hAnsi="宋体" w:cs="宋体"/>
          <w:bCs/>
          <w:color w:val="auto"/>
          <w:szCs w:val="21"/>
          <w:highlight w:val="none"/>
        </w:rPr>
      </w:pPr>
      <w:r>
        <w:rPr>
          <w:rFonts w:hint="eastAsia" w:hAnsi="宋体" w:cs="宋体"/>
          <w:bCs/>
          <w:color w:val="auto"/>
          <w:szCs w:val="21"/>
          <w:highlight w:val="none"/>
        </w:rPr>
        <w:t>（1）</w:t>
      </w:r>
      <w:r>
        <w:rPr>
          <w:rFonts w:hAnsi="宋体" w:cs="宋体"/>
          <w:bCs/>
          <w:color w:val="auto"/>
          <w:szCs w:val="21"/>
          <w:highlight w:val="none"/>
        </w:rPr>
        <w:t>主要管理人员表</w:t>
      </w:r>
    </w:p>
    <w:p>
      <w:pPr>
        <w:pStyle w:val="25"/>
        <w:spacing w:line="390" w:lineRule="exact"/>
        <w:rPr>
          <w:rFonts w:hAnsi="宋体" w:cs="宋体"/>
          <w:bCs/>
          <w:color w:val="auto"/>
          <w:szCs w:val="21"/>
          <w:highlight w:val="none"/>
        </w:rPr>
      </w:pPr>
      <w:r>
        <w:rPr>
          <w:rFonts w:hint="eastAsia" w:hAnsi="宋体" w:cs="宋体"/>
          <w:bCs/>
          <w:color w:val="auto"/>
          <w:szCs w:val="21"/>
          <w:highlight w:val="none"/>
        </w:rPr>
        <w:t>（2）建设工程项目管理承诺书</w:t>
      </w:r>
    </w:p>
    <w:p>
      <w:pPr>
        <w:pStyle w:val="25"/>
        <w:spacing w:line="390" w:lineRule="exact"/>
        <w:rPr>
          <w:rFonts w:hAnsi="宋体" w:cs="宋体"/>
          <w:bCs/>
          <w:color w:val="auto"/>
          <w:szCs w:val="21"/>
          <w:highlight w:val="none"/>
        </w:rPr>
      </w:pPr>
      <w:r>
        <w:rPr>
          <w:rFonts w:hint="eastAsia" w:hAnsi="宋体" w:cs="宋体"/>
          <w:bCs/>
          <w:color w:val="auto"/>
          <w:szCs w:val="21"/>
          <w:highlight w:val="none"/>
        </w:rPr>
        <w:t>（3）施工组织设计</w:t>
      </w:r>
    </w:p>
    <w:p>
      <w:pPr>
        <w:pStyle w:val="25"/>
        <w:spacing w:line="390" w:lineRule="exact"/>
        <w:rPr>
          <w:rFonts w:hAnsi="宋体" w:cs="宋体"/>
          <w:bCs/>
          <w:color w:val="auto"/>
          <w:szCs w:val="21"/>
          <w:highlight w:val="none"/>
        </w:rPr>
      </w:pPr>
      <w:r>
        <w:rPr>
          <w:rFonts w:hint="eastAsia" w:hAnsi="宋体" w:cs="宋体"/>
          <w:bCs/>
          <w:color w:val="auto"/>
          <w:szCs w:val="21"/>
          <w:highlight w:val="none"/>
        </w:rPr>
        <w:t>（4）业绩</w:t>
      </w:r>
    </w:p>
    <w:p>
      <w:pPr>
        <w:pStyle w:val="25"/>
        <w:spacing w:line="390" w:lineRule="exact"/>
        <w:rPr>
          <w:rFonts w:hAnsi="宋体" w:cs="宋体"/>
          <w:bCs/>
          <w:color w:val="auto"/>
          <w:szCs w:val="21"/>
          <w:highlight w:val="none"/>
        </w:rPr>
      </w:pPr>
      <w:r>
        <w:rPr>
          <w:rFonts w:hint="eastAsia" w:hAnsi="宋体" w:cs="宋体"/>
          <w:bCs/>
          <w:color w:val="auto"/>
          <w:szCs w:val="21"/>
          <w:highlight w:val="none"/>
        </w:rPr>
        <w:t>（5）其他资料</w:t>
      </w: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spacing w:line="336" w:lineRule="auto"/>
        <w:ind w:right="-153" w:rightChars="-73"/>
        <w:jc w:val="center"/>
        <w:rPr>
          <w:rFonts w:ascii="宋体" w:hAnsi="宋体"/>
          <w:b/>
          <w:color w:val="auto"/>
          <w:szCs w:val="21"/>
          <w:highlight w:val="none"/>
        </w:rPr>
      </w:pPr>
    </w:p>
    <w:p>
      <w:pPr>
        <w:pStyle w:val="18"/>
        <w:rPr>
          <w:color w:val="auto"/>
          <w:highlight w:val="none"/>
        </w:rPr>
      </w:pPr>
    </w:p>
    <w:p>
      <w:pPr>
        <w:rPr>
          <w:rFonts w:hAnsi="宋体"/>
          <w:b/>
          <w:color w:val="auto"/>
          <w:sz w:val="28"/>
          <w:szCs w:val="28"/>
          <w:highlight w:val="none"/>
        </w:rPr>
      </w:pPr>
      <w:r>
        <w:rPr>
          <w:rFonts w:hint="eastAsia" w:hAnsi="宋体"/>
          <w:b/>
          <w:color w:val="auto"/>
          <w:sz w:val="28"/>
          <w:szCs w:val="28"/>
          <w:highlight w:val="none"/>
        </w:rPr>
        <w:br w:type="page"/>
      </w:r>
    </w:p>
    <w:p>
      <w:pPr>
        <w:spacing w:line="520" w:lineRule="exact"/>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一、主要管理人员表</w:t>
      </w:r>
    </w:p>
    <w:p>
      <w:pPr>
        <w:pStyle w:val="21"/>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hint="eastAsia"/>
          <w:color w:val="auto"/>
          <w:sz w:val="24"/>
          <w:szCs w:val="24"/>
          <w:highlight w:val="none"/>
          <w:lang w:eastAsia="zh-CN"/>
        </w:rPr>
      </w:pPr>
    </w:p>
    <w:tbl>
      <w:tblPr>
        <w:tblStyle w:val="49"/>
        <w:tblW w:w="979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136"/>
        <w:gridCol w:w="1107"/>
        <w:gridCol w:w="1079"/>
        <w:gridCol w:w="880"/>
        <w:gridCol w:w="2016"/>
        <w:gridCol w:w="1048"/>
        <w:gridCol w:w="64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2" w:type="dxa"/>
            <w:vMerge w:val="restart"/>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岗位</w:t>
            </w:r>
          </w:p>
        </w:tc>
        <w:tc>
          <w:tcPr>
            <w:tcW w:w="1136" w:type="dxa"/>
            <w:vMerge w:val="restart"/>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姓名</w:t>
            </w:r>
          </w:p>
        </w:tc>
        <w:tc>
          <w:tcPr>
            <w:tcW w:w="1107" w:type="dxa"/>
            <w:vMerge w:val="restart"/>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职称</w:t>
            </w:r>
          </w:p>
        </w:tc>
        <w:tc>
          <w:tcPr>
            <w:tcW w:w="5023" w:type="dxa"/>
            <w:gridSpan w:val="4"/>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执业或职业资格证明</w:t>
            </w:r>
          </w:p>
        </w:tc>
        <w:tc>
          <w:tcPr>
            <w:tcW w:w="1512" w:type="dxa"/>
            <w:gridSpan w:val="2"/>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承担完工</w:t>
            </w:r>
          </w:p>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2" w:type="dxa"/>
            <w:vMerge w:val="continue"/>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36" w:type="dxa"/>
            <w:vMerge w:val="continue"/>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07" w:type="dxa"/>
            <w:vMerge w:val="continue"/>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证书</w:t>
            </w:r>
          </w:p>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名称</w:t>
            </w:r>
          </w:p>
        </w:tc>
        <w:tc>
          <w:tcPr>
            <w:tcW w:w="880"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级别</w:t>
            </w:r>
          </w:p>
        </w:tc>
        <w:tc>
          <w:tcPr>
            <w:tcW w:w="201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证号</w:t>
            </w:r>
          </w:p>
        </w:tc>
        <w:tc>
          <w:tcPr>
            <w:tcW w:w="1048"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专业</w:t>
            </w:r>
          </w:p>
        </w:tc>
        <w:tc>
          <w:tcPr>
            <w:tcW w:w="64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项目数</w:t>
            </w:r>
          </w:p>
        </w:tc>
        <w:tc>
          <w:tcPr>
            <w:tcW w:w="87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012"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36"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1107"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880"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201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48"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64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c>
          <w:tcPr>
            <w:tcW w:w="87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2"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36"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1107"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880"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201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48"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64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c>
          <w:tcPr>
            <w:tcW w:w="87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2"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36"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1107"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880"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c>
          <w:tcPr>
            <w:tcW w:w="201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48"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64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c>
          <w:tcPr>
            <w:tcW w:w="87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2"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36"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1107"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880"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201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48"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64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c>
          <w:tcPr>
            <w:tcW w:w="87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2"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36"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1107"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880"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201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48"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64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c>
          <w:tcPr>
            <w:tcW w:w="87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012"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3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107" w:type="dxa"/>
            <w:noWrap w:val="0"/>
            <w:vAlign w:val="center"/>
          </w:tcPr>
          <w:p>
            <w:pPr>
              <w:autoSpaceDE w:val="0"/>
              <w:autoSpaceDN w:val="0"/>
              <w:adjustRightInd w:val="0"/>
              <w:spacing w:line="360" w:lineRule="auto"/>
              <w:jc w:val="center"/>
              <w:rPr>
                <w:rFonts w:hint="default" w:ascii="宋体" w:hAnsi="宋体" w:eastAsia="宋体" w:cs="宋体"/>
                <w:b w:val="0"/>
                <w:bCs w:val="0"/>
                <w:color w:val="auto"/>
                <w:sz w:val="24"/>
                <w:szCs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880"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2016"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1048"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sz w:val="24"/>
                <w:szCs w:val="24"/>
                <w:highlight w:val="none"/>
                <w:lang w:val="en-US" w:eastAsia="zh-CN"/>
              </w:rPr>
            </w:pPr>
          </w:p>
        </w:tc>
        <w:tc>
          <w:tcPr>
            <w:tcW w:w="64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c>
          <w:tcPr>
            <w:tcW w:w="871" w:type="dxa"/>
            <w:noWrap w:val="0"/>
            <w:vAlign w:val="center"/>
          </w:tcPr>
          <w:p>
            <w:pPr>
              <w:autoSpaceDE w:val="0"/>
              <w:autoSpaceDN w:val="0"/>
              <w:adjustRightInd w:val="0"/>
              <w:spacing w:line="360" w:lineRule="auto"/>
              <w:jc w:val="center"/>
              <w:rPr>
                <w:rFonts w:hint="eastAsia" w:ascii="宋体" w:hAnsi="宋体" w:eastAsia="宋体" w:cs="宋体"/>
                <w:b w:val="0"/>
                <w:bC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12" w:type="dxa"/>
            <w:noWrap w:val="0"/>
            <w:vAlign w:val="center"/>
          </w:tcPr>
          <w:p>
            <w:pPr>
              <w:autoSpaceDE w:val="0"/>
              <w:autoSpaceDN w:val="0"/>
              <w:adjustRightInd w:val="0"/>
              <w:spacing w:line="360" w:lineRule="auto"/>
              <w:jc w:val="center"/>
              <w:rPr>
                <w:rFonts w:hint="eastAsia" w:ascii="宋体" w:hAnsi="宋体" w:eastAsia="宋体" w:cs="宋体"/>
                <w:color w:val="auto"/>
                <w:sz w:val="24"/>
                <w:highlight w:val="none"/>
                <w:lang w:val="en-US" w:eastAsia="zh-CN"/>
              </w:rPr>
            </w:pPr>
          </w:p>
        </w:tc>
        <w:tc>
          <w:tcPr>
            <w:tcW w:w="1136" w:type="dxa"/>
            <w:noWrap w:val="0"/>
            <w:vAlign w:val="center"/>
          </w:tcPr>
          <w:p>
            <w:pPr>
              <w:autoSpaceDE w:val="0"/>
              <w:autoSpaceDN w:val="0"/>
              <w:adjustRightInd w:val="0"/>
              <w:spacing w:line="360" w:lineRule="auto"/>
              <w:jc w:val="center"/>
              <w:rPr>
                <w:rFonts w:hint="eastAsia" w:ascii="宋体" w:hAnsi="宋体" w:eastAsia="宋体" w:cs="宋体"/>
                <w:color w:val="auto"/>
                <w:sz w:val="24"/>
                <w:highlight w:val="none"/>
                <w:lang w:val="en-US" w:eastAsia="zh-CN"/>
              </w:rPr>
            </w:pPr>
          </w:p>
        </w:tc>
        <w:tc>
          <w:tcPr>
            <w:tcW w:w="1107" w:type="dxa"/>
            <w:noWrap w:val="0"/>
            <w:vAlign w:val="center"/>
          </w:tcPr>
          <w:p>
            <w:pPr>
              <w:autoSpaceDE w:val="0"/>
              <w:autoSpaceDN w:val="0"/>
              <w:adjustRightInd w:val="0"/>
              <w:spacing w:line="360" w:lineRule="auto"/>
              <w:jc w:val="center"/>
              <w:rPr>
                <w:rFonts w:hint="eastAsia" w:ascii="宋体" w:hAnsi="宋体" w:eastAsia="宋体" w:cs="宋体"/>
                <w:color w:val="auto"/>
                <w:sz w:val="24"/>
                <w:highlight w:val="none"/>
                <w:lang w:val="en-US" w:eastAsia="zh-CN"/>
              </w:rPr>
            </w:pPr>
          </w:p>
        </w:tc>
        <w:tc>
          <w:tcPr>
            <w:tcW w:w="1079" w:type="dxa"/>
            <w:noWrap w:val="0"/>
            <w:vAlign w:val="center"/>
          </w:tcPr>
          <w:p>
            <w:pPr>
              <w:autoSpaceDE w:val="0"/>
              <w:autoSpaceDN w:val="0"/>
              <w:adjustRightInd w:val="0"/>
              <w:spacing w:line="360" w:lineRule="auto"/>
              <w:jc w:val="center"/>
              <w:rPr>
                <w:rFonts w:hint="eastAsia" w:ascii="宋体" w:hAnsi="宋体" w:eastAsia="宋体" w:cs="宋体"/>
                <w:color w:val="auto"/>
                <w:sz w:val="24"/>
                <w:highlight w:val="none"/>
                <w:lang w:val="en-US"/>
              </w:rPr>
            </w:pPr>
          </w:p>
        </w:tc>
        <w:tc>
          <w:tcPr>
            <w:tcW w:w="880" w:type="dxa"/>
            <w:noWrap w:val="0"/>
            <w:vAlign w:val="center"/>
          </w:tcPr>
          <w:p>
            <w:pPr>
              <w:autoSpaceDE w:val="0"/>
              <w:autoSpaceDN w:val="0"/>
              <w:adjustRightInd w:val="0"/>
              <w:spacing w:line="360" w:lineRule="auto"/>
              <w:jc w:val="center"/>
              <w:rPr>
                <w:rFonts w:hint="eastAsia" w:ascii="宋体" w:hAnsi="宋体" w:eastAsia="宋体" w:cs="宋体"/>
                <w:color w:val="auto"/>
                <w:sz w:val="24"/>
                <w:highlight w:val="none"/>
                <w:lang w:val="en-US" w:eastAsia="zh-CN"/>
              </w:rPr>
            </w:pPr>
          </w:p>
        </w:tc>
        <w:tc>
          <w:tcPr>
            <w:tcW w:w="2016" w:type="dxa"/>
            <w:noWrap w:val="0"/>
            <w:vAlign w:val="center"/>
          </w:tcPr>
          <w:p>
            <w:pPr>
              <w:autoSpaceDE w:val="0"/>
              <w:autoSpaceDN w:val="0"/>
              <w:adjustRightInd w:val="0"/>
              <w:spacing w:line="360" w:lineRule="auto"/>
              <w:jc w:val="center"/>
              <w:rPr>
                <w:rFonts w:hint="eastAsia" w:ascii="宋体" w:hAnsi="宋体" w:eastAsia="宋体" w:cs="宋体"/>
                <w:color w:val="auto"/>
                <w:sz w:val="24"/>
                <w:highlight w:val="none"/>
              </w:rPr>
            </w:pPr>
          </w:p>
        </w:tc>
        <w:tc>
          <w:tcPr>
            <w:tcW w:w="1048" w:type="dxa"/>
            <w:noWrap w:val="0"/>
            <w:vAlign w:val="center"/>
          </w:tcPr>
          <w:p>
            <w:pPr>
              <w:autoSpaceDE w:val="0"/>
              <w:autoSpaceDN w:val="0"/>
              <w:adjustRightInd w:val="0"/>
              <w:spacing w:line="360" w:lineRule="auto"/>
              <w:jc w:val="center"/>
              <w:rPr>
                <w:rFonts w:hint="eastAsia" w:ascii="宋体" w:hAnsi="宋体" w:eastAsia="宋体" w:cs="宋体"/>
                <w:color w:val="auto"/>
                <w:sz w:val="24"/>
                <w:highlight w:val="none"/>
                <w:lang w:eastAsia="zh-CN"/>
              </w:rPr>
            </w:pPr>
          </w:p>
        </w:tc>
        <w:tc>
          <w:tcPr>
            <w:tcW w:w="641" w:type="dxa"/>
            <w:noWrap w:val="0"/>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bidi="ar-SA"/>
              </w:rPr>
            </w:pPr>
          </w:p>
        </w:tc>
        <w:tc>
          <w:tcPr>
            <w:tcW w:w="871" w:type="dxa"/>
            <w:noWrap w:val="0"/>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790" w:type="dxa"/>
            <w:gridSpan w:val="9"/>
            <w:noWrap w:val="0"/>
            <w:vAlign w:val="center"/>
          </w:tcPr>
          <w:p>
            <w:pPr>
              <w:autoSpaceDE w:val="0"/>
              <w:autoSpaceDN w:val="0"/>
              <w:adjustRightInd w:val="0"/>
              <w:spacing w:line="360" w:lineRule="auto"/>
              <w:rPr>
                <w:rFonts w:hint="eastAsia" w:ascii="宋体" w:hAnsi="宋体" w:eastAsia="宋体" w:cs="宋体"/>
                <w:color w:val="auto"/>
                <w:sz w:val="24"/>
                <w:highlight w:val="none"/>
              </w:rPr>
            </w:pPr>
            <w:r>
              <w:rPr>
                <w:rFonts w:hint="eastAsia" w:ascii="宋体" w:hAnsi="宋体" w:eastAsia="宋体" w:cs="宋体"/>
                <w:b w:val="0"/>
                <w:bCs w:val="0"/>
                <w:color w:val="auto"/>
                <w:sz w:val="24"/>
                <w:szCs w:val="24"/>
                <w:highlight w:val="none"/>
                <w:lang w:val="en-US" w:eastAsia="zh-CN"/>
              </w:rPr>
              <w:t>一旦我单位中标（成交），将实行项目经理负责制，我方保证并配备上述项目管理机构。上述填报内容真实，若不真实，愿按有关规定接受处理。项目管理班子机构设置、职责分工等情况另附资料说明。</w:t>
            </w:r>
          </w:p>
        </w:tc>
      </w:tr>
    </w:tbl>
    <w:p>
      <w:pPr>
        <w:spacing w:line="360" w:lineRule="auto"/>
        <w:ind w:left="-2" w:right="-153" w:rightChars="-73"/>
        <w:rPr>
          <w:color w:val="auto"/>
          <w:sz w:val="24"/>
          <w:szCs w:val="24"/>
          <w:highlight w:val="none"/>
        </w:rPr>
      </w:pPr>
      <w:r>
        <w:rPr>
          <w:rFonts w:hint="eastAsia" w:ascii="宋体" w:hAnsi="宋体"/>
          <w:b/>
          <w:bCs/>
          <w:color w:val="auto"/>
          <w:sz w:val="24"/>
          <w:szCs w:val="24"/>
          <w:highlight w:val="none"/>
        </w:rPr>
        <w:t>附：</w:t>
      </w:r>
      <w:r>
        <w:rPr>
          <w:rFonts w:hint="eastAsia" w:ascii="宋体" w:hAnsi="宋体"/>
          <w:color w:val="auto"/>
          <w:sz w:val="24"/>
          <w:szCs w:val="24"/>
          <w:highlight w:val="none"/>
        </w:rPr>
        <w:t>①项目经理（注册建造师）简历表（格式）；</w:t>
      </w:r>
    </w:p>
    <w:p>
      <w:pPr>
        <w:spacing w:line="360" w:lineRule="auto"/>
        <w:ind w:left="-2" w:right="-153" w:rightChars="-73"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②项目技术负责人简历表（格式）；</w:t>
      </w:r>
    </w:p>
    <w:p>
      <w:pPr>
        <w:spacing w:line="360" w:lineRule="auto"/>
        <w:ind w:left="-2" w:right="-153" w:rightChars="-73" w:firstLine="480" w:firstLineChars="200"/>
        <w:rPr>
          <w:rFonts w:hAnsi="宋体" w:cs="Times New Roman"/>
          <w:b/>
          <w:color w:val="auto"/>
          <w:highlight w:val="none"/>
          <w:u w:val="single"/>
        </w:rPr>
      </w:pPr>
      <w:r>
        <w:rPr>
          <w:rFonts w:hint="eastAsia" w:ascii="宋体" w:hAnsi="宋体" w:cs="宋体"/>
          <w:color w:val="auto"/>
          <w:sz w:val="24"/>
          <w:szCs w:val="24"/>
          <w:highlight w:val="none"/>
        </w:rPr>
        <w:t>③其他主要人员应附岗位证书等扫描件</w:t>
      </w:r>
      <w:r>
        <w:rPr>
          <w:rFonts w:hint="eastAsia" w:ascii="宋体" w:hAnsi="宋体"/>
          <w:color w:val="auto"/>
          <w:sz w:val="24"/>
          <w:szCs w:val="24"/>
          <w:highlight w:val="none"/>
        </w:rPr>
        <w:t>；</w:t>
      </w:r>
    </w:p>
    <w:p>
      <w:pPr>
        <w:pStyle w:val="67"/>
        <w:rPr>
          <w:color w:val="auto"/>
          <w:highlight w:val="none"/>
        </w:rPr>
      </w:pPr>
      <w:r>
        <w:rPr>
          <w:rFonts w:hint="eastAsia" w:hAnsi="宋体" w:cs="Times New Roman"/>
          <w:b/>
          <w:color w:val="auto"/>
          <w:highlight w:val="none"/>
          <w:u w:val="single"/>
        </w:rPr>
        <w:t>注：文件 《一、主要管理人员表 》中所有提及的证件材料属于复印件的扫描件的，必须加盖供应商电子公章，否则响应文件按无效响应处理。</w:t>
      </w:r>
    </w:p>
    <w:p>
      <w:pPr>
        <w:widowControl/>
        <w:spacing w:line="300" w:lineRule="exact"/>
        <w:ind w:right="-147" w:rightChars="-70"/>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附表①项目经理（注册建造师）简历表（格式）</w:t>
      </w:r>
    </w:p>
    <w:p>
      <w:pPr>
        <w:pStyle w:val="67"/>
        <w:rPr>
          <w:color w:val="auto"/>
          <w:highlight w:val="none"/>
        </w:rPr>
      </w:pPr>
    </w:p>
    <w:p>
      <w:pPr>
        <w:spacing w:line="400" w:lineRule="exact"/>
        <w:jc w:val="center"/>
        <w:rPr>
          <w:rFonts w:ascii="宋体" w:hAnsi="宋体"/>
          <w:b/>
          <w:color w:val="auto"/>
          <w:szCs w:val="21"/>
          <w:highlight w:val="none"/>
        </w:rPr>
      </w:pPr>
      <w:r>
        <w:rPr>
          <w:rFonts w:ascii="宋体" w:hAnsi="宋体"/>
          <w:b/>
          <w:color w:val="auto"/>
          <w:szCs w:val="21"/>
          <w:highlight w:val="none"/>
        </w:rPr>
        <w:t>项目经理（注册建造师）简历表</w:t>
      </w:r>
    </w:p>
    <w:p>
      <w:pPr>
        <w:spacing w:line="400" w:lineRule="exact"/>
        <w:rPr>
          <w:rFonts w:ascii="黑体" w:hAnsi="宋体" w:eastAsia="黑体"/>
          <w:b/>
          <w:color w:val="auto"/>
          <w:sz w:val="28"/>
          <w:szCs w:val="28"/>
          <w:highlight w:val="none"/>
        </w:rPr>
      </w:pPr>
    </w:p>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rPr>
        <w:t>采购项目名称：</w:t>
      </w:r>
    </w:p>
    <w:p>
      <w:pPr>
        <w:pStyle w:val="87"/>
        <w:spacing w:line="400" w:lineRule="exact"/>
        <w:rPr>
          <w:color w:val="auto"/>
          <w:highlight w:val="none"/>
        </w:rPr>
      </w:pPr>
      <w:r>
        <w:rPr>
          <w:rFonts w:hint="eastAsia" w:ascii="宋体" w:hAnsi="宋体" w:cs="宋体"/>
          <w:color w:val="auto"/>
          <w:szCs w:val="21"/>
          <w:highlight w:val="none"/>
        </w:rPr>
        <w:t>项目采购编号：</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姓名</w:t>
            </w:r>
          </w:p>
        </w:tc>
        <w:tc>
          <w:tcPr>
            <w:tcW w:w="2340" w:type="dxa"/>
            <w:gridSpan w:val="3"/>
            <w:noWrap/>
            <w:vAlign w:val="center"/>
          </w:tcPr>
          <w:p>
            <w:pPr>
              <w:spacing w:line="300" w:lineRule="exact"/>
              <w:jc w:val="center"/>
              <w:rPr>
                <w:rFonts w:ascii="宋体" w:hAnsi="宋体"/>
                <w:color w:val="auto"/>
                <w:szCs w:val="21"/>
                <w:highlight w:val="none"/>
              </w:rPr>
            </w:pPr>
          </w:p>
        </w:tc>
        <w:tc>
          <w:tcPr>
            <w:tcW w:w="1893"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性别</w:t>
            </w:r>
          </w:p>
        </w:tc>
        <w:tc>
          <w:tcPr>
            <w:tcW w:w="1585" w:type="dxa"/>
            <w:gridSpan w:val="2"/>
            <w:noWrap/>
            <w:vAlign w:val="center"/>
          </w:tcPr>
          <w:p>
            <w:pPr>
              <w:spacing w:line="300" w:lineRule="exact"/>
              <w:jc w:val="center"/>
              <w:rPr>
                <w:rFonts w:ascii="宋体" w:hAnsi="宋体"/>
                <w:color w:val="auto"/>
                <w:szCs w:val="21"/>
                <w:highlight w:val="none"/>
              </w:rPr>
            </w:pPr>
          </w:p>
        </w:tc>
        <w:tc>
          <w:tcPr>
            <w:tcW w:w="1108"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年龄</w:t>
            </w:r>
          </w:p>
        </w:tc>
        <w:tc>
          <w:tcPr>
            <w:tcW w:w="2164" w:type="dxa"/>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职务</w:t>
            </w:r>
          </w:p>
        </w:tc>
        <w:tc>
          <w:tcPr>
            <w:tcW w:w="2340" w:type="dxa"/>
            <w:gridSpan w:val="3"/>
            <w:noWrap/>
            <w:vAlign w:val="center"/>
          </w:tcPr>
          <w:p>
            <w:pPr>
              <w:spacing w:line="300" w:lineRule="exact"/>
              <w:jc w:val="center"/>
              <w:rPr>
                <w:rFonts w:ascii="宋体" w:hAnsi="宋体"/>
                <w:color w:val="auto"/>
                <w:szCs w:val="21"/>
                <w:highlight w:val="none"/>
              </w:rPr>
            </w:pPr>
          </w:p>
        </w:tc>
        <w:tc>
          <w:tcPr>
            <w:tcW w:w="1893"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职称</w:t>
            </w:r>
          </w:p>
        </w:tc>
        <w:tc>
          <w:tcPr>
            <w:tcW w:w="1585" w:type="dxa"/>
            <w:gridSpan w:val="2"/>
            <w:noWrap/>
            <w:vAlign w:val="center"/>
          </w:tcPr>
          <w:p>
            <w:pPr>
              <w:spacing w:line="300" w:lineRule="exact"/>
              <w:jc w:val="center"/>
              <w:rPr>
                <w:rFonts w:ascii="宋体" w:hAnsi="宋体"/>
                <w:color w:val="auto"/>
                <w:szCs w:val="21"/>
                <w:highlight w:val="none"/>
              </w:rPr>
            </w:pPr>
          </w:p>
        </w:tc>
        <w:tc>
          <w:tcPr>
            <w:tcW w:w="1108"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学历</w:t>
            </w:r>
          </w:p>
        </w:tc>
        <w:tc>
          <w:tcPr>
            <w:tcW w:w="2164" w:type="dxa"/>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3" w:type="dxa"/>
            <w:gridSpan w:val="4"/>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参加工作时间</w:t>
            </w:r>
          </w:p>
        </w:tc>
        <w:tc>
          <w:tcPr>
            <w:tcW w:w="1893" w:type="dxa"/>
            <w:gridSpan w:val="2"/>
            <w:noWrap/>
            <w:vAlign w:val="center"/>
          </w:tcPr>
          <w:p>
            <w:pPr>
              <w:spacing w:line="300" w:lineRule="exact"/>
              <w:jc w:val="center"/>
              <w:rPr>
                <w:rFonts w:ascii="宋体" w:hAnsi="宋体"/>
                <w:color w:val="auto"/>
                <w:szCs w:val="21"/>
                <w:highlight w:val="none"/>
              </w:rPr>
            </w:pPr>
          </w:p>
        </w:tc>
        <w:tc>
          <w:tcPr>
            <w:tcW w:w="2693" w:type="dxa"/>
            <w:gridSpan w:val="4"/>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担任项目经理年限</w:t>
            </w:r>
          </w:p>
        </w:tc>
        <w:tc>
          <w:tcPr>
            <w:tcW w:w="2164" w:type="dxa"/>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3" w:type="dxa"/>
            <w:gridSpan w:val="4"/>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项目经理注册证书编号</w:t>
            </w:r>
          </w:p>
        </w:tc>
        <w:tc>
          <w:tcPr>
            <w:tcW w:w="6750" w:type="dxa"/>
            <w:gridSpan w:val="7"/>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173" w:type="dxa"/>
            <w:gridSpan w:val="11"/>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建设单位</w:t>
            </w:r>
          </w:p>
        </w:tc>
        <w:tc>
          <w:tcPr>
            <w:tcW w:w="1548"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项目名称</w:t>
            </w:r>
          </w:p>
        </w:tc>
        <w:tc>
          <w:tcPr>
            <w:tcW w:w="1547"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建设规模</w:t>
            </w:r>
          </w:p>
        </w:tc>
        <w:tc>
          <w:tcPr>
            <w:tcW w:w="1548"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开、竣工日期</w:t>
            </w:r>
          </w:p>
        </w:tc>
        <w:tc>
          <w:tcPr>
            <w:tcW w:w="1547"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在建或已完</w:t>
            </w:r>
          </w:p>
        </w:tc>
        <w:tc>
          <w:tcPr>
            <w:tcW w:w="2436"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436" w:type="dxa"/>
            <w:gridSpan w:val="2"/>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436" w:type="dxa"/>
            <w:gridSpan w:val="2"/>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436" w:type="dxa"/>
            <w:gridSpan w:val="2"/>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436" w:type="dxa"/>
            <w:gridSpan w:val="2"/>
            <w:noWrap/>
            <w:vAlign w:val="center"/>
          </w:tcPr>
          <w:p>
            <w:pPr>
              <w:spacing w:line="300" w:lineRule="exact"/>
              <w:jc w:val="center"/>
              <w:rPr>
                <w:rFonts w:ascii="宋体" w:hAnsi="宋体"/>
                <w:color w:val="auto"/>
                <w:szCs w:val="21"/>
                <w:highlight w:val="none"/>
              </w:rPr>
            </w:pPr>
          </w:p>
        </w:tc>
      </w:tr>
    </w:tbl>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1.附项目经理</w:t>
      </w:r>
      <w:r>
        <w:rPr>
          <w:rFonts w:hint="eastAsia" w:ascii="宋体" w:hAnsi="宋体" w:cs="宋体"/>
          <w:bCs/>
          <w:color w:val="auto"/>
          <w:szCs w:val="21"/>
          <w:highlight w:val="none"/>
        </w:rPr>
        <w:t>执业资格证书、</w:t>
      </w:r>
      <w:r>
        <w:rPr>
          <w:rFonts w:hint="eastAsia" w:ascii="宋体" w:hAnsi="宋体"/>
          <w:color w:val="auto"/>
          <w:szCs w:val="21"/>
          <w:highlight w:val="none"/>
        </w:rPr>
        <w:t>《安全生产考核合格证书》、职称证（若有）、学历证（若有）和已完工程（如有）《中标（成交）通知书》、工程合同协议书、工程竣工验收证明材料的扫描件，以及竞标人认为需要增加的其他证明材料的扫描件。（</w:t>
      </w:r>
      <w:r>
        <w:rPr>
          <w:rFonts w:hint="eastAsia" w:ascii="宋体" w:hAnsi="宋体"/>
          <w:b/>
          <w:bCs/>
          <w:color w:val="auto"/>
          <w:szCs w:val="21"/>
          <w:highlight w:val="none"/>
        </w:rPr>
        <w:t>以上材料是复印件的扫描件的，均须加盖竞标人单位公章或电子签章</w:t>
      </w:r>
      <w:r>
        <w:rPr>
          <w:rFonts w:hint="eastAsia" w:ascii="宋体" w:hAnsi="宋体"/>
          <w:color w:val="auto"/>
          <w:szCs w:val="21"/>
          <w:highlight w:val="none"/>
        </w:rPr>
        <w:t>。）</w:t>
      </w:r>
    </w:p>
    <w:p>
      <w:pPr>
        <w:widowControl/>
        <w:spacing w:line="300" w:lineRule="exact"/>
        <w:ind w:right="-147" w:rightChars="-70"/>
        <w:rPr>
          <w:rFonts w:ascii="宋体" w:hAnsi="宋体" w:cs="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附表</w:t>
      </w:r>
      <w:r>
        <w:rPr>
          <w:rFonts w:hint="eastAsia" w:ascii="宋体" w:hAnsi="宋体" w:cs="宋体"/>
          <w:color w:val="auto"/>
          <w:szCs w:val="21"/>
          <w:highlight w:val="none"/>
        </w:rPr>
        <w:t>②项目技术负责人简历表（格式）</w:t>
      </w:r>
    </w:p>
    <w:p>
      <w:pPr>
        <w:pStyle w:val="67"/>
        <w:rPr>
          <w:color w:val="auto"/>
          <w:highlight w:val="none"/>
        </w:rPr>
      </w:pPr>
    </w:p>
    <w:p>
      <w:pPr>
        <w:spacing w:line="400" w:lineRule="exact"/>
        <w:jc w:val="center"/>
        <w:rPr>
          <w:rFonts w:ascii="宋体" w:hAnsi="宋体"/>
          <w:b/>
          <w:color w:val="auto"/>
          <w:szCs w:val="21"/>
          <w:highlight w:val="none"/>
        </w:rPr>
      </w:pPr>
      <w:r>
        <w:rPr>
          <w:rFonts w:ascii="宋体" w:hAnsi="宋体"/>
          <w:b/>
          <w:color w:val="auto"/>
          <w:szCs w:val="21"/>
          <w:highlight w:val="none"/>
        </w:rPr>
        <w:t>项目技术负责人简历表</w:t>
      </w:r>
    </w:p>
    <w:p>
      <w:pPr>
        <w:spacing w:line="400" w:lineRule="exact"/>
        <w:rPr>
          <w:rFonts w:ascii="黑体" w:hAnsi="宋体" w:eastAsia="黑体"/>
          <w:b/>
          <w:color w:val="auto"/>
          <w:sz w:val="28"/>
          <w:szCs w:val="28"/>
          <w:highlight w:val="none"/>
        </w:rPr>
      </w:pPr>
    </w:p>
    <w:p>
      <w:pPr>
        <w:spacing w:line="400" w:lineRule="exact"/>
        <w:rPr>
          <w:rFonts w:ascii="宋体" w:hAnsi="宋体" w:cs="宋体"/>
          <w:color w:val="auto"/>
          <w:szCs w:val="21"/>
          <w:highlight w:val="none"/>
          <w:u w:val="single"/>
        </w:rPr>
      </w:pPr>
      <w:bookmarkStart w:id="1001" w:name="_Toc251052220"/>
      <w:r>
        <w:rPr>
          <w:rFonts w:hint="eastAsia" w:ascii="宋体" w:hAnsi="宋体" w:cs="宋体"/>
          <w:color w:val="auto"/>
          <w:szCs w:val="21"/>
          <w:highlight w:val="none"/>
        </w:rPr>
        <w:t>采购项目名称：</w:t>
      </w:r>
    </w:p>
    <w:p>
      <w:pPr>
        <w:spacing w:line="400" w:lineRule="exact"/>
        <w:rPr>
          <w:color w:val="auto"/>
          <w:highlight w:val="none"/>
        </w:rPr>
      </w:pPr>
      <w:r>
        <w:rPr>
          <w:rFonts w:hint="eastAsia" w:ascii="宋体" w:hAnsi="宋体" w:cs="宋体"/>
          <w:color w:val="auto"/>
          <w:szCs w:val="21"/>
          <w:highlight w:val="none"/>
        </w:rPr>
        <w:t>项目采购编号：</w:t>
      </w:r>
      <w:r>
        <w:rPr>
          <w:color w:val="auto"/>
          <w:highlight w:val="none"/>
        </w:rPr>
        <w:tab/>
      </w:r>
      <w:r>
        <w:rPr>
          <w:color w:val="auto"/>
          <w:highlight w:val="none"/>
        </w:rPr>
        <w:tab/>
      </w:r>
      <w:r>
        <w:rPr>
          <w:color w:val="auto"/>
          <w:highlight w:val="none"/>
        </w:rPr>
        <w:tab/>
      </w:r>
      <w:bookmarkEnd w:id="1001"/>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姓名</w:t>
            </w:r>
          </w:p>
        </w:tc>
        <w:tc>
          <w:tcPr>
            <w:tcW w:w="2340" w:type="dxa"/>
            <w:gridSpan w:val="3"/>
            <w:noWrap/>
            <w:vAlign w:val="center"/>
          </w:tcPr>
          <w:p>
            <w:pPr>
              <w:spacing w:line="300" w:lineRule="exact"/>
              <w:jc w:val="center"/>
              <w:rPr>
                <w:rFonts w:ascii="宋体" w:hAnsi="宋体"/>
                <w:color w:val="auto"/>
                <w:szCs w:val="21"/>
                <w:highlight w:val="none"/>
              </w:rPr>
            </w:pPr>
          </w:p>
        </w:tc>
        <w:tc>
          <w:tcPr>
            <w:tcW w:w="1893"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性别</w:t>
            </w:r>
          </w:p>
        </w:tc>
        <w:tc>
          <w:tcPr>
            <w:tcW w:w="1585" w:type="dxa"/>
            <w:gridSpan w:val="2"/>
            <w:noWrap/>
            <w:vAlign w:val="center"/>
          </w:tcPr>
          <w:p>
            <w:pPr>
              <w:spacing w:line="300" w:lineRule="exact"/>
              <w:jc w:val="center"/>
              <w:rPr>
                <w:rFonts w:ascii="宋体" w:hAnsi="宋体"/>
                <w:color w:val="auto"/>
                <w:szCs w:val="21"/>
                <w:highlight w:val="none"/>
              </w:rPr>
            </w:pPr>
          </w:p>
        </w:tc>
        <w:tc>
          <w:tcPr>
            <w:tcW w:w="1108"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年龄</w:t>
            </w:r>
          </w:p>
        </w:tc>
        <w:tc>
          <w:tcPr>
            <w:tcW w:w="2305" w:type="dxa"/>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职务</w:t>
            </w:r>
          </w:p>
        </w:tc>
        <w:tc>
          <w:tcPr>
            <w:tcW w:w="2340" w:type="dxa"/>
            <w:gridSpan w:val="3"/>
            <w:noWrap/>
            <w:vAlign w:val="center"/>
          </w:tcPr>
          <w:p>
            <w:pPr>
              <w:spacing w:line="300" w:lineRule="exact"/>
              <w:jc w:val="center"/>
              <w:rPr>
                <w:rFonts w:ascii="宋体" w:hAnsi="宋体"/>
                <w:color w:val="auto"/>
                <w:szCs w:val="21"/>
                <w:highlight w:val="none"/>
              </w:rPr>
            </w:pPr>
          </w:p>
        </w:tc>
        <w:tc>
          <w:tcPr>
            <w:tcW w:w="1893"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职称</w:t>
            </w:r>
          </w:p>
        </w:tc>
        <w:tc>
          <w:tcPr>
            <w:tcW w:w="1585" w:type="dxa"/>
            <w:gridSpan w:val="2"/>
            <w:noWrap/>
            <w:vAlign w:val="center"/>
          </w:tcPr>
          <w:p>
            <w:pPr>
              <w:spacing w:line="300" w:lineRule="exact"/>
              <w:jc w:val="center"/>
              <w:rPr>
                <w:rFonts w:ascii="宋体" w:hAnsi="宋体"/>
                <w:color w:val="auto"/>
                <w:szCs w:val="21"/>
                <w:highlight w:val="none"/>
              </w:rPr>
            </w:pPr>
          </w:p>
        </w:tc>
        <w:tc>
          <w:tcPr>
            <w:tcW w:w="1108"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学历</w:t>
            </w:r>
          </w:p>
        </w:tc>
        <w:tc>
          <w:tcPr>
            <w:tcW w:w="2305" w:type="dxa"/>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3" w:type="dxa"/>
            <w:gridSpan w:val="4"/>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参加工作时间</w:t>
            </w:r>
          </w:p>
        </w:tc>
        <w:tc>
          <w:tcPr>
            <w:tcW w:w="1893" w:type="dxa"/>
            <w:gridSpan w:val="2"/>
            <w:noWrap/>
            <w:vAlign w:val="center"/>
          </w:tcPr>
          <w:p>
            <w:pPr>
              <w:spacing w:line="300" w:lineRule="exact"/>
              <w:jc w:val="center"/>
              <w:rPr>
                <w:rFonts w:ascii="宋体" w:hAnsi="宋体"/>
                <w:color w:val="auto"/>
                <w:szCs w:val="21"/>
                <w:highlight w:val="none"/>
              </w:rPr>
            </w:pPr>
          </w:p>
        </w:tc>
        <w:tc>
          <w:tcPr>
            <w:tcW w:w="2693" w:type="dxa"/>
            <w:gridSpan w:val="4"/>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担任</w:t>
            </w:r>
            <w:r>
              <w:rPr>
                <w:rFonts w:hint="eastAsia" w:ascii="宋体" w:hAnsi="宋体"/>
                <w:color w:val="auto"/>
                <w:szCs w:val="21"/>
                <w:highlight w:val="none"/>
              </w:rPr>
              <w:t>技术负责人</w:t>
            </w:r>
            <w:r>
              <w:rPr>
                <w:rFonts w:ascii="宋体" w:hAnsi="宋体"/>
                <w:color w:val="auto"/>
                <w:szCs w:val="21"/>
                <w:highlight w:val="none"/>
              </w:rPr>
              <w:t>年限</w:t>
            </w:r>
          </w:p>
        </w:tc>
        <w:tc>
          <w:tcPr>
            <w:tcW w:w="2305" w:type="dxa"/>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14" w:type="dxa"/>
            <w:gridSpan w:val="11"/>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建设单位</w:t>
            </w:r>
          </w:p>
        </w:tc>
        <w:tc>
          <w:tcPr>
            <w:tcW w:w="1548"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项目名称</w:t>
            </w:r>
          </w:p>
        </w:tc>
        <w:tc>
          <w:tcPr>
            <w:tcW w:w="1547"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建设规模</w:t>
            </w:r>
          </w:p>
        </w:tc>
        <w:tc>
          <w:tcPr>
            <w:tcW w:w="1548"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开、竣工日期</w:t>
            </w:r>
          </w:p>
        </w:tc>
        <w:tc>
          <w:tcPr>
            <w:tcW w:w="1547"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在建或已完</w:t>
            </w:r>
          </w:p>
        </w:tc>
        <w:tc>
          <w:tcPr>
            <w:tcW w:w="2577" w:type="dxa"/>
            <w:gridSpan w:val="2"/>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577" w:type="dxa"/>
            <w:gridSpan w:val="2"/>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577" w:type="dxa"/>
            <w:gridSpan w:val="2"/>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577" w:type="dxa"/>
            <w:gridSpan w:val="2"/>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noWrap/>
            <w:vAlign w:val="center"/>
          </w:tcPr>
          <w:p>
            <w:pPr>
              <w:spacing w:line="300" w:lineRule="exact"/>
              <w:jc w:val="center"/>
              <w:rPr>
                <w:rFonts w:ascii="宋体" w:hAnsi="宋体"/>
                <w:color w:val="auto"/>
                <w:szCs w:val="21"/>
                <w:highlight w:val="none"/>
              </w:rPr>
            </w:pPr>
          </w:p>
        </w:tc>
        <w:tc>
          <w:tcPr>
            <w:tcW w:w="1548" w:type="dxa"/>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1548" w:type="dxa"/>
            <w:gridSpan w:val="2"/>
            <w:noWrap/>
            <w:vAlign w:val="center"/>
          </w:tcPr>
          <w:p>
            <w:pPr>
              <w:spacing w:line="300" w:lineRule="exact"/>
              <w:jc w:val="center"/>
              <w:rPr>
                <w:rFonts w:ascii="宋体" w:hAnsi="宋体"/>
                <w:color w:val="auto"/>
                <w:szCs w:val="21"/>
                <w:highlight w:val="none"/>
              </w:rPr>
            </w:pPr>
          </w:p>
        </w:tc>
        <w:tc>
          <w:tcPr>
            <w:tcW w:w="1547" w:type="dxa"/>
            <w:gridSpan w:val="2"/>
            <w:noWrap/>
            <w:vAlign w:val="center"/>
          </w:tcPr>
          <w:p>
            <w:pPr>
              <w:spacing w:line="300" w:lineRule="exact"/>
              <w:jc w:val="center"/>
              <w:rPr>
                <w:rFonts w:ascii="宋体" w:hAnsi="宋体"/>
                <w:color w:val="auto"/>
                <w:szCs w:val="21"/>
                <w:highlight w:val="none"/>
              </w:rPr>
            </w:pPr>
          </w:p>
        </w:tc>
        <w:tc>
          <w:tcPr>
            <w:tcW w:w="2577" w:type="dxa"/>
            <w:gridSpan w:val="2"/>
            <w:noWrap/>
            <w:vAlign w:val="center"/>
          </w:tcPr>
          <w:p>
            <w:pPr>
              <w:spacing w:line="300" w:lineRule="exact"/>
              <w:jc w:val="center"/>
              <w:rPr>
                <w:rFonts w:ascii="宋体" w:hAnsi="宋体"/>
                <w:color w:val="auto"/>
                <w:szCs w:val="21"/>
                <w:highlight w:val="none"/>
              </w:rPr>
            </w:pPr>
          </w:p>
        </w:tc>
      </w:tr>
    </w:tbl>
    <w:p>
      <w:pPr>
        <w:spacing w:line="400" w:lineRule="exact"/>
        <w:ind w:firstLine="420" w:firstLineChars="200"/>
        <w:rPr>
          <w:rFonts w:ascii="宋体" w:hAnsi="宋体"/>
          <w:color w:val="auto"/>
          <w:szCs w:val="21"/>
          <w:highlight w:val="none"/>
        </w:rPr>
      </w:pPr>
      <w:r>
        <w:rPr>
          <w:rFonts w:ascii="宋体" w:hAnsi="宋体"/>
          <w:color w:val="auto"/>
          <w:szCs w:val="21"/>
          <w:highlight w:val="none"/>
        </w:rPr>
        <w:t>备注：</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.附技术负责人的职称证、学历证（若有）和已完工程（如有）《中标（成交）通知书》、</w:t>
      </w:r>
      <w:r>
        <w:rPr>
          <w:rFonts w:ascii="宋体" w:hAnsi="宋体"/>
          <w:color w:val="auto"/>
          <w:szCs w:val="21"/>
          <w:highlight w:val="none"/>
        </w:rPr>
        <w:t>工程合同协议书</w:t>
      </w:r>
      <w:r>
        <w:rPr>
          <w:rFonts w:hint="eastAsia" w:ascii="宋体" w:hAnsi="宋体"/>
          <w:color w:val="auto"/>
          <w:szCs w:val="21"/>
          <w:highlight w:val="none"/>
        </w:rPr>
        <w:t>、</w:t>
      </w:r>
      <w:r>
        <w:rPr>
          <w:rFonts w:ascii="宋体" w:hAnsi="宋体"/>
          <w:color w:val="auto"/>
          <w:szCs w:val="21"/>
          <w:highlight w:val="none"/>
        </w:rPr>
        <w:t>工程竣工验收证明材料</w:t>
      </w:r>
      <w:r>
        <w:rPr>
          <w:rFonts w:hint="eastAsia" w:ascii="宋体" w:hAnsi="宋体"/>
          <w:color w:val="auto"/>
          <w:szCs w:val="21"/>
          <w:highlight w:val="none"/>
        </w:rPr>
        <w:t>的扫描件，以及竞标人认为需要增加的其他证明材料的扫描件，（</w:t>
      </w:r>
      <w:r>
        <w:rPr>
          <w:rFonts w:hint="eastAsia" w:ascii="宋体" w:hAnsi="宋体"/>
          <w:b/>
          <w:bCs/>
          <w:color w:val="auto"/>
          <w:szCs w:val="21"/>
          <w:highlight w:val="none"/>
        </w:rPr>
        <w:t>以上材料是复印件的扫描件的，均须加盖竞标人单位公章或电子签章</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p>
    <w:p>
      <w:pPr>
        <w:spacing w:line="400" w:lineRule="exact"/>
        <w:rPr>
          <w:rFonts w:ascii="宋体" w:hAnsi="宋体"/>
          <w:color w:val="auto"/>
          <w:szCs w:val="21"/>
          <w:highlight w:val="none"/>
        </w:rPr>
      </w:pPr>
    </w:p>
    <w:p>
      <w:pPr>
        <w:widowControl/>
        <w:spacing w:line="300" w:lineRule="exact"/>
        <w:ind w:right="-147" w:rightChars="-70"/>
        <w:jc w:val="center"/>
        <w:rPr>
          <w:rFonts w:ascii="宋体" w:hAnsi="宋体"/>
          <w:color w:val="auto"/>
          <w:szCs w:val="21"/>
          <w:highlight w:val="none"/>
        </w:rPr>
      </w:pPr>
    </w:p>
    <w:p>
      <w:pPr>
        <w:widowControl/>
        <w:spacing w:line="300" w:lineRule="exact"/>
        <w:ind w:right="-147" w:rightChars="-70"/>
        <w:jc w:val="center"/>
        <w:rPr>
          <w:rFonts w:ascii="宋体" w:hAnsi="宋体"/>
          <w:color w:val="auto"/>
          <w:szCs w:val="21"/>
          <w:highlight w:val="none"/>
        </w:rPr>
      </w:pPr>
    </w:p>
    <w:p>
      <w:pPr>
        <w:widowControl/>
        <w:spacing w:line="300" w:lineRule="exact"/>
        <w:ind w:right="-147" w:rightChars="-70"/>
        <w:jc w:val="center"/>
        <w:rPr>
          <w:rFonts w:ascii="宋体" w:hAnsi="宋体"/>
          <w:color w:val="auto"/>
          <w:szCs w:val="21"/>
          <w:highlight w:val="none"/>
        </w:rPr>
      </w:pPr>
    </w:p>
    <w:p>
      <w:pPr>
        <w:rPr>
          <w:color w:val="auto"/>
          <w:highlight w:val="none"/>
        </w:rPr>
      </w:pPr>
      <w:r>
        <w:rPr>
          <w:rFonts w:ascii="宋体" w:hAnsi="宋体"/>
          <w:color w:val="auto"/>
          <w:szCs w:val="21"/>
          <w:highlight w:val="none"/>
        </w:rPr>
        <w:br w:type="page"/>
      </w:r>
    </w:p>
    <w:p>
      <w:pPr>
        <w:widowControl/>
        <w:spacing w:line="300" w:lineRule="exact"/>
        <w:ind w:right="-147" w:rightChars="-70"/>
        <w:jc w:val="center"/>
        <w:rPr>
          <w:rFonts w:hAnsi="宋体"/>
          <w:b/>
          <w:color w:val="auto"/>
          <w:sz w:val="28"/>
          <w:szCs w:val="28"/>
          <w:highlight w:val="none"/>
        </w:rPr>
      </w:pPr>
    </w:p>
    <w:p>
      <w:pPr>
        <w:widowControl/>
        <w:spacing w:line="300" w:lineRule="exact"/>
        <w:ind w:right="-147" w:rightChars="-70"/>
        <w:jc w:val="center"/>
        <w:rPr>
          <w:rFonts w:hAnsi="宋体"/>
          <w:b/>
          <w:color w:val="auto"/>
          <w:sz w:val="28"/>
          <w:szCs w:val="28"/>
          <w:highlight w:val="none"/>
        </w:rPr>
      </w:pPr>
      <w:r>
        <w:rPr>
          <w:rFonts w:hint="eastAsia" w:hAnsi="宋体"/>
          <w:b/>
          <w:color w:val="auto"/>
          <w:sz w:val="28"/>
          <w:szCs w:val="28"/>
          <w:highlight w:val="none"/>
        </w:rPr>
        <w:t>二、建设工程项目管理承诺书</w:t>
      </w:r>
    </w:p>
    <w:p>
      <w:pPr>
        <w:pStyle w:val="85"/>
        <w:rPr>
          <w:color w:val="auto"/>
          <w:highlight w:val="none"/>
        </w:rPr>
      </w:pPr>
    </w:p>
    <w:p>
      <w:pPr>
        <w:pStyle w:val="85"/>
        <w:jc w:val="center"/>
        <w:rPr>
          <w:rFonts w:hAnsi="宋体"/>
          <w:bCs w:val="0"/>
          <w:color w:val="auto"/>
          <w:szCs w:val="28"/>
          <w:highlight w:val="none"/>
        </w:rPr>
      </w:pPr>
      <w:r>
        <w:rPr>
          <w:rFonts w:hint="eastAsia" w:hAnsi="宋体"/>
          <w:bCs w:val="0"/>
          <w:color w:val="auto"/>
          <w:szCs w:val="28"/>
          <w:highlight w:val="none"/>
        </w:rPr>
        <w:t>（格式自拟）</w:t>
      </w:r>
    </w:p>
    <w:p>
      <w:pPr>
        <w:pStyle w:val="85"/>
        <w:jc w:val="right"/>
        <w:rPr>
          <w:color w:val="auto"/>
          <w:szCs w:val="21"/>
          <w:highlight w:val="none"/>
        </w:rPr>
      </w:pPr>
    </w:p>
    <w:p>
      <w:pPr>
        <w:rPr>
          <w:rFonts w:hAnsi="宋体"/>
          <w:b/>
          <w:color w:val="auto"/>
          <w:sz w:val="28"/>
          <w:szCs w:val="28"/>
          <w:highlight w:val="none"/>
        </w:rPr>
      </w:pPr>
      <w:r>
        <w:rPr>
          <w:rFonts w:hint="eastAsia" w:hAnsi="宋体"/>
          <w:b/>
          <w:color w:val="auto"/>
          <w:sz w:val="28"/>
          <w:szCs w:val="28"/>
          <w:highlight w:val="none"/>
        </w:rPr>
        <w:br w:type="page"/>
      </w:r>
    </w:p>
    <w:p>
      <w:pPr>
        <w:jc w:val="center"/>
        <w:rPr>
          <w:rFonts w:hAnsi="宋体"/>
          <w:b/>
          <w:color w:val="auto"/>
          <w:sz w:val="28"/>
          <w:szCs w:val="28"/>
          <w:highlight w:val="none"/>
        </w:rPr>
      </w:pPr>
      <w:r>
        <w:rPr>
          <w:rFonts w:hint="eastAsia" w:hAnsi="宋体"/>
          <w:b/>
          <w:color w:val="auto"/>
          <w:sz w:val="28"/>
          <w:szCs w:val="28"/>
          <w:highlight w:val="none"/>
        </w:rPr>
        <w:t>三、施工组织设计</w:t>
      </w:r>
    </w:p>
    <w:p>
      <w:pPr>
        <w:pStyle w:val="67"/>
        <w:ind w:left="420" w:leftChars="200"/>
        <w:rPr>
          <w:color w:val="auto"/>
          <w:highlight w:val="none"/>
        </w:rPr>
      </w:pPr>
    </w:p>
    <w:p>
      <w:pPr>
        <w:spacing w:line="400" w:lineRule="exact"/>
        <w:rPr>
          <w:rFonts w:ascii="宋体" w:hAnsi="宋体"/>
          <w:color w:val="auto"/>
          <w:highlight w:val="none"/>
        </w:rPr>
      </w:pPr>
      <w:r>
        <w:rPr>
          <w:rFonts w:hint="eastAsia" w:ascii="宋体" w:hAnsi="宋体"/>
          <w:color w:val="auto"/>
          <w:highlight w:val="none"/>
        </w:rPr>
        <w:t>1.竞标人</w:t>
      </w:r>
      <w:r>
        <w:rPr>
          <w:rFonts w:ascii="宋体" w:hAnsi="宋体"/>
          <w:color w:val="auto"/>
          <w:highlight w:val="none"/>
        </w:rPr>
        <w:t>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00" w:lineRule="exact"/>
        <w:rPr>
          <w:rFonts w:ascii="宋体" w:hAnsi="宋体"/>
          <w:color w:val="auto"/>
          <w:highlight w:val="none"/>
        </w:rPr>
      </w:pPr>
      <w:r>
        <w:rPr>
          <w:rFonts w:hint="eastAsia" w:ascii="宋体" w:hAnsi="宋体"/>
          <w:color w:val="auto"/>
          <w:highlight w:val="none"/>
        </w:rPr>
        <w:t>2.</w:t>
      </w:r>
      <w:r>
        <w:rPr>
          <w:rFonts w:ascii="宋体" w:hAnsi="宋体"/>
          <w:color w:val="auto"/>
          <w:highlight w:val="none"/>
        </w:rPr>
        <w:t>施工组织设计除采用文字表述外可附下列图表，图表及格式要求附后。</w:t>
      </w:r>
    </w:p>
    <w:p>
      <w:pPr>
        <w:spacing w:line="400" w:lineRule="exact"/>
        <w:rPr>
          <w:rFonts w:ascii="宋体" w:hAnsi="宋体"/>
          <w:color w:val="auto"/>
          <w:highlight w:val="none"/>
        </w:rPr>
      </w:pPr>
      <w:r>
        <w:rPr>
          <w:rFonts w:ascii="宋体" w:hAnsi="宋体"/>
          <w:color w:val="auto"/>
          <w:highlight w:val="none"/>
        </w:rPr>
        <w:t>附表一  拟投入本工程的主要施工设备表</w:t>
      </w:r>
    </w:p>
    <w:p>
      <w:pPr>
        <w:spacing w:line="400" w:lineRule="exact"/>
        <w:rPr>
          <w:rFonts w:ascii="宋体" w:hAnsi="宋体"/>
          <w:color w:val="auto"/>
          <w:highlight w:val="none"/>
        </w:rPr>
      </w:pPr>
      <w:r>
        <w:rPr>
          <w:rFonts w:ascii="宋体" w:hAnsi="宋体"/>
          <w:color w:val="auto"/>
          <w:highlight w:val="none"/>
        </w:rPr>
        <w:t>附表二  拟配备本工程的试验和检测仪器设备表</w:t>
      </w:r>
    </w:p>
    <w:p>
      <w:pPr>
        <w:spacing w:line="400" w:lineRule="exact"/>
        <w:rPr>
          <w:rFonts w:ascii="宋体" w:hAnsi="宋体"/>
          <w:color w:val="auto"/>
          <w:highlight w:val="none"/>
        </w:rPr>
      </w:pPr>
      <w:r>
        <w:rPr>
          <w:rFonts w:ascii="宋体" w:hAnsi="宋体"/>
          <w:color w:val="auto"/>
          <w:highlight w:val="none"/>
        </w:rPr>
        <w:t>附表三  劳动力计划表</w:t>
      </w:r>
    </w:p>
    <w:p>
      <w:pPr>
        <w:spacing w:line="400" w:lineRule="exact"/>
        <w:rPr>
          <w:rFonts w:ascii="宋体" w:hAnsi="宋体"/>
          <w:color w:val="auto"/>
          <w:highlight w:val="none"/>
        </w:rPr>
      </w:pPr>
      <w:r>
        <w:rPr>
          <w:rFonts w:ascii="宋体" w:hAnsi="宋体"/>
          <w:color w:val="auto"/>
          <w:highlight w:val="none"/>
        </w:rPr>
        <w:t>附表四  计划开、竣工日期和施工进度网络图</w:t>
      </w:r>
    </w:p>
    <w:p>
      <w:pPr>
        <w:spacing w:line="400" w:lineRule="exact"/>
        <w:rPr>
          <w:rFonts w:ascii="宋体" w:hAnsi="宋体"/>
          <w:color w:val="auto"/>
          <w:highlight w:val="none"/>
        </w:rPr>
      </w:pPr>
      <w:r>
        <w:rPr>
          <w:rFonts w:ascii="宋体" w:hAnsi="宋体"/>
          <w:color w:val="auto"/>
          <w:highlight w:val="none"/>
        </w:rPr>
        <w:t>附表五  施工总平面图</w:t>
      </w:r>
    </w:p>
    <w:p>
      <w:pPr>
        <w:spacing w:line="400" w:lineRule="exact"/>
        <w:rPr>
          <w:rFonts w:ascii="宋体" w:hAnsi="宋体"/>
          <w:color w:val="auto"/>
          <w:highlight w:val="none"/>
        </w:rPr>
      </w:pPr>
      <w:r>
        <w:rPr>
          <w:rFonts w:ascii="宋体" w:hAnsi="宋体"/>
          <w:color w:val="auto"/>
          <w:highlight w:val="none"/>
        </w:rPr>
        <w:t>附表六  临时用地表</w:t>
      </w:r>
    </w:p>
    <w:p>
      <w:pPr>
        <w:spacing w:line="400" w:lineRule="exact"/>
        <w:rPr>
          <w:rFonts w:ascii="宋体" w:hAnsi="宋体"/>
          <w:color w:val="auto"/>
          <w:highlight w:val="none"/>
        </w:rPr>
      </w:pPr>
    </w:p>
    <w:p>
      <w:pPr>
        <w:spacing w:line="400" w:lineRule="exact"/>
        <w:rPr>
          <w:rFonts w:ascii="宋体" w:hAnsi="宋体"/>
          <w:color w:val="auto"/>
          <w:highlight w:val="none"/>
        </w:rPr>
      </w:pPr>
      <w:r>
        <w:rPr>
          <w:rFonts w:ascii="宋体" w:hAnsi="宋体"/>
          <w:color w:val="auto"/>
          <w:highlight w:val="none"/>
        </w:rPr>
        <w:t>附表一：拟投入本工程的主要施工设备表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61"/>
        <w:gridCol w:w="1061"/>
        <w:gridCol w:w="1062"/>
        <w:gridCol w:w="1061"/>
        <w:gridCol w:w="1061"/>
        <w:gridCol w:w="1062"/>
        <w:gridCol w:w="1061"/>
        <w:gridCol w:w="106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序号</w:t>
            </w:r>
          </w:p>
        </w:tc>
        <w:tc>
          <w:tcPr>
            <w:tcW w:w="1061"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设备名称</w:t>
            </w:r>
          </w:p>
        </w:tc>
        <w:tc>
          <w:tcPr>
            <w:tcW w:w="1061"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型号规格</w:t>
            </w:r>
          </w:p>
        </w:tc>
        <w:tc>
          <w:tcPr>
            <w:tcW w:w="1062"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数量</w:t>
            </w:r>
          </w:p>
        </w:tc>
        <w:tc>
          <w:tcPr>
            <w:tcW w:w="1061"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国别产地</w:t>
            </w:r>
          </w:p>
        </w:tc>
        <w:tc>
          <w:tcPr>
            <w:tcW w:w="1061"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制造年份</w:t>
            </w:r>
          </w:p>
        </w:tc>
        <w:tc>
          <w:tcPr>
            <w:tcW w:w="1062"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额定功率</w:t>
            </w:r>
          </w:p>
          <w:p>
            <w:pPr>
              <w:spacing w:line="300" w:lineRule="exact"/>
              <w:jc w:val="center"/>
              <w:rPr>
                <w:rFonts w:ascii="宋体" w:hAnsi="宋体"/>
                <w:color w:val="auto"/>
                <w:szCs w:val="21"/>
                <w:highlight w:val="none"/>
              </w:rPr>
            </w:pPr>
            <w:r>
              <w:rPr>
                <w:rFonts w:ascii="宋体" w:hAnsi="宋体"/>
                <w:color w:val="auto"/>
                <w:szCs w:val="21"/>
                <w:highlight w:val="none"/>
              </w:rPr>
              <w:t>（ KW ）</w:t>
            </w:r>
          </w:p>
        </w:tc>
        <w:tc>
          <w:tcPr>
            <w:tcW w:w="1061"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生产能力</w:t>
            </w:r>
          </w:p>
        </w:tc>
        <w:tc>
          <w:tcPr>
            <w:tcW w:w="1061"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用于施工部位</w:t>
            </w:r>
          </w:p>
        </w:tc>
        <w:tc>
          <w:tcPr>
            <w:tcW w:w="1062"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w:t>
            </w:r>
          </w:p>
        </w:tc>
        <w:tc>
          <w:tcPr>
            <w:tcW w:w="1061" w:type="dxa"/>
            <w:noWrap/>
            <w:vAlign w:val="center"/>
          </w:tcPr>
          <w:p>
            <w:pPr>
              <w:spacing w:line="300" w:lineRule="exact"/>
              <w:ind w:firstLine="420" w:firstLineChars="200"/>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2"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2"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2" w:type="dxa"/>
            <w:noWrap/>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N</w:t>
            </w:r>
          </w:p>
        </w:tc>
        <w:tc>
          <w:tcPr>
            <w:tcW w:w="1061"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2"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2"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1" w:type="dxa"/>
            <w:noWrap/>
            <w:vAlign w:val="center"/>
          </w:tcPr>
          <w:p>
            <w:pPr>
              <w:spacing w:line="300" w:lineRule="exact"/>
              <w:jc w:val="center"/>
              <w:rPr>
                <w:rFonts w:ascii="宋体" w:hAnsi="宋体"/>
                <w:color w:val="auto"/>
                <w:szCs w:val="21"/>
                <w:highlight w:val="none"/>
              </w:rPr>
            </w:pPr>
          </w:p>
        </w:tc>
        <w:tc>
          <w:tcPr>
            <w:tcW w:w="1062" w:type="dxa"/>
            <w:noWrap/>
            <w:vAlign w:val="center"/>
          </w:tcPr>
          <w:p>
            <w:pPr>
              <w:spacing w:line="300" w:lineRule="exact"/>
              <w:jc w:val="center"/>
              <w:rPr>
                <w:rFonts w:ascii="宋体" w:hAnsi="宋体"/>
                <w:color w:val="auto"/>
                <w:szCs w:val="21"/>
                <w:highlight w:val="none"/>
              </w:rPr>
            </w:pPr>
          </w:p>
        </w:tc>
      </w:tr>
    </w:tbl>
    <w:p>
      <w:pPr>
        <w:spacing w:line="400" w:lineRule="exact"/>
        <w:rPr>
          <w:color w:val="auto"/>
          <w:highlight w:val="none"/>
        </w:rPr>
      </w:pPr>
    </w:p>
    <w:p>
      <w:pPr>
        <w:spacing w:line="400" w:lineRule="exact"/>
        <w:rPr>
          <w:color w:val="auto"/>
          <w:highlight w:val="none"/>
        </w:rPr>
      </w:pPr>
      <w:r>
        <w:rPr>
          <w:color w:val="auto"/>
          <w:highlight w:val="none"/>
        </w:rPr>
        <w:t>附表二：拟配备本工程的试验和检测仪器设备表</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16"/>
        <w:gridCol w:w="1216"/>
        <w:gridCol w:w="1216"/>
        <w:gridCol w:w="1216"/>
        <w:gridCol w:w="1216"/>
        <w:gridCol w:w="1216"/>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序号</w:t>
            </w:r>
          </w:p>
        </w:tc>
        <w:tc>
          <w:tcPr>
            <w:tcW w:w="12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仪器设备</w:t>
            </w:r>
          </w:p>
          <w:p>
            <w:pPr>
              <w:spacing w:line="300" w:lineRule="exact"/>
              <w:jc w:val="center"/>
              <w:rPr>
                <w:rFonts w:ascii="宋体" w:hAnsi="宋体"/>
                <w:color w:val="auto"/>
                <w:szCs w:val="21"/>
                <w:highlight w:val="none"/>
              </w:rPr>
            </w:pPr>
            <w:r>
              <w:rPr>
                <w:rFonts w:ascii="宋体" w:hAnsi="宋体"/>
                <w:color w:val="auto"/>
                <w:szCs w:val="21"/>
                <w:highlight w:val="none"/>
              </w:rPr>
              <w:t>名称</w:t>
            </w:r>
          </w:p>
        </w:tc>
        <w:tc>
          <w:tcPr>
            <w:tcW w:w="12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型号</w:t>
            </w:r>
          </w:p>
          <w:p>
            <w:pPr>
              <w:spacing w:line="300" w:lineRule="exact"/>
              <w:jc w:val="center"/>
              <w:rPr>
                <w:rFonts w:ascii="宋体" w:hAnsi="宋体"/>
                <w:color w:val="auto"/>
                <w:szCs w:val="21"/>
                <w:highlight w:val="none"/>
              </w:rPr>
            </w:pPr>
            <w:r>
              <w:rPr>
                <w:rFonts w:ascii="宋体" w:hAnsi="宋体"/>
                <w:color w:val="auto"/>
                <w:szCs w:val="21"/>
                <w:highlight w:val="none"/>
              </w:rPr>
              <w:t>规格</w:t>
            </w:r>
          </w:p>
        </w:tc>
        <w:tc>
          <w:tcPr>
            <w:tcW w:w="12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数量</w:t>
            </w:r>
          </w:p>
        </w:tc>
        <w:tc>
          <w:tcPr>
            <w:tcW w:w="12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国别</w:t>
            </w:r>
          </w:p>
          <w:p>
            <w:pPr>
              <w:spacing w:line="300" w:lineRule="exact"/>
              <w:jc w:val="center"/>
              <w:rPr>
                <w:rFonts w:ascii="宋体" w:hAnsi="宋体"/>
                <w:color w:val="auto"/>
                <w:szCs w:val="21"/>
                <w:highlight w:val="none"/>
              </w:rPr>
            </w:pPr>
            <w:r>
              <w:rPr>
                <w:rFonts w:ascii="宋体" w:hAnsi="宋体"/>
                <w:color w:val="auto"/>
                <w:szCs w:val="21"/>
                <w:highlight w:val="none"/>
              </w:rPr>
              <w:t>产地</w:t>
            </w:r>
          </w:p>
        </w:tc>
        <w:tc>
          <w:tcPr>
            <w:tcW w:w="12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制造年份</w:t>
            </w:r>
          </w:p>
        </w:tc>
        <w:tc>
          <w:tcPr>
            <w:tcW w:w="1216" w:type="dxa"/>
            <w:noWrap/>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已</w:t>
            </w:r>
            <w:r>
              <w:rPr>
                <w:rFonts w:ascii="宋体" w:hAnsi="宋体"/>
                <w:color w:val="auto"/>
                <w:szCs w:val="21"/>
                <w:highlight w:val="none"/>
              </w:rPr>
              <w:t>使用</w:t>
            </w:r>
          </w:p>
          <w:p>
            <w:pPr>
              <w:spacing w:line="300" w:lineRule="exact"/>
              <w:jc w:val="center"/>
              <w:rPr>
                <w:rFonts w:ascii="宋体" w:hAnsi="宋体"/>
                <w:color w:val="auto"/>
                <w:szCs w:val="21"/>
                <w:highlight w:val="none"/>
              </w:rPr>
            </w:pPr>
            <w:r>
              <w:rPr>
                <w:rFonts w:ascii="宋体" w:hAnsi="宋体"/>
                <w:color w:val="auto"/>
                <w:szCs w:val="21"/>
                <w:highlight w:val="none"/>
              </w:rPr>
              <w:t>台时数</w:t>
            </w:r>
          </w:p>
        </w:tc>
        <w:tc>
          <w:tcPr>
            <w:tcW w:w="12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用途</w:t>
            </w:r>
          </w:p>
        </w:tc>
        <w:tc>
          <w:tcPr>
            <w:tcW w:w="1216"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w:t>
            </w: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tcPr>
          <w:p>
            <w:pPr>
              <w:spacing w:line="3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N</w:t>
            </w: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vAlign w:val="center"/>
          </w:tcPr>
          <w:p>
            <w:pPr>
              <w:spacing w:line="300" w:lineRule="exact"/>
              <w:ind w:firstLine="420" w:firstLineChars="200"/>
              <w:rPr>
                <w:rFonts w:ascii="宋体" w:hAnsi="宋体"/>
                <w:color w:val="auto"/>
                <w:szCs w:val="21"/>
                <w:highlight w:val="none"/>
              </w:rPr>
            </w:pPr>
          </w:p>
        </w:tc>
        <w:tc>
          <w:tcPr>
            <w:tcW w:w="1216" w:type="dxa"/>
            <w:noWrap/>
          </w:tcPr>
          <w:p>
            <w:pPr>
              <w:spacing w:line="300" w:lineRule="exact"/>
              <w:ind w:firstLine="420" w:firstLineChars="200"/>
              <w:rPr>
                <w:rFonts w:ascii="宋体" w:hAnsi="宋体"/>
                <w:color w:val="auto"/>
                <w:szCs w:val="21"/>
                <w:highlight w:val="none"/>
              </w:rPr>
            </w:pPr>
          </w:p>
        </w:tc>
      </w:tr>
    </w:tbl>
    <w:p>
      <w:pPr>
        <w:spacing w:line="400" w:lineRule="exact"/>
        <w:rPr>
          <w:color w:val="auto"/>
          <w:highlight w:val="none"/>
        </w:rPr>
      </w:pPr>
    </w:p>
    <w:p>
      <w:pPr>
        <w:spacing w:line="400" w:lineRule="exact"/>
        <w:rPr>
          <w:color w:val="auto"/>
          <w:szCs w:val="21"/>
          <w:highlight w:val="none"/>
        </w:rPr>
      </w:pPr>
      <w:r>
        <w:rPr>
          <w:color w:val="auto"/>
          <w:highlight w:val="none"/>
        </w:rPr>
        <w:t>附表三：劳动力计划表</w:t>
      </w:r>
    </w:p>
    <w:p>
      <w:pPr>
        <w:spacing w:line="400" w:lineRule="exact"/>
        <w:ind w:firstLine="7245" w:firstLineChars="3450"/>
        <w:rPr>
          <w:color w:val="auto"/>
          <w:szCs w:val="21"/>
          <w:highlight w:val="none"/>
        </w:rPr>
      </w:pPr>
      <w:r>
        <w:rPr>
          <w:color w:val="auto"/>
          <w:szCs w:val="21"/>
          <w:highlight w:val="none"/>
        </w:rPr>
        <w:t xml:space="preserve">    单位：人</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工种</w:t>
            </w:r>
          </w:p>
        </w:tc>
        <w:tc>
          <w:tcPr>
            <w:tcW w:w="9515" w:type="dxa"/>
            <w:gridSpan w:val="7"/>
            <w:noWrap/>
            <w:vAlign w:val="center"/>
          </w:tcPr>
          <w:p>
            <w:pPr>
              <w:spacing w:line="300" w:lineRule="exact"/>
              <w:jc w:val="center"/>
              <w:rPr>
                <w:rFonts w:ascii="宋体" w:hAnsi="宋体"/>
                <w:color w:val="auto"/>
                <w:szCs w:val="21"/>
                <w:highlight w:val="none"/>
              </w:rPr>
            </w:pPr>
            <w:r>
              <w:rPr>
                <w:rFonts w:ascii="宋体" w:hAnsi="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w:t>
            </w:r>
          </w:p>
        </w:tc>
        <w:tc>
          <w:tcPr>
            <w:tcW w:w="961" w:type="dxa"/>
            <w:noWrap/>
            <w:vAlign w:val="center"/>
          </w:tcPr>
          <w:p>
            <w:pPr>
              <w:spacing w:line="300" w:lineRule="exact"/>
              <w:rPr>
                <w:rFonts w:ascii="宋体" w:hAnsi="宋体"/>
                <w:color w:val="auto"/>
                <w:szCs w:val="21"/>
                <w:highlight w:val="none"/>
              </w:rPr>
            </w:pPr>
          </w:p>
        </w:tc>
        <w:tc>
          <w:tcPr>
            <w:tcW w:w="1257" w:type="dxa"/>
            <w:noWrap/>
            <w:vAlign w:val="center"/>
          </w:tcPr>
          <w:p>
            <w:pPr>
              <w:spacing w:line="300" w:lineRule="exact"/>
              <w:rPr>
                <w:rFonts w:ascii="宋体" w:hAnsi="宋体"/>
                <w:color w:val="auto"/>
                <w:szCs w:val="21"/>
                <w:highlight w:val="none"/>
              </w:rPr>
            </w:pPr>
          </w:p>
        </w:tc>
        <w:tc>
          <w:tcPr>
            <w:tcW w:w="1258" w:type="dxa"/>
            <w:noWrap/>
            <w:vAlign w:val="center"/>
          </w:tcPr>
          <w:p>
            <w:pPr>
              <w:spacing w:line="300" w:lineRule="exact"/>
              <w:rPr>
                <w:rFonts w:ascii="宋体" w:hAnsi="宋体"/>
                <w:color w:val="auto"/>
                <w:szCs w:val="21"/>
                <w:highlight w:val="none"/>
              </w:rPr>
            </w:pPr>
          </w:p>
        </w:tc>
        <w:tc>
          <w:tcPr>
            <w:tcW w:w="1257" w:type="dxa"/>
            <w:noWrap/>
            <w:vAlign w:val="center"/>
          </w:tcPr>
          <w:p>
            <w:pPr>
              <w:spacing w:line="300" w:lineRule="exact"/>
              <w:rPr>
                <w:rFonts w:ascii="宋体" w:hAnsi="宋体"/>
                <w:color w:val="auto"/>
                <w:szCs w:val="21"/>
                <w:highlight w:val="none"/>
              </w:rPr>
            </w:pPr>
          </w:p>
        </w:tc>
        <w:tc>
          <w:tcPr>
            <w:tcW w:w="1258" w:type="dxa"/>
            <w:noWrap/>
            <w:vAlign w:val="center"/>
          </w:tcPr>
          <w:p>
            <w:pPr>
              <w:spacing w:line="300" w:lineRule="exact"/>
              <w:rPr>
                <w:rFonts w:ascii="宋体" w:hAnsi="宋体"/>
                <w:color w:val="auto"/>
                <w:szCs w:val="21"/>
                <w:highlight w:val="none"/>
              </w:rPr>
            </w:pPr>
          </w:p>
        </w:tc>
        <w:tc>
          <w:tcPr>
            <w:tcW w:w="1257" w:type="dxa"/>
            <w:noWrap/>
            <w:vAlign w:val="center"/>
          </w:tcPr>
          <w:p>
            <w:pPr>
              <w:spacing w:line="300" w:lineRule="exact"/>
              <w:rPr>
                <w:rFonts w:ascii="宋体" w:hAnsi="宋体"/>
                <w:color w:val="auto"/>
                <w:szCs w:val="21"/>
                <w:highlight w:val="none"/>
              </w:rPr>
            </w:pPr>
          </w:p>
        </w:tc>
        <w:tc>
          <w:tcPr>
            <w:tcW w:w="2267" w:type="dxa"/>
            <w:noWrap/>
            <w:vAlign w:val="center"/>
          </w:tcPr>
          <w:p>
            <w:pPr>
              <w:spacing w:line="3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N</w:t>
            </w:r>
          </w:p>
        </w:tc>
        <w:tc>
          <w:tcPr>
            <w:tcW w:w="961" w:type="dxa"/>
            <w:noWrap/>
            <w:vAlign w:val="center"/>
          </w:tcPr>
          <w:p>
            <w:pPr>
              <w:spacing w:line="300" w:lineRule="exact"/>
              <w:rPr>
                <w:rFonts w:ascii="宋体" w:hAnsi="宋体"/>
                <w:color w:val="auto"/>
                <w:szCs w:val="21"/>
                <w:highlight w:val="none"/>
              </w:rPr>
            </w:pPr>
          </w:p>
        </w:tc>
        <w:tc>
          <w:tcPr>
            <w:tcW w:w="1257" w:type="dxa"/>
            <w:noWrap/>
            <w:vAlign w:val="center"/>
          </w:tcPr>
          <w:p>
            <w:pPr>
              <w:spacing w:line="300" w:lineRule="exact"/>
              <w:rPr>
                <w:rFonts w:ascii="宋体" w:hAnsi="宋体"/>
                <w:color w:val="auto"/>
                <w:szCs w:val="21"/>
                <w:highlight w:val="none"/>
              </w:rPr>
            </w:pPr>
          </w:p>
        </w:tc>
        <w:tc>
          <w:tcPr>
            <w:tcW w:w="1258" w:type="dxa"/>
            <w:noWrap/>
            <w:vAlign w:val="center"/>
          </w:tcPr>
          <w:p>
            <w:pPr>
              <w:spacing w:line="300" w:lineRule="exact"/>
              <w:rPr>
                <w:rFonts w:ascii="宋体" w:hAnsi="宋体"/>
                <w:color w:val="auto"/>
                <w:szCs w:val="21"/>
                <w:highlight w:val="none"/>
              </w:rPr>
            </w:pPr>
          </w:p>
        </w:tc>
        <w:tc>
          <w:tcPr>
            <w:tcW w:w="1257" w:type="dxa"/>
            <w:noWrap/>
            <w:vAlign w:val="center"/>
          </w:tcPr>
          <w:p>
            <w:pPr>
              <w:spacing w:line="300" w:lineRule="exact"/>
              <w:rPr>
                <w:rFonts w:ascii="宋体" w:hAnsi="宋体"/>
                <w:color w:val="auto"/>
                <w:szCs w:val="21"/>
                <w:highlight w:val="none"/>
              </w:rPr>
            </w:pPr>
          </w:p>
        </w:tc>
        <w:tc>
          <w:tcPr>
            <w:tcW w:w="1258" w:type="dxa"/>
            <w:noWrap/>
            <w:vAlign w:val="center"/>
          </w:tcPr>
          <w:p>
            <w:pPr>
              <w:spacing w:line="300" w:lineRule="exact"/>
              <w:rPr>
                <w:rFonts w:ascii="宋体" w:hAnsi="宋体"/>
                <w:color w:val="auto"/>
                <w:szCs w:val="21"/>
                <w:highlight w:val="none"/>
              </w:rPr>
            </w:pPr>
          </w:p>
        </w:tc>
        <w:tc>
          <w:tcPr>
            <w:tcW w:w="1257" w:type="dxa"/>
            <w:noWrap/>
            <w:vAlign w:val="center"/>
          </w:tcPr>
          <w:p>
            <w:pPr>
              <w:spacing w:line="300" w:lineRule="exact"/>
              <w:rPr>
                <w:rFonts w:ascii="宋体" w:hAnsi="宋体"/>
                <w:color w:val="auto"/>
                <w:szCs w:val="21"/>
                <w:highlight w:val="none"/>
              </w:rPr>
            </w:pPr>
          </w:p>
        </w:tc>
        <w:tc>
          <w:tcPr>
            <w:tcW w:w="2267" w:type="dxa"/>
            <w:noWrap/>
            <w:vAlign w:val="center"/>
          </w:tcPr>
          <w:p>
            <w:pPr>
              <w:spacing w:line="300" w:lineRule="exact"/>
              <w:rPr>
                <w:rFonts w:ascii="宋体" w:hAnsi="宋体"/>
                <w:color w:val="auto"/>
                <w:szCs w:val="21"/>
                <w:highlight w:val="none"/>
              </w:rPr>
            </w:pPr>
          </w:p>
        </w:tc>
      </w:tr>
    </w:tbl>
    <w:p>
      <w:pPr>
        <w:spacing w:line="400" w:lineRule="exact"/>
        <w:rPr>
          <w:rFonts w:ascii="宋体" w:hAnsi="宋体"/>
          <w:color w:val="auto"/>
          <w:highlight w:val="none"/>
        </w:rPr>
      </w:pPr>
    </w:p>
    <w:p>
      <w:pPr>
        <w:spacing w:line="400" w:lineRule="exact"/>
        <w:rPr>
          <w:rFonts w:ascii="宋体" w:hAnsi="宋体"/>
          <w:color w:val="auto"/>
          <w:highlight w:val="none"/>
        </w:rPr>
      </w:pPr>
      <w:r>
        <w:rPr>
          <w:rFonts w:ascii="宋体" w:hAnsi="宋体"/>
          <w:color w:val="auto"/>
          <w:highlight w:val="none"/>
        </w:rPr>
        <w:t>附表四：计划开、竣工日期和施工进度网络图</w:t>
      </w:r>
    </w:p>
    <w:p>
      <w:pPr>
        <w:spacing w:line="400" w:lineRule="exact"/>
        <w:rPr>
          <w:rFonts w:ascii="宋体" w:hAnsi="宋体"/>
          <w:color w:val="auto"/>
          <w:highlight w:val="none"/>
        </w:rPr>
      </w:pPr>
      <w:r>
        <w:rPr>
          <w:rFonts w:ascii="宋体" w:hAnsi="宋体"/>
          <w:color w:val="auto"/>
          <w:highlight w:val="none"/>
        </w:rPr>
        <w:t>1.</w:t>
      </w:r>
      <w:r>
        <w:rPr>
          <w:rFonts w:hint="eastAsia" w:ascii="宋体" w:hAnsi="宋体"/>
          <w:color w:val="auto"/>
          <w:highlight w:val="none"/>
        </w:rPr>
        <w:t>竞标人</w:t>
      </w:r>
      <w:r>
        <w:rPr>
          <w:rFonts w:ascii="宋体" w:hAnsi="宋体"/>
          <w:color w:val="auto"/>
          <w:highlight w:val="none"/>
        </w:rPr>
        <w:t>应提交的施工进度网络图或施工进度表，说明按</w:t>
      </w:r>
      <w:r>
        <w:rPr>
          <w:rFonts w:hint="eastAsia" w:ascii="宋体" w:hAnsi="宋体"/>
          <w:color w:val="auto"/>
          <w:highlight w:val="none"/>
        </w:rPr>
        <w:t>《竞争性磋商文件》</w:t>
      </w:r>
      <w:r>
        <w:rPr>
          <w:rFonts w:ascii="宋体" w:hAnsi="宋体"/>
          <w:color w:val="auto"/>
          <w:highlight w:val="none"/>
        </w:rPr>
        <w:t>要求的工期进行施工的各个关键日期。</w:t>
      </w:r>
      <w:r>
        <w:rPr>
          <w:rFonts w:hint="eastAsia" w:ascii="宋体" w:hAnsi="宋体"/>
          <w:color w:val="auto"/>
          <w:highlight w:val="none"/>
        </w:rPr>
        <w:t>成交</w:t>
      </w:r>
      <w:r>
        <w:rPr>
          <w:rFonts w:ascii="宋体" w:hAnsi="宋体"/>
          <w:color w:val="auto"/>
          <w:highlight w:val="none"/>
        </w:rPr>
        <w:t>的</w:t>
      </w:r>
      <w:r>
        <w:rPr>
          <w:rFonts w:hint="eastAsia" w:ascii="宋体" w:hAnsi="宋体"/>
          <w:color w:val="auto"/>
          <w:highlight w:val="none"/>
        </w:rPr>
        <w:t>竞标人</w:t>
      </w:r>
      <w:r>
        <w:rPr>
          <w:rFonts w:ascii="宋体" w:hAnsi="宋体"/>
          <w:color w:val="auto"/>
          <w:highlight w:val="none"/>
        </w:rPr>
        <w:t>还应按合同条件有关条款的要求提交详细的施工进度计划。</w:t>
      </w:r>
    </w:p>
    <w:p>
      <w:pPr>
        <w:spacing w:line="400" w:lineRule="exact"/>
        <w:rPr>
          <w:rFonts w:ascii="宋体" w:hAnsi="宋体"/>
          <w:color w:val="auto"/>
          <w:highlight w:val="none"/>
        </w:rPr>
      </w:pPr>
      <w:r>
        <w:rPr>
          <w:rFonts w:ascii="宋体" w:hAnsi="宋体"/>
          <w:color w:val="auto"/>
          <w:highlight w:val="none"/>
        </w:rPr>
        <w:t>2.施工进度表可采用网络图（或横道图）表示，说明计划开工日期和各分项工程各阶段的完工日期和分包合同签订的日期。</w:t>
      </w:r>
    </w:p>
    <w:p>
      <w:pPr>
        <w:spacing w:line="400" w:lineRule="exact"/>
        <w:rPr>
          <w:rFonts w:ascii="宋体" w:hAnsi="宋体"/>
          <w:color w:val="auto"/>
          <w:highlight w:val="none"/>
        </w:rPr>
      </w:pPr>
      <w:r>
        <w:rPr>
          <w:rFonts w:ascii="宋体" w:hAnsi="宋体"/>
          <w:color w:val="auto"/>
          <w:highlight w:val="none"/>
        </w:rPr>
        <w:t>3.施工进度计划应与施工组织设计相适应。</w:t>
      </w:r>
    </w:p>
    <w:p>
      <w:pPr>
        <w:spacing w:line="400" w:lineRule="exact"/>
        <w:rPr>
          <w:rFonts w:ascii="宋体" w:hAnsi="宋体"/>
          <w:color w:val="auto"/>
          <w:highlight w:val="none"/>
        </w:rPr>
      </w:pPr>
    </w:p>
    <w:p>
      <w:pPr>
        <w:spacing w:line="400" w:lineRule="exact"/>
        <w:rPr>
          <w:rFonts w:ascii="宋体" w:hAnsi="宋体"/>
          <w:color w:val="auto"/>
          <w:highlight w:val="none"/>
        </w:rPr>
      </w:pPr>
      <w:r>
        <w:rPr>
          <w:rFonts w:ascii="宋体" w:hAnsi="宋体"/>
          <w:color w:val="auto"/>
          <w:highlight w:val="none"/>
        </w:rPr>
        <w:t>附表五：施工总平面图</w:t>
      </w:r>
    </w:p>
    <w:p>
      <w:pPr>
        <w:spacing w:line="400" w:lineRule="exact"/>
        <w:rPr>
          <w:rFonts w:ascii="宋体" w:hAnsi="宋体"/>
          <w:color w:val="auto"/>
          <w:highlight w:val="none"/>
        </w:rPr>
      </w:pPr>
      <w:r>
        <w:rPr>
          <w:rFonts w:hint="eastAsia" w:ascii="宋体" w:hAnsi="宋体"/>
          <w:color w:val="auto"/>
          <w:highlight w:val="none"/>
        </w:rPr>
        <w:t>竞标人</w:t>
      </w:r>
      <w:r>
        <w:rPr>
          <w:rFonts w:ascii="宋体" w:hAnsi="宋体"/>
          <w:color w:val="auto"/>
          <w:highlight w:val="none"/>
        </w:rPr>
        <w:t>应递交一份施工总平面图，绘出现场临时设施布置图表并附文字说明，说明临时设施、加工车间、现场办公、设备及仓储、供电、供水、卫生、生活、道路、消防等设施的情况和布置。</w:t>
      </w:r>
    </w:p>
    <w:p>
      <w:pPr>
        <w:spacing w:line="400" w:lineRule="exact"/>
        <w:rPr>
          <w:rFonts w:ascii="宋体" w:hAnsi="宋体"/>
          <w:color w:val="auto"/>
          <w:highlight w:val="none"/>
        </w:rPr>
      </w:pPr>
    </w:p>
    <w:p>
      <w:pPr>
        <w:spacing w:line="400" w:lineRule="exact"/>
        <w:rPr>
          <w:rFonts w:ascii="宋体" w:hAnsi="宋体"/>
          <w:color w:val="auto"/>
          <w:highlight w:val="none"/>
        </w:rPr>
      </w:pPr>
      <w:r>
        <w:rPr>
          <w:rFonts w:ascii="宋体" w:hAnsi="宋体"/>
          <w:color w:val="auto"/>
          <w:highlight w:val="none"/>
        </w:rPr>
        <w:t>附表六：临时用地表</w:t>
      </w:r>
    </w:p>
    <w:p>
      <w:pPr>
        <w:rPr>
          <w:color w:val="auto"/>
          <w:highlight w:val="none"/>
        </w:rPr>
      </w:pP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5"/>
        <w:gridCol w:w="2565"/>
        <w:gridCol w:w="256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5" w:type="dxa"/>
            <w:noWrap/>
            <w:vAlign w:val="center"/>
          </w:tcPr>
          <w:p>
            <w:pPr>
              <w:spacing w:line="300" w:lineRule="exact"/>
              <w:jc w:val="center"/>
              <w:rPr>
                <w:color w:val="auto"/>
                <w:highlight w:val="none"/>
              </w:rPr>
            </w:pPr>
            <w:r>
              <w:rPr>
                <w:color w:val="auto"/>
                <w:szCs w:val="21"/>
                <w:highlight w:val="none"/>
              </w:rPr>
              <w:t>用途</w:t>
            </w:r>
          </w:p>
        </w:tc>
        <w:tc>
          <w:tcPr>
            <w:tcW w:w="2565" w:type="dxa"/>
            <w:noWrap/>
            <w:vAlign w:val="center"/>
          </w:tcPr>
          <w:p>
            <w:pPr>
              <w:spacing w:line="300" w:lineRule="exact"/>
              <w:jc w:val="center"/>
              <w:rPr>
                <w:color w:val="auto"/>
                <w:highlight w:val="none"/>
              </w:rPr>
            </w:pPr>
            <w:r>
              <w:rPr>
                <w:color w:val="auto"/>
                <w:szCs w:val="21"/>
                <w:highlight w:val="none"/>
              </w:rPr>
              <w:t>面积（平方米）</w:t>
            </w:r>
          </w:p>
        </w:tc>
        <w:tc>
          <w:tcPr>
            <w:tcW w:w="2565" w:type="dxa"/>
            <w:noWrap/>
            <w:vAlign w:val="center"/>
          </w:tcPr>
          <w:p>
            <w:pPr>
              <w:spacing w:line="300" w:lineRule="exact"/>
              <w:jc w:val="center"/>
              <w:rPr>
                <w:color w:val="auto"/>
                <w:highlight w:val="none"/>
              </w:rPr>
            </w:pPr>
            <w:r>
              <w:rPr>
                <w:color w:val="auto"/>
                <w:szCs w:val="21"/>
                <w:highlight w:val="none"/>
              </w:rPr>
              <w:t>位置</w:t>
            </w:r>
          </w:p>
        </w:tc>
        <w:tc>
          <w:tcPr>
            <w:tcW w:w="2565" w:type="dxa"/>
            <w:noWrap/>
            <w:vAlign w:val="center"/>
          </w:tcPr>
          <w:p>
            <w:pPr>
              <w:spacing w:line="300" w:lineRule="exact"/>
              <w:jc w:val="center"/>
              <w:rPr>
                <w:color w:val="auto"/>
                <w:highlight w:val="none"/>
              </w:rPr>
            </w:pPr>
            <w:r>
              <w:rPr>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5"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w:t>
            </w:r>
          </w:p>
        </w:tc>
        <w:tc>
          <w:tcPr>
            <w:tcW w:w="2565" w:type="dxa"/>
            <w:noWrap/>
          </w:tcPr>
          <w:p>
            <w:pPr>
              <w:spacing w:line="300" w:lineRule="exact"/>
              <w:rPr>
                <w:color w:val="auto"/>
                <w:highlight w:val="none"/>
              </w:rPr>
            </w:pPr>
          </w:p>
        </w:tc>
        <w:tc>
          <w:tcPr>
            <w:tcW w:w="2565" w:type="dxa"/>
            <w:noWrap/>
          </w:tcPr>
          <w:p>
            <w:pPr>
              <w:spacing w:line="300" w:lineRule="exact"/>
              <w:rPr>
                <w:color w:val="auto"/>
                <w:highlight w:val="none"/>
              </w:rPr>
            </w:pPr>
          </w:p>
        </w:tc>
        <w:tc>
          <w:tcPr>
            <w:tcW w:w="2565" w:type="dxa"/>
            <w:noWrap/>
          </w:tcPr>
          <w:p>
            <w:pPr>
              <w:spacing w:line="3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565" w:type="dxa"/>
            <w:noWrap/>
            <w:vAlign w:val="center"/>
          </w:tcPr>
          <w:p>
            <w:pPr>
              <w:spacing w:line="300" w:lineRule="exact"/>
              <w:jc w:val="center"/>
              <w:rPr>
                <w:rFonts w:ascii="宋体" w:hAnsi="宋体"/>
                <w:color w:val="auto"/>
                <w:highlight w:val="none"/>
              </w:rPr>
            </w:pPr>
            <w:r>
              <w:rPr>
                <w:rFonts w:hint="eastAsia" w:ascii="宋体" w:hAnsi="宋体"/>
                <w:color w:val="auto"/>
                <w:highlight w:val="none"/>
              </w:rPr>
              <w:t>N</w:t>
            </w:r>
          </w:p>
        </w:tc>
        <w:tc>
          <w:tcPr>
            <w:tcW w:w="2565" w:type="dxa"/>
            <w:noWrap/>
          </w:tcPr>
          <w:p>
            <w:pPr>
              <w:spacing w:line="300" w:lineRule="exact"/>
              <w:rPr>
                <w:color w:val="auto"/>
                <w:highlight w:val="none"/>
              </w:rPr>
            </w:pPr>
          </w:p>
        </w:tc>
        <w:tc>
          <w:tcPr>
            <w:tcW w:w="2565" w:type="dxa"/>
            <w:noWrap/>
          </w:tcPr>
          <w:p>
            <w:pPr>
              <w:spacing w:line="300" w:lineRule="exact"/>
              <w:rPr>
                <w:color w:val="auto"/>
                <w:highlight w:val="none"/>
              </w:rPr>
            </w:pPr>
          </w:p>
        </w:tc>
        <w:tc>
          <w:tcPr>
            <w:tcW w:w="2565" w:type="dxa"/>
            <w:noWrap/>
          </w:tcPr>
          <w:p>
            <w:pPr>
              <w:spacing w:line="300" w:lineRule="exact"/>
              <w:rPr>
                <w:color w:val="auto"/>
                <w:highlight w:val="none"/>
              </w:rPr>
            </w:pPr>
          </w:p>
        </w:tc>
      </w:tr>
    </w:tbl>
    <w:p>
      <w:pPr>
        <w:spacing w:line="400" w:lineRule="exact"/>
        <w:rPr>
          <w:color w:val="auto"/>
          <w:highlight w:val="none"/>
        </w:rPr>
      </w:pPr>
    </w:p>
    <w:p>
      <w:pPr>
        <w:spacing w:line="480" w:lineRule="auto"/>
        <w:jc w:val="center"/>
        <w:rPr>
          <w:rFonts w:ascii="宋体" w:hAnsi="宋体" w:cs="宋体"/>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spacing w:line="480" w:lineRule="auto"/>
        <w:rPr>
          <w:rFonts w:ascii="宋体" w:hAnsi="宋体" w:cs="宋体"/>
          <w:b/>
          <w:color w:val="auto"/>
          <w:sz w:val="24"/>
          <w:highlight w:val="none"/>
        </w:rPr>
      </w:pPr>
    </w:p>
    <w:p>
      <w:pPr>
        <w:pStyle w:val="3"/>
        <w:spacing w:before="0"/>
        <w:jc w:val="center"/>
        <w:rPr>
          <w:rFonts w:hAnsi="宋体"/>
          <w:bCs w:val="0"/>
          <w:color w:val="auto"/>
          <w:sz w:val="28"/>
          <w:szCs w:val="28"/>
          <w:highlight w:val="none"/>
        </w:rPr>
      </w:pPr>
      <w:bookmarkStart w:id="1002" w:name="_Toc30535"/>
      <w:bookmarkStart w:id="1003" w:name="_Toc86935945"/>
      <w:r>
        <w:rPr>
          <w:rFonts w:hint="eastAsia" w:hAnsi="宋体"/>
          <w:bCs w:val="0"/>
          <w:color w:val="auto"/>
          <w:sz w:val="28"/>
          <w:szCs w:val="28"/>
          <w:highlight w:val="none"/>
        </w:rPr>
        <w:t>四、其他资料（如有）</w:t>
      </w:r>
      <w:bookmarkEnd w:id="1002"/>
      <w:bookmarkEnd w:id="1003"/>
    </w:p>
    <w:p>
      <w:pPr>
        <w:spacing w:line="400" w:lineRule="exact"/>
        <w:outlineLvl w:val="4"/>
        <w:rPr>
          <w:rFonts w:ascii="宋体" w:hAnsi="宋体" w:cs="宋体"/>
          <w:b/>
          <w:color w:val="auto"/>
          <w:szCs w:val="20"/>
          <w:highlight w:val="none"/>
        </w:rPr>
      </w:pPr>
      <w:r>
        <w:rPr>
          <w:rFonts w:hint="eastAsia" w:ascii="宋体" w:hAnsi="宋体" w:cs="宋体"/>
          <w:b/>
          <w:color w:val="auto"/>
          <w:szCs w:val="20"/>
          <w:highlight w:val="none"/>
        </w:rPr>
        <w:t>附件1：中小企业声明函（格式）</w:t>
      </w: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中小企业声明函（格式）</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本公司郑重声明，根据《政府采购促进中小企业发展管理办法》（财库﹝2020﹞46 号）的规定，本公司参加</w:t>
      </w:r>
      <w:r>
        <w:rPr>
          <w:rFonts w:hint="eastAsia" w:ascii="宋体" w:hAnsi="宋体" w:cs="宋体"/>
          <w:color w:val="auto"/>
          <w:szCs w:val="21"/>
          <w:highlight w:val="none"/>
          <w:u w:val="single"/>
        </w:rPr>
        <w:t xml:space="preserve">    （单位名称）    </w:t>
      </w:r>
      <w:r>
        <w:rPr>
          <w:rFonts w:hint="eastAsia" w:ascii="宋体" w:hAnsi="宋体" w:cs="宋体"/>
          <w:color w:val="auto"/>
          <w:szCs w:val="21"/>
          <w:highlight w:val="none"/>
        </w:rPr>
        <w:t>的</w:t>
      </w:r>
      <w:r>
        <w:rPr>
          <w:rFonts w:hint="eastAsia" w:ascii="宋体" w:hAnsi="宋体" w:cs="宋体"/>
          <w:color w:val="auto"/>
          <w:szCs w:val="21"/>
          <w:highlight w:val="none"/>
          <w:u w:val="single"/>
        </w:rPr>
        <w:t xml:space="preserve">      （项目名称）     </w:t>
      </w:r>
      <w:r>
        <w:rPr>
          <w:rFonts w:hint="eastAsia" w:ascii="宋体" w:hAnsi="宋体" w:cs="宋体"/>
          <w:color w:val="auto"/>
          <w:szCs w:val="21"/>
          <w:highlight w:val="none"/>
        </w:rPr>
        <w:t>采购活动，提供的工程全部由符合政策要求的中小企业建造。相关企业的具体情况如下：</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 xml:space="preserve">  （标的名称）   </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行业；建造商为</w:t>
      </w:r>
      <w:r>
        <w:rPr>
          <w:rFonts w:hint="eastAsia" w:ascii="宋体" w:hAnsi="宋体" w:cs="宋体"/>
          <w:color w:val="auto"/>
          <w:szCs w:val="21"/>
          <w:highlight w:val="none"/>
          <w:u w:val="single"/>
        </w:rPr>
        <w:t xml:space="preserve">  （企业名称）   </w:t>
      </w:r>
      <w:r>
        <w:rPr>
          <w:rFonts w:hint="eastAsia" w:ascii="宋体" w:hAnsi="宋体" w:cs="宋体"/>
          <w:color w:val="auto"/>
          <w:szCs w:val="21"/>
          <w:highlight w:val="none"/>
        </w:rPr>
        <w:t>，从业人员人，营业收入为万元，资产总额为万元,属于</w:t>
      </w:r>
      <w:r>
        <w:rPr>
          <w:rFonts w:hint="eastAsia" w:ascii="宋体" w:hAnsi="宋体" w:cs="宋体"/>
          <w:color w:val="auto"/>
          <w:szCs w:val="21"/>
          <w:highlight w:val="none"/>
          <w:u w:val="single"/>
        </w:rPr>
        <w:t>（中型企业、小型企业或微型企业）</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（标的名称）  </w:t>
      </w:r>
      <w:r>
        <w:rPr>
          <w:rFonts w:hint="eastAsia" w:ascii="宋体" w:hAnsi="宋体" w:cs="宋体"/>
          <w:color w:val="auto"/>
          <w:szCs w:val="21"/>
          <w:highlight w:val="none"/>
        </w:rPr>
        <w:t xml:space="preserve"> ，属于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行业；建造商为</w:t>
      </w:r>
      <w:r>
        <w:rPr>
          <w:rFonts w:hint="eastAsia" w:ascii="宋体" w:hAnsi="宋体" w:cs="宋体"/>
          <w:color w:val="auto"/>
          <w:szCs w:val="21"/>
          <w:highlight w:val="none"/>
          <w:u w:val="single"/>
        </w:rPr>
        <w:t xml:space="preserve">  （企业名称）   </w:t>
      </w:r>
      <w:r>
        <w:rPr>
          <w:rFonts w:hint="eastAsia" w:ascii="宋体" w:hAnsi="宋体" w:cs="宋体"/>
          <w:color w:val="auto"/>
          <w:szCs w:val="21"/>
          <w:highlight w:val="none"/>
        </w:rPr>
        <w:t>，从业人员人，营业收入为万元，资产总额为万元，属于</w:t>
      </w:r>
      <w:r>
        <w:rPr>
          <w:rFonts w:hint="eastAsia" w:ascii="宋体" w:hAnsi="宋体" w:cs="宋体"/>
          <w:color w:val="auto"/>
          <w:szCs w:val="21"/>
          <w:highlight w:val="none"/>
          <w:u w:val="single"/>
        </w:rPr>
        <w:t>（中型企业、小型企业或微型企业）；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spacing w:line="400" w:lineRule="exact"/>
        <w:ind w:left="1120" w:firstLine="420" w:firstLineChars="200"/>
        <w:jc w:val="center"/>
        <w:rPr>
          <w:rFonts w:ascii="宋体" w:hAnsi="宋体" w:cs="宋体"/>
          <w:color w:val="auto"/>
          <w:szCs w:val="21"/>
          <w:highlight w:val="none"/>
        </w:rPr>
      </w:pPr>
    </w:p>
    <w:p>
      <w:pPr>
        <w:spacing w:line="400" w:lineRule="exact"/>
        <w:ind w:left="1120" w:hanging="1120"/>
        <w:jc w:val="center"/>
        <w:rPr>
          <w:rFonts w:ascii="宋体" w:hAnsi="宋体" w:cs="宋体"/>
          <w:color w:val="auto"/>
          <w:szCs w:val="21"/>
          <w:highlight w:val="none"/>
        </w:rPr>
      </w:pPr>
      <w:r>
        <w:rPr>
          <w:rFonts w:hint="eastAsia" w:ascii="宋体" w:hAnsi="宋体" w:cs="宋体"/>
          <w:color w:val="auto"/>
          <w:szCs w:val="21"/>
          <w:highlight w:val="none"/>
        </w:rPr>
        <w:t xml:space="preserve">             企业名称（公章或电子签章）：</w:t>
      </w:r>
    </w:p>
    <w:p>
      <w:pPr>
        <w:spacing w:line="400" w:lineRule="exact"/>
        <w:ind w:left="1120" w:hanging="1120"/>
        <w:jc w:val="center"/>
        <w:rPr>
          <w:rFonts w:ascii="宋体" w:hAnsi="宋体" w:cs="宋体"/>
          <w:b/>
          <w:bCs/>
          <w:color w:val="auto"/>
          <w:szCs w:val="28"/>
          <w:highlight w:val="none"/>
        </w:rPr>
      </w:pPr>
      <w:r>
        <w:rPr>
          <w:rFonts w:hint="eastAsia" w:ascii="宋体" w:hAnsi="宋体" w:cs="宋体"/>
          <w:color w:val="auto"/>
          <w:szCs w:val="21"/>
          <w:highlight w:val="none"/>
        </w:rPr>
        <w:t xml:space="preserve">                 日 期：</w:t>
      </w:r>
      <w:r>
        <w:rPr>
          <w:rFonts w:hint="eastAsia" w:ascii="宋体" w:hAnsi="宋体" w:cs="宋体"/>
          <w:color w:val="auto"/>
          <w:szCs w:val="21"/>
          <w:highlight w:val="none"/>
          <w:u w:val="single"/>
        </w:rPr>
        <w:t xml:space="preserve">      年   月   日</w:t>
      </w:r>
    </w:p>
    <w:p>
      <w:pPr>
        <w:spacing w:line="400" w:lineRule="exact"/>
        <w:ind w:firstLine="420" w:firstLineChars="200"/>
        <w:rPr>
          <w:rFonts w:ascii="宋体" w:hAnsi="宋体" w:cs="宋体"/>
          <w:b/>
          <w:color w:val="auto"/>
          <w:szCs w:val="21"/>
          <w:highlight w:val="none"/>
        </w:rPr>
      </w:pPr>
    </w:p>
    <w:p>
      <w:pPr>
        <w:spacing w:line="320" w:lineRule="exact"/>
        <w:ind w:firstLine="420" w:firstLineChars="200"/>
        <w:rPr>
          <w:rFonts w:ascii="宋体" w:hAnsi="宋体" w:cs="宋体"/>
          <w:b/>
          <w:color w:val="auto"/>
          <w:szCs w:val="21"/>
          <w:highlight w:val="none"/>
        </w:rPr>
      </w:pPr>
    </w:p>
    <w:p>
      <w:pPr>
        <w:spacing w:line="320" w:lineRule="exact"/>
        <w:ind w:firstLine="420" w:firstLineChars="200"/>
        <w:rPr>
          <w:rFonts w:ascii="宋体" w:hAnsi="宋体" w:cs="宋体"/>
          <w:b/>
          <w:color w:val="auto"/>
          <w:szCs w:val="21"/>
          <w:highlight w:val="none"/>
        </w:rPr>
      </w:pPr>
    </w:p>
    <w:p>
      <w:pPr>
        <w:spacing w:line="320" w:lineRule="exact"/>
        <w:ind w:firstLine="420" w:firstLineChars="200"/>
        <w:rPr>
          <w:rFonts w:ascii="宋体" w:hAnsi="宋体" w:cs="宋体"/>
          <w:b/>
          <w:color w:val="auto"/>
          <w:szCs w:val="21"/>
          <w:highlight w:val="none"/>
        </w:rPr>
      </w:pPr>
    </w:p>
    <w:p>
      <w:pPr>
        <w:spacing w:line="320" w:lineRule="exact"/>
        <w:ind w:firstLine="420" w:firstLineChars="200"/>
        <w:rPr>
          <w:rFonts w:ascii="宋体" w:hAnsi="宋体" w:cs="宋体"/>
          <w:b/>
          <w:color w:val="auto"/>
          <w:szCs w:val="21"/>
          <w:highlight w:val="none"/>
        </w:rPr>
      </w:pPr>
    </w:p>
    <w:p>
      <w:pPr>
        <w:widowControl/>
        <w:ind w:firstLine="420" w:firstLineChars="200"/>
        <w:jc w:val="left"/>
        <w:rPr>
          <w:rFonts w:ascii="宋体" w:hAnsi="宋体" w:cs="宋体"/>
          <w:b/>
          <w:bCs/>
          <w:color w:val="auto"/>
          <w:szCs w:val="20"/>
          <w:highlight w:val="none"/>
        </w:rPr>
      </w:pPr>
      <w:r>
        <w:rPr>
          <w:rFonts w:hint="eastAsia" w:ascii="宋体" w:hAnsi="宋体" w:cs="宋体"/>
          <w:b/>
          <w:bCs/>
          <w:color w:val="auto"/>
          <w:szCs w:val="20"/>
          <w:highlight w:val="none"/>
        </w:rPr>
        <w:t>说明：</w:t>
      </w:r>
    </w:p>
    <w:p>
      <w:pPr>
        <w:widowControl/>
        <w:ind w:firstLine="420" w:firstLineChars="200"/>
        <w:jc w:val="left"/>
        <w:rPr>
          <w:rFonts w:ascii="宋体" w:hAnsi="宋体" w:cs="宋体"/>
          <w:b/>
          <w:bCs/>
          <w:color w:val="auto"/>
          <w:szCs w:val="20"/>
          <w:highlight w:val="none"/>
        </w:rPr>
      </w:pPr>
      <w:r>
        <w:rPr>
          <w:rFonts w:hint="eastAsia" w:ascii="宋体" w:hAnsi="宋体" w:cs="宋体"/>
          <w:b/>
          <w:bCs/>
          <w:color w:val="auto"/>
          <w:szCs w:val="20"/>
          <w:highlight w:val="none"/>
        </w:rPr>
        <w:t>1.从业人员、营业收入、资产总额填报上一年度数据，无上一年度数据的新成立公司可不填报。</w:t>
      </w:r>
    </w:p>
    <w:p>
      <w:pPr>
        <w:widowControl/>
        <w:ind w:firstLine="420" w:firstLineChars="200"/>
        <w:jc w:val="left"/>
        <w:rPr>
          <w:rFonts w:ascii="宋体" w:hAnsi="宋体" w:cs="宋体"/>
          <w:b/>
          <w:bCs/>
          <w:color w:val="auto"/>
          <w:szCs w:val="20"/>
          <w:highlight w:val="none"/>
        </w:rPr>
      </w:pPr>
      <w:r>
        <w:rPr>
          <w:rFonts w:hint="eastAsia" w:ascii="宋体" w:hAnsi="宋体" w:cs="宋体"/>
          <w:b/>
          <w:bCs/>
          <w:color w:val="auto"/>
          <w:szCs w:val="20"/>
          <w:highlight w:val="none"/>
        </w:rPr>
        <w:t xml:space="preserve">2.参加政府采购活动的小型、微型企业应当提供《中小企业声明函》。成交供应商的《中小企业声明函》随成交结果一并公告。 </w:t>
      </w:r>
    </w:p>
    <w:p>
      <w:pPr>
        <w:spacing w:line="400" w:lineRule="exact"/>
        <w:ind w:firstLine="420" w:firstLineChars="200"/>
        <w:rPr>
          <w:rFonts w:ascii="宋体" w:hAnsi="宋体" w:cs="宋体"/>
          <w:b/>
          <w:color w:val="auto"/>
          <w:szCs w:val="21"/>
          <w:highlight w:val="none"/>
        </w:rPr>
      </w:pPr>
    </w:p>
    <w:p>
      <w:pPr>
        <w:spacing w:line="400" w:lineRule="exact"/>
        <w:ind w:firstLine="420" w:firstLineChars="200"/>
        <w:rPr>
          <w:rFonts w:ascii="宋体" w:hAnsi="宋体" w:cs="宋体"/>
          <w:b/>
          <w:color w:val="auto"/>
          <w:szCs w:val="21"/>
          <w:highlight w:val="none"/>
        </w:rPr>
      </w:pPr>
      <w:r>
        <w:rPr>
          <w:rFonts w:hint="eastAsia" w:ascii="宋体" w:hAnsi="宋体" w:cs="宋体"/>
          <w:b/>
          <w:color w:val="auto"/>
          <w:szCs w:val="21"/>
          <w:highlight w:val="none"/>
        </w:rPr>
        <w:br w:type="page"/>
      </w:r>
    </w:p>
    <w:p>
      <w:pPr>
        <w:spacing w:line="400" w:lineRule="exact"/>
        <w:outlineLvl w:val="4"/>
        <w:rPr>
          <w:rFonts w:ascii="宋体" w:hAnsi="宋体" w:cs="宋体"/>
          <w:b/>
          <w:color w:val="auto"/>
          <w:szCs w:val="21"/>
          <w:highlight w:val="none"/>
        </w:rPr>
      </w:pPr>
      <w:r>
        <w:rPr>
          <w:rFonts w:hint="eastAsia" w:ascii="宋体" w:hAnsi="宋体" w:cs="宋体"/>
          <w:b/>
          <w:color w:val="auto"/>
          <w:szCs w:val="20"/>
          <w:highlight w:val="none"/>
        </w:rPr>
        <w:t>附件2：</w:t>
      </w:r>
      <w:r>
        <w:rPr>
          <w:rFonts w:hint="eastAsia" w:ascii="宋体" w:hAnsi="宋体" w:cs="宋体"/>
          <w:b/>
          <w:color w:val="auto"/>
          <w:szCs w:val="21"/>
          <w:highlight w:val="none"/>
        </w:rPr>
        <w:t>监狱企业证明文件</w:t>
      </w:r>
    </w:p>
    <w:p>
      <w:pPr>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rPr>
          <w:rFonts w:ascii="宋体" w:hAnsi="宋体" w:cs="宋体"/>
          <w:b/>
          <w:color w:val="auto"/>
          <w:szCs w:val="21"/>
          <w:highlight w:val="none"/>
        </w:rPr>
      </w:pPr>
    </w:p>
    <w:p>
      <w:pPr>
        <w:spacing w:line="400" w:lineRule="exact"/>
        <w:ind w:firstLine="420" w:firstLineChars="200"/>
        <w:rPr>
          <w:rFonts w:ascii="宋体" w:hAnsi="宋体" w:cs="宋体"/>
          <w:b/>
          <w:color w:val="auto"/>
          <w:szCs w:val="21"/>
          <w:highlight w:val="none"/>
        </w:rPr>
      </w:pPr>
      <w:r>
        <w:rPr>
          <w:rFonts w:hint="eastAsia" w:ascii="宋体" w:hAnsi="宋体" w:cs="宋体"/>
          <w:b/>
          <w:color w:val="auto"/>
          <w:szCs w:val="21"/>
          <w:highlight w:val="none"/>
        </w:rPr>
        <w:t>说明：中标（成交）供应商的监狱企业证明文件随中标（成交）结果一并公告。</w:t>
      </w:r>
    </w:p>
    <w:p>
      <w:pPr>
        <w:spacing w:line="400" w:lineRule="exact"/>
        <w:ind w:firstLine="420" w:firstLineChars="200"/>
        <w:rPr>
          <w:rFonts w:ascii="宋体" w:hAnsi="宋体" w:cs="宋体"/>
          <w:b/>
          <w:color w:val="auto"/>
          <w:szCs w:val="21"/>
          <w:highlight w:val="none"/>
        </w:rPr>
      </w:pPr>
    </w:p>
    <w:p>
      <w:pPr>
        <w:spacing w:line="400" w:lineRule="exact"/>
        <w:rPr>
          <w:rFonts w:ascii="宋体" w:hAnsi="宋体" w:cs="宋体"/>
          <w:b/>
          <w:color w:val="auto"/>
          <w:szCs w:val="20"/>
          <w:highlight w:val="none"/>
        </w:rPr>
      </w:pPr>
      <w:r>
        <w:rPr>
          <w:rFonts w:hint="eastAsia" w:ascii="宋体" w:hAnsi="宋体" w:cs="宋体"/>
          <w:b/>
          <w:color w:val="auto"/>
          <w:szCs w:val="20"/>
          <w:highlight w:val="none"/>
        </w:rPr>
        <w:br w:type="page"/>
      </w:r>
    </w:p>
    <w:p>
      <w:pPr>
        <w:spacing w:line="400" w:lineRule="exact"/>
        <w:outlineLvl w:val="4"/>
        <w:rPr>
          <w:rFonts w:ascii="宋体" w:hAnsi="宋体" w:cs="宋体"/>
          <w:b/>
          <w:color w:val="auto"/>
          <w:szCs w:val="20"/>
          <w:highlight w:val="none"/>
        </w:rPr>
      </w:pPr>
      <w:r>
        <w:rPr>
          <w:rFonts w:hint="eastAsia" w:ascii="宋体" w:hAnsi="宋体" w:cs="宋体"/>
          <w:b/>
          <w:color w:val="auto"/>
          <w:szCs w:val="20"/>
          <w:highlight w:val="none"/>
        </w:rPr>
        <w:t>附件3：残疾人福利性单位声明函（格式）</w:t>
      </w:r>
    </w:p>
    <w:p>
      <w:pPr>
        <w:spacing w:line="400" w:lineRule="exact"/>
        <w:rPr>
          <w:rFonts w:ascii="宋体" w:hAnsi="宋体" w:cs="宋体"/>
          <w:b/>
          <w:color w:val="auto"/>
          <w:sz w:val="32"/>
          <w:szCs w:val="20"/>
          <w:highlight w:val="none"/>
        </w:rPr>
      </w:pPr>
    </w:p>
    <w:p>
      <w:pPr>
        <w:jc w:val="center"/>
        <w:rPr>
          <w:rFonts w:ascii="宋体" w:hAnsi="宋体" w:cs="宋体"/>
          <w:b/>
          <w:color w:val="auto"/>
          <w:sz w:val="30"/>
          <w:szCs w:val="30"/>
          <w:highlight w:val="none"/>
        </w:rPr>
      </w:pPr>
      <w:bookmarkStart w:id="1004" w:name="OLE_LINK13"/>
      <w:bookmarkStart w:id="1005" w:name="OLE_LINK14"/>
      <w:r>
        <w:rPr>
          <w:rFonts w:hint="eastAsia" w:ascii="宋体" w:hAnsi="宋体" w:cs="宋体"/>
          <w:b/>
          <w:color w:val="auto"/>
          <w:sz w:val="30"/>
          <w:szCs w:val="30"/>
          <w:highlight w:val="none"/>
        </w:rPr>
        <w:t>残疾人福利性单位声明函（格式）</w:t>
      </w:r>
    </w:p>
    <w:bookmarkEnd w:id="1004"/>
    <w:bookmarkEnd w:id="1005"/>
    <w:p>
      <w:pPr>
        <w:spacing w:line="400" w:lineRule="exact"/>
        <w:rPr>
          <w:rFonts w:ascii="宋体" w:hAnsi="宋体" w:cs="宋体"/>
          <w:b/>
          <w:color w:val="auto"/>
          <w:spacing w:val="6"/>
          <w:sz w:val="30"/>
          <w:szCs w:val="30"/>
          <w:highlight w:val="none"/>
        </w:rPr>
      </w:pPr>
    </w:p>
    <w:p>
      <w:pPr>
        <w:spacing w:line="400"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w:t>
      </w:r>
      <w:r>
        <w:rPr>
          <w:rFonts w:hint="eastAsia" w:ascii="宋体" w:hAnsi="宋体" w:cs="宋体"/>
          <w:color w:val="auto"/>
          <w:spacing w:val="6"/>
          <w:szCs w:val="21"/>
          <w:highlight w:val="none"/>
          <w:u w:val="single"/>
        </w:rPr>
        <w:t xml:space="preserve">     （采购人名称）     </w:t>
      </w:r>
      <w:r>
        <w:rPr>
          <w:rFonts w:hint="eastAsia" w:ascii="宋体" w:hAnsi="宋体" w:cs="宋体"/>
          <w:color w:val="auto"/>
          <w:spacing w:val="6"/>
          <w:szCs w:val="21"/>
          <w:highlight w:val="none"/>
        </w:rPr>
        <w:t>的</w:t>
      </w:r>
      <w:r>
        <w:rPr>
          <w:rFonts w:hint="eastAsia" w:ascii="宋体" w:hAnsi="宋体" w:cs="宋体"/>
          <w:color w:val="auto"/>
          <w:spacing w:val="6"/>
          <w:szCs w:val="21"/>
          <w:highlight w:val="none"/>
          <w:u w:val="single"/>
        </w:rPr>
        <w:t xml:space="preserve">    （项目名称）     </w:t>
      </w:r>
      <w:r>
        <w:rPr>
          <w:rFonts w:hint="eastAsia" w:ascii="宋体" w:hAnsi="宋体" w:cs="宋体"/>
          <w:color w:val="auto"/>
          <w:spacing w:val="6"/>
          <w:szCs w:val="21"/>
          <w:highlight w:val="none"/>
        </w:rPr>
        <w:t>采购活动提供本单位制造的货物，或者提供其他残疾人福利性单位制造的货物（不包括使用非残疾人福利性单位注册商标的货物）。</w:t>
      </w:r>
    </w:p>
    <w:p>
      <w:pPr>
        <w:spacing w:line="400"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400" w:lineRule="exact"/>
        <w:ind w:firstLine="444" w:firstLineChars="200"/>
        <w:rPr>
          <w:rFonts w:ascii="宋体" w:hAnsi="宋体" w:cs="宋体"/>
          <w:color w:val="auto"/>
          <w:spacing w:val="6"/>
          <w:szCs w:val="21"/>
          <w:highlight w:val="none"/>
        </w:rPr>
      </w:pPr>
    </w:p>
    <w:p>
      <w:pPr>
        <w:spacing w:line="400" w:lineRule="exact"/>
        <w:ind w:firstLine="444" w:firstLineChars="200"/>
        <w:rPr>
          <w:rFonts w:ascii="宋体" w:hAnsi="宋体" w:cs="宋体"/>
          <w:color w:val="auto"/>
          <w:spacing w:val="6"/>
          <w:szCs w:val="21"/>
          <w:highlight w:val="none"/>
        </w:rPr>
      </w:pPr>
    </w:p>
    <w:p>
      <w:pPr>
        <w:spacing w:line="400" w:lineRule="exact"/>
        <w:ind w:firstLine="2940" w:firstLineChars="1400"/>
        <w:rPr>
          <w:rFonts w:ascii="宋体" w:hAnsi="宋体" w:cs="宋体"/>
          <w:color w:val="auto"/>
          <w:szCs w:val="21"/>
          <w:highlight w:val="none"/>
          <w:u w:val="single"/>
        </w:rPr>
      </w:pPr>
      <w:r>
        <w:rPr>
          <w:rFonts w:hint="eastAsia" w:ascii="宋体" w:hAnsi="宋体" w:cs="宋体"/>
          <w:color w:val="auto"/>
          <w:szCs w:val="21"/>
          <w:highlight w:val="none"/>
        </w:rPr>
        <w:t>单位名称（公章或电子签章）：</w:t>
      </w:r>
    </w:p>
    <w:p>
      <w:pPr>
        <w:spacing w:line="400" w:lineRule="exact"/>
        <w:ind w:firstLine="2940" w:firstLineChars="1400"/>
        <w:rPr>
          <w:rFonts w:ascii="宋体" w:hAnsi="宋体" w:cs="宋体"/>
          <w:b/>
          <w:bCs/>
          <w:color w:val="auto"/>
          <w:szCs w:val="28"/>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年   月   日</w:t>
      </w:r>
    </w:p>
    <w:p>
      <w:pPr>
        <w:spacing w:line="400" w:lineRule="exact"/>
        <w:rPr>
          <w:rFonts w:ascii="宋体" w:hAnsi="宋体" w:cs="宋体"/>
          <w:color w:val="auto"/>
          <w:szCs w:val="21"/>
          <w:highlight w:val="none"/>
          <w:u w:val="single"/>
        </w:rPr>
      </w:pPr>
    </w:p>
    <w:p>
      <w:pPr>
        <w:widowControl/>
        <w:ind w:firstLine="420" w:firstLineChars="200"/>
        <w:jc w:val="left"/>
        <w:rPr>
          <w:rFonts w:ascii="宋体" w:hAnsi="宋体" w:cs="宋体"/>
          <w:b/>
          <w:bCs/>
          <w:color w:val="auto"/>
          <w:szCs w:val="20"/>
          <w:highlight w:val="none"/>
        </w:rPr>
      </w:pPr>
    </w:p>
    <w:p>
      <w:pPr>
        <w:widowControl/>
        <w:ind w:firstLine="420" w:firstLineChars="200"/>
        <w:jc w:val="left"/>
        <w:rPr>
          <w:rFonts w:ascii="宋体" w:hAnsi="宋体" w:cs="宋体"/>
          <w:b/>
          <w:bCs/>
          <w:color w:val="auto"/>
          <w:szCs w:val="20"/>
          <w:highlight w:val="none"/>
        </w:rPr>
      </w:pPr>
    </w:p>
    <w:p>
      <w:pPr>
        <w:widowControl/>
        <w:ind w:firstLine="420" w:firstLineChars="200"/>
        <w:jc w:val="left"/>
        <w:rPr>
          <w:rFonts w:ascii="宋体" w:hAnsi="宋体" w:cs="宋体"/>
          <w:b/>
          <w:bCs/>
          <w:color w:val="auto"/>
          <w:szCs w:val="20"/>
          <w:highlight w:val="none"/>
        </w:rPr>
      </w:pPr>
      <w:r>
        <w:rPr>
          <w:rFonts w:hint="eastAsia" w:ascii="宋体" w:hAnsi="宋体" w:cs="宋体"/>
          <w:b/>
          <w:bCs/>
          <w:color w:val="auto"/>
          <w:szCs w:val="20"/>
          <w:highlight w:val="none"/>
        </w:rPr>
        <w:t>说明：参加政府采购活动的</w:t>
      </w:r>
      <w:r>
        <w:rPr>
          <w:rFonts w:hint="eastAsia" w:ascii="宋体" w:hAnsi="宋体" w:cs="宋体"/>
          <w:b/>
          <w:color w:val="auto"/>
          <w:highlight w:val="none"/>
        </w:rPr>
        <w:t>残疾人福利性单位</w:t>
      </w:r>
      <w:r>
        <w:rPr>
          <w:rFonts w:hint="eastAsia" w:ascii="宋体" w:hAnsi="宋体" w:cs="宋体"/>
          <w:b/>
          <w:bCs/>
          <w:color w:val="auto"/>
          <w:szCs w:val="20"/>
          <w:highlight w:val="none"/>
        </w:rPr>
        <w:t>应当提供《</w:t>
      </w:r>
      <w:r>
        <w:rPr>
          <w:rFonts w:hint="eastAsia" w:ascii="宋体" w:hAnsi="宋体" w:cs="宋体"/>
          <w:b/>
          <w:color w:val="auto"/>
          <w:highlight w:val="none"/>
        </w:rPr>
        <w:t>残疾人福利性单位声明函</w:t>
      </w:r>
      <w:r>
        <w:rPr>
          <w:rFonts w:hint="eastAsia" w:ascii="宋体" w:hAnsi="宋体" w:cs="宋体"/>
          <w:b/>
          <w:bCs/>
          <w:color w:val="auto"/>
          <w:szCs w:val="20"/>
          <w:highlight w:val="none"/>
        </w:rPr>
        <w:t>》。</w:t>
      </w:r>
      <w:r>
        <w:rPr>
          <w:rFonts w:hint="eastAsia" w:ascii="宋体" w:hAnsi="宋体" w:cs="宋体"/>
          <w:b/>
          <w:bCs/>
          <w:color w:val="auto"/>
          <w:szCs w:val="21"/>
          <w:highlight w:val="none"/>
        </w:rPr>
        <w:t>中标（成交）供应商的《残疾人福利性单位声明函》随中标（成交）结果一并公告。</w:t>
      </w:r>
    </w:p>
    <w:p>
      <w:pPr>
        <w:spacing w:line="400" w:lineRule="exact"/>
        <w:ind w:firstLine="420" w:firstLineChars="200"/>
        <w:rPr>
          <w:rFonts w:eastAsia="仿宋"/>
          <w:b/>
          <w:color w:val="auto"/>
          <w:szCs w:val="21"/>
          <w:highlight w:val="none"/>
        </w:rPr>
      </w:pPr>
    </w:p>
    <w:p>
      <w:pPr>
        <w:spacing w:line="400" w:lineRule="exact"/>
        <w:ind w:left="1120" w:hanging="1120"/>
        <w:rPr>
          <w:rFonts w:eastAsia="仿宋"/>
          <w:b/>
          <w:bCs/>
          <w:color w:val="auto"/>
          <w:szCs w:val="20"/>
          <w:highlight w:val="none"/>
        </w:rPr>
      </w:pPr>
    </w:p>
    <w:p>
      <w:pPr>
        <w:pStyle w:val="3"/>
        <w:spacing w:before="0"/>
        <w:jc w:val="center"/>
        <w:rPr>
          <w:rFonts w:hAnsi="宋体"/>
          <w:color w:val="auto"/>
          <w:sz w:val="28"/>
          <w:szCs w:val="28"/>
          <w:highlight w:val="none"/>
        </w:rPr>
      </w:pPr>
    </w:p>
    <w:p>
      <w:pPr>
        <w:pStyle w:val="3"/>
        <w:spacing w:before="0"/>
        <w:jc w:val="center"/>
        <w:rPr>
          <w:rFonts w:hAnsi="宋体"/>
          <w:color w:val="auto"/>
          <w:sz w:val="28"/>
          <w:szCs w:val="28"/>
          <w:highlight w:val="none"/>
        </w:rPr>
      </w:pPr>
    </w:p>
    <w:p>
      <w:pPr>
        <w:pStyle w:val="3"/>
        <w:spacing w:before="0"/>
        <w:jc w:val="center"/>
        <w:rPr>
          <w:rFonts w:hAnsi="宋体"/>
          <w:color w:val="auto"/>
          <w:sz w:val="28"/>
          <w:szCs w:val="28"/>
          <w:highlight w:val="none"/>
        </w:rPr>
      </w:pPr>
    </w:p>
    <w:p>
      <w:pPr>
        <w:pStyle w:val="3"/>
        <w:spacing w:before="0"/>
        <w:jc w:val="center"/>
        <w:rPr>
          <w:rFonts w:hAnsi="宋体"/>
          <w:color w:val="auto"/>
          <w:sz w:val="28"/>
          <w:szCs w:val="28"/>
          <w:highlight w:val="none"/>
        </w:rPr>
      </w:pPr>
    </w:p>
    <w:p>
      <w:pPr>
        <w:pStyle w:val="3"/>
        <w:spacing w:before="0"/>
        <w:rPr>
          <w:rFonts w:hAnsi="宋体"/>
          <w:color w:val="auto"/>
          <w:sz w:val="28"/>
          <w:szCs w:val="28"/>
          <w:highlight w:val="none"/>
        </w:rPr>
      </w:pPr>
    </w:p>
    <w:p>
      <w:pPr>
        <w:rPr>
          <w:color w:val="auto"/>
          <w:highlight w:val="none"/>
        </w:rPr>
      </w:pPr>
    </w:p>
    <w:p>
      <w:pPr>
        <w:widowControl/>
        <w:jc w:val="left"/>
        <w:rPr>
          <w:rFonts w:hAnsi="宋体"/>
          <w:b/>
          <w:color w:val="auto"/>
          <w:sz w:val="28"/>
          <w:szCs w:val="28"/>
          <w:highlight w:val="none"/>
        </w:rPr>
      </w:pPr>
      <w:bookmarkStart w:id="1006" w:name="_Toc86935946"/>
      <w:r>
        <w:rPr>
          <w:rFonts w:hAnsi="宋体"/>
          <w:b/>
          <w:color w:val="auto"/>
          <w:sz w:val="28"/>
          <w:szCs w:val="28"/>
          <w:highlight w:val="none"/>
        </w:rPr>
        <w:br w:type="page"/>
      </w:r>
    </w:p>
    <w:p>
      <w:pPr>
        <w:spacing w:line="390" w:lineRule="exact"/>
        <w:jc w:val="center"/>
        <w:outlineLvl w:val="0"/>
        <w:rPr>
          <w:rFonts w:hAnsi="宋体"/>
          <w:b/>
          <w:color w:val="auto"/>
          <w:sz w:val="36"/>
          <w:szCs w:val="36"/>
          <w:highlight w:val="none"/>
        </w:rPr>
      </w:pPr>
      <w:bookmarkStart w:id="1007" w:name="_Toc29768"/>
      <w:r>
        <w:rPr>
          <w:rFonts w:hint="eastAsia" w:hAnsi="宋体"/>
          <w:b/>
          <w:color w:val="auto"/>
          <w:sz w:val="36"/>
          <w:szCs w:val="36"/>
          <w:highlight w:val="none"/>
        </w:rPr>
        <w:t>第八章  评标办法</w:t>
      </w:r>
      <w:bookmarkEnd w:id="1006"/>
      <w:bookmarkEnd w:id="1007"/>
    </w:p>
    <w:p>
      <w:pPr>
        <w:spacing w:after="120"/>
        <w:jc w:val="center"/>
        <w:rPr>
          <w:rFonts w:ascii="宋体" w:hAnsi="宋体" w:cs="宋体"/>
          <w:b/>
          <w:color w:val="auto"/>
          <w:sz w:val="24"/>
          <w:highlight w:val="none"/>
        </w:rPr>
      </w:pPr>
      <w:bookmarkStart w:id="1008" w:name="_Toc440877588"/>
    </w:p>
    <w:p>
      <w:pPr>
        <w:spacing w:after="120"/>
        <w:jc w:val="center"/>
        <w:outlineLvl w:val="0"/>
        <w:rPr>
          <w:rFonts w:ascii="Calibri" w:hAnsi="Calibri"/>
          <w:color w:val="auto"/>
          <w:highlight w:val="none"/>
        </w:rPr>
      </w:pPr>
      <w:bookmarkStart w:id="1009" w:name="_Toc25133"/>
      <w:r>
        <w:rPr>
          <w:rFonts w:hint="eastAsia" w:ascii="宋体" w:hAnsi="宋体" w:cs="宋体"/>
          <w:b/>
          <w:color w:val="auto"/>
          <w:sz w:val="24"/>
          <w:highlight w:val="none"/>
        </w:rPr>
        <w:t>评分办法前附表</w:t>
      </w:r>
      <w:bookmarkEnd w:id="1009"/>
    </w:p>
    <w:tbl>
      <w:tblPr>
        <w:tblStyle w:val="49"/>
        <w:tblW w:w="10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32"/>
        <w:gridCol w:w="2033"/>
        <w:gridCol w:w="413"/>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gridSpan w:val="2"/>
            <w:noWrap/>
            <w:vAlign w:val="center"/>
          </w:tcPr>
          <w:p>
            <w:pPr>
              <w:autoSpaceDE w:val="0"/>
              <w:autoSpaceDN w:val="0"/>
              <w:adjustRightInd w:val="0"/>
              <w:spacing w:line="42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条款名称</w:t>
            </w:r>
          </w:p>
        </w:tc>
        <w:tc>
          <w:tcPr>
            <w:tcW w:w="2446" w:type="dxa"/>
            <w:gridSpan w:val="2"/>
            <w:noWrap/>
            <w:vAlign w:val="center"/>
          </w:tcPr>
          <w:p>
            <w:pPr>
              <w:autoSpaceDE w:val="0"/>
              <w:autoSpaceDN w:val="0"/>
              <w:adjustRightInd w:val="0"/>
              <w:spacing w:line="42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评审因素</w:t>
            </w:r>
          </w:p>
        </w:tc>
        <w:tc>
          <w:tcPr>
            <w:tcW w:w="6397" w:type="dxa"/>
            <w:noWrap/>
            <w:vAlign w:val="center"/>
          </w:tcPr>
          <w:p>
            <w:pPr>
              <w:autoSpaceDE w:val="0"/>
              <w:autoSpaceDN w:val="0"/>
              <w:adjustRightInd w:val="0"/>
              <w:spacing w:line="42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3" w:type="dxa"/>
            <w:vMerge w:val="restart"/>
            <w:noWrap/>
            <w:vAlign w:val="center"/>
          </w:tcPr>
          <w:p>
            <w:pPr>
              <w:autoSpaceDE w:val="0"/>
              <w:autoSpaceDN w:val="0"/>
              <w:adjustRightInd w:val="0"/>
              <w:spacing w:line="420" w:lineRule="exact"/>
              <w:jc w:val="center"/>
              <w:rPr>
                <w:rFonts w:ascii="宋体" w:hAnsi="宋体" w:cs="宋体"/>
                <w:color w:val="auto"/>
                <w:kern w:val="0"/>
                <w:szCs w:val="21"/>
                <w:highlight w:val="none"/>
              </w:rPr>
            </w:pPr>
            <w:r>
              <w:rPr>
                <w:rFonts w:hint="eastAsia" w:ascii="宋体" w:hAnsi="宋体" w:cs="宋体"/>
                <w:b/>
                <w:bCs/>
                <w:color w:val="auto"/>
                <w:kern w:val="0"/>
                <w:szCs w:val="21"/>
                <w:highlight w:val="none"/>
              </w:rPr>
              <w:t>初步评审</w:t>
            </w:r>
          </w:p>
        </w:tc>
        <w:tc>
          <w:tcPr>
            <w:tcW w:w="832" w:type="dxa"/>
            <w:vMerge w:val="restart"/>
            <w:noWrap/>
            <w:vAlign w:val="center"/>
          </w:tcPr>
          <w:p>
            <w:pPr>
              <w:autoSpaceDE w:val="0"/>
              <w:autoSpaceDN w:val="0"/>
              <w:adjustRightInd w:val="0"/>
              <w:spacing w:line="4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资格性审查</w:t>
            </w: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ascii="宋体" w:hAnsi="宋体"/>
                <w:color w:val="auto"/>
                <w:szCs w:val="21"/>
                <w:highlight w:val="none"/>
              </w:rPr>
              <w:t>营业执照</w:t>
            </w:r>
          </w:p>
        </w:tc>
        <w:tc>
          <w:tcPr>
            <w:tcW w:w="6397" w:type="dxa"/>
            <w:noWrap/>
            <w:vAlign w:val="center"/>
          </w:tcPr>
          <w:p>
            <w:pPr>
              <w:spacing w:line="440" w:lineRule="exact"/>
              <w:rPr>
                <w:rFonts w:ascii="宋体" w:hAnsi="宋体" w:cs="宋体"/>
                <w:color w:val="auto"/>
                <w:kern w:val="0"/>
                <w:szCs w:val="21"/>
                <w:highlight w:val="none"/>
              </w:rPr>
            </w:pPr>
            <w:r>
              <w:rPr>
                <w:rFonts w:ascii="宋体" w:hAnsi="宋体"/>
                <w:color w:val="auto"/>
                <w:szCs w:val="21"/>
                <w:highlight w:val="none"/>
              </w:rPr>
              <w:t>具备有效的营业执照</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3" w:type="dxa"/>
            <w:vMerge w:val="continue"/>
            <w:noWrap/>
            <w:vAlign w:val="center"/>
          </w:tcPr>
          <w:p>
            <w:pPr>
              <w:autoSpaceDE w:val="0"/>
              <w:autoSpaceDN w:val="0"/>
              <w:adjustRightInd w:val="0"/>
              <w:spacing w:line="420" w:lineRule="exact"/>
              <w:jc w:val="center"/>
              <w:rPr>
                <w:rFonts w:ascii="宋体" w:hAnsi="宋体" w:cs="宋体"/>
                <w:b/>
                <w:bCs/>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b/>
                <w:bCs/>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ascii="宋体" w:hAnsi="宋体"/>
                <w:color w:val="auto"/>
                <w:szCs w:val="21"/>
                <w:highlight w:val="none"/>
              </w:rPr>
              <w:t>资质等级</w:t>
            </w:r>
          </w:p>
        </w:tc>
        <w:tc>
          <w:tcPr>
            <w:tcW w:w="6397" w:type="dxa"/>
            <w:noWrap/>
            <w:vAlign w:val="center"/>
          </w:tcPr>
          <w:p>
            <w:pPr>
              <w:spacing w:line="440" w:lineRule="exact"/>
              <w:rPr>
                <w:rFonts w:ascii="宋体" w:hAnsi="宋体" w:cs="宋体"/>
                <w:color w:val="auto"/>
                <w:kern w:val="0"/>
                <w:szCs w:val="21"/>
                <w:highlight w:val="none"/>
              </w:rPr>
            </w:pPr>
            <w:r>
              <w:rPr>
                <w:rFonts w:ascii="宋体" w:hAnsi="宋体"/>
                <w:color w:val="auto"/>
                <w:szCs w:val="21"/>
                <w:highlight w:val="none"/>
              </w:rPr>
              <w:t>符合“</w:t>
            </w:r>
            <w:r>
              <w:rPr>
                <w:rFonts w:hint="eastAsia" w:ascii="宋体" w:hAnsi="宋体"/>
                <w:color w:val="auto"/>
                <w:szCs w:val="21"/>
                <w:highlight w:val="none"/>
              </w:rPr>
              <w:t>磋商供应商须知前附表</w:t>
            </w:r>
            <w:r>
              <w:rPr>
                <w:rFonts w:ascii="宋体" w:hAnsi="宋体"/>
                <w:color w:val="auto"/>
                <w:szCs w:val="21"/>
                <w:highlight w:val="none"/>
              </w:rPr>
              <w:t>”</w:t>
            </w:r>
            <w:r>
              <w:rPr>
                <w:rFonts w:hint="eastAsia" w:ascii="宋体" w:hAnsi="宋体"/>
                <w:color w:val="auto"/>
                <w:szCs w:val="21"/>
                <w:highlight w:val="none"/>
              </w:rPr>
              <w:t>第6项</w:t>
            </w:r>
            <w:r>
              <w:rPr>
                <w:rFonts w:ascii="宋体" w:hAnsi="宋体"/>
                <w:color w:val="auto"/>
                <w:szCs w:val="21"/>
                <w:highlight w:val="none"/>
              </w:rPr>
              <w:t>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ascii="宋体" w:hAnsi="宋体"/>
                <w:color w:val="auto"/>
                <w:szCs w:val="21"/>
                <w:highlight w:val="none"/>
              </w:rPr>
              <w:t>安全生产许可证</w:t>
            </w:r>
          </w:p>
        </w:tc>
        <w:tc>
          <w:tcPr>
            <w:tcW w:w="6397" w:type="dxa"/>
            <w:noWrap/>
            <w:vAlign w:val="center"/>
          </w:tcPr>
          <w:p>
            <w:pPr>
              <w:spacing w:line="440" w:lineRule="exact"/>
              <w:rPr>
                <w:rFonts w:ascii="宋体" w:hAnsi="宋体" w:cs="宋体"/>
                <w:color w:val="auto"/>
                <w:kern w:val="0"/>
                <w:szCs w:val="21"/>
                <w:highlight w:val="none"/>
              </w:rPr>
            </w:pPr>
            <w:r>
              <w:rPr>
                <w:rFonts w:ascii="宋体" w:hAnsi="宋体"/>
                <w:color w:val="auto"/>
                <w:szCs w:val="21"/>
                <w:highlight w:val="none"/>
              </w:rPr>
              <w:t>具备有效的安全生产许可证</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信用查询</w:t>
            </w:r>
          </w:p>
        </w:tc>
        <w:tc>
          <w:tcPr>
            <w:tcW w:w="6397" w:type="dxa"/>
            <w:noWrap/>
            <w:vAlign w:val="center"/>
          </w:tcPr>
          <w:p>
            <w:pPr>
              <w:spacing w:line="440" w:lineRule="exact"/>
              <w:rPr>
                <w:rFonts w:ascii="宋体" w:hAnsi="宋体"/>
                <w:color w:val="auto"/>
                <w:szCs w:val="21"/>
                <w:highlight w:val="none"/>
              </w:rPr>
            </w:pPr>
            <w:r>
              <w:rPr>
                <w:rFonts w:ascii="宋体" w:hAnsi="宋体"/>
                <w:color w:val="auto"/>
                <w:szCs w:val="21"/>
                <w:highlight w:val="none"/>
              </w:rPr>
              <w:t>符合“</w:t>
            </w:r>
            <w:r>
              <w:rPr>
                <w:rFonts w:hint="eastAsia" w:ascii="宋体" w:hAnsi="宋体"/>
                <w:color w:val="auto"/>
                <w:szCs w:val="21"/>
                <w:highlight w:val="none"/>
              </w:rPr>
              <w:t>磋商供应商须知前附表</w:t>
            </w:r>
            <w:r>
              <w:rPr>
                <w:rFonts w:ascii="宋体" w:hAnsi="宋体"/>
                <w:color w:val="auto"/>
                <w:szCs w:val="21"/>
                <w:highlight w:val="none"/>
              </w:rPr>
              <w:t>”</w:t>
            </w:r>
            <w:r>
              <w:rPr>
                <w:rFonts w:hint="eastAsia" w:ascii="宋体" w:hAnsi="宋体"/>
                <w:color w:val="auto"/>
                <w:szCs w:val="21"/>
                <w:highlight w:val="none"/>
              </w:rPr>
              <w:t>第6项</w:t>
            </w:r>
            <w:r>
              <w:rPr>
                <w:rFonts w:ascii="宋体" w:hAnsi="宋体"/>
                <w:color w:val="auto"/>
                <w:szCs w:val="21"/>
                <w:highlight w:val="none"/>
              </w:rPr>
              <w:t>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hAnsi="宋体" w:cs="宋体"/>
                <w:bCs/>
                <w:color w:val="auto"/>
                <w:szCs w:val="21"/>
                <w:highlight w:val="none"/>
              </w:rPr>
            </w:pPr>
            <w:r>
              <w:rPr>
                <w:rFonts w:hint="eastAsia" w:hAnsi="宋体" w:cs="宋体"/>
                <w:bCs/>
                <w:color w:val="auto"/>
                <w:szCs w:val="21"/>
                <w:highlight w:val="none"/>
              </w:rPr>
              <w:t>法定代表人身份证明书</w:t>
            </w:r>
          </w:p>
        </w:tc>
        <w:tc>
          <w:tcPr>
            <w:tcW w:w="6397" w:type="dxa"/>
            <w:noWrap/>
            <w:vAlign w:val="center"/>
          </w:tcPr>
          <w:p>
            <w:pPr>
              <w:spacing w:line="440" w:lineRule="exact"/>
              <w:rPr>
                <w:rFonts w:hAnsi="宋体" w:cs="宋体"/>
                <w:bCs/>
                <w:color w:val="auto"/>
                <w:szCs w:val="21"/>
                <w:highlight w:val="none"/>
              </w:rPr>
            </w:pPr>
            <w:r>
              <w:rPr>
                <w:rFonts w:ascii="宋体" w:hAnsi="宋体"/>
                <w:color w:val="auto"/>
                <w:szCs w:val="21"/>
                <w:highlight w:val="none"/>
              </w:rPr>
              <w:t>具备</w:t>
            </w:r>
            <w:r>
              <w:rPr>
                <w:rFonts w:hint="eastAsia" w:hAnsi="宋体" w:cs="宋体"/>
                <w:bCs/>
                <w:color w:val="auto"/>
                <w:szCs w:val="21"/>
                <w:highlight w:val="none"/>
              </w:rPr>
              <w:t>有效的法定代表人身份证明书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hAnsi="宋体" w:cs="宋体"/>
                <w:bCs/>
                <w:color w:val="auto"/>
                <w:szCs w:val="21"/>
                <w:highlight w:val="none"/>
              </w:rPr>
            </w:pPr>
            <w:r>
              <w:rPr>
                <w:rFonts w:hint="eastAsia" w:hAnsi="宋体" w:cs="宋体"/>
                <w:bCs/>
                <w:color w:val="auto"/>
                <w:szCs w:val="21"/>
                <w:highlight w:val="none"/>
              </w:rPr>
              <w:t>授权委托书</w:t>
            </w:r>
          </w:p>
        </w:tc>
        <w:tc>
          <w:tcPr>
            <w:tcW w:w="6397" w:type="dxa"/>
            <w:noWrap/>
            <w:vAlign w:val="center"/>
          </w:tcPr>
          <w:p>
            <w:pPr>
              <w:spacing w:line="440" w:lineRule="exact"/>
              <w:rPr>
                <w:rFonts w:hAnsi="宋体" w:cs="宋体"/>
                <w:b/>
                <w:bCs/>
                <w:color w:val="auto"/>
                <w:szCs w:val="21"/>
                <w:highlight w:val="none"/>
              </w:rPr>
            </w:pPr>
            <w:r>
              <w:rPr>
                <w:rFonts w:ascii="宋体" w:hAnsi="宋体"/>
                <w:color w:val="auto"/>
                <w:szCs w:val="21"/>
                <w:highlight w:val="none"/>
              </w:rPr>
              <w:t>具备</w:t>
            </w:r>
            <w:r>
              <w:rPr>
                <w:rFonts w:hint="eastAsia" w:hAnsi="宋体" w:cs="宋体"/>
                <w:bCs/>
                <w:color w:val="auto"/>
                <w:szCs w:val="21"/>
                <w:highlight w:val="none"/>
              </w:rPr>
              <w:t>有效的授权委托书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hint="eastAsia" w:hAnsi="宋体" w:cs="宋体"/>
                <w:bCs/>
                <w:color w:val="auto"/>
                <w:szCs w:val="21"/>
                <w:highlight w:val="none"/>
              </w:rPr>
              <w:t>依法纳税证明</w:t>
            </w:r>
          </w:p>
        </w:tc>
        <w:tc>
          <w:tcPr>
            <w:tcW w:w="6397" w:type="dxa"/>
            <w:noWrap/>
            <w:vAlign w:val="center"/>
          </w:tcPr>
          <w:p>
            <w:pPr>
              <w:spacing w:line="440" w:lineRule="exact"/>
              <w:rPr>
                <w:rFonts w:ascii="宋体" w:hAnsi="宋体" w:cs="宋体"/>
                <w:color w:val="auto"/>
                <w:kern w:val="0"/>
                <w:szCs w:val="21"/>
                <w:highlight w:val="none"/>
              </w:rPr>
            </w:pPr>
            <w:r>
              <w:rPr>
                <w:rFonts w:hint="eastAsia" w:hAnsi="宋体" w:cs="宋体"/>
                <w:bCs/>
                <w:color w:val="auto"/>
                <w:szCs w:val="21"/>
                <w:highlight w:val="none"/>
                <w:lang w:eastAsia="zh-CN"/>
              </w:rPr>
              <w:t>2023年12月至磋商截止之日前连续三个月供应商依法纳税证明</w:t>
            </w:r>
            <w:r>
              <w:rPr>
                <w:rFonts w:hint="eastAsia" w:hAnsi="宋体" w:cs="宋体"/>
                <w:bCs/>
                <w:color w:val="auto"/>
                <w:szCs w:val="21"/>
                <w:highlight w:val="none"/>
              </w:rPr>
              <w:t>；无纳税记录的，应提供由竞标人所在地的税务部门出具的《依法纳税或依法免税证明》。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hAnsi="宋体" w:cs="宋体"/>
                <w:bCs/>
                <w:color w:val="auto"/>
                <w:szCs w:val="21"/>
                <w:highlight w:val="none"/>
              </w:rPr>
            </w:pPr>
            <w:r>
              <w:rPr>
                <w:rFonts w:hint="eastAsia" w:hAnsi="宋体" w:cs="宋体"/>
                <w:bCs/>
                <w:color w:val="auto"/>
                <w:szCs w:val="21"/>
                <w:highlight w:val="none"/>
              </w:rPr>
              <w:t>依法缴纳社保证明</w:t>
            </w:r>
          </w:p>
        </w:tc>
        <w:tc>
          <w:tcPr>
            <w:tcW w:w="6397" w:type="dxa"/>
            <w:noWrap/>
            <w:vAlign w:val="center"/>
          </w:tcPr>
          <w:p>
            <w:pPr>
              <w:spacing w:line="440" w:lineRule="exact"/>
              <w:rPr>
                <w:rFonts w:hAnsi="宋体" w:cs="宋体"/>
                <w:bCs/>
                <w:color w:val="auto"/>
                <w:szCs w:val="21"/>
                <w:highlight w:val="none"/>
              </w:rPr>
            </w:pPr>
            <w:r>
              <w:rPr>
                <w:rFonts w:hint="eastAsia" w:hAnsi="宋体" w:cs="宋体"/>
                <w:bCs/>
                <w:color w:val="auto"/>
                <w:szCs w:val="21"/>
                <w:highlight w:val="none"/>
                <w:lang w:eastAsia="zh-CN"/>
              </w:rPr>
              <w:t>2023年12月至磋商截止之日前连续三个月供应商依法缴纳社保证明</w:t>
            </w:r>
            <w:r>
              <w:rPr>
                <w:rFonts w:hint="eastAsia" w:hAnsi="宋体" w:cs="宋体"/>
                <w:bCs/>
                <w:color w:val="auto"/>
                <w:szCs w:val="21"/>
                <w:highlight w:val="none"/>
              </w:rPr>
              <w:t>；无</w:t>
            </w:r>
            <w:r>
              <w:rPr>
                <w:rFonts w:hint="eastAsia" w:hAnsi="宋体" w:cs="宋体"/>
                <w:bCs/>
                <w:color w:val="auto"/>
                <w:szCs w:val="21"/>
                <w:highlight w:val="none"/>
                <w:lang w:val="en-US" w:eastAsia="zh-CN"/>
              </w:rPr>
              <w:t>缴纳</w:t>
            </w:r>
            <w:r>
              <w:rPr>
                <w:rFonts w:hint="eastAsia" w:hAnsi="宋体" w:cs="宋体"/>
                <w:bCs/>
                <w:color w:val="auto"/>
                <w:szCs w:val="21"/>
                <w:highlight w:val="none"/>
              </w:rPr>
              <w:t>记录的，应提供由投标人所在地社保部门出具的《依法缴纳或依法免缴社保费证明》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hint="eastAsia" w:ascii="宋体" w:hAnsi="宋体"/>
                <w:color w:val="auto"/>
                <w:szCs w:val="21"/>
                <w:highlight w:val="none"/>
              </w:rPr>
              <w:t>项目经理</w:t>
            </w:r>
          </w:p>
        </w:tc>
        <w:tc>
          <w:tcPr>
            <w:tcW w:w="6397" w:type="dxa"/>
            <w:noWrap/>
            <w:vAlign w:val="center"/>
          </w:tcPr>
          <w:p>
            <w:pPr>
              <w:spacing w:line="440" w:lineRule="exact"/>
              <w:rPr>
                <w:rFonts w:ascii="宋体" w:hAnsi="宋体" w:cs="宋体"/>
                <w:color w:val="auto"/>
                <w:kern w:val="0"/>
                <w:szCs w:val="21"/>
                <w:highlight w:val="none"/>
              </w:rPr>
            </w:pPr>
            <w:r>
              <w:rPr>
                <w:rFonts w:hint="eastAsia" w:ascii="宋体" w:hAnsi="宋体"/>
                <w:color w:val="auto"/>
                <w:szCs w:val="21"/>
                <w:highlight w:val="none"/>
              </w:rPr>
              <w:t>具备</w:t>
            </w:r>
            <w:r>
              <w:rPr>
                <w:rFonts w:hint="eastAsia" w:ascii="宋体" w:hAnsi="宋体"/>
                <w:color w:val="auto"/>
                <w:szCs w:val="21"/>
                <w:highlight w:val="none"/>
                <w:lang w:eastAsia="zh-CN"/>
              </w:rPr>
              <w:t>建筑工程</w:t>
            </w:r>
            <w:r>
              <w:rPr>
                <w:rFonts w:hint="eastAsia" w:ascii="宋体" w:hAnsi="宋体"/>
                <w:color w:val="auto"/>
                <w:szCs w:val="21"/>
                <w:highlight w:val="none"/>
              </w:rPr>
              <w:t>二级及以上注册建造师证书及有效的省级或省级以上建设行政主管部门颁发的安全生产考核合格证书的扫描件；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hint="eastAsia" w:ascii="宋体" w:hAnsi="宋体"/>
                <w:color w:val="auto"/>
                <w:szCs w:val="21"/>
                <w:highlight w:val="none"/>
              </w:rPr>
              <w:t>专职安全员</w:t>
            </w:r>
          </w:p>
        </w:tc>
        <w:tc>
          <w:tcPr>
            <w:tcW w:w="6397" w:type="dxa"/>
            <w:noWrap/>
            <w:vAlign w:val="center"/>
          </w:tcPr>
          <w:p>
            <w:pPr>
              <w:spacing w:line="440" w:lineRule="exact"/>
              <w:rPr>
                <w:rFonts w:ascii="宋体" w:hAnsi="宋体" w:cs="宋体"/>
                <w:color w:val="auto"/>
                <w:kern w:val="0"/>
                <w:szCs w:val="21"/>
                <w:highlight w:val="none"/>
              </w:rPr>
            </w:pPr>
            <w:r>
              <w:rPr>
                <w:rFonts w:hint="eastAsia" w:ascii="宋体" w:hAnsi="宋体"/>
                <w:color w:val="auto"/>
                <w:szCs w:val="21"/>
                <w:highlight w:val="none"/>
              </w:rPr>
              <w:t>具有有效的省级或省级以上建设行政主管部门颁发的安全生产考核合格证书</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财务状况</w:t>
            </w:r>
          </w:p>
        </w:tc>
        <w:tc>
          <w:tcPr>
            <w:tcW w:w="6397" w:type="dxa"/>
            <w:noWrap/>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2023年经审计的财务报告，或磋商公告日期后银行出具的有效资信证明，或磋商公告日期后政府采购专业担保机构出具的有效投标担保函。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其他</w:t>
            </w:r>
          </w:p>
        </w:tc>
        <w:tc>
          <w:tcPr>
            <w:tcW w:w="6397" w:type="dxa"/>
            <w:noWrap/>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磋商供应商认为必要提供的声明及文件资料。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9675" w:type="dxa"/>
            <w:gridSpan w:val="4"/>
            <w:noWrap/>
            <w:vAlign w:val="center"/>
          </w:tcPr>
          <w:p>
            <w:pPr>
              <w:autoSpaceDE w:val="0"/>
              <w:autoSpaceDN w:val="0"/>
              <w:adjustRightInd w:val="0"/>
              <w:spacing w:line="420" w:lineRule="exact"/>
              <w:rPr>
                <w:rFonts w:ascii="宋体" w:hAnsi="宋体" w:cs="宋体"/>
                <w:b/>
                <w:color w:val="auto"/>
                <w:szCs w:val="21"/>
                <w:highlight w:val="none"/>
              </w:rPr>
            </w:pPr>
            <w:r>
              <w:rPr>
                <w:rFonts w:hint="eastAsia" w:ascii="宋体" w:hAnsi="宋体" w:cs="宋体"/>
                <w:b/>
                <w:color w:val="auto"/>
                <w:szCs w:val="21"/>
                <w:highlight w:val="none"/>
              </w:rPr>
              <w:t>资格性审查项中缺少任何一项或有任何一项不合格者其资格审查视为不合格，资格评审不合格的磋商人不得进入符合性评审。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restart"/>
            <w:noWrap/>
            <w:vAlign w:val="center"/>
          </w:tcPr>
          <w:p>
            <w:pPr>
              <w:autoSpaceDE w:val="0"/>
              <w:autoSpaceDN w:val="0"/>
              <w:adjustRightInd w:val="0"/>
              <w:spacing w:line="4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符合性审查</w:t>
            </w:r>
          </w:p>
        </w:tc>
        <w:tc>
          <w:tcPr>
            <w:tcW w:w="2446" w:type="dxa"/>
            <w:gridSpan w:val="2"/>
            <w:noWrap/>
            <w:vAlign w:val="center"/>
          </w:tcPr>
          <w:p>
            <w:pPr>
              <w:autoSpaceDE w:val="0"/>
              <w:autoSpaceDN w:val="0"/>
              <w:adjustRightIn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磋商报价</w:t>
            </w:r>
          </w:p>
        </w:tc>
        <w:tc>
          <w:tcPr>
            <w:tcW w:w="6397" w:type="dxa"/>
            <w:noWrap/>
            <w:vAlign w:val="center"/>
          </w:tcPr>
          <w:p>
            <w:pPr>
              <w:autoSpaceDE w:val="0"/>
              <w:autoSpaceDN w:val="0"/>
              <w:adjustRightIn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符合第二章“磋商供应商须知正文”</w:t>
            </w:r>
            <w:r>
              <w:rPr>
                <w:rFonts w:hint="eastAsia" w:ascii="宋体" w:hAnsi="宋体"/>
                <w:color w:val="auto"/>
                <w:szCs w:val="21"/>
                <w:highlight w:val="none"/>
              </w:rPr>
              <w:t>第6项规定。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jc w:val="center"/>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jc w:val="center"/>
              <w:rPr>
                <w:rFonts w:ascii="宋体" w:hAnsi="宋体" w:cs="宋体"/>
                <w:b/>
                <w:bCs/>
                <w:color w:val="auto"/>
                <w:kern w:val="0"/>
                <w:szCs w:val="21"/>
                <w:highlight w:val="none"/>
              </w:rPr>
            </w:pPr>
          </w:p>
        </w:tc>
        <w:tc>
          <w:tcPr>
            <w:tcW w:w="2446" w:type="dxa"/>
            <w:gridSpan w:val="2"/>
            <w:noWrap/>
            <w:vAlign w:val="center"/>
          </w:tcPr>
          <w:p>
            <w:pPr>
              <w:autoSpaceDE w:val="0"/>
              <w:autoSpaceDN w:val="0"/>
              <w:adjustRightInd w:val="0"/>
              <w:spacing w:line="420" w:lineRule="exact"/>
              <w:jc w:val="center"/>
              <w:rPr>
                <w:rFonts w:ascii="宋体" w:hAnsi="宋体" w:cs="宋体"/>
                <w:bCs/>
                <w:color w:val="auto"/>
                <w:szCs w:val="21"/>
                <w:highlight w:val="none"/>
              </w:rPr>
            </w:pPr>
            <w:r>
              <w:rPr>
                <w:rFonts w:hint="eastAsia" w:ascii="宋体" w:hAnsi="宋体" w:cs="宋体"/>
                <w:bCs/>
                <w:color w:val="auto"/>
                <w:szCs w:val="21"/>
                <w:highlight w:val="none"/>
              </w:rPr>
              <w:t>磋商人</w:t>
            </w:r>
            <w:r>
              <w:rPr>
                <w:rFonts w:hint="eastAsia" w:ascii="宋体" w:hAnsi="宋体" w:cs="宋体"/>
                <w:color w:val="auto"/>
                <w:kern w:val="0"/>
                <w:szCs w:val="21"/>
                <w:highlight w:val="none"/>
              </w:rPr>
              <w:t>名称</w:t>
            </w:r>
          </w:p>
        </w:tc>
        <w:tc>
          <w:tcPr>
            <w:tcW w:w="6397" w:type="dxa"/>
            <w:noWrap/>
            <w:vAlign w:val="center"/>
          </w:tcPr>
          <w:p>
            <w:pPr>
              <w:autoSpaceDE w:val="0"/>
              <w:autoSpaceDN w:val="0"/>
              <w:adjustRightIn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2446" w:type="dxa"/>
            <w:gridSpan w:val="2"/>
            <w:noWrap/>
            <w:vAlign w:val="center"/>
          </w:tcPr>
          <w:p>
            <w:pPr>
              <w:autoSpaceDE w:val="0"/>
              <w:autoSpaceDN w:val="0"/>
              <w:adjustRightIn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响应文件签字盖章</w:t>
            </w:r>
          </w:p>
        </w:tc>
        <w:tc>
          <w:tcPr>
            <w:tcW w:w="6397" w:type="dxa"/>
            <w:noWrap/>
            <w:vAlign w:val="center"/>
          </w:tcPr>
          <w:p>
            <w:pPr>
              <w:autoSpaceDE w:val="0"/>
              <w:autoSpaceDN w:val="0"/>
              <w:adjustRightIn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符合第二章“磋商供应商须知正文”</w:t>
            </w:r>
            <w:r>
              <w:rPr>
                <w:rFonts w:hint="eastAsia" w:ascii="宋体" w:hAnsi="宋体"/>
                <w:color w:val="auto"/>
                <w:szCs w:val="21"/>
                <w:highlight w:val="none"/>
              </w:rPr>
              <w:t>第11项规定。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2446" w:type="dxa"/>
            <w:gridSpan w:val="2"/>
            <w:noWrap/>
            <w:vAlign w:val="center"/>
          </w:tcPr>
          <w:p>
            <w:pPr>
              <w:autoSpaceDE w:val="0"/>
              <w:autoSpaceDN w:val="0"/>
              <w:adjustRightIn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响应文件格式</w:t>
            </w:r>
          </w:p>
        </w:tc>
        <w:tc>
          <w:tcPr>
            <w:tcW w:w="6397" w:type="dxa"/>
            <w:noWrap/>
            <w:vAlign w:val="center"/>
          </w:tcPr>
          <w:p>
            <w:pPr>
              <w:autoSpaceDE w:val="0"/>
              <w:autoSpaceDN w:val="0"/>
              <w:adjustRightIn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符合第七章“响应文件格式”的要求。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63"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ascii="宋体" w:hAnsi="宋体"/>
                <w:color w:val="auto"/>
                <w:szCs w:val="21"/>
                <w:highlight w:val="none"/>
              </w:rPr>
              <w:t>质量</w:t>
            </w:r>
            <w:r>
              <w:rPr>
                <w:rFonts w:hint="eastAsia" w:ascii="宋体" w:hAnsi="宋体"/>
                <w:color w:val="auto"/>
                <w:szCs w:val="21"/>
                <w:highlight w:val="none"/>
              </w:rPr>
              <w:t>要求</w:t>
            </w:r>
          </w:p>
        </w:tc>
        <w:tc>
          <w:tcPr>
            <w:tcW w:w="6397" w:type="dxa"/>
            <w:noWrap/>
            <w:vAlign w:val="center"/>
          </w:tcPr>
          <w:p>
            <w:pPr>
              <w:spacing w:line="440" w:lineRule="exact"/>
              <w:rPr>
                <w:rFonts w:ascii="宋体" w:hAnsi="宋体" w:cs="宋体"/>
                <w:color w:val="auto"/>
                <w:kern w:val="0"/>
                <w:szCs w:val="21"/>
                <w:highlight w:val="none"/>
              </w:rPr>
            </w:pPr>
            <w:r>
              <w:rPr>
                <w:rFonts w:hint="eastAsia" w:ascii="宋体" w:hAnsi="宋体"/>
                <w:color w:val="auto"/>
                <w:szCs w:val="21"/>
                <w:highlight w:val="none"/>
              </w:rPr>
              <w:t>符合</w:t>
            </w:r>
            <w:r>
              <w:rPr>
                <w:rFonts w:ascii="宋体" w:hAnsi="宋体"/>
                <w:color w:val="auto"/>
                <w:szCs w:val="21"/>
                <w:highlight w:val="none"/>
              </w:rPr>
              <w:t>“</w:t>
            </w:r>
            <w:r>
              <w:rPr>
                <w:rFonts w:hint="eastAsia" w:ascii="宋体" w:hAnsi="宋体"/>
                <w:color w:val="auto"/>
                <w:szCs w:val="21"/>
                <w:highlight w:val="none"/>
              </w:rPr>
              <w:t>磋商供应商须知前附表</w:t>
            </w:r>
            <w:r>
              <w:rPr>
                <w:rFonts w:ascii="宋体" w:hAnsi="宋体"/>
                <w:color w:val="auto"/>
                <w:szCs w:val="21"/>
                <w:highlight w:val="none"/>
              </w:rPr>
              <w:t>”</w:t>
            </w:r>
            <w:r>
              <w:rPr>
                <w:rFonts w:hint="eastAsia" w:ascii="宋体" w:hAnsi="宋体"/>
                <w:color w:val="auto"/>
                <w:szCs w:val="21"/>
                <w:highlight w:val="none"/>
              </w:rPr>
              <w:t>第5项规定。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832" w:type="dxa"/>
            <w:vMerge w:val="continue"/>
            <w:noWrap/>
            <w:vAlign w:val="center"/>
          </w:tcPr>
          <w:p>
            <w:pPr>
              <w:autoSpaceDE w:val="0"/>
              <w:autoSpaceDN w:val="0"/>
              <w:adjustRightInd w:val="0"/>
              <w:spacing w:line="420" w:lineRule="exact"/>
              <w:rPr>
                <w:rFonts w:ascii="宋体" w:hAnsi="宋体" w:cs="宋体"/>
                <w:color w:val="auto"/>
                <w:kern w:val="0"/>
                <w:szCs w:val="21"/>
                <w:highlight w:val="none"/>
              </w:rPr>
            </w:pPr>
          </w:p>
        </w:tc>
        <w:tc>
          <w:tcPr>
            <w:tcW w:w="2446" w:type="dxa"/>
            <w:gridSpan w:val="2"/>
            <w:noWrap/>
            <w:vAlign w:val="center"/>
          </w:tcPr>
          <w:p>
            <w:pPr>
              <w:spacing w:line="440" w:lineRule="exact"/>
              <w:jc w:val="center"/>
              <w:rPr>
                <w:rFonts w:ascii="宋体" w:hAnsi="宋体" w:cs="宋体"/>
                <w:color w:val="auto"/>
                <w:kern w:val="0"/>
                <w:szCs w:val="21"/>
                <w:highlight w:val="none"/>
              </w:rPr>
            </w:pPr>
            <w:r>
              <w:rPr>
                <w:rFonts w:ascii="宋体" w:hAnsi="宋体"/>
                <w:color w:val="auto"/>
                <w:szCs w:val="21"/>
                <w:highlight w:val="none"/>
              </w:rPr>
              <w:t>工期</w:t>
            </w:r>
          </w:p>
        </w:tc>
        <w:tc>
          <w:tcPr>
            <w:tcW w:w="6397" w:type="dxa"/>
            <w:noWrap/>
            <w:vAlign w:val="center"/>
          </w:tcPr>
          <w:p>
            <w:pPr>
              <w:spacing w:line="440" w:lineRule="exact"/>
              <w:rPr>
                <w:rFonts w:ascii="宋体" w:hAnsi="宋体" w:cs="宋体"/>
                <w:color w:val="auto"/>
                <w:kern w:val="0"/>
                <w:szCs w:val="21"/>
                <w:highlight w:val="none"/>
              </w:rPr>
            </w:pPr>
            <w:r>
              <w:rPr>
                <w:rFonts w:hint="eastAsia" w:ascii="宋体" w:hAnsi="宋体"/>
                <w:color w:val="auto"/>
                <w:szCs w:val="21"/>
                <w:highlight w:val="none"/>
              </w:rPr>
              <w:t>符合</w:t>
            </w:r>
            <w:r>
              <w:rPr>
                <w:rFonts w:ascii="宋体" w:hAnsi="宋体"/>
                <w:color w:val="auto"/>
                <w:szCs w:val="21"/>
                <w:highlight w:val="none"/>
              </w:rPr>
              <w:t>“</w:t>
            </w:r>
            <w:r>
              <w:rPr>
                <w:rFonts w:hint="eastAsia" w:ascii="宋体" w:hAnsi="宋体"/>
                <w:color w:val="auto"/>
                <w:szCs w:val="21"/>
                <w:highlight w:val="none"/>
              </w:rPr>
              <w:t>磋商供应商须知前附表</w:t>
            </w:r>
            <w:r>
              <w:rPr>
                <w:rFonts w:ascii="宋体" w:hAnsi="宋体"/>
                <w:color w:val="auto"/>
                <w:szCs w:val="21"/>
                <w:highlight w:val="none"/>
              </w:rPr>
              <w:t>”</w:t>
            </w:r>
            <w:r>
              <w:rPr>
                <w:rFonts w:hint="eastAsia" w:ascii="宋体" w:hAnsi="宋体"/>
                <w:color w:val="auto"/>
                <w:szCs w:val="21"/>
                <w:highlight w:val="none"/>
              </w:rPr>
              <w:t>第4项规定。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noWrap/>
          </w:tcPr>
          <w:p>
            <w:pPr>
              <w:autoSpaceDE w:val="0"/>
              <w:autoSpaceDN w:val="0"/>
              <w:adjustRightInd w:val="0"/>
              <w:spacing w:line="420" w:lineRule="exact"/>
              <w:rPr>
                <w:rFonts w:ascii="宋体" w:hAnsi="宋体" w:cs="宋体"/>
                <w:color w:val="auto"/>
                <w:kern w:val="0"/>
                <w:szCs w:val="21"/>
                <w:highlight w:val="none"/>
              </w:rPr>
            </w:pPr>
          </w:p>
        </w:tc>
        <w:tc>
          <w:tcPr>
            <w:tcW w:w="832" w:type="dxa"/>
            <w:vMerge w:val="continue"/>
            <w:noWrap/>
          </w:tcPr>
          <w:p>
            <w:pPr>
              <w:autoSpaceDE w:val="0"/>
              <w:autoSpaceDN w:val="0"/>
              <w:adjustRightInd w:val="0"/>
              <w:spacing w:line="420" w:lineRule="exact"/>
              <w:rPr>
                <w:rFonts w:ascii="宋体" w:hAnsi="宋体" w:cs="宋体"/>
                <w:b/>
                <w:color w:val="auto"/>
                <w:szCs w:val="21"/>
                <w:highlight w:val="none"/>
              </w:rPr>
            </w:pPr>
          </w:p>
        </w:tc>
        <w:tc>
          <w:tcPr>
            <w:tcW w:w="2446" w:type="dxa"/>
            <w:gridSpan w:val="2"/>
            <w:noWrap/>
          </w:tcPr>
          <w:p>
            <w:pPr>
              <w:autoSpaceDE w:val="0"/>
              <w:autoSpaceDN w:val="0"/>
              <w:adjustRightInd w:val="0"/>
              <w:spacing w:line="420" w:lineRule="exact"/>
              <w:jc w:val="center"/>
              <w:rPr>
                <w:rFonts w:ascii="宋体" w:hAnsi="宋体" w:cs="宋体"/>
                <w:b/>
                <w:color w:val="auto"/>
                <w:szCs w:val="21"/>
                <w:highlight w:val="none"/>
              </w:rPr>
            </w:pPr>
            <w:r>
              <w:rPr>
                <w:rFonts w:hint="eastAsia" w:ascii="宋体" w:hAnsi="宋体" w:cs="宋体"/>
                <w:color w:val="auto"/>
                <w:kern w:val="0"/>
                <w:szCs w:val="21"/>
                <w:highlight w:val="none"/>
              </w:rPr>
              <w:t>其他要求</w:t>
            </w:r>
          </w:p>
        </w:tc>
        <w:tc>
          <w:tcPr>
            <w:tcW w:w="6397" w:type="dxa"/>
            <w:noWrap/>
          </w:tcPr>
          <w:p>
            <w:pPr>
              <w:autoSpaceDE w:val="0"/>
              <w:autoSpaceDN w:val="0"/>
              <w:adjustRightInd w:val="0"/>
              <w:spacing w:line="420" w:lineRule="exact"/>
              <w:rPr>
                <w:rFonts w:ascii="宋体" w:hAnsi="宋体" w:cs="宋体"/>
                <w:b/>
                <w:color w:val="auto"/>
                <w:szCs w:val="21"/>
                <w:highlight w:val="none"/>
              </w:rPr>
            </w:pPr>
            <w:r>
              <w:rPr>
                <w:rFonts w:hint="eastAsia" w:ascii="宋体" w:hAnsi="宋体" w:cs="宋体"/>
                <w:color w:val="auto"/>
                <w:kern w:val="0"/>
                <w:szCs w:val="21"/>
                <w:highlight w:val="none"/>
              </w:rPr>
              <w:t>不存在第二章“磋商供应商须知”中任意一项否决或无效投标情形。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noWrap/>
          </w:tcPr>
          <w:p>
            <w:pPr>
              <w:autoSpaceDE w:val="0"/>
              <w:autoSpaceDN w:val="0"/>
              <w:adjustRightInd w:val="0"/>
              <w:spacing w:line="420" w:lineRule="exact"/>
              <w:rPr>
                <w:rFonts w:ascii="宋体" w:hAnsi="宋体" w:cs="宋体"/>
                <w:color w:val="auto"/>
                <w:kern w:val="0"/>
                <w:szCs w:val="21"/>
                <w:highlight w:val="none"/>
              </w:rPr>
            </w:pPr>
          </w:p>
        </w:tc>
        <w:tc>
          <w:tcPr>
            <w:tcW w:w="9675" w:type="dxa"/>
            <w:gridSpan w:val="4"/>
            <w:noWrap/>
          </w:tcPr>
          <w:p>
            <w:pPr>
              <w:autoSpaceDE w:val="0"/>
              <w:autoSpaceDN w:val="0"/>
              <w:adjustRightInd w:val="0"/>
              <w:spacing w:line="420" w:lineRule="exact"/>
              <w:rPr>
                <w:rFonts w:ascii="宋体" w:hAnsi="宋体" w:cs="宋体"/>
                <w:color w:val="auto"/>
                <w:kern w:val="0"/>
                <w:szCs w:val="21"/>
                <w:highlight w:val="none"/>
              </w:rPr>
            </w:pPr>
            <w:r>
              <w:rPr>
                <w:rFonts w:hint="eastAsia" w:ascii="宋体" w:hAnsi="宋体" w:cs="宋体"/>
                <w:b/>
                <w:color w:val="auto"/>
                <w:szCs w:val="21"/>
                <w:highlight w:val="none"/>
              </w:rPr>
              <w:t>符合性审查项中缺少任何一项或有任何一项不合格者其初步审查视为不合格，初步评审不合格的磋商人不再进入以下各项组成的详细评审。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438" w:type="dxa"/>
            <w:gridSpan w:val="5"/>
            <w:noWrap/>
          </w:tcPr>
          <w:p>
            <w:pPr>
              <w:autoSpaceDE w:val="0"/>
              <w:autoSpaceDN w:val="0"/>
              <w:adjustRightInd w:val="0"/>
              <w:spacing w:line="420" w:lineRule="exact"/>
              <w:jc w:val="center"/>
              <w:rPr>
                <w:rFonts w:ascii="宋体" w:hAnsi="宋体" w:cs="宋体"/>
                <w:b/>
                <w:color w:val="auto"/>
                <w:szCs w:val="21"/>
                <w:highlight w:val="none"/>
              </w:rPr>
            </w:pPr>
            <w:r>
              <w:rPr>
                <w:rFonts w:hint="eastAsia" w:ascii="宋体" w:hAnsi="宋体" w:cs="宋体"/>
                <w:b/>
                <w:color w:val="auto"/>
                <w:kern w:val="0"/>
                <w:szCs w:val="21"/>
                <w:highlight w:val="none"/>
              </w:rPr>
              <w:t>详细评审标准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95" w:type="dxa"/>
            <w:gridSpan w:val="2"/>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宋体" w:hAnsi="宋体" w:cs="宋体"/>
                <w:b/>
                <w:color w:val="auto"/>
                <w:szCs w:val="21"/>
                <w:highlight w:val="none"/>
              </w:rPr>
            </w:pPr>
            <w:r>
              <w:rPr>
                <w:rFonts w:hint="eastAsia" w:ascii="宋体" w:hAnsi="宋体" w:cs="宋体"/>
                <w:b/>
                <w:color w:val="auto"/>
                <w:szCs w:val="21"/>
                <w:highlight w:val="none"/>
              </w:rPr>
              <w:t>报价分</w:t>
            </w:r>
          </w:p>
          <w:p>
            <w:pPr>
              <w:autoSpaceDE w:val="0"/>
              <w:autoSpaceDN w:val="0"/>
              <w:adjustRightInd w:val="0"/>
              <w:spacing w:line="42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评审标准</w:t>
            </w:r>
          </w:p>
          <w:p>
            <w:pPr>
              <w:spacing w:line="420" w:lineRule="exact"/>
              <w:jc w:val="center"/>
              <w:rPr>
                <w:rFonts w:ascii="宋体" w:hAnsi="宋体" w:cs="宋体"/>
                <w:color w:val="auto"/>
                <w:szCs w:val="21"/>
                <w:highlight w:val="none"/>
              </w:rPr>
            </w:pPr>
            <w:r>
              <w:rPr>
                <w:rFonts w:hint="eastAsia" w:ascii="宋体" w:hAnsi="宋体" w:cs="宋体"/>
                <w:b/>
                <w:color w:val="auto"/>
                <w:szCs w:val="21"/>
                <w:highlight w:val="none"/>
              </w:rPr>
              <w:t>（20分）</w:t>
            </w:r>
          </w:p>
        </w:tc>
        <w:tc>
          <w:tcPr>
            <w:tcW w:w="8843" w:type="dxa"/>
            <w:gridSpan w:val="3"/>
            <w:tcBorders>
              <w:top w:val="single" w:color="auto" w:sz="4" w:space="0"/>
              <w:left w:val="single" w:color="auto" w:sz="4" w:space="0"/>
              <w:bottom w:val="single" w:color="auto" w:sz="4" w:space="0"/>
            </w:tcBorders>
            <w:noWrap/>
            <w:vAlign w:val="center"/>
          </w:tcPr>
          <w:p>
            <w:pPr>
              <w:spacing w:line="440" w:lineRule="exact"/>
              <w:ind w:firstLine="420" w:firstLineChars="200"/>
              <w:rPr>
                <w:rFonts w:ascii="宋体" w:hAnsi="宋体"/>
                <w:color w:val="auto"/>
                <w:szCs w:val="21"/>
                <w:highlight w:val="none"/>
              </w:rPr>
            </w:pPr>
            <w:r>
              <w:rPr>
                <w:rFonts w:hint="eastAsia" w:ascii="宋体" w:hAnsi="宋体"/>
                <w:b/>
                <w:bCs/>
                <w:color w:val="auto"/>
                <w:szCs w:val="21"/>
                <w:highlight w:val="none"/>
              </w:rPr>
              <w:t>评标基准价</w:t>
            </w:r>
            <w:r>
              <w:rPr>
                <w:rFonts w:ascii="宋体" w:hAnsi="宋体"/>
                <w:b/>
                <w:bCs/>
                <w:color w:val="auto"/>
                <w:szCs w:val="21"/>
                <w:highlight w:val="none"/>
              </w:rPr>
              <w:t>的</w:t>
            </w:r>
            <w:r>
              <w:rPr>
                <w:rFonts w:hint="eastAsia" w:ascii="宋体" w:hAnsi="宋体"/>
                <w:b/>
                <w:bCs/>
                <w:color w:val="auto"/>
                <w:szCs w:val="21"/>
                <w:highlight w:val="none"/>
              </w:rPr>
              <w:t>计算</w:t>
            </w:r>
            <w:r>
              <w:rPr>
                <w:rFonts w:ascii="宋体" w:hAnsi="宋体"/>
                <w:b/>
                <w:bCs/>
                <w:color w:val="auto"/>
                <w:szCs w:val="21"/>
                <w:highlight w:val="none"/>
              </w:rPr>
              <w:t>方法</w:t>
            </w:r>
            <w:r>
              <w:rPr>
                <w:rFonts w:hint="eastAsia" w:ascii="宋体" w:hAnsi="宋体"/>
                <w:b/>
                <w:bCs/>
                <w:color w:val="auto"/>
                <w:szCs w:val="21"/>
                <w:highlight w:val="none"/>
              </w:rPr>
              <w:t>：</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有效报价范围：为</w:t>
            </w:r>
            <w:r>
              <w:rPr>
                <w:rFonts w:hint="eastAsia" w:ascii="宋体" w:hAnsi="宋体"/>
                <w:color w:val="auto"/>
                <w:szCs w:val="21"/>
                <w:highlight w:val="none"/>
              </w:rPr>
              <w:t>磋商</w:t>
            </w:r>
            <w:r>
              <w:rPr>
                <w:rFonts w:ascii="宋体" w:hAnsi="宋体"/>
                <w:color w:val="auto"/>
                <w:szCs w:val="21"/>
                <w:highlight w:val="none"/>
              </w:rPr>
              <w:t>总价低于或等于上限控制价，通过</w:t>
            </w:r>
            <w:r>
              <w:rPr>
                <w:rFonts w:hint="eastAsia" w:ascii="宋体" w:hAnsi="宋体"/>
                <w:color w:val="auto"/>
                <w:szCs w:val="21"/>
                <w:highlight w:val="none"/>
              </w:rPr>
              <w:t>初步</w:t>
            </w:r>
            <w:r>
              <w:rPr>
                <w:rFonts w:ascii="宋体" w:hAnsi="宋体"/>
                <w:color w:val="auto"/>
                <w:szCs w:val="21"/>
                <w:highlight w:val="none"/>
              </w:rPr>
              <w:t>评审，经</w:t>
            </w:r>
            <w:r>
              <w:rPr>
                <w:rFonts w:hint="eastAsia" w:ascii="宋体" w:hAnsi="宋体"/>
                <w:color w:val="auto"/>
                <w:szCs w:val="21"/>
                <w:highlight w:val="none"/>
              </w:rPr>
              <w:t>磋商小组</w:t>
            </w:r>
            <w:r>
              <w:rPr>
                <w:rFonts w:ascii="宋体" w:hAnsi="宋体"/>
                <w:color w:val="auto"/>
                <w:szCs w:val="21"/>
                <w:highlight w:val="none"/>
              </w:rPr>
              <w:t>审定不存在严重不平衡、不合理、不低于其企业成本</w:t>
            </w:r>
            <w:r>
              <w:rPr>
                <w:rFonts w:hint="eastAsia" w:ascii="宋体" w:hAnsi="宋体"/>
                <w:color w:val="auto"/>
                <w:szCs w:val="21"/>
                <w:highlight w:val="none"/>
              </w:rPr>
              <w:t>的磋商供应商磋商</w:t>
            </w:r>
            <w:r>
              <w:rPr>
                <w:rFonts w:ascii="宋体" w:hAnsi="宋体"/>
                <w:color w:val="auto"/>
                <w:szCs w:val="21"/>
                <w:highlight w:val="none"/>
              </w:rPr>
              <w:t>总价。</w:t>
            </w:r>
          </w:p>
          <w:p>
            <w:pPr>
              <w:spacing w:line="276" w:lineRule="auto"/>
              <w:ind w:firstLine="420" w:firstLineChars="200"/>
              <w:rPr>
                <w:rFonts w:ascii="宋体" w:hAnsi="宋体"/>
                <w:b/>
                <w:bCs/>
                <w:color w:val="auto"/>
                <w:szCs w:val="21"/>
                <w:highlight w:val="none"/>
              </w:rPr>
            </w:pPr>
            <w:r>
              <w:rPr>
                <w:rFonts w:hint="eastAsia" w:ascii="宋体" w:hAnsi="宋体"/>
                <w:b/>
                <w:bCs/>
                <w:color w:val="auto"/>
                <w:szCs w:val="21"/>
                <w:highlight w:val="none"/>
              </w:rPr>
              <w:t>报价分</w:t>
            </w:r>
            <w:r>
              <w:rPr>
                <w:rFonts w:ascii="宋体" w:hAnsi="宋体"/>
                <w:b/>
                <w:bCs/>
                <w:color w:val="auto"/>
                <w:szCs w:val="21"/>
                <w:highlight w:val="none"/>
              </w:rPr>
              <w:t>评分标准</w:t>
            </w:r>
            <w:r>
              <w:rPr>
                <w:rFonts w:hint="eastAsia" w:ascii="宋体" w:hAnsi="宋体"/>
                <w:b/>
                <w:bCs/>
                <w:color w:val="auto"/>
                <w:szCs w:val="21"/>
                <w:highlight w:val="none"/>
              </w:rPr>
              <w:t>：</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以进入详细评审的最低评标价为评标基准价，得20分。投标报价分计算公式：</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报价分= 评标基准价（金额）/投标人评标价（金额）×20分。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gridSpan w:val="2"/>
            <w:vMerge w:val="restart"/>
            <w:noWrap/>
            <w:vAlign w:val="center"/>
          </w:tcPr>
          <w:p>
            <w:pPr>
              <w:spacing w:line="400" w:lineRule="exact"/>
              <w:jc w:val="left"/>
              <w:rPr>
                <w:rFonts w:ascii="宋体" w:hAnsi="宋体"/>
                <w:b/>
                <w:color w:val="auto"/>
                <w:szCs w:val="21"/>
                <w:highlight w:val="none"/>
              </w:rPr>
            </w:pPr>
            <w:r>
              <w:rPr>
                <w:rFonts w:hint="eastAsia" w:ascii="宋体" w:hAnsi="宋体"/>
                <w:b/>
                <w:color w:val="auto"/>
                <w:kern w:val="0"/>
                <w:szCs w:val="21"/>
                <w:highlight w:val="none"/>
              </w:rPr>
              <w:t>施工组织设计</w:t>
            </w:r>
          </w:p>
          <w:p>
            <w:pPr>
              <w:spacing w:line="400" w:lineRule="exact"/>
              <w:jc w:val="left"/>
              <w:rPr>
                <w:rFonts w:ascii="宋体" w:hAnsi="宋体"/>
                <w:b/>
                <w:color w:val="auto"/>
                <w:szCs w:val="21"/>
                <w:highlight w:val="none"/>
              </w:rPr>
            </w:pPr>
            <w:r>
              <w:rPr>
                <w:rFonts w:hint="eastAsia" w:ascii="宋体" w:hAnsi="宋体"/>
                <w:b/>
                <w:color w:val="auto"/>
                <w:szCs w:val="21"/>
                <w:highlight w:val="none"/>
              </w:rPr>
              <w:t>（满分60分）</w:t>
            </w:r>
          </w:p>
          <w:p>
            <w:pPr>
              <w:spacing w:line="400" w:lineRule="exact"/>
              <w:jc w:val="left"/>
              <w:rPr>
                <w:rFonts w:ascii="宋体" w:hAnsi="宋体"/>
                <w:b/>
                <w:color w:val="auto"/>
                <w:kern w:val="0"/>
                <w:szCs w:val="21"/>
                <w:highlight w:val="none"/>
              </w:rPr>
            </w:pPr>
            <w:r>
              <w:rPr>
                <w:rFonts w:hint="eastAsia" w:ascii="宋体" w:hAnsi="宋体" w:cs="宋体"/>
                <w:color w:val="auto"/>
                <w:kern w:val="0"/>
                <w:szCs w:val="21"/>
                <w:highlight w:val="none"/>
              </w:rPr>
              <w:t>由评委根据竞标人施工组织设计编制内容</w:t>
            </w:r>
            <w:r>
              <w:rPr>
                <w:rFonts w:hint="eastAsia" w:ascii="宋体" w:hAnsi="宋体" w:cs="宋体"/>
                <w:bCs/>
                <w:color w:val="auto"/>
                <w:szCs w:val="21"/>
                <w:highlight w:val="none"/>
              </w:rPr>
              <w:t>优劣进行独立打分。</w:t>
            </w:r>
            <w:r>
              <w:rPr>
                <w:rFonts w:hint="eastAsia" w:ascii="宋体" w:hAnsi="宋体" w:cs="宋体"/>
                <w:color w:val="auto"/>
                <w:kern w:val="0"/>
                <w:szCs w:val="21"/>
                <w:highlight w:val="none"/>
              </w:rPr>
              <w:t>【一档</w:t>
            </w:r>
            <w:r>
              <w:rPr>
                <w:rFonts w:hint="eastAsia" w:ascii="宋体" w:hAnsi="宋体"/>
                <w:color w:val="auto"/>
                <w:highlight w:val="none"/>
              </w:rPr>
              <w:t>6分；二档4分；三档2分；四档1分</w:t>
            </w:r>
            <w:r>
              <w:rPr>
                <w:rFonts w:hint="eastAsia" w:ascii="宋体" w:hAnsi="宋体" w:cs="宋体"/>
                <w:color w:val="auto"/>
                <w:kern w:val="0"/>
                <w:szCs w:val="21"/>
                <w:highlight w:val="none"/>
              </w:rPr>
              <w:t>】</w:t>
            </w:r>
          </w:p>
          <w:p>
            <w:pPr>
              <w:spacing w:line="400" w:lineRule="exact"/>
              <w:jc w:val="left"/>
              <w:rPr>
                <w:rFonts w:ascii="宋体" w:hAnsi="宋体"/>
                <w:b/>
                <w:color w:val="auto"/>
                <w:kern w:val="0"/>
                <w:szCs w:val="21"/>
                <w:highlight w:val="none"/>
              </w:rPr>
            </w:pPr>
          </w:p>
          <w:p>
            <w:pPr>
              <w:spacing w:line="400" w:lineRule="exact"/>
              <w:jc w:val="left"/>
              <w:rPr>
                <w:rFonts w:ascii="宋体" w:hAnsi="宋体"/>
                <w:b/>
                <w:color w:val="auto"/>
                <w:kern w:val="0"/>
                <w:szCs w:val="21"/>
                <w:highlight w:val="none"/>
              </w:rPr>
            </w:pPr>
          </w:p>
          <w:p>
            <w:pPr>
              <w:spacing w:line="400" w:lineRule="exact"/>
              <w:jc w:val="left"/>
              <w:rPr>
                <w:rFonts w:ascii="宋体" w:hAnsi="宋体"/>
                <w:b/>
                <w:color w:val="auto"/>
                <w:kern w:val="0"/>
                <w:szCs w:val="21"/>
                <w:highlight w:val="none"/>
              </w:rPr>
            </w:pPr>
          </w:p>
          <w:p>
            <w:pPr>
              <w:spacing w:line="420" w:lineRule="exact"/>
              <w:jc w:val="center"/>
              <w:rPr>
                <w:rFonts w:ascii="宋体" w:hAnsi="宋体" w:cs="宋体"/>
                <w:color w:val="auto"/>
                <w:kern w:val="0"/>
                <w:szCs w:val="21"/>
                <w:highlight w:val="none"/>
              </w:rPr>
            </w:pPr>
          </w:p>
        </w:tc>
        <w:tc>
          <w:tcPr>
            <w:tcW w:w="2033" w:type="dxa"/>
            <w:noWrap/>
            <w:vAlign w:val="center"/>
          </w:tcPr>
          <w:p>
            <w:pPr>
              <w:spacing w:line="360" w:lineRule="auto"/>
              <w:jc w:val="center"/>
              <w:rPr>
                <w:rFonts w:ascii="宋体"/>
                <w:color w:val="auto"/>
                <w:highlight w:val="none"/>
              </w:rPr>
            </w:pPr>
            <w:r>
              <w:rPr>
                <w:rFonts w:hint="eastAsia" w:ascii="宋体" w:hAnsi="宋体"/>
                <w:color w:val="auto"/>
                <w:highlight w:val="none"/>
              </w:rPr>
              <w:t>主要施工方法</w:t>
            </w:r>
          </w:p>
          <w:p>
            <w:pPr>
              <w:spacing w:line="420" w:lineRule="exact"/>
              <w:jc w:val="center"/>
              <w:rPr>
                <w:rFonts w:ascii="宋体" w:hAnsi="宋体" w:cs="宋体"/>
                <w:b/>
                <w:color w:val="auto"/>
                <w:szCs w:val="21"/>
                <w:highlight w:val="none"/>
              </w:rPr>
            </w:pPr>
            <w:r>
              <w:rPr>
                <w:rFonts w:hint="eastAsia" w:ascii="宋体" w:hAnsi="宋体"/>
                <w:color w:val="auto"/>
                <w:highlight w:val="none"/>
              </w:rPr>
              <w:t>（6分）</w:t>
            </w:r>
          </w:p>
        </w:tc>
        <w:tc>
          <w:tcPr>
            <w:tcW w:w="6810" w:type="dxa"/>
            <w:gridSpan w:val="2"/>
            <w:noWrap/>
            <w:vAlign w:val="center"/>
          </w:tcPr>
          <w:p>
            <w:pPr>
              <w:spacing w:line="420" w:lineRule="exact"/>
              <w:rPr>
                <w:rFonts w:ascii="宋体" w:hAnsi="宋体" w:cs="宋体"/>
                <w:color w:val="auto"/>
                <w:szCs w:val="21"/>
                <w:highlight w:val="none"/>
              </w:rPr>
            </w:pPr>
            <w:r>
              <w:rPr>
                <w:rFonts w:hint="eastAsia" w:ascii="宋体" w:hAnsi="宋体"/>
                <w:color w:val="auto"/>
                <w:highlight w:val="none"/>
              </w:rPr>
              <w:t>各主要分部施工方法符合项目实际，须有详尽的施工技术方案，工艺先进、方法科学合理、可行，能指导具体施工并确保安全。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noWrap/>
            <w:vAlign w:val="center"/>
          </w:tcPr>
          <w:p>
            <w:pPr>
              <w:spacing w:line="420" w:lineRule="exact"/>
              <w:jc w:val="center"/>
              <w:rPr>
                <w:rFonts w:ascii="宋体" w:hAnsi="宋体" w:cs="宋体"/>
                <w:b/>
                <w:color w:val="auto"/>
                <w:kern w:val="0"/>
                <w:szCs w:val="21"/>
                <w:highlight w:val="none"/>
              </w:rPr>
            </w:pPr>
          </w:p>
        </w:tc>
        <w:tc>
          <w:tcPr>
            <w:tcW w:w="2033" w:type="dxa"/>
            <w:noWrap/>
            <w:vAlign w:val="center"/>
          </w:tcPr>
          <w:p>
            <w:pPr>
              <w:spacing w:line="420" w:lineRule="exact"/>
              <w:jc w:val="center"/>
              <w:rPr>
                <w:rFonts w:ascii="宋体" w:hAnsi="宋体" w:cs="宋体"/>
                <w:b/>
                <w:color w:val="auto"/>
                <w:szCs w:val="21"/>
                <w:highlight w:val="none"/>
              </w:rPr>
            </w:pPr>
            <w:r>
              <w:rPr>
                <w:rFonts w:hint="eastAsia" w:ascii="宋体" w:hAnsi="宋体"/>
                <w:color w:val="auto"/>
                <w:highlight w:val="none"/>
              </w:rPr>
              <w:t>拟投入的主要物资计划（6分）</w:t>
            </w:r>
          </w:p>
        </w:tc>
        <w:tc>
          <w:tcPr>
            <w:tcW w:w="6810" w:type="dxa"/>
            <w:gridSpan w:val="2"/>
            <w:noWrap/>
            <w:vAlign w:val="center"/>
          </w:tcPr>
          <w:p>
            <w:pPr>
              <w:widowControl/>
              <w:spacing w:line="360" w:lineRule="auto"/>
              <w:rPr>
                <w:rFonts w:ascii="宋体" w:hAnsi="宋体" w:cs="宋体"/>
                <w:color w:val="auto"/>
                <w:szCs w:val="21"/>
                <w:highlight w:val="none"/>
              </w:rPr>
            </w:pPr>
            <w:r>
              <w:rPr>
                <w:rFonts w:hint="eastAsia" w:ascii="宋体" w:hAnsi="宋体"/>
                <w:color w:val="auto"/>
                <w:highlight w:val="none"/>
              </w:rPr>
              <w:t>投入的施工材料有详细的组织计划且计划周密，数量、选型配置、进场时间安排合理，满足施工需要。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595" w:type="dxa"/>
            <w:gridSpan w:val="2"/>
            <w:vMerge w:val="continue"/>
            <w:noWrap/>
            <w:vAlign w:val="center"/>
          </w:tcPr>
          <w:p>
            <w:pPr>
              <w:spacing w:line="420" w:lineRule="exact"/>
              <w:ind w:firstLine="420" w:firstLineChars="200"/>
              <w:rPr>
                <w:color w:val="auto"/>
                <w:highlight w:val="none"/>
              </w:rPr>
            </w:pPr>
          </w:p>
        </w:tc>
        <w:tc>
          <w:tcPr>
            <w:tcW w:w="2033"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拟投入的主要施工机械、设备计划</w:t>
            </w:r>
          </w:p>
          <w:p>
            <w:pPr>
              <w:widowControl/>
              <w:spacing w:line="360" w:lineRule="auto"/>
              <w:jc w:val="center"/>
              <w:rPr>
                <w:color w:val="auto"/>
                <w:highlight w:val="none"/>
              </w:rPr>
            </w:pPr>
            <w:r>
              <w:rPr>
                <w:rFonts w:hint="eastAsia" w:ascii="宋体" w:hAnsi="宋体"/>
                <w:color w:val="auto"/>
                <w:highlight w:val="none"/>
              </w:rPr>
              <w:t>（6分）</w:t>
            </w:r>
          </w:p>
        </w:tc>
        <w:tc>
          <w:tcPr>
            <w:tcW w:w="6810" w:type="dxa"/>
            <w:gridSpan w:val="2"/>
            <w:noWrap/>
            <w:vAlign w:val="center"/>
          </w:tcPr>
          <w:p>
            <w:pPr>
              <w:widowControl/>
              <w:spacing w:line="360" w:lineRule="auto"/>
              <w:rPr>
                <w:rFonts w:ascii="宋体" w:hAnsi="宋体" w:cs="宋体"/>
                <w:bCs/>
                <w:color w:val="auto"/>
                <w:szCs w:val="21"/>
                <w:highlight w:val="none"/>
              </w:rPr>
            </w:pPr>
            <w:r>
              <w:rPr>
                <w:rFonts w:hint="eastAsia" w:ascii="宋体" w:hAnsi="宋体"/>
                <w:color w:val="auto"/>
                <w:highlight w:val="none"/>
              </w:rPr>
              <w:t>投入的施工机械、设备、机具有详细的组织计划且计划周密，设备数量、选型配置、进场时间安排合理，满足施工需要。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noWrap/>
            <w:vAlign w:val="center"/>
          </w:tcPr>
          <w:p>
            <w:pPr>
              <w:spacing w:line="420" w:lineRule="exact"/>
              <w:ind w:firstLine="420" w:firstLineChars="200"/>
              <w:rPr>
                <w:rFonts w:ascii="宋体" w:hAnsi="宋体" w:cs="宋体"/>
                <w:bCs/>
                <w:color w:val="auto"/>
                <w:szCs w:val="21"/>
                <w:highlight w:val="none"/>
              </w:rPr>
            </w:pPr>
          </w:p>
        </w:tc>
        <w:tc>
          <w:tcPr>
            <w:tcW w:w="2033"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劳动力安排计划</w:t>
            </w:r>
          </w:p>
          <w:p>
            <w:pPr>
              <w:widowControl/>
              <w:spacing w:line="360" w:lineRule="auto"/>
              <w:jc w:val="center"/>
              <w:rPr>
                <w:rFonts w:ascii="宋体" w:hAnsi="宋体" w:cs="宋体"/>
                <w:bCs/>
                <w:color w:val="auto"/>
                <w:szCs w:val="21"/>
                <w:highlight w:val="none"/>
              </w:rPr>
            </w:pPr>
            <w:r>
              <w:rPr>
                <w:rFonts w:hint="eastAsia" w:ascii="宋体" w:hAnsi="宋体"/>
                <w:color w:val="auto"/>
                <w:highlight w:val="none"/>
              </w:rPr>
              <w:t>（6分）</w:t>
            </w:r>
          </w:p>
        </w:tc>
        <w:tc>
          <w:tcPr>
            <w:tcW w:w="6810" w:type="dxa"/>
            <w:gridSpan w:val="2"/>
            <w:noWrap/>
            <w:vAlign w:val="center"/>
          </w:tcPr>
          <w:p>
            <w:pPr>
              <w:widowControl/>
              <w:spacing w:line="360" w:lineRule="auto"/>
              <w:rPr>
                <w:rFonts w:ascii="宋体" w:hAnsi="宋体" w:cs="宋体"/>
                <w:bCs/>
                <w:color w:val="auto"/>
                <w:szCs w:val="21"/>
                <w:highlight w:val="none"/>
              </w:rPr>
            </w:pPr>
            <w:r>
              <w:rPr>
                <w:rFonts w:hint="eastAsia" w:ascii="宋体" w:hAnsi="宋体"/>
                <w:color w:val="auto"/>
                <w:highlight w:val="none"/>
              </w:rPr>
              <w:t>各主要施工工序应有详细周密的劳动力安排计划，有各工种劳动力安排计划，劳动力投入合理，满足施工需要。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1595" w:type="dxa"/>
            <w:gridSpan w:val="2"/>
            <w:vMerge w:val="continue"/>
            <w:noWrap/>
            <w:vAlign w:val="center"/>
          </w:tcPr>
          <w:p>
            <w:pPr>
              <w:spacing w:line="420" w:lineRule="exact"/>
              <w:ind w:firstLine="420" w:firstLineChars="200"/>
              <w:rPr>
                <w:rFonts w:ascii="宋体" w:hAnsi="宋体" w:cs="宋体"/>
                <w:bCs/>
                <w:color w:val="auto"/>
                <w:szCs w:val="21"/>
                <w:highlight w:val="none"/>
              </w:rPr>
            </w:pPr>
          </w:p>
        </w:tc>
        <w:tc>
          <w:tcPr>
            <w:tcW w:w="2033" w:type="dxa"/>
            <w:noWrap/>
            <w:vAlign w:val="center"/>
          </w:tcPr>
          <w:p>
            <w:pPr>
              <w:widowControl/>
              <w:spacing w:line="360" w:lineRule="auto"/>
              <w:jc w:val="center"/>
              <w:rPr>
                <w:rFonts w:ascii="宋体" w:hAnsi="宋体" w:cs="宋体"/>
                <w:bCs/>
                <w:color w:val="auto"/>
                <w:szCs w:val="21"/>
                <w:highlight w:val="none"/>
              </w:rPr>
            </w:pPr>
            <w:r>
              <w:rPr>
                <w:rFonts w:hint="eastAsia" w:ascii="宋体" w:hAnsi="宋体"/>
                <w:color w:val="auto"/>
                <w:highlight w:val="none"/>
              </w:rPr>
              <w:t>确保工程质量的技术组织措施（6分）</w:t>
            </w:r>
          </w:p>
        </w:tc>
        <w:tc>
          <w:tcPr>
            <w:tcW w:w="6810" w:type="dxa"/>
            <w:gridSpan w:val="2"/>
            <w:noWrap/>
            <w:vAlign w:val="center"/>
          </w:tcPr>
          <w:p>
            <w:pPr>
              <w:widowControl/>
              <w:spacing w:line="360" w:lineRule="auto"/>
              <w:rPr>
                <w:rFonts w:ascii="宋体" w:hAnsi="宋体" w:cs="宋体"/>
                <w:bCs/>
                <w:color w:val="auto"/>
                <w:szCs w:val="21"/>
                <w:highlight w:val="none"/>
              </w:rPr>
            </w:pPr>
            <w:r>
              <w:rPr>
                <w:rFonts w:hint="eastAsia" w:ascii="宋体" w:hAnsi="宋体"/>
                <w:color w:val="auto"/>
                <w:highlight w:val="none"/>
              </w:rPr>
              <w:t>应有专门的质量技术管理班子和制度，且人员配备合理，制度健全。主要工序应有质量技术保证措施和手段，自控体系完整，能有效保证技术质量，达到承诺的质量标准。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noWrap/>
            <w:vAlign w:val="center"/>
          </w:tcPr>
          <w:p>
            <w:pPr>
              <w:spacing w:line="420" w:lineRule="exact"/>
              <w:ind w:firstLine="420" w:firstLineChars="200"/>
              <w:rPr>
                <w:rFonts w:ascii="宋体" w:hAnsi="宋体" w:cs="宋体"/>
                <w:bCs/>
                <w:color w:val="auto"/>
                <w:szCs w:val="21"/>
                <w:highlight w:val="none"/>
              </w:rPr>
            </w:pPr>
          </w:p>
        </w:tc>
        <w:tc>
          <w:tcPr>
            <w:tcW w:w="2033" w:type="dxa"/>
            <w:noWrap/>
            <w:vAlign w:val="center"/>
          </w:tcPr>
          <w:p>
            <w:pPr>
              <w:widowControl/>
              <w:spacing w:line="360" w:lineRule="auto"/>
              <w:jc w:val="center"/>
              <w:rPr>
                <w:rFonts w:ascii="宋体" w:hAnsi="宋体" w:cs="宋体"/>
                <w:bCs/>
                <w:color w:val="auto"/>
                <w:szCs w:val="21"/>
                <w:highlight w:val="none"/>
              </w:rPr>
            </w:pPr>
            <w:r>
              <w:rPr>
                <w:rFonts w:hint="eastAsia" w:ascii="宋体" w:hAnsi="宋体"/>
                <w:color w:val="auto"/>
                <w:highlight w:val="none"/>
              </w:rPr>
              <w:t>确保安全生产的技术组织措施（6分）</w:t>
            </w:r>
          </w:p>
        </w:tc>
        <w:tc>
          <w:tcPr>
            <w:tcW w:w="6810" w:type="dxa"/>
            <w:gridSpan w:val="2"/>
            <w:noWrap/>
            <w:vAlign w:val="center"/>
          </w:tcPr>
          <w:p>
            <w:pPr>
              <w:widowControl/>
              <w:spacing w:line="360" w:lineRule="auto"/>
              <w:rPr>
                <w:rFonts w:ascii="宋体" w:hAnsi="宋体" w:cs="宋体"/>
                <w:bCs/>
                <w:color w:val="auto"/>
                <w:szCs w:val="21"/>
                <w:highlight w:val="none"/>
              </w:rPr>
            </w:pPr>
            <w:r>
              <w:rPr>
                <w:rFonts w:hint="eastAsia" w:ascii="宋体" w:hAnsi="宋体"/>
                <w:color w:val="auto"/>
                <w:highlight w:val="none"/>
              </w:rPr>
              <w:t>应有专门的安全管理人员和制度，且人员配备合理，制度健全，各道工序安全技术措施针对性强，符合实际且满足有关安全技术标准要求。现场防火、应急救援、社会治安安全措施得力。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noWrap/>
            <w:vAlign w:val="center"/>
          </w:tcPr>
          <w:p>
            <w:pPr>
              <w:spacing w:line="420" w:lineRule="exact"/>
              <w:ind w:firstLine="420" w:firstLineChars="200"/>
              <w:rPr>
                <w:rFonts w:ascii="宋体" w:hAnsi="宋体" w:cs="宋体"/>
                <w:bCs/>
                <w:color w:val="auto"/>
                <w:szCs w:val="21"/>
                <w:highlight w:val="none"/>
              </w:rPr>
            </w:pPr>
          </w:p>
        </w:tc>
        <w:tc>
          <w:tcPr>
            <w:tcW w:w="2033"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确保工期的技术组织措施（6分）</w:t>
            </w:r>
          </w:p>
        </w:tc>
        <w:tc>
          <w:tcPr>
            <w:tcW w:w="6810" w:type="dxa"/>
            <w:gridSpan w:val="2"/>
            <w:noWrap/>
            <w:vAlign w:val="center"/>
          </w:tcPr>
          <w:p>
            <w:pPr>
              <w:widowControl/>
              <w:spacing w:line="360" w:lineRule="auto"/>
              <w:rPr>
                <w:rFonts w:ascii="宋体" w:hAnsi="宋体"/>
                <w:color w:val="auto"/>
                <w:highlight w:val="none"/>
              </w:rPr>
            </w:pPr>
            <w:r>
              <w:rPr>
                <w:rFonts w:hint="eastAsia" w:ascii="宋体" w:hAnsi="宋体"/>
                <w:color w:val="auto"/>
                <w:highlight w:val="none"/>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noWrap/>
            <w:vAlign w:val="center"/>
          </w:tcPr>
          <w:p>
            <w:pPr>
              <w:spacing w:line="420" w:lineRule="exact"/>
              <w:ind w:firstLine="420" w:firstLineChars="200"/>
              <w:rPr>
                <w:rFonts w:ascii="宋体" w:hAnsi="宋体" w:cs="宋体"/>
                <w:bCs/>
                <w:color w:val="auto"/>
                <w:szCs w:val="21"/>
                <w:highlight w:val="none"/>
              </w:rPr>
            </w:pPr>
          </w:p>
        </w:tc>
        <w:tc>
          <w:tcPr>
            <w:tcW w:w="2033"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确保文明施工的技术组织措施（6分）</w:t>
            </w:r>
          </w:p>
        </w:tc>
        <w:tc>
          <w:tcPr>
            <w:tcW w:w="6810" w:type="dxa"/>
            <w:gridSpan w:val="2"/>
            <w:noWrap/>
            <w:vAlign w:val="center"/>
          </w:tcPr>
          <w:p>
            <w:pPr>
              <w:widowControl/>
              <w:spacing w:line="360" w:lineRule="auto"/>
              <w:rPr>
                <w:rFonts w:ascii="宋体" w:hAnsi="宋体"/>
                <w:color w:val="auto"/>
                <w:highlight w:val="none"/>
              </w:rPr>
            </w:pPr>
            <w:r>
              <w:rPr>
                <w:rFonts w:hint="eastAsia" w:ascii="宋体" w:hAnsi="宋体"/>
                <w:color w:val="auto"/>
                <w:highlight w:val="none"/>
              </w:rPr>
              <w:t>针对本工程项目特点，应有现场文明施工、环境保护措施。各项措施周全、具体、有效。有具体实现现场文明施工目标的承诺。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noWrap/>
            <w:vAlign w:val="center"/>
          </w:tcPr>
          <w:p>
            <w:pPr>
              <w:spacing w:line="420" w:lineRule="exact"/>
              <w:ind w:firstLine="420" w:firstLineChars="200"/>
              <w:rPr>
                <w:rFonts w:ascii="宋体" w:hAnsi="宋体" w:cs="宋体"/>
                <w:bCs/>
                <w:color w:val="auto"/>
                <w:szCs w:val="21"/>
                <w:highlight w:val="none"/>
              </w:rPr>
            </w:pPr>
          </w:p>
        </w:tc>
        <w:tc>
          <w:tcPr>
            <w:tcW w:w="2033" w:type="dxa"/>
            <w:noWrap/>
            <w:vAlign w:val="center"/>
          </w:tcPr>
          <w:p>
            <w:pPr>
              <w:widowControl/>
              <w:spacing w:line="360" w:lineRule="auto"/>
              <w:jc w:val="center"/>
              <w:rPr>
                <w:rFonts w:ascii="宋体"/>
                <w:color w:val="auto"/>
                <w:highlight w:val="none"/>
              </w:rPr>
            </w:pPr>
            <w:r>
              <w:rPr>
                <w:rFonts w:hint="eastAsia" w:ascii="宋体" w:hAnsi="宋体"/>
                <w:color w:val="auto"/>
                <w:highlight w:val="none"/>
              </w:rPr>
              <w:t>工程施工的重点和难点及保证措施</w:t>
            </w:r>
          </w:p>
          <w:p>
            <w:pPr>
              <w:widowControl/>
              <w:spacing w:line="360" w:lineRule="auto"/>
              <w:jc w:val="center"/>
              <w:rPr>
                <w:rFonts w:ascii="宋体" w:hAnsi="宋体"/>
                <w:color w:val="auto"/>
                <w:highlight w:val="none"/>
              </w:rPr>
            </w:pPr>
            <w:r>
              <w:rPr>
                <w:rFonts w:hint="eastAsia" w:ascii="宋体" w:hAnsi="宋体"/>
                <w:color w:val="auto"/>
                <w:highlight w:val="none"/>
              </w:rPr>
              <w:t>（6分）</w:t>
            </w:r>
          </w:p>
        </w:tc>
        <w:tc>
          <w:tcPr>
            <w:tcW w:w="6810" w:type="dxa"/>
            <w:gridSpan w:val="2"/>
            <w:noWrap/>
            <w:vAlign w:val="center"/>
          </w:tcPr>
          <w:p>
            <w:pPr>
              <w:widowControl/>
              <w:spacing w:line="360" w:lineRule="auto"/>
              <w:rPr>
                <w:rFonts w:ascii="宋体" w:hAnsi="宋体"/>
                <w:color w:val="auto"/>
                <w:highlight w:val="none"/>
              </w:rPr>
            </w:pPr>
            <w:r>
              <w:rPr>
                <w:rFonts w:hint="eastAsia" w:ascii="宋体" w:hAnsi="宋体"/>
                <w:color w:val="auto"/>
                <w:highlight w:val="none"/>
              </w:rPr>
              <w:t>针对本工程的特点，阐述本工程的重点和难点，解决重点和难点问题的方法是否合理。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noWrap/>
            <w:vAlign w:val="center"/>
          </w:tcPr>
          <w:p>
            <w:pPr>
              <w:spacing w:line="420" w:lineRule="exact"/>
              <w:ind w:firstLine="420" w:firstLineChars="200"/>
              <w:rPr>
                <w:rFonts w:ascii="宋体" w:hAnsi="宋体" w:cs="宋体"/>
                <w:bCs/>
                <w:color w:val="auto"/>
                <w:szCs w:val="21"/>
                <w:highlight w:val="none"/>
              </w:rPr>
            </w:pPr>
          </w:p>
        </w:tc>
        <w:tc>
          <w:tcPr>
            <w:tcW w:w="2033"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施工总平面布置图（6分）</w:t>
            </w:r>
          </w:p>
        </w:tc>
        <w:tc>
          <w:tcPr>
            <w:tcW w:w="6810" w:type="dxa"/>
            <w:gridSpan w:val="2"/>
            <w:noWrap/>
            <w:vAlign w:val="center"/>
          </w:tcPr>
          <w:p>
            <w:pPr>
              <w:widowControl/>
              <w:spacing w:line="360" w:lineRule="auto"/>
              <w:rPr>
                <w:rFonts w:ascii="宋体" w:hAnsi="宋体"/>
                <w:color w:val="auto"/>
                <w:highlight w:val="none"/>
              </w:rPr>
            </w:pPr>
            <w:r>
              <w:rPr>
                <w:rFonts w:hint="eastAsia" w:ascii="宋体" w:hAnsi="宋体"/>
                <w:color w:val="auto"/>
                <w:highlight w:val="none"/>
              </w:rPr>
              <w:t>应有施工总平面布置图，安排科学合理，符合本项目施工实际要求。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595" w:type="dxa"/>
            <w:gridSpan w:val="2"/>
            <w:vMerge w:val="restart"/>
            <w:noWrap/>
            <w:vAlign w:val="center"/>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项目管理机构</w:t>
            </w:r>
          </w:p>
          <w:p>
            <w:pPr>
              <w:autoSpaceDE w:val="0"/>
              <w:autoSpaceDN w:val="0"/>
              <w:adjustRightInd w:val="0"/>
              <w:spacing w:line="420" w:lineRule="exact"/>
              <w:jc w:val="center"/>
              <w:rPr>
                <w:rFonts w:ascii="宋体" w:hAnsi="宋体" w:cs="宋体"/>
                <w:bCs/>
                <w:color w:val="auto"/>
                <w:kern w:val="0"/>
                <w:szCs w:val="21"/>
                <w:highlight w:val="none"/>
              </w:rPr>
            </w:pPr>
            <w:r>
              <w:rPr>
                <w:rFonts w:hint="eastAsia" w:ascii="宋体" w:hAnsi="宋体" w:cs="宋体"/>
                <w:b/>
                <w:color w:val="auto"/>
                <w:szCs w:val="21"/>
                <w:highlight w:val="none"/>
              </w:rPr>
              <w:t>（满分16分）</w:t>
            </w:r>
          </w:p>
        </w:tc>
        <w:tc>
          <w:tcPr>
            <w:tcW w:w="8843" w:type="dxa"/>
            <w:gridSpan w:val="3"/>
            <w:noWrap/>
            <w:vAlign w:val="center"/>
          </w:tcPr>
          <w:p>
            <w:pPr>
              <w:widowControl/>
              <w:numPr>
                <w:ilvl w:val="0"/>
                <w:numId w:val="0"/>
              </w:numPr>
              <w:spacing w:line="400" w:lineRule="exact"/>
              <w:ind w:right="-44" w:rightChars="-21"/>
              <w:jc w:val="left"/>
              <w:rPr>
                <w:color w:val="auto"/>
                <w:highlight w:val="none"/>
              </w:rPr>
            </w:pPr>
            <w:r>
              <w:rPr>
                <w:rFonts w:ascii="Times New Roman" w:hAnsi="Times New Roman" w:eastAsia="宋体" w:cs="Times New Roman"/>
                <w:color w:val="auto"/>
                <w:kern w:val="2"/>
                <w:sz w:val="21"/>
                <w:szCs w:val="24"/>
                <w:lang w:val="en-US" w:eastAsia="zh-CN" w:bidi="ar-SA"/>
              </w:rPr>
              <w:t>1、</w:t>
            </w:r>
            <w:r>
              <w:rPr>
                <w:rFonts w:hint="eastAsia"/>
                <w:color w:val="auto"/>
                <w:highlight w:val="none"/>
              </w:rPr>
              <w:t>项目经理（</w:t>
            </w:r>
            <w:r>
              <w:rPr>
                <w:color w:val="auto"/>
                <w:highlight w:val="none"/>
              </w:rPr>
              <w:t>6</w:t>
            </w:r>
            <w:r>
              <w:rPr>
                <w:rFonts w:hint="eastAsia"/>
                <w:color w:val="auto"/>
                <w:highlight w:val="none"/>
              </w:rPr>
              <w:t>分）</w:t>
            </w:r>
          </w:p>
          <w:p>
            <w:pPr>
              <w:widowControl/>
              <w:spacing w:line="440" w:lineRule="exact"/>
              <w:ind w:firstLine="420" w:firstLineChars="200"/>
              <w:jc w:val="left"/>
              <w:rPr>
                <w:color w:val="auto"/>
                <w:highlight w:val="none"/>
              </w:rPr>
            </w:pPr>
            <w:r>
              <w:rPr>
                <w:rFonts w:hint="eastAsia"/>
                <w:color w:val="auto"/>
                <w:highlight w:val="none"/>
              </w:rPr>
              <w:t>拟派项目经理具备</w:t>
            </w:r>
            <w:r>
              <w:rPr>
                <w:rFonts w:hint="eastAsia"/>
                <w:color w:val="auto"/>
                <w:highlight w:val="none"/>
                <w:lang w:eastAsia="zh-CN"/>
              </w:rPr>
              <w:t>建筑工程</w:t>
            </w:r>
            <w:r>
              <w:rPr>
                <w:rFonts w:hint="eastAsia"/>
                <w:color w:val="auto"/>
                <w:highlight w:val="none"/>
              </w:rPr>
              <w:t>专业二级及以上注册建造师证书执业资格的得</w:t>
            </w:r>
            <w:r>
              <w:rPr>
                <w:rFonts w:hint="eastAsia"/>
                <w:color w:val="auto"/>
                <w:highlight w:val="none"/>
                <w:lang w:val="en-US" w:eastAsia="zh-CN"/>
              </w:rPr>
              <w:t>6</w:t>
            </w:r>
            <w:r>
              <w:rPr>
                <w:rFonts w:hint="eastAsia"/>
                <w:color w:val="auto"/>
                <w:highlight w:val="none"/>
              </w:rPr>
              <w:t>分，满分</w:t>
            </w:r>
            <w:r>
              <w:rPr>
                <w:color w:val="auto"/>
                <w:highlight w:val="none"/>
              </w:rPr>
              <w:t>6</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595" w:type="dxa"/>
            <w:gridSpan w:val="2"/>
            <w:vMerge w:val="continue"/>
            <w:noWrap/>
          </w:tcPr>
          <w:p>
            <w:pPr>
              <w:spacing w:after="120"/>
              <w:ind w:firstLine="420" w:firstLineChars="200"/>
              <w:rPr>
                <w:bCs/>
                <w:color w:val="auto"/>
                <w:highlight w:val="none"/>
              </w:rPr>
            </w:pPr>
          </w:p>
        </w:tc>
        <w:tc>
          <w:tcPr>
            <w:tcW w:w="8843" w:type="dxa"/>
            <w:gridSpan w:val="3"/>
            <w:noWrap/>
            <w:vAlign w:val="center"/>
          </w:tcPr>
          <w:p>
            <w:pPr>
              <w:spacing w:line="400" w:lineRule="exact"/>
              <w:jc w:val="left"/>
              <w:rPr>
                <w:rFonts w:ascii="宋体" w:hAnsi="宋体" w:cs="宋体"/>
                <w:bCs/>
                <w:color w:val="auto"/>
                <w:szCs w:val="21"/>
                <w:highlight w:val="none"/>
              </w:rPr>
            </w:pPr>
            <w:r>
              <w:rPr>
                <w:rFonts w:hint="eastAsia" w:ascii="宋体" w:hAnsi="宋体" w:cs="宋体"/>
                <w:bCs/>
                <w:color w:val="auto"/>
                <w:szCs w:val="21"/>
                <w:highlight w:val="none"/>
              </w:rPr>
              <w:t>2、技术负责人（5分）</w:t>
            </w:r>
          </w:p>
          <w:p>
            <w:pPr>
              <w:pStyle w:val="16"/>
              <w:ind w:firstLine="420" w:firstLineChars="200"/>
              <w:rPr>
                <w:color w:val="auto"/>
                <w:highlight w:val="none"/>
              </w:rPr>
            </w:pPr>
            <w:r>
              <w:rPr>
                <w:rFonts w:hint="eastAsia" w:ascii="宋体" w:hAnsi="宋体" w:cs="宋体"/>
                <w:bCs/>
                <w:color w:val="auto"/>
                <w:szCs w:val="21"/>
                <w:highlight w:val="none"/>
              </w:rPr>
              <w:t>拟派往本项目的技术负责人具备中级及以上职称的得3分，职称专业为</w:t>
            </w:r>
            <w:r>
              <w:rPr>
                <w:rFonts w:hint="eastAsia" w:ascii="宋体" w:hAnsi="宋体" w:cs="宋体"/>
                <w:bCs/>
                <w:color w:val="auto"/>
                <w:szCs w:val="21"/>
                <w:highlight w:val="none"/>
                <w:lang w:eastAsia="zh-CN"/>
              </w:rPr>
              <w:t>建筑</w:t>
            </w:r>
            <w:r>
              <w:rPr>
                <w:rFonts w:hint="eastAsia" w:ascii="宋体" w:hAnsi="宋体" w:cs="宋体"/>
                <w:bCs/>
                <w:color w:val="auto"/>
                <w:szCs w:val="21"/>
                <w:highlight w:val="none"/>
              </w:rPr>
              <w:t>类专业的加2分，满分5分。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595" w:type="dxa"/>
            <w:gridSpan w:val="2"/>
            <w:vMerge w:val="continue"/>
            <w:noWrap/>
          </w:tcPr>
          <w:p>
            <w:pPr>
              <w:spacing w:after="120"/>
              <w:ind w:firstLine="420" w:firstLineChars="200"/>
              <w:rPr>
                <w:rFonts w:ascii="Calibri" w:hAnsi="Calibri"/>
                <w:color w:val="auto"/>
                <w:highlight w:val="none"/>
              </w:rPr>
            </w:pPr>
          </w:p>
        </w:tc>
        <w:tc>
          <w:tcPr>
            <w:tcW w:w="8843" w:type="dxa"/>
            <w:gridSpan w:val="3"/>
            <w:noWrap/>
            <w:vAlign w:val="center"/>
          </w:tcPr>
          <w:p>
            <w:pPr>
              <w:spacing w:line="400" w:lineRule="exact"/>
              <w:jc w:val="left"/>
              <w:rPr>
                <w:rFonts w:ascii="宋体" w:hAnsi="宋体" w:cs="宋体"/>
                <w:bCs/>
                <w:color w:val="auto"/>
                <w:szCs w:val="21"/>
                <w:highlight w:val="none"/>
              </w:rPr>
            </w:pPr>
            <w:r>
              <w:rPr>
                <w:rFonts w:hint="eastAsia" w:ascii="宋体" w:hAnsi="宋体" w:cs="宋体"/>
                <w:bCs/>
                <w:color w:val="auto"/>
                <w:szCs w:val="21"/>
                <w:highlight w:val="none"/>
              </w:rPr>
              <w:t>3、其他管理人员（</w:t>
            </w:r>
            <w:r>
              <w:rPr>
                <w:rFonts w:ascii="宋体" w:hAnsi="宋体" w:cs="宋体"/>
                <w:bCs/>
                <w:color w:val="auto"/>
                <w:szCs w:val="21"/>
                <w:highlight w:val="none"/>
              </w:rPr>
              <w:t>5</w:t>
            </w:r>
            <w:r>
              <w:rPr>
                <w:rFonts w:hint="eastAsia" w:ascii="宋体" w:hAnsi="宋体" w:cs="宋体"/>
                <w:bCs/>
                <w:color w:val="auto"/>
                <w:szCs w:val="21"/>
                <w:highlight w:val="none"/>
              </w:rPr>
              <w:t>分）</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至少需投入安全员、施工员、质检员、材料员各1名，具有相应岗位资格证书的得</w:t>
            </w:r>
            <w:r>
              <w:rPr>
                <w:rFonts w:ascii="宋体" w:hAnsi="宋体" w:cs="宋体"/>
                <w:bCs/>
                <w:color w:val="auto"/>
                <w:szCs w:val="21"/>
                <w:highlight w:val="none"/>
              </w:rPr>
              <w:t>5</w:t>
            </w:r>
            <w:r>
              <w:rPr>
                <w:rFonts w:hint="eastAsia" w:ascii="宋体" w:hAnsi="宋体" w:cs="宋体"/>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595" w:type="dxa"/>
            <w:gridSpan w:val="2"/>
            <w:noWrap/>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企业信誉实力</w:t>
            </w:r>
          </w:p>
          <w:p>
            <w:pPr>
              <w:spacing w:line="400" w:lineRule="exact"/>
              <w:jc w:val="center"/>
              <w:rPr>
                <w:rFonts w:ascii="Calibri" w:hAnsi="Calibri"/>
                <w:color w:val="auto"/>
                <w:highlight w:val="none"/>
              </w:rPr>
            </w:pPr>
            <w:r>
              <w:rPr>
                <w:rFonts w:hint="eastAsia" w:ascii="宋体" w:hAnsi="宋体" w:cs="宋体"/>
                <w:b/>
                <w:color w:val="auto"/>
                <w:szCs w:val="21"/>
                <w:highlight w:val="none"/>
              </w:rPr>
              <w:t>（满分4分）</w:t>
            </w:r>
          </w:p>
        </w:tc>
        <w:tc>
          <w:tcPr>
            <w:tcW w:w="8843" w:type="dxa"/>
            <w:gridSpan w:val="3"/>
            <w:noWrap/>
            <w:vAlign w:val="center"/>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20</w:t>
            </w:r>
            <w:r>
              <w:rPr>
                <w:rFonts w:ascii="宋体" w:hAnsi="宋体" w:cs="宋体"/>
                <w:color w:val="auto"/>
                <w:szCs w:val="21"/>
                <w:highlight w:val="none"/>
              </w:rPr>
              <w:t>20</w:t>
            </w:r>
            <w:r>
              <w:rPr>
                <w:rFonts w:hint="eastAsia" w:ascii="宋体" w:hAnsi="宋体" w:cs="宋体"/>
                <w:color w:val="auto"/>
                <w:szCs w:val="21"/>
                <w:highlight w:val="none"/>
              </w:rPr>
              <w:t>年1月1日至本项目磋商截止时间止，</w:t>
            </w:r>
            <w:r>
              <w:rPr>
                <w:rFonts w:hint="eastAsia" w:ascii="宋体" w:hAnsi="宋体" w:cs="宋体"/>
                <w:color w:val="auto"/>
                <w:szCs w:val="21"/>
                <w:highlight w:val="none"/>
                <w:lang w:eastAsia="zh-CN"/>
              </w:rPr>
              <w:t>磋商单位承接过房屋建筑工程或装饰装修</w:t>
            </w:r>
            <w:r>
              <w:rPr>
                <w:rFonts w:hint="eastAsia" w:ascii="宋体" w:hAnsi="宋体" w:cs="宋体"/>
                <w:color w:val="auto"/>
                <w:szCs w:val="21"/>
                <w:highlight w:val="none"/>
                <w:lang w:val="en-US" w:eastAsia="zh-CN"/>
              </w:rPr>
              <w:t>工程</w:t>
            </w:r>
            <w:r>
              <w:rPr>
                <w:rFonts w:hint="eastAsia" w:ascii="宋体" w:hAnsi="宋体" w:cs="宋体"/>
                <w:color w:val="auto"/>
                <w:szCs w:val="21"/>
                <w:highlight w:val="none"/>
                <w:lang w:eastAsia="zh-CN"/>
              </w:rPr>
              <w:t>项目业绩的</w:t>
            </w:r>
            <w:r>
              <w:rPr>
                <w:rFonts w:hint="eastAsia" w:ascii="宋体" w:hAnsi="宋体" w:cs="宋体"/>
                <w:color w:val="auto"/>
                <w:szCs w:val="21"/>
                <w:highlight w:val="none"/>
              </w:rPr>
              <w:t>，每个得2分，满分4分。（须附加盖单位公章的中标</w:t>
            </w:r>
            <w:r>
              <w:rPr>
                <w:rFonts w:hint="eastAsia" w:ascii="宋体" w:hAnsi="宋体" w:cs="宋体"/>
                <w:b/>
                <w:bCs/>
                <w:color w:val="auto"/>
                <w:szCs w:val="21"/>
                <w:highlight w:val="none"/>
              </w:rPr>
              <w:t>（成交）</w:t>
            </w:r>
            <w:r>
              <w:rPr>
                <w:rFonts w:hint="eastAsia" w:ascii="宋体" w:hAnsi="宋体" w:cs="宋体"/>
                <w:color w:val="auto"/>
                <w:szCs w:val="21"/>
                <w:highlight w:val="none"/>
              </w:rPr>
              <w:t>通知书复印件或合同协议书复印件）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438" w:type="dxa"/>
            <w:gridSpan w:val="5"/>
            <w:noWrap/>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综合总得分</w:t>
            </w:r>
            <w:r>
              <w:rPr>
                <w:rFonts w:hint="eastAsia" w:ascii="宋体" w:hAnsi="宋体" w:cs="宋体"/>
                <w:b/>
                <w:bCs/>
                <w:color w:val="auto"/>
                <w:szCs w:val="21"/>
                <w:highlight w:val="none"/>
              </w:rPr>
              <w:t>＝报价分+</w:t>
            </w:r>
            <w:r>
              <w:rPr>
                <w:rFonts w:hint="eastAsia" w:ascii="宋体" w:hAnsi="宋体"/>
                <w:b/>
                <w:color w:val="auto"/>
                <w:kern w:val="0"/>
                <w:szCs w:val="21"/>
                <w:highlight w:val="none"/>
              </w:rPr>
              <w:t>施工组织设计分+</w:t>
            </w:r>
            <w:r>
              <w:rPr>
                <w:rFonts w:hint="eastAsia" w:ascii="宋体" w:hAnsi="宋体" w:cs="宋体"/>
                <w:b/>
                <w:color w:val="auto"/>
                <w:szCs w:val="21"/>
                <w:highlight w:val="none"/>
              </w:rPr>
              <w:t>项目管理机构分+企业信誉实力=100分</w:t>
            </w:r>
          </w:p>
        </w:tc>
      </w:tr>
    </w:tbl>
    <w:p>
      <w:pPr>
        <w:snapToGrid w:val="0"/>
        <w:spacing w:line="400" w:lineRule="exact"/>
        <w:jc w:val="center"/>
        <w:outlineLvl w:val="0"/>
        <w:rPr>
          <w:rFonts w:ascii="宋体" w:hAnsi="宋体"/>
          <w:b/>
          <w:color w:val="auto"/>
          <w:szCs w:val="21"/>
          <w:highlight w:val="none"/>
        </w:rPr>
      </w:pPr>
      <w:r>
        <w:rPr>
          <w:rFonts w:hint="eastAsia" w:ascii="宋体" w:hAnsi="宋体"/>
          <w:b/>
          <w:color w:val="auto"/>
          <w:szCs w:val="21"/>
          <w:highlight w:val="none"/>
        </w:rPr>
        <w:br w:type="page"/>
      </w:r>
      <w:bookmarkStart w:id="1010" w:name="_Toc23223"/>
      <w:r>
        <w:rPr>
          <w:rFonts w:hint="eastAsia" w:ascii="宋体" w:hAnsi="宋体"/>
          <w:b/>
          <w:color w:val="auto"/>
          <w:szCs w:val="21"/>
          <w:highlight w:val="none"/>
        </w:rPr>
        <w:t>评标办法正文</w:t>
      </w:r>
      <w:bookmarkEnd w:id="1010"/>
    </w:p>
    <w:p>
      <w:pPr>
        <w:snapToGrid w:val="0"/>
        <w:spacing w:line="400" w:lineRule="exact"/>
        <w:ind w:firstLine="420" w:firstLineChars="200"/>
        <w:rPr>
          <w:rFonts w:ascii="宋体" w:hAnsi="宋体"/>
          <w:b/>
          <w:color w:val="auto"/>
          <w:szCs w:val="21"/>
          <w:highlight w:val="none"/>
        </w:rPr>
      </w:pPr>
      <w:r>
        <w:rPr>
          <w:rFonts w:hint="eastAsia" w:ascii="宋体" w:hAnsi="宋体"/>
          <w:b/>
          <w:color w:val="auto"/>
          <w:szCs w:val="21"/>
          <w:highlight w:val="none"/>
        </w:rPr>
        <w:t>一、评标原则：</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1、坚持公开、公平、公正、适用合理原则。</w:t>
      </w:r>
    </w:p>
    <w:p>
      <w:pPr>
        <w:tabs>
          <w:tab w:val="left" w:pos="14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开标前由采购代理机构在政采云平台广西评审专家库中随机抽取的评标专家组成。评标小组为3人，其中，采购人评标代表1人，评标专家库中随机抽取2人。磋商小组以《竞争性磋商文件》、《响应文件》为评标依据，本项目采用</w:t>
      </w:r>
      <w:r>
        <w:rPr>
          <w:rFonts w:hint="eastAsia" w:ascii="宋体" w:hAnsi="宋体"/>
          <w:b/>
          <w:bCs/>
          <w:color w:val="auto"/>
          <w:szCs w:val="21"/>
          <w:highlight w:val="none"/>
          <w:u w:val="single"/>
        </w:rPr>
        <w:t>综合评分法</w:t>
      </w:r>
      <w:r>
        <w:rPr>
          <w:rFonts w:hint="eastAsia" w:ascii="宋体" w:hAnsi="宋体"/>
          <w:bCs/>
          <w:color w:val="auto"/>
          <w:szCs w:val="21"/>
          <w:highlight w:val="none"/>
        </w:rPr>
        <w:t>进行</w:t>
      </w:r>
      <w:r>
        <w:rPr>
          <w:rFonts w:hint="eastAsia" w:ascii="宋体" w:hAnsi="宋体"/>
          <w:color w:val="auto"/>
          <w:szCs w:val="21"/>
          <w:highlight w:val="none"/>
        </w:rPr>
        <w:t>评标。</w:t>
      </w:r>
    </w:p>
    <w:p>
      <w:pPr>
        <w:spacing w:line="400" w:lineRule="exact"/>
        <w:ind w:firstLine="420" w:firstLineChars="200"/>
        <w:rPr>
          <w:rFonts w:ascii="宋体" w:hAnsi="宋体"/>
          <w:b/>
          <w:color w:val="auto"/>
          <w:szCs w:val="21"/>
          <w:highlight w:val="none"/>
        </w:rPr>
      </w:pPr>
      <w:r>
        <w:rPr>
          <w:rFonts w:hint="eastAsia" w:ascii="宋体" w:hAnsi="宋体"/>
          <w:b/>
          <w:color w:val="auto"/>
          <w:szCs w:val="21"/>
          <w:highlight w:val="none"/>
        </w:rPr>
        <w:t>二、评标次序：</w:t>
      </w:r>
    </w:p>
    <w:p>
      <w:pPr>
        <w:spacing w:line="400" w:lineRule="exact"/>
        <w:ind w:firstLine="420" w:firstLineChars="200"/>
        <w:rPr>
          <w:rFonts w:ascii="宋体" w:hAnsi="宋体"/>
          <w:color w:val="auto"/>
          <w:szCs w:val="21"/>
          <w:highlight w:val="none"/>
        </w:rPr>
      </w:pPr>
      <w:r>
        <w:rPr>
          <w:rFonts w:hint="eastAsia" w:ascii="宋体" w:hAnsi="宋体"/>
          <w:b/>
          <w:color w:val="auto"/>
          <w:szCs w:val="21"/>
          <w:highlight w:val="none"/>
        </w:rPr>
        <w:t>1、资格审查：</w:t>
      </w:r>
      <w:r>
        <w:rPr>
          <w:rFonts w:hint="eastAsia" w:ascii="宋体" w:hAnsi="宋体"/>
          <w:color w:val="auto"/>
          <w:szCs w:val="21"/>
          <w:highlight w:val="none"/>
        </w:rPr>
        <w:t>本项目采用资格后审方式进行资格审查，参加本次磋商的单位均要通过资格后审才能获得磋商资格。资格审查内容为：见评标办法前附表。</w:t>
      </w:r>
    </w:p>
    <w:p>
      <w:pPr>
        <w:spacing w:line="400" w:lineRule="exact"/>
        <w:ind w:firstLine="420" w:firstLineChars="200"/>
        <w:rPr>
          <w:rFonts w:ascii="宋体" w:hAnsi="宋体"/>
          <w:b/>
          <w:bCs/>
          <w:color w:val="auto"/>
          <w:szCs w:val="21"/>
          <w:highlight w:val="none"/>
        </w:rPr>
      </w:pPr>
      <w:r>
        <w:rPr>
          <w:rFonts w:hint="eastAsia" w:ascii="宋体" w:hAnsi="宋体"/>
          <w:b/>
          <w:color w:val="auto"/>
          <w:szCs w:val="21"/>
          <w:highlight w:val="none"/>
        </w:rPr>
        <w:t>2、</w:t>
      </w:r>
      <w:r>
        <w:rPr>
          <w:rFonts w:hint="eastAsia" w:ascii="宋体" w:hAnsi="宋体"/>
          <w:b/>
          <w:bCs/>
          <w:color w:val="auto"/>
          <w:szCs w:val="21"/>
          <w:highlight w:val="none"/>
        </w:rPr>
        <w:t>详细评审（即综合评审）</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各评委根据评标办法中相应的要求进行科学评分。在进行施工组织设计方案文件的评审时，各评委评分的算术平均值为该磋商供应商的最终得分。</w:t>
      </w:r>
    </w:p>
    <w:p>
      <w:pPr>
        <w:tabs>
          <w:tab w:val="left" w:pos="180"/>
        </w:tabs>
        <w:snapToGrid w:val="0"/>
        <w:spacing w:line="400" w:lineRule="exact"/>
        <w:ind w:firstLine="420" w:firstLineChars="200"/>
        <w:rPr>
          <w:rFonts w:ascii="宋体" w:hAnsi="宋体"/>
          <w:b/>
          <w:bCs/>
          <w:color w:val="auto"/>
          <w:szCs w:val="21"/>
          <w:highlight w:val="none"/>
        </w:rPr>
      </w:pPr>
      <w:r>
        <w:rPr>
          <w:rFonts w:hint="eastAsia" w:ascii="宋体" w:hAnsi="宋体"/>
          <w:b/>
          <w:bCs/>
          <w:color w:val="auto"/>
          <w:szCs w:val="21"/>
          <w:highlight w:val="none"/>
        </w:rPr>
        <w:t>3、《响应文件》的澄清与修正</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3.1为了有助于《响应文件》的审查、评价和比较，磋商小组可以要求磋商供应商澄清其《响应文件》。有关澄清的要求与答复，应以书面形式进行。</w:t>
      </w:r>
      <w:r>
        <w:rPr>
          <w:rFonts w:hint="eastAsia" w:ascii="宋体" w:hAnsi="宋体"/>
          <w:bCs/>
          <w:color w:val="auto"/>
          <w:szCs w:val="21"/>
          <w:highlight w:val="none"/>
        </w:rPr>
        <w:t>不按磋商小组要求澄清、说明或补正的，《响应文件》作废标处理。</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 《响应文件》计算错误的修正</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3.2.1 </w:t>
      </w:r>
      <w:r>
        <w:rPr>
          <w:rFonts w:hint="eastAsia" w:ascii="宋体" w:hAnsi="宋体"/>
          <w:bCs/>
          <w:color w:val="auto"/>
          <w:szCs w:val="21"/>
          <w:highlight w:val="none"/>
        </w:rPr>
        <w:t>磋商小组</w:t>
      </w:r>
      <w:r>
        <w:rPr>
          <w:rFonts w:hint="eastAsia" w:ascii="宋体" w:hAnsi="宋体"/>
          <w:color w:val="auto"/>
          <w:szCs w:val="21"/>
          <w:highlight w:val="none"/>
        </w:rPr>
        <w:t>将对确定为实质上响应《竞争性磋商文件》要求的《响应文件》进行校核，看其是否有计算或表达上的错误，修正错误的原则如下：</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（1）如果数字表示的金额和用文字表示的金额不一致时，应以文字表示的金额为准；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3.2.2 按上述修正错误的原则及方法调整或修正《响应文件》的投标报价，在磋商供应商确认后，调整或修正后的磋商报价对磋商供应商起约束作用。如果磋商供应商不接受调整或修正后的报价，则其《响应文件》将被拒绝并且其磋商保证金也将被没收，并不影响评标工作。</w:t>
      </w:r>
    </w:p>
    <w:p>
      <w:pPr>
        <w:tabs>
          <w:tab w:val="left" w:pos="180"/>
        </w:tabs>
        <w:snapToGrid w:val="0"/>
        <w:spacing w:line="400" w:lineRule="exact"/>
        <w:ind w:firstLine="420" w:firstLineChars="200"/>
        <w:rPr>
          <w:rFonts w:ascii="宋体" w:hAnsi="宋体"/>
          <w:b/>
          <w:bCs/>
          <w:color w:val="auto"/>
          <w:szCs w:val="21"/>
          <w:highlight w:val="none"/>
        </w:rPr>
      </w:pPr>
      <w:r>
        <w:rPr>
          <w:rFonts w:hint="eastAsia" w:ascii="宋体" w:hAnsi="宋体"/>
          <w:b/>
          <w:bCs/>
          <w:color w:val="auto"/>
          <w:szCs w:val="21"/>
          <w:highlight w:val="none"/>
        </w:rPr>
        <w:t>三、推荐成交候选供应商原则</w:t>
      </w:r>
    </w:p>
    <w:bookmarkEnd w:id="1008"/>
    <w:p>
      <w:pPr>
        <w:tabs>
          <w:tab w:val="left" w:pos="4214"/>
        </w:tabs>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磋商小组将根据总得分由高到低排列次序并推荐成交候选供应商。（总得分相同的，按照最后报价由低到高的顺序推荐。总得分且最后报价相同的，则按供应商的施工组织设计等方面综合评价择优确定成交候选供应商）。</w:t>
      </w:r>
    </w:p>
    <w:p>
      <w:pPr>
        <w:tabs>
          <w:tab w:val="left" w:pos="4214"/>
        </w:tabs>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2、磋商小组确定排名第一的成交候选供应商为成交供应商。</w:t>
      </w:r>
    </w:p>
    <w:p>
      <w:pPr>
        <w:spacing w:line="500" w:lineRule="exact"/>
        <w:ind w:firstLine="420" w:firstLineChars="200"/>
        <w:rPr>
          <w:color w:val="auto"/>
          <w:highlight w:val="none"/>
        </w:rPr>
      </w:pPr>
      <w:r>
        <w:rPr>
          <w:rFonts w:hint="eastAsia" w:ascii="宋体" w:hAnsi="宋体" w:cs="宋体"/>
          <w:color w:val="auto"/>
          <w:szCs w:val="21"/>
          <w:highlight w:val="none"/>
        </w:rPr>
        <w:t>3、排名第一的成交候选供应商放弃成交、因不可抗力提出不能履行合同，或者磋商文件规定应当提交履约保证金而在规定的期限内未能提交的，采购单位可以确定排名第二的成交候选供应商为成交供应商。第二成交候选供应商因前款规定的同样原因不能签订合同的，采购单位可以确定排名第三的成交候选供应商为成交供应商。</w:t>
      </w:r>
    </w:p>
    <w:sectPr>
      <w:footerReference r:id="rId9" w:type="default"/>
      <w:pgSz w:w="11850" w:h="16783"/>
      <w:pgMar w:top="1247" w:right="964" w:bottom="1247" w:left="964" w:header="851" w:footer="890"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90"/>
      <w:jc w:val="right"/>
      <w:rPr>
        <w:rFonts w:ascii="宋体" w:hAnsi="宋体"/>
        <w:sz w:val="21"/>
        <w:szCs w:val="21"/>
        <w:u w:val="single"/>
      </w:rPr>
    </w:pPr>
    <w:r>
      <w:rPr>
        <w:rFonts w:hint="eastAsia" w:ascii="宋体" w:hAnsi="宋体"/>
      </w:rPr>
      <w:t>广西大通建设监理咨询管理有限公司编制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3"/>
      </w:rPr>
    </w:pPr>
    <w:r>
      <w:fldChar w:fldCharType="begin"/>
    </w:r>
    <w:r>
      <w:rPr>
        <w:rStyle w:val="53"/>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90"/>
      <w:jc w:val="right"/>
      <w:rPr>
        <w:rFonts w:ascii="宋体" w:hAnsi="宋体"/>
        <w:sz w:val="21"/>
        <w:szCs w:val="21"/>
        <w:u w:val="single"/>
      </w:rPr>
    </w:pPr>
    <w:r>
      <w:rPr>
        <w:rFonts w:hint="eastAsia" w:ascii="宋体" w:hAnsi="宋体"/>
        <w:sz w:val="21"/>
        <w:szCs w:val="21"/>
      </w:rPr>
      <w:t>广西大通建设监理咨询管理有限公司编制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90"/>
      <w:jc w:val="right"/>
      <w:rPr>
        <w:rFonts w:ascii="宋体" w:hAnsi="宋体"/>
        <w:sz w:val="21"/>
        <w:szCs w:val="21"/>
        <w:u w:val="single"/>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31"/>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dxhddIAAAADAQAADwAAAAAAAAABACAAAAAiAAAAZHJzL2Rvd25yZXYueG1sUEsBAhQA&#10;FAAAAAgAh07iQNq0/0oxAgAAUwQAAA4AAAAAAAAAAQAgAAAAIQEAAGRycy9lMm9Eb2MueG1sUEsF&#10;BgAAAAAGAAYAWQEAAMQ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sz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sz w:val="21"/>
        <w:szCs w:val="21"/>
      </w:rPr>
    </w:pPr>
    <w:r>
      <w:rPr>
        <w:rFonts w:hint="eastAsia"/>
        <w:sz w:val="21"/>
        <w:szCs w:val="21"/>
      </w:rPr>
      <w:t xml:space="preserve">项目名称：平桂区鹅塘镇大明村东甲尾至沙田镇金竹村黄南村道生命安全防护工程 </w:t>
    </w:r>
  </w:p>
  <w:p>
    <w:pPr>
      <w:pStyle w:val="32"/>
      <w:jc w:val="left"/>
      <w:rPr>
        <w:sz w:val="21"/>
        <w:szCs w:val="21"/>
      </w:rPr>
    </w:pPr>
    <w:r>
      <w:rPr>
        <w:rFonts w:hint="eastAsia"/>
        <w:sz w:val="21"/>
        <w:szCs w:val="21"/>
      </w:rPr>
      <w:t>项目编号：HZZC2022-C2-030241-GXDH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rFonts w:hint="eastAsia"/>
      </w:rPr>
    </w:pPr>
    <w:r>
      <w:rPr>
        <w:rFonts w:hint="eastAsia"/>
      </w:rPr>
      <w:t>项目名称：</w:t>
    </w:r>
    <w:r>
      <w:rPr>
        <w:rFonts w:hint="eastAsia"/>
        <w:lang w:eastAsia="zh-CN"/>
      </w:rPr>
      <w:t>防城港市高级中学明珠园及碧海园内外立面改造工程（学生宿舍楼维修改造项目）</w:t>
    </w:r>
    <w:r>
      <w:rPr>
        <w:rFonts w:hint="eastAsia"/>
      </w:rPr>
      <w:t xml:space="preserve">   </w:t>
    </w:r>
    <w:r>
      <w:t xml:space="preserve">             </w:t>
    </w:r>
    <w:r>
      <w:rPr>
        <w:rFonts w:hint="eastAsia"/>
      </w:rPr>
      <w:t xml:space="preserve">  </w:t>
    </w:r>
  </w:p>
  <w:p>
    <w:pPr>
      <w:pStyle w:val="32"/>
      <w:jc w:val="left"/>
    </w:pPr>
    <w:r>
      <w:rPr>
        <w:rFonts w:hint="eastAsia"/>
      </w:rPr>
      <w:t>项目编号：</w:t>
    </w:r>
    <w:r>
      <w:rPr>
        <w:rFonts w:hint="eastAsia"/>
        <w:lang w:eastAsia="zh-CN"/>
      </w:rPr>
      <w:t>FCZC2024-C2-10001-GXDT</w:t>
    </w:r>
    <w:r>
      <w:rPr>
        <w:rFonts w:hint="eastAsia"/>
      </w:rPr>
      <w:t xml:space="preserve"> </w:t>
    </w:r>
  </w:p>
  <w:p>
    <w:pPr>
      <w:tabs>
        <w:tab w:val="left" w:pos="973"/>
      </w:tabs>
      <w:spacing w:line="237" w:lineRule="auto"/>
      <w:rPr>
        <w:rFonts w:ascii="宋体" w:hAnsi="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FD2B48"/>
    <w:multiLevelType w:val="singleLevel"/>
    <w:tmpl w:val="B2FD2B48"/>
    <w:lvl w:ilvl="0" w:tentative="0">
      <w:start w:val="1"/>
      <w:numFmt w:val="decimal"/>
      <w:suff w:val="nothing"/>
      <w:lvlText w:val="（%1）"/>
      <w:lvlJc w:val="left"/>
    </w:lvl>
  </w:abstractNum>
  <w:abstractNum w:abstractNumId="1">
    <w:nsid w:val="C932187E"/>
    <w:multiLevelType w:val="singleLevel"/>
    <w:tmpl w:val="C932187E"/>
    <w:lvl w:ilvl="0" w:tentative="0">
      <w:start w:val="1"/>
      <w:numFmt w:val="chineseCounting"/>
      <w:suff w:val="space"/>
      <w:lvlText w:val="第%1章"/>
      <w:lvlJc w:val="left"/>
      <w:rPr>
        <w:rFonts w:hint="eastAsia"/>
      </w:rPr>
    </w:lvl>
  </w:abstractNum>
  <w:abstractNum w:abstractNumId="2">
    <w:nsid w:val="D42A4FC0"/>
    <w:multiLevelType w:val="singleLevel"/>
    <w:tmpl w:val="D42A4FC0"/>
    <w:lvl w:ilvl="0" w:tentative="0">
      <w:start w:val="8"/>
      <w:numFmt w:val="decimal"/>
      <w:suff w:val="nothing"/>
      <w:lvlText w:val="（%1）"/>
      <w:lvlJc w:val="left"/>
    </w:lvl>
  </w:abstractNum>
  <w:abstractNum w:abstractNumId="3">
    <w:nsid w:val="FC6F0F38"/>
    <w:multiLevelType w:val="singleLevel"/>
    <w:tmpl w:val="FC6F0F38"/>
    <w:lvl w:ilvl="0" w:tentative="0">
      <w:start w:val="2"/>
      <w:numFmt w:val="decimal"/>
      <w:lvlText w:val="%1."/>
      <w:lvlJc w:val="left"/>
      <w:pPr>
        <w:tabs>
          <w:tab w:val="left" w:pos="312"/>
        </w:tabs>
      </w:pPr>
    </w:lvl>
  </w:abstractNum>
  <w:abstractNum w:abstractNumId="4">
    <w:nsid w:val="2C031271"/>
    <w:multiLevelType w:val="singleLevel"/>
    <w:tmpl w:val="2C031271"/>
    <w:lvl w:ilvl="0" w:tentative="0">
      <w:start w:val="1"/>
      <w:numFmt w:val="decimal"/>
      <w:lvlText w:val="%1."/>
      <w:lvlJc w:val="left"/>
      <w:pPr>
        <w:tabs>
          <w:tab w:val="left" w:pos="312"/>
        </w:tabs>
      </w:pPr>
    </w:lvl>
  </w:abstractNum>
  <w:abstractNum w:abstractNumId="5">
    <w:nsid w:val="40841D1C"/>
    <w:multiLevelType w:val="singleLevel"/>
    <w:tmpl w:val="40841D1C"/>
    <w:lvl w:ilvl="0" w:tentative="0">
      <w:start w:val="2"/>
      <w:numFmt w:val="decimal"/>
      <w:lvlText w:val="%1."/>
      <w:lvlJc w:val="left"/>
      <w:pPr>
        <w:tabs>
          <w:tab w:val="left" w:pos="312"/>
        </w:tabs>
      </w:pPr>
    </w:lvl>
  </w:abstractNum>
  <w:abstractNum w:abstractNumId="6">
    <w:nsid w:val="4E1E67FD"/>
    <w:multiLevelType w:val="singleLevel"/>
    <w:tmpl w:val="4E1E67FD"/>
    <w:lvl w:ilvl="0" w:tentative="0">
      <w:start w:val="1"/>
      <w:numFmt w:val="decimal"/>
      <w:lvlText w:val="(%1)"/>
      <w:lvlJc w:val="left"/>
      <w:pPr>
        <w:tabs>
          <w:tab w:val="left" w:pos="312"/>
        </w:tabs>
      </w:pPr>
    </w:lvl>
  </w:abstractNum>
  <w:abstractNum w:abstractNumId="7">
    <w:nsid w:val="621B027D"/>
    <w:multiLevelType w:val="multilevel"/>
    <w:tmpl w:val="621B027D"/>
    <w:lvl w:ilvl="0" w:tentative="0">
      <w:start w:val="1"/>
      <w:numFmt w:val="decimal"/>
      <w:lvlText w:val="(%1)"/>
      <w:lvlJc w:val="left"/>
      <w:pPr>
        <w:tabs>
          <w:tab w:val="left" w:pos="840"/>
        </w:tabs>
        <w:ind w:left="840" w:hanging="420"/>
      </w:pPr>
      <w:rPr>
        <w:rFonts w:hint="eastAsia"/>
        <w:sz w:val="21"/>
        <w:szCs w:val="21"/>
      </w:rPr>
    </w:lvl>
    <w:lvl w:ilvl="1" w:tentative="0">
      <w:start w:val="1"/>
      <w:numFmt w:val="decimal"/>
      <w:lvlText w:val="%2、"/>
      <w:lvlJc w:val="left"/>
      <w:pPr>
        <w:tabs>
          <w:tab w:val="left" w:pos="1200"/>
        </w:tabs>
        <w:ind w:left="1200" w:hanging="360"/>
      </w:pPr>
      <w:rPr>
        <w:rFonts w:hint="default"/>
      </w:rPr>
    </w:lvl>
    <w:lvl w:ilvl="2" w:tentative="0">
      <w:start w:val="16"/>
      <w:numFmt w:val="bullet"/>
      <w:lvlText w:val="★"/>
      <w:lvlJc w:val="left"/>
      <w:pPr>
        <w:tabs>
          <w:tab w:val="left" w:pos="1620"/>
        </w:tabs>
        <w:ind w:left="1620" w:hanging="360"/>
      </w:pPr>
      <w:rPr>
        <w:rFonts w:hint="eastAsia" w:ascii="宋体" w:hAnsi="宋体" w:eastAsia="宋体" w:cs="Times New Roman"/>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2"/>
  </w:num>
  <w:num w:numId="3">
    <w:abstractNumId w:val="4"/>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ODJhZTg3MGNhM2ExYWY0YTgwOTkzY2VkZGY5OWYifQ=="/>
  </w:docVars>
  <w:rsids>
    <w:rsidRoot w:val="431B3150"/>
    <w:rsid w:val="00020185"/>
    <w:rsid w:val="00051F71"/>
    <w:rsid w:val="00076D68"/>
    <w:rsid w:val="000A583A"/>
    <w:rsid w:val="000B5363"/>
    <w:rsid w:val="000B7C5C"/>
    <w:rsid w:val="000E5390"/>
    <w:rsid w:val="000E6BE6"/>
    <w:rsid w:val="000F46A3"/>
    <w:rsid w:val="0010485C"/>
    <w:rsid w:val="00106917"/>
    <w:rsid w:val="001143A3"/>
    <w:rsid w:val="00147173"/>
    <w:rsid w:val="001718DC"/>
    <w:rsid w:val="00184221"/>
    <w:rsid w:val="00192579"/>
    <w:rsid w:val="001938CA"/>
    <w:rsid w:val="001942CA"/>
    <w:rsid w:val="001A0B2F"/>
    <w:rsid w:val="001C387A"/>
    <w:rsid w:val="001E10FD"/>
    <w:rsid w:val="001F09AA"/>
    <w:rsid w:val="00204D8D"/>
    <w:rsid w:val="00210EAF"/>
    <w:rsid w:val="00210EC7"/>
    <w:rsid w:val="00227846"/>
    <w:rsid w:val="0026538F"/>
    <w:rsid w:val="002D124B"/>
    <w:rsid w:val="002D59E3"/>
    <w:rsid w:val="002D7310"/>
    <w:rsid w:val="002E5449"/>
    <w:rsid w:val="002E741D"/>
    <w:rsid w:val="003255B6"/>
    <w:rsid w:val="003654A5"/>
    <w:rsid w:val="0037738B"/>
    <w:rsid w:val="00390430"/>
    <w:rsid w:val="003946E7"/>
    <w:rsid w:val="003963CB"/>
    <w:rsid w:val="00396ED9"/>
    <w:rsid w:val="00397894"/>
    <w:rsid w:val="003C39BE"/>
    <w:rsid w:val="003D1069"/>
    <w:rsid w:val="00403DB3"/>
    <w:rsid w:val="0041057B"/>
    <w:rsid w:val="004321CC"/>
    <w:rsid w:val="00447701"/>
    <w:rsid w:val="0046176F"/>
    <w:rsid w:val="00482FFE"/>
    <w:rsid w:val="004C116F"/>
    <w:rsid w:val="004E7174"/>
    <w:rsid w:val="004E74CD"/>
    <w:rsid w:val="00512A97"/>
    <w:rsid w:val="00515602"/>
    <w:rsid w:val="00515905"/>
    <w:rsid w:val="005339DD"/>
    <w:rsid w:val="005422DA"/>
    <w:rsid w:val="005460CC"/>
    <w:rsid w:val="005675C5"/>
    <w:rsid w:val="005707B0"/>
    <w:rsid w:val="00576793"/>
    <w:rsid w:val="005935FC"/>
    <w:rsid w:val="005C0C39"/>
    <w:rsid w:val="005C30BD"/>
    <w:rsid w:val="005D5B5F"/>
    <w:rsid w:val="005D7C5D"/>
    <w:rsid w:val="005F7D62"/>
    <w:rsid w:val="00612047"/>
    <w:rsid w:val="006134A2"/>
    <w:rsid w:val="006148AD"/>
    <w:rsid w:val="0067308E"/>
    <w:rsid w:val="0067412F"/>
    <w:rsid w:val="00683026"/>
    <w:rsid w:val="00684A39"/>
    <w:rsid w:val="006B545B"/>
    <w:rsid w:val="006B5F99"/>
    <w:rsid w:val="006F7312"/>
    <w:rsid w:val="00727D6D"/>
    <w:rsid w:val="0073473F"/>
    <w:rsid w:val="007507F1"/>
    <w:rsid w:val="007537E7"/>
    <w:rsid w:val="00764E20"/>
    <w:rsid w:val="00764F7C"/>
    <w:rsid w:val="007D4EC5"/>
    <w:rsid w:val="007D55EE"/>
    <w:rsid w:val="007F72D2"/>
    <w:rsid w:val="00801694"/>
    <w:rsid w:val="008055A9"/>
    <w:rsid w:val="0082214A"/>
    <w:rsid w:val="00826CE6"/>
    <w:rsid w:val="00846AB7"/>
    <w:rsid w:val="00855CEE"/>
    <w:rsid w:val="00860D8B"/>
    <w:rsid w:val="00863E56"/>
    <w:rsid w:val="008A0878"/>
    <w:rsid w:val="008A1291"/>
    <w:rsid w:val="008E28B1"/>
    <w:rsid w:val="00902F91"/>
    <w:rsid w:val="00915132"/>
    <w:rsid w:val="00916D2E"/>
    <w:rsid w:val="009221BF"/>
    <w:rsid w:val="00922C21"/>
    <w:rsid w:val="009407E5"/>
    <w:rsid w:val="00944D1D"/>
    <w:rsid w:val="009561C1"/>
    <w:rsid w:val="00961FBF"/>
    <w:rsid w:val="009C7C1F"/>
    <w:rsid w:val="009D5E96"/>
    <w:rsid w:val="009F276B"/>
    <w:rsid w:val="009F6F65"/>
    <w:rsid w:val="009F7E1B"/>
    <w:rsid w:val="00A02F9E"/>
    <w:rsid w:val="00A06A14"/>
    <w:rsid w:val="00A3103B"/>
    <w:rsid w:val="00A42194"/>
    <w:rsid w:val="00A44352"/>
    <w:rsid w:val="00A62F03"/>
    <w:rsid w:val="00AC67FC"/>
    <w:rsid w:val="00AD040E"/>
    <w:rsid w:val="00AD6E3B"/>
    <w:rsid w:val="00B00229"/>
    <w:rsid w:val="00B02F71"/>
    <w:rsid w:val="00B169B5"/>
    <w:rsid w:val="00B32339"/>
    <w:rsid w:val="00B6331A"/>
    <w:rsid w:val="00B66CA6"/>
    <w:rsid w:val="00B71903"/>
    <w:rsid w:val="00B75461"/>
    <w:rsid w:val="00B77BAF"/>
    <w:rsid w:val="00B80824"/>
    <w:rsid w:val="00B83747"/>
    <w:rsid w:val="00B83EC1"/>
    <w:rsid w:val="00B901F0"/>
    <w:rsid w:val="00BA11D5"/>
    <w:rsid w:val="00BB1176"/>
    <w:rsid w:val="00BB6CBD"/>
    <w:rsid w:val="00BC0CAF"/>
    <w:rsid w:val="00BE0161"/>
    <w:rsid w:val="00C03418"/>
    <w:rsid w:val="00C06F35"/>
    <w:rsid w:val="00C12921"/>
    <w:rsid w:val="00C2098E"/>
    <w:rsid w:val="00C260FC"/>
    <w:rsid w:val="00C32DAB"/>
    <w:rsid w:val="00C4059F"/>
    <w:rsid w:val="00C40DFB"/>
    <w:rsid w:val="00C809F5"/>
    <w:rsid w:val="00CA662D"/>
    <w:rsid w:val="00CD0A84"/>
    <w:rsid w:val="00CE1EDE"/>
    <w:rsid w:val="00D013D4"/>
    <w:rsid w:val="00D03EA5"/>
    <w:rsid w:val="00D16995"/>
    <w:rsid w:val="00D601E6"/>
    <w:rsid w:val="00D626DB"/>
    <w:rsid w:val="00D953EC"/>
    <w:rsid w:val="00D9579C"/>
    <w:rsid w:val="00D95DD1"/>
    <w:rsid w:val="00DA0F15"/>
    <w:rsid w:val="00DA1690"/>
    <w:rsid w:val="00DC7880"/>
    <w:rsid w:val="00DE6005"/>
    <w:rsid w:val="00E23735"/>
    <w:rsid w:val="00E345F9"/>
    <w:rsid w:val="00E43420"/>
    <w:rsid w:val="00E43562"/>
    <w:rsid w:val="00E95BB6"/>
    <w:rsid w:val="00EA3391"/>
    <w:rsid w:val="00EB04A8"/>
    <w:rsid w:val="00EC63DE"/>
    <w:rsid w:val="00F03BDA"/>
    <w:rsid w:val="00F26AA1"/>
    <w:rsid w:val="00F40E13"/>
    <w:rsid w:val="00F460B2"/>
    <w:rsid w:val="00F56504"/>
    <w:rsid w:val="00F8605C"/>
    <w:rsid w:val="00FB00C3"/>
    <w:rsid w:val="00FB176A"/>
    <w:rsid w:val="00FE7080"/>
    <w:rsid w:val="010F43CF"/>
    <w:rsid w:val="010F5FE2"/>
    <w:rsid w:val="013E6345"/>
    <w:rsid w:val="01510D91"/>
    <w:rsid w:val="015E1378"/>
    <w:rsid w:val="01712B58"/>
    <w:rsid w:val="01732FB3"/>
    <w:rsid w:val="017567FC"/>
    <w:rsid w:val="018E7F8D"/>
    <w:rsid w:val="01AD3B68"/>
    <w:rsid w:val="021B4271"/>
    <w:rsid w:val="021E110F"/>
    <w:rsid w:val="021F0ED1"/>
    <w:rsid w:val="0228604D"/>
    <w:rsid w:val="025B30F8"/>
    <w:rsid w:val="02732751"/>
    <w:rsid w:val="0285699C"/>
    <w:rsid w:val="02901E05"/>
    <w:rsid w:val="02910441"/>
    <w:rsid w:val="02A75804"/>
    <w:rsid w:val="02B37ED6"/>
    <w:rsid w:val="02CB6880"/>
    <w:rsid w:val="02CF2660"/>
    <w:rsid w:val="02D752BA"/>
    <w:rsid w:val="02DB1135"/>
    <w:rsid w:val="02F60B92"/>
    <w:rsid w:val="030229A5"/>
    <w:rsid w:val="03073BD8"/>
    <w:rsid w:val="038A0F5C"/>
    <w:rsid w:val="038F0666"/>
    <w:rsid w:val="03994F4E"/>
    <w:rsid w:val="03A52EF2"/>
    <w:rsid w:val="03B52281"/>
    <w:rsid w:val="03BD679A"/>
    <w:rsid w:val="03E513A6"/>
    <w:rsid w:val="04025A79"/>
    <w:rsid w:val="040F4994"/>
    <w:rsid w:val="04453E55"/>
    <w:rsid w:val="0455540B"/>
    <w:rsid w:val="047948EC"/>
    <w:rsid w:val="047E311D"/>
    <w:rsid w:val="0488552C"/>
    <w:rsid w:val="04C23D52"/>
    <w:rsid w:val="051518EF"/>
    <w:rsid w:val="0521531D"/>
    <w:rsid w:val="05577D8B"/>
    <w:rsid w:val="05875732"/>
    <w:rsid w:val="05AA152F"/>
    <w:rsid w:val="05BD29CF"/>
    <w:rsid w:val="060C2EBB"/>
    <w:rsid w:val="06415C54"/>
    <w:rsid w:val="06595497"/>
    <w:rsid w:val="06610313"/>
    <w:rsid w:val="06C95EDE"/>
    <w:rsid w:val="06FD746A"/>
    <w:rsid w:val="072C591E"/>
    <w:rsid w:val="076D0ECF"/>
    <w:rsid w:val="077568E0"/>
    <w:rsid w:val="07963C8B"/>
    <w:rsid w:val="07A94B5D"/>
    <w:rsid w:val="07BC46FF"/>
    <w:rsid w:val="07BC49C1"/>
    <w:rsid w:val="07C27992"/>
    <w:rsid w:val="07CB5F01"/>
    <w:rsid w:val="07D93375"/>
    <w:rsid w:val="080374BA"/>
    <w:rsid w:val="08415506"/>
    <w:rsid w:val="08553CEE"/>
    <w:rsid w:val="0860559E"/>
    <w:rsid w:val="087728B5"/>
    <w:rsid w:val="08A54CD2"/>
    <w:rsid w:val="08E144CF"/>
    <w:rsid w:val="09150178"/>
    <w:rsid w:val="093056E2"/>
    <w:rsid w:val="09656872"/>
    <w:rsid w:val="098C3ADE"/>
    <w:rsid w:val="09981DD6"/>
    <w:rsid w:val="09EB2195"/>
    <w:rsid w:val="0A203224"/>
    <w:rsid w:val="0A323A7B"/>
    <w:rsid w:val="0A421BF4"/>
    <w:rsid w:val="0A4B25DC"/>
    <w:rsid w:val="0AA70ADC"/>
    <w:rsid w:val="0AD16319"/>
    <w:rsid w:val="0AD57C4B"/>
    <w:rsid w:val="0ADE7A8F"/>
    <w:rsid w:val="0B0333A3"/>
    <w:rsid w:val="0B0A635A"/>
    <w:rsid w:val="0B144F2B"/>
    <w:rsid w:val="0B1536C0"/>
    <w:rsid w:val="0B4E39F7"/>
    <w:rsid w:val="0B643590"/>
    <w:rsid w:val="0B66416A"/>
    <w:rsid w:val="0B7314D5"/>
    <w:rsid w:val="0BB07C71"/>
    <w:rsid w:val="0BEE5A66"/>
    <w:rsid w:val="0BF9008B"/>
    <w:rsid w:val="0BFA6FD1"/>
    <w:rsid w:val="0C014878"/>
    <w:rsid w:val="0C373216"/>
    <w:rsid w:val="0C3E7E08"/>
    <w:rsid w:val="0C406B21"/>
    <w:rsid w:val="0C6915E0"/>
    <w:rsid w:val="0CEE7400"/>
    <w:rsid w:val="0D09234F"/>
    <w:rsid w:val="0D1462F4"/>
    <w:rsid w:val="0D1C2527"/>
    <w:rsid w:val="0D324D94"/>
    <w:rsid w:val="0D562B05"/>
    <w:rsid w:val="0DB40D43"/>
    <w:rsid w:val="0DB71BE3"/>
    <w:rsid w:val="0DBC70F1"/>
    <w:rsid w:val="0E0722AE"/>
    <w:rsid w:val="0E44027A"/>
    <w:rsid w:val="0E53028D"/>
    <w:rsid w:val="0E5D3349"/>
    <w:rsid w:val="0E857647"/>
    <w:rsid w:val="0E905815"/>
    <w:rsid w:val="0EA271EC"/>
    <w:rsid w:val="0ECD528C"/>
    <w:rsid w:val="0EE61D33"/>
    <w:rsid w:val="0EE70E8E"/>
    <w:rsid w:val="0EE81876"/>
    <w:rsid w:val="0F0A282B"/>
    <w:rsid w:val="0F470702"/>
    <w:rsid w:val="0F515C5A"/>
    <w:rsid w:val="0F6D3AD1"/>
    <w:rsid w:val="0FA42666"/>
    <w:rsid w:val="0FA9089C"/>
    <w:rsid w:val="0FD2057A"/>
    <w:rsid w:val="0FD571EC"/>
    <w:rsid w:val="108522C5"/>
    <w:rsid w:val="10937F1A"/>
    <w:rsid w:val="109C55C2"/>
    <w:rsid w:val="10A36CEB"/>
    <w:rsid w:val="110F15C1"/>
    <w:rsid w:val="11240204"/>
    <w:rsid w:val="114950F2"/>
    <w:rsid w:val="118273C5"/>
    <w:rsid w:val="11983593"/>
    <w:rsid w:val="11A23E24"/>
    <w:rsid w:val="11AF3192"/>
    <w:rsid w:val="11D44407"/>
    <w:rsid w:val="11F4325E"/>
    <w:rsid w:val="122B23DB"/>
    <w:rsid w:val="12432BED"/>
    <w:rsid w:val="128A57C3"/>
    <w:rsid w:val="12921F42"/>
    <w:rsid w:val="12B2792E"/>
    <w:rsid w:val="12C33517"/>
    <w:rsid w:val="12CA3F6D"/>
    <w:rsid w:val="12D45BC9"/>
    <w:rsid w:val="12E5148C"/>
    <w:rsid w:val="13222A6D"/>
    <w:rsid w:val="13375F7C"/>
    <w:rsid w:val="133B072C"/>
    <w:rsid w:val="139A144D"/>
    <w:rsid w:val="13D47A1B"/>
    <w:rsid w:val="13D80628"/>
    <w:rsid w:val="13E62DBC"/>
    <w:rsid w:val="141C07D5"/>
    <w:rsid w:val="14207760"/>
    <w:rsid w:val="14237CCA"/>
    <w:rsid w:val="14505136"/>
    <w:rsid w:val="146F1A40"/>
    <w:rsid w:val="14776EFE"/>
    <w:rsid w:val="147B5855"/>
    <w:rsid w:val="14904A9F"/>
    <w:rsid w:val="14AD2FB9"/>
    <w:rsid w:val="14B4689D"/>
    <w:rsid w:val="14DA11D6"/>
    <w:rsid w:val="14EC447B"/>
    <w:rsid w:val="14FA43F4"/>
    <w:rsid w:val="15312467"/>
    <w:rsid w:val="15442DDA"/>
    <w:rsid w:val="157A4E72"/>
    <w:rsid w:val="15801337"/>
    <w:rsid w:val="159C20F2"/>
    <w:rsid w:val="15A14DEA"/>
    <w:rsid w:val="15A52288"/>
    <w:rsid w:val="15B37428"/>
    <w:rsid w:val="15BC3769"/>
    <w:rsid w:val="15C16A04"/>
    <w:rsid w:val="15D17694"/>
    <w:rsid w:val="15F455B0"/>
    <w:rsid w:val="15FC2035"/>
    <w:rsid w:val="15FD7FC2"/>
    <w:rsid w:val="162006D2"/>
    <w:rsid w:val="162114BD"/>
    <w:rsid w:val="163B35AF"/>
    <w:rsid w:val="16497123"/>
    <w:rsid w:val="169541A1"/>
    <w:rsid w:val="16DF0663"/>
    <w:rsid w:val="16E91F40"/>
    <w:rsid w:val="16F45423"/>
    <w:rsid w:val="17004E85"/>
    <w:rsid w:val="170279F1"/>
    <w:rsid w:val="170711DD"/>
    <w:rsid w:val="17280F16"/>
    <w:rsid w:val="172A1053"/>
    <w:rsid w:val="174357EB"/>
    <w:rsid w:val="177D1E82"/>
    <w:rsid w:val="17830C7D"/>
    <w:rsid w:val="179B2596"/>
    <w:rsid w:val="17EB2521"/>
    <w:rsid w:val="17FC09DB"/>
    <w:rsid w:val="18410550"/>
    <w:rsid w:val="184A630F"/>
    <w:rsid w:val="18902AC0"/>
    <w:rsid w:val="18A36F04"/>
    <w:rsid w:val="18C633D3"/>
    <w:rsid w:val="18F92709"/>
    <w:rsid w:val="190711B8"/>
    <w:rsid w:val="1929549B"/>
    <w:rsid w:val="19315254"/>
    <w:rsid w:val="193713E3"/>
    <w:rsid w:val="19446B85"/>
    <w:rsid w:val="195C7B85"/>
    <w:rsid w:val="19CC7E03"/>
    <w:rsid w:val="19D86A17"/>
    <w:rsid w:val="19DA3387"/>
    <w:rsid w:val="19F4305A"/>
    <w:rsid w:val="1A1C02B0"/>
    <w:rsid w:val="1A260510"/>
    <w:rsid w:val="1A53371E"/>
    <w:rsid w:val="1A580897"/>
    <w:rsid w:val="1A59708B"/>
    <w:rsid w:val="1A5C344B"/>
    <w:rsid w:val="1A761580"/>
    <w:rsid w:val="1A886D43"/>
    <w:rsid w:val="1AAD4CC0"/>
    <w:rsid w:val="1AC54D70"/>
    <w:rsid w:val="1AFB42ED"/>
    <w:rsid w:val="1B1656CF"/>
    <w:rsid w:val="1B1A4796"/>
    <w:rsid w:val="1B1A5B25"/>
    <w:rsid w:val="1B51592D"/>
    <w:rsid w:val="1B677C92"/>
    <w:rsid w:val="1B683033"/>
    <w:rsid w:val="1B837D67"/>
    <w:rsid w:val="1BCD65A0"/>
    <w:rsid w:val="1BEC3787"/>
    <w:rsid w:val="1C127C1D"/>
    <w:rsid w:val="1C2E4F86"/>
    <w:rsid w:val="1C3B6CE8"/>
    <w:rsid w:val="1C526437"/>
    <w:rsid w:val="1C751ABE"/>
    <w:rsid w:val="1C7840B1"/>
    <w:rsid w:val="1C8745E6"/>
    <w:rsid w:val="1C8E3E2E"/>
    <w:rsid w:val="1C8F7072"/>
    <w:rsid w:val="1C92728F"/>
    <w:rsid w:val="1CB74342"/>
    <w:rsid w:val="1CBC5B9E"/>
    <w:rsid w:val="1CC70E5A"/>
    <w:rsid w:val="1CC826ED"/>
    <w:rsid w:val="1CC858AA"/>
    <w:rsid w:val="1CE4446C"/>
    <w:rsid w:val="1CFB6772"/>
    <w:rsid w:val="1D012DC8"/>
    <w:rsid w:val="1D282B73"/>
    <w:rsid w:val="1D473FC4"/>
    <w:rsid w:val="1DA55ED4"/>
    <w:rsid w:val="1DCD16C2"/>
    <w:rsid w:val="1DEA1AED"/>
    <w:rsid w:val="1DEC7B59"/>
    <w:rsid w:val="1E0F11DA"/>
    <w:rsid w:val="1E132584"/>
    <w:rsid w:val="1E1D1B02"/>
    <w:rsid w:val="1E211AF4"/>
    <w:rsid w:val="1E2D414F"/>
    <w:rsid w:val="1E7C3880"/>
    <w:rsid w:val="1E9126D7"/>
    <w:rsid w:val="1EA3020C"/>
    <w:rsid w:val="1EA638ED"/>
    <w:rsid w:val="1EC428AC"/>
    <w:rsid w:val="1EEB6780"/>
    <w:rsid w:val="1F0F1A50"/>
    <w:rsid w:val="1F3F1CE1"/>
    <w:rsid w:val="1F3F4D79"/>
    <w:rsid w:val="1F577B62"/>
    <w:rsid w:val="1F69094A"/>
    <w:rsid w:val="1F770DE5"/>
    <w:rsid w:val="1FA928B8"/>
    <w:rsid w:val="1FAF33D0"/>
    <w:rsid w:val="1FE97514"/>
    <w:rsid w:val="200A5C3C"/>
    <w:rsid w:val="202D6E39"/>
    <w:rsid w:val="203370CC"/>
    <w:rsid w:val="203D48DF"/>
    <w:rsid w:val="2042635B"/>
    <w:rsid w:val="204949D4"/>
    <w:rsid w:val="20567420"/>
    <w:rsid w:val="2069588E"/>
    <w:rsid w:val="20701757"/>
    <w:rsid w:val="20786BE9"/>
    <w:rsid w:val="208257CE"/>
    <w:rsid w:val="208A1D0B"/>
    <w:rsid w:val="208C4B5A"/>
    <w:rsid w:val="20994F34"/>
    <w:rsid w:val="20A03B82"/>
    <w:rsid w:val="20B3324D"/>
    <w:rsid w:val="20B74704"/>
    <w:rsid w:val="20C6324C"/>
    <w:rsid w:val="210D3CD7"/>
    <w:rsid w:val="2122049F"/>
    <w:rsid w:val="21251B33"/>
    <w:rsid w:val="21437AE8"/>
    <w:rsid w:val="21482FF9"/>
    <w:rsid w:val="214D0AB3"/>
    <w:rsid w:val="217A0435"/>
    <w:rsid w:val="218775AB"/>
    <w:rsid w:val="2188729D"/>
    <w:rsid w:val="21B77545"/>
    <w:rsid w:val="21BA022A"/>
    <w:rsid w:val="21BD48B9"/>
    <w:rsid w:val="21C42C5D"/>
    <w:rsid w:val="21CE69EC"/>
    <w:rsid w:val="21D431C3"/>
    <w:rsid w:val="21D75B28"/>
    <w:rsid w:val="21E1157B"/>
    <w:rsid w:val="21E9116E"/>
    <w:rsid w:val="21F33F8B"/>
    <w:rsid w:val="22047B62"/>
    <w:rsid w:val="220C2239"/>
    <w:rsid w:val="220C503A"/>
    <w:rsid w:val="22637F74"/>
    <w:rsid w:val="227350E1"/>
    <w:rsid w:val="227A2DCD"/>
    <w:rsid w:val="227D3355"/>
    <w:rsid w:val="22811AD1"/>
    <w:rsid w:val="228150C7"/>
    <w:rsid w:val="22851D24"/>
    <w:rsid w:val="22996C92"/>
    <w:rsid w:val="22CD66D0"/>
    <w:rsid w:val="22DF6B31"/>
    <w:rsid w:val="22E72E5E"/>
    <w:rsid w:val="22F50C4E"/>
    <w:rsid w:val="23111068"/>
    <w:rsid w:val="23242C16"/>
    <w:rsid w:val="233B32F2"/>
    <w:rsid w:val="23417E1B"/>
    <w:rsid w:val="23503C84"/>
    <w:rsid w:val="238846BF"/>
    <w:rsid w:val="23A3588C"/>
    <w:rsid w:val="23AA7239"/>
    <w:rsid w:val="23BB3004"/>
    <w:rsid w:val="23C6233B"/>
    <w:rsid w:val="23C7681E"/>
    <w:rsid w:val="24082174"/>
    <w:rsid w:val="24145594"/>
    <w:rsid w:val="24381C76"/>
    <w:rsid w:val="24513B95"/>
    <w:rsid w:val="24531BE4"/>
    <w:rsid w:val="245E60EA"/>
    <w:rsid w:val="24945841"/>
    <w:rsid w:val="249F3629"/>
    <w:rsid w:val="25060596"/>
    <w:rsid w:val="25097325"/>
    <w:rsid w:val="25253091"/>
    <w:rsid w:val="25292606"/>
    <w:rsid w:val="25580E26"/>
    <w:rsid w:val="255E2003"/>
    <w:rsid w:val="25A062B3"/>
    <w:rsid w:val="25C15CB6"/>
    <w:rsid w:val="25F95738"/>
    <w:rsid w:val="2604539D"/>
    <w:rsid w:val="261D222D"/>
    <w:rsid w:val="263C430E"/>
    <w:rsid w:val="26584507"/>
    <w:rsid w:val="26A61651"/>
    <w:rsid w:val="26CA20A0"/>
    <w:rsid w:val="26CC4D9A"/>
    <w:rsid w:val="26CF5C04"/>
    <w:rsid w:val="26DC7985"/>
    <w:rsid w:val="26E8451F"/>
    <w:rsid w:val="26FE033B"/>
    <w:rsid w:val="271B54EF"/>
    <w:rsid w:val="2723127F"/>
    <w:rsid w:val="27330B47"/>
    <w:rsid w:val="2735298E"/>
    <w:rsid w:val="27796A8A"/>
    <w:rsid w:val="278860CF"/>
    <w:rsid w:val="27AD3BBE"/>
    <w:rsid w:val="27C873ED"/>
    <w:rsid w:val="27DB0EE6"/>
    <w:rsid w:val="27F33DF7"/>
    <w:rsid w:val="27F83A99"/>
    <w:rsid w:val="283A5429"/>
    <w:rsid w:val="28450962"/>
    <w:rsid w:val="284A1F5D"/>
    <w:rsid w:val="284B7EE7"/>
    <w:rsid w:val="284F0166"/>
    <w:rsid w:val="28605BD0"/>
    <w:rsid w:val="28664D86"/>
    <w:rsid w:val="286E51BD"/>
    <w:rsid w:val="28741007"/>
    <w:rsid w:val="287A1C4C"/>
    <w:rsid w:val="28834ADA"/>
    <w:rsid w:val="28E1506C"/>
    <w:rsid w:val="28E86C90"/>
    <w:rsid w:val="292C4BDC"/>
    <w:rsid w:val="295807BB"/>
    <w:rsid w:val="296D189C"/>
    <w:rsid w:val="29882D00"/>
    <w:rsid w:val="2990340C"/>
    <w:rsid w:val="299D7047"/>
    <w:rsid w:val="29B006C8"/>
    <w:rsid w:val="29CF7CBC"/>
    <w:rsid w:val="2A040E61"/>
    <w:rsid w:val="2A0B7E6D"/>
    <w:rsid w:val="2A13200D"/>
    <w:rsid w:val="2A221ED3"/>
    <w:rsid w:val="2A3B381A"/>
    <w:rsid w:val="2A8736BE"/>
    <w:rsid w:val="2A93499D"/>
    <w:rsid w:val="2AC603DE"/>
    <w:rsid w:val="2AE6082F"/>
    <w:rsid w:val="2B010556"/>
    <w:rsid w:val="2B026E96"/>
    <w:rsid w:val="2B056260"/>
    <w:rsid w:val="2B1321DC"/>
    <w:rsid w:val="2B30560E"/>
    <w:rsid w:val="2B400334"/>
    <w:rsid w:val="2B445780"/>
    <w:rsid w:val="2B4C758A"/>
    <w:rsid w:val="2B633D6E"/>
    <w:rsid w:val="2B6B5E0B"/>
    <w:rsid w:val="2B6C4A0B"/>
    <w:rsid w:val="2BE92768"/>
    <w:rsid w:val="2BED16F8"/>
    <w:rsid w:val="2C1D027F"/>
    <w:rsid w:val="2C6327A8"/>
    <w:rsid w:val="2C6D4CDD"/>
    <w:rsid w:val="2C6F5E1F"/>
    <w:rsid w:val="2C755243"/>
    <w:rsid w:val="2C7C4EE5"/>
    <w:rsid w:val="2C876C23"/>
    <w:rsid w:val="2CE72985"/>
    <w:rsid w:val="2CFB5B68"/>
    <w:rsid w:val="2D1C4591"/>
    <w:rsid w:val="2D286ADB"/>
    <w:rsid w:val="2D8B0FF1"/>
    <w:rsid w:val="2DE971E2"/>
    <w:rsid w:val="2E116E66"/>
    <w:rsid w:val="2E123EA8"/>
    <w:rsid w:val="2E1D6EDE"/>
    <w:rsid w:val="2E2A3561"/>
    <w:rsid w:val="2E2D5F9E"/>
    <w:rsid w:val="2E392EFD"/>
    <w:rsid w:val="2E3B6C3B"/>
    <w:rsid w:val="2E50759F"/>
    <w:rsid w:val="2E79377E"/>
    <w:rsid w:val="2E9C79B2"/>
    <w:rsid w:val="2EC66A23"/>
    <w:rsid w:val="2ECE06FE"/>
    <w:rsid w:val="2F144969"/>
    <w:rsid w:val="2F1C72B3"/>
    <w:rsid w:val="2F334578"/>
    <w:rsid w:val="2F5109A4"/>
    <w:rsid w:val="2F5E6B8C"/>
    <w:rsid w:val="2F631BC5"/>
    <w:rsid w:val="2F6B042A"/>
    <w:rsid w:val="2F700DF1"/>
    <w:rsid w:val="2F916997"/>
    <w:rsid w:val="2FB601D0"/>
    <w:rsid w:val="2FBF4699"/>
    <w:rsid w:val="2FE573AB"/>
    <w:rsid w:val="301471FC"/>
    <w:rsid w:val="30245D01"/>
    <w:rsid w:val="30265D71"/>
    <w:rsid w:val="304D7130"/>
    <w:rsid w:val="30682984"/>
    <w:rsid w:val="306D2235"/>
    <w:rsid w:val="309F2E19"/>
    <w:rsid w:val="30EF2A10"/>
    <w:rsid w:val="30F019A9"/>
    <w:rsid w:val="31094BD2"/>
    <w:rsid w:val="31132550"/>
    <w:rsid w:val="311A393E"/>
    <w:rsid w:val="31303416"/>
    <w:rsid w:val="313F4D9A"/>
    <w:rsid w:val="314A36B4"/>
    <w:rsid w:val="3161595D"/>
    <w:rsid w:val="316C045F"/>
    <w:rsid w:val="3184602D"/>
    <w:rsid w:val="319C6943"/>
    <w:rsid w:val="31AD66FD"/>
    <w:rsid w:val="31B21D95"/>
    <w:rsid w:val="31B96AA6"/>
    <w:rsid w:val="31DF34F0"/>
    <w:rsid w:val="31EE0D17"/>
    <w:rsid w:val="31FC7ADB"/>
    <w:rsid w:val="3221596B"/>
    <w:rsid w:val="32222E7F"/>
    <w:rsid w:val="322F17B7"/>
    <w:rsid w:val="325A6FC8"/>
    <w:rsid w:val="326E76CC"/>
    <w:rsid w:val="327A0F3A"/>
    <w:rsid w:val="329D57F1"/>
    <w:rsid w:val="32B8773C"/>
    <w:rsid w:val="331A61FF"/>
    <w:rsid w:val="33255513"/>
    <w:rsid w:val="33283607"/>
    <w:rsid w:val="336A17DF"/>
    <w:rsid w:val="33762B88"/>
    <w:rsid w:val="338565A5"/>
    <w:rsid w:val="3388080E"/>
    <w:rsid w:val="33AD0AAD"/>
    <w:rsid w:val="33FC056B"/>
    <w:rsid w:val="34133F4C"/>
    <w:rsid w:val="34176FDD"/>
    <w:rsid w:val="34186F72"/>
    <w:rsid w:val="34195674"/>
    <w:rsid w:val="34246EDC"/>
    <w:rsid w:val="346C5CA1"/>
    <w:rsid w:val="34A04E07"/>
    <w:rsid w:val="34DB1E65"/>
    <w:rsid w:val="34E24C33"/>
    <w:rsid w:val="34F3029F"/>
    <w:rsid w:val="34F74832"/>
    <w:rsid w:val="351013A8"/>
    <w:rsid w:val="351940B0"/>
    <w:rsid w:val="3531020B"/>
    <w:rsid w:val="35364074"/>
    <w:rsid w:val="355346F6"/>
    <w:rsid w:val="355E4683"/>
    <w:rsid w:val="357C7584"/>
    <w:rsid w:val="35A07E22"/>
    <w:rsid w:val="35A3626A"/>
    <w:rsid w:val="35E15F2A"/>
    <w:rsid w:val="35E53C1A"/>
    <w:rsid w:val="360302A9"/>
    <w:rsid w:val="361976C3"/>
    <w:rsid w:val="362463DF"/>
    <w:rsid w:val="3638711E"/>
    <w:rsid w:val="36572F64"/>
    <w:rsid w:val="36C866EF"/>
    <w:rsid w:val="36EB5BF2"/>
    <w:rsid w:val="371A1ED1"/>
    <w:rsid w:val="3729787B"/>
    <w:rsid w:val="372D4055"/>
    <w:rsid w:val="374A73ED"/>
    <w:rsid w:val="374C74AC"/>
    <w:rsid w:val="37596EB2"/>
    <w:rsid w:val="37641FEB"/>
    <w:rsid w:val="376E1EFB"/>
    <w:rsid w:val="37CF0FD9"/>
    <w:rsid w:val="37F073C9"/>
    <w:rsid w:val="381559D1"/>
    <w:rsid w:val="381C1B69"/>
    <w:rsid w:val="381C6932"/>
    <w:rsid w:val="386023AC"/>
    <w:rsid w:val="38B8462D"/>
    <w:rsid w:val="38C33D5C"/>
    <w:rsid w:val="38C43921"/>
    <w:rsid w:val="38CB2C57"/>
    <w:rsid w:val="38DD1BC1"/>
    <w:rsid w:val="38EF3C8A"/>
    <w:rsid w:val="38F511B0"/>
    <w:rsid w:val="38F864C1"/>
    <w:rsid w:val="390377C3"/>
    <w:rsid w:val="391336F3"/>
    <w:rsid w:val="39531C65"/>
    <w:rsid w:val="396D4CB7"/>
    <w:rsid w:val="39CA407F"/>
    <w:rsid w:val="3A0A4D75"/>
    <w:rsid w:val="3A126618"/>
    <w:rsid w:val="3A4D15EB"/>
    <w:rsid w:val="3A567073"/>
    <w:rsid w:val="3A695377"/>
    <w:rsid w:val="3A876423"/>
    <w:rsid w:val="3AB421E7"/>
    <w:rsid w:val="3AC64035"/>
    <w:rsid w:val="3AD47F64"/>
    <w:rsid w:val="3B000ABB"/>
    <w:rsid w:val="3B060213"/>
    <w:rsid w:val="3B0931F8"/>
    <w:rsid w:val="3B097A32"/>
    <w:rsid w:val="3B30693B"/>
    <w:rsid w:val="3B4C32CD"/>
    <w:rsid w:val="3B5E1D06"/>
    <w:rsid w:val="3BAA25AB"/>
    <w:rsid w:val="3BCD08D5"/>
    <w:rsid w:val="3BD97860"/>
    <w:rsid w:val="3BF97445"/>
    <w:rsid w:val="3C0D6F5C"/>
    <w:rsid w:val="3C28777B"/>
    <w:rsid w:val="3C775FC8"/>
    <w:rsid w:val="3CAB24D0"/>
    <w:rsid w:val="3CC022CE"/>
    <w:rsid w:val="3CE225EA"/>
    <w:rsid w:val="3CE24EAA"/>
    <w:rsid w:val="3CE80ED7"/>
    <w:rsid w:val="3CF4761C"/>
    <w:rsid w:val="3D004621"/>
    <w:rsid w:val="3D122352"/>
    <w:rsid w:val="3D167506"/>
    <w:rsid w:val="3D192AA5"/>
    <w:rsid w:val="3D484466"/>
    <w:rsid w:val="3D4E79E6"/>
    <w:rsid w:val="3D695218"/>
    <w:rsid w:val="3D7E1270"/>
    <w:rsid w:val="3D957D7E"/>
    <w:rsid w:val="3DA6700D"/>
    <w:rsid w:val="3DAB5207"/>
    <w:rsid w:val="3DC212DD"/>
    <w:rsid w:val="3DCE1AC2"/>
    <w:rsid w:val="3DD03B65"/>
    <w:rsid w:val="3DD37FEC"/>
    <w:rsid w:val="3DEF08B7"/>
    <w:rsid w:val="3DF5283C"/>
    <w:rsid w:val="3DFF292D"/>
    <w:rsid w:val="3E1551BC"/>
    <w:rsid w:val="3E236E55"/>
    <w:rsid w:val="3E4A0A14"/>
    <w:rsid w:val="3E5324BC"/>
    <w:rsid w:val="3E734463"/>
    <w:rsid w:val="3E991E30"/>
    <w:rsid w:val="3EC74FD8"/>
    <w:rsid w:val="3EEB0A50"/>
    <w:rsid w:val="3F03223E"/>
    <w:rsid w:val="3F4C2599"/>
    <w:rsid w:val="3F7A30D9"/>
    <w:rsid w:val="3FCB386C"/>
    <w:rsid w:val="3FE10A2A"/>
    <w:rsid w:val="3FEB3166"/>
    <w:rsid w:val="4005779A"/>
    <w:rsid w:val="40363A3A"/>
    <w:rsid w:val="403657E9"/>
    <w:rsid w:val="40410D61"/>
    <w:rsid w:val="40880BFA"/>
    <w:rsid w:val="40AA542D"/>
    <w:rsid w:val="40D46C24"/>
    <w:rsid w:val="40D5031E"/>
    <w:rsid w:val="40DD11B1"/>
    <w:rsid w:val="40EA0F95"/>
    <w:rsid w:val="40EC23F8"/>
    <w:rsid w:val="41070804"/>
    <w:rsid w:val="411E1BAD"/>
    <w:rsid w:val="41246C1D"/>
    <w:rsid w:val="41417D67"/>
    <w:rsid w:val="41556D77"/>
    <w:rsid w:val="415F78F5"/>
    <w:rsid w:val="419304EB"/>
    <w:rsid w:val="41A47355"/>
    <w:rsid w:val="41AB0C0C"/>
    <w:rsid w:val="41AC3D91"/>
    <w:rsid w:val="41C51421"/>
    <w:rsid w:val="41DE59B5"/>
    <w:rsid w:val="41E23D2A"/>
    <w:rsid w:val="422E3F0C"/>
    <w:rsid w:val="42653193"/>
    <w:rsid w:val="42BC71DD"/>
    <w:rsid w:val="42EB5D13"/>
    <w:rsid w:val="431B161F"/>
    <w:rsid w:val="431B3150"/>
    <w:rsid w:val="432D0F3D"/>
    <w:rsid w:val="433B1C72"/>
    <w:rsid w:val="43716B39"/>
    <w:rsid w:val="438F038F"/>
    <w:rsid w:val="43A62258"/>
    <w:rsid w:val="43C52CE9"/>
    <w:rsid w:val="43C542E7"/>
    <w:rsid w:val="44053A18"/>
    <w:rsid w:val="440C2621"/>
    <w:rsid w:val="44286EF0"/>
    <w:rsid w:val="444A6201"/>
    <w:rsid w:val="446A7700"/>
    <w:rsid w:val="446E3444"/>
    <w:rsid w:val="447F2700"/>
    <w:rsid w:val="44974506"/>
    <w:rsid w:val="44E55B1F"/>
    <w:rsid w:val="44F34738"/>
    <w:rsid w:val="450C30C1"/>
    <w:rsid w:val="450F36BC"/>
    <w:rsid w:val="453440B9"/>
    <w:rsid w:val="45380EEC"/>
    <w:rsid w:val="45BA1C5F"/>
    <w:rsid w:val="45DF1A0C"/>
    <w:rsid w:val="45E2649C"/>
    <w:rsid w:val="45EC03C2"/>
    <w:rsid w:val="45EC2CDD"/>
    <w:rsid w:val="45F624B2"/>
    <w:rsid w:val="46026227"/>
    <w:rsid w:val="460E6BC6"/>
    <w:rsid w:val="462D0958"/>
    <w:rsid w:val="463C4B2E"/>
    <w:rsid w:val="466220A0"/>
    <w:rsid w:val="46B571C0"/>
    <w:rsid w:val="46E70B37"/>
    <w:rsid w:val="46E90904"/>
    <w:rsid w:val="46FD31FB"/>
    <w:rsid w:val="470A1043"/>
    <w:rsid w:val="470B2D93"/>
    <w:rsid w:val="472D2B16"/>
    <w:rsid w:val="472F5E58"/>
    <w:rsid w:val="473B5852"/>
    <w:rsid w:val="4754407A"/>
    <w:rsid w:val="47755093"/>
    <w:rsid w:val="479A7B66"/>
    <w:rsid w:val="479A7EA7"/>
    <w:rsid w:val="47B41CA6"/>
    <w:rsid w:val="47C00C39"/>
    <w:rsid w:val="47C47222"/>
    <w:rsid w:val="47E57A30"/>
    <w:rsid w:val="47E81C34"/>
    <w:rsid w:val="480A7D04"/>
    <w:rsid w:val="4812452D"/>
    <w:rsid w:val="4839166B"/>
    <w:rsid w:val="4841673B"/>
    <w:rsid w:val="484E0DF5"/>
    <w:rsid w:val="48894FF4"/>
    <w:rsid w:val="48FE1C8E"/>
    <w:rsid w:val="490E61A1"/>
    <w:rsid w:val="491017DF"/>
    <w:rsid w:val="491D50F4"/>
    <w:rsid w:val="494A0352"/>
    <w:rsid w:val="494D62C3"/>
    <w:rsid w:val="49C06738"/>
    <w:rsid w:val="49CF0180"/>
    <w:rsid w:val="49D70D45"/>
    <w:rsid w:val="49D96075"/>
    <w:rsid w:val="49F9518C"/>
    <w:rsid w:val="4A305F0D"/>
    <w:rsid w:val="4A3661D0"/>
    <w:rsid w:val="4A4857B3"/>
    <w:rsid w:val="4A506F08"/>
    <w:rsid w:val="4A54254B"/>
    <w:rsid w:val="4A5B122B"/>
    <w:rsid w:val="4AAF0D17"/>
    <w:rsid w:val="4AC7490F"/>
    <w:rsid w:val="4AEC19C9"/>
    <w:rsid w:val="4B0C7BF8"/>
    <w:rsid w:val="4B162CE3"/>
    <w:rsid w:val="4B3913B6"/>
    <w:rsid w:val="4B6F6273"/>
    <w:rsid w:val="4B7033C1"/>
    <w:rsid w:val="4BA318E2"/>
    <w:rsid w:val="4BB113E9"/>
    <w:rsid w:val="4BB71830"/>
    <w:rsid w:val="4BD613E0"/>
    <w:rsid w:val="4BFC452E"/>
    <w:rsid w:val="4C421637"/>
    <w:rsid w:val="4C450062"/>
    <w:rsid w:val="4C7344BE"/>
    <w:rsid w:val="4C7A5A5B"/>
    <w:rsid w:val="4C990605"/>
    <w:rsid w:val="4CB46ABA"/>
    <w:rsid w:val="4CB86758"/>
    <w:rsid w:val="4CC97F4D"/>
    <w:rsid w:val="4CF318E9"/>
    <w:rsid w:val="4D0E60AF"/>
    <w:rsid w:val="4D197F32"/>
    <w:rsid w:val="4D596807"/>
    <w:rsid w:val="4D5D426D"/>
    <w:rsid w:val="4D5E468E"/>
    <w:rsid w:val="4D801A08"/>
    <w:rsid w:val="4D890873"/>
    <w:rsid w:val="4DC82B8E"/>
    <w:rsid w:val="4DFC001D"/>
    <w:rsid w:val="4E390CA3"/>
    <w:rsid w:val="4E432638"/>
    <w:rsid w:val="4E4522EF"/>
    <w:rsid w:val="4E6C58CE"/>
    <w:rsid w:val="4E6E18E4"/>
    <w:rsid w:val="4E736BEF"/>
    <w:rsid w:val="4E8407C0"/>
    <w:rsid w:val="4E9A53BD"/>
    <w:rsid w:val="4EB90B45"/>
    <w:rsid w:val="4EBF797D"/>
    <w:rsid w:val="4EF15467"/>
    <w:rsid w:val="4EF23FB1"/>
    <w:rsid w:val="4F2459DB"/>
    <w:rsid w:val="4F3C67C6"/>
    <w:rsid w:val="4F5B1333"/>
    <w:rsid w:val="4F6A5956"/>
    <w:rsid w:val="4F9B578A"/>
    <w:rsid w:val="4FA841F2"/>
    <w:rsid w:val="4FB25A88"/>
    <w:rsid w:val="4FD20AA0"/>
    <w:rsid w:val="4FE42133"/>
    <w:rsid w:val="5007249F"/>
    <w:rsid w:val="500E2412"/>
    <w:rsid w:val="501200D5"/>
    <w:rsid w:val="50156172"/>
    <w:rsid w:val="503304DD"/>
    <w:rsid w:val="50541E93"/>
    <w:rsid w:val="50717643"/>
    <w:rsid w:val="508274B9"/>
    <w:rsid w:val="509A020E"/>
    <w:rsid w:val="509B494D"/>
    <w:rsid w:val="50B9474C"/>
    <w:rsid w:val="50DE7355"/>
    <w:rsid w:val="50E96E23"/>
    <w:rsid w:val="512978FE"/>
    <w:rsid w:val="51502F0F"/>
    <w:rsid w:val="51752176"/>
    <w:rsid w:val="517B6174"/>
    <w:rsid w:val="51B5269E"/>
    <w:rsid w:val="51B85C65"/>
    <w:rsid w:val="51BA22D2"/>
    <w:rsid w:val="51BB1571"/>
    <w:rsid w:val="51CF7F71"/>
    <w:rsid w:val="51DC0CC0"/>
    <w:rsid w:val="51F81AE0"/>
    <w:rsid w:val="52075749"/>
    <w:rsid w:val="521006CF"/>
    <w:rsid w:val="521273EF"/>
    <w:rsid w:val="522154D7"/>
    <w:rsid w:val="525E72CD"/>
    <w:rsid w:val="52860D64"/>
    <w:rsid w:val="52862D63"/>
    <w:rsid w:val="52AE43C7"/>
    <w:rsid w:val="52C63793"/>
    <w:rsid w:val="52D96C12"/>
    <w:rsid w:val="52EC56F1"/>
    <w:rsid w:val="52FE69C4"/>
    <w:rsid w:val="53055FDE"/>
    <w:rsid w:val="534B3E00"/>
    <w:rsid w:val="53526694"/>
    <w:rsid w:val="536B5C0C"/>
    <w:rsid w:val="539219AD"/>
    <w:rsid w:val="53FC3441"/>
    <w:rsid w:val="54095716"/>
    <w:rsid w:val="5425170C"/>
    <w:rsid w:val="54333A58"/>
    <w:rsid w:val="54473660"/>
    <w:rsid w:val="54475507"/>
    <w:rsid w:val="5453362B"/>
    <w:rsid w:val="545B53B5"/>
    <w:rsid w:val="54617825"/>
    <w:rsid w:val="546C70C7"/>
    <w:rsid w:val="54BE7CEF"/>
    <w:rsid w:val="54F90306"/>
    <w:rsid w:val="55027786"/>
    <w:rsid w:val="55165BD1"/>
    <w:rsid w:val="557800F9"/>
    <w:rsid w:val="5590336F"/>
    <w:rsid w:val="559B654C"/>
    <w:rsid w:val="559E56F5"/>
    <w:rsid w:val="55A80492"/>
    <w:rsid w:val="55EC58B0"/>
    <w:rsid w:val="55F45560"/>
    <w:rsid w:val="55FC3628"/>
    <w:rsid w:val="564C4930"/>
    <w:rsid w:val="56903F5F"/>
    <w:rsid w:val="56951840"/>
    <w:rsid w:val="569A0457"/>
    <w:rsid w:val="56AD149F"/>
    <w:rsid w:val="56AD3DDC"/>
    <w:rsid w:val="56DF222E"/>
    <w:rsid w:val="56E228AD"/>
    <w:rsid w:val="56FC1D53"/>
    <w:rsid w:val="571C2C45"/>
    <w:rsid w:val="57210593"/>
    <w:rsid w:val="5724302A"/>
    <w:rsid w:val="57486C31"/>
    <w:rsid w:val="57635A67"/>
    <w:rsid w:val="576F7780"/>
    <w:rsid w:val="57760786"/>
    <w:rsid w:val="577C5E86"/>
    <w:rsid w:val="57950D74"/>
    <w:rsid w:val="579A2E45"/>
    <w:rsid w:val="579E01EB"/>
    <w:rsid w:val="57A97082"/>
    <w:rsid w:val="57C41305"/>
    <w:rsid w:val="57DC0ABA"/>
    <w:rsid w:val="57F14DE1"/>
    <w:rsid w:val="58266067"/>
    <w:rsid w:val="582B308E"/>
    <w:rsid w:val="583078E1"/>
    <w:rsid w:val="583D4A6D"/>
    <w:rsid w:val="584473E2"/>
    <w:rsid w:val="58482CED"/>
    <w:rsid w:val="585F108A"/>
    <w:rsid w:val="58780711"/>
    <w:rsid w:val="589208FF"/>
    <w:rsid w:val="58EC2414"/>
    <w:rsid w:val="590654F0"/>
    <w:rsid w:val="59495621"/>
    <w:rsid w:val="59814FD1"/>
    <w:rsid w:val="599C0C57"/>
    <w:rsid w:val="59B00DE5"/>
    <w:rsid w:val="59F17B06"/>
    <w:rsid w:val="59F91E1B"/>
    <w:rsid w:val="5A022307"/>
    <w:rsid w:val="5A25561B"/>
    <w:rsid w:val="5A2A6B6D"/>
    <w:rsid w:val="5A336AC1"/>
    <w:rsid w:val="5A516919"/>
    <w:rsid w:val="5A543883"/>
    <w:rsid w:val="5AF06F6D"/>
    <w:rsid w:val="5AF4287F"/>
    <w:rsid w:val="5B0E53A3"/>
    <w:rsid w:val="5B255C05"/>
    <w:rsid w:val="5B3C2028"/>
    <w:rsid w:val="5B733364"/>
    <w:rsid w:val="5B941B7D"/>
    <w:rsid w:val="5BB11FDB"/>
    <w:rsid w:val="5BB20EF6"/>
    <w:rsid w:val="5BC3190F"/>
    <w:rsid w:val="5BCE70F4"/>
    <w:rsid w:val="5BE767BD"/>
    <w:rsid w:val="5C1860DA"/>
    <w:rsid w:val="5C2A5C11"/>
    <w:rsid w:val="5C6863F1"/>
    <w:rsid w:val="5C8303EE"/>
    <w:rsid w:val="5C855502"/>
    <w:rsid w:val="5CA533ED"/>
    <w:rsid w:val="5CA7081F"/>
    <w:rsid w:val="5CAE320F"/>
    <w:rsid w:val="5CC30ADE"/>
    <w:rsid w:val="5CDB1BE4"/>
    <w:rsid w:val="5D0F4FED"/>
    <w:rsid w:val="5D2050CC"/>
    <w:rsid w:val="5D3A69D3"/>
    <w:rsid w:val="5D952C65"/>
    <w:rsid w:val="5DB4234F"/>
    <w:rsid w:val="5E245579"/>
    <w:rsid w:val="5E443FAD"/>
    <w:rsid w:val="5E724EDA"/>
    <w:rsid w:val="5E75426E"/>
    <w:rsid w:val="5E8F4115"/>
    <w:rsid w:val="5E935F5E"/>
    <w:rsid w:val="5EC25FFA"/>
    <w:rsid w:val="5F014081"/>
    <w:rsid w:val="5F1F713C"/>
    <w:rsid w:val="5F6C7267"/>
    <w:rsid w:val="5F8A3587"/>
    <w:rsid w:val="5FBA1A15"/>
    <w:rsid w:val="5FD25BA0"/>
    <w:rsid w:val="5FE0127C"/>
    <w:rsid w:val="5FED17BB"/>
    <w:rsid w:val="601063BE"/>
    <w:rsid w:val="601F5C42"/>
    <w:rsid w:val="60256599"/>
    <w:rsid w:val="602E614B"/>
    <w:rsid w:val="60785BF3"/>
    <w:rsid w:val="60922C1B"/>
    <w:rsid w:val="60952B14"/>
    <w:rsid w:val="609B0963"/>
    <w:rsid w:val="609B64E7"/>
    <w:rsid w:val="60AA2973"/>
    <w:rsid w:val="60B31FF5"/>
    <w:rsid w:val="60C22BBA"/>
    <w:rsid w:val="60CC4E07"/>
    <w:rsid w:val="60D619A0"/>
    <w:rsid w:val="611676B3"/>
    <w:rsid w:val="61303A07"/>
    <w:rsid w:val="61A33053"/>
    <w:rsid w:val="61A70E98"/>
    <w:rsid w:val="61C95FF5"/>
    <w:rsid w:val="61D90263"/>
    <w:rsid w:val="62193D03"/>
    <w:rsid w:val="624A3B38"/>
    <w:rsid w:val="625306BE"/>
    <w:rsid w:val="62671915"/>
    <w:rsid w:val="627955F6"/>
    <w:rsid w:val="62796FF0"/>
    <w:rsid w:val="62B960CF"/>
    <w:rsid w:val="62E17600"/>
    <w:rsid w:val="62EA2BFF"/>
    <w:rsid w:val="63084A49"/>
    <w:rsid w:val="63260125"/>
    <w:rsid w:val="6337664F"/>
    <w:rsid w:val="63383ED6"/>
    <w:rsid w:val="6338494C"/>
    <w:rsid w:val="633C7337"/>
    <w:rsid w:val="63775C96"/>
    <w:rsid w:val="638929FF"/>
    <w:rsid w:val="63A11ED6"/>
    <w:rsid w:val="63A60F1D"/>
    <w:rsid w:val="63DF6B04"/>
    <w:rsid w:val="64011BAD"/>
    <w:rsid w:val="64061DE2"/>
    <w:rsid w:val="642E732A"/>
    <w:rsid w:val="643C5B4D"/>
    <w:rsid w:val="64471DF2"/>
    <w:rsid w:val="645A7DDA"/>
    <w:rsid w:val="646F3B94"/>
    <w:rsid w:val="6490034D"/>
    <w:rsid w:val="649C5180"/>
    <w:rsid w:val="64D67A48"/>
    <w:rsid w:val="64F06AB3"/>
    <w:rsid w:val="65137EA5"/>
    <w:rsid w:val="65276BAC"/>
    <w:rsid w:val="656578F0"/>
    <w:rsid w:val="65845966"/>
    <w:rsid w:val="65A438ED"/>
    <w:rsid w:val="65AA7C28"/>
    <w:rsid w:val="65DF7E31"/>
    <w:rsid w:val="65FE0525"/>
    <w:rsid w:val="660F6F92"/>
    <w:rsid w:val="6615662B"/>
    <w:rsid w:val="661C2807"/>
    <w:rsid w:val="661C540A"/>
    <w:rsid w:val="66494E5D"/>
    <w:rsid w:val="664D393D"/>
    <w:rsid w:val="665C09B1"/>
    <w:rsid w:val="666B0F2C"/>
    <w:rsid w:val="668A6A2F"/>
    <w:rsid w:val="66CB5C45"/>
    <w:rsid w:val="66E44BE8"/>
    <w:rsid w:val="66F1525C"/>
    <w:rsid w:val="66F238E5"/>
    <w:rsid w:val="6729363F"/>
    <w:rsid w:val="677C44FA"/>
    <w:rsid w:val="67B607E5"/>
    <w:rsid w:val="67DC6C2E"/>
    <w:rsid w:val="67EA67B6"/>
    <w:rsid w:val="67EE44B5"/>
    <w:rsid w:val="67FC16DF"/>
    <w:rsid w:val="68120C2B"/>
    <w:rsid w:val="684F79E5"/>
    <w:rsid w:val="68545E49"/>
    <w:rsid w:val="688C1198"/>
    <w:rsid w:val="68B857EF"/>
    <w:rsid w:val="68C51A63"/>
    <w:rsid w:val="68E7664E"/>
    <w:rsid w:val="69256781"/>
    <w:rsid w:val="69775CB8"/>
    <w:rsid w:val="69A57FAE"/>
    <w:rsid w:val="69DE124D"/>
    <w:rsid w:val="6A21047C"/>
    <w:rsid w:val="6A2E1E58"/>
    <w:rsid w:val="6A3F7D1E"/>
    <w:rsid w:val="6A5A799B"/>
    <w:rsid w:val="6A643167"/>
    <w:rsid w:val="6A687450"/>
    <w:rsid w:val="6A6D3B27"/>
    <w:rsid w:val="6A7E1064"/>
    <w:rsid w:val="6A81571E"/>
    <w:rsid w:val="6A922CD0"/>
    <w:rsid w:val="6AA643DB"/>
    <w:rsid w:val="6AAE32C5"/>
    <w:rsid w:val="6ABF313F"/>
    <w:rsid w:val="6ADE3ED8"/>
    <w:rsid w:val="6B052A8D"/>
    <w:rsid w:val="6B0B0382"/>
    <w:rsid w:val="6B240C57"/>
    <w:rsid w:val="6B256EDB"/>
    <w:rsid w:val="6B3C40A1"/>
    <w:rsid w:val="6B4B0088"/>
    <w:rsid w:val="6B4D2B9D"/>
    <w:rsid w:val="6B5D7821"/>
    <w:rsid w:val="6B9668DB"/>
    <w:rsid w:val="6BA07A01"/>
    <w:rsid w:val="6BC1736F"/>
    <w:rsid w:val="6BC32D7C"/>
    <w:rsid w:val="6BDF4ECD"/>
    <w:rsid w:val="6BFC153C"/>
    <w:rsid w:val="6C035B55"/>
    <w:rsid w:val="6C041BF9"/>
    <w:rsid w:val="6C4C7015"/>
    <w:rsid w:val="6C6E2EBB"/>
    <w:rsid w:val="6C923F25"/>
    <w:rsid w:val="6C954167"/>
    <w:rsid w:val="6CA47FE8"/>
    <w:rsid w:val="6CA50FD0"/>
    <w:rsid w:val="6CA755E2"/>
    <w:rsid w:val="6CC044DE"/>
    <w:rsid w:val="6CC16398"/>
    <w:rsid w:val="6CE02419"/>
    <w:rsid w:val="6D277E96"/>
    <w:rsid w:val="6D2A1241"/>
    <w:rsid w:val="6D436A1C"/>
    <w:rsid w:val="6D520B87"/>
    <w:rsid w:val="6D916F74"/>
    <w:rsid w:val="6DCE3FFB"/>
    <w:rsid w:val="6E036133"/>
    <w:rsid w:val="6E0E695B"/>
    <w:rsid w:val="6E2378A8"/>
    <w:rsid w:val="6E2C49CC"/>
    <w:rsid w:val="6E440EBF"/>
    <w:rsid w:val="6E4826E9"/>
    <w:rsid w:val="6E676263"/>
    <w:rsid w:val="6E96065E"/>
    <w:rsid w:val="6E961113"/>
    <w:rsid w:val="6E9F16FC"/>
    <w:rsid w:val="6EA90888"/>
    <w:rsid w:val="6EBE77EF"/>
    <w:rsid w:val="6ECD68F9"/>
    <w:rsid w:val="6EF46827"/>
    <w:rsid w:val="6F273508"/>
    <w:rsid w:val="6F323823"/>
    <w:rsid w:val="6F377216"/>
    <w:rsid w:val="6F3F30A0"/>
    <w:rsid w:val="6F410196"/>
    <w:rsid w:val="6F756E95"/>
    <w:rsid w:val="6F8A056E"/>
    <w:rsid w:val="6F8E0354"/>
    <w:rsid w:val="6F992D47"/>
    <w:rsid w:val="6F9E211C"/>
    <w:rsid w:val="6FC30BE7"/>
    <w:rsid w:val="70024364"/>
    <w:rsid w:val="70147F6A"/>
    <w:rsid w:val="70755073"/>
    <w:rsid w:val="70A0793D"/>
    <w:rsid w:val="70BC38E2"/>
    <w:rsid w:val="70E81B75"/>
    <w:rsid w:val="70F040E3"/>
    <w:rsid w:val="70F93A3F"/>
    <w:rsid w:val="71105D50"/>
    <w:rsid w:val="71167CDC"/>
    <w:rsid w:val="71286862"/>
    <w:rsid w:val="712F6F39"/>
    <w:rsid w:val="71475E96"/>
    <w:rsid w:val="71841A31"/>
    <w:rsid w:val="718C1864"/>
    <w:rsid w:val="71922E29"/>
    <w:rsid w:val="71E45372"/>
    <w:rsid w:val="71E60E06"/>
    <w:rsid w:val="7208644C"/>
    <w:rsid w:val="721A5D7C"/>
    <w:rsid w:val="721C3D6B"/>
    <w:rsid w:val="723E74DE"/>
    <w:rsid w:val="72490994"/>
    <w:rsid w:val="7262525F"/>
    <w:rsid w:val="7280060B"/>
    <w:rsid w:val="72F82D65"/>
    <w:rsid w:val="732153F5"/>
    <w:rsid w:val="73247F8A"/>
    <w:rsid w:val="736E5061"/>
    <w:rsid w:val="73937ABF"/>
    <w:rsid w:val="73940EC5"/>
    <w:rsid w:val="73CE337C"/>
    <w:rsid w:val="742931A7"/>
    <w:rsid w:val="74580668"/>
    <w:rsid w:val="74727EA0"/>
    <w:rsid w:val="74932E66"/>
    <w:rsid w:val="74946305"/>
    <w:rsid w:val="74A108F6"/>
    <w:rsid w:val="74BD291D"/>
    <w:rsid w:val="74DB38A2"/>
    <w:rsid w:val="74DE788B"/>
    <w:rsid w:val="74EA0AA2"/>
    <w:rsid w:val="74EB5CFC"/>
    <w:rsid w:val="74F7099B"/>
    <w:rsid w:val="750E0B1E"/>
    <w:rsid w:val="751B3609"/>
    <w:rsid w:val="75225626"/>
    <w:rsid w:val="75476EDC"/>
    <w:rsid w:val="754C4F37"/>
    <w:rsid w:val="7562261A"/>
    <w:rsid w:val="756B4AEC"/>
    <w:rsid w:val="75822DE6"/>
    <w:rsid w:val="759C70AE"/>
    <w:rsid w:val="75A12DD8"/>
    <w:rsid w:val="75E3729E"/>
    <w:rsid w:val="75F65D3C"/>
    <w:rsid w:val="75F96328"/>
    <w:rsid w:val="76007311"/>
    <w:rsid w:val="7615617D"/>
    <w:rsid w:val="762C165D"/>
    <w:rsid w:val="76D605BD"/>
    <w:rsid w:val="76F048AC"/>
    <w:rsid w:val="77064A55"/>
    <w:rsid w:val="772C0D98"/>
    <w:rsid w:val="774C45E8"/>
    <w:rsid w:val="77817AE3"/>
    <w:rsid w:val="77876814"/>
    <w:rsid w:val="77AD005E"/>
    <w:rsid w:val="78103ADF"/>
    <w:rsid w:val="783570B9"/>
    <w:rsid w:val="78357142"/>
    <w:rsid w:val="783B4535"/>
    <w:rsid w:val="785307C2"/>
    <w:rsid w:val="787E1BD1"/>
    <w:rsid w:val="78A22999"/>
    <w:rsid w:val="78B478CC"/>
    <w:rsid w:val="78B7255D"/>
    <w:rsid w:val="78BE1CC8"/>
    <w:rsid w:val="794848CA"/>
    <w:rsid w:val="796F2C63"/>
    <w:rsid w:val="797101BF"/>
    <w:rsid w:val="79995BEF"/>
    <w:rsid w:val="79D13260"/>
    <w:rsid w:val="79ED66DD"/>
    <w:rsid w:val="79F94907"/>
    <w:rsid w:val="7A2D2E71"/>
    <w:rsid w:val="7ABB5F10"/>
    <w:rsid w:val="7ACB24DC"/>
    <w:rsid w:val="7AE97792"/>
    <w:rsid w:val="7B213550"/>
    <w:rsid w:val="7B343BA1"/>
    <w:rsid w:val="7B3B7ACA"/>
    <w:rsid w:val="7B4B7E21"/>
    <w:rsid w:val="7B52062B"/>
    <w:rsid w:val="7B646217"/>
    <w:rsid w:val="7B677A53"/>
    <w:rsid w:val="7B7349BF"/>
    <w:rsid w:val="7BA62B82"/>
    <w:rsid w:val="7BA7113F"/>
    <w:rsid w:val="7BB16327"/>
    <w:rsid w:val="7BCA0CD8"/>
    <w:rsid w:val="7C14004B"/>
    <w:rsid w:val="7C187734"/>
    <w:rsid w:val="7C2753AE"/>
    <w:rsid w:val="7C401F8B"/>
    <w:rsid w:val="7C64659D"/>
    <w:rsid w:val="7C743ED1"/>
    <w:rsid w:val="7C8A46D7"/>
    <w:rsid w:val="7C8B3DE6"/>
    <w:rsid w:val="7C9D2FD9"/>
    <w:rsid w:val="7CAC3111"/>
    <w:rsid w:val="7CE135E6"/>
    <w:rsid w:val="7D0C2EEC"/>
    <w:rsid w:val="7D116942"/>
    <w:rsid w:val="7D1538EC"/>
    <w:rsid w:val="7D2037EF"/>
    <w:rsid w:val="7D3C3E1F"/>
    <w:rsid w:val="7D6E3C91"/>
    <w:rsid w:val="7D926B23"/>
    <w:rsid w:val="7DD13227"/>
    <w:rsid w:val="7DFA5352"/>
    <w:rsid w:val="7E0A4C45"/>
    <w:rsid w:val="7E2F6A34"/>
    <w:rsid w:val="7E3E7636"/>
    <w:rsid w:val="7E416E12"/>
    <w:rsid w:val="7E495F64"/>
    <w:rsid w:val="7E4E03E1"/>
    <w:rsid w:val="7E5B62D2"/>
    <w:rsid w:val="7E6009C6"/>
    <w:rsid w:val="7E734E0F"/>
    <w:rsid w:val="7EC07962"/>
    <w:rsid w:val="7F196B89"/>
    <w:rsid w:val="7F405101"/>
    <w:rsid w:val="7F4D3E60"/>
    <w:rsid w:val="7F555DCE"/>
    <w:rsid w:val="7F8B0C20"/>
    <w:rsid w:val="7FF153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qFormat="1" w:unhideWhenUsed="0" w:uiPriority="99" w:semiHidden="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qFormat="1"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9"/>
    <w:autoRedefine/>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0"/>
    <w:autoRedefine/>
    <w:qFormat/>
    <w:uiPriority w:val="99"/>
    <w:pPr>
      <w:keepNext/>
      <w:keepLines/>
      <w:spacing w:before="260" w:after="260" w:line="413" w:lineRule="auto"/>
      <w:jc w:val="center"/>
      <w:outlineLvl w:val="1"/>
    </w:pPr>
    <w:rPr>
      <w:rFonts w:ascii="Arial" w:hAnsi="Arial" w:eastAsia="黑体"/>
      <w:b/>
      <w:sz w:val="44"/>
      <w:szCs w:val="20"/>
    </w:rPr>
  </w:style>
  <w:style w:type="paragraph" w:styleId="5">
    <w:name w:val="heading 3"/>
    <w:basedOn w:val="1"/>
    <w:next w:val="1"/>
    <w:link w:val="71"/>
    <w:autoRedefine/>
    <w:qFormat/>
    <w:uiPriority w:val="99"/>
    <w:pPr>
      <w:keepNext/>
      <w:keepLines/>
      <w:spacing w:before="260" w:after="260" w:line="416" w:lineRule="auto"/>
      <w:outlineLvl w:val="2"/>
    </w:pPr>
    <w:rPr>
      <w:b/>
      <w:bCs/>
      <w:sz w:val="32"/>
      <w:szCs w:val="32"/>
    </w:rPr>
  </w:style>
  <w:style w:type="paragraph" w:styleId="2">
    <w:name w:val="heading 4"/>
    <w:basedOn w:val="1"/>
    <w:next w:val="1"/>
    <w:link w:val="72"/>
    <w:autoRedefine/>
    <w:qFormat/>
    <w:uiPriority w:val="99"/>
    <w:pPr>
      <w:keepNext/>
      <w:keepLines/>
      <w:widowControl/>
      <w:spacing w:line="360" w:lineRule="auto"/>
      <w:jc w:val="center"/>
      <w:outlineLvl w:val="3"/>
    </w:pPr>
    <w:rPr>
      <w:rFonts w:ascii="Arial" w:hAnsi="Arial" w:eastAsia="黑体"/>
      <w:kern w:val="0"/>
      <w:sz w:val="28"/>
      <w:szCs w:val="20"/>
    </w:rPr>
  </w:style>
  <w:style w:type="paragraph" w:styleId="6">
    <w:name w:val="heading 5"/>
    <w:basedOn w:val="1"/>
    <w:next w:val="1"/>
    <w:link w:val="73"/>
    <w:autoRedefine/>
    <w:qFormat/>
    <w:uiPriority w:val="99"/>
    <w:pPr>
      <w:keepNext/>
      <w:keepLines/>
      <w:spacing w:line="372" w:lineRule="auto"/>
      <w:outlineLvl w:val="4"/>
    </w:pPr>
    <w:rPr>
      <w:b/>
      <w:bCs/>
      <w:sz w:val="28"/>
      <w:szCs w:val="28"/>
    </w:rPr>
  </w:style>
  <w:style w:type="paragraph" w:styleId="7">
    <w:name w:val="heading 6"/>
    <w:basedOn w:val="1"/>
    <w:next w:val="1"/>
    <w:link w:val="74"/>
    <w:autoRedefine/>
    <w:qFormat/>
    <w:uiPriority w:val="9"/>
    <w:pPr>
      <w:keepNext/>
      <w:keepLines/>
      <w:spacing w:before="240" w:after="64" w:line="317" w:lineRule="auto"/>
      <w:outlineLvl w:val="5"/>
    </w:pPr>
    <w:rPr>
      <w:rFonts w:ascii="Cambria" w:hAnsi="Cambria"/>
      <w:b/>
      <w:bCs/>
      <w:sz w:val="24"/>
    </w:rPr>
  </w:style>
  <w:style w:type="paragraph" w:styleId="8">
    <w:name w:val="heading 7"/>
    <w:basedOn w:val="1"/>
    <w:next w:val="1"/>
    <w:link w:val="75"/>
    <w:autoRedefine/>
    <w:qFormat/>
    <w:uiPriority w:val="9"/>
    <w:pPr>
      <w:keepNext/>
      <w:keepLines/>
      <w:spacing w:before="240" w:after="64" w:line="317" w:lineRule="auto"/>
      <w:outlineLvl w:val="6"/>
    </w:pPr>
    <w:rPr>
      <w:rFonts w:ascii="Calibri" w:hAnsi="Calibri"/>
      <w:b/>
      <w:bCs/>
      <w:sz w:val="24"/>
    </w:rPr>
  </w:style>
  <w:style w:type="paragraph" w:styleId="9">
    <w:name w:val="heading 8"/>
    <w:basedOn w:val="1"/>
    <w:next w:val="1"/>
    <w:link w:val="76"/>
    <w:autoRedefine/>
    <w:qFormat/>
    <w:uiPriority w:val="9"/>
    <w:pPr>
      <w:keepNext/>
      <w:keepLines/>
      <w:spacing w:before="240" w:after="64" w:line="317" w:lineRule="auto"/>
      <w:outlineLvl w:val="7"/>
    </w:pPr>
    <w:rPr>
      <w:rFonts w:ascii="Cambria" w:hAnsi="Cambria"/>
      <w:sz w:val="24"/>
    </w:rPr>
  </w:style>
  <w:style w:type="paragraph" w:styleId="10">
    <w:name w:val="heading 9"/>
    <w:basedOn w:val="1"/>
    <w:next w:val="1"/>
    <w:link w:val="77"/>
    <w:autoRedefine/>
    <w:qFormat/>
    <w:uiPriority w:val="9"/>
    <w:pPr>
      <w:keepNext/>
      <w:keepLines/>
      <w:spacing w:before="240" w:after="64" w:line="317" w:lineRule="auto"/>
      <w:outlineLvl w:val="8"/>
    </w:pPr>
    <w:rPr>
      <w:rFonts w:ascii="Cambria" w:hAnsi="Cambria"/>
      <w:szCs w:val="21"/>
    </w:rPr>
  </w:style>
  <w:style w:type="character" w:default="1" w:styleId="50">
    <w:name w:val="Default Paragraph Font"/>
    <w:autoRedefine/>
    <w:semiHidden/>
    <w:unhideWhenUsed/>
    <w:qFormat/>
    <w:uiPriority w:val="1"/>
  </w:style>
  <w:style w:type="table" w:default="1" w:styleId="49">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2520" w:leftChars="1200"/>
    </w:pPr>
    <w:rPr>
      <w:rFonts w:ascii="Calibri" w:hAnsi="Calibri"/>
      <w:szCs w:val="22"/>
    </w:rPr>
  </w:style>
  <w:style w:type="paragraph" w:styleId="12">
    <w:name w:val="Normal Indent"/>
    <w:basedOn w:val="1"/>
    <w:next w:val="1"/>
    <w:autoRedefine/>
    <w:qFormat/>
    <w:uiPriority w:val="99"/>
    <w:pPr>
      <w:widowControl/>
      <w:ind w:firstLine="420"/>
      <w:jc w:val="left"/>
    </w:pPr>
    <w:rPr>
      <w:sz w:val="20"/>
    </w:rPr>
  </w:style>
  <w:style w:type="paragraph" w:styleId="13">
    <w:name w:val="caption"/>
    <w:basedOn w:val="1"/>
    <w:next w:val="1"/>
    <w:autoRedefine/>
    <w:qFormat/>
    <w:uiPriority w:val="99"/>
    <w:rPr>
      <w:rFonts w:ascii="Cambria" w:hAnsi="Cambria" w:eastAsia="黑体"/>
      <w:sz w:val="20"/>
      <w:szCs w:val="20"/>
    </w:rPr>
  </w:style>
  <w:style w:type="paragraph" w:styleId="14">
    <w:name w:val="Document Map"/>
    <w:basedOn w:val="1"/>
    <w:link w:val="95"/>
    <w:autoRedefine/>
    <w:qFormat/>
    <w:uiPriority w:val="99"/>
    <w:pPr>
      <w:shd w:val="clear" w:color="auto" w:fill="000080"/>
    </w:pPr>
    <w:rPr>
      <w:shd w:val="clear" w:color="auto" w:fill="000080"/>
    </w:rPr>
  </w:style>
  <w:style w:type="paragraph" w:styleId="15">
    <w:name w:val="toa heading"/>
    <w:basedOn w:val="1"/>
    <w:next w:val="1"/>
    <w:autoRedefine/>
    <w:qFormat/>
    <w:uiPriority w:val="0"/>
    <w:pPr>
      <w:spacing w:before="120"/>
    </w:pPr>
    <w:rPr>
      <w:rFonts w:ascii="Arial" w:hAnsi="Arial"/>
      <w:b/>
      <w:szCs w:val="20"/>
    </w:rPr>
  </w:style>
  <w:style w:type="paragraph" w:styleId="16">
    <w:name w:val="annotation text"/>
    <w:basedOn w:val="1"/>
    <w:link w:val="96"/>
    <w:autoRedefine/>
    <w:qFormat/>
    <w:uiPriority w:val="0"/>
    <w:pPr>
      <w:jc w:val="left"/>
    </w:pPr>
  </w:style>
  <w:style w:type="paragraph" w:styleId="17">
    <w:name w:val="Body Text 3"/>
    <w:basedOn w:val="1"/>
    <w:link w:val="98"/>
    <w:autoRedefine/>
    <w:qFormat/>
    <w:uiPriority w:val="0"/>
    <w:pPr>
      <w:spacing w:after="120"/>
    </w:pPr>
    <w:rPr>
      <w:rFonts w:ascii="宋体" w:hAnsi="Courier New"/>
      <w:sz w:val="16"/>
      <w:szCs w:val="16"/>
    </w:rPr>
  </w:style>
  <w:style w:type="paragraph" w:styleId="18">
    <w:name w:val="Body Text"/>
    <w:basedOn w:val="1"/>
    <w:next w:val="19"/>
    <w:link w:val="78"/>
    <w:autoRedefine/>
    <w:qFormat/>
    <w:uiPriority w:val="99"/>
    <w:rPr>
      <w:sz w:val="28"/>
    </w:rPr>
  </w:style>
  <w:style w:type="paragraph" w:styleId="19">
    <w:name w:val="Intense Quote"/>
    <w:basedOn w:val="1"/>
    <w:next w:val="1"/>
    <w:link w:val="139"/>
    <w:autoRedefine/>
    <w:qFormat/>
    <w:uiPriority w:val="99"/>
    <w:pPr>
      <w:pBdr>
        <w:bottom w:val="single" w:color="4F81BD" w:sz="4" w:space="4"/>
      </w:pBdr>
      <w:spacing w:before="200" w:after="280"/>
      <w:ind w:left="936" w:right="936"/>
    </w:pPr>
    <w:rPr>
      <w:b/>
      <w:bCs/>
      <w:i/>
      <w:iCs/>
      <w:color w:val="4F81BD"/>
      <w:kern w:val="0"/>
      <w:sz w:val="20"/>
      <w:szCs w:val="20"/>
    </w:rPr>
  </w:style>
  <w:style w:type="paragraph" w:styleId="20">
    <w:name w:val="Body Text Indent"/>
    <w:basedOn w:val="1"/>
    <w:link w:val="79"/>
    <w:autoRedefine/>
    <w:qFormat/>
    <w:uiPriority w:val="99"/>
    <w:pPr>
      <w:spacing w:line="200" w:lineRule="exact"/>
      <w:ind w:firstLine="301"/>
    </w:pPr>
    <w:rPr>
      <w:rFonts w:ascii="宋体" w:hAnsi="Courier New"/>
      <w:spacing w:val="-4"/>
      <w:sz w:val="18"/>
      <w:szCs w:val="20"/>
    </w:rPr>
  </w:style>
  <w:style w:type="paragraph" w:styleId="21">
    <w:name w:val="Block Text"/>
    <w:basedOn w:val="1"/>
    <w:autoRedefine/>
    <w:qFormat/>
    <w:uiPriority w:val="0"/>
    <w:pPr>
      <w:ind w:left="113" w:right="113"/>
      <w:jc w:val="center"/>
    </w:pPr>
    <w:rPr>
      <w:sz w:val="44"/>
    </w:rPr>
  </w:style>
  <w:style w:type="paragraph" w:styleId="22">
    <w:name w:val="index 4"/>
    <w:basedOn w:val="1"/>
    <w:next w:val="1"/>
    <w:autoRedefine/>
    <w:qFormat/>
    <w:uiPriority w:val="99"/>
    <w:pPr>
      <w:ind w:left="600" w:leftChars="600"/>
    </w:pPr>
  </w:style>
  <w:style w:type="paragraph" w:styleId="23">
    <w:name w:val="toc 5"/>
    <w:basedOn w:val="1"/>
    <w:next w:val="1"/>
    <w:autoRedefine/>
    <w:qFormat/>
    <w:uiPriority w:val="39"/>
    <w:pPr>
      <w:ind w:left="1680" w:leftChars="800"/>
    </w:pPr>
    <w:rPr>
      <w:rFonts w:ascii="Calibri" w:hAnsi="Calibri"/>
      <w:szCs w:val="22"/>
    </w:rPr>
  </w:style>
  <w:style w:type="paragraph" w:styleId="24">
    <w:name w:val="toc 3"/>
    <w:basedOn w:val="1"/>
    <w:next w:val="1"/>
    <w:autoRedefine/>
    <w:qFormat/>
    <w:uiPriority w:val="39"/>
    <w:pPr>
      <w:ind w:left="840" w:leftChars="400"/>
    </w:pPr>
  </w:style>
  <w:style w:type="paragraph" w:styleId="25">
    <w:name w:val="Plain Text"/>
    <w:basedOn w:val="1"/>
    <w:next w:val="1"/>
    <w:link w:val="81"/>
    <w:autoRedefine/>
    <w:qFormat/>
    <w:uiPriority w:val="0"/>
    <w:rPr>
      <w:rFonts w:ascii="宋体" w:hAnsi="Courier New"/>
      <w:szCs w:val="20"/>
    </w:rPr>
  </w:style>
  <w:style w:type="paragraph" w:styleId="26">
    <w:name w:val="toc 8"/>
    <w:basedOn w:val="1"/>
    <w:next w:val="1"/>
    <w:autoRedefine/>
    <w:qFormat/>
    <w:uiPriority w:val="39"/>
    <w:pPr>
      <w:ind w:left="2940" w:leftChars="1400"/>
    </w:pPr>
    <w:rPr>
      <w:rFonts w:ascii="Calibri" w:hAnsi="Calibri"/>
      <w:szCs w:val="22"/>
    </w:rPr>
  </w:style>
  <w:style w:type="paragraph" w:styleId="27">
    <w:name w:val="Date"/>
    <w:basedOn w:val="1"/>
    <w:next w:val="1"/>
    <w:link w:val="80"/>
    <w:autoRedefine/>
    <w:qFormat/>
    <w:uiPriority w:val="99"/>
    <w:pPr>
      <w:ind w:left="100" w:leftChars="2500"/>
    </w:pPr>
  </w:style>
  <w:style w:type="paragraph" w:styleId="28">
    <w:name w:val="Body Text Indent 2"/>
    <w:basedOn w:val="1"/>
    <w:link w:val="99"/>
    <w:autoRedefine/>
    <w:qFormat/>
    <w:uiPriority w:val="99"/>
    <w:pPr>
      <w:spacing w:line="340" w:lineRule="exact"/>
      <w:ind w:firstLine="524" w:firstLineChars="187"/>
    </w:pPr>
    <w:rPr>
      <w:rFonts w:ascii="仿宋_GB2312" w:eastAsia="仿宋_GB2312"/>
      <w:sz w:val="28"/>
    </w:rPr>
  </w:style>
  <w:style w:type="paragraph" w:styleId="29">
    <w:name w:val="endnote text"/>
    <w:basedOn w:val="1"/>
    <w:link w:val="100"/>
    <w:autoRedefine/>
    <w:qFormat/>
    <w:uiPriority w:val="0"/>
    <w:pPr>
      <w:snapToGrid w:val="0"/>
      <w:jc w:val="left"/>
    </w:pPr>
  </w:style>
  <w:style w:type="paragraph" w:styleId="30">
    <w:name w:val="Balloon Text"/>
    <w:basedOn w:val="1"/>
    <w:link w:val="101"/>
    <w:autoRedefine/>
    <w:qFormat/>
    <w:uiPriority w:val="99"/>
    <w:rPr>
      <w:sz w:val="18"/>
      <w:szCs w:val="18"/>
    </w:rPr>
  </w:style>
  <w:style w:type="paragraph" w:styleId="31">
    <w:name w:val="footer"/>
    <w:basedOn w:val="1"/>
    <w:next w:val="1"/>
    <w:link w:val="82"/>
    <w:autoRedefine/>
    <w:qFormat/>
    <w:uiPriority w:val="99"/>
    <w:pPr>
      <w:tabs>
        <w:tab w:val="center" w:pos="4153"/>
        <w:tab w:val="right" w:pos="8306"/>
      </w:tabs>
      <w:snapToGrid w:val="0"/>
    </w:pPr>
    <w:rPr>
      <w:sz w:val="18"/>
      <w:szCs w:val="18"/>
    </w:rPr>
  </w:style>
  <w:style w:type="paragraph" w:styleId="32">
    <w:name w:val="header"/>
    <w:link w:val="83"/>
    <w:autoRedefine/>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33">
    <w:name w:val="toc 1"/>
    <w:basedOn w:val="1"/>
    <w:next w:val="1"/>
    <w:autoRedefine/>
    <w:unhideWhenUsed/>
    <w:qFormat/>
    <w:uiPriority w:val="39"/>
    <w:pPr>
      <w:widowControl/>
      <w:tabs>
        <w:tab w:val="left" w:pos="0"/>
        <w:tab w:val="right" w:leader="dot" w:pos="9435"/>
      </w:tabs>
      <w:spacing w:line="440" w:lineRule="exact"/>
      <w:jc w:val="left"/>
    </w:pPr>
    <w:rPr>
      <w:rFonts w:ascii="Calibri" w:hAnsi="Calibri"/>
      <w:kern w:val="0"/>
      <w:sz w:val="22"/>
      <w:szCs w:val="22"/>
    </w:rPr>
  </w:style>
  <w:style w:type="paragraph" w:styleId="34">
    <w:name w:val="toc 4"/>
    <w:basedOn w:val="1"/>
    <w:next w:val="1"/>
    <w:autoRedefine/>
    <w:qFormat/>
    <w:uiPriority w:val="39"/>
    <w:pPr>
      <w:ind w:left="1260" w:leftChars="600"/>
    </w:pPr>
    <w:rPr>
      <w:rFonts w:ascii="Calibri" w:hAnsi="Calibri"/>
      <w:szCs w:val="22"/>
    </w:rPr>
  </w:style>
  <w:style w:type="paragraph" w:styleId="35">
    <w:name w:val="Subtitle"/>
    <w:basedOn w:val="1"/>
    <w:next w:val="1"/>
    <w:link w:val="102"/>
    <w:autoRedefine/>
    <w:qFormat/>
    <w:uiPriority w:val="11"/>
    <w:pPr>
      <w:spacing w:before="240" w:after="60" w:line="312" w:lineRule="auto"/>
      <w:jc w:val="center"/>
      <w:outlineLvl w:val="1"/>
    </w:pPr>
    <w:rPr>
      <w:rFonts w:ascii="Cambria" w:hAnsi="Cambria"/>
      <w:b/>
      <w:bCs/>
      <w:kern w:val="28"/>
      <w:sz w:val="32"/>
      <w:szCs w:val="32"/>
    </w:rPr>
  </w:style>
  <w:style w:type="paragraph" w:styleId="36">
    <w:name w:val="footnote text"/>
    <w:basedOn w:val="1"/>
    <w:link w:val="103"/>
    <w:autoRedefine/>
    <w:qFormat/>
    <w:uiPriority w:val="99"/>
    <w:pPr>
      <w:adjustRightInd w:val="0"/>
      <w:spacing w:line="312" w:lineRule="atLeast"/>
      <w:jc w:val="left"/>
      <w:textAlignment w:val="baseline"/>
    </w:pPr>
    <w:rPr>
      <w:kern w:val="0"/>
      <w:sz w:val="18"/>
      <w:szCs w:val="20"/>
    </w:rPr>
  </w:style>
  <w:style w:type="paragraph" w:styleId="37">
    <w:name w:val="toc 6"/>
    <w:basedOn w:val="1"/>
    <w:next w:val="1"/>
    <w:autoRedefine/>
    <w:qFormat/>
    <w:uiPriority w:val="39"/>
    <w:pPr>
      <w:ind w:left="2100" w:leftChars="1000"/>
    </w:pPr>
    <w:rPr>
      <w:rFonts w:ascii="Calibri" w:hAnsi="Calibri"/>
      <w:szCs w:val="22"/>
    </w:rPr>
  </w:style>
  <w:style w:type="paragraph" w:styleId="38">
    <w:name w:val="Body Text Indent 3"/>
    <w:basedOn w:val="1"/>
    <w:link w:val="105"/>
    <w:autoRedefine/>
    <w:qFormat/>
    <w:uiPriority w:val="0"/>
    <w:pPr>
      <w:spacing w:after="120"/>
      <w:ind w:left="420" w:leftChars="200"/>
    </w:pPr>
    <w:rPr>
      <w:rFonts w:ascii="宋体" w:hAnsi="Courier New"/>
      <w:sz w:val="16"/>
      <w:szCs w:val="16"/>
    </w:rPr>
  </w:style>
  <w:style w:type="paragraph" w:styleId="39">
    <w:name w:val="toc 2"/>
    <w:next w:val="1"/>
    <w:autoRedefine/>
    <w:unhideWhenUsed/>
    <w:qFormat/>
    <w:uiPriority w:val="39"/>
    <w:pPr>
      <w:spacing w:after="100" w:line="276" w:lineRule="auto"/>
      <w:ind w:left="220"/>
    </w:pPr>
    <w:rPr>
      <w:rFonts w:ascii="Calibri" w:hAnsi="Calibri" w:eastAsia="宋体" w:cs="Times New Roman"/>
      <w:sz w:val="22"/>
      <w:szCs w:val="22"/>
      <w:lang w:val="en-US" w:eastAsia="zh-CN" w:bidi="ar-SA"/>
    </w:rPr>
  </w:style>
  <w:style w:type="paragraph" w:styleId="40">
    <w:name w:val="toc 9"/>
    <w:basedOn w:val="1"/>
    <w:next w:val="1"/>
    <w:autoRedefine/>
    <w:qFormat/>
    <w:uiPriority w:val="39"/>
    <w:pPr>
      <w:ind w:left="3360" w:leftChars="1600"/>
    </w:pPr>
    <w:rPr>
      <w:rFonts w:ascii="Calibri" w:hAnsi="Calibri"/>
      <w:szCs w:val="22"/>
    </w:rPr>
  </w:style>
  <w:style w:type="paragraph" w:styleId="41">
    <w:name w:val="Body Text 2"/>
    <w:basedOn w:val="1"/>
    <w:link w:val="107"/>
    <w:autoRedefine/>
    <w:qFormat/>
    <w:uiPriority w:val="0"/>
    <w:rPr>
      <w:rFonts w:ascii="宋体" w:hAnsi="宋体"/>
      <w:sz w:val="28"/>
    </w:rPr>
  </w:style>
  <w:style w:type="paragraph" w:styleId="42">
    <w:name w:val="List 4"/>
    <w:basedOn w:val="1"/>
    <w:autoRedefine/>
    <w:qFormat/>
    <w:uiPriority w:val="0"/>
    <w:pPr>
      <w:ind w:left="100" w:leftChars="600" w:hanging="200" w:hangingChars="200"/>
    </w:pPr>
  </w:style>
  <w:style w:type="paragraph" w:styleId="43">
    <w:name w:val="HTML Preformatted"/>
    <w:basedOn w:val="1"/>
    <w:link w:val="10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autoRedefine/>
    <w:qFormat/>
    <w:uiPriority w:val="99"/>
    <w:pPr>
      <w:jc w:val="left"/>
    </w:pPr>
    <w:rPr>
      <w:kern w:val="0"/>
      <w:sz w:val="24"/>
    </w:rPr>
  </w:style>
  <w:style w:type="paragraph" w:styleId="45">
    <w:name w:val="index 1"/>
    <w:basedOn w:val="1"/>
    <w:next w:val="1"/>
    <w:autoRedefine/>
    <w:qFormat/>
    <w:uiPriority w:val="0"/>
    <w:pPr>
      <w:spacing w:line="360" w:lineRule="auto"/>
    </w:pPr>
    <w:rPr>
      <w:rFonts w:ascii="宋体" w:hAnsi="宋体"/>
      <w:bCs/>
      <w:szCs w:val="21"/>
    </w:rPr>
  </w:style>
  <w:style w:type="paragraph" w:styleId="46">
    <w:name w:val="Title"/>
    <w:basedOn w:val="1"/>
    <w:next w:val="1"/>
    <w:link w:val="109"/>
    <w:autoRedefine/>
    <w:qFormat/>
    <w:uiPriority w:val="99"/>
    <w:pPr>
      <w:spacing w:before="240" w:after="60"/>
      <w:jc w:val="center"/>
      <w:outlineLvl w:val="0"/>
    </w:pPr>
    <w:rPr>
      <w:rFonts w:ascii="Cambria" w:hAnsi="Cambria"/>
      <w:b/>
      <w:bCs/>
      <w:sz w:val="32"/>
      <w:szCs w:val="32"/>
    </w:rPr>
  </w:style>
  <w:style w:type="paragraph" w:styleId="47">
    <w:name w:val="annotation subject"/>
    <w:basedOn w:val="16"/>
    <w:next w:val="16"/>
    <w:link w:val="110"/>
    <w:autoRedefine/>
    <w:qFormat/>
    <w:uiPriority w:val="99"/>
    <w:rPr>
      <w:b/>
      <w:bCs/>
    </w:rPr>
  </w:style>
  <w:style w:type="paragraph" w:styleId="48">
    <w:name w:val="Body Text First Indent"/>
    <w:basedOn w:val="18"/>
    <w:next w:val="1"/>
    <w:autoRedefine/>
    <w:qFormat/>
    <w:uiPriority w:val="0"/>
    <w:pPr>
      <w:ind w:firstLine="420" w:firstLineChars="100"/>
    </w:pPr>
  </w:style>
  <w:style w:type="character" w:styleId="51">
    <w:name w:val="Strong"/>
    <w:autoRedefine/>
    <w:qFormat/>
    <w:uiPriority w:val="22"/>
    <w:rPr>
      <w:b/>
    </w:rPr>
  </w:style>
  <w:style w:type="character" w:styleId="52">
    <w:name w:val="endnote reference"/>
    <w:autoRedefine/>
    <w:qFormat/>
    <w:uiPriority w:val="0"/>
    <w:rPr>
      <w:vertAlign w:val="superscript"/>
    </w:rPr>
  </w:style>
  <w:style w:type="character" w:styleId="53">
    <w:name w:val="page number"/>
    <w:autoRedefine/>
    <w:qFormat/>
    <w:uiPriority w:val="99"/>
  </w:style>
  <w:style w:type="character" w:styleId="54">
    <w:name w:val="FollowedHyperlink"/>
    <w:basedOn w:val="50"/>
    <w:autoRedefine/>
    <w:qFormat/>
    <w:uiPriority w:val="99"/>
    <w:rPr>
      <w:color w:val="800080"/>
      <w:u w:val="none"/>
    </w:rPr>
  </w:style>
  <w:style w:type="character" w:styleId="55">
    <w:name w:val="Emphasis"/>
    <w:autoRedefine/>
    <w:qFormat/>
    <w:uiPriority w:val="99"/>
    <w:rPr>
      <w:i/>
      <w:iCs/>
    </w:rPr>
  </w:style>
  <w:style w:type="character" w:styleId="56">
    <w:name w:val="HTML Definition"/>
    <w:basedOn w:val="50"/>
    <w:autoRedefine/>
    <w:qFormat/>
    <w:uiPriority w:val="0"/>
  </w:style>
  <w:style w:type="character" w:styleId="57">
    <w:name w:val="HTML Typewriter"/>
    <w:basedOn w:val="50"/>
    <w:autoRedefine/>
    <w:qFormat/>
    <w:uiPriority w:val="0"/>
    <w:rPr>
      <w:rFonts w:hint="default" w:ascii="monospace" w:hAnsi="monospace" w:eastAsia="monospace" w:cs="monospace"/>
      <w:sz w:val="20"/>
    </w:rPr>
  </w:style>
  <w:style w:type="character" w:styleId="58">
    <w:name w:val="HTML Acronym"/>
    <w:basedOn w:val="50"/>
    <w:autoRedefine/>
    <w:qFormat/>
    <w:uiPriority w:val="0"/>
  </w:style>
  <w:style w:type="character" w:styleId="59">
    <w:name w:val="HTML Variable"/>
    <w:basedOn w:val="50"/>
    <w:autoRedefine/>
    <w:qFormat/>
    <w:uiPriority w:val="0"/>
  </w:style>
  <w:style w:type="character" w:styleId="60">
    <w:name w:val="Hyperlink"/>
    <w:autoRedefine/>
    <w:unhideWhenUsed/>
    <w:qFormat/>
    <w:uiPriority w:val="99"/>
    <w:rPr>
      <w:color w:val="3B5998"/>
      <w:u w:val="none"/>
    </w:rPr>
  </w:style>
  <w:style w:type="character" w:styleId="61">
    <w:name w:val="HTML Code"/>
    <w:basedOn w:val="50"/>
    <w:autoRedefine/>
    <w:qFormat/>
    <w:uiPriority w:val="0"/>
    <w:rPr>
      <w:rFonts w:hint="default" w:ascii="monospace" w:hAnsi="monospace" w:eastAsia="monospace" w:cs="monospace"/>
      <w:sz w:val="20"/>
    </w:rPr>
  </w:style>
  <w:style w:type="character" w:styleId="62">
    <w:name w:val="annotation reference"/>
    <w:autoRedefine/>
    <w:qFormat/>
    <w:uiPriority w:val="0"/>
    <w:rPr>
      <w:sz w:val="21"/>
      <w:szCs w:val="21"/>
    </w:rPr>
  </w:style>
  <w:style w:type="character" w:styleId="63">
    <w:name w:val="HTML Cite"/>
    <w:basedOn w:val="50"/>
    <w:autoRedefine/>
    <w:qFormat/>
    <w:uiPriority w:val="0"/>
  </w:style>
  <w:style w:type="character" w:styleId="64">
    <w:name w:val="footnote reference"/>
    <w:autoRedefine/>
    <w:qFormat/>
    <w:uiPriority w:val="0"/>
    <w:rPr>
      <w:vertAlign w:val="superscript"/>
    </w:rPr>
  </w:style>
  <w:style w:type="character" w:styleId="65">
    <w:name w:val="HTML Keyboard"/>
    <w:basedOn w:val="50"/>
    <w:autoRedefine/>
    <w:qFormat/>
    <w:uiPriority w:val="0"/>
    <w:rPr>
      <w:rFonts w:ascii="monospace" w:hAnsi="monospace" w:eastAsia="monospace" w:cs="monospace"/>
      <w:sz w:val="20"/>
    </w:rPr>
  </w:style>
  <w:style w:type="character" w:styleId="66">
    <w:name w:val="HTML Sample"/>
    <w:basedOn w:val="50"/>
    <w:autoRedefine/>
    <w:qFormat/>
    <w:uiPriority w:val="0"/>
    <w:rPr>
      <w:rFonts w:hint="default" w:ascii="monospace" w:hAnsi="monospace" w:eastAsia="monospace" w:cs="monospace"/>
    </w:rPr>
  </w:style>
  <w:style w:type="paragraph" w:customStyle="1" w:styleId="67">
    <w:name w:val="Default"/>
    <w:next w:val="68"/>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正文文字 6"/>
    <w:next w:val="1"/>
    <w:autoRedefine/>
    <w:qFormat/>
    <w:uiPriority w:val="99"/>
    <w:pPr>
      <w:widowControl w:val="0"/>
      <w:ind w:left="240"/>
      <w:jc w:val="both"/>
    </w:pPr>
    <w:rPr>
      <w:rFonts w:ascii="宋体" w:hAnsi="Times New Roman" w:eastAsia="宋体" w:cs="Times New Roman"/>
      <w:b/>
      <w:bCs/>
      <w:kern w:val="2"/>
      <w:sz w:val="32"/>
      <w:szCs w:val="32"/>
      <w:lang w:val="en-US" w:eastAsia="zh-CN" w:bidi="ar-SA"/>
    </w:rPr>
  </w:style>
  <w:style w:type="character" w:customStyle="1" w:styleId="69">
    <w:name w:val="标题 1 Char"/>
    <w:link w:val="3"/>
    <w:autoRedefine/>
    <w:qFormat/>
    <w:uiPriority w:val="99"/>
    <w:rPr>
      <w:b/>
      <w:bCs/>
      <w:kern w:val="44"/>
      <w:sz w:val="44"/>
      <w:szCs w:val="44"/>
    </w:rPr>
  </w:style>
  <w:style w:type="character" w:customStyle="1" w:styleId="70">
    <w:name w:val="标题 2 Char"/>
    <w:link w:val="4"/>
    <w:autoRedefine/>
    <w:qFormat/>
    <w:uiPriority w:val="99"/>
    <w:rPr>
      <w:rFonts w:ascii="Arial" w:hAnsi="Arial" w:eastAsia="黑体"/>
      <w:b/>
      <w:kern w:val="2"/>
      <w:sz w:val="44"/>
    </w:rPr>
  </w:style>
  <w:style w:type="character" w:customStyle="1" w:styleId="71">
    <w:name w:val="标题 3 Char"/>
    <w:basedOn w:val="50"/>
    <w:link w:val="5"/>
    <w:autoRedefine/>
    <w:qFormat/>
    <w:uiPriority w:val="99"/>
    <w:rPr>
      <w:b/>
      <w:bCs/>
      <w:kern w:val="2"/>
      <w:sz w:val="32"/>
      <w:szCs w:val="32"/>
    </w:rPr>
  </w:style>
  <w:style w:type="character" w:customStyle="1" w:styleId="72">
    <w:name w:val="标题 4 Char"/>
    <w:link w:val="2"/>
    <w:autoRedefine/>
    <w:qFormat/>
    <w:uiPriority w:val="99"/>
    <w:rPr>
      <w:rFonts w:ascii="Arial" w:hAnsi="Arial" w:eastAsia="黑体"/>
      <w:sz w:val="28"/>
    </w:rPr>
  </w:style>
  <w:style w:type="character" w:customStyle="1" w:styleId="73">
    <w:name w:val="标题 5 Char"/>
    <w:link w:val="6"/>
    <w:autoRedefine/>
    <w:qFormat/>
    <w:uiPriority w:val="99"/>
    <w:rPr>
      <w:b/>
      <w:bCs/>
      <w:kern w:val="2"/>
      <w:sz w:val="28"/>
      <w:szCs w:val="28"/>
    </w:rPr>
  </w:style>
  <w:style w:type="character" w:customStyle="1" w:styleId="74">
    <w:name w:val="标题 6 Char"/>
    <w:basedOn w:val="50"/>
    <w:link w:val="7"/>
    <w:autoRedefine/>
    <w:qFormat/>
    <w:uiPriority w:val="9"/>
    <w:rPr>
      <w:rFonts w:ascii="Cambria" w:hAnsi="Cambria"/>
      <w:b/>
      <w:bCs/>
      <w:kern w:val="2"/>
      <w:sz w:val="24"/>
      <w:szCs w:val="24"/>
    </w:rPr>
  </w:style>
  <w:style w:type="character" w:customStyle="1" w:styleId="75">
    <w:name w:val="标题 7 Char"/>
    <w:basedOn w:val="50"/>
    <w:link w:val="8"/>
    <w:autoRedefine/>
    <w:qFormat/>
    <w:uiPriority w:val="9"/>
    <w:rPr>
      <w:rFonts w:ascii="Calibri" w:hAnsi="Calibri"/>
      <w:b/>
      <w:bCs/>
      <w:kern w:val="2"/>
      <w:sz w:val="24"/>
      <w:szCs w:val="24"/>
    </w:rPr>
  </w:style>
  <w:style w:type="character" w:customStyle="1" w:styleId="76">
    <w:name w:val="标题 8 Char"/>
    <w:basedOn w:val="50"/>
    <w:link w:val="9"/>
    <w:autoRedefine/>
    <w:qFormat/>
    <w:uiPriority w:val="9"/>
    <w:rPr>
      <w:rFonts w:ascii="Cambria" w:hAnsi="Cambria"/>
      <w:kern w:val="2"/>
      <w:sz w:val="24"/>
      <w:szCs w:val="24"/>
    </w:rPr>
  </w:style>
  <w:style w:type="character" w:customStyle="1" w:styleId="77">
    <w:name w:val="标题 9 Char"/>
    <w:basedOn w:val="50"/>
    <w:link w:val="10"/>
    <w:autoRedefine/>
    <w:qFormat/>
    <w:uiPriority w:val="9"/>
    <w:rPr>
      <w:rFonts w:ascii="Cambria" w:hAnsi="Cambria"/>
      <w:kern w:val="2"/>
      <w:sz w:val="21"/>
      <w:szCs w:val="21"/>
    </w:rPr>
  </w:style>
  <w:style w:type="character" w:customStyle="1" w:styleId="78">
    <w:name w:val="正文文本 Char"/>
    <w:link w:val="18"/>
    <w:autoRedefine/>
    <w:qFormat/>
    <w:uiPriority w:val="99"/>
    <w:rPr>
      <w:kern w:val="2"/>
      <w:sz w:val="28"/>
      <w:szCs w:val="24"/>
    </w:rPr>
  </w:style>
  <w:style w:type="character" w:customStyle="1" w:styleId="79">
    <w:name w:val="正文文本缩进 Char"/>
    <w:link w:val="20"/>
    <w:autoRedefine/>
    <w:qFormat/>
    <w:uiPriority w:val="99"/>
    <w:rPr>
      <w:rFonts w:ascii="宋体" w:hAnsi="Courier New"/>
      <w:spacing w:val="-4"/>
      <w:kern w:val="2"/>
      <w:sz w:val="18"/>
    </w:rPr>
  </w:style>
  <w:style w:type="character" w:customStyle="1" w:styleId="80">
    <w:name w:val="日期 Char"/>
    <w:link w:val="27"/>
    <w:autoRedefine/>
    <w:qFormat/>
    <w:uiPriority w:val="99"/>
    <w:rPr>
      <w:kern w:val="2"/>
      <w:sz w:val="21"/>
      <w:szCs w:val="24"/>
    </w:rPr>
  </w:style>
  <w:style w:type="character" w:customStyle="1" w:styleId="81">
    <w:name w:val="纯文本 Char"/>
    <w:link w:val="25"/>
    <w:autoRedefine/>
    <w:qFormat/>
    <w:uiPriority w:val="0"/>
    <w:rPr>
      <w:rFonts w:ascii="宋体" w:hAnsi="Courier New"/>
      <w:kern w:val="2"/>
      <w:sz w:val="21"/>
    </w:rPr>
  </w:style>
  <w:style w:type="character" w:customStyle="1" w:styleId="82">
    <w:name w:val="页脚 Char"/>
    <w:link w:val="31"/>
    <w:autoRedefine/>
    <w:qFormat/>
    <w:uiPriority w:val="99"/>
    <w:rPr>
      <w:kern w:val="2"/>
      <w:sz w:val="18"/>
      <w:szCs w:val="18"/>
    </w:rPr>
  </w:style>
  <w:style w:type="character" w:customStyle="1" w:styleId="83">
    <w:name w:val="页眉 Char"/>
    <w:link w:val="32"/>
    <w:autoRedefine/>
    <w:qFormat/>
    <w:uiPriority w:val="99"/>
    <w:rPr>
      <w:kern w:val="2"/>
      <w:sz w:val="18"/>
      <w:szCs w:val="18"/>
    </w:rPr>
  </w:style>
  <w:style w:type="paragraph" w:customStyle="1" w:styleId="84">
    <w:name w:val="1"/>
    <w:next w:val="25"/>
    <w:autoRedefine/>
    <w:qFormat/>
    <w:uiPriority w:val="99"/>
    <w:pPr>
      <w:widowControl w:val="0"/>
      <w:jc w:val="both"/>
    </w:pPr>
    <w:rPr>
      <w:rFonts w:ascii="宋体" w:hAnsi="Courier New" w:eastAsia="宋体" w:cs="Times New Roman"/>
      <w:kern w:val="2"/>
      <w:sz w:val="21"/>
      <w:lang w:val="en-US" w:eastAsia="zh-CN" w:bidi="ar-SA"/>
    </w:rPr>
  </w:style>
  <w:style w:type="paragraph" w:customStyle="1" w:styleId="85">
    <w:name w:val="Body Text First Indent 21"/>
    <w:basedOn w:val="86"/>
    <w:autoRedefine/>
    <w:qFormat/>
    <w:uiPriority w:val="0"/>
    <w:pPr>
      <w:ind w:firstLine="420"/>
    </w:pPr>
  </w:style>
  <w:style w:type="paragraph" w:customStyle="1" w:styleId="86">
    <w:name w:val="Body Text Indent1"/>
    <w:autoRedefine/>
    <w:qFormat/>
    <w:uiPriority w:val="0"/>
    <w:pPr>
      <w:widowControl w:val="0"/>
      <w:jc w:val="both"/>
    </w:pPr>
    <w:rPr>
      <w:rFonts w:ascii="Times New Roman" w:hAnsi="Times New Roman" w:eastAsia="宋体" w:cs="Times New Roman"/>
      <w:bCs/>
      <w:kern w:val="2"/>
      <w:sz w:val="28"/>
      <w:szCs w:val="24"/>
      <w:lang w:val="en-US" w:eastAsia="zh-CN" w:bidi="ar-SA"/>
    </w:rPr>
  </w:style>
  <w:style w:type="paragraph" w:styleId="87">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Normal_0"/>
    <w:autoRedefine/>
    <w:qFormat/>
    <w:uiPriority w:val="0"/>
    <w:rPr>
      <w:rFonts w:ascii="Times New Roman" w:hAnsi="Times New Roman" w:eastAsia="Times New Roman" w:cs="Times New Roman"/>
      <w:sz w:val="24"/>
      <w:szCs w:val="24"/>
      <w:lang w:val="en-US" w:eastAsia="zh-CN" w:bidi="ar-SA"/>
    </w:rPr>
  </w:style>
  <w:style w:type="paragraph" w:customStyle="1" w:styleId="89">
    <w:name w:val="段落1"/>
    <w:basedOn w:val="1"/>
    <w:autoRedefine/>
    <w:qFormat/>
    <w:uiPriority w:val="0"/>
    <w:pPr>
      <w:spacing w:line="360" w:lineRule="auto"/>
      <w:ind w:firstLine="480" w:firstLineChars="200"/>
    </w:pPr>
    <w:rPr>
      <w:sz w:val="24"/>
      <w:szCs w:val="20"/>
    </w:rPr>
  </w:style>
  <w:style w:type="paragraph" w:customStyle="1" w:styleId="90">
    <w:name w:val="Table Paragraph"/>
    <w:basedOn w:val="1"/>
    <w:autoRedefine/>
    <w:qFormat/>
    <w:uiPriority w:val="0"/>
    <w:pPr>
      <w:autoSpaceDE w:val="0"/>
      <w:autoSpaceDN w:val="0"/>
      <w:adjustRightInd w:val="0"/>
      <w:jc w:val="left"/>
    </w:pPr>
    <w:rPr>
      <w:kern w:val="0"/>
      <w:sz w:val="24"/>
    </w:rPr>
  </w:style>
  <w:style w:type="paragraph" w:customStyle="1" w:styleId="91">
    <w:name w:val="列出段落1"/>
    <w:basedOn w:val="1"/>
    <w:autoRedefine/>
    <w:qFormat/>
    <w:uiPriority w:val="99"/>
    <w:pPr>
      <w:ind w:firstLine="420" w:firstLineChars="200"/>
    </w:pPr>
  </w:style>
  <w:style w:type="paragraph" w:customStyle="1" w:styleId="92">
    <w:name w:val="正文_1"/>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layui-layer-tabnow"/>
    <w:basedOn w:val="50"/>
    <w:autoRedefine/>
    <w:qFormat/>
    <w:uiPriority w:val="0"/>
    <w:rPr>
      <w:bdr w:val="single" w:color="CCCCCC" w:sz="6" w:space="0"/>
      <w:shd w:val="clear" w:color="auto" w:fill="FFFFFF"/>
    </w:rPr>
  </w:style>
  <w:style w:type="character" w:customStyle="1" w:styleId="94">
    <w:name w:val="first-child"/>
    <w:basedOn w:val="50"/>
    <w:autoRedefine/>
    <w:qFormat/>
    <w:uiPriority w:val="0"/>
  </w:style>
  <w:style w:type="character" w:customStyle="1" w:styleId="95">
    <w:name w:val="文档结构图 Char"/>
    <w:basedOn w:val="50"/>
    <w:link w:val="14"/>
    <w:autoRedefine/>
    <w:qFormat/>
    <w:uiPriority w:val="99"/>
    <w:rPr>
      <w:kern w:val="2"/>
      <w:sz w:val="21"/>
      <w:szCs w:val="24"/>
      <w:shd w:val="clear" w:color="auto" w:fill="000080"/>
    </w:rPr>
  </w:style>
  <w:style w:type="character" w:customStyle="1" w:styleId="96">
    <w:name w:val="批注文字 Char"/>
    <w:basedOn w:val="50"/>
    <w:link w:val="16"/>
    <w:autoRedefine/>
    <w:qFormat/>
    <w:uiPriority w:val="99"/>
    <w:rPr>
      <w:kern w:val="2"/>
      <w:sz w:val="21"/>
      <w:szCs w:val="24"/>
    </w:rPr>
  </w:style>
  <w:style w:type="character" w:customStyle="1" w:styleId="97">
    <w:name w:val="正文文本 3 Char1"/>
    <w:autoRedefine/>
    <w:qFormat/>
    <w:uiPriority w:val="0"/>
    <w:rPr>
      <w:rFonts w:ascii="宋体" w:hAnsi="Courier New"/>
      <w:kern w:val="2"/>
      <w:sz w:val="16"/>
      <w:szCs w:val="16"/>
    </w:rPr>
  </w:style>
  <w:style w:type="character" w:customStyle="1" w:styleId="98">
    <w:name w:val="正文文本 3 Char"/>
    <w:basedOn w:val="50"/>
    <w:link w:val="17"/>
    <w:autoRedefine/>
    <w:qFormat/>
    <w:uiPriority w:val="0"/>
    <w:rPr>
      <w:kern w:val="2"/>
      <w:sz w:val="16"/>
      <w:szCs w:val="16"/>
    </w:rPr>
  </w:style>
  <w:style w:type="character" w:customStyle="1" w:styleId="99">
    <w:name w:val="正文文本缩进 2 Char"/>
    <w:basedOn w:val="50"/>
    <w:link w:val="28"/>
    <w:autoRedefine/>
    <w:qFormat/>
    <w:uiPriority w:val="99"/>
    <w:rPr>
      <w:rFonts w:ascii="仿宋_GB2312" w:eastAsia="仿宋_GB2312"/>
      <w:kern w:val="2"/>
      <w:sz w:val="28"/>
      <w:szCs w:val="24"/>
    </w:rPr>
  </w:style>
  <w:style w:type="character" w:customStyle="1" w:styleId="100">
    <w:name w:val="尾注文本 Char"/>
    <w:basedOn w:val="50"/>
    <w:link w:val="29"/>
    <w:autoRedefine/>
    <w:qFormat/>
    <w:uiPriority w:val="0"/>
    <w:rPr>
      <w:kern w:val="2"/>
      <w:sz w:val="21"/>
      <w:szCs w:val="24"/>
    </w:rPr>
  </w:style>
  <w:style w:type="character" w:customStyle="1" w:styleId="101">
    <w:name w:val="批注框文本 Char"/>
    <w:basedOn w:val="50"/>
    <w:link w:val="30"/>
    <w:autoRedefine/>
    <w:qFormat/>
    <w:uiPriority w:val="99"/>
    <w:rPr>
      <w:kern w:val="2"/>
      <w:sz w:val="18"/>
      <w:szCs w:val="18"/>
    </w:rPr>
  </w:style>
  <w:style w:type="character" w:customStyle="1" w:styleId="102">
    <w:name w:val="副标题 Char"/>
    <w:basedOn w:val="50"/>
    <w:link w:val="35"/>
    <w:autoRedefine/>
    <w:qFormat/>
    <w:uiPriority w:val="11"/>
    <w:rPr>
      <w:rFonts w:ascii="Cambria" w:hAnsi="Cambria"/>
      <w:b/>
      <w:bCs/>
      <w:kern w:val="28"/>
      <w:sz w:val="32"/>
      <w:szCs w:val="32"/>
    </w:rPr>
  </w:style>
  <w:style w:type="character" w:customStyle="1" w:styleId="103">
    <w:name w:val="脚注文本 Char"/>
    <w:basedOn w:val="50"/>
    <w:link w:val="36"/>
    <w:autoRedefine/>
    <w:qFormat/>
    <w:uiPriority w:val="99"/>
    <w:rPr>
      <w:sz w:val="18"/>
    </w:rPr>
  </w:style>
  <w:style w:type="character" w:customStyle="1" w:styleId="104">
    <w:name w:val="正文文本缩进 3 Char1"/>
    <w:autoRedefine/>
    <w:qFormat/>
    <w:uiPriority w:val="0"/>
    <w:rPr>
      <w:rFonts w:ascii="宋体" w:hAnsi="Courier New"/>
      <w:kern w:val="2"/>
      <w:sz w:val="16"/>
      <w:szCs w:val="16"/>
    </w:rPr>
  </w:style>
  <w:style w:type="character" w:customStyle="1" w:styleId="105">
    <w:name w:val="正文文本缩进 3 Char"/>
    <w:basedOn w:val="50"/>
    <w:link w:val="38"/>
    <w:autoRedefine/>
    <w:qFormat/>
    <w:uiPriority w:val="0"/>
    <w:rPr>
      <w:kern w:val="2"/>
      <w:sz w:val="16"/>
      <w:szCs w:val="16"/>
    </w:rPr>
  </w:style>
  <w:style w:type="character" w:customStyle="1" w:styleId="106">
    <w:name w:val="正文文本 2 Char1"/>
    <w:autoRedefine/>
    <w:qFormat/>
    <w:uiPriority w:val="0"/>
    <w:rPr>
      <w:rFonts w:ascii="宋体" w:hAnsi="宋体"/>
      <w:kern w:val="2"/>
      <w:sz w:val="28"/>
      <w:szCs w:val="24"/>
    </w:rPr>
  </w:style>
  <w:style w:type="character" w:customStyle="1" w:styleId="107">
    <w:name w:val="正文文本 2 Char"/>
    <w:basedOn w:val="50"/>
    <w:link w:val="41"/>
    <w:autoRedefine/>
    <w:qFormat/>
    <w:uiPriority w:val="0"/>
    <w:rPr>
      <w:kern w:val="2"/>
      <w:sz w:val="21"/>
      <w:szCs w:val="24"/>
    </w:rPr>
  </w:style>
  <w:style w:type="character" w:customStyle="1" w:styleId="108">
    <w:name w:val="HTML 预设格式 Char"/>
    <w:basedOn w:val="50"/>
    <w:link w:val="43"/>
    <w:autoRedefine/>
    <w:qFormat/>
    <w:uiPriority w:val="0"/>
    <w:rPr>
      <w:rFonts w:ascii="黑体" w:hAnsi="Courier New" w:eastAsia="黑体"/>
    </w:rPr>
  </w:style>
  <w:style w:type="character" w:customStyle="1" w:styleId="109">
    <w:name w:val="标题 Char"/>
    <w:basedOn w:val="50"/>
    <w:link w:val="46"/>
    <w:autoRedefine/>
    <w:qFormat/>
    <w:uiPriority w:val="99"/>
    <w:rPr>
      <w:rFonts w:ascii="Cambria" w:hAnsi="Cambria"/>
      <w:b/>
      <w:bCs/>
      <w:kern w:val="2"/>
      <w:sz w:val="32"/>
      <w:szCs w:val="32"/>
    </w:rPr>
  </w:style>
  <w:style w:type="character" w:customStyle="1" w:styleId="110">
    <w:name w:val="批注主题 Char"/>
    <w:basedOn w:val="96"/>
    <w:link w:val="47"/>
    <w:autoRedefine/>
    <w:qFormat/>
    <w:uiPriority w:val="99"/>
    <w:rPr>
      <w:b/>
      <w:bCs/>
      <w:kern w:val="2"/>
      <w:sz w:val="21"/>
      <w:szCs w:val="24"/>
    </w:rPr>
  </w:style>
  <w:style w:type="character" w:customStyle="1" w:styleId="111">
    <w:name w:val="Char Char24"/>
    <w:autoRedefine/>
    <w:qFormat/>
    <w:uiPriority w:val="99"/>
    <w:rPr>
      <w:rFonts w:eastAsia="宋体"/>
      <w:b/>
      <w:bCs/>
      <w:kern w:val="44"/>
      <w:sz w:val="32"/>
      <w:szCs w:val="44"/>
      <w:lang w:val="en-US" w:eastAsia="zh-CN" w:bidi="ar-SA"/>
    </w:rPr>
  </w:style>
  <w:style w:type="character" w:customStyle="1" w:styleId="112">
    <w:name w:val="标题5 Char Char"/>
    <w:link w:val="113"/>
    <w:autoRedefine/>
    <w:qFormat/>
    <w:uiPriority w:val="99"/>
    <w:rPr>
      <w:rFonts w:ascii="Arial" w:hAnsi="Arial"/>
      <w:b/>
      <w:bCs/>
      <w:sz w:val="24"/>
      <w:szCs w:val="32"/>
    </w:rPr>
  </w:style>
  <w:style w:type="paragraph" w:customStyle="1" w:styleId="113">
    <w:name w:val="标题5"/>
    <w:basedOn w:val="5"/>
    <w:link w:val="112"/>
    <w:autoRedefine/>
    <w:qFormat/>
    <w:uiPriority w:val="99"/>
    <w:pPr>
      <w:spacing w:line="413" w:lineRule="auto"/>
    </w:pPr>
    <w:rPr>
      <w:rFonts w:ascii="Arial" w:hAnsi="Arial"/>
      <w:kern w:val="0"/>
      <w:sz w:val="24"/>
    </w:rPr>
  </w:style>
  <w:style w:type="character" w:customStyle="1" w:styleId="114">
    <w:name w:val="Char Char22"/>
    <w:autoRedefine/>
    <w:qFormat/>
    <w:uiPriority w:val="99"/>
    <w:rPr>
      <w:rFonts w:ascii="Times New Roman" w:hAnsi="Times New Roman" w:eastAsia="宋体" w:cs="Times New Roman"/>
      <w:b/>
      <w:bCs/>
      <w:kern w:val="44"/>
      <w:sz w:val="32"/>
      <w:szCs w:val="44"/>
    </w:rPr>
  </w:style>
  <w:style w:type="character" w:customStyle="1" w:styleId="115">
    <w:name w:val="批注文字 Char1"/>
    <w:autoRedefine/>
    <w:qFormat/>
    <w:uiPriority w:val="99"/>
    <w:rPr>
      <w:rFonts w:ascii="Times New Roman" w:hAnsi="Times New Roman" w:eastAsia="宋体" w:cs="Times New Roman"/>
      <w:szCs w:val="24"/>
    </w:rPr>
  </w:style>
  <w:style w:type="character" w:customStyle="1" w:styleId="116">
    <w:name w:val="引用 Char2"/>
    <w:autoRedefine/>
    <w:qFormat/>
    <w:uiPriority w:val="29"/>
    <w:rPr>
      <w:i/>
      <w:iCs/>
      <w:color w:val="000000"/>
      <w:kern w:val="2"/>
      <w:sz w:val="21"/>
      <w:szCs w:val="24"/>
    </w:rPr>
  </w:style>
  <w:style w:type="character" w:customStyle="1" w:styleId="117">
    <w:name w:val="Char Char91"/>
    <w:autoRedefine/>
    <w:qFormat/>
    <w:uiPriority w:val="99"/>
    <w:rPr>
      <w:rFonts w:eastAsia="宋体"/>
      <w:b/>
      <w:bCs/>
      <w:kern w:val="44"/>
      <w:sz w:val="32"/>
      <w:szCs w:val="44"/>
      <w:lang w:val="en-US" w:eastAsia="zh-CN" w:bidi="ar-SA"/>
    </w:rPr>
  </w:style>
  <w:style w:type="character" w:customStyle="1" w:styleId="118">
    <w:name w:val="bsharetext"/>
    <w:basedOn w:val="50"/>
    <w:autoRedefine/>
    <w:qFormat/>
    <w:uiPriority w:val="0"/>
  </w:style>
  <w:style w:type="character" w:customStyle="1" w:styleId="119">
    <w:name w:val="批注文字 Char Char Char"/>
    <w:autoRedefine/>
    <w:qFormat/>
    <w:uiPriority w:val="0"/>
    <w:rPr>
      <w:kern w:val="2"/>
      <w:sz w:val="21"/>
      <w:szCs w:val="24"/>
    </w:rPr>
  </w:style>
  <w:style w:type="character" w:customStyle="1" w:styleId="120">
    <w:name w:val="Header Char"/>
    <w:autoRedefine/>
    <w:qFormat/>
    <w:uiPriority w:val="99"/>
    <w:rPr>
      <w:rFonts w:eastAsia="宋体"/>
      <w:kern w:val="2"/>
      <w:sz w:val="18"/>
      <w:szCs w:val="18"/>
      <w:lang w:val="en-US" w:eastAsia="zh-CN" w:bidi="ar-SA"/>
    </w:rPr>
  </w:style>
  <w:style w:type="character" w:customStyle="1" w:styleId="121">
    <w:name w:val="批注文字 Char Char"/>
    <w:autoRedefine/>
    <w:qFormat/>
    <w:uiPriority w:val="99"/>
    <w:rPr>
      <w:rFonts w:ascii="宋体" w:hAnsi="Times New Roman" w:eastAsia="宋体" w:cs="Times New Roman"/>
      <w:sz w:val="28"/>
      <w:szCs w:val="20"/>
    </w:rPr>
  </w:style>
  <w:style w:type="character" w:customStyle="1" w:styleId="122">
    <w:name w:val="不明显参考1"/>
    <w:autoRedefine/>
    <w:qFormat/>
    <w:uiPriority w:val="99"/>
    <w:rPr>
      <w:smallCaps/>
      <w:color w:val="C0504D"/>
      <w:u w:val="single"/>
    </w:rPr>
  </w:style>
  <w:style w:type="character" w:customStyle="1" w:styleId="123">
    <w:name w:val="访问过的超链接1"/>
    <w:autoRedefine/>
    <w:qFormat/>
    <w:uiPriority w:val="99"/>
    <w:rPr>
      <w:color w:val="000000"/>
      <w:u w:val="none"/>
    </w:rPr>
  </w:style>
  <w:style w:type="character" w:customStyle="1" w:styleId="124">
    <w:name w:val="引用 Char3"/>
    <w:autoRedefine/>
    <w:qFormat/>
    <w:uiPriority w:val="29"/>
    <w:rPr>
      <w:rFonts w:ascii="Times New Roman" w:hAnsi="Times New Roman" w:eastAsia="宋体" w:cs="Times New Roman"/>
      <w:i/>
      <w:iCs/>
      <w:color w:val="000000"/>
      <w:szCs w:val="24"/>
    </w:rPr>
  </w:style>
  <w:style w:type="character" w:customStyle="1" w:styleId="125">
    <w:name w:val="纯文本 Char1"/>
    <w:autoRedefine/>
    <w:qFormat/>
    <w:uiPriority w:val="99"/>
    <w:rPr>
      <w:rFonts w:ascii="宋体" w:hAnsi="Courier New" w:eastAsia="宋体"/>
      <w:sz w:val="21"/>
      <w:lang w:val="en-US" w:eastAsia="zh-CN" w:bidi="ar-SA"/>
    </w:rPr>
  </w:style>
  <w:style w:type="character" w:customStyle="1" w:styleId="126">
    <w:name w:val="不明显强调1"/>
    <w:autoRedefine/>
    <w:qFormat/>
    <w:uiPriority w:val="99"/>
    <w:rPr>
      <w:i/>
      <w:iCs/>
      <w:color w:val="808080"/>
    </w:rPr>
  </w:style>
  <w:style w:type="character" w:customStyle="1" w:styleId="127">
    <w:name w:val="文档结构图 Char1"/>
    <w:autoRedefine/>
    <w:qFormat/>
    <w:uiPriority w:val="99"/>
    <w:rPr>
      <w:rFonts w:ascii="宋体" w:hAnsi="Times New Roman" w:eastAsia="宋体" w:cs="Times New Roman"/>
      <w:sz w:val="18"/>
      <w:szCs w:val="18"/>
    </w:rPr>
  </w:style>
  <w:style w:type="character" w:customStyle="1" w:styleId="128">
    <w:name w:val="Comment Text Char"/>
    <w:autoRedefine/>
    <w:qFormat/>
    <w:uiPriority w:val="99"/>
    <w:rPr>
      <w:rFonts w:cs="Times New Roman"/>
      <w:sz w:val="24"/>
      <w:szCs w:val="24"/>
    </w:rPr>
  </w:style>
  <w:style w:type="character" w:customStyle="1" w:styleId="129">
    <w:name w:val="Heading 3 Char"/>
    <w:autoRedefine/>
    <w:qFormat/>
    <w:uiPriority w:val="99"/>
    <w:rPr>
      <w:rFonts w:cs="Times New Roman"/>
      <w:b/>
      <w:bCs/>
      <w:kern w:val="2"/>
      <w:sz w:val="32"/>
      <w:szCs w:val="32"/>
    </w:rPr>
  </w:style>
  <w:style w:type="character" w:customStyle="1" w:styleId="130">
    <w:name w:val="Char Char2411"/>
    <w:autoRedefine/>
    <w:qFormat/>
    <w:uiPriority w:val="99"/>
    <w:rPr>
      <w:rFonts w:eastAsia="宋体"/>
      <w:b/>
      <w:bCs/>
      <w:kern w:val="44"/>
      <w:sz w:val="32"/>
      <w:szCs w:val="44"/>
      <w:lang w:val="en-US" w:eastAsia="zh-CN" w:bidi="ar-SA"/>
    </w:rPr>
  </w:style>
  <w:style w:type="character" w:customStyle="1" w:styleId="131">
    <w:name w:val="批注文字 Char3"/>
    <w:autoRedefine/>
    <w:qFormat/>
    <w:uiPriority w:val="0"/>
    <w:rPr>
      <w:kern w:val="2"/>
      <w:sz w:val="21"/>
      <w:szCs w:val="24"/>
    </w:rPr>
  </w:style>
  <w:style w:type="character" w:customStyle="1" w:styleId="132">
    <w:name w:val="Balloon Text Char"/>
    <w:autoRedefine/>
    <w:qFormat/>
    <w:uiPriority w:val="99"/>
    <w:rPr>
      <w:sz w:val="18"/>
      <w:lang w:bidi="ar-SA"/>
    </w:rPr>
  </w:style>
  <w:style w:type="character" w:customStyle="1" w:styleId="133">
    <w:name w:val="不明显强调2"/>
    <w:autoRedefine/>
    <w:qFormat/>
    <w:uiPriority w:val="0"/>
    <w:rPr>
      <w:i/>
      <w:iCs/>
      <w:color w:val="808080"/>
    </w:rPr>
  </w:style>
  <w:style w:type="character" w:customStyle="1" w:styleId="134">
    <w:name w:val="ca-21"/>
    <w:autoRedefine/>
    <w:qFormat/>
    <w:uiPriority w:val="0"/>
    <w:rPr>
      <w:rFonts w:hint="eastAsia" w:ascii="宋体" w:hAnsi="宋体" w:eastAsia="宋体"/>
      <w:sz w:val="24"/>
      <w:szCs w:val="24"/>
    </w:rPr>
  </w:style>
  <w:style w:type="character" w:customStyle="1" w:styleId="135">
    <w:name w:val="中等深浅网格 3 - 强调文字颜色 2 Char"/>
    <w:link w:val="136"/>
    <w:autoRedefine/>
    <w:qFormat/>
    <w:uiPriority w:val="0"/>
    <w:rPr>
      <w:b/>
      <w:bCs/>
      <w:i/>
      <w:iCs/>
      <w:color w:val="4F81BD"/>
    </w:rPr>
  </w:style>
  <w:style w:type="paragraph" w:customStyle="1" w:styleId="136">
    <w:name w:val="中等深浅网格 3 - 强调文字颜色 21"/>
    <w:basedOn w:val="1"/>
    <w:next w:val="1"/>
    <w:link w:val="135"/>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37">
    <w:name w:val="不明显参考2"/>
    <w:autoRedefine/>
    <w:qFormat/>
    <w:uiPriority w:val="0"/>
    <w:rPr>
      <w:smallCaps/>
      <w:color w:val="C0504D"/>
      <w:u w:val="single"/>
    </w:rPr>
  </w:style>
  <w:style w:type="character" w:customStyle="1" w:styleId="138">
    <w:name w:val="明显引用 Char"/>
    <w:autoRedefine/>
    <w:qFormat/>
    <w:uiPriority w:val="99"/>
    <w:rPr>
      <w:b/>
      <w:bCs/>
      <w:i/>
      <w:iCs/>
      <w:color w:val="4F81BD"/>
    </w:rPr>
  </w:style>
  <w:style w:type="character" w:customStyle="1" w:styleId="139">
    <w:name w:val="明显引用 Char1"/>
    <w:basedOn w:val="50"/>
    <w:link w:val="19"/>
    <w:autoRedefine/>
    <w:qFormat/>
    <w:uiPriority w:val="99"/>
    <w:rPr>
      <w:b/>
      <w:bCs/>
      <w:i/>
      <w:iCs/>
      <w:color w:val="5B9BD5" w:themeColor="accent1"/>
      <w:kern w:val="2"/>
      <w:sz w:val="21"/>
      <w:szCs w:val="24"/>
      <w14:textFill>
        <w14:solidFill>
          <w14:schemeClr w14:val="accent1"/>
        </w14:solidFill>
      </w14:textFill>
    </w:rPr>
  </w:style>
  <w:style w:type="character" w:customStyle="1" w:styleId="140">
    <w:name w:val="font161"/>
    <w:autoRedefine/>
    <w:qFormat/>
    <w:uiPriority w:val="0"/>
    <w:rPr>
      <w:b/>
      <w:bCs/>
      <w:sz w:val="32"/>
      <w:szCs w:val="32"/>
    </w:rPr>
  </w:style>
  <w:style w:type="character" w:customStyle="1" w:styleId="141">
    <w:name w:val="明显强调1"/>
    <w:autoRedefine/>
    <w:qFormat/>
    <w:uiPriority w:val="99"/>
    <w:rPr>
      <w:b/>
      <w:bCs/>
      <w:i/>
      <w:iCs/>
      <w:color w:val="4F81BD"/>
    </w:rPr>
  </w:style>
  <w:style w:type="character" w:customStyle="1" w:styleId="142">
    <w:name w:val="Title Char"/>
    <w:autoRedefine/>
    <w:qFormat/>
    <w:uiPriority w:val="99"/>
    <w:rPr>
      <w:rFonts w:ascii="Cambria" w:hAnsi="Cambria"/>
      <w:b/>
      <w:sz w:val="32"/>
      <w:lang w:bidi="ar-SA"/>
    </w:rPr>
  </w:style>
  <w:style w:type="character" w:customStyle="1" w:styleId="143">
    <w:name w:val="Char Char6"/>
    <w:autoRedefine/>
    <w:qFormat/>
    <w:uiPriority w:val="99"/>
    <w:rPr>
      <w:rFonts w:eastAsia="宋体"/>
      <w:b/>
      <w:bCs/>
      <w:kern w:val="44"/>
      <w:sz w:val="32"/>
      <w:szCs w:val="44"/>
      <w:lang w:val="en-US" w:eastAsia="zh-CN" w:bidi="ar-SA"/>
    </w:rPr>
  </w:style>
  <w:style w:type="character" w:customStyle="1" w:styleId="144">
    <w:name w:val="Body Text Indent Char"/>
    <w:autoRedefine/>
    <w:qFormat/>
    <w:uiPriority w:val="99"/>
    <w:rPr>
      <w:rFonts w:ascii="宋体" w:hAnsi="宋体" w:eastAsia="宋体"/>
      <w:kern w:val="2"/>
      <w:sz w:val="21"/>
      <w:lang w:val="en-US" w:eastAsia="zh-CN" w:bidi="ar-SA"/>
    </w:rPr>
  </w:style>
  <w:style w:type="character" w:customStyle="1" w:styleId="145">
    <w:name w:val="Char Char19"/>
    <w:autoRedefine/>
    <w:qFormat/>
    <w:uiPriority w:val="99"/>
    <w:rPr>
      <w:rFonts w:ascii="Arial" w:hAnsi="Arial" w:eastAsia="宋体" w:cs="Times New Roman"/>
      <w:b/>
      <w:bCs/>
      <w:szCs w:val="28"/>
    </w:rPr>
  </w:style>
  <w:style w:type="character" w:customStyle="1" w:styleId="146">
    <w:name w:val="副标题 Char1"/>
    <w:autoRedefine/>
    <w:qFormat/>
    <w:uiPriority w:val="11"/>
    <w:rPr>
      <w:rFonts w:ascii="Cambria" w:hAnsi="Cambria" w:eastAsia="宋体" w:cs="Times New Roman"/>
      <w:b/>
      <w:bCs/>
      <w:kern w:val="28"/>
      <w:sz w:val="32"/>
      <w:szCs w:val="32"/>
    </w:rPr>
  </w:style>
  <w:style w:type="character" w:customStyle="1" w:styleId="147">
    <w:name w:val="明显引用 Char3"/>
    <w:autoRedefine/>
    <w:qFormat/>
    <w:uiPriority w:val="30"/>
    <w:rPr>
      <w:rFonts w:ascii="Times New Roman" w:hAnsi="Times New Roman" w:eastAsia="宋体" w:cs="Times New Roman"/>
      <w:b/>
      <w:bCs/>
      <w:i/>
      <w:iCs/>
      <w:color w:val="4F81BD"/>
      <w:szCs w:val="24"/>
    </w:rPr>
  </w:style>
  <w:style w:type="character" w:customStyle="1" w:styleId="148">
    <w:name w:val="书籍标题1"/>
    <w:autoRedefine/>
    <w:qFormat/>
    <w:uiPriority w:val="99"/>
    <w:rPr>
      <w:b/>
      <w:bCs/>
      <w:smallCaps/>
      <w:spacing w:val="5"/>
    </w:rPr>
  </w:style>
  <w:style w:type="character" w:customStyle="1" w:styleId="149">
    <w:name w:val="文档结构图 Char2"/>
    <w:autoRedefine/>
    <w:qFormat/>
    <w:uiPriority w:val="99"/>
    <w:rPr>
      <w:rFonts w:ascii="宋体"/>
      <w:kern w:val="2"/>
      <w:sz w:val="18"/>
      <w:szCs w:val="18"/>
    </w:rPr>
  </w:style>
  <w:style w:type="character" w:customStyle="1" w:styleId="150">
    <w:name w:val="Heading 5 Char"/>
    <w:autoRedefine/>
    <w:qFormat/>
    <w:uiPriority w:val="99"/>
    <w:rPr>
      <w:rFonts w:eastAsia="宋体"/>
      <w:b/>
      <w:bCs/>
      <w:kern w:val="2"/>
      <w:sz w:val="28"/>
      <w:szCs w:val="28"/>
      <w:lang w:val="en-US" w:eastAsia="zh-CN" w:bidi="ar-SA"/>
    </w:rPr>
  </w:style>
  <w:style w:type="character" w:customStyle="1" w:styleId="151">
    <w:name w:val="style2"/>
    <w:basedOn w:val="50"/>
    <w:autoRedefine/>
    <w:qFormat/>
    <w:uiPriority w:val="0"/>
  </w:style>
  <w:style w:type="character" w:customStyle="1" w:styleId="152">
    <w:name w:val="脚注文本 Char1"/>
    <w:autoRedefine/>
    <w:qFormat/>
    <w:uiPriority w:val="99"/>
    <w:rPr>
      <w:kern w:val="2"/>
      <w:sz w:val="18"/>
      <w:szCs w:val="18"/>
    </w:rPr>
  </w:style>
  <w:style w:type="character" w:customStyle="1" w:styleId="153">
    <w:name w:val="Char Char21"/>
    <w:autoRedefine/>
    <w:qFormat/>
    <w:uiPriority w:val="99"/>
    <w:rPr>
      <w:rFonts w:ascii="Arial" w:hAnsi="Arial" w:eastAsia="黑体" w:cs="Times New Roman"/>
      <w:b/>
      <w:bCs/>
      <w:sz w:val="32"/>
      <w:szCs w:val="32"/>
    </w:rPr>
  </w:style>
  <w:style w:type="character" w:customStyle="1" w:styleId="154">
    <w:name w:val="引用 Char"/>
    <w:autoRedefine/>
    <w:qFormat/>
    <w:uiPriority w:val="99"/>
    <w:rPr>
      <w:i/>
      <w:iCs/>
      <w:color w:val="000000"/>
    </w:rPr>
  </w:style>
  <w:style w:type="paragraph" w:styleId="155">
    <w:name w:val="Quote"/>
    <w:basedOn w:val="1"/>
    <w:next w:val="1"/>
    <w:link w:val="156"/>
    <w:autoRedefine/>
    <w:qFormat/>
    <w:uiPriority w:val="99"/>
    <w:rPr>
      <w:i/>
      <w:iCs/>
      <w:color w:val="000000"/>
      <w:kern w:val="0"/>
      <w:sz w:val="20"/>
      <w:szCs w:val="20"/>
    </w:rPr>
  </w:style>
  <w:style w:type="character" w:customStyle="1" w:styleId="156">
    <w:name w:val="引用 Char1"/>
    <w:basedOn w:val="50"/>
    <w:link w:val="155"/>
    <w:autoRedefine/>
    <w:qFormat/>
    <w:uiPriority w:val="99"/>
    <w:rPr>
      <w:i/>
      <w:iCs/>
      <w:color w:val="000000" w:themeColor="text1"/>
      <w:kern w:val="2"/>
      <w:sz w:val="21"/>
      <w:szCs w:val="24"/>
      <w14:textFill>
        <w14:solidFill>
          <w14:schemeClr w14:val="tx1"/>
        </w14:solidFill>
      </w14:textFill>
    </w:rPr>
  </w:style>
  <w:style w:type="character" w:customStyle="1" w:styleId="157">
    <w:name w:val="Char Char"/>
    <w:autoRedefine/>
    <w:qFormat/>
    <w:uiPriority w:val="0"/>
    <w:rPr>
      <w:rFonts w:ascii="Arial" w:hAnsi="Arial" w:eastAsia="黑体"/>
      <w:b/>
      <w:bCs/>
      <w:kern w:val="2"/>
      <w:sz w:val="32"/>
      <w:szCs w:val="32"/>
      <w:lang w:val="en-US" w:eastAsia="zh-CN" w:bidi="ar-SA"/>
    </w:rPr>
  </w:style>
  <w:style w:type="character" w:customStyle="1" w:styleId="158">
    <w:name w:val="标题 Char1"/>
    <w:autoRedefine/>
    <w:qFormat/>
    <w:uiPriority w:val="99"/>
    <w:rPr>
      <w:rFonts w:ascii="Cambria" w:hAnsi="Cambria" w:eastAsia="宋体" w:cs="Times New Roman"/>
      <w:b/>
      <w:bCs/>
      <w:sz w:val="32"/>
      <w:szCs w:val="32"/>
    </w:rPr>
  </w:style>
  <w:style w:type="character" w:customStyle="1" w:styleId="159">
    <w:name w:val="Document Map Char"/>
    <w:autoRedefine/>
    <w:qFormat/>
    <w:uiPriority w:val="99"/>
    <w:rPr>
      <w:rFonts w:eastAsia="宋体"/>
      <w:kern w:val="2"/>
      <w:sz w:val="21"/>
      <w:szCs w:val="24"/>
      <w:lang w:val="en-US" w:eastAsia="zh-CN" w:bidi="ar-SA"/>
    </w:rPr>
  </w:style>
  <w:style w:type="character" w:customStyle="1" w:styleId="160">
    <w:name w:val="Char Char9"/>
    <w:autoRedefine/>
    <w:qFormat/>
    <w:uiPriority w:val="99"/>
    <w:rPr>
      <w:rFonts w:eastAsia="宋体"/>
      <w:b/>
      <w:bCs/>
      <w:kern w:val="44"/>
      <w:sz w:val="32"/>
      <w:szCs w:val="44"/>
      <w:lang w:val="en-US" w:eastAsia="zh-CN" w:bidi="ar-SA"/>
    </w:rPr>
  </w:style>
  <w:style w:type="character" w:customStyle="1" w:styleId="161">
    <w:name w:val="Char Char20"/>
    <w:autoRedefine/>
    <w:qFormat/>
    <w:uiPriority w:val="99"/>
    <w:rPr>
      <w:rFonts w:ascii="Times New Roman" w:hAnsi="Times New Roman" w:eastAsia="宋体" w:cs="Times New Roman"/>
      <w:b/>
      <w:bCs/>
      <w:sz w:val="24"/>
      <w:szCs w:val="32"/>
    </w:rPr>
  </w:style>
  <w:style w:type="character" w:customStyle="1" w:styleId="162">
    <w:name w:val="标题 Char3"/>
    <w:autoRedefine/>
    <w:qFormat/>
    <w:uiPriority w:val="10"/>
    <w:rPr>
      <w:rFonts w:ascii="Cambria" w:hAnsi="Cambria" w:cs="Times New Roman"/>
      <w:b/>
      <w:bCs/>
      <w:kern w:val="2"/>
      <w:sz w:val="32"/>
      <w:szCs w:val="32"/>
    </w:rPr>
  </w:style>
  <w:style w:type="character" w:customStyle="1" w:styleId="163">
    <w:name w:val="Char Char18"/>
    <w:autoRedefine/>
    <w:qFormat/>
    <w:uiPriority w:val="99"/>
    <w:rPr>
      <w:rFonts w:ascii="Times New Roman" w:hAnsi="Times New Roman" w:eastAsia="宋体" w:cs="Times New Roman"/>
      <w:b/>
      <w:bCs/>
      <w:sz w:val="28"/>
      <w:szCs w:val="28"/>
    </w:rPr>
  </w:style>
  <w:style w:type="character" w:customStyle="1" w:styleId="164">
    <w:name w:val="Char Char2"/>
    <w:autoRedefine/>
    <w:qFormat/>
    <w:uiPriority w:val="0"/>
    <w:rPr>
      <w:rFonts w:ascii="宋体" w:hAnsi="Courier New" w:eastAsia="宋体"/>
      <w:color w:val="000000"/>
      <w:kern w:val="2"/>
      <w:sz w:val="21"/>
      <w:lang w:val="en-US" w:eastAsia="zh-CN" w:bidi="ar-SA"/>
    </w:rPr>
  </w:style>
  <w:style w:type="character" w:customStyle="1" w:styleId="165">
    <w:name w:val="Footer Char"/>
    <w:autoRedefine/>
    <w:qFormat/>
    <w:uiPriority w:val="99"/>
    <w:rPr>
      <w:rFonts w:eastAsia="宋体"/>
      <w:kern w:val="2"/>
      <w:sz w:val="18"/>
      <w:szCs w:val="18"/>
      <w:lang w:val="en-US" w:eastAsia="zh-CN" w:bidi="ar-SA"/>
    </w:rPr>
  </w:style>
  <w:style w:type="character" w:customStyle="1" w:styleId="166">
    <w:name w:val="标题4 Char Char"/>
    <w:link w:val="167"/>
    <w:autoRedefine/>
    <w:qFormat/>
    <w:uiPriority w:val="99"/>
    <w:rPr>
      <w:rFonts w:ascii="Arial" w:hAnsi="Arial"/>
      <w:b/>
      <w:bCs/>
      <w:sz w:val="24"/>
      <w:szCs w:val="32"/>
    </w:rPr>
  </w:style>
  <w:style w:type="paragraph" w:customStyle="1" w:styleId="167">
    <w:name w:val="标题4"/>
    <w:basedOn w:val="4"/>
    <w:next w:val="22"/>
    <w:link w:val="166"/>
    <w:autoRedefine/>
    <w:qFormat/>
    <w:uiPriority w:val="99"/>
    <w:pPr>
      <w:spacing w:before="60" w:after="60"/>
      <w:jc w:val="both"/>
    </w:pPr>
    <w:rPr>
      <w:rFonts w:eastAsia="宋体"/>
      <w:bCs/>
      <w:kern w:val="0"/>
      <w:sz w:val="24"/>
      <w:szCs w:val="32"/>
    </w:rPr>
  </w:style>
  <w:style w:type="character" w:customStyle="1" w:styleId="168">
    <w:name w:val="textcontents"/>
    <w:autoRedefine/>
    <w:qFormat/>
    <w:uiPriority w:val="99"/>
    <w:rPr>
      <w:rFonts w:cs="Times New Roman"/>
    </w:rPr>
  </w:style>
  <w:style w:type="character" w:customStyle="1" w:styleId="169">
    <w:name w:val="书籍标题2"/>
    <w:autoRedefine/>
    <w:qFormat/>
    <w:uiPriority w:val="0"/>
    <w:rPr>
      <w:b/>
      <w:bCs/>
      <w:smallCaps/>
      <w:spacing w:val="5"/>
    </w:rPr>
  </w:style>
  <w:style w:type="character" w:customStyle="1" w:styleId="170">
    <w:name w:val="Char Char241"/>
    <w:autoRedefine/>
    <w:qFormat/>
    <w:uiPriority w:val="0"/>
    <w:rPr>
      <w:rFonts w:eastAsia="宋体"/>
      <w:b/>
      <w:bCs/>
      <w:kern w:val="44"/>
      <w:sz w:val="32"/>
      <w:szCs w:val="44"/>
      <w:lang w:val="en-US" w:eastAsia="zh-CN" w:bidi="ar-SA"/>
    </w:rPr>
  </w:style>
  <w:style w:type="character" w:customStyle="1" w:styleId="171">
    <w:name w:val="Heading 1 Char"/>
    <w:autoRedefine/>
    <w:qFormat/>
    <w:uiPriority w:val="99"/>
    <w:rPr>
      <w:rFonts w:eastAsia="宋体"/>
      <w:b/>
      <w:bCs/>
      <w:kern w:val="44"/>
      <w:sz w:val="32"/>
      <w:szCs w:val="44"/>
      <w:lang w:val="en-US" w:eastAsia="zh-CN" w:bidi="ar-SA"/>
    </w:rPr>
  </w:style>
  <w:style w:type="character" w:customStyle="1" w:styleId="172">
    <w:name w:val="批注主题 Char1"/>
    <w:autoRedefine/>
    <w:qFormat/>
    <w:uiPriority w:val="99"/>
    <w:rPr>
      <w:rFonts w:ascii="Times New Roman" w:hAnsi="Times New Roman" w:eastAsia="宋体" w:cs="Times New Roman"/>
      <w:b/>
      <w:bCs/>
      <w:szCs w:val="24"/>
    </w:rPr>
  </w:style>
  <w:style w:type="character" w:customStyle="1" w:styleId="173">
    <w:name w:val="Date Char"/>
    <w:autoRedefine/>
    <w:qFormat/>
    <w:uiPriority w:val="99"/>
    <w:rPr>
      <w:rFonts w:eastAsia="宋体"/>
      <w:kern w:val="2"/>
      <w:sz w:val="21"/>
      <w:szCs w:val="24"/>
      <w:lang w:val="en-US" w:eastAsia="zh-CN" w:bidi="ar-SA"/>
    </w:rPr>
  </w:style>
  <w:style w:type="character" w:customStyle="1" w:styleId="174">
    <w:name w:val="中等深浅网格 2 - 强调文字颜色 2 Char"/>
    <w:link w:val="175"/>
    <w:autoRedefine/>
    <w:qFormat/>
    <w:uiPriority w:val="0"/>
    <w:rPr>
      <w:i/>
      <w:iCs/>
      <w:color w:val="000000"/>
    </w:rPr>
  </w:style>
  <w:style w:type="paragraph" w:customStyle="1" w:styleId="175">
    <w:name w:val="中等深浅网格 2 - 强调文字颜色 21"/>
    <w:basedOn w:val="1"/>
    <w:next w:val="1"/>
    <w:link w:val="174"/>
    <w:autoRedefine/>
    <w:qFormat/>
    <w:uiPriority w:val="0"/>
    <w:rPr>
      <w:i/>
      <w:iCs/>
      <w:color w:val="000000"/>
      <w:kern w:val="0"/>
      <w:sz w:val="20"/>
      <w:szCs w:val="20"/>
    </w:rPr>
  </w:style>
  <w:style w:type="character" w:customStyle="1" w:styleId="176">
    <w:name w:val="纯文本 Char2"/>
    <w:autoRedefine/>
    <w:qFormat/>
    <w:uiPriority w:val="0"/>
    <w:rPr>
      <w:rFonts w:ascii="宋体" w:hAnsi="Courier New" w:eastAsia="宋体"/>
      <w:kern w:val="2"/>
      <w:sz w:val="21"/>
      <w:szCs w:val="24"/>
      <w:lang w:val="en-US" w:eastAsia="zh-CN" w:bidi="ar-SA"/>
    </w:rPr>
  </w:style>
  <w:style w:type="character" w:customStyle="1" w:styleId="177">
    <w:name w:val="标题 Char2"/>
    <w:autoRedefine/>
    <w:qFormat/>
    <w:uiPriority w:val="99"/>
    <w:rPr>
      <w:rFonts w:ascii="Cambria" w:hAnsi="Cambria" w:eastAsia="宋体" w:cs="Times New Roman"/>
      <w:b/>
      <w:bCs/>
      <w:sz w:val="32"/>
      <w:szCs w:val="32"/>
    </w:rPr>
  </w:style>
  <w:style w:type="character" w:customStyle="1" w:styleId="178">
    <w:name w:val="普通文字 Char Char1"/>
    <w:autoRedefine/>
    <w:qFormat/>
    <w:uiPriority w:val="0"/>
    <w:rPr>
      <w:rFonts w:ascii="宋体" w:hAnsi="Courier New" w:eastAsia="宋体"/>
      <w:kern w:val="2"/>
      <w:sz w:val="21"/>
      <w:lang w:val="en-US" w:eastAsia="zh-CN" w:bidi="ar-SA"/>
    </w:rPr>
  </w:style>
  <w:style w:type="character" w:customStyle="1" w:styleId="179">
    <w:name w:val="正文文本 Char2"/>
    <w:autoRedefine/>
    <w:qFormat/>
    <w:uiPriority w:val="99"/>
    <w:rPr>
      <w:kern w:val="2"/>
      <w:sz w:val="21"/>
      <w:szCs w:val="24"/>
    </w:rPr>
  </w:style>
  <w:style w:type="character" w:customStyle="1" w:styleId="180">
    <w:name w:val="Heading 3 Char1"/>
    <w:autoRedefine/>
    <w:qFormat/>
    <w:uiPriority w:val="99"/>
    <w:rPr>
      <w:rFonts w:eastAsia="宋体"/>
      <w:b/>
      <w:bCs/>
      <w:kern w:val="2"/>
      <w:sz w:val="24"/>
      <w:szCs w:val="32"/>
      <w:lang w:val="en-US" w:eastAsia="zh-CN" w:bidi="ar-SA"/>
    </w:rPr>
  </w:style>
  <w:style w:type="character" w:customStyle="1" w:styleId="181">
    <w:name w:val="批注文字 Char2"/>
    <w:autoRedefine/>
    <w:qFormat/>
    <w:uiPriority w:val="0"/>
    <w:rPr>
      <w:kern w:val="2"/>
      <w:sz w:val="21"/>
      <w:szCs w:val="24"/>
      <w:lang w:bidi="ar-SA"/>
    </w:rPr>
  </w:style>
  <w:style w:type="character" w:customStyle="1" w:styleId="182">
    <w:name w:val="Char Char181"/>
    <w:autoRedefine/>
    <w:qFormat/>
    <w:uiPriority w:val="99"/>
    <w:rPr>
      <w:b/>
      <w:bCs/>
      <w:kern w:val="44"/>
      <w:sz w:val="44"/>
      <w:szCs w:val="44"/>
    </w:rPr>
  </w:style>
  <w:style w:type="character" w:customStyle="1" w:styleId="183">
    <w:name w:val="明显引用 Char2"/>
    <w:autoRedefine/>
    <w:qFormat/>
    <w:uiPriority w:val="30"/>
    <w:rPr>
      <w:b/>
      <w:bCs/>
      <w:i/>
      <w:iCs/>
      <w:color w:val="4F81BD"/>
      <w:kern w:val="2"/>
      <w:sz w:val="21"/>
      <w:szCs w:val="24"/>
    </w:rPr>
  </w:style>
  <w:style w:type="character" w:customStyle="1" w:styleId="184">
    <w:name w:val="Blockquote Char"/>
    <w:link w:val="185"/>
    <w:autoRedefine/>
    <w:qFormat/>
    <w:uiPriority w:val="0"/>
    <w:rPr>
      <w:sz w:val="24"/>
    </w:rPr>
  </w:style>
  <w:style w:type="paragraph" w:customStyle="1" w:styleId="185">
    <w:name w:val="Blockquote"/>
    <w:basedOn w:val="1"/>
    <w:link w:val="184"/>
    <w:autoRedefine/>
    <w:qFormat/>
    <w:uiPriority w:val="0"/>
    <w:pPr>
      <w:autoSpaceDE w:val="0"/>
      <w:autoSpaceDN w:val="0"/>
      <w:adjustRightInd w:val="0"/>
      <w:spacing w:before="100" w:after="100" w:line="480" w:lineRule="exact"/>
      <w:ind w:left="360" w:right="360"/>
      <w:jc w:val="left"/>
    </w:pPr>
    <w:rPr>
      <w:kern w:val="0"/>
      <w:sz w:val="24"/>
      <w:szCs w:val="20"/>
    </w:rPr>
  </w:style>
  <w:style w:type="character" w:customStyle="1" w:styleId="186">
    <w:name w:val="Heading 4 Char"/>
    <w:autoRedefine/>
    <w:qFormat/>
    <w:uiPriority w:val="99"/>
    <w:rPr>
      <w:rFonts w:ascii="Arial" w:hAnsi="Arial" w:eastAsia="宋体"/>
      <w:b/>
      <w:bCs/>
      <w:kern w:val="2"/>
      <w:sz w:val="21"/>
      <w:szCs w:val="28"/>
      <w:lang w:val="en-US" w:eastAsia="zh-CN" w:bidi="ar-SA"/>
    </w:rPr>
  </w:style>
  <w:style w:type="character" w:customStyle="1" w:styleId="187">
    <w:name w:val="Plain Text Char"/>
    <w:autoRedefine/>
    <w:qFormat/>
    <w:uiPriority w:val="99"/>
    <w:rPr>
      <w:rFonts w:ascii="宋体" w:hAnsi="Courier New" w:eastAsia="宋体"/>
      <w:sz w:val="24"/>
      <w:lang w:bidi="ar-SA"/>
    </w:rPr>
  </w:style>
  <w:style w:type="character" w:customStyle="1" w:styleId="188">
    <w:name w:val="明显参考1"/>
    <w:autoRedefine/>
    <w:qFormat/>
    <w:uiPriority w:val="99"/>
    <w:rPr>
      <w:b/>
      <w:bCs/>
      <w:smallCaps/>
      <w:color w:val="C0504D"/>
      <w:spacing w:val="5"/>
      <w:u w:val="single"/>
    </w:rPr>
  </w:style>
  <w:style w:type="character" w:customStyle="1" w:styleId="189">
    <w:name w:val="Char Char23"/>
    <w:autoRedefine/>
    <w:qFormat/>
    <w:uiPriority w:val="99"/>
    <w:rPr>
      <w:rFonts w:eastAsia="宋体"/>
      <w:b/>
      <w:bCs/>
      <w:kern w:val="44"/>
      <w:sz w:val="32"/>
      <w:szCs w:val="44"/>
      <w:lang w:val="en-US" w:eastAsia="zh-CN" w:bidi="ar-SA"/>
    </w:rPr>
  </w:style>
  <w:style w:type="character" w:customStyle="1" w:styleId="190">
    <w:name w:val="日期 Char1"/>
    <w:qFormat/>
    <w:uiPriority w:val="99"/>
    <w:rPr>
      <w:rFonts w:ascii="Times New Roman" w:hAnsi="Times New Roman" w:eastAsia="宋体" w:cs="Times New Roman"/>
      <w:szCs w:val="24"/>
    </w:rPr>
  </w:style>
  <w:style w:type="character" w:customStyle="1" w:styleId="191">
    <w:name w:val="Comment Subject Char"/>
    <w:autoRedefine/>
    <w:qFormat/>
    <w:uiPriority w:val="99"/>
    <w:rPr>
      <w:b/>
      <w:sz w:val="24"/>
      <w:lang w:bidi="ar-SA"/>
    </w:rPr>
  </w:style>
  <w:style w:type="character" w:customStyle="1" w:styleId="192">
    <w:name w:val="Comment Text Char1"/>
    <w:autoRedefine/>
    <w:qFormat/>
    <w:uiPriority w:val="99"/>
    <w:rPr>
      <w:sz w:val="24"/>
      <w:lang w:bidi="ar-SA"/>
    </w:rPr>
  </w:style>
  <w:style w:type="character" w:customStyle="1" w:styleId="193">
    <w:name w:val="正文文本 Char1"/>
    <w:autoRedefine/>
    <w:qFormat/>
    <w:uiPriority w:val="99"/>
    <w:rPr>
      <w:kern w:val="2"/>
      <w:sz w:val="21"/>
      <w:szCs w:val="22"/>
    </w:rPr>
  </w:style>
  <w:style w:type="character" w:customStyle="1" w:styleId="194">
    <w:name w:val="批注框文本 Char2"/>
    <w:autoRedefine/>
    <w:qFormat/>
    <w:uiPriority w:val="99"/>
    <w:rPr>
      <w:kern w:val="2"/>
      <w:sz w:val="18"/>
      <w:szCs w:val="18"/>
    </w:rPr>
  </w:style>
  <w:style w:type="character" w:customStyle="1" w:styleId="195">
    <w:name w:val="批注主题 Char2"/>
    <w:autoRedefine/>
    <w:qFormat/>
    <w:uiPriority w:val="99"/>
    <w:rPr>
      <w:b/>
      <w:bCs/>
      <w:kern w:val="2"/>
      <w:sz w:val="21"/>
      <w:szCs w:val="24"/>
    </w:rPr>
  </w:style>
  <w:style w:type="character" w:customStyle="1" w:styleId="196">
    <w:name w:val="批注框文本 Char1"/>
    <w:autoRedefine/>
    <w:qFormat/>
    <w:uiPriority w:val="99"/>
    <w:rPr>
      <w:rFonts w:ascii="Times New Roman" w:hAnsi="Times New Roman" w:eastAsia="宋体" w:cs="Times New Roman"/>
      <w:sz w:val="18"/>
      <w:szCs w:val="18"/>
    </w:rPr>
  </w:style>
  <w:style w:type="character" w:customStyle="1" w:styleId="197">
    <w:name w:val="Body Text Indent 2 Char"/>
    <w:autoRedefine/>
    <w:qFormat/>
    <w:uiPriority w:val="99"/>
    <w:rPr>
      <w:rFonts w:eastAsia="宋体"/>
      <w:kern w:val="2"/>
      <w:sz w:val="21"/>
      <w:szCs w:val="24"/>
      <w:lang w:val="en-US" w:eastAsia="zh-CN" w:bidi="ar-SA"/>
    </w:rPr>
  </w:style>
  <w:style w:type="character" w:customStyle="1" w:styleId="198">
    <w:name w:val="Char Char17"/>
    <w:autoRedefine/>
    <w:qFormat/>
    <w:uiPriority w:val="0"/>
    <w:rPr>
      <w:rFonts w:ascii="Arial" w:hAnsi="Arial" w:eastAsia="黑体"/>
      <w:b/>
      <w:bCs/>
      <w:kern w:val="2"/>
      <w:sz w:val="32"/>
      <w:szCs w:val="32"/>
      <w:lang w:val="en-US" w:eastAsia="zh-CN" w:bidi="ar-SA"/>
    </w:rPr>
  </w:style>
  <w:style w:type="character" w:customStyle="1" w:styleId="199">
    <w:name w:val="Footnote Text Char"/>
    <w:autoRedefine/>
    <w:qFormat/>
    <w:uiPriority w:val="99"/>
    <w:rPr>
      <w:rFonts w:eastAsia="宋体"/>
      <w:sz w:val="18"/>
      <w:lang w:val="en-US" w:eastAsia="zh-CN" w:bidi="ar-SA"/>
    </w:rPr>
  </w:style>
  <w:style w:type="character" w:customStyle="1" w:styleId="200">
    <w:name w:val="Heading 2 Char"/>
    <w:autoRedefine/>
    <w:qFormat/>
    <w:uiPriority w:val="99"/>
    <w:rPr>
      <w:rFonts w:ascii="Arial" w:hAnsi="Arial" w:eastAsia="黑体"/>
      <w:b/>
      <w:bCs/>
      <w:kern w:val="2"/>
      <w:sz w:val="32"/>
      <w:szCs w:val="32"/>
      <w:lang w:val="en-US" w:eastAsia="zh-CN" w:bidi="ar-SA"/>
    </w:rPr>
  </w:style>
  <w:style w:type="character" w:customStyle="1" w:styleId="201">
    <w:name w:val="明显强调2"/>
    <w:autoRedefine/>
    <w:qFormat/>
    <w:uiPriority w:val="0"/>
    <w:rPr>
      <w:b/>
      <w:bCs/>
      <w:i/>
      <w:iCs/>
      <w:color w:val="4F81BD"/>
    </w:rPr>
  </w:style>
  <w:style w:type="paragraph" w:customStyle="1" w:styleId="202">
    <w:name w:val="正文_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表格文字"/>
    <w:basedOn w:val="1"/>
    <w:autoRedefine/>
    <w:qFormat/>
    <w:uiPriority w:val="0"/>
    <w:pPr>
      <w:adjustRightInd w:val="0"/>
      <w:spacing w:line="420" w:lineRule="atLeast"/>
      <w:jc w:val="left"/>
      <w:textAlignment w:val="baseline"/>
    </w:pPr>
    <w:rPr>
      <w:kern w:val="0"/>
      <w:szCs w:val="20"/>
    </w:rPr>
  </w:style>
  <w:style w:type="paragraph" w:customStyle="1" w:styleId="204">
    <w:name w:val="正文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5">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样式1"/>
    <w:basedOn w:val="1"/>
    <w:next w:val="2"/>
    <w:autoRedefine/>
    <w:qFormat/>
    <w:uiPriority w:val="99"/>
    <w:pPr>
      <w:spacing w:line="360" w:lineRule="auto"/>
      <w:ind w:firstLine="420" w:firstLineChars="200"/>
    </w:pPr>
    <w:rPr>
      <w:rFonts w:ascii="宋体" w:hAnsi="宋体"/>
      <w:szCs w:val="21"/>
    </w:rPr>
  </w:style>
  <w:style w:type="paragraph" w:customStyle="1" w:styleId="207">
    <w:name w:val="2"/>
    <w:basedOn w:val="1"/>
    <w:next w:val="25"/>
    <w:autoRedefine/>
    <w:qFormat/>
    <w:uiPriority w:val="0"/>
    <w:rPr>
      <w:rFonts w:ascii="宋体" w:hAnsi="Courier New"/>
      <w:szCs w:val="20"/>
    </w:rPr>
  </w:style>
  <w:style w:type="paragraph" w:customStyle="1" w:styleId="208">
    <w:name w:val="中等深浅网格 3 - 强调文字颜色 22"/>
    <w:basedOn w:val="1"/>
    <w:next w:val="1"/>
    <w:autoRedefine/>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209">
    <w:name w:val="Default Paragraph Font Para Char Char Char Char Char Char"/>
    <w:basedOn w:val="1"/>
    <w:autoRedefine/>
    <w:qFormat/>
    <w:uiPriority w:val="0"/>
    <w:pPr>
      <w:widowControl/>
      <w:spacing w:after="160" w:line="240" w:lineRule="exact"/>
      <w:jc w:val="left"/>
    </w:pPr>
  </w:style>
  <w:style w:type="paragraph" w:customStyle="1" w:styleId="210">
    <w:name w:val="样式 标题 2 + Times New Roman 四号 非加粗 段前: 5 磅 段后: 0 磅 行距: 固定值 20..."/>
    <w:basedOn w:val="4"/>
    <w:autoRedefine/>
    <w:qFormat/>
    <w:uiPriority w:val="99"/>
    <w:pPr>
      <w:spacing w:before="100" w:after="0" w:line="400" w:lineRule="exact"/>
      <w:jc w:val="both"/>
    </w:pPr>
    <w:rPr>
      <w:rFonts w:ascii="Times New Roman" w:hAnsi="Times New Roman" w:cs="宋体"/>
      <w:b w:val="0"/>
      <w:kern w:val="0"/>
      <w:sz w:val="28"/>
    </w:rPr>
  </w:style>
  <w:style w:type="paragraph" w:customStyle="1" w:styleId="211">
    <w:name w:val="Char Char1"/>
    <w:basedOn w:val="1"/>
    <w:autoRedefine/>
    <w:qFormat/>
    <w:uiPriority w:val="0"/>
    <w:rPr>
      <w:rFonts w:ascii="仿宋_GB2312" w:hAnsi="Courier New" w:eastAsia="仿宋_GB2312"/>
      <w:b/>
      <w:sz w:val="32"/>
      <w:szCs w:val="32"/>
    </w:rPr>
  </w:style>
  <w:style w:type="paragraph" w:customStyle="1" w:styleId="212">
    <w:name w:val="Char3 Char Char Char1 Char Char Char Char Char Char"/>
    <w:basedOn w:val="1"/>
    <w:autoRedefine/>
    <w:qFormat/>
    <w:uiPriority w:val="0"/>
    <w:rPr>
      <w:szCs w:val="20"/>
    </w:rPr>
  </w:style>
  <w:style w:type="paragraph" w:customStyle="1" w:styleId="213">
    <w:name w:val="样式 样式 样式 样式 标题 2 + 宋体 五号 非加粗 黑色 + 段前: 6 磅 段后: 0 磅 行距: 单倍行距 + 段前:..."/>
    <w:basedOn w:val="1"/>
    <w:autoRedefine/>
    <w:qFormat/>
    <w:uiPriority w:val="0"/>
    <w:pPr>
      <w:keepNext/>
      <w:keepLines/>
      <w:adjustRightInd w:val="0"/>
      <w:spacing w:before="240"/>
      <w:jc w:val="left"/>
      <w:outlineLvl w:val="1"/>
    </w:pPr>
    <w:rPr>
      <w:rFonts w:ascii="宋体" w:hAnsi="宋体"/>
      <w:b/>
      <w:bCs/>
      <w:color w:val="000000"/>
      <w:kern w:val="0"/>
      <w:szCs w:val="20"/>
    </w:rPr>
  </w:style>
  <w:style w:type="paragraph" w:styleId="214">
    <w:name w:val="List Paragraph"/>
    <w:basedOn w:val="1"/>
    <w:autoRedefine/>
    <w:qFormat/>
    <w:uiPriority w:val="34"/>
    <w:pPr>
      <w:ind w:firstLine="420" w:firstLineChars="200"/>
    </w:pPr>
    <w:rPr>
      <w:rFonts w:ascii="Calibri" w:hAnsi="Calibri"/>
      <w:szCs w:val="22"/>
    </w:rPr>
  </w:style>
  <w:style w:type="paragraph" w:customStyle="1" w:styleId="215">
    <w:name w:val="TOC 标题1"/>
    <w:basedOn w:val="3"/>
    <w:next w:val="1"/>
    <w:autoRedefine/>
    <w:qFormat/>
    <w:uiPriority w:val="99"/>
    <w:pPr>
      <w:spacing w:before="100" w:after="100" w:line="576" w:lineRule="auto"/>
      <w:jc w:val="center"/>
      <w:outlineLvl w:val="9"/>
    </w:pPr>
    <w:rPr>
      <w:rFonts w:ascii="Calibri" w:hAnsi="Calibri" w:eastAsia="黑体"/>
      <w:sz w:val="36"/>
    </w:rPr>
  </w:style>
  <w:style w:type="paragraph" w:customStyle="1" w:styleId="216">
    <w:name w:val="Char1"/>
    <w:basedOn w:val="1"/>
    <w:autoRedefine/>
    <w:qFormat/>
    <w:uiPriority w:val="99"/>
    <w:pPr>
      <w:widowControl/>
      <w:spacing w:after="160" w:line="240" w:lineRule="exact"/>
      <w:jc w:val="left"/>
    </w:pPr>
  </w:style>
  <w:style w:type="paragraph" w:customStyle="1" w:styleId="217">
    <w:name w:val="样式 标题 3 + (中文) 黑体 小四 非加粗 段前: 7.8 磅 段后: 0 磅 行距: 固定值 20 磅"/>
    <w:basedOn w:val="5"/>
    <w:autoRedefine/>
    <w:qFormat/>
    <w:uiPriority w:val="99"/>
    <w:pPr>
      <w:spacing w:before="0" w:after="0" w:line="400" w:lineRule="exact"/>
    </w:pPr>
    <w:rPr>
      <w:rFonts w:eastAsia="黑体" w:cs="宋体"/>
      <w:b w:val="0"/>
      <w:bCs w:val="0"/>
      <w:sz w:val="21"/>
      <w:szCs w:val="20"/>
    </w:rPr>
  </w:style>
  <w:style w:type="paragraph" w:customStyle="1" w:styleId="218">
    <w:name w:val="xl3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0"/>
      <w:szCs w:val="20"/>
    </w:rPr>
  </w:style>
  <w:style w:type="paragraph" w:customStyle="1" w:styleId="219">
    <w:name w:val="中等深浅网格 1 - 强调文字颜色 22"/>
    <w:basedOn w:val="1"/>
    <w:autoRedefine/>
    <w:qFormat/>
    <w:uiPriority w:val="0"/>
    <w:pPr>
      <w:ind w:firstLine="420" w:firstLineChars="200"/>
    </w:pPr>
    <w:rPr>
      <w:rFonts w:ascii="Calibri" w:hAnsi="Calibri"/>
      <w:szCs w:val="22"/>
    </w:rPr>
  </w:style>
  <w:style w:type="paragraph" w:customStyle="1" w:styleId="220">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21">
    <w:name w:val="Char Char Char"/>
    <w:basedOn w:val="1"/>
    <w:qFormat/>
    <w:uiPriority w:val="0"/>
    <w:rPr>
      <w:rFonts w:ascii="Tahoma" w:hAnsi="Tahoma"/>
      <w:sz w:val="24"/>
      <w:szCs w:val="20"/>
    </w:rPr>
  </w:style>
  <w:style w:type="paragraph" w:customStyle="1" w:styleId="222">
    <w:name w:val="Char Char Char Char Char Char Char Char Char Char Char Char Char Char Char Char1"/>
    <w:basedOn w:val="1"/>
    <w:autoRedefine/>
    <w:qFormat/>
    <w:uiPriority w:val="0"/>
    <w:pPr>
      <w:tabs>
        <w:tab w:val="left" w:pos="360"/>
      </w:tabs>
      <w:spacing w:line="360" w:lineRule="auto"/>
      <w:ind w:left="482" w:firstLine="200" w:firstLineChars="200"/>
    </w:pPr>
    <w:rPr>
      <w:rFonts w:ascii="宋体"/>
      <w:sz w:val="24"/>
      <w:szCs w:val="20"/>
    </w:rPr>
  </w:style>
  <w:style w:type="paragraph" w:customStyle="1" w:styleId="223">
    <w:name w:val="合同正文"/>
    <w:basedOn w:val="1"/>
    <w:autoRedefine/>
    <w:qFormat/>
    <w:uiPriority w:val="0"/>
    <w:pPr>
      <w:adjustRightInd w:val="0"/>
      <w:spacing w:line="580" w:lineRule="exact"/>
    </w:pPr>
    <w:rPr>
      <w:rFonts w:ascii="仿宋_GB2312" w:eastAsia="仿宋_GB2312"/>
      <w:b/>
      <w:sz w:val="24"/>
      <w:szCs w:val="20"/>
    </w:rPr>
  </w:style>
  <w:style w:type="paragraph" w:customStyle="1" w:styleId="224">
    <w:name w:val="正文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表格文字居中"/>
    <w:basedOn w:val="1"/>
    <w:next w:val="1"/>
    <w:autoRedefine/>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226">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227">
    <w:name w:val="列出段落2"/>
    <w:basedOn w:val="1"/>
    <w:autoRedefine/>
    <w:qFormat/>
    <w:uiPriority w:val="99"/>
    <w:pPr>
      <w:ind w:firstLine="420" w:firstLineChars="200"/>
    </w:pPr>
  </w:style>
  <w:style w:type="paragraph" w:customStyle="1" w:styleId="228">
    <w:name w:val="Char"/>
    <w:basedOn w:val="1"/>
    <w:autoRedefine/>
    <w:qFormat/>
    <w:uiPriority w:val="99"/>
    <w:rPr>
      <w:rFonts w:ascii="Tahoma" w:hAnsi="Tahoma"/>
      <w:sz w:val="24"/>
      <w:szCs w:val="20"/>
    </w:rPr>
  </w:style>
  <w:style w:type="paragraph" w:customStyle="1" w:styleId="229">
    <w:name w:val="flNote"/>
    <w:basedOn w:val="1"/>
    <w:autoRedefine/>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230">
    <w:name w:val="2-2ji"/>
    <w:basedOn w:val="4"/>
    <w:autoRedefine/>
    <w:qFormat/>
    <w:uiPriority w:val="99"/>
    <w:pPr>
      <w:spacing w:before="0" w:after="0" w:line="360" w:lineRule="auto"/>
    </w:pPr>
    <w:rPr>
      <w:rFonts w:ascii="宋体" w:hAnsi="宋体" w:eastAsia="宋体"/>
      <w:bCs/>
      <w:sz w:val="36"/>
      <w:szCs w:val="24"/>
    </w:rPr>
  </w:style>
  <w:style w:type="paragraph" w:customStyle="1" w:styleId="231">
    <w:name w:val="空半行"/>
    <w:basedOn w:val="1"/>
    <w:autoRedefine/>
    <w:qFormat/>
    <w:uiPriority w:val="99"/>
    <w:pPr>
      <w:adjustRightInd w:val="0"/>
      <w:spacing w:line="120" w:lineRule="exact"/>
      <w:textAlignment w:val="baseline"/>
    </w:pPr>
    <w:rPr>
      <w:rFonts w:eastAsia="仿宋_GB2312"/>
      <w:color w:val="FFFFFF"/>
      <w:kern w:val="0"/>
      <w:sz w:val="30"/>
      <w:szCs w:val="20"/>
    </w:rPr>
  </w:style>
  <w:style w:type="paragraph" w:customStyle="1" w:styleId="232">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中等深浅网格 2 - 强调文字颜色 22"/>
    <w:basedOn w:val="1"/>
    <w:next w:val="1"/>
    <w:autoRedefine/>
    <w:qFormat/>
    <w:uiPriority w:val="0"/>
    <w:rPr>
      <w:i/>
      <w:iCs/>
      <w:color w:val="000000"/>
      <w:kern w:val="0"/>
      <w:sz w:val="20"/>
      <w:szCs w:val="20"/>
    </w:rPr>
  </w:style>
  <w:style w:type="paragraph" w:customStyle="1" w:styleId="234">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235">
    <w:name w:val="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36">
    <w:name w:val="Char2"/>
    <w:basedOn w:val="1"/>
    <w:autoRedefine/>
    <w:qFormat/>
    <w:uiPriority w:val="99"/>
    <w:rPr>
      <w:rFonts w:ascii="Tahoma" w:hAnsi="Tahoma"/>
      <w:sz w:val="24"/>
      <w:szCs w:val="20"/>
    </w:rPr>
  </w:style>
  <w:style w:type="paragraph" w:customStyle="1" w:styleId="237">
    <w:name w:val="表格"/>
    <w:basedOn w:val="1"/>
    <w:autoRedefine/>
    <w:qFormat/>
    <w:uiPriority w:val="0"/>
    <w:pPr>
      <w:jc w:val="center"/>
      <w:textAlignment w:val="center"/>
    </w:pPr>
    <w:rPr>
      <w:rFonts w:ascii="华文细黑" w:hAnsi="华文细黑"/>
      <w:kern w:val="0"/>
      <w:szCs w:val="20"/>
    </w:rPr>
  </w:style>
  <w:style w:type="paragraph" w:customStyle="1" w:styleId="238">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239">
    <w:name w:val="Char Char Char Char Char Char Char Char Char Char Char Char Char Char Char Char"/>
    <w:basedOn w:val="1"/>
    <w:autoRedefine/>
    <w:qFormat/>
    <w:uiPriority w:val="0"/>
    <w:pPr>
      <w:tabs>
        <w:tab w:val="left" w:pos="360"/>
      </w:tabs>
      <w:spacing w:line="360" w:lineRule="auto"/>
      <w:ind w:left="482" w:firstLine="200" w:firstLineChars="200"/>
    </w:pPr>
    <w:rPr>
      <w:rFonts w:ascii="宋体" w:hAnsi="Courier New"/>
      <w:szCs w:val="20"/>
    </w:rPr>
  </w:style>
  <w:style w:type="paragraph" w:customStyle="1" w:styleId="240">
    <w:name w:val="5 Char Char Char Char Char Char Char Char Char Char"/>
    <w:basedOn w:val="1"/>
    <w:autoRedefine/>
    <w:qFormat/>
    <w:uiPriority w:val="0"/>
  </w:style>
  <w:style w:type="paragraph" w:customStyle="1" w:styleId="241">
    <w:name w:val="列出段落21"/>
    <w:basedOn w:val="1"/>
    <w:autoRedefine/>
    <w:qFormat/>
    <w:uiPriority w:val="99"/>
    <w:pPr>
      <w:ind w:firstLine="420" w:firstLineChars="200"/>
    </w:pPr>
  </w:style>
  <w:style w:type="paragraph" w:customStyle="1" w:styleId="242">
    <w:name w:val="_Style 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xl24"/>
    <w:basedOn w:val="1"/>
    <w:autoRedefine/>
    <w:qFormat/>
    <w:uiPriority w:val="0"/>
    <w:pPr>
      <w:widowControl/>
      <w:spacing w:before="100" w:beforeAutospacing="1" w:after="100" w:afterAutospacing="1"/>
      <w:jc w:val="left"/>
    </w:pPr>
    <w:rPr>
      <w:rFonts w:ascii="宋体" w:hAnsi="宋体"/>
      <w:kern w:val="0"/>
      <w:sz w:val="22"/>
      <w:szCs w:val="22"/>
    </w:rPr>
  </w:style>
  <w:style w:type="paragraph" w:customStyle="1" w:styleId="244">
    <w:name w:val="p0"/>
    <w:basedOn w:val="1"/>
    <w:autoRedefine/>
    <w:qFormat/>
    <w:uiPriority w:val="99"/>
    <w:pPr>
      <w:widowControl/>
    </w:pPr>
    <w:rPr>
      <w:kern w:val="0"/>
      <w:szCs w:val="21"/>
    </w:rPr>
  </w:style>
  <w:style w:type="paragraph" w:customStyle="1" w:styleId="245">
    <w:name w:val="_Style 37"/>
    <w:basedOn w:val="1"/>
    <w:next w:val="1"/>
    <w:autoRedefine/>
    <w:qFormat/>
    <w:uiPriority w:val="99"/>
  </w:style>
  <w:style w:type="paragraph" w:customStyle="1" w:styleId="246">
    <w:name w:val="Char Char Char Char Char Char Char"/>
    <w:basedOn w:val="1"/>
    <w:autoRedefine/>
    <w:qFormat/>
    <w:uiPriority w:val="99"/>
    <w:pPr>
      <w:widowControl/>
      <w:spacing w:after="160" w:line="240" w:lineRule="exact"/>
      <w:jc w:val="left"/>
    </w:pPr>
  </w:style>
  <w:style w:type="paragraph" w:customStyle="1" w:styleId="247">
    <w:name w:val="中等深浅列表 2 - 强调文字颜色 22"/>
    <w:autoRedefine/>
    <w:qFormat/>
    <w:uiPriority w:val="0"/>
    <w:rPr>
      <w:rFonts w:ascii="Times New Roman" w:hAnsi="Times New Roman" w:eastAsia="宋体" w:cs="Times New Roman"/>
      <w:kern w:val="2"/>
      <w:sz w:val="21"/>
      <w:szCs w:val="24"/>
      <w:lang w:val="en-US" w:eastAsia="zh-CN" w:bidi="ar-SA"/>
    </w:rPr>
  </w:style>
  <w:style w:type="paragraph" w:customStyle="1" w:styleId="248">
    <w:name w:val="样式 Blockquote + 宋体 (西文)五号 段后: 0.04 厘米 段前: 1 磅 段后: 1 磅 行距: 多...1"/>
    <w:basedOn w:val="185"/>
    <w:autoRedefine/>
    <w:qFormat/>
    <w:uiPriority w:val="0"/>
    <w:pPr>
      <w:spacing w:before="20" w:after="20" w:line="300" w:lineRule="auto"/>
      <w:ind w:left="250" w:leftChars="104" w:right="23" w:firstLine="420" w:firstLineChars="200"/>
    </w:pPr>
    <w:rPr>
      <w:rFonts w:ascii="宋体" w:hAnsi="宋体" w:eastAsia="仿宋_GB2312"/>
      <w:sz w:val="21"/>
    </w:rPr>
  </w:style>
  <w:style w:type="paragraph" w:customStyle="1" w:styleId="249">
    <w:name w:val="3"/>
    <w:basedOn w:val="1"/>
    <w:next w:val="25"/>
    <w:autoRedefine/>
    <w:qFormat/>
    <w:uiPriority w:val="0"/>
    <w:rPr>
      <w:rFonts w:ascii="宋体" w:hAnsi="Courier New"/>
      <w:szCs w:val="20"/>
    </w:rPr>
  </w:style>
  <w:style w:type="paragraph" w:customStyle="1" w:styleId="250">
    <w:name w:val="Char Char Char Char"/>
    <w:basedOn w:val="1"/>
    <w:autoRedefine/>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51">
    <w:name w:val="中等深浅列表 2 - 强调文字颜色 21"/>
    <w:autoRedefine/>
    <w:qFormat/>
    <w:uiPriority w:val="0"/>
    <w:rPr>
      <w:rFonts w:ascii="Times New Roman" w:hAnsi="Times New Roman" w:eastAsia="宋体" w:cs="Times New Roman"/>
      <w:kern w:val="2"/>
      <w:sz w:val="21"/>
      <w:szCs w:val="24"/>
      <w:lang w:val="en-US" w:eastAsia="zh-CN" w:bidi="ar-SA"/>
    </w:rPr>
  </w:style>
  <w:style w:type="paragraph" w:customStyle="1" w:styleId="252">
    <w:name w:val="无间距"/>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Char Char Char Char1"/>
    <w:basedOn w:val="14"/>
    <w:autoRedefine/>
    <w:qFormat/>
    <w:uiPriority w:val="0"/>
    <w:pPr>
      <w:adjustRightInd w:val="0"/>
      <w:snapToGrid w:val="0"/>
      <w:spacing w:line="360" w:lineRule="auto"/>
    </w:pPr>
    <w:rPr>
      <w:rFonts w:ascii="Tahoma" w:hAnsi="Tahoma"/>
      <w:sz w:val="24"/>
      <w:szCs w:val="22"/>
      <w:shd w:val="clear" w:color="auto" w:fill="auto"/>
    </w:rPr>
  </w:style>
  <w:style w:type="paragraph" w:customStyle="1" w:styleId="254">
    <w:name w:val="中等深浅网格 1 - 强调文字颜色 21"/>
    <w:basedOn w:val="1"/>
    <w:autoRedefine/>
    <w:qFormat/>
    <w:uiPriority w:val="0"/>
    <w:pPr>
      <w:ind w:firstLine="420" w:firstLineChars="200"/>
    </w:pPr>
    <w:rPr>
      <w:rFonts w:ascii="Calibri" w:hAnsi="Calibri"/>
      <w:szCs w:val="22"/>
    </w:rPr>
  </w:style>
  <w:style w:type="paragraph" w:customStyle="1" w:styleId="255">
    <w:name w:val="Char3"/>
    <w:basedOn w:val="1"/>
    <w:autoRedefine/>
    <w:qFormat/>
    <w:uiPriority w:val="0"/>
    <w:pPr>
      <w:widowControl/>
      <w:spacing w:after="160" w:line="240" w:lineRule="exact"/>
      <w:jc w:val="left"/>
    </w:pPr>
    <w:rPr>
      <w:rFonts w:ascii="Calibri" w:hAnsi="Calibri"/>
      <w:szCs w:val="22"/>
    </w:rPr>
  </w:style>
  <w:style w:type="paragraph" w:customStyle="1" w:styleId="256">
    <w:name w:val="标题6"/>
    <w:basedOn w:val="1"/>
    <w:link w:val="257"/>
    <w:autoRedefine/>
    <w:qFormat/>
    <w:uiPriority w:val="0"/>
    <w:pPr>
      <w:keepNext/>
      <w:keepLines/>
      <w:spacing w:line="400" w:lineRule="exact"/>
      <w:jc w:val="center"/>
      <w:outlineLvl w:val="2"/>
    </w:pPr>
    <w:rPr>
      <w:rFonts w:ascii="宋体" w:hAnsi="宋体" w:eastAsia="黑体" w:cs="宋体"/>
      <w:sz w:val="32"/>
      <w:szCs w:val="32"/>
    </w:rPr>
  </w:style>
  <w:style w:type="character" w:customStyle="1" w:styleId="257">
    <w:name w:val="标题6 Char"/>
    <w:link w:val="256"/>
    <w:autoRedefine/>
    <w:qFormat/>
    <w:uiPriority w:val="0"/>
    <w:rPr>
      <w:rFonts w:ascii="宋体" w:hAnsi="宋体" w:eastAsia="黑体" w:cs="宋体"/>
      <w:kern w:val="2"/>
      <w:sz w:val="32"/>
      <w:szCs w:val="32"/>
    </w:rPr>
  </w:style>
  <w:style w:type="character" w:customStyle="1" w:styleId="258">
    <w:name w:val="日期 Char2"/>
    <w:autoRedefine/>
    <w:semiHidden/>
    <w:qFormat/>
    <w:uiPriority w:val="99"/>
    <w:rPr>
      <w:kern w:val="2"/>
      <w:sz w:val="21"/>
      <w:szCs w:val="24"/>
    </w:rPr>
  </w:style>
  <w:style w:type="character" w:customStyle="1" w:styleId="259">
    <w:name w:val="页脚 Char1"/>
    <w:autoRedefine/>
    <w:semiHidden/>
    <w:qFormat/>
    <w:uiPriority w:val="99"/>
    <w:rPr>
      <w:kern w:val="2"/>
      <w:sz w:val="18"/>
      <w:szCs w:val="18"/>
    </w:rPr>
  </w:style>
  <w:style w:type="paragraph" w:customStyle="1" w:styleId="260">
    <w:name w:val="无间隔1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61">
    <w:name w:val="明显引用1"/>
    <w:basedOn w:val="1"/>
    <w:next w:val="1"/>
    <w:autoRedefine/>
    <w:qFormat/>
    <w:uiPriority w:val="99"/>
    <w:pPr>
      <w:pBdr>
        <w:bottom w:val="single" w:color="4F81BD" w:sz="4" w:space="4"/>
      </w:pBdr>
      <w:spacing w:before="200" w:after="280"/>
      <w:ind w:left="936" w:right="936"/>
    </w:pPr>
    <w:rPr>
      <w:b/>
      <w:bCs/>
      <w:i/>
      <w:iCs/>
      <w:color w:val="4F81BD"/>
      <w:kern w:val="0"/>
      <w:sz w:val="20"/>
      <w:szCs w:val="20"/>
    </w:rPr>
  </w:style>
  <w:style w:type="paragraph" w:customStyle="1" w:styleId="262">
    <w:name w:val="引用1"/>
    <w:basedOn w:val="1"/>
    <w:next w:val="1"/>
    <w:autoRedefine/>
    <w:qFormat/>
    <w:uiPriority w:val="99"/>
    <w:rPr>
      <w:i/>
      <w:iCs/>
      <w:color w:val="000000"/>
      <w:kern w:val="0"/>
      <w:sz w:val="20"/>
      <w:szCs w:val="20"/>
    </w:rPr>
  </w:style>
  <w:style w:type="paragraph" w:customStyle="1" w:styleId="263">
    <w:name w:val="正文1"/>
    <w:autoRedefine/>
    <w:qFormat/>
    <w:uiPriority w:val="0"/>
    <w:pPr>
      <w:spacing w:line="384" w:lineRule="auto"/>
    </w:pPr>
    <w:rPr>
      <w:rFonts w:ascii="宋体" w:hAnsi="宋体" w:eastAsia="宋体" w:cs="Times New Roman"/>
      <w:sz w:val="24"/>
      <w:szCs w:val="24"/>
      <w:lang w:val="en-US" w:eastAsia="zh-CN" w:bidi="ar-SA"/>
    </w:rPr>
  </w:style>
  <w:style w:type="paragraph" w:customStyle="1" w:styleId="264">
    <w:name w:val="MsoNormal"/>
    <w:basedOn w:val="263"/>
    <w:autoRedefine/>
    <w:qFormat/>
    <w:uiPriority w:val="0"/>
    <w:rPr>
      <w:rFonts w:ascii="Calibri" w:hAnsi="Calibri" w:eastAsia="Calibri"/>
      <w:sz w:val="21"/>
    </w:rPr>
  </w:style>
  <w:style w:type="paragraph" w:customStyle="1" w:styleId="265">
    <w:name w:val="标题 2_0"/>
    <w:basedOn w:val="204"/>
    <w:next w:val="204"/>
    <w:link w:val="266"/>
    <w:autoRedefine/>
    <w:unhideWhenUsed/>
    <w:qFormat/>
    <w:uiPriority w:val="9"/>
    <w:pPr>
      <w:keepNext/>
      <w:keepLines/>
      <w:spacing w:before="260" w:after="260" w:line="416" w:lineRule="auto"/>
      <w:outlineLvl w:val="1"/>
    </w:pPr>
    <w:rPr>
      <w:rFonts w:ascii="Cambria" w:hAnsi="Cambria"/>
      <w:b/>
      <w:bCs/>
      <w:sz w:val="32"/>
      <w:szCs w:val="32"/>
    </w:rPr>
  </w:style>
  <w:style w:type="character" w:customStyle="1" w:styleId="266">
    <w:name w:val="标题 2 Char_0"/>
    <w:link w:val="265"/>
    <w:autoRedefine/>
    <w:qFormat/>
    <w:uiPriority w:val="9"/>
    <w:rPr>
      <w:rFonts w:ascii="Cambria" w:hAnsi="Cambria"/>
      <w:b/>
      <w:bCs/>
      <w:kern w:val="2"/>
      <w:sz w:val="32"/>
      <w:szCs w:val="32"/>
    </w:rPr>
  </w:style>
  <w:style w:type="paragraph" w:customStyle="1" w:styleId="267">
    <w:name w:val="标题 1_0"/>
    <w:basedOn w:val="202"/>
    <w:next w:val="202"/>
    <w:link w:val="268"/>
    <w:autoRedefine/>
    <w:qFormat/>
    <w:uiPriority w:val="0"/>
    <w:pPr>
      <w:keepNext/>
      <w:keepLines/>
      <w:spacing w:line="360" w:lineRule="auto"/>
      <w:outlineLvl w:val="0"/>
    </w:pPr>
    <w:rPr>
      <w:rFonts w:eastAsia="黑体"/>
      <w:b/>
      <w:bCs/>
      <w:kern w:val="44"/>
      <w:sz w:val="32"/>
      <w:szCs w:val="44"/>
    </w:rPr>
  </w:style>
  <w:style w:type="character" w:customStyle="1" w:styleId="268">
    <w:name w:val="Char Char221"/>
    <w:link w:val="267"/>
    <w:autoRedefine/>
    <w:qFormat/>
    <w:uiPriority w:val="0"/>
    <w:rPr>
      <w:rFonts w:eastAsia="黑体"/>
      <w:b/>
      <w:bCs/>
      <w:kern w:val="44"/>
      <w:sz w:val="32"/>
      <w:szCs w:val="44"/>
    </w:rPr>
  </w:style>
  <w:style w:type="paragraph" w:customStyle="1" w:styleId="269">
    <w:name w:val="标题 2_1"/>
    <w:basedOn w:val="202"/>
    <w:next w:val="202"/>
    <w:link w:val="270"/>
    <w:autoRedefine/>
    <w:qFormat/>
    <w:uiPriority w:val="0"/>
    <w:pPr>
      <w:keepNext/>
      <w:keepLines/>
      <w:spacing w:before="260" w:after="260" w:line="416" w:lineRule="auto"/>
      <w:outlineLvl w:val="1"/>
    </w:pPr>
    <w:rPr>
      <w:rFonts w:ascii="Cambria" w:hAnsi="Cambria"/>
      <w:b/>
      <w:bCs/>
      <w:sz w:val="32"/>
      <w:szCs w:val="32"/>
    </w:rPr>
  </w:style>
  <w:style w:type="character" w:customStyle="1" w:styleId="270">
    <w:name w:val="Char Char211"/>
    <w:link w:val="269"/>
    <w:autoRedefine/>
    <w:qFormat/>
    <w:uiPriority w:val="0"/>
    <w:rPr>
      <w:rFonts w:ascii="Cambria" w:hAnsi="Cambria"/>
      <w:b/>
      <w:bCs/>
      <w:kern w:val="2"/>
      <w:sz w:val="32"/>
      <w:szCs w:val="32"/>
    </w:rPr>
  </w:style>
  <w:style w:type="paragraph" w:customStyle="1" w:styleId="271">
    <w:name w:val="标题 3_0"/>
    <w:basedOn w:val="202"/>
    <w:next w:val="204"/>
    <w:link w:val="272"/>
    <w:autoRedefine/>
    <w:qFormat/>
    <w:uiPriority w:val="0"/>
    <w:pPr>
      <w:keepNext/>
      <w:keepLines/>
      <w:spacing w:before="260" w:after="260" w:line="416" w:lineRule="auto"/>
      <w:outlineLvl w:val="2"/>
    </w:pPr>
    <w:rPr>
      <w:rFonts w:ascii="Calibri" w:hAnsi="Calibri"/>
      <w:b/>
      <w:bCs/>
      <w:sz w:val="32"/>
      <w:szCs w:val="32"/>
    </w:rPr>
  </w:style>
  <w:style w:type="character" w:customStyle="1" w:styleId="272">
    <w:name w:val="Char Char201"/>
    <w:link w:val="271"/>
    <w:autoRedefine/>
    <w:qFormat/>
    <w:uiPriority w:val="0"/>
    <w:rPr>
      <w:rFonts w:ascii="Calibri" w:hAnsi="Calibri"/>
      <w:b/>
      <w:bCs/>
      <w:kern w:val="2"/>
      <w:sz w:val="32"/>
      <w:szCs w:val="32"/>
    </w:rPr>
  </w:style>
  <w:style w:type="paragraph" w:customStyle="1" w:styleId="273">
    <w:name w:val="纯文本_0"/>
    <w:basedOn w:val="202"/>
    <w:link w:val="274"/>
    <w:qFormat/>
    <w:uiPriority w:val="0"/>
    <w:rPr>
      <w:rFonts w:ascii="宋体" w:hAnsi="Courier New"/>
      <w:szCs w:val="24"/>
    </w:rPr>
  </w:style>
  <w:style w:type="character" w:customStyle="1" w:styleId="274">
    <w:name w:val="Char Char10"/>
    <w:link w:val="273"/>
    <w:autoRedefine/>
    <w:qFormat/>
    <w:uiPriority w:val="0"/>
    <w:rPr>
      <w:rFonts w:ascii="宋体" w:hAnsi="Courier New"/>
      <w:kern w:val="2"/>
      <w:sz w:val="21"/>
      <w:szCs w:val="24"/>
    </w:rPr>
  </w:style>
  <w:style w:type="paragraph" w:customStyle="1" w:styleId="275">
    <w:name w:val="正文文本_0"/>
    <w:basedOn w:val="202"/>
    <w:link w:val="276"/>
    <w:autoRedefine/>
    <w:qFormat/>
    <w:uiPriority w:val="0"/>
    <w:pPr>
      <w:adjustRightInd w:val="0"/>
      <w:spacing w:after="60" w:line="360" w:lineRule="atLeast"/>
      <w:ind w:left="72" w:leftChars="30" w:right="30" w:rightChars="30"/>
      <w:jc w:val="center"/>
      <w:textAlignment w:val="baseline"/>
    </w:pPr>
    <w:rPr>
      <w:rFonts w:ascii="Calibri" w:hAnsi="Calibri"/>
    </w:rPr>
  </w:style>
  <w:style w:type="character" w:customStyle="1" w:styleId="276">
    <w:name w:val="Char Char4"/>
    <w:link w:val="275"/>
    <w:autoRedefine/>
    <w:qFormat/>
    <w:uiPriority w:val="0"/>
    <w:rPr>
      <w:rFonts w:ascii="Calibri" w:hAnsi="Calibri"/>
      <w:kern w:val="2"/>
      <w:sz w:val="21"/>
      <w:szCs w:val="22"/>
    </w:rPr>
  </w:style>
  <w:style w:type="paragraph" w:customStyle="1" w:styleId="277">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修订2"/>
    <w:autoRedefine/>
    <w:semiHidden/>
    <w:qFormat/>
    <w:uiPriority w:val="99"/>
    <w:rPr>
      <w:rFonts w:ascii="Times New Roman" w:hAnsi="Times New Roman" w:eastAsia="宋体" w:cs="Times New Roman"/>
      <w:kern w:val="2"/>
      <w:sz w:val="21"/>
      <w:szCs w:val="21"/>
      <w:lang w:val="en-US" w:eastAsia="zh-CN" w:bidi="ar-SA"/>
    </w:rPr>
  </w:style>
  <w:style w:type="character" w:customStyle="1" w:styleId="279">
    <w:name w:val="fontstyle01"/>
    <w:autoRedefine/>
    <w:qFormat/>
    <w:uiPriority w:val="0"/>
    <w:rPr>
      <w:rFonts w:hint="eastAsia" w:ascii="宋体" w:hAnsi="宋体" w:eastAsia="宋体"/>
      <w:color w:val="000000"/>
      <w:sz w:val="22"/>
      <w:szCs w:val="22"/>
    </w:rPr>
  </w:style>
  <w:style w:type="character" w:customStyle="1" w:styleId="280">
    <w:name w:val="fontstyle21"/>
    <w:autoRedefine/>
    <w:qFormat/>
    <w:uiPriority w:val="0"/>
    <w:rPr>
      <w:rFonts w:hint="default" w:ascii="Times New Roman" w:hAnsi="Times New Roman" w:cs="Times New Roman"/>
      <w:b/>
      <w:bCs/>
      <w:color w:val="000000"/>
      <w:sz w:val="22"/>
      <w:szCs w:val="22"/>
    </w:rPr>
  </w:style>
  <w:style w:type="character" w:customStyle="1" w:styleId="281">
    <w:name w:val="fontstyle31"/>
    <w:autoRedefine/>
    <w:qFormat/>
    <w:uiPriority w:val="0"/>
    <w:rPr>
      <w:rFonts w:hint="eastAsia" w:ascii="黑体" w:hAnsi="黑体" w:eastAsia="黑体"/>
      <w:color w:val="000000"/>
      <w:sz w:val="28"/>
      <w:szCs w:val="28"/>
    </w:rPr>
  </w:style>
  <w:style w:type="character" w:customStyle="1" w:styleId="282">
    <w:name w:val="fontstyle41"/>
    <w:autoRedefine/>
    <w:qFormat/>
    <w:uiPriority w:val="0"/>
    <w:rPr>
      <w:rFonts w:hint="default" w:ascii="Times New Roman" w:hAnsi="Times New Roman" w:cs="Times New Roman"/>
      <w:color w:val="000000"/>
      <w:sz w:val="18"/>
      <w:szCs w:val="18"/>
    </w:rPr>
  </w:style>
  <w:style w:type="character" w:customStyle="1" w:styleId="283">
    <w:name w:val="fontstyle51"/>
    <w:autoRedefine/>
    <w:qFormat/>
    <w:uiPriority w:val="0"/>
    <w:rPr>
      <w:rFonts w:hint="eastAsia" w:ascii="楷体" w:hAnsi="楷体" w:eastAsia="楷体"/>
      <w:color w:val="000000"/>
      <w:sz w:val="22"/>
      <w:szCs w:val="22"/>
    </w:rPr>
  </w:style>
  <w:style w:type="paragraph" w:customStyle="1" w:styleId="284">
    <w:name w:val="正文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5">
    <w:name w:val="Normal_1"/>
    <w:autoRedefine/>
    <w:qFormat/>
    <w:uiPriority w:val="0"/>
    <w:rPr>
      <w:rFonts w:ascii="Times New Roman" w:hAnsi="Times New Roman" w:eastAsia="Times New Roman" w:cs="Times New Roman"/>
      <w:sz w:val="24"/>
      <w:szCs w:val="24"/>
      <w:lang w:val="en-US" w:eastAsia="zh-CN" w:bidi="ar-SA"/>
    </w:rPr>
  </w:style>
  <w:style w:type="character" w:customStyle="1" w:styleId="286">
    <w:name w:val="Unresolved Mention"/>
    <w:basedOn w:val="50"/>
    <w:autoRedefine/>
    <w:semiHidden/>
    <w:unhideWhenUsed/>
    <w:qFormat/>
    <w:uiPriority w:val="99"/>
    <w:rPr>
      <w:color w:val="605E5C"/>
      <w:shd w:val="clear" w:color="auto" w:fill="E1DFDD"/>
    </w:rPr>
  </w:style>
  <w:style w:type="paragraph" w:customStyle="1" w:styleId="287">
    <w:name w:val="WPSOffice手动目录 1"/>
    <w:autoRedefine/>
    <w:qFormat/>
    <w:uiPriority w:val="0"/>
    <w:rPr>
      <w:rFonts w:ascii="Times New Roman" w:hAnsi="Times New Roman" w:eastAsia="宋体" w:cs="Times New Roman"/>
      <w:lang w:val="en-US" w:eastAsia="zh-CN" w:bidi="ar-SA"/>
    </w:rPr>
  </w:style>
  <w:style w:type="character" w:customStyle="1" w:styleId="288">
    <w:name w:val="m4t1y5g5jrm"/>
    <w:basedOn w:val="50"/>
    <w:autoRedefine/>
    <w:qFormat/>
    <w:uiPriority w:val="0"/>
  </w:style>
  <w:style w:type="character" w:customStyle="1" w:styleId="289">
    <w:name w:val="dcsm1xrqe"/>
    <w:basedOn w:val="50"/>
    <w:autoRedefine/>
    <w:qFormat/>
    <w:uiPriority w:val="0"/>
  </w:style>
  <w:style w:type="character" w:customStyle="1" w:styleId="290">
    <w:name w:val="t3f582ibwq"/>
    <w:basedOn w:val="5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8A663-FEB7-4845-B5B9-BD2EC32302E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86</Pages>
  <Words>47581</Words>
  <Characters>49870</Characters>
  <Lines>403</Lines>
  <Paragraphs>113</Paragraphs>
  <TotalTime>78</TotalTime>
  <ScaleCrop>false</ScaleCrop>
  <LinksUpToDate>false</LinksUpToDate>
  <CharactersWithSpaces>53270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2024-04-03T08:26:00Z</dcterms:created>
  <dc:creator>Mrs.</dc:creator>
  <cp:lastModifiedBy>dell</cp:lastModifiedBy>
  <cp:lastPrinted>2022-10-17T01:10:00Z</cp:lastPrinted>
  <dcterms:modified xsi:type="dcterms:W3CDTF">2024-06-22T02:41:27Z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EBB0FD6565A44C8FA52FDB82374A381E_13</vt:lpwstr>
  </property>
</Properties>
</file>