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8A4C19">
      <w:pPr>
        <w:spacing w:beforeLines="50" w:line="360" w:lineRule="auto"/>
        <w:jc w:val="center"/>
        <w:rPr>
          <w:rFonts w:ascii="宋体" w:hAnsi="宋体" w:cs="宋体"/>
          <w:sz w:val="52"/>
          <w:szCs w:val="52"/>
          <w:highlight w:val="none"/>
        </w:rPr>
      </w:pPr>
    </w:p>
    <w:p w14:paraId="0FA77EC5">
      <w:pPr>
        <w:spacing w:beforeLines="50" w:line="360" w:lineRule="auto"/>
        <w:jc w:val="center"/>
        <w:rPr>
          <w:rFonts w:hint="eastAsia" w:ascii="宋体" w:hAnsi="宋体" w:cs="宋体"/>
          <w:sz w:val="52"/>
          <w:szCs w:val="52"/>
          <w:highlight w:val="none"/>
          <w:lang w:eastAsia="zh-CN"/>
        </w:rPr>
      </w:pPr>
      <w:r>
        <w:rPr>
          <w:rFonts w:ascii="宋体" w:hAnsi="宋体"/>
          <w:b/>
          <w:color w:val="auto"/>
          <w:sz w:val="84"/>
          <w:szCs w:val="84"/>
        </w:rPr>
        <w:drawing>
          <wp:inline distT="0" distB="0" distL="114300" distR="114300">
            <wp:extent cx="2811145" cy="1315085"/>
            <wp:effectExtent l="0" t="0" r="825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811145" cy="1315085"/>
                    </a:xfrm>
                    <a:prstGeom prst="rect">
                      <a:avLst/>
                    </a:prstGeom>
                    <a:noFill/>
                    <a:ln>
                      <a:noFill/>
                    </a:ln>
                  </pic:spPr>
                </pic:pic>
              </a:graphicData>
            </a:graphic>
          </wp:inline>
        </w:drawing>
      </w:r>
    </w:p>
    <w:p w14:paraId="23414432">
      <w:pPr>
        <w:spacing w:beforeLines="50" w:line="360" w:lineRule="auto"/>
        <w:jc w:val="center"/>
        <w:rPr>
          <w:rFonts w:hint="eastAsia" w:ascii="宋体" w:hAnsi="宋体" w:eastAsia="宋体" w:cs="宋体"/>
          <w:b/>
          <w:bCs/>
          <w:sz w:val="52"/>
          <w:szCs w:val="52"/>
          <w:highlight w:val="none"/>
          <w:lang w:eastAsia="zh-CN"/>
        </w:rPr>
      </w:pPr>
      <w:r>
        <w:rPr>
          <w:rFonts w:hint="eastAsia" w:ascii="宋体" w:hAnsi="宋体" w:cs="宋体"/>
          <w:b/>
          <w:bCs/>
          <w:sz w:val="52"/>
          <w:szCs w:val="52"/>
          <w:highlight w:val="none"/>
          <w:lang w:eastAsia="zh-CN"/>
        </w:rPr>
        <w:t>广西众联工程项目管理有限公司</w:t>
      </w:r>
    </w:p>
    <w:p w14:paraId="4B96B4F7">
      <w:pPr>
        <w:snapToGrid w:val="0"/>
        <w:spacing w:beforeLines="50" w:line="360" w:lineRule="auto"/>
        <w:jc w:val="center"/>
        <w:rPr>
          <w:rFonts w:ascii="宋体" w:hAnsi="宋体" w:cs="宋体"/>
          <w:b/>
          <w:bCs/>
          <w:sz w:val="72"/>
          <w:szCs w:val="72"/>
          <w:highlight w:val="none"/>
        </w:rPr>
      </w:pPr>
      <w:r>
        <w:rPr>
          <w:rFonts w:hint="eastAsia" w:ascii="宋体" w:hAnsi="宋体" w:cs="宋体"/>
          <w:b/>
          <w:bCs/>
          <w:sz w:val="72"/>
          <w:szCs w:val="72"/>
          <w:highlight w:val="none"/>
        </w:rPr>
        <w:t>招 标 文 件</w:t>
      </w:r>
    </w:p>
    <w:p w14:paraId="5A01A753">
      <w:pPr>
        <w:snapToGrid w:val="0"/>
        <w:spacing w:beforeLines="50" w:line="360" w:lineRule="auto"/>
        <w:jc w:val="center"/>
        <w:rPr>
          <w:rFonts w:ascii="宋体" w:hAnsi="宋体" w:cs="宋体"/>
          <w:sz w:val="30"/>
          <w:szCs w:val="72"/>
          <w:highlight w:val="none"/>
        </w:rPr>
      </w:pPr>
      <w:r>
        <w:rPr>
          <w:rFonts w:hint="eastAsia" w:ascii="宋体" w:hAnsi="宋体" w:cs="宋体"/>
          <w:sz w:val="30"/>
          <w:szCs w:val="72"/>
          <w:highlight w:val="none"/>
        </w:rPr>
        <w:t>（全流程电子化评标）</w:t>
      </w:r>
    </w:p>
    <w:p w14:paraId="69FBD8D0">
      <w:pPr>
        <w:snapToGrid w:val="0"/>
        <w:spacing w:beforeLines="50" w:line="360" w:lineRule="auto"/>
        <w:jc w:val="center"/>
        <w:rPr>
          <w:rFonts w:ascii="宋体" w:hAnsi="宋体" w:cs="宋体"/>
          <w:sz w:val="30"/>
          <w:szCs w:val="72"/>
          <w:highlight w:val="none"/>
        </w:rPr>
      </w:pPr>
    </w:p>
    <w:p w14:paraId="72140292">
      <w:pPr>
        <w:snapToGrid w:val="0"/>
        <w:spacing w:beforeLines="50" w:line="360" w:lineRule="auto"/>
        <w:ind w:firstLine="904" w:firstLineChars="300"/>
        <w:jc w:val="both"/>
        <w:rPr>
          <w:rFonts w:hint="eastAsia" w:hAnsi="宋体" w:cs="宋体"/>
          <w:b/>
          <w:bCs/>
          <w:sz w:val="30"/>
          <w:szCs w:val="30"/>
          <w:highlight w:val="none"/>
        </w:rPr>
      </w:pPr>
      <w:r>
        <w:rPr>
          <w:rFonts w:hint="eastAsia" w:hAnsi="宋体" w:cs="宋体"/>
          <w:b/>
          <w:bCs/>
          <w:sz w:val="30"/>
          <w:szCs w:val="30"/>
          <w:highlight w:val="none"/>
        </w:rPr>
        <w:t>项目名称：广西农业良种海南南繁育种基地提档升级项目</w:t>
      </w:r>
    </w:p>
    <w:p w14:paraId="13E7BA9D">
      <w:pPr>
        <w:snapToGrid w:val="0"/>
        <w:spacing w:beforeLines="50" w:line="360" w:lineRule="auto"/>
        <w:ind w:firstLine="2409" w:firstLineChars="800"/>
        <w:jc w:val="both"/>
        <w:rPr>
          <w:rFonts w:hint="eastAsia" w:hAnsi="宋体" w:cs="宋体"/>
          <w:b/>
          <w:bCs/>
          <w:sz w:val="30"/>
          <w:szCs w:val="30"/>
          <w:highlight w:val="none"/>
        </w:rPr>
      </w:pPr>
      <w:r>
        <w:rPr>
          <w:rFonts w:hint="eastAsia" w:hAnsi="宋体" w:cs="宋体"/>
          <w:b/>
          <w:bCs/>
          <w:sz w:val="30"/>
          <w:szCs w:val="30"/>
          <w:highlight w:val="none"/>
        </w:rPr>
        <w:t>设备采购项目</w:t>
      </w:r>
    </w:p>
    <w:p w14:paraId="23651956">
      <w:pPr>
        <w:snapToGrid w:val="0"/>
        <w:spacing w:beforeLines="50" w:line="360" w:lineRule="auto"/>
        <w:ind w:firstLine="904" w:firstLineChars="300"/>
        <w:jc w:val="both"/>
        <w:rPr>
          <w:rFonts w:hint="eastAsia" w:ascii="宋体" w:hAnsi="宋体" w:eastAsia="宋体" w:cs="宋体"/>
          <w:b/>
          <w:sz w:val="30"/>
          <w:szCs w:val="48"/>
          <w:highlight w:val="none"/>
          <w:lang w:val="en-US" w:eastAsia="zh-CN"/>
        </w:rPr>
      </w:pPr>
      <w:r>
        <w:rPr>
          <w:rFonts w:hint="eastAsia" w:ascii="宋体" w:hAnsi="宋体" w:cs="宋体"/>
          <w:b/>
          <w:bCs/>
          <w:sz w:val="30"/>
          <w:szCs w:val="30"/>
          <w:highlight w:val="none"/>
        </w:rPr>
        <w:t>项目编号：</w:t>
      </w:r>
      <w:bookmarkStart w:id="0" w:name="OLE_LINK146"/>
      <w:r>
        <w:rPr>
          <w:rFonts w:hint="eastAsia" w:ascii="宋体" w:hAnsi="宋体" w:cs="宋体"/>
          <w:b/>
          <w:bCs/>
          <w:sz w:val="30"/>
          <w:szCs w:val="30"/>
          <w:highlight w:val="none"/>
        </w:rPr>
        <w:t>GXZC2024-G1-006267-GXZL</w:t>
      </w:r>
    </w:p>
    <w:bookmarkEnd w:id="0"/>
    <w:p w14:paraId="40638BC1">
      <w:pPr>
        <w:pStyle w:val="14"/>
        <w:snapToGrid w:val="0"/>
        <w:spacing w:before="50" w:after="120" w:line="360" w:lineRule="auto"/>
        <w:jc w:val="center"/>
        <w:rPr>
          <w:rFonts w:hAnsi="宋体" w:cs="宋体"/>
          <w:b/>
          <w:bCs/>
          <w:w w:val="95"/>
          <w:sz w:val="30"/>
          <w:szCs w:val="30"/>
          <w:highlight w:val="none"/>
        </w:rPr>
      </w:pPr>
    </w:p>
    <w:p w14:paraId="72A6B595">
      <w:pPr>
        <w:pStyle w:val="14"/>
        <w:snapToGrid w:val="0"/>
        <w:spacing w:before="50" w:after="120" w:line="360" w:lineRule="auto"/>
        <w:jc w:val="center"/>
        <w:rPr>
          <w:rFonts w:hAnsi="宋体" w:cs="宋体"/>
          <w:b/>
          <w:bCs/>
          <w:w w:val="95"/>
          <w:sz w:val="30"/>
          <w:szCs w:val="30"/>
          <w:highlight w:val="none"/>
        </w:rPr>
      </w:pPr>
    </w:p>
    <w:p w14:paraId="5893AFD5">
      <w:pPr>
        <w:pStyle w:val="14"/>
        <w:snapToGrid w:val="0"/>
        <w:spacing w:before="50" w:after="120" w:line="360" w:lineRule="auto"/>
        <w:jc w:val="center"/>
        <w:rPr>
          <w:rFonts w:hint="eastAsia" w:hAnsi="宋体" w:eastAsia="宋体" w:cs="宋体"/>
          <w:b/>
          <w:bCs/>
          <w:sz w:val="30"/>
          <w:szCs w:val="30"/>
          <w:highlight w:val="none"/>
          <w:lang w:eastAsia="zh-CN"/>
        </w:rPr>
      </w:pPr>
      <w:r>
        <w:rPr>
          <w:rFonts w:hint="eastAsia" w:hAnsi="宋体" w:cs="宋体"/>
          <w:b/>
          <w:bCs/>
          <w:sz w:val="30"/>
          <w:szCs w:val="30"/>
          <w:highlight w:val="none"/>
          <w:lang w:val="en-US" w:eastAsia="zh-CN"/>
        </w:rPr>
        <w:t xml:space="preserve"> </w:t>
      </w:r>
      <w:r>
        <w:rPr>
          <w:rFonts w:hint="eastAsia" w:hAnsi="宋体" w:cs="宋体"/>
          <w:b/>
          <w:bCs/>
          <w:sz w:val="30"/>
          <w:szCs w:val="30"/>
          <w:highlight w:val="none"/>
        </w:rPr>
        <w:t>采购人：</w:t>
      </w:r>
      <w:r>
        <w:rPr>
          <w:rFonts w:hint="eastAsia" w:hAnsi="宋体" w:cs="宋体"/>
          <w:b/>
          <w:bCs/>
          <w:sz w:val="30"/>
          <w:szCs w:val="30"/>
          <w:highlight w:val="none"/>
          <w:lang w:eastAsia="zh-CN"/>
        </w:rPr>
        <w:t>广西壮族自治区农业科学院</w:t>
      </w:r>
    </w:p>
    <w:p w14:paraId="0F6C16CE">
      <w:pPr>
        <w:pStyle w:val="14"/>
        <w:snapToGrid w:val="0"/>
        <w:spacing w:before="50" w:after="120" w:line="360" w:lineRule="auto"/>
        <w:jc w:val="center"/>
        <w:rPr>
          <w:rFonts w:hint="eastAsia" w:hAnsi="宋体" w:eastAsia="宋体" w:cs="宋体"/>
          <w:b/>
          <w:bCs/>
          <w:sz w:val="30"/>
          <w:szCs w:val="30"/>
          <w:highlight w:val="none"/>
          <w:lang w:eastAsia="zh-CN"/>
        </w:rPr>
      </w:pPr>
      <w:r>
        <w:rPr>
          <w:rFonts w:hint="eastAsia" w:hAnsi="宋体" w:cs="宋体"/>
          <w:b/>
          <w:bCs/>
          <w:sz w:val="30"/>
          <w:szCs w:val="30"/>
          <w:highlight w:val="none"/>
        </w:rPr>
        <w:t>采购代理机构：</w:t>
      </w:r>
      <w:r>
        <w:rPr>
          <w:rFonts w:hint="eastAsia" w:hAnsi="宋体" w:cs="宋体"/>
          <w:b/>
          <w:bCs/>
          <w:sz w:val="30"/>
          <w:szCs w:val="30"/>
          <w:highlight w:val="none"/>
          <w:lang w:eastAsia="zh-CN"/>
        </w:rPr>
        <w:t>广西众联工程项目管理有限公司</w:t>
      </w:r>
    </w:p>
    <w:p w14:paraId="21EDB8BE">
      <w:pPr>
        <w:pStyle w:val="14"/>
        <w:snapToGrid w:val="0"/>
        <w:spacing w:before="50" w:after="120" w:line="360" w:lineRule="auto"/>
        <w:rPr>
          <w:rFonts w:hAnsi="宋体" w:cs="宋体"/>
          <w:b/>
          <w:bCs/>
          <w:w w:val="95"/>
          <w:sz w:val="30"/>
          <w:szCs w:val="30"/>
          <w:highlight w:val="none"/>
        </w:rPr>
      </w:pPr>
      <w:r>
        <w:rPr>
          <w:rFonts w:hint="eastAsia" w:hAnsi="宋体" w:cs="宋体"/>
          <w:b/>
          <w:bCs/>
          <w:w w:val="95"/>
          <w:sz w:val="30"/>
          <w:szCs w:val="30"/>
          <w:highlight w:val="none"/>
        </w:rPr>
        <w:t xml:space="preserve">                     </w:t>
      </w:r>
    </w:p>
    <w:p w14:paraId="0A44672A">
      <w:pPr>
        <w:pStyle w:val="14"/>
        <w:snapToGrid w:val="0"/>
        <w:spacing w:before="50" w:after="120" w:line="360" w:lineRule="auto"/>
        <w:jc w:val="center"/>
        <w:rPr>
          <w:rFonts w:hAnsi="宋体" w:cs="宋体"/>
          <w:b/>
          <w:bCs/>
          <w:w w:val="95"/>
          <w:sz w:val="30"/>
          <w:szCs w:val="30"/>
          <w:highlight w:val="none"/>
        </w:rPr>
      </w:pPr>
      <w:r>
        <w:rPr>
          <w:rFonts w:hint="eastAsia" w:hAnsi="宋体" w:cs="宋体"/>
          <w:b/>
          <w:bCs/>
          <w:w w:val="95"/>
          <w:sz w:val="30"/>
          <w:szCs w:val="30"/>
          <w:highlight w:val="none"/>
        </w:rPr>
        <w:t>2024年</w:t>
      </w:r>
      <w:r>
        <w:rPr>
          <w:rFonts w:hint="eastAsia" w:hAnsi="宋体" w:cs="宋体"/>
          <w:b/>
          <w:bCs/>
          <w:w w:val="95"/>
          <w:sz w:val="30"/>
          <w:szCs w:val="30"/>
          <w:highlight w:val="none"/>
          <w:lang w:val="en-US" w:eastAsia="zh-CN"/>
        </w:rPr>
        <w:t>12</w:t>
      </w:r>
      <w:r>
        <w:rPr>
          <w:rFonts w:hint="eastAsia" w:hAnsi="宋体" w:cs="宋体"/>
          <w:b/>
          <w:bCs/>
          <w:w w:val="95"/>
          <w:sz w:val="30"/>
          <w:szCs w:val="30"/>
          <w:highlight w:val="none"/>
        </w:rPr>
        <w:t>月</w:t>
      </w:r>
      <w:r>
        <w:rPr>
          <w:rFonts w:hint="eastAsia" w:hAnsi="宋体" w:cs="宋体"/>
          <w:b/>
          <w:bCs/>
          <w:w w:val="95"/>
          <w:sz w:val="30"/>
          <w:szCs w:val="30"/>
          <w:highlight w:val="none"/>
          <w:lang w:val="en-US" w:eastAsia="zh-CN"/>
        </w:rPr>
        <w:t>6</w:t>
      </w:r>
      <w:r>
        <w:rPr>
          <w:rFonts w:hint="eastAsia" w:hAnsi="宋体" w:cs="宋体"/>
          <w:b/>
          <w:bCs/>
          <w:w w:val="95"/>
          <w:sz w:val="30"/>
          <w:szCs w:val="30"/>
          <w:highlight w:val="none"/>
        </w:rPr>
        <w:t>日</w:t>
      </w:r>
    </w:p>
    <w:p w14:paraId="21A6A959">
      <w:pPr>
        <w:pStyle w:val="14"/>
        <w:ind w:firstLine="723"/>
        <w:jc w:val="center"/>
        <w:rPr>
          <w:rFonts w:hAnsi="宋体" w:cs="宋体"/>
          <w:b/>
          <w:sz w:val="48"/>
          <w:szCs w:val="48"/>
          <w:highlight w:val="none"/>
        </w:rPr>
        <w:sectPr>
          <w:footerReference r:id="rId4" w:type="first"/>
          <w:footerReference r:id="rId3" w:type="default"/>
          <w:pgSz w:w="11905" w:h="16838"/>
          <w:pgMar w:top="1134" w:right="1134" w:bottom="1134" w:left="1134" w:header="850" w:footer="850" w:gutter="0"/>
          <w:pgNumType w:start="1"/>
          <w:cols w:space="720" w:num="1"/>
          <w:docGrid w:linePitch="331" w:charSpace="0"/>
        </w:sectPr>
      </w:pPr>
    </w:p>
    <w:p w14:paraId="19B98413">
      <w:pPr>
        <w:pStyle w:val="14"/>
        <w:ind w:firstLine="723"/>
        <w:jc w:val="center"/>
        <w:rPr>
          <w:rFonts w:hAnsi="宋体" w:cs="宋体"/>
          <w:b/>
          <w:sz w:val="48"/>
          <w:szCs w:val="48"/>
          <w:highlight w:val="none"/>
        </w:rPr>
      </w:pPr>
      <w:r>
        <w:rPr>
          <w:rFonts w:hint="eastAsia" w:hAnsi="宋体" w:cs="宋体"/>
          <w:b/>
          <w:sz w:val="48"/>
          <w:szCs w:val="48"/>
          <w:highlight w:val="none"/>
        </w:rPr>
        <w:t>目     录</w:t>
      </w:r>
    </w:p>
    <w:p w14:paraId="346F4921">
      <w:pPr>
        <w:pStyle w:val="22"/>
        <w:tabs>
          <w:tab w:val="right" w:leader="dot" w:pos="9638"/>
        </w:tabs>
        <w:spacing w:line="280" w:lineRule="exact"/>
        <w:ind w:firstLine="316"/>
        <w:rPr>
          <w:highlight w:val="none"/>
        </w:rPr>
      </w:pPr>
      <w:r>
        <w:rPr>
          <w:rFonts w:hint="eastAsia" w:ascii="宋体" w:hAnsi="宋体" w:cs="宋体"/>
          <w:b w:val="0"/>
          <w:bCs w:val="0"/>
          <w:caps w:val="0"/>
          <w:sz w:val="28"/>
          <w:szCs w:val="28"/>
          <w:highlight w:val="none"/>
        </w:rPr>
        <w:fldChar w:fldCharType="begin"/>
      </w:r>
      <w:r>
        <w:rPr>
          <w:rFonts w:hint="eastAsia" w:ascii="宋体" w:hAnsi="宋体" w:cs="宋体"/>
          <w:b w:val="0"/>
          <w:bCs w:val="0"/>
          <w:caps w:val="0"/>
          <w:sz w:val="28"/>
          <w:szCs w:val="28"/>
          <w:highlight w:val="none"/>
        </w:rPr>
        <w:instrText xml:space="preserve"> TOC \o "1-3" \h \z \u </w:instrText>
      </w:r>
      <w:r>
        <w:rPr>
          <w:rFonts w:hint="eastAsia" w:ascii="宋体" w:hAnsi="宋体" w:cs="宋体"/>
          <w:b w:val="0"/>
          <w:bCs w:val="0"/>
          <w:caps w:val="0"/>
          <w:sz w:val="28"/>
          <w:szCs w:val="28"/>
          <w:highlight w:val="none"/>
        </w:rPr>
        <w:fldChar w:fldCharType="separate"/>
      </w:r>
    </w:p>
    <w:p w14:paraId="5AB3C888">
      <w:pPr>
        <w:pStyle w:val="20"/>
        <w:tabs>
          <w:tab w:val="right" w:leader="dot" w:pos="9638"/>
        </w:tabs>
        <w:rPr>
          <w:sz w:val="28"/>
          <w:szCs w:val="28"/>
          <w:highlight w:val="none"/>
        </w:rPr>
      </w:pPr>
      <w:r>
        <w:rPr>
          <w:rFonts w:hint="eastAsia" w:hAnsi="宋体" w:cs="宋体"/>
          <w:bCs/>
          <w:caps/>
          <w:szCs w:val="28"/>
          <w:highlight w:val="none"/>
          <w:u w:val="single"/>
        </w:rPr>
        <w:fldChar w:fldCharType="end"/>
      </w:r>
      <w:bookmarkStart w:id="1" w:name="_Toc20152"/>
      <w:bookmarkStart w:id="2" w:name="_Toc12135"/>
      <w:bookmarkStart w:id="3" w:name="_Toc22419"/>
      <w:bookmarkStart w:id="4" w:name="_Toc532545041"/>
      <w:r>
        <w:rPr>
          <w:highlight w:val="none"/>
        </w:rPr>
        <w:fldChar w:fldCharType="begin"/>
      </w:r>
      <w:r>
        <w:rPr>
          <w:highlight w:val="none"/>
        </w:rPr>
        <w:instrText xml:space="preserve">TOC \o "1-1" \h \u </w:instrText>
      </w:r>
      <w:r>
        <w:rPr>
          <w:highlight w:val="none"/>
        </w:rPr>
        <w:fldChar w:fldCharType="separate"/>
      </w:r>
      <w:r>
        <w:rPr>
          <w:sz w:val="28"/>
          <w:szCs w:val="28"/>
          <w:highlight w:val="none"/>
        </w:rPr>
        <w:fldChar w:fldCharType="begin"/>
      </w:r>
      <w:r>
        <w:rPr>
          <w:sz w:val="28"/>
          <w:szCs w:val="28"/>
          <w:highlight w:val="none"/>
        </w:rPr>
        <w:instrText xml:space="preserve"> HYPERLINK \l _Toc18386 </w:instrText>
      </w:r>
      <w:r>
        <w:rPr>
          <w:sz w:val="28"/>
          <w:szCs w:val="28"/>
          <w:highlight w:val="none"/>
        </w:rPr>
        <w:fldChar w:fldCharType="separate"/>
      </w:r>
      <w:r>
        <w:rPr>
          <w:rFonts w:hint="eastAsia" w:ascii="宋体" w:hAnsi="宋体" w:cs="宋体"/>
          <w:sz w:val="28"/>
          <w:szCs w:val="28"/>
          <w:highlight w:val="none"/>
        </w:rPr>
        <w:t>第一章  招标公告</w:t>
      </w:r>
      <w:r>
        <w:rPr>
          <w:sz w:val="28"/>
          <w:szCs w:val="28"/>
          <w:highlight w:val="none"/>
        </w:rPr>
        <w:tab/>
      </w:r>
      <w:r>
        <w:rPr>
          <w:rFonts w:hint="eastAsia"/>
          <w:sz w:val="28"/>
          <w:szCs w:val="28"/>
          <w:highlight w:val="none"/>
          <w:lang w:val="en-US" w:eastAsia="zh-CN"/>
        </w:rPr>
        <w:t>3</w:t>
      </w:r>
      <w:r>
        <w:rPr>
          <w:sz w:val="28"/>
          <w:szCs w:val="28"/>
          <w:highlight w:val="none"/>
        </w:rPr>
        <w:fldChar w:fldCharType="end"/>
      </w:r>
    </w:p>
    <w:p w14:paraId="2104444F">
      <w:pPr>
        <w:pStyle w:val="20"/>
        <w:tabs>
          <w:tab w:val="right" w:leader="dot" w:pos="9638"/>
        </w:tabs>
        <w:rPr>
          <w:sz w:val="28"/>
          <w:szCs w:val="28"/>
          <w:highlight w:val="none"/>
        </w:rPr>
      </w:pPr>
      <w:r>
        <w:rPr>
          <w:sz w:val="28"/>
          <w:szCs w:val="28"/>
          <w:highlight w:val="none"/>
        </w:rPr>
        <w:fldChar w:fldCharType="begin"/>
      </w:r>
      <w:r>
        <w:rPr>
          <w:sz w:val="28"/>
          <w:szCs w:val="28"/>
          <w:highlight w:val="none"/>
        </w:rPr>
        <w:instrText xml:space="preserve"> HYPERLINK \l _Toc21791 </w:instrText>
      </w:r>
      <w:r>
        <w:rPr>
          <w:sz w:val="28"/>
          <w:szCs w:val="28"/>
          <w:highlight w:val="none"/>
        </w:rPr>
        <w:fldChar w:fldCharType="separate"/>
      </w:r>
      <w:r>
        <w:rPr>
          <w:rFonts w:hint="eastAsia" w:ascii="宋体" w:hAnsi="宋体" w:cs="宋体"/>
          <w:sz w:val="28"/>
          <w:szCs w:val="28"/>
          <w:highlight w:val="none"/>
        </w:rPr>
        <w:t>第二章  采购需求</w:t>
      </w:r>
      <w:r>
        <w:rPr>
          <w:sz w:val="28"/>
          <w:szCs w:val="28"/>
          <w:highlight w:val="none"/>
        </w:rPr>
        <w:tab/>
      </w:r>
      <w:r>
        <w:rPr>
          <w:rFonts w:hint="eastAsia"/>
          <w:sz w:val="28"/>
          <w:szCs w:val="28"/>
          <w:highlight w:val="none"/>
          <w:lang w:val="en-US" w:eastAsia="zh-CN"/>
        </w:rPr>
        <w:t>9</w:t>
      </w:r>
      <w:r>
        <w:rPr>
          <w:sz w:val="28"/>
          <w:szCs w:val="28"/>
          <w:highlight w:val="none"/>
        </w:rPr>
        <w:fldChar w:fldCharType="end"/>
      </w:r>
    </w:p>
    <w:p w14:paraId="5116F1D5">
      <w:pPr>
        <w:pStyle w:val="20"/>
        <w:tabs>
          <w:tab w:val="right" w:leader="dot" w:pos="9638"/>
        </w:tabs>
        <w:rPr>
          <w:sz w:val="28"/>
          <w:szCs w:val="28"/>
          <w:highlight w:val="none"/>
        </w:rPr>
      </w:pPr>
      <w:r>
        <w:rPr>
          <w:sz w:val="28"/>
          <w:szCs w:val="28"/>
          <w:highlight w:val="none"/>
        </w:rPr>
        <w:fldChar w:fldCharType="begin"/>
      </w:r>
      <w:r>
        <w:rPr>
          <w:sz w:val="28"/>
          <w:szCs w:val="28"/>
          <w:highlight w:val="none"/>
        </w:rPr>
        <w:instrText xml:space="preserve"> HYPERLINK \l _Toc10316 </w:instrText>
      </w:r>
      <w:r>
        <w:rPr>
          <w:sz w:val="28"/>
          <w:szCs w:val="28"/>
          <w:highlight w:val="none"/>
        </w:rPr>
        <w:fldChar w:fldCharType="separate"/>
      </w:r>
      <w:r>
        <w:rPr>
          <w:rFonts w:hint="eastAsia" w:ascii="宋体" w:hAnsi="宋体" w:cs="宋体"/>
          <w:sz w:val="28"/>
          <w:szCs w:val="28"/>
          <w:highlight w:val="none"/>
        </w:rPr>
        <w:t>第三章  投标人须知</w:t>
      </w:r>
      <w:r>
        <w:rPr>
          <w:sz w:val="28"/>
          <w:szCs w:val="28"/>
          <w:highlight w:val="none"/>
        </w:rPr>
        <w:tab/>
      </w:r>
      <w:r>
        <w:rPr>
          <w:rFonts w:hint="eastAsia"/>
          <w:sz w:val="28"/>
          <w:szCs w:val="28"/>
          <w:highlight w:val="none"/>
          <w:lang w:val="en-US" w:eastAsia="zh-CN"/>
        </w:rPr>
        <w:t>73</w:t>
      </w:r>
      <w:r>
        <w:rPr>
          <w:sz w:val="28"/>
          <w:szCs w:val="28"/>
          <w:highlight w:val="none"/>
        </w:rPr>
        <w:fldChar w:fldCharType="end"/>
      </w:r>
    </w:p>
    <w:p w14:paraId="177DC5D8">
      <w:pPr>
        <w:pStyle w:val="20"/>
        <w:tabs>
          <w:tab w:val="right" w:leader="dot" w:pos="9638"/>
        </w:tabs>
        <w:rPr>
          <w:sz w:val="28"/>
          <w:szCs w:val="28"/>
          <w:highlight w:val="none"/>
        </w:rPr>
      </w:pPr>
      <w:r>
        <w:rPr>
          <w:sz w:val="28"/>
          <w:szCs w:val="28"/>
          <w:highlight w:val="none"/>
        </w:rPr>
        <w:fldChar w:fldCharType="begin"/>
      </w:r>
      <w:r>
        <w:rPr>
          <w:sz w:val="28"/>
          <w:szCs w:val="28"/>
          <w:highlight w:val="none"/>
        </w:rPr>
        <w:instrText xml:space="preserve"> HYPERLINK \l _Toc28215 </w:instrText>
      </w:r>
      <w:r>
        <w:rPr>
          <w:sz w:val="28"/>
          <w:szCs w:val="28"/>
          <w:highlight w:val="none"/>
        </w:rPr>
        <w:fldChar w:fldCharType="separate"/>
      </w:r>
      <w:r>
        <w:rPr>
          <w:rFonts w:hint="eastAsia" w:ascii="宋体" w:hAnsi="宋体" w:cs="宋体"/>
          <w:sz w:val="28"/>
          <w:szCs w:val="28"/>
          <w:highlight w:val="none"/>
        </w:rPr>
        <w:t xml:space="preserve">第四章  </w:t>
      </w:r>
      <w:r>
        <w:rPr>
          <w:rFonts w:hint="eastAsia" w:hAnsi="宋体" w:cs="宋体"/>
          <w:sz w:val="28"/>
          <w:szCs w:val="28"/>
          <w:highlight w:val="none"/>
          <w:lang w:eastAsia="zh-CN"/>
        </w:rPr>
        <w:t>评标方法和评标标准</w:t>
      </w:r>
      <w:r>
        <w:rPr>
          <w:sz w:val="28"/>
          <w:szCs w:val="28"/>
          <w:highlight w:val="none"/>
        </w:rPr>
        <w:tab/>
      </w:r>
      <w:r>
        <w:rPr>
          <w:rFonts w:hint="eastAsia"/>
          <w:sz w:val="28"/>
          <w:szCs w:val="28"/>
          <w:highlight w:val="none"/>
          <w:lang w:val="en-US" w:eastAsia="zh-CN"/>
        </w:rPr>
        <w:t>97</w:t>
      </w:r>
      <w:r>
        <w:rPr>
          <w:sz w:val="28"/>
          <w:szCs w:val="28"/>
          <w:highlight w:val="none"/>
        </w:rPr>
        <w:fldChar w:fldCharType="end"/>
      </w:r>
    </w:p>
    <w:p w14:paraId="10440574">
      <w:pPr>
        <w:pStyle w:val="20"/>
        <w:tabs>
          <w:tab w:val="right" w:leader="dot" w:pos="9638"/>
        </w:tabs>
        <w:rPr>
          <w:sz w:val="28"/>
          <w:szCs w:val="28"/>
          <w:highlight w:val="none"/>
        </w:rPr>
      </w:pPr>
      <w:r>
        <w:rPr>
          <w:sz w:val="28"/>
          <w:szCs w:val="28"/>
          <w:highlight w:val="none"/>
        </w:rPr>
        <w:fldChar w:fldCharType="begin"/>
      </w:r>
      <w:r>
        <w:rPr>
          <w:sz w:val="28"/>
          <w:szCs w:val="28"/>
          <w:highlight w:val="none"/>
        </w:rPr>
        <w:instrText xml:space="preserve"> HYPERLINK \l _Toc3087 </w:instrText>
      </w:r>
      <w:r>
        <w:rPr>
          <w:sz w:val="28"/>
          <w:szCs w:val="28"/>
          <w:highlight w:val="none"/>
        </w:rPr>
        <w:fldChar w:fldCharType="separate"/>
      </w:r>
      <w:r>
        <w:rPr>
          <w:rFonts w:hint="eastAsia" w:ascii="宋体" w:hAnsi="宋体" w:cs="宋体"/>
          <w:sz w:val="28"/>
          <w:szCs w:val="28"/>
          <w:highlight w:val="none"/>
        </w:rPr>
        <w:t xml:space="preserve">第五章 </w:t>
      </w:r>
      <w:r>
        <w:rPr>
          <w:rFonts w:hint="eastAsia" w:ascii="宋体" w:hAnsi="宋体" w:cs="宋体"/>
          <w:sz w:val="28"/>
          <w:szCs w:val="28"/>
          <w:highlight w:val="none"/>
          <w:lang w:val="en-US" w:eastAsia="zh-CN"/>
        </w:rPr>
        <w:t xml:space="preserve"> </w:t>
      </w:r>
      <w:r>
        <w:rPr>
          <w:rFonts w:hint="eastAsia" w:ascii="宋体" w:hAnsi="宋体" w:cs="宋体"/>
          <w:sz w:val="28"/>
          <w:szCs w:val="28"/>
          <w:highlight w:val="none"/>
        </w:rPr>
        <w:t>拟签订的合同文本</w:t>
      </w:r>
      <w:r>
        <w:rPr>
          <w:sz w:val="28"/>
          <w:szCs w:val="28"/>
          <w:highlight w:val="none"/>
        </w:rPr>
        <w:tab/>
      </w:r>
      <w:r>
        <w:rPr>
          <w:rFonts w:hint="eastAsia"/>
          <w:sz w:val="28"/>
          <w:szCs w:val="28"/>
          <w:highlight w:val="none"/>
          <w:lang w:val="en-US" w:eastAsia="zh-CN"/>
        </w:rPr>
        <w:t>120</w:t>
      </w:r>
      <w:r>
        <w:rPr>
          <w:sz w:val="28"/>
          <w:szCs w:val="28"/>
          <w:highlight w:val="none"/>
        </w:rPr>
        <w:fldChar w:fldCharType="end"/>
      </w:r>
    </w:p>
    <w:p w14:paraId="246736B3">
      <w:pPr>
        <w:pStyle w:val="20"/>
        <w:tabs>
          <w:tab w:val="right" w:leader="dot" w:pos="9638"/>
        </w:tabs>
        <w:rPr>
          <w:sz w:val="28"/>
          <w:szCs w:val="28"/>
          <w:highlight w:val="none"/>
        </w:rPr>
      </w:pPr>
      <w:r>
        <w:rPr>
          <w:sz w:val="28"/>
          <w:szCs w:val="28"/>
          <w:highlight w:val="none"/>
        </w:rPr>
        <w:fldChar w:fldCharType="begin"/>
      </w:r>
      <w:r>
        <w:rPr>
          <w:sz w:val="28"/>
          <w:szCs w:val="28"/>
          <w:highlight w:val="none"/>
        </w:rPr>
        <w:instrText xml:space="preserve"> HYPERLINK \l _Toc6639 </w:instrText>
      </w:r>
      <w:r>
        <w:rPr>
          <w:sz w:val="28"/>
          <w:szCs w:val="28"/>
          <w:highlight w:val="none"/>
        </w:rPr>
        <w:fldChar w:fldCharType="separate"/>
      </w:r>
      <w:r>
        <w:rPr>
          <w:rFonts w:hint="eastAsia" w:ascii="宋体" w:hAnsi="宋体" w:cs="宋体"/>
          <w:sz w:val="28"/>
          <w:szCs w:val="28"/>
          <w:highlight w:val="none"/>
        </w:rPr>
        <w:t xml:space="preserve">第六章 </w:t>
      </w:r>
      <w:r>
        <w:rPr>
          <w:rFonts w:hint="eastAsia" w:ascii="宋体" w:hAnsi="宋体" w:cs="宋体"/>
          <w:sz w:val="28"/>
          <w:szCs w:val="28"/>
          <w:highlight w:val="none"/>
          <w:lang w:val="en-US" w:eastAsia="zh-CN"/>
        </w:rPr>
        <w:t xml:space="preserve"> </w:t>
      </w:r>
      <w:r>
        <w:rPr>
          <w:rFonts w:hint="eastAsia" w:ascii="宋体" w:hAnsi="宋体" w:cs="宋体"/>
          <w:sz w:val="28"/>
          <w:szCs w:val="28"/>
          <w:highlight w:val="none"/>
        </w:rPr>
        <w:t>投标文件格式</w:t>
      </w:r>
      <w:r>
        <w:rPr>
          <w:sz w:val="28"/>
          <w:szCs w:val="28"/>
          <w:highlight w:val="none"/>
        </w:rPr>
        <w:tab/>
      </w:r>
      <w:r>
        <w:rPr>
          <w:rFonts w:hint="eastAsia"/>
          <w:sz w:val="28"/>
          <w:szCs w:val="28"/>
          <w:highlight w:val="none"/>
          <w:lang w:val="en-US" w:eastAsia="zh-CN"/>
        </w:rPr>
        <w:t>129</w:t>
      </w:r>
      <w:r>
        <w:rPr>
          <w:sz w:val="28"/>
          <w:szCs w:val="28"/>
          <w:highlight w:val="none"/>
        </w:rPr>
        <w:fldChar w:fldCharType="end"/>
      </w:r>
    </w:p>
    <w:p w14:paraId="07C38817">
      <w:pPr>
        <w:pStyle w:val="20"/>
        <w:tabs>
          <w:tab w:val="right" w:leader="dot" w:pos="9638"/>
        </w:tabs>
        <w:rPr>
          <w:highlight w:val="none"/>
        </w:rPr>
      </w:pPr>
      <w:r>
        <w:rPr>
          <w:sz w:val="28"/>
          <w:szCs w:val="28"/>
          <w:highlight w:val="none"/>
        </w:rPr>
        <w:fldChar w:fldCharType="begin"/>
      </w:r>
      <w:r>
        <w:rPr>
          <w:sz w:val="28"/>
          <w:szCs w:val="28"/>
          <w:highlight w:val="none"/>
        </w:rPr>
        <w:instrText xml:space="preserve"> HYPERLINK \l _Toc22405 </w:instrText>
      </w:r>
      <w:r>
        <w:rPr>
          <w:sz w:val="28"/>
          <w:szCs w:val="28"/>
          <w:highlight w:val="none"/>
        </w:rPr>
        <w:fldChar w:fldCharType="separate"/>
      </w:r>
      <w:r>
        <w:rPr>
          <w:rFonts w:hint="eastAsia" w:ascii="宋体" w:hAnsi="宋体" w:cs="宋体"/>
          <w:sz w:val="28"/>
          <w:szCs w:val="28"/>
          <w:highlight w:val="none"/>
        </w:rPr>
        <w:t xml:space="preserve">第七章 </w:t>
      </w:r>
      <w:r>
        <w:rPr>
          <w:rFonts w:hint="eastAsia" w:ascii="宋体" w:hAnsi="宋体" w:cs="宋体"/>
          <w:sz w:val="28"/>
          <w:szCs w:val="28"/>
          <w:highlight w:val="none"/>
          <w:lang w:val="en-US" w:eastAsia="zh-CN"/>
        </w:rPr>
        <w:t xml:space="preserve"> </w:t>
      </w:r>
      <w:r>
        <w:rPr>
          <w:rFonts w:hint="eastAsia" w:ascii="宋体" w:hAnsi="宋体" w:cs="宋体"/>
          <w:sz w:val="28"/>
          <w:szCs w:val="28"/>
          <w:highlight w:val="none"/>
        </w:rPr>
        <w:t>质疑、投诉材料格</w:t>
      </w:r>
      <w:r>
        <w:rPr>
          <w:rFonts w:hint="eastAsia" w:hAnsi="宋体" w:cs="宋体"/>
          <w:sz w:val="28"/>
          <w:szCs w:val="28"/>
          <w:highlight w:val="none"/>
          <w:lang w:eastAsia="zh-CN"/>
        </w:rPr>
        <w:t>式</w:t>
      </w:r>
      <w:r>
        <w:rPr>
          <w:sz w:val="28"/>
          <w:szCs w:val="28"/>
          <w:highlight w:val="none"/>
        </w:rPr>
        <w:tab/>
      </w:r>
      <w:r>
        <w:rPr>
          <w:rFonts w:hint="eastAsia"/>
          <w:sz w:val="28"/>
          <w:szCs w:val="28"/>
          <w:highlight w:val="none"/>
          <w:lang w:val="en-US" w:eastAsia="zh-CN"/>
        </w:rPr>
        <w:t>157</w:t>
      </w:r>
      <w:r>
        <w:rPr>
          <w:sz w:val="28"/>
          <w:szCs w:val="28"/>
          <w:highlight w:val="none"/>
        </w:rPr>
        <w:fldChar w:fldCharType="end"/>
      </w:r>
    </w:p>
    <w:p w14:paraId="7AFCCA8F">
      <w:pPr>
        <w:pStyle w:val="14"/>
        <w:jc w:val="center"/>
        <w:rPr>
          <w:rFonts w:hAnsi="宋体" w:cs="宋体"/>
          <w:bCs/>
          <w:caps/>
          <w:szCs w:val="28"/>
          <w:highlight w:val="none"/>
          <w:u w:val="single"/>
        </w:rPr>
      </w:pPr>
      <w:r>
        <w:rPr>
          <w:highlight w:val="none"/>
        </w:rPr>
        <w:fldChar w:fldCharType="end"/>
      </w:r>
    </w:p>
    <w:p w14:paraId="32285348">
      <w:pPr>
        <w:pStyle w:val="14"/>
        <w:jc w:val="center"/>
        <w:rPr>
          <w:rFonts w:hAnsi="宋体" w:cs="宋体"/>
          <w:b/>
          <w:sz w:val="36"/>
          <w:highlight w:val="none"/>
        </w:rPr>
      </w:pPr>
      <w:r>
        <w:rPr>
          <w:rFonts w:hint="eastAsia" w:hAnsi="宋体" w:cs="宋体"/>
          <w:bCs/>
          <w:caps/>
          <w:szCs w:val="28"/>
          <w:highlight w:val="none"/>
          <w:u w:val="single"/>
        </w:rPr>
        <w:br w:type="page"/>
      </w:r>
      <w:r>
        <w:rPr>
          <w:rFonts w:hint="eastAsia" w:hAnsi="宋体" w:cs="宋体"/>
          <w:b/>
          <w:sz w:val="36"/>
          <w:highlight w:val="none"/>
        </w:rPr>
        <w:t>第一章  招标公告</w:t>
      </w:r>
      <w:bookmarkEnd w:id="1"/>
      <w:bookmarkEnd w:id="2"/>
      <w:bookmarkEnd w:id="3"/>
      <w:bookmarkEnd w:id="4"/>
    </w:p>
    <w:p w14:paraId="6EBE3D79">
      <w:pPr>
        <w:spacing w:line="360" w:lineRule="auto"/>
        <w:ind w:firstLine="542"/>
        <w:jc w:val="center"/>
        <w:rPr>
          <w:rFonts w:hint="eastAsia" w:ascii="宋体" w:hAnsi="宋体" w:cs="宋体"/>
          <w:b/>
          <w:sz w:val="36"/>
          <w:szCs w:val="36"/>
          <w:highlight w:val="none"/>
          <w:lang w:eastAsia="zh-CN"/>
        </w:rPr>
      </w:pPr>
      <w:bookmarkStart w:id="5" w:name="OLE_LINK259"/>
      <w:r>
        <w:rPr>
          <w:rFonts w:hint="eastAsia" w:ascii="宋体" w:hAnsi="宋体" w:cs="宋体"/>
          <w:b/>
          <w:sz w:val="36"/>
          <w:szCs w:val="36"/>
          <w:highlight w:val="none"/>
          <w:lang w:eastAsia="zh-CN"/>
        </w:rPr>
        <w:t>广西众联工程项目管理有限公司</w:t>
      </w:r>
      <w:r>
        <w:rPr>
          <w:rFonts w:hint="eastAsia" w:ascii="宋体" w:hAnsi="宋体" w:cs="宋体"/>
          <w:b/>
          <w:sz w:val="36"/>
          <w:szCs w:val="36"/>
          <w:highlight w:val="none"/>
        </w:rPr>
        <w:t>关于</w:t>
      </w:r>
      <w:r>
        <w:rPr>
          <w:rFonts w:hint="eastAsia" w:ascii="宋体" w:hAnsi="宋体" w:cs="宋体"/>
          <w:b/>
          <w:sz w:val="36"/>
          <w:szCs w:val="36"/>
          <w:highlight w:val="none"/>
          <w:lang w:eastAsia="zh-CN"/>
        </w:rPr>
        <w:t>广西农业良种海南南繁育种基地提档升级项目设备采购项目</w:t>
      </w:r>
    </w:p>
    <w:p w14:paraId="15E51253">
      <w:pPr>
        <w:spacing w:line="360" w:lineRule="auto"/>
        <w:ind w:firstLine="542"/>
        <w:jc w:val="center"/>
        <w:rPr>
          <w:rFonts w:hint="eastAsia" w:ascii="宋体" w:hAnsi="宋体" w:cs="宋体"/>
          <w:b/>
          <w:sz w:val="36"/>
          <w:szCs w:val="36"/>
          <w:highlight w:val="none"/>
        </w:rPr>
      </w:pPr>
      <w:r>
        <w:rPr>
          <w:rFonts w:hint="eastAsia" w:ascii="宋体" w:hAnsi="宋体" w:cs="宋体"/>
          <w:b/>
          <w:sz w:val="36"/>
          <w:szCs w:val="36"/>
          <w:highlight w:val="none"/>
        </w:rPr>
        <w:t>（GXZC2024-G1-006267-GXZL）的招标公告</w:t>
      </w:r>
    </w:p>
    <w:p w14:paraId="3F04E014">
      <w:pPr>
        <w:pBdr>
          <w:top w:val="single" w:color="auto" w:sz="4" w:space="1"/>
          <w:left w:val="single" w:color="auto" w:sz="4" w:space="4"/>
          <w:bottom w:val="single" w:color="auto" w:sz="4" w:space="1"/>
          <w:right w:val="single" w:color="auto" w:sz="4" w:space="4"/>
        </w:pBdr>
        <w:spacing w:line="360" w:lineRule="auto"/>
        <w:rPr>
          <w:rFonts w:ascii="宋体" w:hAnsi="宋体" w:cs="宋体"/>
          <w:szCs w:val="21"/>
          <w:highlight w:val="none"/>
        </w:rPr>
      </w:pPr>
      <w:r>
        <w:rPr>
          <w:rFonts w:hint="eastAsia" w:ascii="宋体" w:hAnsi="宋体" w:cs="宋体"/>
          <w:szCs w:val="21"/>
          <w:highlight w:val="none"/>
        </w:rPr>
        <w:t>项目概况</w:t>
      </w:r>
    </w:p>
    <w:p w14:paraId="3BAB5529">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highlight w:val="none"/>
          <w:u w:val="single"/>
        </w:rPr>
      </w:pPr>
      <w:r>
        <w:rPr>
          <w:rFonts w:hint="eastAsia" w:ascii="宋体" w:hAnsi="宋体" w:cs="宋体"/>
          <w:szCs w:val="21"/>
          <w:highlight w:val="none"/>
          <w:u w:val="single"/>
          <w:lang w:eastAsia="zh-CN"/>
        </w:rPr>
        <w:t>广西农业良种海南南繁育种基地提档升级项目设备采购项目</w:t>
      </w:r>
      <w:r>
        <w:rPr>
          <w:rFonts w:hint="eastAsia" w:ascii="宋体" w:hAnsi="宋体" w:cs="宋体"/>
          <w:szCs w:val="21"/>
          <w:highlight w:val="none"/>
        </w:rPr>
        <w:t>招标项目的潜在投标人应在广西政府采购云平台（https://www.gcy.zfcg.gxzf.gov.cn/）获取招标文件，并于</w:t>
      </w:r>
      <w:bookmarkStart w:id="6" w:name="PO_3000001866_PM015"/>
      <w:r>
        <w:rPr>
          <w:rFonts w:hint="eastAsia" w:ascii="宋体" w:hAnsi="宋体" w:cs="宋体"/>
          <w:szCs w:val="21"/>
          <w:highlight w:val="none"/>
          <w:u w:val="single"/>
        </w:rPr>
        <w:t>2024年</w:t>
      </w:r>
      <w:r>
        <w:rPr>
          <w:rFonts w:hint="eastAsia" w:ascii="宋体" w:hAnsi="宋体" w:cs="宋体"/>
          <w:szCs w:val="21"/>
          <w:highlight w:val="yellow"/>
          <w:u w:val="single"/>
          <w:lang w:val="en-US" w:eastAsia="zh-CN"/>
        </w:rPr>
        <w:t>12</w:t>
      </w:r>
      <w:r>
        <w:rPr>
          <w:rFonts w:hint="eastAsia" w:ascii="宋体" w:hAnsi="宋体" w:cs="宋体"/>
          <w:szCs w:val="21"/>
          <w:highlight w:val="yellow"/>
          <w:u w:val="single"/>
        </w:rPr>
        <w:t>月</w:t>
      </w:r>
      <w:r>
        <w:rPr>
          <w:rFonts w:hint="eastAsia" w:ascii="宋体" w:hAnsi="宋体" w:cs="宋体"/>
          <w:szCs w:val="21"/>
          <w:highlight w:val="yellow"/>
          <w:u w:val="single"/>
          <w:lang w:val="en-US" w:eastAsia="zh-CN"/>
        </w:rPr>
        <w:t>27</w:t>
      </w:r>
      <w:r>
        <w:rPr>
          <w:rFonts w:hint="eastAsia" w:ascii="宋体" w:hAnsi="宋体" w:cs="宋体"/>
          <w:szCs w:val="21"/>
          <w:highlight w:val="yellow"/>
          <w:u w:val="single"/>
        </w:rPr>
        <w:t>日</w:t>
      </w:r>
      <w:r>
        <w:rPr>
          <w:rFonts w:hint="eastAsia" w:ascii="宋体" w:hAnsi="宋体" w:cs="宋体"/>
          <w:szCs w:val="21"/>
          <w:highlight w:val="none"/>
          <w:u w:val="single"/>
        </w:rPr>
        <w:t xml:space="preserve"> </w:t>
      </w:r>
      <w:bookmarkEnd w:id="6"/>
      <w:r>
        <w:rPr>
          <w:rFonts w:hint="eastAsia" w:ascii="宋体" w:hAnsi="宋体" w:cs="宋体"/>
          <w:szCs w:val="21"/>
          <w:highlight w:val="none"/>
          <w:u w:val="single"/>
        </w:rPr>
        <w:t>09:30:00</w:t>
      </w:r>
      <w:r>
        <w:rPr>
          <w:rFonts w:hint="eastAsia" w:ascii="宋体" w:hAnsi="宋体" w:cs="宋体"/>
          <w:bCs/>
          <w:szCs w:val="21"/>
          <w:highlight w:val="none"/>
        </w:rPr>
        <w:t>（北京时间）前</w:t>
      </w:r>
      <w:r>
        <w:rPr>
          <w:rFonts w:hint="eastAsia" w:ascii="宋体" w:hAnsi="宋体" w:cs="宋体"/>
          <w:szCs w:val="21"/>
          <w:highlight w:val="none"/>
        </w:rPr>
        <w:t>递交（上传）投标文件。</w:t>
      </w:r>
    </w:p>
    <w:p w14:paraId="7C4A294A">
      <w:pPr>
        <w:spacing w:line="360" w:lineRule="auto"/>
        <w:ind w:firstLine="361"/>
        <w:rPr>
          <w:rFonts w:ascii="黑体" w:hAnsi="黑体" w:eastAsia="黑体"/>
          <w:b/>
          <w:bCs/>
          <w:sz w:val="24"/>
          <w:highlight w:val="none"/>
        </w:rPr>
      </w:pPr>
      <w:bookmarkStart w:id="7" w:name="_Toc35393790"/>
      <w:bookmarkStart w:id="8" w:name="_Toc35393621"/>
      <w:bookmarkStart w:id="9" w:name="_Toc28359002"/>
      <w:bookmarkStart w:id="10" w:name="_Toc28359079"/>
      <w:bookmarkStart w:id="11" w:name="_Hlk24379207"/>
      <w:r>
        <w:rPr>
          <w:rFonts w:hint="eastAsia" w:ascii="黑体" w:hAnsi="黑体" w:eastAsia="黑体"/>
          <w:b/>
          <w:bCs/>
          <w:sz w:val="24"/>
          <w:highlight w:val="none"/>
        </w:rPr>
        <w:t>一、项目基本情况</w:t>
      </w:r>
      <w:bookmarkEnd w:id="7"/>
      <w:bookmarkEnd w:id="8"/>
      <w:bookmarkEnd w:id="9"/>
      <w:bookmarkEnd w:id="10"/>
    </w:p>
    <w:p w14:paraId="563A22F8">
      <w:pPr>
        <w:spacing w:line="360" w:lineRule="auto"/>
        <w:ind w:firstLine="422" w:firstLineChars="200"/>
        <w:rPr>
          <w:rFonts w:hint="eastAsia" w:ascii="宋体" w:hAnsi="宋体"/>
          <w:szCs w:val="21"/>
          <w:highlight w:val="none"/>
        </w:rPr>
      </w:pPr>
      <w:r>
        <w:rPr>
          <w:rFonts w:hint="eastAsia" w:ascii="宋体" w:hAnsi="宋体"/>
          <w:b/>
          <w:bCs/>
          <w:szCs w:val="21"/>
          <w:highlight w:val="none"/>
        </w:rPr>
        <w:t>项目编号：GXZC2024-G1-006267-GXZL</w:t>
      </w:r>
      <w:r>
        <w:rPr>
          <w:rFonts w:hint="eastAsia" w:ascii="宋体" w:hAnsi="宋体"/>
          <w:szCs w:val="21"/>
          <w:highlight w:val="none"/>
        </w:rPr>
        <w:t>（采购计划编号：广西政采[2024]22060号00</w:t>
      </w:r>
      <w:r>
        <w:rPr>
          <w:rFonts w:hint="eastAsia" w:ascii="宋体" w:hAnsi="宋体"/>
          <w:szCs w:val="21"/>
          <w:highlight w:val="none"/>
          <w:lang w:val="en-US" w:eastAsia="zh-CN"/>
        </w:rPr>
        <w:t>1～</w:t>
      </w:r>
      <w:r>
        <w:rPr>
          <w:rFonts w:hint="eastAsia" w:ascii="宋体" w:hAnsi="宋体"/>
          <w:szCs w:val="21"/>
          <w:highlight w:val="none"/>
          <w:lang w:eastAsia="zh-CN"/>
        </w:rPr>
        <w:t>0</w:t>
      </w:r>
      <w:r>
        <w:rPr>
          <w:rFonts w:hint="eastAsia" w:ascii="宋体" w:hAnsi="宋体"/>
          <w:szCs w:val="21"/>
          <w:highlight w:val="none"/>
          <w:lang w:val="en-US" w:eastAsia="zh-CN"/>
        </w:rPr>
        <w:t>10</w:t>
      </w:r>
      <w:r>
        <w:rPr>
          <w:rFonts w:hint="eastAsia" w:ascii="宋体" w:hAnsi="宋体"/>
          <w:szCs w:val="21"/>
          <w:highlight w:val="none"/>
        </w:rPr>
        <w:t>）</w:t>
      </w:r>
    </w:p>
    <w:p w14:paraId="7D075B1C">
      <w:pPr>
        <w:spacing w:line="360" w:lineRule="auto"/>
        <w:ind w:firstLine="422" w:firstLineChars="200"/>
        <w:rPr>
          <w:rFonts w:hint="eastAsia" w:ascii="宋体" w:hAnsi="宋体" w:eastAsia="宋体"/>
          <w:szCs w:val="21"/>
          <w:highlight w:val="none"/>
          <w:lang w:eastAsia="zh-CN"/>
        </w:rPr>
      </w:pPr>
      <w:r>
        <w:rPr>
          <w:rFonts w:hint="eastAsia" w:ascii="宋体" w:hAnsi="宋体"/>
          <w:b/>
          <w:bCs/>
          <w:szCs w:val="21"/>
          <w:highlight w:val="none"/>
        </w:rPr>
        <w:t>项目名称：</w:t>
      </w:r>
      <w:bookmarkStart w:id="12" w:name="OLE_LINK167"/>
      <w:r>
        <w:rPr>
          <w:rFonts w:hint="eastAsia" w:ascii="宋体" w:hAnsi="宋体"/>
          <w:b w:val="0"/>
          <w:bCs w:val="0"/>
          <w:szCs w:val="21"/>
          <w:highlight w:val="none"/>
          <w:lang w:eastAsia="zh-CN"/>
        </w:rPr>
        <w:t>广西农业良种海南南繁育种基地提档升级项目设备采购项目</w:t>
      </w:r>
    </w:p>
    <w:bookmarkEnd w:id="11"/>
    <w:bookmarkEnd w:id="12"/>
    <w:p w14:paraId="7173F3C3">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预算金额：</w:t>
      </w:r>
      <w:bookmarkStart w:id="13" w:name="PO_3000001867_PM001392"/>
      <w:bookmarkStart w:id="14" w:name="OLE_LINK2"/>
      <w:r>
        <w:rPr>
          <w:rFonts w:hint="eastAsia" w:ascii="宋体" w:hAnsi="宋体"/>
          <w:color w:val="auto"/>
          <w:szCs w:val="21"/>
          <w:highlight w:val="none"/>
          <w:lang w:eastAsia="zh-CN"/>
        </w:rPr>
        <w:t>总金额：896</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5761万元，其中</w:t>
      </w:r>
      <w:r>
        <w:rPr>
          <w:rFonts w:hint="eastAsia" w:ascii="宋体" w:hAnsi="宋体" w:cs="宋体"/>
          <w:color w:val="auto"/>
          <w:szCs w:val="21"/>
          <w:highlight w:val="none"/>
        </w:rPr>
        <w:t>1分标：</w:t>
      </w:r>
      <w:r>
        <w:rPr>
          <w:rFonts w:hint="eastAsia" w:ascii="宋体" w:hAnsi="宋体" w:cs="宋体"/>
          <w:color w:val="auto"/>
          <w:szCs w:val="21"/>
          <w:highlight w:val="none"/>
          <w:lang w:val="en-US" w:eastAsia="zh-CN"/>
        </w:rPr>
        <w:t>143.5051</w:t>
      </w:r>
      <w:r>
        <w:rPr>
          <w:rFonts w:hint="eastAsia" w:ascii="宋体" w:hAnsi="宋体" w:cs="宋体"/>
          <w:color w:val="auto"/>
          <w:szCs w:val="21"/>
          <w:highlight w:val="none"/>
        </w:rPr>
        <w:t>万元，2分标：</w:t>
      </w:r>
      <w:r>
        <w:rPr>
          <w:rFonts w:hint="eastAsia" w:ascii="宋体" w:hAnsi="宋体" w:cs="宋体"/>
          <w:color w:val="auto"/>
          <w:szCs w:val="21"/>
          <w:highlight w:val="none"/>
          <w:lang w:val="en-US" w:eastAsia="zh-CN"/>
        </w:rPr>
        <w:t>107.25</w:t>
      </w:r>
      <w:r>
        <w:rPr>
          <w:rFonts w:hint="eastAsia" w:ascii="宋体" w:hAnsi="宋体" w:cs="宋体"/>
          <w:color w:val="auto"/>
          <w:szCs w:val="21"/>
          <w:highlight w:val="none"/>
        </w:rPr>
        <w:t>万元，3分标：</w:t>
      </w:r>
      <w:r>
        <w:rPr>
          <w:rFonts w:hint="eastAsia" w:ascii="宋体" w:hAnsi="宋体" w:cs="宋体"/>
          <w:color w:val="auto"/>
          <w:szCs w:val="21"/>
          <w:highlight w:val="none"/>
          <w:lang w:val="en-US" w:eastAsia="zh-CN"/>
        </w:rPr>
        <w:t>17.02</w:t>
      </w:r>
      <w:r>
        <w:rPr>
          <w:rFonts w:hint="eastAsia" w:ascii="宋体" w:hAnsi="宋体" w:cs="宋体"/>
          <w:color w:val="auto"/>
          <w:szCs w:val="21"/>
          <w:highlight w:val="none"/>
        </w:rPr>
        <w:t>万元</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分标：</w:t>
      </w:r>
      <w:r>
        <w:rPr>
          <w:rFonts w:hint="eastAsia" w:ascii="宋体" w:hAnsi="宋体" w:cs="宋体"/>
          <w:color w:val="auto"/>
          <w:szCs w:val="21"/>
          <w:highlight w:val="none"/>
          <w:lang w:val="en-US" w:eastAsia="zh-CN"/>
        </w:rPr>
        <w:t>54.671</w:t>
      </w:r>
      <w:r>
        <w:rPr>
          <w:rFonts w:hint="eastAsia" w:ascii="宋体" w:hAnsi="宋体" w:cs="宋体"/>
          <w:color w:val="auto"/>
          <w:szCs w:val="21"/>
          <w:highlight w:val="none"/>
        </w:rPr>
        <w:t>万元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分标：</w:t>
      </w:r>
      <w:r>
        <w:rPr>
          <w:rFonts w:hint="eastAsia" w:ascii="宋体" w:hAnsi="宋体" w:cs="宋体"/>
          <w:color w:val="auto"/>
          <w:szCs w:val="21"/>
          <w:highlight w:val="none"/>
          <w:lang w:val="en-US" w:eastAsia="zh-CN"/>
        </w:rPr>
        <w:t>390.545</w:t>
      </w:r>
      <w:r>
        <w:rPr>
          <w:rFonts w:hint="eastAsia" w:ascii="宋体" w:hAnsi="宋体" w:cs="宋体"/>
          <w:color w:val="auto"/>
          <w:szCs w:val="21"/>
          <w:highlight w:val="none"/>
        </w:rPr>
        <w:t>万元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分标：</w:t>
      </w:r>
      <w:r>
        <w:rPr>
          <w:rFonts w:hint="eastAsia" w:ascii="宋体" w:hAnsi="宋体" w:cs="宋体"/>
          <w:color w:val="auto"/>
          <w:szCs w:val="21"/>
          <w:highlight w:val="none"/>
          <w:lang w:val="en-US" w:eastAsia="zh-CN"/>
        </w:rPr>
        <w:t>183.585</w:t>
      </w:r>
      <w:r>
        <w:rPr>
          <w:rFonts w:hint="eastAsia" w:ascii="宋体" w:hAnsi="宋体" w:cs="宋体"/>
          <w:color w:val="auto"/>
          <w:szCs w:val="21"/>
          <w:highlight w:val="none"/>
        </w:rPr>
        <w:t>万元。</w:t>
      </w:r>
      <w:bookmarkEnd w:id="13"/>
    </w:p>
    <w:bookmarkEnd w:id="14"/>
    <w:p w14:paraId="27782999">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最高限价（如有）：</w:t>
      </w:r>
      <w:r>
        <w:rPr>
          <w:rFonts w:hint="eastAsia" w:ascii="宋体" w:hAnsi="宋体" w:cs="宋体"/>
          <w:color w:val="auto"/>
          <w:szCs w:val="21"/>
          <w:highlight w:val="none"/>
        </w:rPr>
        <w:t>1分标：</w:t>
      </w:r>
      <w:r>
        <w:rPr>
          <w:rFonts w:hint="eastAsia" w:ascii="宋体" w:hAnsi="宋体" w:cs="宋体"/>
          <w:color w:val="auto"/>
          <w:szCs w:val="21"/>
          <w:highlight w:val="none"/>
          <w:lang w:val="en-US" w:eastAsia="zh-CN"/>
        </w:rPr>
        <w:t>143.5051</w:t>
      </w:r>
      <w:r>
        <w:rPr>
          <w:rFonts w:hint="eastAsia" w:ascii="宋体" w:hAnsi="宋体" w:cs="宋体"/>
          <w:color w:val="auto"/>
          <w:szCs w:val="21"/>
          <w:highlight w:val="none"/>
        </w:rPr>
        <w:t>万元，2分标：</w:t>
      </w:r>
      <w:r>
        <w:rPr>
          <w:rFonts w:hint="eastAsia" w:ascii="宋体" w:hAnsi="宋体" w:cs="宋体"/>
          <w:color w:val="auto"/>
          <w:szCs w:val="21"/>
          <w:highlight w:val="none"/>
          <w:lang w:val="en-US" w:eastAsia="zh-CN"/>
        </w:rPr>
        <w:t>107.25</w:t>
      </w:r>
      <w:r>
        <w:rPr>
          <w:rFonts w:hint="eastAsia" w:ascii="宋体" w:hAnsi="宋体" w:cs="宋体"/>
          <w:color w:val="auto"/>
          <w:szCs w:val="21"/>
          <w:highlight w:val="none"/>
        </w:rPr>
        <w:t>万元，3分标：</w:t>
      </w:r>
      <w:r>
        <w:rPr>
          <w:rFonts w:hint="eastAsia" w:ascii="宋体" w:hAnsi="宋体" w:cs="宋体"/>
          <w:color w:val="auto"/>
          <w:szCs w:val="21"/>
          <w:highlight w:val="none"/>
          <w:lang w:val="en-US" w:eastAsia="zh-CN"/>
        </w:rPr>
        <w:t>17.02</w:t>
      </w:r>
      <w:r>
        <w:rPr>
          <w:rFonts w:hint="eastAsia" w:ascii="宋体" w:hAnsi="宋体" w:cs="宋体"/>
          <w:color w:val="auto"/>
          <w:szCs w:val="21"/>
          <w:highlight w:val="none"/>
        </w:rPr>
        <w:t>万元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分标：</w:t>
      </w:r>
      <w:r>
        <w:rPr>
          <w:rFonts w:hint="eastAsia" w:ascii="宋体" w:hAnsi="宋体" w:cs="宋体"/>
          <w:color w:val="auto"/>
          <w:szCs w:val="21"/>
          <w:highlight w:val="none"/>
          <w:lang w:val="en-US" w:eastAsia="zh-CN"/>
        </w:rPr>
        <w:t>54.671</w:t>
      </w:r>
      <w:r>
        <w:rPr>
          <w:rFonts w:hint="eastAsia" w:ascii="宋体" w:hAnsi="宋体" w:cs="宋体"/>
          <w:color w:val="auto"/>
          <w:szCs w:val="21"/>
          <w:highlight w:val="none"/>
        </w:rPr>
        <w:t>万元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分标：</w:t>
      </w:r>
      <w:r>
        <w:rPr>
          <w:rFonts w:hint="eastAsia" w:ascii="宋体" w:hAnsi="宋体" w:cs="宋体"/>
          <w:color w:val="auto"/>
          <w:szCs w:val="21"/>
          <w:highlight w:val="none"/>
          <w:lang w:val="en-US" w:eastAsia="zh-CN"/>
        </w:rPr>
        <w:t>390.545</w:t>
      </w:r>
      <w:r>
        <w:rPr>
          <w:rFonts w:hint="eastAsia" w:ascii="宋体" w:hAnsi="宋体" w:cs="宋体"/>
          <w:color w:val="auto"/>
          <w:szCs w:val="21"/>
          <w:highlight w:val="none"/>
        </w:rPr>
        <w:t>万元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分标：</w:t>
      </w:r>
      <w:r>
        <w:rPr>
          <w:rFonts w:hint="eastAsia" w:ascii="宋体" w:hAnsi="宋体" w:cs="宋体"/>
          <w:color w:val="auto"/>
          <w:szCs w:val="21"/>
          <w:highlight w:val="none"/>
          <w:lang w:val="en-US" w:eastAsia="zh-CN"/>
        </w:rPr>
        <w:t>183.585</w:t>
      </w:r>
      <w:r>
        <w:rPr>
          <w:rFonts w:hint="eastAsia" w:ascii="宋体" w:hAnsi="宋体" w:cs="宋体"/>
          <w:color w:val="auto"/>
          <w:szCs w:val="21"/>
          <w:highlight w:val="none"/>
        </w:rPr>
        <w:t>万元。</w:t>
      </w:r>
    </w:p>
    <w:p w14:paraId="26F831B1">
      <w:pPr>
        <w:spacing w:line="360" w:lineRule="auto"/>
        <w:ind w:firstLine="422" w:firstLineChars="200"/>
        <w:rPr>
          <w:rFonts w:ascii="宋体" w:hAnsi="宋体"/>
          <w:szCs w:val="21"/>
          <w:highlight w:val="none"/>
        </w:rPr>
      </w:pPr>
      <w:r>
        <w:rPr>
          <w:rFonts w:hint="eastAsia" w:ascii="宋体" w:hAnsi="宋体"/>
          <w:b/>
          <w:bCs/>
          <w:szCs w:val="21"/>
          <w:highlight w:val="none"/>
        </w:rPr>
        <w:t>采购需求：</w:t>
      </w:r>
      <w:bookmarkStart w:id="15" w:name="PO_3000001866_PM004"/>
    </w:p>
    <w:bookmarkEnd w:id="15"/>
    <w:p w14:paraId="37D5AA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rPr>
        <w:t>分标</w:t>
      </w:r>
      <w:r>
        <w:rPr>
          <w:rFonts w:hint="eastAsia" w:ascii="宋体" w:hAnsi="宋体" w:cs="宋体"/>
          <w:color w:val="auto"/>
          <w:szCs w:val="21"/>
          <w:highlight w:val="none"/>
          <w:lang w:eastAsia="zh-CN"/>
        </w:rPr>
        <w:t>（</w:t>
      </w:r>
      <w:r>
        <w:rPr>
          <w:rFonts w:hint="eastAsia" w:ascii="宋体" w:hAnsi="宋体" w:cs="宋体"/>
          <w:color w:val="auto"/>
          <w:szCs w:val="21"/>
          <w:highlight w:val="none"/>
        </w:rPr>
        <w:t>种子实验室仪器设备及种子烘干室设备</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2"/>
        <w:gridCol w:w="3011"/>
        <w:gridCol w:w="989"/>
        <w:gridCol w:w="3867"/>
      </w:tblGrid>
      <w:tr w14:paraId="63840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10127C76">
            <w:pPr>
              <w:snapToGrid w:val="0"/>
              <w:spacing w:line="36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28977EA0">
            <w:pPr>
              <w:snapToGrid w:val="0"/>
              <w:spacing w:line="36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标的的名称</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2A021157">
            <w:pPr>
              <w:snapToGrid w:val="0"/>
              <w:spacing w:line="36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数量</w:t>
            </w:r>
            <w:r>
              <w:rPr>
                <w:rFonts w:hint="eastAsia" w:ascii="宋体" w:hAnsi="宋体" w:cs="宋体"/>
                <w:b/>
                <w:bCs/>
                <w:color w:val="auto"/>
                <w:sz w:val="21"/>
                <w:szCs w:val="21"/>
                <w:highlight w:val="none"/>
                <w:lang w:eastAsia="zh-CN"/>
              </w:rPr>
              <w:t>及</w:t>
            </w:r>
            <w:r>
              <w:rPr>
                <w:rFonts w:hint="eastAsia" w:ascii="宋体" w:hAnsi="宋体" w:cs="宋体"/>
                <w:b/>
                <w:bCs/>
                <w:color w:val="auto"/>
                <w:sz w:val="21"/>
                <w:szCs w:val="21"/>
                <w:highlight w:val="none"/>
              </w:rPr>
              <w:t>单位</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053B10F8">
            <w:pPr>
              <w:snapToGrid w:val="0"/>
              <w:spacing w:line="360" w:lineRule="auto"/>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简要技术需求或者服务要求</w:t>
            </w:r>
          </w:p>
        </w:tc>
      </w:tr>
      <w:tr w14:paraId="321B6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7FF17339">
            <w:pPr>
              <w:bidi w:val="0"/>
              <w:jc w:val="center"/>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val="en-US" w:eastAsia="zh-CN"/>
              </w:rPr>
              <w:t>1</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1524BE07">
            <w:pPr>
              <w:bidi w:val="0"/>
              <w:jc w:val="center"/>
              <w:rPr>
                <w:rFonts w:hint="eastAsia" w:ascii="宋体" w:hAnsi="宋体" w:eastAsia="宋体" w:cs="宋体"/>
                <w:color w:val="000000"/>
                <w:sz w:val="21"/>
                <w:szCs w:val="21"/>
                <w:highlight w:val="none"/>
                <w:lang w:eastAsia="zh-CN"/>
              </w:rPr>
            </w:pPr>
            <w:r>
              <w:rPr>
                <w:rFonts w:hint="eastAsia" w:ascii="宋体" w:hAnsi="宋体" w:eastAsia="宋体" w:cs="宋体"/>
                <w:sz w:val="21"/>
                <w:szCs w:val="21"/>
              </w:rPr>
              <w:t>全自动核酸提取工作站</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27E86792">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3BED9F4F">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1.样品通量：1～96</w:t>
            </w:r>
          </w:p>
          <w:p w14:paraId="69D08D11">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2.样品容量：50ul～1000ul</w:t>
            </w:r>
          </w:p>
          <w:p w14:paraId="2AD06A7B">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3.磁珠回收率：＞95%</w:t>
            </w:r>
          </w:p>
          <w:p w14:paraId="3ACA7F59">
            <w:pPr>
              <w:snapToGrid w:val="0"/>
              <w:spacing w:line="360" w:lineRule="auto"/>
              <w:jc w:val="left"/>
              <w:rPr>
                <w:rFonts w:hint="eastAsia" w:ascii="宋体" w:hAnsi="宋体" w:cs="宋体"/>
                <w:color w:val="auto"/>
                <w:sz w:val="21"/>
                <w:szCs w:val="21"/>
                <w:highlight w:val="none"/>
              </w:rPr>
            </w:pPr>
            <w:r>
              <w:rPr>
                <w:rFonts w:hint="default" w:ascii="Arial" w:hAnsi="Arial" w:cs="Arial"/>
                <w:color w:val="auto"/>
                <w:sz w:val="21"/>
                <w:szCs w:val="21"/>
                <w:highlight w:val="none"/>
                <w:lang w:val="en-US" w:eastAsia="zh-CN"/>
              </w:rPr>
              <w:t>……</w:t>
            </w:r>
          </w:p>
        </w:tc>
      </w:tr>
      <w:tr w14:paraId="40D7D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2395D328">
            <w:pPr>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val="en-US" w:eastAsia="zh-CN"/>
              </w:rPr>
              <w:t>2</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3BC42B01">
            <w:pPr>
              <w:bidi w:val="0"/>
              <w:jc w:val="center"/>
              <w:rPr>
                <w:rFonts w:hint="eastAsia" w:ascii="宋体" w:hAnsi="宋体" w:eastAsia="宋体" w:cs="宋体"/>
                <w:color w:val="000000"/>
                <w:sz w:val="21"/>
                <w:szCs w:val="21"/>
                <w:highlight w:val="none"/>
              </w:rPr>
            </w:pPr>
            <w:r>
              <w:rPr>
                <w:rFonts w:hint="eastAsia" w:ascii="宋体" w:hAnsi="宋体" w:eastAsia="宋体" w:cs="宋体"/>
                <w:sz w:val="21"/>
                <w:szCs w:val="21"/>
              </w:rPr>
              <w:t>药品加样通风橱</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441AF98F">
            <w:pPr>
              <w:snapToGrid w:val="0"/>
              <w:spacing w:line="360" w:lineRule="auto"/>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3D667B32">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1.柜体要求：采用国标≥1.0mm厚度的钢板制作，面层抗腐蚀性处理</w:t>
            </w:r>
          </w:p>
          <w:p w14:paraId="7182A58C">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2.柜体内设置通风照明功能，照明要求一体化LED灯管，光照度≥700LUX</w:t>
            </w:r>
          </w:p>
          <w:p w14:paraId="639D736B">
            <w:pPr>
              <w:snapToGrid w:val="0"/>
              <w:spacing w:line="360" w:lineRule="auto"/>
              <w:jc w:val="left"/>
              <w:rPr>
                <w:rFonts w:hint="eastAsia" w:ascii="宋体" w:hAnsi="宋体" w:cs="宋体"/>
                <w:color w:val="auto"/>
                <w:sz w:val="21"/>
                <w:szCs w:val="21"/>
                <w:highlight w:val="none"/>
              </w:rPr>
            </w:pPr>
            <w:r>
              <w:rPr>
                <w:rFonts w:hint="default" w:ascii="Arial" w:hAnsi="Arial" w:cs="Arial"/>
                <w:color w:val="auto"/>
                <w:sz w:val="21"/>
                <w:szCs w:val="21"/>
                <w:highlight w:val="none"/>
                <w:lang w:val="en-US" w:eastAsia="zh-CN"/>
              </w:rPr>
              <w:t>……</w:t>
            </w:r>
          </w:p>
        </w:tc>
      </w:tr>
      <w:tr w14:paraId="44BE0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10992266">
            <w:pPr>
              <w:bidi w:val="0"/>
              <w:jc w:val="center"/>
              <w:rPr>
                <w:rFonts w:hint="eastAsia" w:ascii="宋体" w:hAnsi="宋体" w:eastAsia="宋体" w:cs="宋体"/>
                <w:color w:val="auto"/>
                <w:sz w:val="21"/>
                <w:szCs w:val="21"/>
                <w:highlight w:val="none"/>
                <w:lang w:val="en-US" w:eastAsia="zh-CN"/>
              </w:rPr>
            </w:pPr>
            <w:bookmarkStart w:id="16" w:name="OLE_LINK107"/>
            <w:r>
              <w:rPr>
                <w:rFonts w:hint="eastAsia" w:ascii="宋体" w:hAnsi="宋体" w:eastAsia="宋体" w:cs="宋体"/>
                <w:sz w:val="21"/>
                <w:szCs w:val="21"/>
                <w:lang w:val="en-US" w:eastAsia="zh-CN"/>
              </w:rPr>
              <w:t>3</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0D565882">
            <w:pPr>
              <w:bidi w:val="0"/>
              <w:jc w:val="center"/>
              <w:rPr>
                <w:rFonts w:hint="eastAsia" w:ascii="宋体" w:hAnsi="宋体" w:eastAsia="宋体" w:cs="宋体"/>
                <w:color w:val="000000"/>
                <w:sz w:val="21"/>
                <w:szCs w:val="21"/>
                <w:highlight w:val="none"/>
              </w:rPr>
            </w:pPr>
            <w:r>
              <w:rPr>
                <w:rFonts w:hint="eastAsia" w:ascii="宋体" w:hAnsi="宋体" w:eastAsia="宋体" w:cs="宋体"/>
                <w:sz w:val="21"/>
                <w:szCs w:val="21"/>
              </w:rPr>
              <w:t>小型种子烘干设备</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12C8E214">
            <w:pPr>
              <w:snapToGrid w:val="0"/>
              <w:spacing w:line="360" w:lineRule="auto"/>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05D4CFC3">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1.温度：室温+5～45℃</w:t>
            </w:r>
          </w:p>
          <w:p w14:paraId="0C8D01D0">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2.分辨：0.1℃</w:t>
            </w:r>
          </w:p>
          <w:p w14:paraId="0FAFDA67">
            <w:pPr>
              <w:snapToGrid w:val="0"/>
              <w:spacing w:line="360" w:lineRule="auto"/>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3.容量：≥250L</w:t>
            </w:r>
          </w:p>
          <w:p w14:paraId="48B688EF">
            <w:pPr>
              <w:snapToGrid w:val="0"/>
              <w:spacing w:line="360" w:lineRule="auto"/>
              <w:jc w:val="left"/>
              <w:rPr>
                <w:rFonts w:hint="eastAsia" w:ascii="宋体" w:hAnsi="宋体" w:cs="宋体"/>
                <w:color w:val="auto"/>
                <w:sz w:val="21"/>
                <w:szCs w:val="21"/>
                <w:highlight w:val="none"/>
              </w:rPr>
            </w:pPr>
            <w:r>
              <w:rPr>
                <w:rFonts w:hint="default" w:ascii="Arial" w:hAnsi="Arial" w:cs="Arial"/>
                <w:color w:val="auto"/>
                <w:sz w:val="21"/>
                <w:szCs w:val="21"/>
                <w:highlight w:val="none"/>
                <w:lang w:val="en-US" w:eastAsia="zh-CN"/>
              </w:rPr>
              <w:t>……</w:t>
            </w:r>
          </w:p>
        </w:tc>
      </w:tr>
      <w:tr w14:paraId="5EE82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42BC6DC2">
            <w:pPr>
              <w:bidi w:val="0"/>
              <w:jc w:val="center"/>
              <w:rPr>
                <w:rFonts w:hint="default" w:ascii="仿宋" w:hAnsi="仿宋" w:eastAsia="仿宋" w:cs="仿宋"/>
                <w:sz w:val="21"/>
                <w:szCs w:val="21"/>
                <w:lang w:val="en-US" w:eastAsia="zh-CN"/>
              </w:rPr>
            </w:pPr>
            <w:r>
              <w:rPr>
                <w:rFonts w:hint="default" w:ascii="Arial" w:hAnsi="Arial" w:cs="Arial"/>
                <w:color w:val="auto"/>
                <w:sz w:val="21"/>
                <w:szCs w:val="21"/>
                <w:highlight w:val="none"/>
                <w:lang w:val="en-US" w:eastAsia="zh-CN"/>
              </w:rPr>
              <w:t>……</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44E73F8A">
            <w:pPr>
              <w:bidi w:val="0"/>
              <w:jc w:val="center"/>
              <w:rPr>
                <w:rFonts w:hint="default" w:ascii="仿宋" w:hAnsi="仿宋" w:eastAsia="仿宋" w:cs="仿宋"/>
                <w:sz w:val="21"/>
                <w:szCs w:val="21"/>
                <w:lang w:val="en-US" w:eastAsia="zh-CN"/>
              </w:rPr>
            </w:pPr>
            <w:r>
              <w:rPr>
                <w:rFonts w:hint="default" w:ascii="Arial" w:hAnsi="Arial" w:cs="Arial"/>
                <w:color w:val="auto"/>
                <w:sz w:val="21"/>
                <w:szCs w:val="21"/>
                <w:highlight w:val="none"/>
                <w:lang w:val="en-US" w:eastAsia="zh-CN"/>
              </w:rPr>
              <w:t>……</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4783906B">
            <w:pPr>
              <w:snapToGrid w:val="0"/>
              <w:spacing w:line="360" w:lineRule="auto"/>
              <w:jc w:val="center"/>
              <w:rPr>
                <w:rFonts w:hint="eastAsia" w:ascii="宋体" w:hAnsi="宋体" w:cs="宋体"/>
                <w:color w:val="auto"/>
                <w:sz w:val="21"/>
                <w:szCs w:val="21"/>
                <w:highlight w:val="none"/>
                <w:lang w:val="en-US" w:eastAsia="zh-CN"/>
              </w:rPr>
            </w:pPr>
            <w:r>
              <w:rPr>
                <w:rFonts w:hint="default" w:ascii="Arial" w:hAnsi="Arial" w:cs="Arial"/>
                <w:color w:val="auto"/>
                <w:sz w:val="21"/>
                <w:szCs w:val="21"/>
                <w:highlight w:val="none"/>
                <w:lang w:val="en-US" w:eastAsia="zh-CN"/>
              </w:rPr>
              <w:t>……</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2AD9908D">
            <w:pPr>
              <w:spacing w:line="360" w:lineRule="auto"/>
              <w:jc w:val="both"/>
              <w:rPr>
                <w:rFonts w:hint="eastAsia" w:ascii="宋体" w:hAnsi="宋体" w:cs="宋体"/>
                <w:color w:val="auto"/>
                <w:sz w:val="21"/>
                <w:szCs w:val="21"/>
                <w:highlight w:val="none"/>
              </w:rPr>
            </w:pPr>
            <w:r>
              <w:rPr>
                <w:rFonts w:hint="eastAsia" w:ascii="宋体" w:hAnsi="宋体" w:cs="宋体"/>
                <w:color w:val="auto"/>
                <w:szCs w:val="21"/>
                <w:highlight w:val="none"/>
              </w:rPr>
              <w:t>具体内容详见本公告附件：采购需求</w:t>
            </w:r>
          </w:p>
        </w:tc>
      </w:tr>
      <w:bookmarkEnd w:id="16"/>
    </w:tbl>
    <w:p w14:paraId="5CBCECE1">
      <w:pPr>
        <w:spacing w:line="360" w:lineRule="auto"/>
        <w:ind w:firstLine="420" w:firstLineChars="200"/>
        <w:rPr>
          <w:rFonts w:hint="eastAsia" w:ascii="宋体" w:hAnsi="宋体" w:cs="宋体"/>
          <w:color w:val="auto"/>
          <w:szCs w:val="21"/>
          <w:highlight w:val="none"/>
          <w:lang w:eastAsia="zh-CN"/>
        </w:rPr>
      </w:pPr>
      <w:bookmarkStart w:id="17" w:name="OLE_LINK222"/>
      <w:r>
        <w:rPr>
          <w:rFonts w:hint="eastAsia" w:ascii="宋体" w:hAnsi="宋体" w:cs="宋体"/>
          <w:color w:val="auto"/>
          <w:szCs w:val="21"/>
          <w:highlight w:val="none"/>
        </w:rPr>
        <w:t>合同履行期限：</w:t>
      </w:r>
      <w:bookmarkEnd w:id="17"/>
      <w:bookmarkStart w:id="18" w:name="OLE_LINK173"/>
      <w:bookmarkStart w:id="19" w:name="OLE_LINK174"/>
      <w:r>
        <w:rPr>
          <w:rFonts w:hint="eastAsia" w:ascii="宋体" w:hAnsi="宋体" w:cs="宋体"/>
          <w:color w:val="auto"/>
          <w:szCs w:val="21"/>
          <w:highlight w:val="none"/>
        </w:rPr>
        <w:t>自签订合同之日起</w:t>
      </w:r>
      <w:r>
        <w:rPr>
          <w:rFonts w:hint="eastAsia" w:ascii="宋体" w:hAnsi="宋体" w:cs="宋体"/>
          <w:color w:val="auto"/>
          <w:szCs w:val="21"/>
          <w:highlight w:val="none"/>
          <w:lang w:val="en-US" w:eastAsia="zh-CN"/>
        </w:rPr>
        <w:t>30天</w:t>
      </w:r>
      <w:r>
        <w:rPr>
          <w:rFonts w:hint="eastAsia" w:ascii="宋体" w:hAnsi="宋体" w:cs="宋体"/>
          <w:color w:val="auto"/>
          <w:szCs w:val="21"/>
          <w:highlight w:val="none"/>
        </w:rPr>
        <w:t>内</w:t>
      </w:r>
      <w:bookmarkStart w:id="20" w:name="OLE_LINK106"/>
      <w:bookmarkStart w:id="21" w:name="OLE_LINK149"/>
      <w:r>
        <w:rPr>
          <w:rFonts w:hint="eastAsia" w:ascii="宋体" w:hAnsi="宋体" w:cs="宋体"/>
          <w:color w:val="auto"/>
          <w:szCs w:val="21"/>
          <w:highlight w:val="none"/>
        </w:rPr>
        <w:t>安装调试</w:t>
      </w:r>
      <w:r>
        <w:rPr>
          <w:rFonts w:hint="eastAsia" w:ascii="宋体" w:hAnsi="宋体" w:cs="宋体"/>
          <w:color w:val="auto"/>
          <w:szCs w:val="21"/>
          <w:highlight w:val="none"/>
          <w:lang w:val="en-US" w:eastAsia="zh-CN"/>
        </w:rPr>
        <w:t>完毕</w:t>
      </w:r>
      <w:r>
        <w:rPr>
          <w:rFonts w:hint="eastAsia" w:ascii="宋体" w:hAnsi="宋体" w:cs="宋体"/>
          <w:color w:val="auto"/>
          <w:szCs w:val="21"/>
          <w:highlight w:val="none"/>
          <w:lang w:eastAsia="zh-CN"/>
        </w:rPr>
        <w:t>并</w:t>
      </w:r>
      <w:r>
        <w:rPr>
          <w:rFonts w:hint="eastAsia" w:ascii="宋体" w:hAnsi="宋体" w:cs="宋体"/>
          <w:color w:val="auto"/>
          <w:szCs w:val="21"/>
          <w:highlight w:val="none"/>
          <w:lang w:val="en-US" w:eastAsia="zh-CN"/>
        </w:rPr>
        <w:t>通过采购人</w:t>
      </w:r>
      <w:r>
        <w:rPr>
          <w:rFonts w:hint="eastAsia" w:ascii="宋体" w:hAnsi="宋体" w:cs="宋体"/>
          <w:color w:val="auto"/>
          <w:szCs w:val="21"/>
          <w:highlight w:val="none"/>
          <w:lang w:eastAsia="zh-CN"/>
        </w:rPr>
        <w:t>验收合格</w:t>
      </w:r>
      <w:bookmarkEnd w:id="18"/>
      <w:bookmarkEnd w:id="20"/>
    </w:p>
    <w:bookmarkEnd w:id="19"/>
    <w:bookmarkEnd w:id="21"/>
    <w:p w14:paraId="2C448C55">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本项目（是/否）接受联合体投标：□是/</w:t>
      </w:r>
      <w:r>
        <w:rPr>
          <w:rFonts w:hint="eastAsia" w:ascii="宋体" w:hAnsi="宋体" w:cs="宋体"/>
          <w:color w:val="auto"/>
          <w:szCs w:val="21"/>
          <w:highlight w:val="none"/>
          <w:lang w:eastAsia="zh-CN"/>
        </w:rPr>
        <w:t>☑</w:t>
      </w:r>
      <w:r>
        <w:rPr>
          <w:rFonts w:hint="eastAsia" w:ascii="宋体" w:hAnsi="宋体" w:cs="宋体"/>
          <w:color w:val="auto"/>
          <w:szCs w:val="21"/>
          <w:highlight w:val="none"/>
        </w:rPr>
        <w:t>否</w:t>
      </w:r>
    </w:p>
    <w:p w14:paraId="5E5CDB9A">
      <w:pPr>
        <w:spacing w:line="360" w:lineRule="auto"/>
        <w:ind w:firstLine="420" w:firstLineChars="200"/>
        <w:rPr>
          <w:rFonts w:hint="eastAsia"/>
          <w:highlight w:val="none"/>
        </w:rPr>
      </w:pPr>
      <w:r>
        <w:rPr>
          <w:rFonts w:hint="eastAsia" w:ascii="宋体" w:hAnsi="宋体"/>
          <w:color w:val="auto"/>
          <w:szCs w:val="21"/>
          <w:highlight w:val="none"/>
        </w:rPr>
        <w:t>备注：无</w:t>
      </w:r>
    </w:p>
    <w:p w14:paraId="0F965E8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分标</w:t>
      </w:r>
      <w:r>
        <w:rPr>
          <w:rFonts w:hint="eastAsia" w:ascii="宋体" w:hAnsi="宋体" w:cs="宋体"/>
          <w:color w:val="auto"/>
          <w:szCs w:val="21"/>
          <w:highlight w:val="none"/>
          <w:lang w:eastAsia="zh-CN"/>
        </w:rPr>
        <w:t>（</w:t>
      </w:r>
      <w:r>
        <w:rPr>
          <w:rFonts w:hint="eastAsia" w:ascii="宋体" w:hAnsi="宋体" w:cs="宋体"/>
          <w:color w:val="auto"/>
          <w:szCs w:val="21"/>
          <w:highlight w:val="none"/>
        </w:rPr>
        <w:t>水产实验室设备</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2"/>
        <w:gridCol w:w="3011"/>
        <w:gridCol w:w="989"/>
        <w:gridCol w:w="3867"/>
      </w:tblGrid>
      <w:tr w14:paraId="3B7FCA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6376AB35">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504C2B2F">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标的的名称</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0C18C15D">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w:t>
            </w:r>
            <w:r>
              <w:rPr>
                <w:rFonts w:hint="eastAsia" w:ascii="宋体" w:hAnsi="宋体" w:cs="宋体"/>
                <w:b/>
                <w:bCs/>
                <w:color w:val="auto"/>
                <w:szCs w:val="21"/>
                <w:highlight w:val="none"/>
                <w:lang w:eastAsia="zh-CN"/>
              </w:rPr>
              <w:t>及</w:t>
            </w:r>
            <w:r>
              <w:rPr>
                <w:rFonts w:hint="eastAsia" w:ascii="宋体" w:hAnsi="宋体" w:cs="宋体"/>
                <w:b/>
                <w:bCs/>
                <w:color w:val="auto"/>
                <w:szCs w:val="21"/>
                <w:highlight w:val="none"/>
              </w:rPr>
              <w:t>单位</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728F817C">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简要技术需求或者服务要求</w:t>
            </w:r>
          </w:p>
        </w:tc>
      </w:tr>
      <w:tr w14:paraId="68DE8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8"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0FC9C2B5">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0CE185F8">
            <w:pPr>
              <w:snapToGrid w:val="0"/>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梯度PCR仪</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41983217">
            <w:pPr>
              <w:snapToGrid w:val="0"/>
              <w:spacing w:line="360" w:lineRule="auto"/>
              <w:jc w:val="center"/>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2台</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675BB158">
            <w:pPr>
              <w:snapToGrid w:val="0"/>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1.反应模块：0.2ml×96孔反应模块，适合96孔板、8联管、单管等标准耗材</w:t>
            </w:r>
          </w:p>
          <w:p w14:paraId="613DB28D">
            <w:pPr>
              <w:snapToGrid w:val="0"/>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2.标配为快速反应模块，最大变温速率：≥4℃/S，能提高工作效率</w:t>
            </w:r>
          </w:p>
          <w:p w14:paraId="3396DCA3">
            <w:pPr>
              <w:snapToGrid w:val="0"/>
              <w:spacing w:line="360" w:lineRule="auto"/>
              <w:jc w:val="left"/>
              <w:rPr>
                <w:rFonts w:hint="eastAsia" w:ascii="宋体" w:hAnsi="宋体" w:eastAsia="宋体" w:cs="宋体"/>
                <w:color w:val="000000"/>
                <w:szCs w:val="21"/>
                <w:highlight w:val="none"/>
                <w:lang w:eastAsia="zh-CN"/>
              </w:rPr>
            </w:pPr>
            <w:r>
              <w:rPr>
                <w:rFonts w:hint="default" w:ascii="Arial" w:hAnsi="Arial" w:cs="Arial"/>
                <w:color w:val="auto"/>
                <w:sz w:val="21"/>
                <w:szCs w:val="21"/>
                <w:highlight w:val="none"/>
                <w:lang w:val="en-US" w:eastAsia="zh-CN"/>
              </w:rPr>
              <w:t>……</w:t>
            </w:r>
          </w:p>
        </w:tc>
      </w:tr>
      <w:tr w14:paraId="051B3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79CF3D21">
            <w:pPr>
              <w:snapToGrid w:val="0"/>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2BA56875">
            <w:pPr>
              <w:snapToGrid w:val="0"/>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凝胶成像仪系统</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420027F0">
            <w:pPr>
              <w:snapToGrid w:val="0"/>
              <w:spacing w:line="360" w:lineRule="auto"/>
              <w:jc w:val="center"/>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2台</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569BE5AB">
            <w:pPr>
              <w:snapToGrid w:val="0"/>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1．暗箱</w:t>
            </w:r>
          </w:p>
          <w:p w14:paraId="021A4DB6">
            <w:pPr>
              <w:snapToGrid/>
              <w:spacing w:line="24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1.1 尺寸(W*D*H)</w:t>
            </w:r>
            <w:r>
              <w:rPr>
                <w:rFonts w:hint="eastAsia" w:ascii="宋体" w:hAnsi="宋体" w:eastAsia="宋体" w:cs="宋体"/>
                <w:sz w:val="21"/>
                <w:szCs w:val="21"/>
                <w:lang w:eastAsia="zh-CN"/>
              </w:rPr>
              <w:t>（偏差±</w:t>
            </w:r>
            <w:r>
              <w:rPr>
                <w:rFonts w:hint="eastAsia" w:ascii="宋体" w:hAnsi="宋体" w:eastAsia="宋体" w:cs="宋体"/>
                <w:sz w:val="21"/>
                <w:szCs w:val="21"/>
                <w:lang w:val="en-US" w:eastAsia="zh-CN"/>
              </w:rPr>
              <w:t>5%以内</w:t>
            </w:r>
            <w:r>
              <w:rPr>
                <w:rFonts w:hint="eastAsia" w:ascii="宋体" w:hAnsi="宋体" w:eastAsia="宋体" w:cs="宋体"/>
                <w:sz w:val="21"/>
                <w:szCs w:val="21"/>
                <w:lang w:eastAsia="zh-CN"/>
              </w:rPr>
              <w:t>）</w:t>
            </w:r>
            <w:r>
              <w:rPr>
                <w:rFonts w:hint="eastAsia" w:ascii="宋体" w:hAnsi="宋体" w:eastAsia="宋体" w:cs="宋体"/>
                <w:sz w:val="21"/>
                <w:szCs w:val="21"/>
              </w:rPr>
              <w:t>：435mm×395mm×700mm</w:t>
            </w:r>
          </w:p>
          <w:p w14:paraId="1AE259A3">
            <w:pPr>
              <w:snapToGrid w:val="0"/>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1.2 机箱：箱体板面由ABS阻燃材料模具成型，机箱由镀锌钢板材料成型，牢固且确保光密闭及抗干扰</w:t>
            </w:r>
          </w:p>
          <w:p w14:paraId="6E047114">
            <w:pPr>
              <w:snapToGrid w:val="0"/>
              <w:spacing w:line="360" w:lineRule="auto"/>
              <w:jc w:val="left"/>
              <w:rPr>
                <w:rFonts w:hint="eastAsia" w:ascii="宋体" w:hAnsi="宋体" w:eastAsia="宋体" w:cs="宋体"/>
                <w:color w:val="000000"/>
                <w:szCs w:val="21"/>
                <w:highlight w:val="none"/>
                <w:lang w:eastAsia="zh-CN"/>
              </w:rPr>
            </w:pPr>
            <w:r>
              <w:rPr>
                <w:rFonts w:hint="default" w:ascii="Arial" w:hAnsi="Arial" w:cs="Arial"/>
                <w:color w:val="auto"/>
                <w:sz w:val="21"/>
                <w:szCs w:val="21"/>
                <w:highlight w:val="none"/>
                <w:lang w:val="en-US" w:eastAsia="zh-CN"/>
              </w:rPr>
              <w:t>……</w:t>
            </w:r>
          </w:p>
        </w:tc>
      </w:tr>
      <w:tr w14:paraId="14B0D6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6B2C29B4">
            <w:pPr>
              <w:snapToGrid w:val="0"/>
              <w:spacing w:line="360" w:lineRule="auto"/>
              <w:jc w:val="center"/>
              <w:rPr>
                <w:rFonts w:hint="default" w:ascii="宋体" w:hAnsi="宋体" w:cs="宋体"/>
                <w:color w:val="auto"/>
                <w:szCs w:val="21"/>
                <w:highlight w:val="none"/>
                <w:lang w:val="en-US" w:eastAsia="zh-CN"/>
              </w:rPr>
            </w:pPr>
            <w:r>
              <w:rPr>
                <w:rFonts w:hint="default" w:ascii="Arial" w:hAnsi="Arial" w:cs="Arial"/>
                <w:color w:val="auto"/>
                <w:szCs w:val="21"/>
                <w:highlight w:val="none"/>
                <w:lang w:val="en-US" w:eastAsia="zh-CN"/>
              </w:rPr>
              <w:t>……</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722429BC">
            <w:pPr>
              <w:snapToGrid w:val="0"/>
              <w:spacing w:line="360" w:lineRule="auto"/>
              <w:jc w:val="left"/>
              <w:rPr>
                <w:rFonts w:hint="eastAsia" w:ascii="宋体" w:hAnsi="宋体" w:eastAsia="宋体" w:cs="宋体"/>
                <w:color w:val="000000"/>
                <w:szCs w:val="21"/>
                <w:highlight w:val="none"/>
                <w:lang w:eastAsia="zh-CN"/>
              </w:rPr>
            </w:pPr>
            <w:r>
              <w:rPr>
                <w:rFonts w:hint="default" w:ascii="宋体" w:hAnsi="宋体" w:eastAsia="宋体" w:cs="宋体"/>
                <w:color w:val="000000"/>
                <w:szCs w:val="21"/>
                <w:highlight w:val="none"/>
                <w:lang w:val="en-US" w:eastAsia="zh-CN"/>
              </w:rPr>
              <w:t>……</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562E404E">
            <w:pPr>
              <w:snapToGrid w:val="0"/>
              <w:spacing w:line="360" w:lineRule="auto"/>
              <w:jc w:val="left"/>
              <w:rPr>
                <w:rFonts w:hint="eastAsia" w:ascii="宋体" w:hAnsi="宋体" w:eastAsia="宋体" w:cs="宋体"/>
                <w:color w:val="000000"/>
                <w:szCs w:val="21"/>
                <w:highlight w:val="none"/>
                <w:lang w:val="en-US" w:eastAsia="zh-CN"/>
              </w:rPr>
            </w:pPr>
            <w:r>
              <w:rPr>
                <w:rFonts w:hint="default" w:ascii="宋体" w:hAnsi="宋体" w:eastAsia="宋体" w:cs="宋体"/>
                <w:color w:val="000000"/>
                <w:szCs w:val="21"/>
                <w:highlight w:val="none"/>
                <w:lang w:val="en-US" w:eastAsia="zh-CN"/>
              </w:rPr>
              <w:t>……</w:t>
            </w:r>
          </w:p>
        </w:tc>
        <w:tc>
          <w:tcPr>
            <w:tcW w:w="3867" w:type="dxa"/>
            <w:tcBorders>
              <w:left w:val="single" w:color="auto" w:sz="4" w:space="0"/>
              <w:bottom w:val="single" w:color="auto" w:sz="4" w:space="0"/>
              <w:right w:val="single" w:color="auto" w:sz="4" w:space="0"/>
            </w:tcBorders>
            <w:noWrap w:val="0"/>
            <w:vAlign w:val="center"/>
          </w:tcPr>
          <w:p w14:paraId="162AA4BA">
            <w:pPr>
              <w:snapToGrid w:val="0"/>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具体内容详见本公告附件：采购需求</w:t>
            </w:r>
          </w:p>
        </w:tc>
      </w:tr>
    </w:tbl>
    <w:p w14:paraId="3F57A2B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合同履行期限：</w:t>
      </w:r>
      <w:bookmarkStart w:id="22" w:name="OLE_LINK4"/>
      <w:r>
        <w:rPr>
          <w:rFonts w:hint="eastAsia" w:ascii="宋体" w:hAnsi="宋体" w:eastAsia="宋体" w:cs="宋体"/>
          <w:color w:val="auto"/>
          <w:szCs w:val="21"/>
          <w:highlight w:val="none"/>
        </w:rPr>
        <w:t>自签订合同之日起</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cs="宋体"/>
          <w:color w:val="auto"/>
          <w:szCs w:val="21"/>
          <w:highlight w:val="none"/>
          <w:lang w:val="en-US" w:eastAsia="zh-CN"/>
        </w:rPr>
        <w:t>天</w:t>
      </w:r>
      <w:r>
        <w:rPr>
          <w:rFonts w:hint="eastAsia" w:ascii="宋体" w:hAnsi="宋体" w:eastAsia="宋体" w:cs="宋体"/>
          <w:color w:val="auto"/>
          <w:szCs w:val="21"/>
          <w:highlight w:val="none"/>
        </w:rPr>
        <w:t>内</w:t>
      </w:r>
      <w:bookmarkEnd w:id="22"/>
      <w:r>
        <w:rPr>
          <w:rFonts w:hint="eastAsia" w:ascii="宋体" w:hAnsi="宋体" w:cs="宋体"/>
          <w:color w:val="auto"/>
          <w:szCs w:val="21"/>
          <w:highlight w:val="none"/>
        </w:rPr>
        <w:t>安装调试</w:t>
      </w:r>
      <w:r>
        <w:rPr>
          <w:rFonts w:hint="eastAsia" w:ascii="宋体" w:hAnsi="宋体" w:cs="宋体"/>
          <w:color w:val="auto"/>
          <w:szCs w:val="21"/>
          <w:highlight w:val="none"/>
          <w:lang w:val="en-US" w:eastAsia="zh-CN"/>
        </w:rPr>
        <w:t>完毕</w:t>
      </w:r>
      <w:r>
        <w:rPr>
          <w:rFonts w:hint="eastAsia" w:ascii="宋体" w:hAnsi="宋体" w:cs="宋体"/>
          <w:color w:val="auto"/>
          <w:szCs w:val="21"/>
          <w:highlight w:val="none"/>
          <w:lang w:eastAsia="zh-CN"/>
        </w:rPr>
        <w:t>并</w:t>
      </w:r>
      <w:r>
        <w:rPr>
          <w:rFonts w:hint="eastAsia" w:ascii="宋体" w:hAnsi="宋体" w:cs="宋体"/>
          <w:color w:val="auto"/>
          <w:szCs w:val="21"/>
          <w:highlight w:val="none"/>
          <w:lang w:val="en-US" w:eastAsia="zh-CN"/>
        </w:rPr>
        <w:t>通过采购人</w:t>
      </w:r>
      <w:r>
        <w:rPr>
          <w:rFonts w:hint="eastAsia" w:ascii="宋体" w:hAnsi="宋体" w:cs="宋体"/>
          <w:color w:val="auto"/>
          <w:szCs w:val="21"/>
          <w:highlight w:val="none"/>
          <w:lang w:eastAsia="zh-CN"/>
        </w:rPr>
        <w:t>验收合格</w:t>
      </w:r>
    </w:p>
    <w:p w14:paraId="523A28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本项目（是/否）接受联合体投标：□是/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405373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备注：无</w:t>
      </w:r>
    </w:p>
    <w:p w14:paraId="6E30400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3 </w:t>
      </w:r>
      <w:r>
        <w:rPr>
          <w:rFonts w:hint="eastAsia" w:ascii="宋体" w:hAnsi="宋体" w:cs="宋体"/>
          <w:color w:val="auto"/>
          <w:szCs w:val="21"/>
          <w:highlight w:val="none"/>
        </w:rPr>
        <w:t>分标（科研生产管理用车）：</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2"/>
        <w:gridCol w:w="3011"/>
        <w:gridCol w:w="989"/>
        <w:gridCol w:w="3867"/>
      </w:tblGrid>
      <w:tr w14:paraId="6B4126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030C4747">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41678759">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标的的名称</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7940E8E2">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r>
              <w:rPr>
                <w:rFonts w:hint="eastAsia" w:ascii="宋体" w:hAnsi="宋体" w:eastAsia="宋体" w:cs="宋体"/>
                <w:b/>
                <w:bCs/>
                <w:color w:val="auto"/>
                <w:sz w:val="21"/>
                <w:szCs w:val="21"/>
                <w:highlight w:val="none"/>
                <w:lang w:eastAsia="zh-CN"/>
              </w:rPr>
              <w:t>及</w:t>
            </w:r>
            <w:r>
              <w:rPr>
                <w:rFonts w:hint="eastAsia" w:ascii="宋体" w:hAnsi="宋体" w:eastAsia="宋体" w:cs="宋体"/>
                <w:b/>
                <w:bCs/>
                <w:color w:val="auto"/>
                <w:sz w:val="21"/>
                <w:szCs w:val="21"/>
                <w:highlight w:val="none"/>
              </w:rPr>
              <w:t>单位</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4EFD49E8">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简要技术需求或者服务要求</w:t>
            </w:r>
          </w:p>
        </w:tc>
      </w:tr>
      <w:tr w14:paraId="5A0CD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F88ADC">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4AC24702">
            <w:pPr>
              <w:snapToGrid w:val="0"/>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电动二轮巡逻车</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3B68EB72">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lang w:val="en-US" w:eastAsia="zh-CN"/>
              </w:rPr>
              <w:t>2辆</w:t>
            </w:r>
          </w:p>
        </w:tc>
        <w:tc>
          <w:tcPr>
            <w:tcW w:w="3867" w:type="dxa"/>
            <w:tcBorders>
              <w:left w:val="single" w:color="auto" w:sz="4" w:space="0"/>
              <w:bottom w:val="single" w:color="auto" w:sz="4" w:space="0"/>
              <w:right w:val="single" w:color="auto" w:sz="4" w:space="0"/>
            </w:tcBorders>
            <w:noWrap w:val="0"/>
            <w:vAlign w:val="center"/>
          </w:tcPr>
          <w:p w14:paraId="7CAA7DC1">
            <w:pPr>
              <w:numPr>
                <w:ilvl w:val="0"/>
                <w:numId w:val="1"/>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电器系统：</w:t>
            </w:r>
          </w:p>
          <w:p w14:paraId="21C06A51">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sz w:val="21"/>
                <w:szCs w:val="21"/>
                <w:highlight w:val="none"/>
                <w:lang w:eastAsia="zh-CN"/>
              </w:rPr>
              <w:t>电控：8V-60V-72v智能化控制系统；具备无级调速，制动断电，欠压保护，过流保护等性能</w:t>
            </w:r>
          </w:p>
          <w:p w14:paraId="061B339E">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电池：</w:t>
            </w:r>
            <w:r>
              <w:rPr>
                <w:rFonts w:hint="eastAsia" w:ascii="宋体" w:hAnsi="宋体" w:eastAsia="宋体" w:cs="宋体"/>
                <w:sz w:val="21"/>
                <w:szCs w:val="21"/>
                <w:highlight w:val="none"/>
              </w:rPr>
              <w:t>≥60V20AH</w:t>
            </w:r>
            <w:r>
              <w:rPr>
                <w:rFonts w:hint="eastAsia" w:ascii="宋体" w:hAnsi="宋体" w:eastAsia="宋体" w:cs="宋体"/>
                <w:sz w:val="21"/>
                <w:szCs w:val="21"/>
                <w:highlight w:val="none"/>
                <w:lang w:eastAsia="zh-CN"/>
              </w:rPr>
              <w:t>大容量深循环蓄电池</w:t>
            </w:r>
          </w:p>
          <w:p w14:paraId="578245B5">
            <w:pPr>
              <w:numPr>
                <w:ilvl w:val="0"/>
                <w:numId w:val="0"/>
              </w:numPr>
              <w:bidi w:val="0"/>
              <w:spacing w:line="360" w:lineRule="auto"/>
              <w:jc w:val="left"/>
              <w:rPr>
                <w:rFonts w:hint="eastAsia" w:ascii="宋体" w:hAnsi="宋体" w:eastAsia="宋体" w:cs="宋体"/>
                <w:sz w:val="21"/>
                <w:szCs w:val="21"/>
                <w:highlight w:val="none"/>
                <w:lang w:eastAsia="zh-CN"/>
              </w:rPr>
            </w:pPr>
            <w:r>
              <w:rPr>
                <w:rFonts w:hint="default" w:ascii="Arial" w:hAnsi="Arial" w:cs="Arial"/>
                <w:color w:val="auto"/>
                <w:sz w:val="21"/>
                <w:szCs w:val="21"/>
                <w:highlight w:val="none"/>
                <w:lang w:val="en-US" w:eastAsia="zh-CN"/>
              </w:rPr>
              <w:t>……</w:t>
            </w:r>
          </w:p>
        </w:tc>
      </w:tr>
      <w:tr w14:paraId="1417BC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DEFC41">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556B2F20">
            <w:pPr>
              <w:snapToGrid w:val="0"/>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sz w:val="21"/>
                <w:szCs w:val="21"/>
                <w:highlight w:val="none"/>
                <w:lang w:eastAsia="zh-CN"/>
              </w:rPr>
              <w:t>普通电动二轮车</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31B5B9E2">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sz w:val="21"/>
                <w:szCs w:val="21"/>
                <w:highlight w:val="none"/>
                <w:lang w:val="en-US" w:eastAsia="zh-CN"/>
              </w:rPr>
              <w:t>辆</w:t>
            </w:r>
          </w:p>
        </w:tc>
        <w:tc>
          <w:tcPr>
            <w:tcW w:w="3867" w:type="dxa"/>
            <w:tcBorders>
              <w:left w:val="single" w:color="auto" w:sz="4" w:space="0"/>
              <w:bottom w:val="single" w:color="auto" w:sz="4" w:space="0"/>
              <w:right w:val="single" w:color="auto" w:sz="4" w:space="0"/>
            </w:tcBorders>
            <w:noWrap w:val="0"/>
            <w:vAlign w:val="center"/>
          </w:tcPr>
          <w:p w14:paraId="244B0FD0">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一、电器系统：</w:t>
            </w:r>
          </w:p>
          <w:p w14:paraId="5A2CB8E3">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sz w:val="21"/>
                <w:szCs w:val="21"/>
                <w:highlight w:val="none"/>
                <w:lang w:eastAsia="zh-CN"/>
              </w:rPr>
              <w:t>电控：8V-60V-72v智能化控制系统；具备无级调速，制动断电，欠压保护，过流保护等性能</w:t>
            </w:r>
          </w:p>
          <w:p w14:paraId="5CF249E9">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电池：</w:t>
            </w:r>
            <w:r>
              <w:rPr>
                <w:rFonts w:hint="eastAsia" w:ascii="宋体" w:hAnsi="宋体" w:eastAsia="宋体" w:cs="宋体"/>
                <w:sz w:val="21"/>
                <w:szCs w:val="21"/>
                <w:highlight w:val="none"/>
              </w:rPr>
              <w:t>≥60V20AH</w:t>
            </w:r>
            <w:r>
              <w:rPr>
                <w:rFonts w:hint="eastAsia" w:ascii="宋体" w:hAnsi="宋体" w:eastAsia="宋体" w:cs="宋体"/>
                <w:sz w:val="21"/>
                <w:szCs w:val="21"/>
                <w:highlight w:val="none"/>
                <w:lang w:eastAsia="zh-CN"/>
              </w:rPr>
              <w:t>大容量深循环蓄电池</w:t>
            </w:r>
          </w:p>
          <w:p w14:paraId="261FF281">
            <w:pPr>
              <w:numPr>
                <w:ilvl w:val="0"/>
                <w:numId w:val="0"/>
              </w:numPr>
              <w:bidi w:val="0"/>
              <w:spacing w:line="360" w:lineRule="auto"/>
              <w:jc w:val="left"/>
              <w:rPr>
                <w:rFonts w:hint="eastAsia" w:ascii="宋体" w:hAnsi="宋体" w:eastAsia="宋体" w:cs="宋体"/>
                <w:sz w:val="21"/>
                <w:szCs w:val="21"/>
                <w:highlight w:val="none"/>
                <w:lang w:eastAsia="zh-CN"/>
              </w:rPr>
            </w:pPr>
            <w:r>
              <w:rPr>
                <w:rFonts w:hint="default" w:ascii="Arial" w:hAnsi="Arial" w:cs="Arial"/>
                <w:color w:val="auto"/>
                <w:sz w:val="21"/>
                <w:szCs w:val="21"/>
                <w:highlight w:val="none"/>
                <w:lang w:val="en-US" w:eastAsia="zh-CN"/>
              </w:rPr>
              <w:t>……</w:t>
            </w:r>
          </w:p>
        </w:tc>
      </w:tr>
      <w:tr w14:paraId="320A2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FA345A">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60BD33F6">
            <w:pPr>
              <w:snapToGrid w:val="0"/>
              <w:spacing w:line="360" w:lineRule="auto"/>
              <w:jc w:val="left"/>
              <w:rPr>
                <w:rFonts w:hint="eastAsia" w:ascii="宋体" w:hAnsi="宋体" w:eastAsia="宋体" w:cs="宋体"/>
                <w:sz w:val="21"/>
                <w:szCs w:val="21"/>
                <w:lang w:eastAsia="zh-CN"/>
              </w:rPr>
            </w:pPr>
            <w:r>
              <w:rPr>
                <w:rFonts w:hint="eastAsia" w:ascii="宋体" w:hAnsi="宋体" w:eastAsia="宋体" w:cs="宋体"/>
                <w:color w:val="000000"/>
                <w:sz w:val="21"/>
                <w:szCs w:val="21"/>
                <w:highlight w:val="none"/>
                <w:lang w:val="en-US" w:eastAsia="zh-CN"/>
              </w:rPr>
              <w:t>……</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71A525C6">
            <w:pPr>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3867" w:type="dxa"/>
            <w:tcBorders>
              <w:left w:val="single" w:color="auto" w:sz="4" w:space="0"/>
              <w:bottom w:val="single" w:color="auto" w:sz="4" w:space="0"/>
              <w:right w:val="single" w:color="auto" w:sz="4" w:space="0"/>
            </w:tcBorders>
            <w:noWrap w:val="0"/>
            <w:vAlign w:val="center"/>
          </w:tcPr>
          <w:p w14:paraId="01C3FB8A">
            <w:pPr>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lang w:eastAsia="zh-CN"/>
              </w:rPr>
              <w:t>具体内容详见本公告附件：采购需求</w:t>
            </w:r>
          </w:p>
        </w:tc>
      </w:tr>
    </w:tbl>
    <w:p w14:paraId="35DE50F6">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合同履行期限：</w:t>
      </w:r>
      <w:r>
        <w:rPr>
          <w:rFonts w:hint="eastAsia" w:ascii="宋体" w:hAnsi="宋体" w:eastAsia="宋体" w:cs="宋体"/>
          <w:color w:val="auto"/>
          <w:szCs w:val="21"/>
          <w:highlight w:val="none"/>
        </w:rPr>
        <w:t>自签订合同之日起</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cs="宋体"/>
          <w:color w:val="auto"/>
          <w:szCs w:val="21"/>
          <w:highlight w:val="none"/>
          <w:lang w:val="en-US" w:eastAsia="zh-CN"/>
        </w:rPr>
        <w:t>天</w:t>
      </w:r>
      <w:r>
        <w:rPr>
          <w:rFonts w:hint="eastAsia" w:ascii="宋体" w:hAnsi="宋体" w:eastAsia="宋体" w:cs="宋体"/>
          <w:color w:val="auto"/>
          <w:szCs w:val="21"/>
          <w:highlight w:val="none"/>
        </w:rPr>
        <w:t>内</w:t>
      </w:r>
      <w:r>
        <w:rPr>
          <w:rFonts w:hint="eastAsia" w:ascii="宋体" w:hAnsi="宋体" w:cs="宋体"/>
          <w:color w:val="auto"/>
          <w:szCs w:val="21"/>
          <w:highlight w:val="none"/>
        </w:rPr>
        <w:t>安装调试</w:t>
      </w:r>
      <w:r>
        <w:rPr>
          <w:rFonts w:hint="eastAsia" w:ascii="宋体" w:hAnsi="宋体" w:cs="宋体"/>
          <w:color w:val="auto"/>
          <w:szCs w:val="21"/>
          <w:highlight w:val="none"/>
          <w:lang w:val="en-US" w:eastAsia="zh-CN"/>
        </w:rPr>
        <w:t>完毕</w:t>
      </w:r>
      <w:r>
        <w:rPr>
          <w:rFonts w:hint="eastAsia" w:ascii="宋体" w:hAnsi="宋体" w:cs="宋体"/>
          <w:color w:val="auto"/>
          <w:szCs w:val="21"/>
          <w:highlight w:val="none"/>
          <w:lang w:eastAsia="zh-CN"/>
        </w:rPr>
        <w:t>并</w:t>
      </w:r>
      <w:r>
        <w:rPr>
          <w:rFonts w:hint="eastAsia" w:ascii="宋体" w:hAnsi="宋体" w:cs="宋体"/>
          <w:color w:val="auto"/>
          <w:szCs w:val="21"/>
          <w:highlight w:val="none"/>
          <w:lang w:val="en-US" w:eastAsia="zh-CN"/>
        </w:rPr>
        <w:t>通过采购人</w:t>
      </w:r>
      <w:r>
        <w:rPr>
          <w:rFonts w:hint="eastAsia" w:ascii="宋体" w:hAnsi="宋体" w:cs="宋体"/>
          <w:color w:val="auto"/>
          <w:szCs w:val="21"/>
          <w:highlight w:val="none"/>
          <w:lang w:eastAsia="zh-CN"/>
        </w:rPr>
        <w:t>验收合格</w:t>
      </w:r>
    </w:p>
    <w:p w14:paraId="24C407C8">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本项目（是/否）接受联合体投标：□是/</w:t>
      </w:r>
      <w:r>
        <w:rPr>
          <w:rFonts w:hint="eastAsia" w:ascii="宋体" w:hAnsi="宋体" w:cs="宋体"/>
          <w:color w:val="auto"/>
          <w:szCs w:val="21"/>
          <w:highlight w:val="none"/>
          <w:lang w:eastAsia="zh-CN"/>
        </w:rPr>
        <w:t>☑</w:t>
      </w:r>
      <w:r>
        <w:rPr>
          <w:rFonts w:hint="eastAsia" w:ascii="宋体" w:hAnsi="宋体" w:cs="宋体"/>
          <w:color w:val="auto"/>
          <w:szCs w:val="21"/>
          <w:highlight w:val="none"/>
        </w:rPr>
        <w:t>否</w:t>
      </w:r>
    </w:p>
    <w:p w14:paraId="415C45B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备注：无</w:t>
      </w:r>
    </w:p>
    <w:p w14:paraId="0B7471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4 </w:t>
      </w:r>
      <w:r>
        <w:rPr>
          <w:rFonts w:hint="eastAsia" w:ascii="宋体" w:hAnsi="宋体" w:cs="宋体"/>
          <w:color w:val="auto"/>
          <w:szCs w:val="21"/>
          <w:highlight w:val="none"/>
        </w:rPr>
        <w:t>分标（资源圃展示升级设备）：</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2"/>
        <w:gridCol w:w="3011"/>
        <w:gridCol w:w="989"/>
        <w:gridCol w:w="3867"/>
      </w:tblGrid>
      <w:tr w14:paraId="56C46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74EB974D">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1F5AE777">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标的的名称</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31E1FB67">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w:t>
            </w:r>
            <w:r>
              <w:rPr>
                <w:rFonts w:hint="eastAsia" w:ascii="宋体" w:hAnsi="宋体" w:cs="宋体"/>
                <w:b/>
                <w:bCs/>
                <w:color w:val="auto"/>
                <w:szCs w:val="21"/>
                <w:highlight w:val="none"/>
                <w:lang w:eastAsia="zh-CN"/>
              </w:rPr>
              <w:t>及</w:t>
            </w:r>
            <w:r>
              <w:rPr>
                <w:rFonts w:hint="eastAsia" w:ascii="宋体" w:hAnsi="宋体" w:cs="宋体"/>
                <w:b/>
                <w:bCs/>
                <w:color w:val="auto"/>
                <w:szCs w:val="21"/>
                <w:highlight w:val="none"/>
              </w:rPr>
              <w:t>单位</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11128629">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简要技术需求或者服务要求</w:t>
            </w:r>
          </w:p>
        </w:tc>
      </w:tr>
      <w:tr w14:paraId="15A835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EC6CEA">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w:t>
            </w:r>
          </w:p>
        </w:tc>
        <w:tc>
          <w:tcPr>
            <w:tcW w:w="30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6FB327">
            <w:pPr>
              <w:snapToGrid w:val="0"/>
              <w:spacing w:line="360" w:lineRule="auto"/>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highlight w:val="none"/>
                <w:lang w:eastAsia="zh-CN"/>
              </w:rPr>
              <w:t>灌溉系统</w:t>
            </w:r>
            <w:r>
              <w:rPr>
                <w:rFonts w:hint="eastAsia" w:ascii="宋体" w:hAnsi="宋体" w:cs="宋体"/>
                <w:color w:val="000000"/>
                <w:szCs w:val="21"/>
                <w:highlight w:val="none"/>
                <w:lang w:eastAsia="zh-CN"/>
              </w:rPr>
              <w:t>（</w:t>
            </w:r>
            <w:r>
              <w:rPr>
                <w:rFonts w:hint="eastAsia" w:ascii="宋体" w:hAnsi="宋体" w:eastAsia="宋体" w:cs="宋体"/>
                <w:color w:val="000000"/>
                <w:szCs w:val="21"/>
                <w:highlight w:val="none"/>
                <w:lang w:eastAsia="zh-CN"/>
              </w:rPr>
              <w:t>37亩）</w:t>
            </w:r>
          </w:p>
        </w:tc>
        <w:tc>
          <w:tcPr>
            <w:tcW w:w="98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762E3C">
            <w:pPr>
              <w:snapToGrid w:val="0"/>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1批</w:t>
            </w:r>
          </w:p>
        </w:tc>
        <w:tc>
          <w:tcPr>
            <w:tcW w:w="3867" w:type="dxa"/>
            <w:tcBorders>
              <w:left w:val="single" w:color="auto" w:sz="4" w:space="0"/>
              <w:bottom w:val="single" w:color="auto" w:sz="4" w:space="0"/>
              <w:right w:val="single" w:color="auto" w:sz="4" w:space="0"/>
            </w:tcBorders>
            <w:noWrap w:val="0"/>
            <w:vAlign w:val="center"/>
          </w:tcPr>
          <w:p w14:paraId="6900D53D">
            <w:pPr>
              <w:numPr>
                <w:ilvl w:val="0"/>
                <w:numId w:val="2"/>
              </w:num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主管道</w:t>
            </w:r>
          </w:p>
          <w:p w14:paraId="6D33C55A">
            <w:pPr>
              <w:numPr>
                <w:ilvl w:val="0"/>
                <w:numId w:val="0"/>
              </w:numPr>
              <w:snapToGrid w:val="0"/>
              <w:spacing w:line="360" w:lineRule="auto"/>
              <w:jc w:val="left"/>
              <w:rPr>
                <w:rFonts w:hint="eastAsia" w:ascii="宋体" w:hAnsi="宋体" w:cs="宋体"/>
                <w:color w:val="auto"/>
                <w:szCs w:val="21"/>
                <w:highlight w:val="none"/>
              </w:rPr>
            </w:pPr>
            <w:r>
              <w:rPr>
                <w:rFonts w:hint="default" w:ascii="Arial" w:hAnsi="Arial" w:cs="Arial"/>
                <w:color w:val="auto"/>
                <w:sz w:val="21"/>
                <w:szCs w:val="21"/>
                <w:highlight w:val="none"/>
                <w:lang w:val="en-US" w:eastAsia="zh-CN"/>
              </w:rPr>
              <w:t>……</w:t>
            </w:r>
          </w:p>
        </w:tc>
      </w:tr>
      <w:tr w14:paraId="013CAA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22B755A1">
            <w:pPr>
              <w:snapToGrid w:val="0"/>
              <w:spacing w:line="360" w:lineRule="auto"/>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4F0035B8">
            <w:pPr>
              <w:snapToGrid w:val="0"/>
              <w:spacing w:line="360" w:lineRule="auto"/>
              <w:jc w:val="center"/>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水肥一体灌溉机</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7C942B01">
            <w:pPr>
              <w:snapToGrid w:val="0"/>
              <w:spacing w:line="36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1套</w:t>
            </w:r>
          </w:p>
        </w:tc>
        <w:tc>
          <w:tcPr>
            <w:tcW w:w="3867" w:type="dxa"/>
            <w:tcBorders>
              <w:left w:val="single" w:color="auto" w:sz="4" w:space="0"/>
              <w:bottom w:val="single" w:color="auto" w:sz="4" w:space="0"/>
              <w:right w:val="single" w:color="auto" w:sz="4" w:space="0"/>
            </w:tcBorders>
            <w:noWrap w:val="0"/>
            <w:vAlign w:val="center"/>
          </w:tcPr>
          <w:p w14:paraId="0A8BCFE8">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▲1.具备≥10寸人机交互界面，可手动控制及设定设备执行操作</w:t>
            </w:r>
          </w:p>
          <w:p w14:paraId="39741B1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2.可自动或手动控制吸肥泵、吸肥阀、搅拌机以及外接水泵的开启和关闭</w:t>
            </w:r>
          </w:p>
          <w:p w14:paraId="09A5648C">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3.可远程控制各功能开关</w:t>
            </w:r>
          </w:p>
          <w:p w14:paraId="0D8019B9">
            <w:pPr>
              <w:snapToGrid w:val="0"/>
              <w:spacing w:line="360" w:lineRule="auto"/>
              <w:jc w:val="left"/>
              <w:rPr>
                <w:rFonts w:hint="eastAsia" w:ascii="宋体" w:hAnsi="宋体" w:cs="宋体"/>
                <w:color w:val="auto"/>
                <w:szCs w:val="21"/>
                <w:highlight w:val="none"/>
              </w:rPr>
            </w:pPr>
            <w:r>
              <w:rPr>
                <w:rFonts w:hint="default" w:ascii="Arial" w:hAnsi="Arial" w:cs="Arial"/>
                <w:color w:val="auto"/>
                <w:sz w:val="21"/>
                <w:szCs w:val="21"/>
                <w:highlight w:val="none"/>
                <w:lang w:val="en-US" w:eastAsia="zh-CN"/>
              </w:rPr>
              <w:t>……</w:t>
            </w:r>
          </w:p>
        </w:tc>
      </w:tr>
      <w:tr w14:paraId="21013D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6D11738F">
            <w:pPr>
              <w:snapToGrid w:val="0"/>
              <w:spacing w:line="360" w:lineRule="auto"/>
              <w:jc w:val="center"/>
              <w:rPr>
                <w:rFonts w:hint="eastAsia" w:ascii="宋体" w:hAnsi="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4E97E24E">
            <w:pPr>
              <w:snapToGrid w:val="0"/>
              <w:spacing w:line="360" w:lineRule="auto"/>
              <w:jc w:val="left"/>
              <w:rPr>
                <w:rFonts w:hint="eastAsia" w:ascii="宋体" w:hAnsi="宋体" w:eastAsia="宋体" w:cs="宋体"/>
                <w:color w:val="000000"/>
                <w:szCs w:val="21"/>
                <w:highlight w:val="none"/>
                <w:lang w:eastAsia="zh-CN"/>
              </w:rPr>
            </w:pPr>
            <w:r>
              <w:rPr>
                <w:rFonts w:hint="eastAsia" w:ascii="宋体" w:hAnsi="宋体" w:eastAsia="宋体" w:cs="宋体"/>
                <w:color w:val="000000"/>
                <w:sz w:val="21"/>
                <w:szCs w:val="21"/>
                <w:highlight w:val="none"/>
                <w:lang w:val="en-US" w:eastAsia="zh-CN"/>
              </w:rPr>
              <w:t>……</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3093E8B9">
            <w:pPr>
              <w:snapToGrid w:val="0"/>
              <w:spacing w:line="360" w:lineRule="auto"/>
              <w:jc w:val="left"/>
              <w:rPr>
                <w:rFonts w:hint="eastAsia" w:ascii="宋体" w:hAnsi="宋体" w:cs="宋体"/>
                <w:color w:val="auto"/>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3867" w:type="dxa"/>
            <w:tcBorders>
              <w:left w:val="single" w:color="auto" w:sz="4" w:space="0"/>
              <w:bottom w:val="single" w:color="auto" w:sz="4" w:space="0"/>
              <w:right w:val="single" w:color="auto" w:sz="4" w:space="0"/>
            </w:tcBorders>
            <w:noWrap w:val="0"/>
            <w:vAlign w:val="center"/>
          </w:tcPr>
          <w:p w14:paraId="294B2A81">
            <w:pPr>
              <w:snapToGrid w:val="0"/>
              <w:spacing w:line="360" w:lineRule="auto"/>
              <w:jc w:val="left"/>
              <w:rPr>
                <w:rFonts w:hint="eastAsia" w:ascii="宋体" w:hAnsi="宋体" w:cs="宋体"/>
                <w:color w:val="auto"/>
                <w:szCs w:val="21"/>
                <w:highlight w:val="none"/>
              </w:rPr>
            </w:pPr>
            <w:r>
              <w:rPr>
                <w:rFonts w:hint="eastAsia" w:ascii="宋体" w:hAnsi="宋体" w:eastAsia="宋体" w:cs="宋体"/>
                <w:color w:val="000000"/>
                <w:sz w:val="21"/>
                <w:szCs w:val="21"/>
                <w:highlight w:val="none"/>
                <w:lang w:eastAsia="zh-CN"/>
              </w:rPr>
              <w:t>具体内容详见本公告附件：采购需求</w:t>
            </w:r>
          </w:p>
        </w:tc>
      </w:tr>
    </w:tbl>
    <w:p w14:paraId="445E3C74">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合同履行期限：</w:t>
      </w:r>
      <w:r>
        <w:rPr>
          <w:rFonts w:hint="eastAsia" w:ascii="宋体" w:hAnsi="宋体" w:eastAsia="宋体" w:cs="宋体"/>
          <w:color w:val="auto"/>
          <w:szCs w:val="21"/>
          <w:highlight w:val="none"/>
        </w:rPr>
        <w:t>自签订合同之日起</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cs="宋体"/>
          <w:color w:val="auto"/>
          <w:szCs w:val="21"/>
          <w:highlight w:val="none"/>
          <w:lang w:val="en-US" w:eastAsia="zh-CN"/>
        </w:rPr>
        <w:t>天</w:t>
      </w:r>
      <w:r>
        <w:rPr>
          <w:rFonts w:hint="eastAsia" w:ascii="宋体" w:hAnsi="宋体" w:eastAsia="宋体" w:cs="宋体"/>
          <w:color w:val="auto"/>
          <w:szCs w:val="21"/>
          <w:highlight w:val="none"/>
        </w:rPr>
        <w:t>内</w:t>
      </w:r>
      <w:r>
        <w:rPr>
          <w:rFonts w:hint="eastAsia" w:ascii="宋体" w:hAnsi="宋体" w:cs="宋体"/>
          <w:color w:val="auto"/>
          <w:szCs w:val="21"/>
          <w:highlight w:val="none"/>
        </w:rPr>
        <w:t>安装调试</w:t>
      </w:r>
      <w:r>
        <w:rPr>
          <w:rFonts w:hint="eastAsia" w:ascii="宋体" w:hAnsi="宋体" w:cs="宋体"/>
          <w:color w:val="auto"/>
          <w:szCs w:val="21"/>
          <w:highlight w:val="none"/>
          <w:lang w:val="en-US" w:eastAsia="zh-CN"/>
        </w:rPr>
        <w:t>完毕</w:t>
      </w:r>
      <w:r>
        <w:rPr>
          <w:rFonts w:hint="eastAsia" w:ascii="宋体" w:hAnsi="宋体" w:cs="宋体"/>
          <w:color w:val="auto"/>
          <w:szCs w:val="21"/>
          <w:highlight w:val="none"/>
          <w:lang w:eastAsia="zh-CN"/>
        </w:rPr>
        <w:t>并</w:t>
      </w:r>
      <w:r>
        <w:rPr>
          <w:rFonts w:hint="eastAsia" w:ascii="宋体" w:hAnsi="宋体" w:cs="宋体"/>
          <w:color w:val="auto"/>
          <w:szCs w:val="21"/>
          <w:highlight w:val="none"/>
          <w:lang w:val="en-US" w:eastAsia="zh-CN"/>
        </w:rPr>
        <w:t>通过采购人</w:t>
      </w:r>
      <w:r>
        <w:rPr>
          <w:rFonts w:hint="eastAsia" w:ascii="宋体" w:hAnsi="宋体" w:cs="宋体"/>
          <w:color w:val="auto"/>
          <w:szCs w:val="21"/>
          <w:highlight w:val="none"/>
          <w:lang w:eastAsia="zh-CN"/>
        </w:rPr>
        <w:t>验收合格</w:t>
      </w:r>
    </w:p>
    <w:p w14:paraId="3B68EF54">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本项目（是/否）接受联合体投标：□是/</w:t>
      </w:r>
      <w:r>
        <w:rPr>
          <w:rFonts w:hint="eastAsia" w:ascii="宋体" w:hAnsi="宋体" w:cs="宋体"/>
          <w:color w:val="auto"/>
          <w:szCs w:val="21"/>
          <w:highlight w:val="none"/>
          <w:lang w:eastAsia="zh-CN"/>
        </w:rPr>
        <w:t>☑</w:t>
      </w:r>
      <w:r>
        <w:rPr>
          <w:rFonts w:hint="eastAsia" w:ascii="宋体" w:hAnsi="宋体" w:cs="宋体"/>
          <w:color w:val="auto"/>
          <w:szCs w:val="21"/>
          <w:highlight w:val="none"/>
        </w:rPr>
        <w:t>否</w:t>
      </w:r>
    </w:p>
    <w:p w14:paraId="0758073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备注：无</w:t>
      </w:r>
    </w:p>
    <w:p w14:paraId="154A47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5 </w:t>
      </w:r>
      <w:r>
        <w:rPr>
          <w:rFonts w:hint="eastAsia" w:ascii="宋体" w:hAnsi="宋体" w:cs="宋体"/>
          <w:color w:val="auto"/>
          <w:szCs w:val="21"/>
          <w:highlight w:val="none"/>
        </w:rPr>
        <w:t>分标（水产繁育区配套设施设备</w:t>
      </w:r>
      <w:r>
        <w:rPr>
          <w:rFonts w:hint="eastAsia" w:ascii="宋体" w:hAnsi="宋体" w:cs="宋体"/>
          <w:color w:val="auto"/>
          <w:szCs w:val="21"/>
          <w:highlight w:val="none"/>
          <w:lang w:eastAsia="zh-CN"/>
        </w:rPr>
        <w:t>及</w:t>
      </w:r>
      <w:r>
        <w:rPr>
          <w:rFonts w:hint="eastAsia" w:ascii="宋体" w:hAnsi="宋体" w:cs="宋体"/>
          <w:color w:val="auto"/>
          <w:szCs w:val="21"/>
          <w:highlight w:val="none"/>
        </w:rPr>
        <w:t>基地智能化管理系统设备）：</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2"/>
        <w:gridCol w:w="3011"/>
        <w:gridCol w:w="989"/>
        <w:gridCol w:w="3867"/>
      </w:tblGrid>
      <w:tr w14:paraId="78684D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4BA2D0E6">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569A7F20">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标的的名称</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7ED863E1">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r>
              <w:rPr>
                <w:rFonts w:hint="eastAsia" w:ascii="宋体" w:hAnsi="宋体" w:eastAsia="宋体" w:cs="宋体"/>
                <w:b/>
                <w:bCs/>
                <w:color w:val="auto"/>
                <w:sz w:val="21"/>
                <w:szCs w:val="21"/>
                <w:highlight w:val="none"/>
                <w:lang w:eastAsia="zh-CN"/>
              </w:rPr>
              <w:t>及</w:t>
            </w:r>
            <w:r>
              <w:rPr>
                <w:rFonts w:hint="eastAsia" w:ascii="宋体" w:hAnsi="宋体" w:eastAsia="宋体" w:cs="宋体"/>
                <w:b/>
                <w:bCs/>
                <w:color w:val="auto"/>
                <w:sz w:val="21"/>
                <w:szCs w:val="21"/>
                <w:highlight w:val="none"/>
              </w:rPr>
              <w:t>单位</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15C00952">
            <w:pPr>
              <w:snapToGrid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简要技术需求或者服务要求</w:t>
            </w:r>
          </w:p>
        </w:tc>
      </w:tr>
      <w:tr w14:paraId="6C48A3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193F72F7">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265DCC5C">
            <w:pPr>
              <w:snapToGrid w:val="0"/>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后备电源设备（柴油发电机组）</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67CF9A79">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套</w:t>
            </w:r>
          </w:p>
        </w:tc>
        <w:tc>
          <w:tcPr>
            <w:tcW w:w="3867" w:type="dxa"/>
            <w:tcBorders>
              <w:left w:val="single" w:color="auto" w:sz="4" w:space="0"/>
              <w:bottom w:val="single" w:color="auto" w:sz="4" w:space="0"/>
              <w:right w:val="single" w:color="auto" w:sz="4" w:space="0"/>
            </w:tcBorders>
            <w:noWrap w:val="0"/>
            <w:vAlign w:val="center"/>
          </w:tcPr>
          <w:p w14:paraId="5577665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▲1.发动机功率</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1160KW</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排量</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8L</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立式、直列、水冷、四冲程柴油发动机</w:t>
            </w:r>
          </w:p>
          <w:p w14:paraId="6297E96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▲2.发电机功率</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150KW,无刷，自励磁，AVR 自动调压</w:t>
            </w:r>
          </w:p>
          <w:p w14:paraId="2FBBA5BC">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default" w:ascii="Arial" w:hAnsi="Arial" w:cs="Arial"/>
                <w:color w:val="auto"/>
                <w:sz w:val="21"/>
                <w:szCs w:val="21"/>
                <w:highlight w:val="none"/>
                <w:lang w:val="en-US" w:eastAsia="zh-CN"/>
              </w:rPr>
              <w:t>……</w:t>
            </w:r>
          </w:p>
        </w:tc>
      </w:tr>
      <w:tr w14:paraId="06E1F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6366D8DC">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0A8A81F4">
            <w:pPr>
              <w:snapToGrid w:val="0"/>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sz w:val="21"/>
                <w:szCs w:val="21"/>
              </w:rPr>
              <w:t>配套电缆</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22BE1B5A">
            <w:pPr>
              <w:numPr>
                <w:ilvl w:val="0"/>
                <w:numId w:val="0"/>
              </w:numPr>
              <w:tabs>
                <w:tab w:val="left" w:pos="1626"/>
              </w:tabs>
              <w:bidi w:val="0"/>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100米</w:t>
            </w:r>
          </w:p>
        </w:tc>
        <w:tc>
          <w:tcPr>
            <w:tcW w:w="3867" w:type="dxa"/>
            <w:tcBorders>
              <w:left w:val="single" w:color="auto" w:sz="4" w:space="0"/>
              <w:bottom w:val="single" w:color="auto" w:sz="4" w:space="0"/>
              <w:right w:val="single" w:color="auto" w:sz="4" w:space="0"/>
            </w:tcBorders>
            <w:noWrap w:val="0"/>
            <w:vAlign w:val="center"/>
          </w:tcPr>
          <w:p w14:paraId="1FC0BFE1">
            <w:pPr>
              <w:keepNext w:val="0"/>
              <w:keepLines w:val="0"/>
              <w:widowControl/>
              <w:suppressLineNumbers w:val="0"/>
              <w:spacing w:line="36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▲1.所有配套电缆必须采用阻燃铠装或者阻燃电缆加金属护套，防止鼠害</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▲2.动力电缆应采用纯铜电缆，符合国标GB/T 12706.1-2020要求</w:t>
            </w:r>
          </w:p>
          <w:p w14:paraId="19F8473C">
            <w:pPr>
              <w:keepNext w:val="0"/>
              <w:keepLines w:val="0"/>
              <w:widowControl/>
              <w:suppressLineNumbers w:val="0"/>
              <w:spacing w:line="36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default" w:ascii="Arial" w:hAnsi="Arial" w:cs="Arial"/>
                <w:color w:val="auto"/>
                <w:sz w:val="21"/>
                <w:szCs w:val="21"/>
                <w:highlight w:val="none"/>
                <w:lang w:val="en-US" w:eastAsia="zh-CN"/>
              </w:rPr>
              <w:t>……</w:t>
            </w:r>
          </w:p>
        </w:tc>
      </w:tr>
      <w:tr w14:paraId="418EE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49A11094">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5D6A3310">
            <w:pPr>
              <w:snapToGrid w:val="0"/>
              <w:spacing w:line="360" w:lineRule="auto"/>
              <w:jc w:val="left"/>
              <w:rPr>
                <w:rFonts w:hint="eastAsia" w:ascii="宋体" w:hAnsi="宋体" w:eastAsia="宋体" w:cs="宋体"/>
                <w:sz w:val="21"/>
                <w:szCs w:val="21"/>
              </w:rPr>
            </w:pPr>
            <w:r>
              <w:rPr>
                <w:rFonts w:hint="eastAsia" w:ascii="宋体" w:hAnsi="宋体" w:eastAsia="宋体" w:cs="宋体"/>
                <w:color w:val="000000"/>
                <w:sz w:val="21"/>
                <w:szCs w:val="21"/>
                <w:highlight w:val="none"/>
                <w:lang w:val="en-US" w:eastAsia="zh-CN"/>
              </w:rPr>
              <w:t>……</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16801533">
            <w:pPr>
              <w:snapToGrid w:val="0"/>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000000"/>
                <w:sz w:val="21"/>
                <w:szCs w:val="21"/>
                <w:highlight w:val="none"/>
                <w:lang w:val="en-US" w:eastAsia="zh-CN"/>
              </w:rPr>
              <w:t>……</w:t>
            </w:r>
          </w:p>
        </w:tc>
        <w:tc>
          <w:tcPr>
            <w:tcW w:w="3867" w:type="dxa"/>
            <w:tcBorders>
              <w:left w:val="single" w:color="auto" w:sz="4" w:space="0"/>
              <w:bottom w:val="single" w:color="auto" w:sz="4" w:space="0"/>
              <w:right w:val="single" w:color="auto" w:sz="4" w:space="0"/>
            </w:tcBorders>
            <w:noWrap w:val="0"/>
            <w:vAlign w:val="center"/>
          </w:tcPr>
          <w:p w14:paraId="10547F65">
            <w:pPr>
              <w:snapToGrid w:val="0"/>
              <w:spacing w:line="36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color w:val="000000"/>
                <w:sz w:val="21"/>
                <w:szCs w:val="21"/>
                <w:highlight w:val="none"/>
                <w:lang w:eastAsia="zh-CN"/>
              </w:rPr>
              <w:t>具体内容详见本公告附件：采购需求</w:t>
            </w:r>
          </w:p>
        </w:tc>
      </w:tr>
    </w:tbl>
    <w:p w14:paraId="115F16EA">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合同履行期限：</w:t>
      </w:r>
      <w:r>
        <w:rPr>
          <w:rFonts w:hint="eastAsia" w:ascii="宋体" w:hAnsi="宋体" w:eastAsia="宋体" w:cs="宋体"/>
          <w:color w:val="auto"/>
          <w:szCs w:val="21"/>
          <w:highlight w:val="none"/>
        </w:rPr>
        <w:t>自签订合同之日起</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cs="宋体"/>
          <w:color w:val="auto"/>
          <w:szCs w:val="21"/>
          <w:highlight w:val="none"/>
          <w:lang w:val="en-US" w:eastAsia="zh-CN"/>
        </w:rPr>
        <w:t>天</w:t>
      </w:r>
      <w:r>
        <w:rPr>
          <w:rFonts w:hint="eastAsia" w:ascii="宋体" w:hAnsi="宋体" w:eastAsia="宋体" w:cs="宋体"/>
          <w:color w:val="auto"/>
          <w:szCs w:val="21"/>
          <w:highlight w:val="none"/>
        </w:rPr>
        <w:t>内</w:t>
      </w:r>
      <w:r>
        <w:rPr>
          <w:rFonts w:hint="eastAsia" w:ascii="宋体" w:hAnsi="宋体" w:cs="宋体"/>
          <w:color w:val="auto"/>
          <w:szCs w:val="21"/>
          <w:highlight w:val="none"/>
        </w:rPr>
        <w:t>安装调试</w:t>
      </w:r>
      <w:r>
        <w:rPr>
          <w:rFonts w:hint="eastAsia" w:ascii="宋体" w:hAnsi="宋体" w:cs="宋体"/>
          <w:color w:val="auto"/>
          <w:szCs w:val="21"/>
          <w:highlight w:val="none"/>
          <w:lang w:val="en-US" w:eastAsia="zh-CN"/>
        </w:rPr>
        <w:t>完毕</w:t>
      </w:r>
      <w:r>
        <w:rPr>
          <w:rFonts w:hint="eastAsia" w:ascii="宋体" w:hAnsi="宋体" w:cs="宋体"/>
          <w:color w:val="auto"/>
          <w:szCs w:val="21"/>
          <w:highlight w:val="none"/>
          <w:lang w:eastAsia="zh-CN"/>
        </w:rPr>
        <w:t>并</w:t>
      </w:r>
      <w:r>
        <w:rPr>
          <w:rFonts w:hint="eastAsia" w:ascii="宋体" w:hAnsi="宋体" w:cs="宋体"/>
          <w:color w:val="auto"/>
          <w:szCs w:val="21"/>
          <w:highlight w:val="none"/>
          <w:lang w:val="en-US" w:eastAsia="zh-CN"/>
        </w:rPr>
        <w:t>通过采购人</w:t>
      </w:r>
      <w:r>
        <w:rPr>
          <w:rFonts w:hint="eastAsia" w:ascii="宋体" w:hAnsi="宋体" w:cs="宋体"/>
          <w:color w:val="auto"/>
          <w:szCs w:val="21"/>
          <w:highlight w:val="none"/>
          <w:lang w:eastAsia="zh-CN"/>
        </w:rPr>
        <w:t>验收合格</w:t>
      </w:r>
    </w:p>
    <w:p w14:paraId="726B4D80">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本项目（是/否）接受联合体投标：□是/</w:t>
      </w:r>
      <w:r>
        <w:rPr>
          <w:rFonts w:hint="eastAsia" w:ascii="宋体" w:hAnsi="宋体" w:cs="宋体"/>
          <w:color w:val="auto"/>
          <w:szCs w:val="21"/>
          <w:highlight w:val="none"/>
          <w:lang w:eastAsia="zh-CN"/>
        </w:rPr>
        <w:t>☑</w:t>
      </w:r>
      <w:r>
        <w:rPr>
          <w:rFonts w:hint="eastAsia" w:ascii="宋体" w:hAnsi="宋体" w:cs="宋体"/>
          <w:color w:val="auto"/>
          <w:szCs w:val="21"/>
          <w:highlight w:val="none"/>
        </w:rPr>
        <w:t>否</w:t>
      </w:r>
    </w:p>
    <w:p w14:paraId="784147A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备注：无</w:t>
      </w:r>
    </w:p>
    <w:p w14:paraId="3CC2CF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6</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分标（水产繁育区智慧物联网水质监管系统设备）：</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2"/>
        <w:gridCol w:w="3011"/>
        <w:gridCol w:w="989"/>
        <w:gridCol w:w="3867"/>
      </w:tblGrid>
      <w:tr w14:paraId="02854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822" w:type="dxa"/>
            <w:tcBorders>
              <w:top w:val="single" w:color="auto" w:sz="4" w:space="0"/>
              <w:left w:val="single" w:color="auto" w:sz="4" w:space="0"/>
              <w:bottom w:val="single" w:color="auto" w:sz="4" w:space="0"/>
              <w:right w:val="single" w:color="auto" w:sz="4" w:space="0"/>
            </w:tcBorders>
            <w:noWrap w:val="0"/>
            <w:vAlign w:val="center"/>
          </w:tcPr>
          <w:p w14:paraId="28E4C211">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28EE8CD7">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标的的名称</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6E68F93A">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w:t>
            </w:r>
            <w:r>
              <w:rPr>
                <w:rFonts w:hint="eastAsia" w:ascii="宋体" w:hAnsi="宋体" w:cs="宋体"/>
                <w:b/>
                <w:bCs/>
                <w:color w:val="auto"/>
                <w:szCs w:val="21"/>
                <w:highlight w:val="none"/>
                <w:lang w:eastAsia="zh-CN"/>
              </w:rPr>
              <w:t>及</w:t>
            </w:r>
            <w:r>
              <w:rPr>
                <w:rFonts w:hint="eastAsia" w:ascii="宋体" w:hAnsi="宋体" w:cs="宋体"/>
                <w:b/>
                <w:bCs/>
                <w:color w:val="auto"/>
                <w:szCs w:val="21"/>
                <w:highlight w:val="none"/>
              </w:rPr>
              <w:t>单位</w:t>
            </w:r>
          </w:p>
        </w:tc>
        <w:tc>
          <w:tcPr>
            <w:tcW w:w="3867" w:type="dxa"/>
            <w:tcBorders>
              <w:top w:val="single" w:color="auto" w:sz="4" w:space="0"/>
              <w:left w:val="single" w:color="auto" w:sz="4" w:space="0"/>
              <w:bottom w:val="single" w:color="auto" w:sz="4" w:space="0"/>
              <w:right w:val="single" w:color="auto" w:sz="4" w:space="0"/>
            </w:tcBorders>
            <w:noWrap w:val="0"/>
            <w:vAlign w:val="center"/>
          </w:tcPr>
          <w:p w14:paraId="54227FEB">
            <w:pPr>
              <w:snapToGrid w:val="0"/>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简要技术需求或者服务要求</w:t>
            </w:r>
          </w:p>
        </w:tc>
      </w:tr>
      <w:tr w14:paraId="15E3CD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4C20DB">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08EF5454">
            <w:pPr>
              <w:snapToGrid w:val="0"/>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auto"/>
                <w:kern w:val="0"/>
                <w:sz w:val="21"/>
                <w:szCs w:val="21"/>
                <w:highlight w:val="none"/>
              </w:rPr>
              <w:t>水质监控主机</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5AC19984">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6套</w:t>
            </w:r>
          </w:p>
        </w:tc>
        <w:tc>
          <w:tcPr>
            <w:tcW w:w="3867" w:type="dxa"/>
            <w:tcBorders>
              <w:left w:val="single" w:color="auto" w:sz="4" w:space="0"/>
              <w:bottom w:val="single" w:color="auto" w:sz="4" w:space="0"/>
              <w:right w:val="single" w:color="auto" w:sz="4" w:space="0"/>
            </w:tcBorders>
            <w:noWrap w:val="0"/>
            <w:vAlign w:val="center"/>
          </w:tcPr>
          <w:p w14:paraId="5AE3D2B8">
            <w:pPr>
              <w:numPr>
                <w:ilvl w:val="0"/>
                <w:numId w:val="3"/>
              </w:numPr>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监控主机由PLC控制器、触摸屏和配套的水质监控物联网系统软件组成。</w:t>
            </w:r>
          </w:p>
          <w:p w14:paraId="3B539567">
            <w:pPr>
              <w:numPr>
                <w:ilvl w:val="0"/>
                <w:numId w:val="0"/>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p>
        </w:tc>
      </w:tr>
      <w:tr w14:paraId="00123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24519D">
            <w:pPr>
              <w:snapToGri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7ECD65D1">
            <w:pPr>
              <w:snapToGrid w:val="0"/>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auto"/>
                <w:kern w:val="0"/>
                <w:sz w:val="21"/>
                <w:szCs w:val="21"/>
                <w:highlight w:val="none"/>
                <w:lang w:eastAsia="zh-CN"/>
              </w:rPr>
              <w:t>lora终端</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699C4616">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50个</w:t>
            </w:r>
          </w:p>
        </w:tc>
        <w:tc>
          <w:tcPr>
            <w:tcW w:w="3867" w:type="dxa"/>
            <w:tcBorders>
              <w:left w:val="single" w:color="auto" w:sz="4" w:space="0"/>
              <w:bottom w:val="single" w:color="auto" w:sz="4" w:space="0"/>
              <w:right w:val="single" w:color="auto" w:sz="4" w:space="0"/>
            </w:tcBorders>
            <w:noWrap w:val="0"/>
            <w:vAlign w:val="center"/>
          </w:tcPr>
          <w:p w14:paraId="5532E271">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lora终端智能采集器用于连接传感器设备及执行控制单元，可支持6</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10路RS485设备、</w:t>
            </w:r>
          </w:p>
          <w:p w14:paraId="2684FE11">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工作频段 410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525Mhz（默认频率 470Mhz）、</w:t>
            </w:r>
          </w:p>
          <w:p w14:paraId="2C08931E">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工作范围 DC 9</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36V；</w:t>
            </w:r>
          </w:p>
          <w:p w14:paraId="07BCEC6C">
            <w:p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p>
        </w:tc>
      </w:tr>
      <w:tr w14:paraId="120DC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8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FCF550">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011" w:type="dxa"/>
            <w:tcBorders>
              <w:top w:val="single" w:color="auto" w:sz="4" w:space="0"/>
              <w:left w:val="single" w:color="auto" w:sz="4" w:space="0"/>
              <w:bottom w:val="single" w:color="auto" w:sz="4" w:space="0"/>
              <w:right w:val="single" w:color="auto" w:sz="4" w:space="0"/>
            </w:tcBorders>
            <w:noWrap w:val="0"/>
            <w:vAlign w:val="center"/>
          </w:tcPr>
          <w:p w14:paraId="75FCA3E8">
            <w:pPr>
              <w:snapToGrid w:val="0"/>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000000"/>
                <w:sz w:val="21"/>
                <w:szCs w:val="21"/>
                <w:highlight w:val="none"/>
                <w:lang w:val="en-US" w:eastAsia="zh-CN"/>
              </w:rPr>
              <w:t>……</w:t>
            </w:r>
          </w:p>
        </w:tc>
        <w:tc>
          <w:tcPr>
            <w:tcW w:w="989" w:type="dxa"/>
            <w:tcBorders>
              <w:top w:val="single" w:color="auto" w:sz="4" w:space="0"/>
              <w:left w:val="single" w:color="auto" w:sz="4" w:space="0"/>
              <w:bottom w:val="single" w:color="auto" w:sz="4" w:space="0"/>
              <w:right w:val="single" w:color="auto" w:sz="4" w:space="0"/>
            </w:tcBorders>
            <w:noWrap w:val="0"/>
            <w:vAlign w:val="center"/>
          </w:tcPr>
          <w:p w14:paraId="406A31EA">
            <w:pPr>
              <w:snapToGrid w:val="0"/>
              <w:spacing w:line="360" w:lineRule="auto"/>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sz w:val="21"/>
                <w:szCs w:val="21"/>
                <w:highlight w:val="none"/>
                <w:lang w:val="en-US" w:eastAsia="zh-CN"/>
              </w:rPr>
              <w:t>……</w:t>
            </w:r>
          </w:p>
        </w:tc>
        <w:tc>
          <w:tcPr>
            <w:tcW w:w="3867" w:type="dxa"/>
            <w:tcBorders>
              <w:left w:val="single" w:color="auto" w:sz="4" w:space="0"/>
              <w:bottom w:val="single" w:color="auto" w:sz="4" w:space="0"/>
              <w:right w:val="single" w:color="auto" w:sz="4" w:space="0"/>
            </w:tcBorders>
            <w:noWrap w:val="0"/>
            <w:vAlign w:val="center"/>
          </w:tcPr>
          <w:p w14:paraId="1E714662">
            <w:pPr>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000000"/>
                <w:sz w:val="21"/>
                <w:szCs w:val="21"/>
                <w:highlight w:val="none"/>
                <w:lang w:eastAsia="zh-CN"/>
              </w:rPr>
              <w:t>具体内容详见本公告附件：采购需求</w:t>
            </w:r>
          </w:p>
        </w:tc>
      </w:tr>
    </w:tbl>
    <w:p w14:paraId="5F6C8619">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合同履行期限：</w:t>
      </w:r>
      <w:r>
        <w:rPr>
          <w:rFonts w:hint="eastAsia" w:ascii="宋体" w:hAnsi="宋体" w:eastAsia="宋体" w:cs="宋体"/>
          <w:color w:val="auto"/>
          <w:szCs w:val="21"/>
          <w:highlight w:val="none"/>
        </w:rPr>
        <w:t>自签订合同之日起</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cs="宋体"/>
          <w:color w:val="auto"/>
          <w:szCs w:val="21"/>
          <w:highlight w:val="none"/>
          <w:lang w:val="en-US" w:eastAsia="zh-CN"/>
        </w:rPr>
        <w:t>天</w:t>
      </w:r>
      <w:r>
        <w:rPr>
          <w:rFonts w:hint="eastAsia" w:ascii="宋体" w:hAnsi="宋体" w:eastAsia="宋体" w:cs="宋体"/>
          <w:color w:val="auto"/>
          <w:szCs w:val="21"/>
          <w:highlight w:val="none"/>
        </w:rPr>
        <w:t>内</w:t>
      </w:r>
      <w:r>
        <w:rPr>
          <w:rFonts w:hint="eastAsia" w:ascii="宋体" w:hAnsi="宋体" w:cs="宋体"/>
          <w:color w:val="auto"/>
          <w:szCs w:val="21"/>
          <w:highlight w:val="none"/>
        </w:rPr>
        <w:t>安装调试</w:t>
      </w:r>
      <w:r>
        <w:rPr>
          <w:rFonts w:hint="eastAsia" w:ascii="宋体" w:hAnsi="宋体" w:cs="宋体"/>
          <w:color w:val="auto"/>
          <w:szCs w:val="21"/>
          <w:highlight w:val="none"/>
          <w:lang w:val="en-US" w:eastAsia="zh-CN"/>
        </w:rPr>
        <w:t>完毕</w:t>
      </w:r>
      <w:r>
        <w:rPr>
          <w:rFonts w:hint="eastAsia" w:ascii="宋体" w:hAnsi="宋体" w:cs="宋体"/>
          <w:color w:val="auto"/>
          <w:szCs w:val="21"/>
          <w:highlight w:val="none"/>
          <w:lang w:eastAsia="zh-CN"/>
        </w:rPr>
        <w:t>并</w:t>
      </w:r>
      <w:r>
        <w:rPr>
          <w:rFonts w:hint="eastAsia" w:ascii="宋体" w:hAnsi="宋体" w:cs="宋体"/>
          <w:color w:val="auto"/>
          <w:szCs w:val="21"/>
          <w:highlight w:val="none"/>
          <w:lang w:val="en-US" w:eastAsia="zh-CN"/>
        </w:rPr>
        <w:t>通过采购人</w:t>
      </w:r>
      <w:r>
        <w:rPr>
          <w:rFonts w:hint="eastAsia" w:ascii="宋体" w:hAnsi="宋体" w:cs="宋体"/>
          <w:color w:val="auto"/>
          <w:szCs w:val="21"/>
          <w:highlight w:val="none"/>
          <w:lang w:eastAsia="zh-CN"/>
        </w:rPr>
        <w:t>验收合格</w:t>
      </w:r>
    </w:p>
    <w:p w14:paraId="238AE810">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本项目（是/否）接受联合体投标：□是/</w:t>
      </w:r>
      <w:r>
        <w:rPr>
          <w:rFonts w:hint="eastAsia" w:ascii="宋体" w:hAnsi="宋体" w:cs="宋体"/>
          <w:color w:val="auto"/>
          <w:szCs w:val="21"/>
          <w:highlight w:val="none"/>
          <w:lang w:eastAsia="zh-CN"/>
        </w:rPr>
        <w:t>☑</w:t>
      </w:r>
      <w:r>
        <w:rPr>
          <w:rFonts w:hint="eastAsia" w:ascii="宋体" w:hAnsi="宋体" w:cs="宋体"/>
          <w:color w:val="auto"/>
          <w:szCs w:val="21"/>
          <w:highlight w:val="none"/>
        </w:rPr>
        <w:t>否</w:t>
      </w:r>
    </w:p>
    <w:p w14:paraId="071D2E2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备注：无</w:t>
      </w:r>
    </w:p>
    <w:p w14:paraId="4AED2945">
      <w:pPr>
        <w:spacing w:line="360" w:lineRule="auto"/>
        <w:ind w:firstLine="361"/>
        <w:rPr>
          <w:rFonts w:ascii="黑体" w:hAnsi="黑体" w:eastAsia="黑体"/>
          <w:b/>
          <w:bCs/>
          <w:sz w:val="24"/>
          <w:highlight w:val="none"/>
        </w:rPr>
      </w:pPr>
      <w:bookmarkStart w:id="23" w:name="_Toc35393791"/>
      <w:bookmarkStart w:id="24" w:name="_Toc28359080"/>
      <w:bookmarkStart w:id="25" w:name="_Toc28359003"/>
      <w:bookmarkStart w:id="26" w:name="_Toc35393622"/>
      <w:r>
        <w:rPr>
          <w:rFonts w:hint="eastAsia" w:ascii="黑体" w:hAnsi="黑体" w:eastAsia="黑体"/>
          <w:b/>
          <w:bCs/>
          <w:sz w:val="24"/>
          <w:highlight w:val="none"/>
        </w:rPr>
        <w:t>二、申请人的资格要求：</w:t>
      </w:r>
      <w:bookmarkEnd w:id="23"/>
      <w:bookmarkEnd w:id="24"/>
      <w:bookmarkEnd w:id="25"/>
      <w:bookmarkEnd w:id="26"/>
    </w:p>
    <w:p w14:paraId="3074C49F">
      <w:pPr>
        <w:spacing w:line="360" w:lineRule="auto"/>
        <w:ind w:firstLine="420" w:firstLineChars="200"/>
        <w:rPr>
          <w:rFonts w:ascii="宋体" w:hAnsi="宋体"/>
          <w:szCs w:val="21"/>
          <w:highlight w:val="none"/>
        </w:rPr>
      </w:pPr>
      <w:bookmarkStart w:id="27" w:name="_Toc28359004"/>
      <w:bookmarkStart w:id="28" w:name="_Toc28359081"/>
      <w:r>
        <w:rPr>
          <w:rFonts w:hint="eastAsia" w:ascii="宋体" w:hAnsi="宋体"/>
          <w:szCs w:val="21"/>
          <w:highlight w:val="none"/>
        </w:rPr>
        <w:t>1.满足《中华人民共和国政府采购法》第二十二条规定。</w:t>
      </w:r>
    </w:p>
    <w:p w14:paraId="0BE59EEC">
      <w:pPr>
        <w:spacing w:line="360" w:lineRule="auto"/>
        <w:ind w:firstLine="420" w:firstLineChars="200"/>
        <w:rPr>
          <w:rFonts w:ascii="宋体" w:hAnsi="宋体"/>
          <w:szCs w:val="21"/>
          <w:highlight w:val="none"/>
        </w:rPr>
      </w:pPr>
      <w:r>
        <w:rPr>
          <w:rFonts w:hint="eastAsia" w:ascii="宋体" w:hAnsi="宋体"/>
          <w:szCs w:val="21"/>
          <w:highlight w:val="none"/>
        </w:rPr>
        <w:t>2.落实政府采购政策需满足的资格要求：无。</w:t>
      </w:r>
    </w:p>
    <w:p w14:paraId="60B9AECD">
      <w:pPr>
        <w:spacing w:line="360" w:lineRule="auto"/>
        <w:ind w:firstLine="420" w:firstLineChars="200"/>
        <w:rPr>
          <w:rFonts w:ascii="黑体" w:hAnsi="黑体" w:eastAsia="黑体"/>
          <w:b/>
          <w:bCs/>
          <w:sz w:val="24"/>
          <w:highlight w:val="none"/>
        </w:rPr>
      </w:pPr>
      <w:r>
        <w:rPr>
          <w:rFonts w:hint="eastAsia" w:ascii="宋体" w:hAnsi="宋体"/>
          <w:szCs w:val="21"/>
          <w:highlight w:val="none"/>
        </w:rPr>
        <w:t>3.本项目的特定资格要求：</w:t>
      </w:r>
      <w:bookmarkStart w:id="29" w:name="_Toc35393623"/>
      <w:bookmarkStart w:id="30" w:name="_Toc35393792"/>
      <w:r>
        <w:rPr>
          <w:rFonts w:hint="eastAsia" w:ascii="宋体" w:hAnsi="宋体"/>
          <w:szCs w:val="21"/>
          <w:highlight w:val="none"/>
          <w:lang w:eastAsia="zh-CN"/>
        </w:rPr>
        <w:t>无</w:t>
      </w:r>
      <w:r>
        <w:rPr>
          <w:rFonts w:hint="eastAsia" w:ascii="宋体" w:hAnsi="宋体"/>
          <w:szCs w:val="21"/>
          <w:highlight w:val="none"/>
        </w:rPr>
        <w:t>。</w:t>
      </w:r>
    </w:p>
    <w:p w14:paraId="304C67DD">
      <w:pPr>
        <w:spacing w:line="360" w:lineRule="auto"/>
        <w:ind w:firstLine="361"/>
        <w:rPr>
          <w:rFonts w:ascii="黑体" w:hAnsi="黑体" w:eastAsia="黑体"/>
          <w:b/>
          <w:bCs/>
          <w:sz w:val="24"/>
          <w:highlight w:val="none"/>
        </w:rPr>
      </w:pPr>
      <w:r>
        <w:rPr>
          <w:rFonts w:hint="eastAsia" w:ascii="黑体" w:hAnsi="黑体" w:eastAsia="黑体"/>
          <w:b/>
          <w:bCs/>
          <w:sz w:val="24"/>
          <w:highlight w:val="none"/>
        </w:rPr>
        <w:t>三、获取招标文件</w:t>
      </w:r>
      <w:bookmarkEnd w:id="27"/>
      <w:bookmarkEnd w:id="28"/>
      <w:bookmarkEnd w:id="29"/>
      <w:bookmarkEnd w:id="30"/>
    </w:p>
    <w:p w14:paraId="3D437E9A">
      <w:pPr>
        <w:snapToGrid w:val="0"/>
        <w:spacing w:line="360" w:lineRule="auto"/>
        <w:ind w:firstLine="472" w:firstLineChars="225"/>
        <w:rPr>
          <w:rFonts w:ascii="宋体" w:hAnsi="宋体"/>
          <w:szCs w:val="21"/>
          <w:highlight w:val="none"/>
        </w:rPr>
      </w:pPr>
      <w:bookmarkStart w:id="31" w:name="_Toc28359005"/>
      <w:bookmarkStart w:id="32" w:name="_Toc28359082"/>
      <w:bookmarkStart w:id="33" w:name="_Toc35393624"/>
      <w:bookmarkStart w:id="34" w:name="_Toc35393793"/>
      <w:r>
        <w:rPr>
          <w:rFonts w:hint="eastAsia" w:ascii="宋体" w:hAnsi="宋体"/>
          <w:szCs w:val="21"/>
          <w:highlight w:val="none"/>
        </w:rPr>
        <w:t>时间：2024年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6</w:t>
      </w:r>
      <w:r>
        <w:rPr>
          <w:rFonts w:hint="eastAsia" w:ascii="宋体" w:hAnsi="宋体"/>
          <w:szCs w:val="21"/>
          <w:highlight w:val="none"/>
        </w:rPr>
        <w:t>日至2024年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13</w:t>
      </w:r>
      <w:r>
        <w:rPr>
          <w:rFonts w:hint="eastAsia" w:ascii="宋体" w:hAnsi="宋体"/>
          <w:szCs w:val="21"/>
          <w:highlight w:val="none"/>
        </w:rPr>
        <w:t>日，每天上午00:00至</w:t>
      </w:r>
      <w:r>
        <w:rPr>
          <w:rFonts w:hint="eastAsia" w:ascii="宋体" w:hAnsi="宋体"/>
          <w:szCs w:val="21"/>
          <w:highlight w:val="none"/>
          <w:lang w:val="en-US" w:eastAsia="zh-CN"/>
        </w:rPr>
        <w:t>11</w:t>
      </w:r>
      <w:r>
        <w:rPr>
          <w:rFonts w:hint="eastAsia" w:ascii="宋体" w:hAnsi="宋体"/>
          <w:szCs w:val="21"/>
          <w:highlight w:val="none"/>
        </w:rPr>
        <w:t>:</w:t>
      </w:r>
      <w:r>
        <w:rPr>
          <w:rFonts w:hint="eastAsia" w:ascii="宋体" w:hAnsi="宋体"/>
          <w:szCs w:val="21"/>
          <w:highlight w:val="none"/>
          <w:lang w:val="en-US" w:eastAsia="zh-CN"/>
        </w:rPr>
        <w:t>59</w:t>
      </w:r>
      <w:r>
        <w:rPr>
          <w:rFonts w:hint="eastAsia" w:ascii="宋体" w:hAnsi="宋体"/>
          <w:szCs w:val="21"/>
          <w:highlight w:val="none"/>
        </w:rPr>
        <w:t>，下午12:00至23:59（北京时间，法定节假日除外）。</w:t>
      </w:r>
    </w:p>
    <w:p w14:paraId="57A9F64D">
      <w:pPr>
        <w:snapToGrid w:val="0"/>
        <w:spacing w:line="360" w:lineRule="auto"/>
        <w:ind w:firstLine="472" w:firstLineChars="225"/>
        <w:rPr>
          <w:rFonts w:ascii="宋体" w:hAnsi="宋体"/>
          <w:szCs w:val="21"/>
          <w:highlight w:val="none"/>
        </w:rPr>
      </w:pPr>
      <w:r>
        <w:rPr>
          <w:rFonts w:hint="eastAsia" w:ascii="宋体" w:hAnsi="宋体"/>
          <w:szCs w:val="21"/>
          <w:highlight w:val="none"/>
        </w:rPr>
        <w:t>地点（网址）：</w:t>
      </w:r>
      <w:bookmarkStart w:id="35" w:name="OLE_LINK182"/>
      <w:r>
        <w:rPr>
          <w:rFonts w:hint="eastAsia" w:ascii="宋体" w:hAnsi="宋体"/>
          <w:szCs w:val="21"/>
          <w:highlight w:val="none"/>
        </w:rPr>
        <w:t>广西政府采购云平台（</w:t>
      </w:r>
      <w:r>
        <w:rPr>
          <w:rFonts w:hint="eastAsia" w:ascii="宋体" w:hAnsi="宋体" w:cs="宋体"/>
          <w:szCs w:val="21"/>
          <w:highlight w:val="none"/>
        </w:rPr>
        <w:t>https://www.gcy.zfcg.gxzf.gov.cn/</w:t>
      </w:r>
      <w:r>
        <w:rPr>
          <w:rFonts w:hint="eastAsia" w:ascii="宋体" w:hAnsi="宋体"/>
          <w:szCs w:val="21"/>
          <w:highlight w:val="none"/>
        </w:rPr>
        <w:t>）</w:t>
      </w:r>
    </w:p>
    <w:bookmarkEnd w:id="35"/>
    <w:p w14:paraId="354C9498">
      <w:pPr>
        <w:snapToGrid w:val="0"/>
        <w:spacing w:line="360" w:lineRule="auto"/>
        <w:ind w:firstLine="472" w:firstLineChars="225"/>
        <w:rPr>
          <w:rFonts w:ascii="宋体" w:hAnsi="宋体"/>
          <w:szCs w:val="21"/>
          <w:highlight w:val="none"/>
        </w:rPr>
      </w:pPr>
      <w:r>
        <w:rPr>
          <w:rFonts w:hint="eastAsia" w:ascii="宋体" w:hAnsi="宋体"/>
          <w:szCs w:val="21"/>
          <w:highlight w:val="none"/>
        </w:rPr>
        <w:t>方式:</w:t>
      </w:r>
      <w:bookmarkStart w:id="36" w:name="OLE_LINK183"/>
      <w:r>
        <w:rPr>
          <w:rFonts w:hint="eastAsia" w:ascii="宋体" w:hAnsi="宋体"/>
          <w:szCs w:val="21"/>
          <w:highlight w:val="none"/>
        </w:rPr>
        <w:t>网上下载。本项目不发放纸质文件，</w:t>
      </w:r>
      <w:r>
        <w:rPr>
          <w:rFonts w:hint="eastAsia"/>
          <w:highlight w:val="none"/>
        </w:rPr>
        <w:t>潜在</w:t>
      </w:r>
      <w:r>
        <w:rPr>
          <w:rFonts w:hint="eastAsia"/>
          <w:highlight w:val="none"/>
          <w:lang w:eastAsia="zh-CN"/>
        </w:rPr>
        <w:t>投标</w:t>
      </w:r>
      <w:r>
        <w:rPr>
          <w:rFonts w:hint="eastAsia" w:ascii="宋体" w:hAnsi="宋体"/>
          <w:szCs w:val="21"/>
          <w:highlight w:val="none"/>
          <w:lang w:eastAsia="zh-CN"/>
        </w:rPr>
        <w:t>人</w:t>
      </w:r>
      <w:r>
        <w:rPr>
          <w:rFonts w:hint="eastAsia" w:ascii="宋体" w:hAnsi="宋体"/>
          <w:szCs w:val="21"/>
          <w:highlight w:val="none"/>
        </w:rPr>
        <w:t>可自行登录</w:t>
      </w:r>
      <w:r>
        <w:rPr>
          <w:highlight w:val="none"/>
        </w:rPr>
        <w:fldChar w:fldCharType="begin"/>
      </w:r>
      <w:r>
        <w:rPr>
          <w:highlight w:val="none"/>
        </w:rPr>
        <w:instrText xml:space="preserve"> HYPERLINK </w:instrText>
      </w:r>
      <w:r>
        <w:rPr>
          <w:highlight w:val="none"/>
        </w:rPr>
        <w:fldChar w:fldCharType="separate"/>
      </w:r>
      <w:r>
        <w:rPr>
          <w:highlight w:val="none"/>
        </w:rPr>
        <w:fldChar w:fldCharType="end"/>
      </w:r>
      <w:r>
        <w:rPr>
          <w:rFonts w:hint="eastAsia" w:ascii="宋体" w:hAnsi="宋体"/>
          <w:szCs w:val="21"/>
          <w:highlight w:val="none"/>
        </w:rPr>
        <w:t>广西政府采购云平台下载招标文件，电子投标文件制作需要基于广西政府采购云平台获取的招标文件编制。</w:t>
      </w:r>
      <w:bookmarkEnd w:id="36"/>
    </w:p>
    <w:p w14:paraId="33EE4FA3">
      <w:pPr>
        <w:snapToGrid w:val="0"/>
        <w:spacing w:line="360" w:lineRule="auto"/>
        <w:ind w:firstLine="472" w:firstLineChars="225"/>
        <w:rPr>
          <w:rFonts w:ascii="宋体" w:hAnsi="宋体"/>
          <w:szCs w:val="21"/>
          <w:highlight w:val="none"/>
        </w:rPr>
      </w:pPr>
      <w:r>
        <w:rPr>
          <w:rFonts w:hint="eastAsia" w:ascii="宋体" w:hAnsi="宋体"/>
          <w:szCs w:val="21"/>
          <w:highlight w:val="none"/>
        </w:rPr>
        <w:t>售价（元）：0</w:t>
      </w:r>
    </w:p>
    <w:p w14:paraId="40922E54">
      <w:pPr>
        <w:spacing w:line="360" w:lineRule="auto"/>
        <w:ind w:firstLine="361"/>
        <w:rPr>
          <w:rFonts w:ascii="黑体" w:hAnsi="黑体" w:eastAsia="黑体"/>
          <w:b/>
          <w:bCs/>
          <w:sz w:val="24"/>
          <w:highlight w:val="none"/>
        </w:rPr>
      </w:pPr>
      <w:r>
        <w:rPr>
          <w:rFonts w:hint="eastAsia" w:ascii="黑体" w:hAnsi="黑体" w:eastAsia="黑体"/>
          <w:b/>
          <w:bCs/>
          <w:sz w:val="24"/>
          <w:highlight w:val="none"/>
        </w:rPr>
        <w:t>四、提交投标文件</w:t>
      </w:r>
      <w:bookmarkEnd w:id="31"/>
      <w:bookmarkEnd w:id="32"/>
      <w:r>
        <w:rPr>
          <w:rFonts w:hint="eastAsia" w:ascii="黑体" w:hAnsi="黑体" w:eastAsia="黑体"/>
          <w:b/>
          <w:bCs/>
          <w:sz w:val="24"/>
          <w:highlight w:val="none"/>
        </w:rPr>
        <w:t>截止时间、开标时间和地点</w:t>
      </w:r>
      <w:bookmarkEnd w:id="33"/>
      <w:bookmarkEnd w:id="34"/>
    </w:p>
    <w:p w14:paraId="50FCF82C">
      <w:pPr>
        <w:spacing w:line="360" w:lineRule="auto"/>
        <w:ind w:firstLine="420" w:firstLineChars="200"/>
        <w:rPr>
          <w:rFonts w:ascii="宋体" w:hAnsi="宋体"/>
          <w:bCs/>
          <w:szCs w:val="21"/>
          <w:highlight w:val="none"/>
        </w:rPr>
      </w:pPr>
      <w:r>
        <w:rPr>
          <w:rFonts w:hint="eastAsia" w:ascii="宋体" w:hAnsi="宋体"/>
          <w:bCs/>
          <w:szCs w:val="21"/>
          <w:highlight w:val="none"/>
        </w:rPr>
        <w:t>提交投标文件截止时间：2024年</w:t>
      </w:r>
      <w:r>
        <w:rPr>
          <w:rFonts w:hint="eastAsia" w:ascii="宋体" w:hAnsi="宋体"/>
          <w:bCs/>
          <w:szCs w:val="21"/>
          <w:highlight w:val="none"/>
          <w:lang w:val="en-US" w:eastAsia="zh-CN"/>
        </w:rPr>
        <w:t>12</w:t>
      </w:r>
      <w:r>
        <w:rPr>
          <w:rFonts w:hint="eastAsia" w:ascii="宋体" w:hAnsi="宋体"/>
          <w:bCs/>
          <w:szCs w:val="21"/>
          <w:highlight w:val="none"/>
        </w:rPr>
        <w:t>月</w:t>
      </w:r>
      <w:r>
        <w:rPr>
          <w:rFonts w:hint="eastAsia" w:ascii="宋体" w:hAnsi="宋体"/>
          <w:bCs/>
          <w:szCs w:val="21"/>
          <w:highlight w:val="none"/>
          <w:lang w:val="en-US" w:eastAsia="zh-CN"/>
        </w:rPr>
        <w:t>27</w:t>
      </w:r>
      <w:r>
        <w:rPr>
          <w:rFonts w:hint="eastAsia" w:ascii="宋体" w:hAnsi="宋体"/>
          <w:bCs/>
          <w:szCs w:val="21"/>
          <w:highlight w:val="none"/>
        </w:rPr>
        <w:t>日 09:30:00（北京时间）</w:t>
      </w:r>
    </w:p>
    <w:p w14:paraId="7C46D922">
      <w:pPr>
        <w:spacing w:line="360" w:lineRule="auto"/>
        <w:ind w:firstLine="420" w:firstLineChars="200"/>
        <w:rPr>
          <w:rFonts w:ascii="宋体" w:hAnsi="宋体"/>
          <w:bCs/>
          <w:szCs w:val="21"/>
          <w:highlight w:val="none"/>
        </w:rPr>
      </w:pPr>
      <w:r>
        <w:rPr>
          <w:rFonts w:hint="eastAsia" w:ascii="宋体" w:hAnsi="宋体"/>
          <w:bCs/>
          <w:szCs w:val="21"/>
          <w:highlight w:val="none"/>
        </w:rPr>
        <w:t>投标地点（网址）：广西政府采购云平台（https://www.gcy.zfcg.gxzf.gov.cn/）</w:t>
      </w:r>
    </w:p>
    <w:p w14:paraId="4530F838">
      <w:pPr>
        <w:spacing w:line="360" w:lineRule="auto"/>
        <w:ind w:firstLine="420" w:firstLineChars="200"/>
        <w:rPr>
          <w:rFonts w:ascii="宋体" w:hAnsi="宋体"/>
          <w:bCs/>
          <w:szCs w:val="21"/>
          <w:highlight w:val="none"/>
        </w:rPr>
      </w:pPr>
      <w:r>
        <w:rPr>
          <w:rFonts w:hint="eastAsia" w:ascii="宋体" w:hAnsi="宋体"/>
          <w:bCs/>
          <w:szCs w:val="21"/>
          <w:highlight w:val="none"/>
        </w:rPr>
        <w:t>开标时间：2024年</w:t>
      </w:r>
      <w:r>
        <w:rPr>
          <w:rFonts w:hint="eastAsia" w:ascii="宋体" w:hAnsi="宋体"/>
          <w:bCs/>
          <w:szCs w:val="21"/>
          <w:highlight w:val="none"/>
          <w:lang w:val="en-US" w:eastAsia="zh-CN"/>
        </w:rPr>
        <w:t>12</w:t>
      </w:r>
      <w:r>
        <w:rPr>
          <w:rFonts w:hint="eastAsia" w:ascii="宋体" w:hAnsi="宋体"/>
          <w:bCs/>
          <w:szCs w:val="21"/>
          <w:highlight w:val="none"/>
        </w:rPr>
        <w:t>月</w:t>
      </w:r>
      <w:r>
        <w:rPr>
          <w:rFonts w:hint="eastAsia" w:ascii="宋体" w:hAnsi="宋体"/>
          <w:bCs/>
          <w:szCs w:val="21"/>
          <w:highlight w:val="none"/>
          <w:lang w:val="en-US" w:eastAsia="zh-CN"/>
        </w:rPr>
        <w:t>27</w:t>
      </w:r>
      <w:r>
        <w:rPr>
          <w:rFonts w:hint="eastAsia" w:ascii="宋体" w:hAnsi="宋体"/>
          <w:bCs/>
          <w:szCs w:val="21"/>
          <w:highlight w:val="none"/>
        </w:rPr>
        <w:t>日 09:30:00（北京时间）</w:t>
      </w:r>
    </w:p>
    <w:p w14:paraId="61107E0F">
      <w:pPr>
        <w:spacing w:line="360" w:lineRule="auto"/>
        <w:ind w:firstLine="420" w:firstLineChars="200"/>
        <w:rPr>
          <w:rFonts w:ascii="宋体" w:hAnsi="宋体"/>
          <w:bCs/>
          <w:szCs w:val="21"/>
          <w:highlight w:val="none"/>
        </w:rPr>
      </w:pPr>
      <w:r>
        <w:rPr>
          <w:rFonts w:hint="eastAsia" w:ascii="宋体" w:hAnsi="宋体"/>
          <w:bCs/>
          <w:szCs w:val="21"/>
          <w:highlight w:val="none"/>
        </w:rPr>
        <w:t>开标地点：广西政府采购云平台电子开标大厅</w:t>
      </w:r>
    </w:p>
    <w:p w14:paraId="359212AE">
      <w:pPr>
        <w:spacing w:line="360" w:lineRule="auto"/>
        <w:ind w:firstLine="361"/>
        <w:rPr>
          <w:rFonts w:ascii="黑体" w:hAnsi="黑体" w:eastAsia="黑体"/>
          <w:b/>
          <w:bCs/>
          <w:sz w:val="24"/>
          <w:highlight w:val="none"/>
        </w:rPr>
      </w:pPr>
      <w:bookmarkStart w:id="37" w:name="_Toc28359007"/>
      <w:bookmarkStart w:id="38" w:name="_Toc35393625"/>
      <w:bookmarkStart w:id="39" w:name="_Toc35393794"/>
      <w:bookmarkStart w:id="40" w:name="_Toc28359084"/>
      <w:r>
        <w:rPr>
          <w:rFonts w:hint="eastAsia" w:ascii="黑体" w:hAnsi="黑体" w:eastAsia="黑体"/>
          <w:b/>
          <w:bCs/>
          <w:sz w:val="24"/>
          <w:highlight w:val="none"/>
        </w:rPr>
        <w:t>五、公告期限</w:t>
      </w:r>
      <w:bookmarkEnd w:id="37"/>
      <w:bookmarkEnd w:id="38"/>
      <w:bookmarkEnd w:id="39"/>
      <w:bookmarkEnd w:id="40"/>
    </w:p>
    <w:p w14:paraId="0579FF0F">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自本公告发布之日起5个工作日。</w:t>
      </w:r>
    </w:p>
    <w:p w14:paraId="4F3D785C">
      <w:pPr>
        <w:spacing w:line="360" w:lineRule="auto"/>
        <w:ind w:firstLine="361"/>
        <w:rPr>
          <w:rFonts w:ascii="黑体" w:hAnsi="黑体" w:eastAsia="黑体"/>
          <w:b/>
          <w:bCs/>
          <w:sz w:val="24"/>
          <w:highlight w:val="none"/>
        </w:rPr>
      </w:pPr>
      <w:bookmarkStart w:id="41" w:name="_Toc35393626"/>
      <w:bookmarkStart w:id="42" w:name="_Toc35393795"/>
      <w:r>
        <w:rPr>
          <w:rFonts w:hint="eastAsia" w:ascii="黑体" w:hAnsi="黑体" w:eastAsia="黑体"/>
          <w:b/>
          <w:bCs/>
          <w:sz w:val="24"/>
          <w:highlight w:val="none"/>
        </w:rPr>
        <w:t>六、其他补充事宜</w:t>
      </w:r>
      <w:bookmarkEnd w:id="41"/>
      <w:bookmarkEnd w:id="42"/>
    </w:p>
    <w:p w14:paraId="030F27B2">
      <w:pPr>
        <w:spacing w:line="360" w:lineRule="auto"/>
        <w:ind w:firstLine="420" w:firstLineChars="200"/>
        <w:rPr>
          <w:rFonts w:ascii="宋体" w:hAnsi="宋体" w:cs="宋体"/>
          <w:kern w:val="0"/>
          <w:szCs w:val="21"/>
          <w:highlight w:val="none"/>
        </w:rPr>
      </w:pPr>
      <w:bookmarkStart w:id="43" w:name="_Hlk37429595"/>
      <w:bookmarkStart w:id="44" w:name="_Hlk37429585"/>
      <w:bookmarkStart w:id="45" w:name="OLE_LINK199"/>
      <w:r>
        <w:rPr>
          <w:rFonts w:hint="eastAsia" w:ascii="宋体" w:hAnsi="宋体" w:cs="宋体"/>
          <w:kern w:val="0"/>
          <w:szCs w:val="21"/>
          <w:highlight w:val="none"/>
        </w:rPr>
        <w:t>1.投标保证金：</w:t>
      </w:r>
    </w:p>
    <w:p w14:paraId="25CD4F82">
      <w:pPr>
        <w:spacing w:line="360" w:lineRule="auto"/>
        <w:ind w:left="0" w:leftChars="0" w:firstLine="459" w:firstLineChars="219"/>
        <w:rPr>
          <w:rFonts w:ascii="宋体" w:hAnsi="宋体" w:cs="宋体"/>
          <w:kern w:val="0"/>
          <w:szCs w:val="21"/>
          <w:highlight w:val="none"/>
        </w:rPr>
      </w:pPr>
      <w:bookmarkStart w:id="46" w:name="OLE_LINK164"/>
      <w:r>
        <w:rPr>
          <w:rFonts w:hint="eastAsia" w:ascii="宋体" w:hAnsi="宋体" w:cs="宋体"/>
          <w:color w:val="auto"/>
          <w:kern w:val="0"/>
          <w:szCs w:val="21"/>
          <w:highlight w:val="none"/>
          <w:u w:val="single"/>
        </w:rPr>
        <w:t xml:space="preserve"> 1 </w:t>
      </w:r>
      <w:r>
        <w:rPr>
          <w:rFonts w:hint="eastAsia" w:ascii="宋体" w:hAnsi="宋体" w:cs="宋体"/>
          <w:color w:val="auto"/>
          <w:kern w:val="0"/>
          <w:szCs w:val="21"/>
          <w:highlight w:val="none"/>
        </w:rPr>
        <w:t>分标的投标保证金金额：</w:t>
      </w:r>
      <w:r>
        <w:rPr>
          <w:rFonts w:hint="eastAsia" w:ascii="宋体" w:hAnsi="宋体" w:cs="宋体"/>
          <w:color w:val="auto"/>
          <w:kern w:val="0"/>
          <w:szCs w:val="21"/>
          <w:highlight w:val="none"/>
          <w:lang w:val="en-US" w:eastAsia="zh-CN"/>
        </w:rPr>
        <w:t>10000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u w:val="single"/>
        </w:rPr>
        <w:t xml:space="preserve"> 2 </w:t>
      </w:r>
      <w:r>
        <w:rPr>
          <w:rFonts w:hint="eastAsia" w:ascii="宋体" w:hAnsi="宋体" w:cs="宋体"/>
          <w:color w:val="auto"/>
          <w:kern w:val="0"/>
          <w:szCs w:val="21"/>
          <w:highlight w:val="none"/>
        </w:rPr>
        <w:t>分标的投标保证金金额：</w:t>
      </w:r>
      <w:r>
        <w:rPr>
          <w:rFonts w:hint="eastAsia" w:ascii="宋体" w:hAnsi="宋体" w:cs="宋体"/>
          <w:color w:val="auto"/>
          <w:kern w:val="0"/>
          <w:szCs w:val="21"/>
          <w:highlight w:val="none"/>
          <w:lang w:val="en-US" w:eastAsia="zh-CN"/>
        </w:rPr>
        <w:t>10000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u w:val="single"/>
        </w:rPr>
        <w:t xml:space="preserve"> 3 </w:t>
      </w:r>
      <w:r>
        <w:rPr>
          <w:rFonts w:hint="eastAsia" w:ascii="宋体" w:hAnsi="宋体" w:cs="宋体"/>
          <w:color w:val="auto"/>
          <w:kern w:val="0"/>
          <w:szCs w:val="21"/>
          <w:highlight w:val="none"/>
        </w:rPr>
        <w:t>分标的投标保证金金额：</w:t>
      </w:r>
      <w:r>
        <w:rPr>
          <w:rFonts w:hint="eastAsia" w:ascii="宋体" w:hAnsi="宋体" w:cs="宋体"/>
          <w:color w:val="auto"/>
          <w:kern w:val="0"/>
          <w:szCs w:val="21"/>
          <w:highlight w:val="none"/>
          <w:lang w:val="en-US" w:eastAsia="zh-CN"/>
        </w:rPr>
        <w:t>2000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4</w:t>
      </w:r>
      <w:r>
        <w:rPr>
          <w:rFonts w:hint="eastAsia" w:ascii="宋体" w:hAnsi="宋体" w:cs="宋体"/>
          <w:color w:val="auto"/>
          <w:kern w:val="0"/>
          <w:szCs w:val="21"/>
          <w:highlight w:val="none"/>
        </w:rPr>
        <w:t>分标的投标保证金金额：</w:t>
      </w:r>
      <w:r>
        <w:rPr>
          <w:rFonts w:hint="eastAsia" w:ascii="宋体" w:hAnsi="宋体" w:cs="宋体"/>
          <w:color w:val="auto"/>
          <w:kern w:val="0"/>
          <w:szCs w:val="21"/>
          <w:highlight w:val="none"/>
          <w:lang w:val="en-US" w:eastAsia="zh-CN"/>
        </w:rPr>
        <w:t>3000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5</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分标的投标保证金金额：</w:t>
      </w:r>
      <w:r>
        <w:rPr>
          <w:rFonts w:hint="eastAsia" w:ascii="宋体" w:hAnsi="宋体" w:cs="宋体"/>
          <w:color w:val="auto"/>
          <w:kern w:val="0"/>
          <w:szCs w:val="21"/>
          <w:highlight w:val="none"/>
          <w:lang w:val="en-US" w:eastAsia="zh-CN"/>
        </w:rPr>
        <w:t>30000</w:t>
      </w:r>
      <w:r>
        <w:rPr>
          <w:rFonts w:hint="eastAsia" w:ascii="宋体" w:hAnsi="宋体" w:cs="宋体"/>
          <w:color w:val="auto"/>
          <w:kern w:val="0"/>
          <w:szCs w:val="21"/>
          <w:highlight w:val="none"/>
        </w:rPr>
        <w:t>元</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6</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分标的投标保证金金额：</w:t>
      </w:r>
      <w:r>
        <w:rPr>
          <w:rFonts w:hint="eastAsia" w:ascii="宋体" w:hAnsi="宋体" w:cs="宋体"/>
          <w:color w:val="auto"/>
          <w:kern w:val="0"/>
          <w:szCs w:val="21"/>
          <w:highlight w:val="none"/>
          <w:lang w:val="en-US" w:eastAsia="zh-CN"/>
        </w:rPr>
        <w:t>15000</w:t>
      </w:r>
      <w:r>
        <w:rPr>
          <w:rFonts w:hint="eastAsia" w:ascii="宋体" w:hAnsi="宋体" w:cs="宋体"/>
          <w:color w:val="auto"/>
          <w:kern w:val="0"/>
          <w:szCs w:val="21"/>
          <w:highlight w:val="none"/>
        </w:rPr>
        <w:t>元。</w:t>
      </w:r>
    </w:p>
    <w:bookmarkEnd w:id="46"/>
    <w:p w14:paraId="136840CD">
      <w:pPr>
        <w:spacing w:line="360" w:lineRule="auto"/>
        <w:ind w:left="0" w:leftChars="0" w:firstLine="459" w:firstLineChars="219"/>
        <w:rPr>
          <w:rFonts w:ascii="宋体" w:hAnsi="宋体" w:cs="宋体"/>
          <w:kern w:val="0"/>
          <w:szCs w:val="21"/>
          <w:highlight w:val="none"/>
        </w:rPr>
      </w:pPr>
      <w:r>
        <w:rPr>
          <w:rFonts w:hint="eastAsia" w:ascii="宋体" w:hAnsi="宋体" w:cs="宋体"/>
          <w:kern w:val="0"/>
          <w:szCs w:val="21"/>
          <w:highlight w:val="none"/>
        </w:rPr>
        <w:t>投标保证金的缴纳方式：以银行转账、支票、汇票、本票或者金融机构、担保机构出具的保函等非现金形式提交。采用银行转账方式的，在投标截止时间前交至采购代理机构指定账户并且到账。缴纳投标保证金指定账户的信息：</w:t>
      </w:r>
    </w:p>
    <w:p w14:paraId="5FF4CF78">
      <w:pPr>
        <w:spacing w:line="360" w:lineRule="auto"/>
        <w:ind w:firstLine="840" w:firstLineChars="400"/>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 xml:space="preserve">账户名称：广西众联工程项目管理有限公司 </w:t>
      </w:r>
    </w:p>
    <w:p w14:paraId="78663A73">
      <w:pPr>
        <w:spacing w:line="360" w:lineRule="auto"/>
        <w:ind w:firstLine="840" w:firstLineChars="400"/>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开户银行：</w:t>
      </w:r>
      <w:r>
        <w:rPr>
          <w:rFonts w:hint="eastAsia" w:ascii="宋体" w:hAnsi="宋体" w:cs="宋体"/>
          <w:color w:val="000000"/>
          <w:kern w:val="0"/>
          <w:szCs w:val="21"/>
          <w:lang w:bidi="ar"/>
        </w:rPr>
        <w:t>中国光大银行股份有限公司南宁民主支行</w:t>
      </w:r>
    </w:p>
    <w:p w14:paraId="198C0E6E">
      <w:pPr>
        <w:spacing w:line="360" w:lineRule="auto"/>
        <w:ind w:firstLine="840" w:firstLineChars="400"/>
        <w:rPr>
          <w:rFonts w:hint="eastAsia" w:ascii="宋体" w:hAnsi="宋体" w:cs="宋体"/>
          <w:b w:val="0"/>
          <w:bCs w:val="0"/>
          <w:color w:val="000000" w:themeColor="text1"/>
          <w:kern w:val="0"/>
          <w:szCs w:val="21"/>
          <w:highlight w:val="none"/>
          <w14:textFill>
            <w14:solidFill>
              <w14:schemeClr w14:val="tx1"/>
            </w14:solidFill>
          </w14:textFill>
        </w:rPr>
      </w:pPr>
      <w:r>
        <w:rPr>
          <w:rFonts w:hint="eastAsia" w:ascii="宋体" w:hAnsi="宋体" w:cs="宋体"/>
          <w:b w:val="0"/>
          <w:bCs w:val="0"/>
          <w:color w:val="000000" w:themeColor="text1"/>
          <w:kern w:val="0"/>
          <w:szCs w:val="21"/>
          <w:highlight w:val="none"/>
          <w14:textFill>
            <w14:solidFill>
              <w14:schemeClr w14:val="tx1"/>
            </w14:solidFill>
          </w14:textFill>
        </w:rPr>
        <w:t>银行账号：</w:t>
      </w:r>
      <w:r>
        <w:rPr>
          <w:rFonts w:hint="eastAsia" w:ascii="宋体" w:hAnsi="宋体" w:cs="宋体"/>
          <w:color w:val="000000"/>
          <w:kern w:val="0"/>
          <w:szCs w:val="21"/>
          <w:lang w:bidi="ar"/>
        </w:rPr>
        <w:t>78900188000167866</w:t>
      </w:r>
    </w:p>
    <w:p w14:paraId="3DBD8935">
      <w:pPr>
        <w:spacing w:line="360" w:lineRule="auto"/>
        <w:ind w:firstLine="843" w:firstLineChars="40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采用支票、汇票、本票或者保函等方式的，在投标截止时间前，投标人必须递交单独密封的支票、汇票、本票或者保函（电子保函除外）等原件给采购代理机构。否则视为无效投标保证金。</w:t>
      </w:r>
    </w:p>
    <w:p w14:paraId="4C45A09C">
      <w:pPr>
        <w:numPr>
          <w:ilvl w:val="0"/>
          <w:numId w:val="0"/>
        </w:numPr>
        <w:spacing w:line="360" w:lineRule="auto"/>
        <w:ind w:leftChars="200"/>
        <w:rPr>
          <w:rFonts w:hint="eastAsia" w:ascii="宋体" w:hAnsi="宋体" w:cs="宋体"/>
          <w:kern w:val="0"/>
          <w:szCs w:val="21"/>
          <w:highlight w:val="none"/>
        </w:rPr>
      </w:pPr>
      <w:r>
        <w:rPr>
          <w:rFonts w:hint="eastAsia" w:ascii="宋体" w:hAnsi="宋体" w:cs="宋体"/>
          <w:kern w:val="0"/>
          <w:szCs w:val="21"/>
          <w:highlight w:val="none"/>
          <w:lang w:val="en-US" w:eastAsia="zh-CN"/>
        </w:rPr>
        <w:t>2.</w:t>
      </w:r>
      <w:r>
        <w:rPr>
          <w:rFonts w:hint="eastAsia" w:ascii="宋体" w:hAnsi="宋体" w:cs="宋体"/>
          <w:kern w:val="0"/>
          <w:szCs w:val="21"/>
          <w:highlight w:val="none"/>
        </w:rPr>
        <w:t>采购意向公开链接：</w:t>
      </w:r>
    </w:p>
    <w:p w14:paraId="26F1E52E">
      <w:pPr>
        <w:numPr>
          <w:ilvl w:val="0"/>
          <w:numId w:val="0"/>
        </w:numPr>
        <w:spacing w:line="360" w:lineRule="auto"/>
        <w:ind w:leftChars="0" w:firstLine="420" w:firstLineChars="200"/>
        <w:rPr>
          <w:rFonts w:hint="eastAsia" w:ascii="宋体" w:hAnsi="宋体" w:cs="宋体"/>
          <w:kern w:val="0"/>
          <w:szCs w:val="21"/>
          <w:highlight w:val="none"/>
        </w:rPr>
      </w:pPr>
      <w:r>
        <w:rPr>
          <w:rFonts w:hint="eastAsia" w:ascii="宋体" w:hAnsi="宋体" w:cs="宋体"/>
          <w:kern w:val="0"/>
          <w:szCs w:val="21"/>
          <w:highlight w:val="none"/>
        </w:rPr>
        <w:t>http://zfcg.gxzf.gov.cn/site/detail?parentId=66601&amp;articleId=218UIxb3KOFQqeByTRKF+Q==</w:t>
      </w:r>
    </w:p>
    <w:p w14:paraId="2F9F98F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lang w:val="en-US" w:eastAsia="zh-CN"/>
        </w:rPr>
        <w:t>3.</w:t>
      </w:r>
      <w:r>
        <w:rPr>
          <w:rFonts w:hint="eastAsia" w:ascii="宋体" w:hAnsi="宋体" w:cs="宋体"/>
          <w:kern w:val="0"/>
          <w:szCs w:val="21"/>
          <w:highlight w:val="none"/>
        </w:rPr>
        <w:t>网上查询地址</w:t>
      </w:r>
      <w:bookmarkEnd w:id="43"/>
      <w:bookmarkEnd w:id="44"/>
      <w:bookmarkStart w:id="47" w:name="_Hlk37429674"/>
      <w:r>
        <w:rPr>
          <w:rFonts w:hint="eastAsia" w:ascii="宋体" w:hAnsi="宋体" w:cs="宋体"/>
          <w:kern w:val="0"/>
          <w:szCs w:val="21"/>
          <w:highlight w:val="none"/>
          <w:lang w:eastAsia="zh-CN"/>
        </w:rPr>
        <w:t>：</w:t>
      </w:r>
      <w:r>
        <w:rPr>
          <w:rFonts w:hint="eastAsia" w:ascii="宋体" w:hAnsi="宋体" w:cs="宋体"/>
          <w:kern w:val="0"/>
          <w:szCs w:val="21"/>
          <w:highlight w:val="none"/>
        </w:rPr>
        <w:t>中国政府采购网（www.ccgp.gov.cn）、广西壮族自治区政府采购网（http://zfcg.gxzf.gov.cn）、http://gxggzy.gxzf.gov.cn/（广西壮族自治区公共资源交易中心）</w:t>
      </w:r>
    </w:p>
    <w:p w14:paraId="27EF3CEB">
      <w:pPr>
        <w:spacing w:line="360" w:lineRule="auto"/>
        <w:ind w:firstLine="420" w:firstLineChars="200"/>
        <w:rPr>
          <w:rFonts w:ascii="宋体" w:hAnsi="宋体" w:cs="宋体"/>
          <w:kern w:val="0"/>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kern w:val="0"/>
          <w:szCs w:val="21"/>
          <w:highlight w:val="none"/>
        </w:rPr>
        <w:t>本项目需要落实的政府采购政策：</w:t>
      </w:r>
      <w:bookmarkStart w:id="48" w:name="PO_3000001867_PM023"/>
    </w:p>
    <w:bookmarkEnd w:id="48"/>
    <w:p w14:paraId="21690276">
      <w:pPr>
        <w:spacing w:line="360" w:lineRule="auto"/>
        <w:ind w:left="0" w:leftChars="0" w:firstLine="478" w:firstLineChars="228"/>
        <w:rPr>
          <w:rFonts w:ascii="宋体" w:hAnsi="宋体" w:cs="宋体"/>
          <w:kern w:val="0"/>
          <w:szCs w:val="21"/>
          <w:highlight w:val="none"/>
        </w:rPr>
      </w:pPr>
      <w:r>
        <w:rPr>
          <w:rFonts w:hint="eastAsia" w:ascii="宋体" w:hAnsi="宋体" w:cs="宋体"/>
          <w:kern w:val="0"/>
          <w:szCs w:val="21"/>
          <w:highlight w:val="none"/>
        </w:rPr>
        <w:t>（1）政府采购促进中小企业发展。</w:t>
      </w:r>
    </w:p>
    <w:p w14:paraId="605D2CF6">
      <w:pPr>
        <w:spacing w:line="360" w:lineRule="auto"/>
        <w:ind w:left="0" w:leftChars="0" w:firstLine="478" w:firstLineChars="228"/>
        <w:rPr>
          <w:rFonts w:ascii="宋体" w:hAnsi="宋体" w:cs="宋体"/>
          <w:kern w:val="0"/>
          <w:szCs w:val="21"/>
          <w:highlight w:val="none"/>
        </w:rPr>
      </w:pPr>
      <w:r>
        <w:rPr>
          <w:rFonts w:hint="eastAsia" w:ascii="宋体" w:hAnsi="宋体" w:cs="宋体"/>
          <w:kern w:val="0"/>
          <w:szCs w:val="21"/>
          <w:highlight w:val="none"/>
        </w:rPr>
        <w:t>（2）政府采购支持采用本国产品的政策。</w:t>
      </w:r>
    </w:p>
    <w:p w14:paraId="3A003895">
      <w:pPr>
        <w:spacing w:line="360" w:lineRule="auto"/>
        <w:ind w:left="0" w:leftChars="0" w:firstLine="478" w:firstLineChars="228"/>
        <w:rPr>
          <w:rFonts w:ascii="宋体" w:hAnsi="宋体" w:cs="宋体"/>
          <w:kern w:val="0"/>
          <w:szCs w:val="21"/>
          <w:highlight w:val="none"/>
        </w:rPr>
      </w:pPr>
      <w:r>
        <w:rPr>
          <w:rFonts w:hint="eastAsia" w:ascii="宋体" w:hAnsi="宋体" w:cs="宋体"/>
          <w:kern w:val="0"/>
          <w:szCs w:val="21"/>
          <w:highlight w:val="none"/>
        </w:rPr>
        <w:t>（3）强制采购节能产品。优先采购节能产品、环境标志产品。</w:t>
      </w:r>
    </w:p>
    <w:p w14:paraId="34BBDE7C">
      <w:pPr>
        <w:spacing w:line="360" w:lineRule="auto"/>
        <w:ind w:left="0" w:leftChars="0" w:firstLine="478" w:firstLineChars="228"/>
        <w:rPr>
          <w:rFonts w:ascii="宋体" w:hAnsi="宋体" w:cs="宋体"/>
          <w:kern w:val="0"/>
          <w:szCs w:val="21"/>
          <w:highlight w:val="none"/>
        </w:rPr>
      </w:pPr>
      <w:r>
        <w:rPr>
          <w:rFonts w:hint="eastAsia" w:ascii="宋体" w:hAnsi="宋体" w:cs="宋体"/>
          <w:kern w:val="0"/>
          <w:szCs w:val="21"/>
          <w:highlight w:val="none"/>
        </w:rPr>
        <w:t>（4）政府采购促进残疾人就业政策。</w:t>
      </w:r>
    </w:p>
    <w:p w14:paraId="02ABB86A">
      <w:pPr>
        <w:spacing w:line="360" w:lineRule="auto"/>
        <w:ind w:left="0" w:leftChars="0" w:firstLine="478" w:firstLineChars="228"/>
        <w:rPr>
          <w:rFonts w:hint="eastAsia" w:ascii="宋体" w:hAnsi="宋体" w:cs="宋体"/>
          <w:kern w:val="0"/>
          <w:szCs w:val="21"/>
          <w:highlight w:val="none"/>
        </w:rPr>
      </w:pPr>
      <w:r>
        <w:rPr>
          <w:rFonts w:hint="eastAsia" w:ascii="宋体" w:hAnsi="宋体" w:cs="宋体"/>
          <w:kern w:val="0"/>
          <w:szCs w:val="21"/>
          <w:highlight w:val="none"/>
        </w:rPr>
        <w:t>（5）政府采购支持监狱企业发展。</w:t>
      </w:r>
    </w:p>
    <w:p w14:paraId="657FBEFD">
      <w:pPr>
        <w:spacing w:line="360" w:lineRule="auto"/>
        <w:ind w:left="0" w:leftChars="0" w:firstLine="478" w:firstLineChars="228"/>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6）</w:t>
      </w:r>
      <w:r>
        <w:rPr>
          <w:rFonts w:hint="eastAsia" w:ascii="宋体" w:hAnsi="宋体" w:cs="宋体"/>
          <w:kern w:val="0"/>
          <w:szCs w:val="21"/>
          <w:highlight w:val="none"/>
        </w:rPr>
        <w:t>政府</w:t>
      </w:r>
      <w:r>
        <w:rPr>
          <w:rFonts w:hint="eastAsia" w:ascii="宋体" w:hAnsi="宋体" w:eastAsia="宋体" w:cs="宋体"/>
          <w:kern w:val="0"/>
          <w:szCs w:val="21"/>
          <w:highlight w:val="none"/>
        </w:rPr>
        <w:t>采购</w:t>
      </w:r>
      <w:r>
        <w:rPr>
          <w:rFonts w:hint="eastAsia" w:ascii="宋体" w:hAnsi="宋体" w:eastAsia="宋体" w:cs="宋体"/>
          <w:kern w:val="0"/>
          <w:szCs w:val="21"/>
          <w:highlight w:val="none"/>
          <w:lang w:eastAsia="zh-CN"/>
        </w:rPr>
        <w:t>支持创新政府采购政策。</w:t>
      </w:r>
    </w:p>
    <w:p w14:paraId="487EACE0">
      <w:pPr>
        <w:spacing w:line="36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51B44FD">
      <w:pPr>
        <w:spacing w:line="360" w:lineRule="auto"/>
        <w:ind w:firstLine="420" w:firstLineChars="200"/>
        <w:rPr>
          <w:rFonts w:ascii="宋体" w:hAnsi="宋体" w:cs="宋体"/>
          <w:kern w:val="0"/>
          <w:szCs w:val="21"/>
          <w:highlight w:val="none"/>
        </w:rPr>
      </w:pPr>
      <w:r>
        <w:rPr>
          <w:rFonts w:hint="eastAsia" w:ascii="宋体" w:hAnsi="宋体" w:cs="宋体"/>
          <w:szCs w:val="21"/>
          <w:highlight w:val="none"/>
          <w:lang w:val="en-US" w:eastAsia="zh-CN"/>
        </w:rPr>
        <w:t>6</w:t>
      </w:r>
      <w:r>
        <w:rPr>
          <w:rFonts w:hint="eastAsia" w:ascii="宋体" w:hAnsi="宋体" w:cs="宋体"/>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47"/>
    <w:p w14:paraId="44986438">
      <w:pPr>
        <w:spacing w:line="360" w:lineRule="auto"/>
        <w:ind w:firstLine="422" w:firstLineChars="200"/>
        <w:rPr>
          <w:rFonts w:ascii="宋体" w:hAnsi="宋体" w:cs="宋体"/>
          <w:b/>
          <w:bCs/>
          <w:kern w:val="0"/>
          <w:szCs w:val="21"/>
          <w:highlight w:val="none"/>
        </w:rPr>
      </w:pPr>
      <w:r>
        <w:rPr>
          <w:rFonts w:hint="eastAsia" w:ascii="宋体" w:hAnsi="宋体" w:cs="宋体"/>
          <w:b/>
          <w:bCs/>
          <w:szCs w:val="21"/>
          <w:highlight w:val="none"/>
          <w:lang w:val="en-US" w:eastAsia="zh-CN"/>
        </w:rPr>
        <w:t>7</w:t>
      </w:r>
      <w:r>
        <w:rPr>
          <w:rFonts w:hint="eastAsia" w:ascii="宋体" w:hAnsi="宋体" w:cs="宋体"/>
          <w:b/>
          <w:bCs/>
          <w:szCs w:val="21"/>
          <w:highlight w:val="none"/>
        </w:rPr>
        <w:t>.在线投标的有关说明</w:t>
      </w:r>
      <w:r>
        <w:rPr>
          <w:rFonts w:hint="eastAsia" w:ascii="宋体" w:hAnsi="宋体" w:cs="宋体"/>
          <w:b/>
          <w:bCs/>
          <w:kern w:val="0"/>
          <w:szCs w:val="21"/>
          <w:highlight w:val="none"/>
        </w:rPr>
        <w:t>：</w:t>
      </w:r>
    </w:p>
    <w:p w14:paraId="029635E4">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投标文件提交方式：本项目为全流程电子化项目，通过广西政府采购云平台（https://www.gcy.zfcg.gxzf.gov.cn/）实行在线电子投标，供应商应先安装广西政府采购云平台新版客户端（新版客户端下载路径：广西政府采购网（访问地址http://zfcg.gxzf.gov.cn/）—办事服务—下载专区），并按照本项目招标文件和广西政府采购云平台的要求编制、加密后在投标截止时间前通过网络上传至广西政府采购云平台，投标人在广西政府采购云平台提交电子版投标文件时，请填写参加远程开标活动经办人联系方式。</w:t>
      </w:r>
    </w:p>
    <w:p w14:paraId="1C6BBAE0">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（2）未进行网上注册并办理数字证书（CA认证）的供应商将无法参与本项目政府采购活动，潜在投标人应当在投标截止时间前，完成电子交易平台上的CA数字证书办理及投标文件的提交。</w:t>
      </w:r>
    </w:p>
    <w:p w14:paraId="433FB416">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（3）为确保网上操作合法、有效和安全，请投标人确保在电子投标过程中能够对相关数据电文进行加密和使用电子签章，妥善保管CA数字证书并使用有效的CA数字证书参与整个招标活动。</w:t>
      </w:r>
    </w:p>
    <w:p w14:paraId="2FFB4209">
      <w:pPr>
        <w:spacing w:line="360" w:lineRule="auto"/>
        <w:ind w:firstLine="422" w:firstLineChars="200"/>
        <w:rPr>
          <w:rFonts w:ascii="宋体" w:hAnsi="宋体" w:cs="宋体"/>
          <w:bCs/>
          <w:szCs w:val="21"/>
          <w:highlight w:val="none"/>
          <w:u w:val="single"/>
        </w:rPr>
      </w:pPr>
      <w:r>
        <w:rPr>
          <w:rFonts w:hint="eastAsia" w:ascii="宋体" w:hAnsi="宋体" w:cs="宋体"/>
          <w:b/>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3BD43C1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（4）CA证书在线解密：投标人投标时，需携带制作投标文件时用来加密的有效数字证书（CA认证）登录广西政府采购云平台电子开标大厅现场按规定时间对加密的投标文件进行解密。</w:t>
      </w:r>
    </w:p>
    <w:p w14:paraId="6BAACB4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5）若对项目采购电子交易系统操作有疑问，可登录广西政府采购云平台（https://www.gcy.zfcg.gxzf.gov.cn/），点击右侧咨询小采，获取采小蜜智能服务管家帮助，或拨打广西政府采购云平台服务热线95763获取热线服务帮助。</w:t>
      </w:r>
    </w:p>
    <w:bookmarkEnd w:id="45"/>
    <w:p w14:paraId="744C1150">
      <w:pPr>
        <w:spacing w:line="360" w:lineRule="auto"/>
        <w:ind w:firstLine="361"/>
        <w:rPr>
          <w:rFonts w:ascii="黑体" w:hAnsi="黑体" w:eastAsia="黑体"/>
          <w:b/>
          <w:bCs/>
          <w:sz w:val="24"/>
          <w:highlight w:val="none"/>
        </w:rPr>
      </w:pPr>
      <w:bookmarkStart w:id="49" w:name="_Toc28359008"/>
      <w:bookmarkStart w:id="50" w:name="_Toc35393627"/>
      <w:bookmarkStart w:id="51" w:name="_Toc35393796"/>
      <w:bookmarkStart w:id="52" w:name="_Toc28359085"/>
      <w:r>
        <w:rPr>
          <w:rFonts w:hint="eastAsia" w:ascii="黑体" w:hAnsi="黑体" w:eastAsia="黑体"/>
          <w:b/>
          <w:bCs/>
          <w:sz w:val="24"/>
          <w:highlight w:val="none"/>
        </w:rPr>
        <w:t>七、对本次招标提出询问，请按以下方式联系。</w:t>
      </w:r>
      <w:bookmarkEnd w:id="49"/>
      <w:bookmarkEnd w:id="50"/>
      <w:bookmarkEnd w:id="51"/>
      <w:bookmarkEnd w:id="52"/>
    </w:p>
    <w:p w14:paraId="7E47812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1.采购人信息</w:t>
      </w:r>
    </w:p>
    <w:p w14:paraId="147D0C82">
      <w:pPr>
        <w:spacing w:line="360" w:lineRule="auto"/>
        <w:ind w:firstLine="630" w:firstLineChars="300"/>
        <w:rPr>
          <w:rFonts w:hint="eastAsia" w:ascii="宋体" w:hAnsi="宋体" w:eastAsia="宋体" w:cs="宋体"/>
          <w:kern w:val="0"/>
          <w:szCs w:val="21"/>
          <w:highlight w:val="none"/>
          <w:lang w:eastAsia="zh-CN"/>
        </w:rPr>
      </w:pPr>
      <w:r>
        <w:rPr>
          <w:rFonts w:hint="eastAsia" w:ascii="宋体" w:hAnsi="宋体" w:cs="宋体"/>
          <w:kern w:val="0"/>
          <w:szCs w:val="21"/>
          <w:highlight w:val="none"/>
        </w:rPr>
        <w:t>名称：</w:t>
      </w:r>
      <w:bookmarkStart w:id="53" w:name="OLE_LINK141"/>
      <w:r>
        <w:rPr>
          <w:rFonts w:hint="eastAsia" w:ascii="宋体" w:hAnsi="宋体" w:cs="宋体"/>
          <w:kern w:val="0"/>
          <w:szCs w:val="21"/>
          <w:highlight w:val="none"/>
          <w:lang w:eastAsia="zh-CN"/>
        </w:rPr>
        <w:t>广西壮族自治区农业科学院</w:t>
      </w:r>
    </w:p>
    <w:bookmarkEnd w:id="53"/>
    <w:p w14:paraId="67F5AFF9">
      <w:pPr>
        <w:spacing w:line="360" w:lineRule="auto"/>
        <w:ind w:firstLine="630" w:firstLineChars="300"/>
        <w:rPr>
          <w:rFonts w:hint="eastAsia" w:ascii="宋体" w:hAnsi="宋体" w:cs="宋体"/>
          <w:kern w:val="0"/>
          <w:szCs w:val="21"/>
          <w:highlight w:val="none"/>
        </w:rPr>
      </w:pPr>
      <w:r>
        <w:rPr>
          <w:rFonts w:hint="eastAsia" w:ascii="宋体" w:hAnsi="宋体" w:cs="宋体"/>
          <w:kern w:val="0"/>
          <w:szCs w:val="21"/>
          <w:highlight w:val="none"/>
        </w:rPr>
        <w:t>地址：</w:t>
      </w:r>
      <w:bookmarkStart w:id="54" w:name="OLE_LINK204"/>
      <w:r>
        <w:rPr>
          <w:rFonts w:hint="eastAsia" w:ascii="宋体" w:hAnsi="宋体" w:cs="宋体"/>
          <w:kern w:val="0"/>
          <w:szCs w:val="21"/>
          <w:highlight w:val="none"/>
        </w:rPr>
        <w:t>南宁市西乡塘区大学东路174号</w:t>
      </w:r>
    </w:p>
    <w:bookmarkEnd w:id="54"/>
    <w:p w14:paraId="456BCF33">
      <w:pPr>
        <w:spacing w:line="360" w:lineRule="auto"/>
        <w:ind w:firstLine="630" w:firstLineChars="300"/>
        <w:rPr>
          <w:rFonts w:hint="eastAsia" w:ascii="宋体" w:hAnsi="宋体" w:eastAsia="宋体" w:cs="宋体"/>
          <w:kern w:val="0"/>
          <w:szCs w:val="21"/>
          <w:highlight w:val="none"/>
          <w:lang w:eastAsia="zh-CN"/>
        </w:rPr>
      </w:pPr>
      <w:r>
        <w:rPr>
          <w:rFonts w:hint="eastAsia" w:ascii="宋体" w:hAnsi="宋体" w:cs="宋体"/>
          <w:kern w:val="0"/>
          <w:szCs w:val="21"/>
          <w:highlight w:val="none"/>
        </w:rPr>
        <w:t>项目联系人：</w:t>
      </w:r>
      <w:r>
        <w:rPr>
          <w:rFonts w:hint="eastAsia" w:ascii="宋体" w:hAnsi="宋体" w:cs="宋体"/>
          <w:kern w:val="0"/>
          <w:szCs w:val="21"/>
          <w:highlight w:val="none"/>
          <w:lang w:eastAsia="zh-CN"/>
        </w:rPr>
        <w:t>高忠奎</w:t>
      </w:r>
    </w:p>
    <w:p w14:paraId="589558BA">
      <w:pPr>
        <w:spacing w:line="360" w:lineRule="auto"/>
        <w:ind w:firstLine="630" w:firstLineChars="300"/>
        <w:rPr>
          <w:rFonts w:hint="default" w:ascii="宋体" w:hAnsi="宋体" w:eastAsia="宋体" w:cs="宋体"/>
          <w:kern w:val="0"/>
          <w:szCs w:val="21"/>
          <w:highlight w:val="none"/>
          <w:lang w:val="en-US" w:eastAsia="zh-CN"/>
        </w:rPr>
      </w:pPr>
      <w:r>
        <w:rPr>
          <w:rFonts w:hint="eastAsia" w:ascii="宋体" w:hAnsi="宋体" w:cs="宋体"/>
          <w:kern w:val="0"/>
          <w:szCs w:val="21"/>
          <w:highlight w:val="none"/>
        </w:rPr>
        <w:t>项目联系方式：</w:t>
      </w:r>
      <w:bookmarkStart w:id="55" w:name="OLE_LINK202"/>
      <w:r>
        <w:rPr>
          <w:rFonts w:hint="eastAsia" w:ascii="宋体" w:hAnsi="宋体" w:cs="宋体"/>
          <w:kern w:val="0"/>
          <w:szCs w:val="21"/>
          <w:highlight w:val="none"/>
          <w:lang w:val="en-US" w:eastAsia="zh-CN"/>
        </w:rPr>
        <w:t>0771-</w:t>
      </w:r>
      <w:r>
        <w:rPr>
          <w:rFonts w:hint="eastAsia" w:ascii="宋体" w:hAnsi="宋体" w:cs="宋体"/>
          <w:kern w:val="0"/>
          <w:szCs w:val="21"/>
          <w:highlight w:val="none"/>
        </w:rPr>
        <w:t>3249302</w:t>
      </w:r>
    </w:p>
    <w:bookmarkEnd w:id="55"/>
    <w:p w14:paraId="292DCC4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2.采购代理机构信息</w:t>
      </w:r>
    </w:p>
    <w:p w14:paraId="39BB73F3">
      <w:pPr>
        <w:spacing w:line="360" w:lineRule="auto"/>
        <w:ind w:firstLine="630" w:firstLineChars="300"/>
        <w:rPr>
          <w:rFonts w:hint="default" w:ascii="宋体" w:hAnsi="宋体" w:eastAsia="宋体"/>
          <w:szCs w:val="21"/>
          <w:highlight w:val="none"/>
          <w:lang w:val="en-US" w:eastAsia="zh-CN"/>
        </w:rPr>
      </w:pPr>
      <w:r>
        <w:rPr>
          <w:rFonts w:hint="default" w:ascii="宋体" w:hAnsi="宋体" w:eastAsia="宋体"/>
          <w:szCs w:val="21"/>
          <w:highlight w:val="none"/>
          <w:lang w:val="en-US" w:eastAsia="zh-CN"/>
        </w:rPr>
        <w:t>名称：广西众联工程项目管理有限公司             </w:t>
      </w:r>
    </w:p>
    <w:p w14:paraId="0A5ECB0D">
      <w:pPr>
        <w:spacing w:line="360" w:lineRule="auto"/>
        <w:ind w:firstLine="630" w:firstLineChars="300"/>
        <w:rPr>
          <w:rFonts w:hint="default" w:ascii="宋体" w:hAnsi="宋体" w:eastAsia="宋体"/>
          <w:szCs w:val="21"/>
          <w:highlight w:val="none"/>
          <w:lang w:val="en-US" w:eastAsia="zh-CN"/>
        </w:rPr>
      </w:pPr>
      <w:r>
        <w:rPr>
          <w:rFonts w:hint="default" w:ascii="宋体" w:hAnsi="宋体" w:eastAsia="宋体"/>
          <w:szCs w:val="21"/>
          <w:highlight w:val="none"/>
          <w:lang w:val="en-US" w:eastAsia="zh-CN"/>
        </w:rPr>
        <w:t>地址：南宁市江南区白沙大道53号松宇时代14A层              </w:t>
      </w:r>
    </w:p>
    <w:p w14:paraId="7263900E">
      <w:pPr>
        <w:spacing w:line="360" w:lineRule="auto"/>
        <w:ind w:firstLine="630" w:firstLineChars="300"/>
        <w:rPr>
          <w:rFonts w:hint="default" w:ascii="宋体" w:hAnsi="宋体" w:eastAsia="宋体"/>
          <w:szCs w:val="21"/>
          <w:highlight w:val="none"/>
          <w:lang w:val="en-US" w:eastAsia="zh-CN"/>
        </w:rPr>
      </w:pPr>
      <w:r>
        <w:rPr>
          <w:rFonts w:hint="default" w:ascii="宋体" w:hAnsi="宋体" w:eastAsia="宋体"/>
          <w:szCs w:val="21"/>
          <w:highlight w:val="none"/>
          <w:lang w:val="en-US" w:eastAsia="zh-CN"/>
        </w:rPr>
        <w:t>项目联系人：</w:t>
      </w:r>
      <w:r>
        <w:rPr>
          <w:rFonts w:hint="eastAsia" w:ascii="宋体" w:hAnsi="宋体"/>
          <w:szCs w:val="21"/>
          <w:highlight w:val="none"/>
          <w:lang w:val="en-US" w:eastAsia="zh-CN"/>
        </w:rPr>
        <w:t>李柳婵</w:t>
      </w:r>
      <w:r>
        <w:rPr>
          <w:rFonts w:hint="default" w:ascii="宋体" w:hAnsi="宋体" w:eastAsia="宋体"/>
          <w:szCs w:val="21"/>
          <w:highlight w:val="none"/>
          <w:lang w:val="en-US" w:eastAsia="zh-CN"/>
        </w:rPr>
        <w:t>、戚程、包鹏              </w:t>
      </w:r>
    </w:p>
    <w:p w14:paraId="6B360FFF">
      <w:pPr>
        <w:spacing w:line="360" w:lineRule="auto"/>
        <w:ind w:firstLine="630" w:firstLineChars="300"/>
        <w:rPr>
          <w:rFonts w:hint="default" w:ascii="宋体" w:hAnsi="宋体" w:eastAsia="宋体"/>
          <w:szCs w:val="21"/>
          <w:highlight w:val="none"/>
          <w:lang w:val="en-US" w:eastAsia="zh-CN"/>
        </w:rPr>
      </w:pPr>
      <w:r>
        <w:rPr>
          <w:rFonts w:hint="default" w:ascii="宋体" w:hAnsi="宋体" w:eastAsia="宋体"/>
          <w:szCs w:val="21"/>
          <w:highlight w:val="none"/>
          <w:lang w:val="en-US" w:eastAsia="zh-CN"/>
        </w:rPr>
        <w:t>项目联系方式：0771-4308370 </w:t>
      </w:r>
    </w:p>
    <w:p w14:paraId="6A294465">
      <w:pPr>
        <w:spacing w:line="360" w:lineRule="auto"/>
        <w:jc w:val="left"/>
        <w:rPr>
          <w:rFonts w:ascii="宋体" w:hAnsi="宋体" w:cs="宋体"/>
          <w:szCs w:val="21"/>
          <w:highlight w:val="none"/>
        </w:rPr>
      </w:pPr>
    </w:p>
    <w:bookmarkEnd w:id="5"/>
    <w:p w14:paraId="51C84B80">
      <w:pPr>
        <w:pStyle w:val="14"/>
        <w:jc w:val="center"/>
        <w:outlineLvl w:val="0"/>
        <w:rPr>
          <w:rFonts w:hAnsi="宋体" w:cs="宋体"/>
          <w:b/>
          <w:sz w:val="36"/>
          <w:highlight w:val="none"/>
        </w:rPr>
      </w:pPr>
      <w:r>
        <w:rPr>
          <w:rFonts w:hint="eastAsia" w:hAnsi="宋体" w:cs="宋体"/>
          <w:szCs w:val="21"/>
          <w:highlight w:val="none"/>
        </w:rPr>
        <w:br w:type="page"/>
      </w:r>
      <w:bookmarkStart w:id="56" w:name="_Toc532545042"/>
      <w:bookmarkStart w:id="57" w:name="_Toc32271"/>
      <w:bookmarkStart w:id="58" w:name="_Toc22518"/>
      <w:bookmarkStart w:id="59" w:name="_Toc28626"/>
      <w:bookmarkStart w:id="60" w:name="_Toc4656"/>
      <w:r>
        <w:rPr>
          <w:rFonts w:hint="eastAsia" w:hAnsi="宋体" w:cs="宋体"/>
          <w:b/>
          <w:sz w:val="36"/>
          <w:highlight w:val="none"/>
        </w:rPr>
        <w:t xml:space="preserve">第二章  </w:t>
      </w:r>
      <w:bookmarkEnd w:id="56"/>
      <w:r>
        <w:rPr>
          <w:rFonts w:hint="eastAsia" w:hAnsi="宋体" w:cs="宋体"/>
          <w:b/>
          <w:sz w:val="36"/>
          <w:highlight w:val="none"/>
        </w:rPr>
        <w:t>采购需求</w:t>
      </w:r>
      <w:bookmarkEnd w:id="57"/>
      <w:bookmarkEnd w:id="58"/>
      <w:bookmarkEnd w:id="59"/>
      <w:bookmarkEnd w:id="60"/>
    </w:p>
    <w:p w14:paraId="336335E4">
      <w:pPr>
        <w:adjustRightInd w:val="0"/>
        <w:spacing w:line="340" w:lineRule="exact"/>
        <w:ind w:firstLine="316"/>
        <w:rPr>
          <w:rFonts w:ascii="宋体" w:hAnsi="宋体" w:cs="宋体"/>
          <w:b/>
          <w:szCs w:val="21"/>
          <w:highlight w:val="none"/>
        </w:rPr>
      </w:pPr>
    </w:p>
    <w:p w14:paraId="05296E41">
      <w:pPr>
        <w:adjustRightInd w:val="0"/>
        <w:spacing w:line="450" w:lineRule="exact"/>
        <w:ind w:firstLine="316"/>
        <w:rPr>
          <w:rFonts w:ascii="宋体" w:hAnsi="宋体" w:cs="宋体"/>
          <w:b/>
          <w:szCs w:val="21"/>
          <w:highlight w:val="none"/>
        </w:rPr>
      </w:pPr>
      <w:r>
        <w:rPr>
          <w:rFonts w:hint="eastAsia" w:ascii="宋体" w:hAnsi="宋体" w:cs="宋体"/>
          <w:b/>
          <w:szCs w:val="21"/>
          <w:highlight w:val="none"/>
        </w:rPr>
        <w:t>说明：</w:t>
      </w:r>
    </w:p>
    <w:p w14:paraId="2203355E">
      <w:pPr>
        <w:spacing w:line="450" w:lineRule="exact"/>
        <w:ind w:firstLine="424" w:firstLineChars="202"/>
        <w:jc w:val="left"/>
        <w:rPr>
          <w:rFonts w:ascii="宋体" w:hAnsi="宋体" w:cs="宋体"/>
          <w:highlight w:val="none"/>
        </w:rPr>
      </w:pPr>
      <w:r>
        <w:rPr>
          <w:rFonts w:hint="eastAsia" w:ascii="宋体" w:hAnsi="宋体" w:cs="宋体"/>
          <w:highlight w:val="none"/>
        </w:rPr>
        <w:t>1. 为落实政府采购政策需满足的要求</w:t>
      </w:r>
    </w:p>
    <w:p w14:paraId="7866FAC1">
      <w:pPr>
        <w:spacing w:line="450" w:lineRule="exact"/>
        <w:ind w:firstLine="424" w:firstLineChars="202"/>
        <w:jc w:val="left"/>
        <w:rPr>
          <w:rFonts w:ascii="宋体" w:hAnsi="宋体" w:cs="宋体"/>
          <w:highlight w:val="none"/>
        </w:rPr>
      </w:pPr>
      <w:r>
        <w:rPr>
          <w:rFonts w:hint="eastAsia" w:ascii="宋体" w:hAnsi="宋体" w:cs="宋体"/>
          <w:highlight w:val="none"/>
        </w:rPr>
        <w:t>（1）本招标文件所称中小企业必须符合《政府采购促进中小企业发展管理办法》（财库〔2020〕46号）的规定。</w:t>
      </w:r>
    </w:p>
    <w:p w14:paraId="5C097639">
      <w:pPr>
        <w:spacing w:line="450" w:lineRule="exact"/>
        <w:ind w:firstLine="424" w:firstLineChars="202"/>
        <w:jc w:val="left"/>
        <w:rPr>
          <w:rFonts w:hint="eastAsia" w:ascii="宋体" w:hAnsi="宋体" w:cs="宋体"/>
          <w:highlight w:val="none"/>
        </w:rPr>
      </w:pPr>
      <w:r>
        <w:rPr>
          <w:rFonts w:hint="eastAsia" w:ascii="宋体" w:hAnsi="宋体" w:cs="宋体"/>
          <w:highlight w:val="none"/>
        </w:rPr>
        <w:t>（2）根据《财政部 发展改革委 生态环境部 市场监管总局关于调整优化节能产品、环境标志产品政府采购执行机制的通知》</w:t>
      </w:r>
      <w:bookmarkStart w:id="61" w:name="OLE_LINK20"/>
      <w:r>
        <w:rPr>
          <w:rFonts w:hint="eastAsia" w:ascii="宋体" w:hAnsi="宋体" w:cs="宋体"/>
          <w:highlight w:val="none"/>
        </w:rPr>
        <w:t>（财库〔2019〕9号）</w:t>
      </w:r>
      <w:bookmarkEnd w:id="61"/>
      <w:r>
        <w:rPr>
          <w:rFonts w:hint="eastAsia" w:ascii="宋体" w:hAnsi="宋体" w:cs="宋体"/>
          <w:highlight w:val="none"/>
        </w:rPr>
        <w:t>和《</w:t>
      </w:r>
      <w:bookmarkStart w:id="62" w:name="OLE_LINK19"/>
      <w:r>
        <w:rPr>
          <w:rFonts w:hint="eastAsia" w:ascii="宋体" w:hAnsi="宋体" w:cs="宋体"/>
          <w:highlight w:val="none"/>
        </w:rPr>
        <w:t>关于印发节能产品政府采购品目清单的通知</w:t>
      </w:r>
      <w:bookmarkEnd w:id="62"/>
      <w:r>
        <w:rPr>
          <w:rFonts w:hint="eastAsia" w:ascii="宋体" w:hAnsi="宋体" w:cs="宋体"/>
          <w:highlight w:val="none"/>
        </w:rPr>
        <w:t>》（财库〔2019〕19号）的规定，采购需求中的产品属于节能产品政府采购品目清单内标注“★”的，投标人的投标货物必须使用政府强制采购的节能产品，投标人必须在投标文件中提供所投标产品有效期内的节能产品认证证书复印件（加盖投标人公章），否则投标文件作无效处理。如本项目包含的货物属于品目清单内非标注“★”的产品时，应优先采购，具体详见“第四章 评标方法和评标标准”。</w:t>
      </w:r>
    </w:p>
    <w:p w14:paraId="70D63DFB">
      <w:pPr>
        <w:spacing w:line="360" w:lineRule="auto"/>
        <w:ind w:firstLine="424" w:firstLineChars="202"/>
        <w:jc w:val="left"/>
        <w:rPr>
          <w:rFonts w:hint="eastAsia" w:ascii="宋体" w:hAnsi="宋体" w:cs="宋体"/>
          <w:color w:val="auto"/>
          <w:szCs w:val="21"/>
          <w:highlight w:val="none"/>
        </w:rPr>
      </w:pPr>
      <w:r>
        <w:rPr>
          <w:rFonts w:hint="eastAsia" w:ascii="宋体" w:hAnsi="宋体" w:cs="宋体"/>
          <w:highlight w:val="none"/>
          <w:lang w:eastAsia="zh-CN"/>
        </w:rPr>
        <w:t>（</w:t>
      </w:r>
      <w:r>
        <w:rPr>
          <w:rFonts w:hint="eastAsia" w:ascii="宋体" w:hAnsi="宋体" w:cs="宋体"/>
          <w:highlight w:val="none"/>
          <w:lang w:val="en-US" w:eastAsia="zh-CN"/>
        </w:rPr>
        <w:t>3</w:t>
      </w:r>
      <w:r>
        <w:rPr>
          <w:rFonts w:hint="eastAsia" w:ascii="宋体" w:hAnsi="宋体" w:cs="宋体"/>
          <w:highlight w:val="none"/>
          <w:lang w:eastAsia="zh-CN"/>
        </w:rPr>
        <w:t>）</w:t>
      </w:r>
      <w:r>
        <w:rPr>
          <w:rFonts w:hint="eastAsia" w:ascii="宋体" w:hAnsi="宋体" w:cs="宋体"/>
          <w:color w:val="auto"/>
          <w:szCs w:val="21"/>
          <w:highlight w:val="none"/>
        </w:rPr>
        <w:t>根</w:t>
      </w:r>
      <w:r>
        <w:rPr>
          <w:rFonts w:hint="eastAsia" w:ascii="宋体" w:hAnsi="宋体" w:cs="宋体"/>
          <w:color w:val="auto"/>
          <w:szCs w:val="21"/>
          <w:highlight w:val="none"/>
          <w:lang w:bidi="ar"/>
        </w:rPr>
        <w:t>据《中华人民共和国网络安全法》、《关于调整网络安全专用产品安全管理有关事项的公告》（2023年 第1号）、关于调整《网络关键设备和网络安全专用产品目录》的公告（2023年第2号）、《国家认监委 工业和信息化部 公安部 国家互联网信息办公室关于发布承担网络关键设备和网络安全专用产品安全认证和安全检测任务机构名录（第一批）的公告》（2018年第12号）、《关于统一发布网络关键设备和网络安全专用产品安全认证和安全检测结果的公告》（2022年第1号）：采购需求中的产品属于列入《网络关键设备和网络安全专用产品目录》的网络安全专用产品的，应当按照《信息安全技术网络安全专用产品安全技术要求》等相关国家标准的强制性要求进行安全认证或者安全检测，投标人必须在投标文件中提供由具备资格的机构出具的安全认证合格证书或者安全检测合格的检测报告（加盖投标人公章），</w:t>
      </w:r>
      <w:r>
        <w:rPr>
          <w:rFonts w:hint="eastAsia" w:ascii="宋体" w:hAnsi="宋体" w:cs="宋体"/>
          <w:b/>
          <w:bCs/>
          <w:color w:val="auto"/>
          <w:szCs w:val="21"/>
          <w:highlight w:val="none"/>
          <w:lang w:bidi="ar"/>
        </w:rPr>
        <w:t>否则投标文件作无效处理</w:t>
      </w:r>
      <w:r>
        <w:rPr>
          <w:rFonts w:hint="eastAsia" w:ascii="宋体" w:hAnsi="宋体" w:cs="宋体"/>
          <w:b/>
          <w:color w:val="auto"/>
          <w:szCs w:val="21"/>
          <w:highlight w:val="none"/>
        </w:rPr>
        <w:t>。</w:t>
      </w:r>
    </w:p>
    <w:p w14:paraId="54834FDD">
      <w:pPr>
        <w:spacing w:line="450" w:lineRule="exact"/>
        <w:ind w:firstLine="424" w:firstLineChars="202"/>
        <w:jc w:val="left"/>
        <w:rPr>
          <w:rFonts w:hint="eastAsia" w:ascii="宋体" w:hAnsi="宋体" w:cs="宋体"/>
          <w:highlight w:val="none"/>
        </w:rPr>
      </w:pPr>
      <w:r>
        <w:rPr>
          <w:rFonts w:hint="eastAsia" w:ascii="宋体" w:hAnsi="宋体" w:cs="宋体"/>
          <w:highlight w:val="none"/>
        </w:rPr>
        <w:t>2.“实质性要求”是指招标文件中已经指明不满足则投标无效的条款，或者不能负偏离的条款，或者采购需求中带“</w:t>
      </w:r>
      <w:bookmarkStart w:id="63" w:name="OLE_LINK10"/>
      <w:r>
        <w:rPr>
          <w:rFonts w:hint="eastAsia" w:ascii="宋体" w:hAnsi="宋体" w:cs="宋体"/>
          <w:highlight w:val="none"/>
        </w:rPr>
        <w:t>▲</w:t>
      </w:r>
      <w:bookmarkEnd w:id="63"/>
      <w:r>
        <w:rPr>
          <w:rFonts w:hint="eastAsia" w:ascii="宋体" w:hAnsi="宋体" w:cs="宋体"/>
          <w:highlight w:val="none"/>
        </w:rPr>
        <w:t>”的条款。</w:t>
      </w:r>
    </w:p>
    <w:p w14:paraId="1710E5D8">
      <w:pPr>
        <w:spacing w:line="450" w:lineRule="exact"/>
        <w:ind w:firstLine="424" w:firstLineChars="202"/>
        <w:jc w:val="left"/>
        <w:rPr>
          <w:rFonts w:ascii="宋体" w:hAnsi="宋体" w:cs="宋体"/>
          <w:highlight w:val="none"/>
        </w:rPr>
      </w:pPr>
      <w:r>
        <w:rPr>
          <w:rFonts w:hint="eastAsia" w:ascii="宋体" w:hAnsi="宋体" w:cs="宋体"/>
          <w:highlight w:val="none"/>
        </w:rPr>
        <w:t>3.采购需求中出现的品牌、型号或者生产厂家仅起参考作用，不属于指定品牌、型号或者生产厂家的情形。投标人可参照或者选用其他相当的品牌、型号或者生产厂家替代，但选用的投标产品技术参数及配置必须满足采购要求。</w:t>
      </w:r>
    </w:p>
    <w:p w14:paraId="6115A0CF">
      <w:pPr>
        <w:spacing w:line="450" w:lineRule="exact"/>
        <w:ind w:firstLine="424" w:firstLineChars="202"/>
        <w:jc w:val="left"/>
        <w:rPr>
          <w:rFonts w:ascii="宋体" w:hAnsi="宋体" w:cs="宋体"/>
          <w:highlight w:val="none"/>
        </w:rPr>
      </w:pPr>
      <w:r>
        <w:rPr>
          <w:rFonts w:hint="eastAsia" w:ascii="宋体" w:hAnsi="宋体" w:cs="宋体"/>
          <w:highlight w:val="none"/>
        </w:rPr>
        <w:t>4.投标人必须对投标文件中提供的证明材料和资质文件真实性负责，如出现虚假应标情况，投标人除了应接受有关部门的处罚外，还应依据《中华人民共和国民法典》的相关条款来进行赔偿。</w:t>
      </w:r>
    </w:p>
    <w:p w14:paraId="6550F3A1">
      <w:pPr>
        <w:spacing w:line="450" w:lineRule="exact"/>
        <w:ind w:firstLine="424" w:firstLineChars="202"/>
        <w:jc w:val="left"/>
        <w:rPr>
          <w:rFonts w:ascii="宋体" w:hAnsi="宋体" w:cs="宋体"/>
          <w:szCs w:val="21"/>
          <w:highlight w:val="none"/>
        </w:rPr>
      </w:pPr>
      <w:r>
        <w:rPr>
          <w:rFonts w:hint="eastAsia" w:ascii="宋体" w:hAnsi="宋体" w:cs="宋体"/>
          <w:highlight w:val="none"/>
        </w:rPr>
        <w:t>5.投标人应对投标内容所涉及的专利承担法律责任，并负责保护采购人的利益不受任何损害。一切由于文字、商标、技术和软件专利授权引起的法律裁决、诉讼和赔偿费用均由中标人负责。</w:t>
      </w:r>
    </w:p>
    <w:p w14:paraId="0316DFA7">
      <w:pPr>
        <w:spacing w:line="450" w:lineRule="exact"/>
        <w:ind w:firstLine="426" w:firstLineChars="202"/>
        <w:jc w:val="left"/>
        <w:rPr>
          <w:rFonts w:ascii="宋体" w:hAnsi="宋体" w:cs="宋体"/>
          <w:szCs w:val="21"/>
          <w:highlight w:val="none"/>
        </w:rPr>
      </w:pPr>
      <w:r>
        <w:rPr>
          <w:rFonts w:hint="eastAsia" w:ascii="宋体" w:hAnsi="宋体" w:cs="宋体"/>
          <w:b/>
          <w:szCs w:val="21"/>
          <w:highlight w:val="none"/>
        </w:rPr>
        <w:t>6.采购标的对应的中小企业划分标准所属行业名称：</w:t>
      </w:r>
      <w:r>
        <w:rPr>
          <w:rFonts w:hint="eastAsia" w:ascii="宋体" w:hAnsi="宋体" w:cs="宋体"/>
          <w:b/>
          <w:bCs/>
          <w:szCs w:val="21"/>
          <w:highlight w:val="none"/>
          <w:u w:val="single"/>
        </w:rPr>
        <w:t>工业</w:t>
      </w:r>
      <w:r>
        <w:rPr>
          <w:rFonts w:hint="eastAsia" w:ascii="宋体" w:hAnsi="宋体" w:cs="宋体"/>
          <w:szCs w:val="21"/>
          <w:highlight w:val="none"/>
        </w:rPr>
        <w:t>（行业名称及划分见本章附件1）。</w:t>
      </w:r>
    </w:p>
    <w:p w14:paraId="418EB864">
      <w:pPr>
        <w:ind w:firstLine="316"/>
        <w:rPr>
          <w:rFonts w:asciiTheme="minorEastAsia" w:hAnsiTheme="minorEastAsia" w:eastAsiaTheme="minorEastAsia" w:cstheme="minorEastAsia"/>
          <w:b/>
          <w:bCs/>
          <w:szCs w:val="21"/>
          <w:highlight w:val="none"/>
        </w:rPr>
      </w:pPr>
      <w:r>
        <w:rPr>
          <w:rFonts w:asciiTheme="minorEastAsia" w:hAnsiTheme="minorEastAsia" w:eastAsiaTheme="minorEastAsia" w:cstheme="minorEastAsia"/>
          <w:b/>
          <w:bCs/>
          <w:szCs w:val="21"/>
          <w:highlight w:val="none"/>
        </w:rPr>
        <w:br w:type="page"/>
      </w:r>
    </w:p>
    <w:p w14:paraId="3D0C6EC0">
      <w:pPr>
        <w:pStyle w:val="4"/>
        <w:keepNext w:val="0"/>
        <w:keepLines w:val="0"/>
        <w:spacing w:line="240" w:lineRule="auto"/>
        <w:ind w:left="0" w:leftChars="0" w:firstLine="0" w:firstLineChars="0"/>
        <w:jc w:val="center"/>
        <w:rPr>
          <w:rFonts w:hint="eastAsia" w:ascii="Times New Roman" w:hAnsi="Times New Roman" w:eastAsia="宋体" w:cs="Times New Roman"/>
          <w:highlight w:val="none"/>
          <w:lang w:val="en-US" w:eastAsia="zh-CN"/>
        </w:rPr>
      </w:pPr>
      <w:bookmarkStart w:id="64" w:name="OLE_LINK21"/>
      <w:bookmarkStart w:id="65" w:name="OLE_LINK25"/>
      <w:r>
        <w:rPr>
          <w:rFonts w:hint="eastAsia" w:ascii="Times New Roman" w:hAnsi="Times New Roman" w:eastAsia="宋体" w:cs="Times New Roman"/>
          <w:highlight w:val="none"/>
          <w:lang w:val="en-US" w:eastAsia="zh-CN"/>
        </w:rPr>
        <w:t>1分标</w:t>
      </w:r>
      <w:r>
        <w:rPr>
          <w:rFonts w:hint="eastAsia" w:ascii="宋体" w:hAnsi="宋体" w:cs="宋体"/>
          <w:color w:val="auto"/>
          <w:szCs w:val="21"/>
          <w:highlight w:val="none"/>
          <w:lang w:eastAsia="zh-CN"/>
        </w:rPr>
        <w:t>（</w:t>
      </w:r>
      <w:r>
        <w:rPr>
          <w:rFonts w:hint="eastAsia" w:ascii="宋体" w:hAnsi="宋体" w:cs="宋体"/>
          <w:color w:val="auto"/>
          <w:szCs w:val="21"/>
          <w:highlight w:val="none"/>
        </w:rPr>
        <w:t>种子实验室仪器设备及种子烘干室设备</w:t>
      </w:r>
      <w:r>
        <w:rPr>
          <w:rFonts w:hint="eastAsia" w:ascii="宋体" w:hAnsi="宋体" w:cs="宋体"/>
          <w:color w:val="auto"/>
          <w:szCs w:val="21"/>
          <w:highlight w:val="none"/>
          <w:lang w:eastAsia="zh-CN"/>
        </w:rPr>
        <w:t>）</w:t>
      </w:r>
    </w:p>
    <w:tbl>
      <w:tblPr>
        <w:tblStyle w:val="28"/>
        <w:tblW w:w="94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981"/>
        <w:gridCol w:w="648"/>
        <w:gridCol w:w="564"/>
        <w:gridCol w:w="6698"/>
      </w:tblGrid>
      <w:tr w14:paraId="4001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9453" w:type="dxa"/>
            <w:gridSpan w:val="5"/>
            <w:tcBorders>
              <w:top w:val="single" w:color="000000" w:sz="4" w:space="0"/>
              <w:left w:val="single" w:color="auto" w:sz="4" w:space="0"/>
              <w:bottom w:val="single" w:color="000000" w:sz="4" w:space="0"/>
              <w:right w:val="single" w:color="000000" w:sz="4" w:space="0"/>
            </w:tcBorders>
            <w:vAlign w:val="center"/>
          </w:tcPr>
          <w:p w14:paraId="7EF80E99">
            <w:pPr>
              <w:widowControl w:val="0"/>
              <w:wordWrap/>
              <w:adjustRightInd/>
              <w:snapToGrid/>
              <w:spacing w:before="0" w:after="0" w:line="320" w:lineRule="exact"/>
              <w:ind w:left="0" w:leftChars="0" w:right="0" w:firstLine="0" w:firstLineChars="0"/>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一、技术要求</w:t>
            </w:r>
          </w:p>
        </w:tc>
      </w:tr>
      <w:tr w14:paraId="28CDB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4B81B29D">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序号</w:t>
            </w:r>
          </w:p>
        </w:tc>
        <w:tc>
          <w:tcPr>
            <w:tcW w:w="981" w:type="dxa"/>
            <w:tcBorders>
              <w:top w:val="single" w:color="000000" w:sz="4" w:space="0"/>
              <w:left w:val="nil"/>
              <w:bottom w:val="single" w:color="000000" w:sz="4" w:space="0"/>
              <w:right w:val="single" w:color="000000" w:sz="4" w:space="0"/>
            </w:tcBorders>
            <w:shd w:val="clear" w:color="auto" w:fill="auto"/>
            <w:vAlign w:val="center"/>
          </w:tcPr>
          <w:p w14:paraId="45D5CC20">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lang w:eastAsia="zh-CN"/>
              </w:rPr>
              <w:t>标的</w:t>
            </w:r>
            <w:r>
              <w:rPr>
                <w:rFonts w:hint="eastAsia" w:ascii="宋体" w:hAnsi="宋体" w:eastAsia="宋体" w:cs="宋体"/>
                <w:b/>
                <w:bCs/>
                <w:color w:val="auto"/>
                <w:sz w:val="21"/>
                <w:szCs w:val="21"/>
                <w:highlight w:val="none"/>
              </w:rPr>
              <w:t>名称</w:t>
            </w:r>
          </w:p>
        </w:tc>
        <w:tc>
          <w:tcPr>
            <w:tcW w:w="648" w:type="dxa"/>
            <w:tcBorders>
              <w:top w:val="single" w:color="000000" w:sz="4" w:space="0"/>
              <w:left w:val="nil"/>
              <w:bottom w:val="single" w:color="000000" w:sz="4" w:space="0"/>
              <w:right w:val="single" w:color="000000" w:sz="4" w:space="0"/>
            </w:tcBorders>
            <w:shd w:val="clear" w:color="auto" w:fill="auto"/>
            <w:vAlign w:val="center"/>
          </w:tcPr>
          <w:p w14:paraId="00D2A2E8">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单位</w:t>
            </w:r>
          </w:p>
        </w:tc>
        <w:tc>
          <w:tcPr>
            <w:tcW w:w="564" w:type="dxa"/>
            <w:tcBorders>
              <w:top w:val="single" w:color="000000" w:sz="4" w:space="0"/>
              <w:left w:val="nil"/>
              <w:bottom w:val="single" w:color="000000" w:sz="4" w:space="0"/>
              <w:right w:val="single" w:color="000000" w:sz="4" w:space="0"/>
            </w:tcBorders>
            <w:shd w:val="clear" w:color="auto" w:fill="auto"/>
            <w:vAlign w:val="center"/>
          </w:tcPr>
          <w:p w14:paraId="7A20C18D">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数量</w:t>
            </w:r>
          </w:p>
        </w:tc>
        <w:tc>
          <w:tcPr>
            <w:tcW w:w="6698" w:type="dxa"/>
            <w:tcBorders>
              <w:top w:val="single" w:color="000000" w:sz="4" w:space="0"/>
              <w:left w:val="nil"/>
              <w:bottom w:val="single" w:color="000000" w:sz="4" w:space="0"/>
              <w:right w:val="single" w:color="000000" w:sz="4" w:space="0"/>
            </w:tcBorders>
            <w:shd w:val="clear" w:color="auto" w:fill="auto"/>
            <w:vAlign w:val="center"/>
          </w:tcPr>
          <w:p w14:paraId="3192EFD9">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技术性能、参数及有关要求</w:t>
            </w:r>
          </w:p>
        </w:tc>
      </w:tr>
      <w:tr w14:paraId="7AB0B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64FCD65C">
            <w:pPr>
              <w:bidi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lang w:val="en-US" w:eastAsia="zh-CN"/>
              </w:rPr>
              <w:t>1</w:t>
            </w:r>
          </w:p>
        </w:tc>
        <w:tc>
          <w:tcPr>
            <w:tcW w:w="981" w:type="dxa"/>
            <w:tcBorders>
              <w:top w:val="single" w:color="000000" w:sz="4" w:space="0"/>
              <w:left w:val="nil"/>
              <w:bottom w:val="single" w:color="000000" w:sz="4" w:space="0"/>
              <w:right w:val="single" w:color="000000" w:sz="4" w:space="0"/>
            </w:tcBorders>
            <w:shd w:val="clear" w:color="auto" w:fill="auto"/>
            <w:vAlign w:val="center"/>
          </w:tcPr>
          <w:p w14:paraId="6C93E39C">
            <w:pPr>
              <w:bidi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全自动核酸提取工作站</w:t>
            </w:r>
          </w:p>
        </w:tc>
        <w:tc>
          <w:tcPr>
            <w:tcW w:w="648" w:type="dxa"/>
            <w:tcBorders>
              <w:top w:val="single" w:color="000000" w:sz="4" w:space="0"/>
              <w:left w:val="nil"/>
              <w:bottom w:val="single" w:color="000000" w:sz="4" w:space="0"/>
              <w:right w:val="single" w:color="000000" w:sz="4" w:space="0"/>
            </w:tcBorders>
            <w:shd w:val="clear" w:color="auto" w:fill="auto"/>
            <w:vAlign w:val="center"/>
          </w:tcPr>
          <w:p w14:paraId="305925C0">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lang w:val="en-US" w:eastAsia="zh-CN"/>
              </w:rPr>
              <w:t>套</w:t>
            </w:r>
          </w:p>
        </w:tc>
        <w:tc>
          <w:tcPr>
            <w:tcW w:w="564" w:type="dxa"/>
            <w:tcBorders>
              <w:top w:val="single" w:color="000000" w:sz="4" w:space="0"/>
              <w:left w:val="nil"/>
              <w:bottom w:val="single" w:color="000000" w:sz="4" w:space="0"/>
              <w:right w:val="single" w:color="000000" w:sz="4" w:space="0"/>
            </w:tcBorders>
            <w:shd w:val="clear" w:color="auto" w:fill="auto"/>
            <w:vAlign w:val="center"/>
          </w:tcPr>
          <w:p w14:paraId="2A1DA5F4">
            <w:pPr>
              <w:bidi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lang w:val="en-US" w:eastAsia="zh-CN"/>
              </w:rPr>
              <w:t>1</w:t>
            </w:r>
          </w:p>
        </w:tc>
        <w:tc>
          <w:tcPr>
            <w:tcW w:w="6698" w:type="dxa"/>
            <w:tcBorders>
              <w:top w:val="single" w:color="000000" w:sz="4" w:space="0"/>
              <w:left w:val="nil"/>
              <w:bottom w:val="single" w:color="000000" w:sz="4" w:space="0"/>
              <w:right w:val="single" w:color="000000" w:sz="4" w:space="0"/>
            </w:tcBorders>
            <w:shd w:val="clear" w:color="auto" w:fill="auto"/>
            <w:vAlign w:val="center"/>
          </w:tcPr>
          <w:p w14:paraId="5FABE9D3">
            <w:pPr>
              <w:rPr>
                <w:rFonts w:hint="eastAsia" w:ascii="宋体" w:hAnsi="宋体" w:eastAsia="宋体" w:cs="宋体"/>
                <w:sz w:val="21"/>
                <w:szCs w:val="21"/>
              </w:rPr>
            </w:pPr>
            <w:r>
              <w:rPr>
                <w:rFonts w:hint="eastAsia" w:ascii="宋体" w:hAnsi="宋体" w:eastAsia="宋体" w:cs="宋体"/>
                <w:sz w:val="21"/>
                <w:szCs w:val="21"/>
              </w:rPr>
              <w:t>1.样品通量：1～96</w:t>
            </w:r>
          </w:p>
          <w:p w14:paraId="04C2A17E">
            <w:pPr>
              <w:rPr>
                <w:rFonts w:hint="eastAsia" w:ascii="宋体" w:hAnsi="宋体" w:eastAsia="宋体" w:cs="宋体"/>
                <w:sz w:val="21"/>
                <w:szCs w:val="21"/>
              </w:rPr>
            </w:pPr>
            <w:r>
              <w:rPr>
                <w:rFonts w:hint="eastAsia" w:ascii="宋体" w:hAnsi="宋体" w:eastAsia="宋体" w:cs="宋体"/>
                <w:sz w:val="21"/>
                <w:szCs w:val="21"/>
              </w:rPr>
              <w:t>2.样品容量：50ul～1000ul</w:t>
            </w:r>
          </w:p>
          <w:p w14:paraId="51A15AEE">
            <w:pPr>
              <w:rPr>
                <w:rFonts w:hint="eastAsia" w:ascii="宋体" w:hAnsi="宋体" w:eastAsia="宋体" w:cs="宋体"/>
                <w:sz w:val="21"/>
                <w:szCs w:val="21"/>
              </w:rPr>
            </w:pPr>
            <w:r>
              <w:rPr>
                <w:rFonts w:hint="eastAsia" w:ascii="宋体" w:hAnsi="宋体" w:eastAsia="宋体" w:cs="宋体"/>
                <w:sz w:val="21"/>
                <w:szCs w:val="21"/>
              </w:rPr>
              <w:t>3.磁珠回收率：</w:t>
            </w:r>
            <w:r>
              <w:rPr>
                <w:rFonts w:hint="eastAsia" w:ascii="宋体" w:hAnsi="宋体" w:eastAsia="宋体" w:cs="宋体"/>
                <w:snapToGrid w:val="0"/>
                <w:color w:val="000000"/>
                <w:kern w:val="0"/>
                <w:sz w:val="21"/>
                <w:szCs w:val="21"/>
              </w:rPr>
              <w:t>＞</w:t>
            </w:r>
            <w:r>
              <w:rPr>
                <w:rFonts w:hint="eastAsia" w:ascii="宋体" w:hAnsi="宋体" w:eastAsia="宋体" w:cs="宋体"/>
                <w:sz w:val="21"/>
                <w:szCs w:val="21"/>
              </w:rPr>
              <w:t>95%</w:t>
            </w:r>
          </w:p>
          <w:p w14:paraId="19F6FFB1">
            <w:pPr>
              <w:ind w:left="240" w:hanging="210" w:hangingChars="100"/>
              <w:rPr>
                <w:rFonts w:hint="eastAsia" w:ascii="宋体" w:hAnsi="宋体" w:eastAsia="宋体" w:cs="宋体"/>
                <w:sz w:val="21"/>
                <w:szCs w:val="21"/>
              </w:rPr>
            </w:pPr>
            <w:r>
              <w:rPr>
                <w:rFonts w:hint="eastAsia" w:ascii="宋体" w:hAnsi="宋体" w:eastAsia="宋体" w:cs="宋体"/>
                <w:sz w:val="21"/>
                <w:szCs w:val="21"/>
              </w:rPr>
              <w:t>▲4.原理/工作模式：磁珠法、磁棒式/圆周转盘式（投标文件必须提供产品结构图片作为佐证证明符合此项功能要求）</w:t>
            </w:r>
          </w:p>
          <w:p w14:paraId="40F9A983">
            <w:pPr>
              <w:rPr>
                <w:rFonts w:hint="eastAsia" w:ascii="宋体" w:hAnsi="宋体" w:eastAsia="宋体" w:cs="宋体"/>
                <w:sz w:val="21"/>
                <w:szCs w:val="21"/>
              </w:rPr>
            </w:pPr>
            <w:r>
              <w:rPr>
                <w:rFonts w:hint="eastAsia" w:ascii="宋体" w:hAnsi="宋体" w:eastAsia="宋体" w:cs="宋体"/>
                <w:sz w:val="21"/>
                <w:szCs w:val="21"/>
              </w:rPr>
              <w:t>5.提纯灵敏度：100拷贝样品的阳性检出率&gt;95%</w:t>
            </w:r>
          </w:p>
          <w:p w14:paraId="373B3DA6">
            <w:pPr>
              <w:rPr>
                <w:rFonts w:hint="eastAsia" w:ascii="宋体" w:hAnsi="宋体" w:eastAsia="宋体" w:cs="宋体"/>
                <w:sz w:val="21"/>
                <w:szCs w:val="21"/>
              </w:rPr>
            </w:pPr>
            <w:r>
              <w:rPr>
                <w:rFonts w:hint="eastAsia" w:ascii="宋体" w:hAnsi="宋体" w:eastAsia="宋体" w:cs="宋体"/>
                <w:sz w:val="21"/>
                <w:szCs w:val="21"/>
              </w:rPr>
              <w:t>6.提纯孔间差：CV</w:t>
            </w:r>
            <w:r>
              <w:rPr>
                <w:rFonts w:hint="eastAsia" w:ascii="宋体" w:hAnsi="宋体" w:eastAsia="宋体" w:cs="宋体"/>
                <w:snapToGrid w:val="0"/>
                <w:color w:val="000000"/>
                <w:kern w:val="0"/>
                <w:sz w:val="21"/>
                <w:szCs w:val="21"/>
              </w:rPr>
              <w:t>＜</w:t>
            </w:r>
            <w:r>
              <w:rPr>
                <w:rFonts w:hint="eastAsia" w:ascii="宋体" w:hAnsi="宋体" w:eastAsia="宋体" w:cs="宋体"/>
                <w:sz w:val="21"/>
                <w:szCs w:val="21"/>
              </w:rPr>
              <w:t>5%</w:t>
            </w:r>
          </w:p>
          <w:p w14:paraId="7027B09A">
            <w:pPr>
              <w:rPr>
                <w:rFonts w:hint="eastAsia" w:ascii="宋体" w:hAnsi="宋体" w:eastAsia="宋体" w:cs="宋体"/>
                <w:sz w:val="21"/>
                <w:szCs w:val="21"/>
              </w:rPr>
            </w:pPr>
            <w:r>
              <w:rPr>
                <w:rFonts w:hint="eastAsia" w:ascii="宋体" w:hAnsi="宋体" w:eastAsia="宋体" w:cs="宋体"/>
                <w:sz w:val="21"/>
                <w:szCs w:val="21"/>
              </w:rPr>
              <w:t>7.使用耗材：96深孔板+磁棒套</w:t>
            </w:r>
          </w:p>
          <w:p w14:paraId="10CC1BE1">
            <w:pPr>
              <w:rPr>
                <w:rFonts w:hint="eastAsia" w:ascii="宋体" w:hAnsi="宋体" w:eastAsia="宋体" w:cs="宋体"/>
                <w:sz w:val="21"/>
                <w:szCs w:val="21"/>
              </w:rPr>
            </w:pPr>
            <w:r>
              <w:rPr>
                <w:rFonts w:hint="eastAsia" w:ascii="宋体" w:hAnsi="宋体" w:eastAsia="宋体" w:cs="宋体"/>
                <w:sz w:val="21"/>
                <w:szCs w:val="21"/>
              </w:rPr>
              <w:t>8.裂解温度：室温-120℃</w:t>
            </w:r>
          </w:p>
          <w:p w14:paraId="403C059E">
            <w:pPr>
              <w:rPr>
                <w:rFonts w:hint="eastAsia" w:ascii="宋体" w:hAnsi="宋体" w:eastAsia="宋体" w:cs="宋体"/>
                <w:sz w:val="21"/>
                <w:szCs w:val="21"/>
              </w:rPr>
            </w:pPr>
            <w:r>
              <w:rPr>
                <w:rFonts w:hint="eastAsia" w:ascii="宋体" w:hAnsi="宋体" w:eastAsia="宋体" w:cs="宋体"/>
                <w:sz w:val="21"/>
                <w:szCs w:val="21"/>
              </w:rPr>
              <w:t>9.洗脱温度：室温-120℃</w:t>
            </w:r>
          </w:p>
          <w:p w14:paraId="2B0B404F">
            <w:pPr>
              <w:rPr>
                <w:rFonts w:hint="eastAsia" w:ascii="宋体" w:hAnsi="宋体" w:eastAsia="宋体" w:cs="宋体"/>
                <w:sz w:val="21"/>
                <w:szCs w:val="21"/>
              </w:rPr>
            </w:pPr>
            <w:r>
              <w:rPr>
                <w:rFonts w:hint="eastAsia" w:ascii="宋体" w:hAnsi="宋体" w:eastAsia="宋体" w:cs="宋体"/>
                <w:sz w:val="21"/>
                <w:szCs w:val="21"/>
              </w:rPr>
              <w:t>10.震荡混合：10档速度可调，多种混合方式</w:t>
            </w:r>
          </w:p>
          <w:p w14:paraId="3CAEAFA1">
            <w:pPr>
              <w:rPr>
                <w:rFonts w:hint="eastAsia" w:ascii="宋体" w:hAnsi="宋体" w:eastAsia="宋体" w:cs="宋体"/>
                <w:sz w:val="21"/>
                <w:szCs w:val="21"/>
              </w:rPr>
            </w:pPr>
            <w:r>
              <w:rPr>
                <w:rFonts w:hint="eastAsia" w:ascii="宋体" w:hAnsi="宋体" w:eastAsia="宋体" w:cs="宋体"/>
                <w:sz w:val="21"/>
                <w:szCs w:val="21"/>
              </w:rPr>
              <w:t>11.操作界面：7寸彩色触摸屏显示，3个快捷键，外接鼠标</w:t>
            </w:r>
          </w:p>
          <w:p w14:paraId="284A88CE">
            <w:pPr>
              <w:rPr>
                <w:rFonts w:hint="eastAsia" w:ascii="宋体" w:hAnsi="宋体" w:eastAsia="宋体" w:cs="宋体"/>
                <w:sz w:val="21"/>
                <w:szCs w:val="21"/>
              </w:rPr>
            </w:pPr>
            <w:r>
              <w:rPr>
                <w:rFonts w:hint="eastAsia" w:ascii="宋体" w:hAnsi="宋体" w:eastAsia="宋体" w:cs="宋体"/>
                <w:sz w:val="21"/>
                <w:szCs w:val="21"/>
              </w:rPr>
              <w:t>12.仪器开机自检、断电保护功能</w:t>
            </w:r>
          </w:p>
          <w:p w14:paraId="63F85D19">
            <w:pPr>
              <w:rPr>
                <w:rFonts w:hint="eastAsia" w:ascii="宋体" w:hAnsi="宋体" w:eastAsia="宋体" w:cs="宋体"/>
                <w:sz w:val="21"/>
                <w:szCs w:val="21"/>
              </w:rPr>
            </w:pPr>
            <w:r>
              <w:rPr>
                <w:rFonts w:hint="eastAsia" w:ascii="宋体" w:hAnsi="宋体" w:eastAsia="宋体" w:cs="宋体"/>
                <w:sz w:val="21"/>
                <w:szCs w:val="21"/>
              </w:rPr>
              <w:t>13.仪器拥有8个板位，标准配置2个板位可以加热</w:t>
            </w:r>
          </w:p>
          <w:p w14:paraId="5EB3D60F">
            <w:pPr>
              <w:rPr>
                <w:rFonts w:hint="eastAsia" w:ascii="宋体" w:hAnsi="宋体" w:eastAsia="宋体" w:cs="宋体"/>
                <w:sz w:val="21"/>
                <w:szCs w:val="21"/>
              </w:rPr>
            </w:pPr>
            <w:r>
              <w:rPr>
                <w:rFonts w:hint="eastAsia" w:ascii="宋体" w:hAnsi="宋体" w:eastAsia="宋体" w:cs="宋体"/>
                <w:sz w:val="21"/>
                <w:szCs w:val="21"/>
              </w:rPr>
              <w:t>14.开放式设计，软件功能齐全。混匀、吸磁方式多样化，适用各种磁珠法提取试剂</w:t>
            </w:r>
          </w:p>
          <w:p w14:paraId="27088696">
            <w:pPr>
              <w:rPr>
                <w:rFonts w:hint="eastAsia" w:ascii="宋体" w:hAnsi="宋体" w:eastAsia="宋体" w:cs="宋体"/>
                <w:sz w:val="21"/>
                <w:szCs w:val="21"/>
              </w:rPr>
            </w:pPr>
            <w:r>
              <w:rPr>
                <w:rFonts w:hint="eastAsia" w:ascii="宋体" w:hAnsi="宋体" w:eastAsia="宋体" w:cs="宋体"/>
                <w:sz w:val="21"/>
                <w:szCs w:val="21"/>
              </w:rPr>
              <w:t>▲15.拥有板位试剂盒自动检测功能，防止试剂盒漏放</w:t>
            </w:r>
          </w:p>
          <w:p w14:paraId="21785CC3">
            <w:pPr>
              <w:rPr>
                <w:rFonts w:hint="eastAsia" w:ascii="宋体" w:hAnsi="宋体" w:eastAsia="宋体" w:cs="宋体"/>
                <w:sz w:val="21"/>
                <w:szCs w:val="21"/>
              </w:rPr>
            </w:pPr>
            <w:r>
              <w:rPr>
                <w:rFonts w:hint="eastAsia" w:ascii="宋体" w:hAnsi="宋体" w:eastAsia="宋体" w:cs="宋体"/>
                <w:sz w:val="21"/>
                <w:szCs w:val="21"/>
              </w:rPr>
              <w:t>▲16.磁棒套自动装卸结构，减少人工干预，安全可靠（投标文件必须提供产品结构图片作为佐证证明符合此项功能要求）</w:t>
            </w:r>
          </w:p>
          <w:p w14:paraId="47F0F2BA">
            <w:pPr>
              <w:rPr>
                <w:rFonts w:hint="eastAsia" w:ascii="宋体" w:hAnsi="宋体" w:eastAsia="宋体" w:cs="宋体"/>
                <w:sz w:val="21"/>
                <w:szCs w:val="21"/>
              </w:rPr>
            </w:pPr>
            <w:r>
              <w:rPr>
                <w:rFonts w:hint="eastAsia" w:ascii="宋体" w:hAnsi="宋体" w:eastAsia="宋体" w:cs="宋体"/>
                <w:sz w:val="21"/>
                <w:szCs w:val="21"/>
              </w:rPr>
              <w:t>17.程序运行结束后，软件有生成报告功能，满足实验追溯</w:t>
            </w:r>
          </w:p>
          <w:p w14:paraId="00158D27">
            <w:pPr>
              <w:rPr>
                <w:rFonts w:hint="eastAsia" w:ascii="宋体" w:hAnsi="宋体" w:eastAsia="宋体" w:cs="宋体"/>
                <w:sz w:val="21"/>
                <w:szCs w:val="21"/>
              </w:rPr>
            </w:pPr>
            <w:r>
              <w:rPr>
                <w:rFonts w:hint="eastAsia" w:ascii="宋体" w:hAnsi="宋体" w:eastAsia="宋体" w:cs="宋体"/>
                <w:sz w:val="21"/>
                <w:szCs w:val="21"/>
              </w:rPr>
              <w:t>▲18.软件安全设计：操作系统加密功能，可有效防止恶意篡改参数和程序</w:t>
            </w:r>
          </w:p>
          <w:p w14:paraId="6FECA83F">
            <w:pPr>
              <w:rPr>
                <w:rFonts w:hint="eastAsia" w:ascii="宋体" w:hAnsi="宋体" w:eastAsia="宋体" w:cs="宋体"/>
                <w:sz w:val="21"/>
                <w:szCs w:val="21"/>
              </w:rPr>
            </w:pPr>
            <w:r>
              <w:rPr>
                <w:rFonts w:hint="eastAsia" w:ascii="宋体" w:hAnsi="宋体" w:eastAsia="宋体" w:cs="宋体"/>
                <w:sz w:val="21"/>
                <w:szCs w:val="21"/>
              </w:rPr>
              <w:t>▲19.磁棒模块：采用丝杠传动结构</w:t>
            </w:r>
          </w:p>
          <w:p w14:paraId="7B785773">
            <w:pPr>
              <w:rPr>
                <w:rFonts w:hint="eastAsia" w:ascii="宋体" w:hAnsi="宋体" w:eastAsia="宋体" w:cs="宋体"/>
                <w:sz w:val="21"/>
                <w:szCs w:val="21"/>
              </w:rPr>
            </w:pPr>
            <w:r>
              <w:rPr>
                <w:rFonts w:hint="eastAsia" w:ascii="宋体" w:hAnsi="宋体" w:eastAsia="宋体" w:cs="宋体"/>
                <w:sz w:val="21"/>
                <w:szCs w:val="21"/>
              </w:rPr>
              <w:t>▲20.配套PH监测附件，可以同时测量pH和温度值，蓝牙通讯，智能APP支持iOS 及Android系统，测试功能：含PH，温度，功效，校正，电量；设置内容：语言，温度单位，缓冲液设置，分辨率设置（响应文件中必须提供APP软件截图作为佐证证明符合此项功能要求）</w:t>
            </w:r>
          </w:p>
          <w:p w14:paraId="415B645D">
            <w:pPr>
              <w:rPr>
                <w:rFonts w:hint="eastAsia" w:ascii="宋体" w:hAnsi="宋体" w:eastAsia="宋体" w:cs="宋体"/>
                <w:sz w:val="21"/>
                <w:szCs w:val="21"/>
              </w:rPr>
            </w:pPr>
            <w:r>
              <w:rPr>
                <w:rFonts w:hint="eastAsia" w:ascii="宋体" w:hAnsi="宋体" w:eastAsia="宋体" w:cs="宋体"/>
                <w:sz w:val="21"/>
                <w:szCs w:val="21"/>
              </w:rPr>
              <w:t>21.内部程序：机器预设8组程序（存储100组程序）</w:t>
            </w:r>
          </w:p>
          <w:p w14:paraId="045B2BF6">
            <w:pPr>
              <w:rPr>
                <w:rFonts w:hint="eastAsia" w:ascii="宋体" w:hAnsi="宋体" w:eastAsia="宋体" w:cs="宋体"/>
                <w:sz w:val="21"/>
                <w:szCs w:val="21"/>
              </w:rPr>
            </w:pPr>
            <w:r>
              <w:rPr>
                <w:rFonts w:hint="eastAsia" w:ascii="宋体" w:hAnsi="宋体" w:eastAsia="宋体" w:cs="宋体"/>
                <w:sz w:val="21"/>
                <w:szCs w:val="21"/>
              </w:rPr>
              <w:t>22.程序管理：新建、编辑、另存为、删除等</w:t>
            </w:r>
          </w:p>
          <w:p w14:paraId="43F933DC">
            <w:pPr>
              <w:rPr>
                <w:rFonts w:hint="eastAsia" w:ascii="宋体" w:hAnsi="宋体" w:eastAsia="宋体" w:cs="宋体"/>
                <w:sz w:val="21"/>
                <w:szCs w:val="21"/>
              </w:rPr>
            </w:pPr>
            <w:r>
              <w:rPr>
                <w:rFonts w:hint="eastAsia" w:ascii="宋体" w:hAnsi="宋体" w:eastAsia="宋体" w:cs="宋体"/>
                <w:sz w:val="21"/>
                <w:szCs w:val="21"/>
              </w:rPr>
              <w:t>23.仪器扩展接口：标准USB，以太网口，无线Wifi</w:t>
            </w:r>
          </w:p>
          <w:p w14:paraId="1B00320F">
            <w:pPr>
              <w:rPr>
                <w:rFonts w:hint="eastAsia" w:ascii="宋体" w:hAnsi="宋体" w:eastAsia="宋体" w:cs="宋体"/>
                <w:sz w:val="21"/>
                <w:szCs w:val="21"/>
              </w:rPr>
            </w:pPr>
            <w:r>
              <w:rPr>
                <w:rFonts w:hint="eastAsia" w:ascii="宋体" w:hAnsi="宋体" w:eastAsia="宋体" w:cs="宋体"/>
                <w:sz w:val="21"/>
                <w:szCs w:val="21"/>
              </w:rPr>
              <w:t>24.照明系统：有</w:t>
            </w:r>
          </w:p>
          <w:p w14:paraId="4DC49227">
            <w:pPr>
              <w:rPr>
                <w:rFonts w:hint="eastAsia" w:ascii="宋体" w:hAnsi="宋体" w:eastAsia="宋体" w:cs="宋体"/>
                <w:sz w:val="21"/>
                <w:szCs w:val="21"/>
              </w:rPr>
            </w:pPr>
            <w:r>
              <w:rPr>
                <w:rFonts w:hint="eastAsia" w:ascii="宋体" w:hAnsi="宋体" w:eastAsia="宋体" w:cs="宋体"/>
                <w:sz w:val="21"/>
                <w:szCs w:val="21"/>
              </w:rPr>
              <w:t>25.内置可定时紫外消毒功能</w:t>
            </w:r>
          </w:p>
          <w:p w14:paraId="6F353469">
            <w:pPr>
              <w:rPr>
                <w:rFonts w:hint="eastAsia" w:ascii="宋体" w:hAnsi="宋体" w:eastAsia="宋体" w:cs="宋体"/>
                <w:sz w:val="21"/>
                <w:szCs w:val="21"/>
              </w:rPr>
            </w:pPr>
            <w:r>
              <w:rPr>
                <w:rFonts w:hint="eastAsia" w:ascii="宋体" w:hAnsi="宋体" w:eastAsia="宋体" w:cs="宋体"/>
                <w:sz w:val="21"/>
                <w:szCs w:val="21"/>
              </w:rPr>
              <w:t>26.数据储存：可储存，内置SD卡</w:t>
            </w:r>
          </w:p>
          <w:p w14:paraId="5CDE7193">
            <w:pPr>
              <w:rPr>
                <w:rFonts w:hint="eastAsia" w:ascii="宋体" w:hAnsi="宋体" w:eastAsia="宋体" w:cs="宋体"/>
                <w:sz w:val="21"/>
                <w:szCs w:val="21"/>
              </w:rPr>
            </w:pPr>
            <w:r>
              <w:rPr>
                <w:rFonts w:hint="eastAsia" w:ascii="宋体" w:hAnsi="宋体" w:eastAsia="宋体" w:cs="宋体"/>
                <w:sz w:val="21"/>
                <w:szCs w:val="21"/>
              </w:rPr>
              <w:t>27.最大输入功率：≤300W</w:t>
            </w:r>
          </w:p>
          <w:p w14:paraId="42950744">
            <w:pPr>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28.售后服务：安装验收后免费保修12个月。</w:t>
            </w:r>
          </w:p>
        </w:tc>
      </w:tr>
      <w:tr w14:paraId="5AA09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9C6C9E3">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981" w:type="dxa"/>
            <w:tcBorders>
              <w:top w:val="single" w:color="000000" w:sz="4" w:space="0"/>
              <w:left w:val="nil"/>
              <w:bottom w:val="single" w:color="000000" w:sz="4" w:space="0"/>
              <w:right w:val="single" w:color="000000" w:sz="4" w:space="0"/>
            </w:tcBorders>
            <w:vAlign w:val="center"/>
          </w:tcPr>
          <w:p w14:paraId="18B57346">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药品加样通风橱</w:t>
            </w:r>
          </w:p>
        </w:tc>
        <w:tc>
          <w:tcPr>
            <w:tcW w:w="648" w:type="dxa"/>
            <w:tcBorders>
              <w:top w:val="single" w:color="000000" w:sz="4" w:space="0"/>
              <w:left w:val="nil"/>
              <w:bottom w:val="single" w:color="000000" w:sz="4" w:space="0"/>
              <w:right w:val="single" w:color="000000" w:sz="4" w:space="0"/>
            </w:tcBorders>
            <w:vAlign w:val="center"/>
          </w:tcPr>
          <w:p w14:paraId="79D0681E">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套</w:t>
            </w:r>
          </w:p>
        </w:tc>
        <w:tc>
          <w:tcPr>
            <w:tcW w:w="564" w:type="dxa"/>
            <w:tcBorders>
              <w:top w:val="single" w:color="000000" w:sz="4" w:space="0"/>
              <w:left w:val="nil"/>
              <w:bottom w:val="single" w:color="000000" w:sz="4" w:space="0"/>
              <w:right w:val="single" w:color="000000" w:sz="4" w:space="0"/>
            </w:tcBorders>
            <w:vAlign w:val="center"/>
          </w:tcPr>
          <w:p w14:paraId="7F5F11B3">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w:t>
            </w:r>
          </w:p>
        </w:tc>
        <w:tc>
          <w:tcPr>
            <w:tcW w:w="6698" w:type="dxa"/>
            <w:tcBorders>
              <w:top w:val="single" w:color="000000" w:sz="4" w:space="0"/>
              <w:left w:val="nil"/>
              <w:bottom w:val="single" w:color="000000" w:sz="4" w:space="0"/>
              <w:right w:val="single" w:color="000000" w:sz="4" w:space="0"/>
            </w:tcBorders>
            <w:vAlign w:val="center"/>
          </w:tcPr>
          <w:p w14:paraId="00DFF2A4">
            <w:pPr>
              <w:rPr>
                <w:rFonts w:hint="eastAsia" w:ascii="宋体" w:hAnsi="宋体" w:eastAsia="宋体" w:cs="宋体"/>
                <w:sz w:val="21"/>
                <w:szCs w:val="21"/>
              </w:rPr>
            </w:pPr>
            <w:r>
              <w:rPr>
                <w:rFonts w:hint="eastAsia" w:ascii="宋体" w:hAnsi="宋体" w:eastAsia="宋体" w:cs="宋体"/>
                <w:sz w:val="21"/>
                <w:szCs w:val="21"/>
              </w:rPr>
              <w:t>1.柜体要求：采用国标≥1.0mm厚度的钢板制作，面层抗腐蚀性处理</w:t>
            </w:r>
          </w:p>
          <w:p w14:paraId="69978777">
            <w:pPr>
              <w:rPr>
                <w:rFonts w:hint="eastAsia" w:ascii="宋体" w:hAnsi="宋体" w:eastAsia="宋体" w:cs="宋体"/>
                <w:sz w:val="21"/>
                <w:szCs w:val="21"/>
              </w:rPr>
            </w:pPr>
            <w:r>
              <w:rPr>
                <w:rFonts w:hint="eastAsia" w:ascii="宋体" w:hAnsi="宋体" w:eastAsia="宋体" w:cs="宋体"/>
                <w:sz w:val="21"/>
                <w:szCs w:val="21"/>
              </w:rPr>
              <w:t>2.柜体内设置通风照明功能，照明要求一体化LED灯管，光照度≥700LUX</w:t>
            </w:r>
          </w:p>
          <w:p w14:paraId="2E5B4E3C">
            <w:pPr>
              <w:rPr>
                <w:rFonts w:hint="eastAsia" w:ascii="宋体" w:hAnsi="宋体" w:eastAsia="宋体" w:cs="宋体"/>
                <w:sz w:val="21"/>
                <w:szCs w:val="21"/>
              </w:rPr>
            </w:pPr>
            <w:r>
              <w:rPr>
                <w:rFonts w:hint="eastAsia" w:ascii="宋体" w:hAnsi="宋体" w:eastAsia="宋体" w:cs="宋体"/>
                <w:sz w:val="21"/>
                <w:szCs w:val="21"/>
              </w:rPr>
              <w:t>3.电器设施：220V电源插座均配置IP-55或以上防护等级的合盖式保护盒。排风柜配置电源总开关，实验室人员在操作时如遇紧急情况可以强制性停止排风柜电路系统</w:t>
            </w:r>
          </w:p>
          <w:p w14:paraId="435BB620">
            <w:pPr>
              <w:rPr>
                <w:rFonts w:hint="eastAsia" w:ascii="宋体" w:hAnsi="宋体" w:eastAsia="宋体" w:cs="宋体"/>
                <w:sz w:val="21"/>
                <w:szCs w:val="21"/>
              </w:rPr>
            </w:pPr>
            <w:r>
              <w:rPr>
                <w:rFonts w:hint="eastAsia" w:ascii="宋体" w:hAnsi="宋体" w:eastAsia="宋体" w:cs="宋体"/>
                <w:sz w:val="21"/>
                <w:szCs w:val="21"/>
              </w:rPr>
              <w:t>4.空气处理量：≥200m</w:t>
            </w:r>
            <w:r>
              <w:rPr>
                <w:rFonts w:hint="eastAsia" w:ascii="宋体" w:hAnsi="宋体" w:eastAsia="宋体" w:cs="宋体"/>
                <w:sz w:val="21"/>
                <w:szCs w:val="21"/>
                <w:vertAlign w:val="superscript"/>
              </w:rPr>
              <w:t>3</w:t>
            </w:r>
            <w:r>
              <w:rPr>
                <w:rFonts w:hint="eastAsia" w:ascii="宋体" w:hAnsi="宋体" w:eastAsia="宋体" w:cs="宋体"/>
                <w:sz w:val="21"/>
                <w:szCs w:val="21"/>
              </w:rPr>
              <w:t>/h</w:t>
            </w:r>
          </w:p>
          <w:p w14:paraId="2F6694E5">
            <w:pPr>
              <w:rPr>
                <w:rFonts w:hint="eastAsia" w:ascii="宋体" w:hAnsi="宋体" w:eastAsia="宋体" w:cs="宋体"/>
                <w:sz w:val="21"/>
                <w:szCs w:val="21"/>
              </w:rPr>
            </w:pPr>
            <w:r>
              <w:rPr>
                <w:rFonts w:hint="eastAsia" w:ascii="宋体" w:hAnsi="宋体" w:eastAsia="宋体" w:cs="宋体"/>
                <w:sz w:val="21"/>
                <w:szCs w:val="21"/>
              </w:rPr>
              <w:t>5.噪音量：≤52 dBA</w:t>
            </w:r>
          </w:p>
          <w:p w14:paraId="7007340E">
            <w:pPr>
              <w:rPr>
                <w:rFonts w:hint="eastAsia" w:ascii="宋体" w:hAnsi="宋体" w:eastAsia="宋体" w:cs="宋体"/>
                <w:sz w:val="21"/>
                <w:szCs w:val="21"/>
              </w:rPr>
            </w:pPr>
            <w:r>
              <w:rPr>
                <w:rFonts w:hint="eastAsia" w:ascii="宋体" w:hAnsi="宋体" w:eastAsia="宋体" w:cs="宋体"/>
                <w:sz w:val="21"/>
                <w:szCs w:val="21"/>
              </w:rPr>
              <w:t>6.上柜外尺寸（mm）</w:t>
            </w:r>
            <w:r>
              <w:rPr>
                <w:rFonts w:hint="eastAsia" w:ascii="宋体" w:hAnsi="宋体" w:eastAsia="宋体" w:cs="宋体"/>
                <w:sz w:val="21"/>
                <w:szCs w:val="21"/>
                <w:lang w:eastAsia="zh-CN"/>
              </w:rPr>
              <w:t>（偏差</w:t>
            </w:r>
            <w:r>
              <w:rPr>
                <w:rFonts w:hint="eastAsia" w:ascii="宋体" w:hAnsi="宋体" w:eastAsia="宋体" w:cs="宋体"/>
                <w:sz w:val="21"/>
                <w:szCs w:val="21"/>
              </w:rPr>
              <w:t>±</w:t>
            </w:r>
            <w:r>
              <w:rPr>
                <w:rFonts w:hint="eastAsia" w:ascii="宋体" w:hAnsi="宋体" w:eastAsia="宋体" w:cs="宋体"/>
                <w:sz w:val="21"/>
                <w:szCs w:val="21"/>
                <w:lang w:val="en-US" w:eastAsia="zh-CN"/>
              </w:rPr>
              <w:t>5%内</w:t>
            </w:r>
            <w:r>
              <w:rPr>
                <w:rFonts w:hint="eastAsia" w:ascii="宋体" w:hAnsi="宋体" w:eastAsia="宋体" w:cs="宋体"/>
                <w:sz w:val="21"/>
                <w:szCs w:val="21"/>
                <w:lang w:eastAsia="zh-CN"/>
              </w:rPr>
              <w:t>）</w:t>
            </w:r>
            <w:r>
              <w:rPr>
                <w:rFonts w:hint="eastAsia" w:ascii="宋体" w:hAnsi="宋体" w:eastAsia="宋体" w:cs="宋体"/>
                <w:sz w:val="21"/>
                <w:szCs w:val="21"/>
              </w:rPr>
              <w:t>：≥长1500×宽950×高1500；下柜尺寸（mm）：≥长1500×宽950×高850</w:t>
            </w:r>
          </w:p>
          <w:p w14:paraId="5DC7CEA6">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7.功率：≤50W</w:t>
            </w:r>
          </w:p>
        </w:tc>
      </w:tr>
      <w:tr w14:paraId="1C188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EFD484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3</w:t>
            </w:r>
          </w:p>
        </w:tc>
        <w:tc>
          <w:tcPr>
            <w:tcW w:w="981" w:type="dxa"/>
            <w:tcBorders>
              <w:top w:val="single" w:color="000000" w:sz="4" w:space="0"/>
              <w:left w:val="nil"/>
              <w:bottom w:val="single" w:color="000000" w:sz="4" w:space="0"/>
              <w:right w:val="single" w:color="000000" w:sz="4" w:space="0"/>
            </w:tcBorders>
            <w:vAlign w:val="center"/>
          </w:tcPr>
          <w:p w14:paraId="04797CB9">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小型种子烘干设备</w:t>
            </w:r>
          </w:p>
        </w:tc>
        <w:tc>
          <w:tcPr>
            <w:tcW w:w="648" w:type="dxa"/>
            <w:tcBorders>
              <w:top w:val="single" w:color="000000" w:sz="4" w:space="0"/>
              <w:left w:val="nil"/>
              <w:bottom w:val="single" w:color="000000" w:sz="4" w:space="0"/>
              <w:right w:val="single" w:color="000000" w:sz="4" w:space="0"/>
            </w:tcBorders>
            <w:vAlign w:val="center"/>
          </w:tcPr>
          <w:p w14:paraId="5CE5C3A3">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564" w:type="dxa"/>
            <w:tcBorders>
              <w:top w:val="single" w:color="000000" w:sz="4" w:space="0"/>
              <w:left w:val="nil"/>
              <w:bottom w:val="single" w:color="000000" w:sz="4" w:space="0"/>
              <w:right w:val="single" w:color="000000" w:sz="4" w:space="0"/>
            </w:tcBorders>
            <w:vAlign w:val="center"/>
          </w:tcPr>
          <w:p w14:paraId="3BB4D0C3">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6</w:t>
            </w:r>
          </w:p>
        </w:tc>
        <w:tc>
          <w:tcPr>
            <w:tcW w:w="6698" w:type="dxa"/>
            <w:tcBorders>
              <w:top w:val="single" w:color="000000" w:sz="4" w:space="0"/>
              <w:left w:val="nil"/>
              <w:bottom w:val="single" w:color="000000" w:sz="4" w:space="0"/>
              <w:right w:val="single" w:color="000000" w:sz="4" w:space="0"/>
            </w:tcBorders>
            <w:vAlign w:val="center"/>
          </w:tcPr>
          <w:p w14:paraId="2E52CE8D">
            <w:pPr>
              <w:rPr>
                <w:rFonts w:hint="eastAsia" w:ascii="宋体" w:hAnsi="宋体" w:eastAsia="宋体" w:cs="宋体"/>
                <w:sz w:val="21"/>
                <w:szCs w:val="21"/>
              </w:rPr>
            </w:pPr>
            <w:r>
              <w:rPr>
                <w:rFonts w:hint="eastAsia" w:ascii="宋体" w:hAnsi="宋体" w:eastAsia="宋体" w:cs="宋体"/>
                <w:sz w:val="21"/>
                <w:szCs w:val="21"/>
              </w:rPr>
              <w:t>1.温度：室温+5～45℃</w:t>
            </w:r>
          </w:p>
          <w:p w14:paraId="4404D777">
            <w:pPr>
              <w:rPr>
                <w:rFonts w:hint="eastAsia" w:ascii="宋体" w:hAnsi="宋体" w:eastAsia="宋体" w:cs="宋体"/>
                <w:sz w:val="21"/>
                <w:szCs w:val="21"/>
              </w:rPr>
            </w:pPr>
            <w:r>
              <w:rPr>
                <w:rFonts w:hint="eastAsia" w:ascii="宋体" w:hAnsi="宋体" w:eastAsia="宋体" w:cs="宋体"/>
                <w:sz w:val="21"/>
                <w:szCs w:val="21"/>
              </w:rPr>
              <w:t>2.分辨：0.1℃</w:t>
            </w:r>
          </w:p>
          <w:p w14:paraId="2A67EB9B">
            <w:pPr>
              <w:rPr>
                <w:rFonts w:hint="eastAsia" w:ascii="宋体" w:hAnsi="宋体" w:eastAsia="宋体" w:cs="宋体"/>
                <w:sz w:val="21"/>
                <w:szCs w:val="21"/>
              </w:rPr>
            </w:pPr>
            <w:r>
              <w:rPr>
                <w:rFonts w:hint="eastAsia" w:ascii="宋体" w:hAnsi="宋体" w:eastAsia="宋体" w:cs="宋体"/>
                <w:sz w:val="21"/>
                <w:szCs w:val="21"/>
              </w:rPr>
              <w:t>3.容量：≥250L</w:t>
            </w:r>
          </w:p>
          <w:p w14:paraId="65AE1CEF">
            <w:pPr>
              <w:rPr>
                <w:rFonts w:hint="eastAsia" w:ascii="宋体" w:hAnsi="宋体" w:eastAsia="宋体" w:cs="宋体"/>
                <w:sz w:val="21"/>
                <w:szCs w:val="21"/>
              </w:rPr>
            </w:pPr>
            <w:r>
              <w:rPr>
                <w:rFonts w:hint="eastAsia" w:ascii="宋体" w:hAnsi="宋体" w:eastAsia="宋体" w:cs="宋体"/>
                <w:sz w:val="21"/>
                <w:szCs w:val="21"/>
              </w:rPr>
              <w:t>4.智能数显仪表</w:t>
            </w:r>
            <w:r>
              <w:rPr>
                <w:rFonts w:hint="eastAsia" w:ascii="宋体" w:hAnsi="宋体" w:cs="宋体"/>
                <w:sz w:val="21"/>
                <w:szCs w:val="21"/>
                <w:lang w:eastAsia="zh-CN"/>
              </w:rPr>
              <w:t>，</w:t>
            </w:r>
            <w:r>
              <w:rPr>
                <w:rFonts w:hint="eastAsia" w:ascii="宋体" w:hAnsi="宋体" w:eastAsia="宋体" w:cs="宋体"/>
                <w:sz w:val="21"/>
                <w:szCs w:val="21"/>
              </w:rPr>
              <w:t>微电脑智能控制温度，PID自整定</w:t>
            </w:r>
            <w:r>
              <w:rPr>
                <w:rFonts w:hint="eastAsia" w:ascii="宋体" w:hAnsi="宋体" w:cs="宋体"/>
                <w:sz w:val="21"/>
                <w:szCs w:val="21"/>
                <w:lang w:eastAsia="zh-CN"/>
              </w:rPr>
              <w:t>，</w:t>
            </w:r>
            <w:r>
              <w:rPr>
                <w:rFonts w:hint="eastAsia" w:ascii="宋体" w:hAnsi="宋体" w:eastAsia="宋体" w:cs="宋体"/>
                <w:sz w:val="21"/>
                <w:szCs w:val="21"/>
              </w:rPr>
              <w:t>精度高，并具有智能定时和超温报警</w:t>
            </w:r>
          </w:p>
          <w:p w14:paraId="5358E762">
            <w:pPr>
              <w:rPr>
                <w:rFonts w:hint="eastAsia" w:ascii="宋体" w:hAnsi="宋体" w:eastAsia="宋体" w:cs="宋体"/>
                <w:sz w:val="21"/>
                <w:szCs w:val="21"/>
              </w:rPr>
            </w:pPr>
            <w:r>
              <w:rPr>
                <w:rFonts w:hint="eastAsia" w:ascii="宋体" w:hAnsi="宋体" w:eastAsia="宋体" w:cs="宋体"/>
                <w:sz w:val="21"/>
                <w:szCs w:val="21"/>
              </w:rPr>
              <w:t>5.具有两套循风系统：一套空气内循环风机系统采用对称推拉风结构，以保证在箱内试品满负荷的情况下，仍保持上下左左里外的温度均匀，防止局部超高温和超低温</w:t>
            </w:r>
          </w:p>
          <w:p w14:paraId="62C90A32">
            <w:pPr>
              <w:rPr>
                <w:rFonts w:hint="eastAsia" w:ascii="宋体" w:hAnsi="宋体" w:eastAsia="宋体" w:cs="宋体"/>
                <w:sz w:val="21"/>
                <w:szCs w:val="21"/>
              </w:rPr>
            </w:pPr>
            <w:r>
              <w:rPr>
                <w:rFonts w:hint="eastAsia" w:ascii="宋体" w:hAnsi="宋体" w:eastAsia="宋体" w:cs="宋体"/>
                <w:sz w:val="21"/>
                <w:szCs w:val="21"/>
              </w:rPr>
              <w:t>6.另一套空气进风和排风机系统，一方面具有排湿功能，另一方面在出现温度超调时可紧急进风和排风</w:t>
            </w:r>
          </w:p>
          <w:p w14:paraId="55B6DC03">
            <w:pPr>
              <w:rPr>
                <w:rFonts w:hint="eastAsia" w:ascii="宋体" w:hAnsi="宋体" w:eastAsia="宋体" w:cs="宋体"/>
                <w:sz w:val="21"/>
                <w:szCs w:val="21"/>
              </w:rPr>
            </w:pPr>
            <w:r>
              <w:rPr>
                <w:rFonts w:hint="eastAsia" w:ascii="宋体" w:hAnsi="宋体" w:eastAsia="宋体" w:cs="宋体"/>
                <w:sz w:val="21"/>
                <w:szCs w:val="21"/>
              </w:rPr>
              <w:t>7.智能系统精密控温和恒温，严密控制箱内温度，一旦发现温度超调(用户可通过软件设定允许超调温度)，机器一方面可以发出声光报警，另一方面可以自动紧急打开进风和排风机，以确保种子安全</w:t>
            </w:r>
          </w:p>
          <w:p w14:paraId="455AD5B4">
            <w:pPr>
              <w:rPr>
                <w:rFonts w:hint="eastAsia" w:ascii="宋体" w:hAnsi="宋体" w:eastAsia="宋体" w:cs="宋体"/>
                <w:sz w:val="21"/>
                <w:szCs w:val="21"/>
              </w:rPr>
            </w:pPr>
            <w:r>
              <w:rPr>
                <w:rFonts w:hint="eastAsia" w:ascii="宋体" w:hAnsi="宋体" w:eastAsia="宋体" w:cs="宋体"/>
                <w:sz w:val="21"/>
                <w:szCs w:val="21"/>
              </w:rPr>
              <w:t>8.内外夹层充以聚胺酯高效保温材料，前有玻璃观察门</w:t>
            </w:r>
          </w:p>
          <w:p w14:paraId="37A53C33">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9.电源：AC220V，≤2000W</w:t>
            </w:r>
          </w:p>
        </w:tc>
      </w:tr>
      <w:tr w14:paraId="1A321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4F335A97">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4</w:t>
            </w:r>
          </w:p>
        </w:tc>
        <w:tc>
          <w:tcPr>
            <w:tcW w:w="981" w:type="dxa"/>
            <w:tcBorders>
              <w:top w:val="single" w:color="000000" w:sz="4" w:space="0"/>
              <w:left w:val="nil"/>
              <w:bottom w:val="single" w:color="000000" w:sz="4" w:space="0"/>
              <w:right w:val="single" w:color="000000" w:sz="4" w:space="0"/>
            </w:tcBorders>
            <w:vAlign w:val="center"/>
          </w:tcPr>
          <w:p w14:paraId="5614600E">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大型玉米脱粒机</w:t>
            </w:r>
          </w:p>
        </w:tc>
        <w:tc>
          <w:tcPr>
            <w:tcW w:w="648" w:type="dxa"/>
            <w:tcBorders>
              <w:top w:val="single" w:color="000000" w:sz="4" w:space="0"/>
              <w:left w:val="nil"/>
              <w:bottom w:val="single" w:color="000000" w:sz="4" w:space="0"/>
              <w:right w:val="single" w:color="000000" w:sz="4" w:space="0"/>
            </w:tcBorders>
            <w:vAlign w:val="center"/>
          </w:tcPr>
          <w:p w14:paraId="017F4A60">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564" w:type="dxa"/>
            <w:tcBorders>
              <w:top w:val="single" w:color="000000" w:sz="4" w:space="0"/>
              <w:left w:val="nil"/>
              <w:bottom w:val="single" w:color="000000" w:sz="4" w:space="0"/>
              <w:right w:val="single" w:color="000000" w:sz="4" w:space="0"/>
            </w:tcBorders>
            <w:vAlign w:val="center"/>
          </w:tcPr>
          <w:p w14:paraId="1A016C1B">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6698" w:type="dxa"/>
            <w:tcBorders>
              <w:top w:val="single" w:color="000000" w:sz="4" w:space="0"/>
              <w:left w:val="nil"/>
              <w:bottom w:val="single" w:color="000000" w:sz="4" w:space="0"/>
              <w:right w:val="single" w:color="000000" w:sz="4" w:space="0"/>
            </w:tcBorders>
            <w:vAlign w:val="center"/>
          </w:tcPr>
          <w:p w14:paraId="2A90B5C9">
            <w:pPr>
              <w:rPr>
                <w:rFonts w:hint="eastAsia" w:ascii="宋体" w:hAnsi="宋体" w:eastAsia="宋体" w:cs="宋体"/>
                <w:sz w:val="21"/>
                <w:szCs w:val="21"/>
              </w:rPr>
            </w:pPr>
            <w:r>
              <w:rPr>
                <w:rFonts w:hint="eastAsia" w:ascii="宋体" w:hAnsi="宋体" w:eastAsia="宋体" w:cs="宋体"/>
                <w:sz w:val="21"/>
                <w:szCs w:val="21"/>
              </w:rPr>
              <w:t>1.破碎率：≤1.5%</w:t>
            </w:r>
          </w:p>
          <w:p w14:paraId="1B566296">
            <w:pPr>
              <w:rPr>
                <w:rFonts w:hint="eastAsia" w:ascii="宋体" w:hAnsi="宋体" w:eastAsia="宋体" w:cs="宋体"/>
                <w:sz w:val="21"/>
                <w:szCs w:val="21"/>
              </w:rPr>
            </w:pPr>
            <w:r>
              <w:rPr>
                <w:rFonts w:hint="eastAsia" w:ascii="宋体" w:hAnsi="宋体" w:eastAsia="宋体" w:cs="宋体"/>
                <w:sz w:val="21"/>
                <w:szCs w:val="21"/>
              </w:rPr>
              <w:t>2.脱净率：≥90%</w:t>
            </w:r>
          </w:p>
          <w:p w14:paraId="2232675A">
            <w:pPr>
              <w:rPr>
                <w:rFonts w:hint="eastAsia" w:ascii="宋体" w:hAnsi="宋体" w:eastAsia="宋体" w:cs="宋体"/>
                <w:sz w:val="21"/>
                <w:szCs w:val="21"/>
              </w:rPr>
            </w:pPr>
            <w:r>
              <w:rPr>
                <w:rFonts w:hint="eastAsia" w:ascii="宋体" w:hAnsi="宋体" w:eastAsia="宋体" w:cs="宋体"/>
                <w:sz w:val="21"/>
                <w:szCs w:val="21"/>
              </w:rPr>
              <w:t>3.脱粒间距可调，可适应不同大小的玉米棒</w:t>
            </w:r>
          </w:p>
          <w:p w14:paraId="52FFAB90">
            <w:pPr>
              <w:rPr>
                <w:rFonts w:hint="eastAsia" w:ascii="宋体" w:hAnsi="宋体" w:eastAsia="宋体" w:cs="宋体"/>
                <w:sz w:val="21"/>
                <w:szCs w:val="21"/>
              </w:rPr>
            </w:pPr>
            <w:r>
              <w:rPr>
                <w:rFonts w:hint="eastAsia" w:ascii="宋体" w:hAnsi="宋体" w:eastAsia="宋体" w:cs="宋体"/>
                <w:sz w:val="21"/>
                <w:szCs w:val="21"/>
              </w:rPr>
              <w:t>4.橡胶滚轴棒，不损伤籽粒，籽粒无破损</w:t>
            </w:r>
          </w:p>
          <w:p w14:paraId="592FEF77">
            <w:pPr>
              <w:rPr>
                <w:rFonts w:hint="eastAsia" w:ascii="宋体" w:hAnsi="宋体" w:eastAsia="宋体" w:cs="宋体"/>
                <w:sz w:val="21"/>
                <w:szCs w:val="21"/>
              </w:rPr>
            </w:pPr>
            <w:r>
              <w:rPr>
                <w:rFonts w:hint="eastAsia" w:ascii="宋体" w:hAnsi="宋体" w:eastAsia="宋体" w:cs="宋体"/>
                <w:sz w:val="21"/>
                <w:szCs w:val="21"/>
              </w:rPr>
              <w:t>5.脱粒每小时：≥500斤</w:t>
            </w:r>
          </w:p>
          <w:p w14:paraId="30F494BC">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6.功率：≤600W</w:t>
            </w:r>
          </w:p>
        </w:tc>
      </w:tr>
      <w:tr w14:paraId="24A67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0D21009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5</w:t>
            </w:r>
          </w:p>
        </w:tc>
        <w:tc>
          <w:tcPr>
            <w:tcW w:w="981" w:type="dxa"/>
            <w:tcBorders>
              <w:top w:val="single" w:color="000000" w:sz="4" w:space="0"/>
              <w:left w:val="nil"/>
              <w:bottom w:val="single" w:color="000000" w:sz="4" w:space="0"/>
              <w:right w:val="single" w:color="000000" w:sz="4" w:space="0"/>
            </w:tcBorders>
            <w:vAlign w:val="center"/>
          </w:tcPr>
          <w:p w14:paraId="563C5BBC">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小型玉米单穗脱粒机</w:t>
            </w:r>
          </w:p>
        </w:tc>
        <w:tc>
          <w:tcPr>
            <w:tcW w:w="648" w:type="dxa"/>
            <w:tcBorders>
              <w:top w:val="single" w:color="000000" w:sz="4" w:space="0"/>
              <w:left w:val="nil"/>
              <w:bottom w:val="single" w:color="000000" w:sz="4" w:space="0"/>
              <w:right w:val="single" w:color="000000" w:sz="4" w:space="0"/>
            </w:tcBorders>
            <w:vAlign w:val="center"/>
          </w:tcPr>
          <w:p w14:paraId="050B0BC8">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564" w:type="dxa"/>
            <w:tcBorders>
              <w:top w:val="single" w:color="000000" w:sz="4" w:space="0"/>
              <w:left w:val="nil"/>
              <w:bottom w:val="single" w:color="000000" w:sz="4" w:space="0"/>
              <w:right w:val="single" w:color="000000" w:sz="4" w:space="0"/>
            </w:tcBorders>
            <w:vAlign w:val="center"/>
          </w:tcPr>
          <w:p w14:paraId="2573BD1D">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5</w:t>
            </w:r>
          </w:p>
        </w:tc>
        <w:tc>
          <w:tcPr>
            <w:tcW w:w="6698" w:type="dxa"/>
            <w:tcBorders>
              <w:top w:val="single" w:color="000000" w:sz="4" w:space="0"/>
              <w:left w:val="nil"/>
              <w:bottom w:val="single" w:color="000000" w:sz="4" w:space="0"/>
              <w:right w:val="single" w:color="000000" w:sz="4" w:space="0"/>
            </w:tcBorders>
            <w:vAlign w:val="center"/>
          </w:tcPr>
          <w:p w14:paraId="17B4A26F">
            <w:pPr>
              <w:rPr>
                <w:rFonts w:hint="eastAsia" w:ascii="宋体" w:hAnsi="宋体" w:eastAsia="宋体" w:cs="宋体"/>
                <w:sz w:val="21"/>
                <w:szCs w:val="21"/>
              </w:rPr>
            </w:pPr>
            <w:r>
              <w:rPr>
                <w:rFonts w:hint="eastAsia" w:ascii="宋体" w:hAnsi="宋体" w:eastAsia="宋体" w:cs="宋体"/>
                <w:sz w:val="21"/>
                <w:szCs w:val="21"/>
              </w:rPr>
              <w:t>1.破碎率：≤1.5%</w:t>
            </w:r>
          </w:p>
          <w:p w14:paraId="4BBFA4EA">
            <w:pPr>
              <w:rPr>
                <w:rFonts w:hint="eastAsia" w:ascii="宋体" w:hAnsi="宋体" w:eastAsia="宋体" w:cs="宋体"/>
                <w:sz w:val="21"/>
                <w:szCs w:val="21"/>
              </w:rPr>
            </w:pPr>
            <w:r>
              <w:rPr>
                <w:rFonts w:hint="eastAsia" w:ascii="宋体" w:hAnsi="宋体" w:eastAsia="宋体" w:cs="宋体"/>
                <w:sz w:val="21"/>
                <w:szCs w:val="21"/>
              </w:rPr>
              <w:t>2.脱净率：≥90%</w:t>
            </w:r>
          </w:p>
          <w:p w14:paraId="2D60B9CF">
            <w:pPr>
              <w:rPr>
                <w:rFonts w:hint="eastAsia" w:ascii="宋体" w:hAnsi="宋体" w:eastAsia="宋体" w:cs="宋体"/>
                <w:sz w:val="21"/>
                <w:szCs w:val="21"/>
              </w:rPr>
            </w:pPr>
            <w:r>
              <w:rPr>
                <w:rFonts w:hint="eastAsia" w:ascii="宋体" w:hAnsi="宋体" w:eastAsia="宋体" w:cs="宋体"/>
                <w:sz w:val="21"/>
                <w:szCs w:val="21"/>
              </w:rPr>
              <w:t>3.脱粒间距可调，可适应不同大小的玉米棒</w:t>
            </w:r>
          </w:p>
          <w:p w14:paraId="6DCF4686">
            <w:pPr>
              <w:rPr>
                <w:rFonts w:hint="eastAsia" w:ascii="宋体" w:hAnsi="宋体" w:eastAsia="宋体" w:cs="宋体"/>
                <w:sz w:val="21"/>
                <w:szCs w:val="21"/>
              </w:rPr>
            </w:pPr>
            <w:r>
              <w:rPr>
                <w:rFonts w:hint="eastAsia" w:ascii="宋体" w:hAnsi="宋体" w:eastAsia="宋体" w:cs="宋体"/>
                <w:sz w:val="21"/>
                <w:szCs w:val="21"/>
              </w:rPr>
              <w:t>4.橡胶滚轴棒，不损伤籽粒，籽粒无破损</w:t>
            </w:r>
          </w:p>
          <w:p w14:paraId="6E9CC211">
            <w:pPr>
              <w:rPr>
                <w:rFonts w:hint="eastAsia" w:ascii="宋体" w:hAnsi="宋体" w:eastAsia="宋体" w:cs="宋体"/>
                <w:sz w:val="21"/>
                <w:szCs w:val="21"/>
              </w:rPr>
            </w:pPr>
            <w:r>
              <w:rPr>
                <w:rFonts w:hint="eastAsia" w:ascii="宋体" w:hAnsi="宋体" w:eastAsia="宋体" w:cs="宋体"/>
                <w:sz w:val="21"/>
                <w:szCs w:val="21"/>
              </w:rPr>
              <w:t>5.脱粒效率：≤8S脱一个玉米棒</w:t>
            </w:r>
          </w:p>
          <w:p w14:paraId="14C2B6E6">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6.功率：≤300W</w:t>
            </w:r>
          </w:p>
        </w:tc>
      </w:tr>
      <w:tr w14:paraId="18745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A423BC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6</w:t>
            </w:r>
          </w:p>
        </w:tc>
        <w:tc>
          <w:tcPr>
            <w:tcW w:w="981" w:type="dxa"/>
            <w:tcBorders>
              <w:top w:val="single" w:color="000000" w:sz="4" w:space="0"/>
              <w:left w:val="nil"/>
              <w:bottom w:val="single" w:color="000000" w:sz="4" w:space="0"/>
              <w:right w:val="single" w:color="000000" w:sz="4" w:space="0"/>
            </w:tcBorders>
            <w:vAlign w:val="center"/>
          </w:tcPr>
          <w:p w14:paraId="199C8525">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小型清粮机</w:t>
            </w:r>
          </w:p>
        </w:tc>
        <w:tc>
          <w:tcPr>
            <w:tcW w:w="648" w:type="dxa"/>
            <w:tcBorders>
              <w:top w:val="single" w:color="000000" w:sz="4" w:space="0"/>
              <w:left w:val="nil"/>
              <w:bottom w:val="single" w:color="000000" w:sz="4" w:space="0"/>
              <w:right w:val="single" w:color="000000" w:sz="4" w:space="0"/>
            </w:tcBorders>
            <w:vAlign w:val="center"/>
          </w:tcPr>
          <w:p w14:paraId="6F093A11">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564" w:type="dxa"/>
            <w:tcBorders>
              <w:top w:val="single" w:color="000000" w:sz="4" w:space="0"/>
              <w:left w:val="nil"/>
              <w:bottom w:val="single" w:color="000000" w:sz="4" w:space="0"/>
              <w:right w:val="single" w:color="000000" w:sz="4" w:space="0"/>
            </w:tcBorders>
            <w:vAlign w:val="center"/>
          </w:tcPr>
          <w:p w14:paraId="4665192B">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6698" w:type="dxa"/>
            <w:tcBorders>
              <w:top w:val="single" w:color="000000" w:sz="4" w:space="0"/>
              <w:left w:val="nil"/>
              <w:bottom w:val="single" w:color="000000" w:sz="4" w:space="0"/>
              <w:right w:val="single" w:color="000000" w:sz="4" w:space="0"/>
            </w:tcBorders>
            <w:vAlign w:val="center"/>
          </w:tcPr>
          <w:p w14:paraId="4E0BCE0B">
            <w:pPr>
              <w:rPr>
                <w:rFonts w:hint="eastAsia" w:ascii="宋体" w:hAnsi="宋体" w:eastAsia="宋体" w:cs="宋体"/>
                <w:sz w:val="21"/>
                <w:szCs w:val="21"/>
              </w:rPr>
            </w:pPr>
            <w:r>
              <w:rPr>
                <w:rFonts w:hint="eastAsia" w:ascii="宋体" w:hAnsi="宋体" w:eastAsia="宋体" w:cs="宋体"/>
                <w:sz w:val="21"/>
                <w:szCs w:val="21"/>
              </w:rPr>
              <w:t>1.筛网规格：≤900（mm）</w:t>
            </w:r>
          </w:p>
          <w:p w14:paraId="374AE189">
            <w:pPr>
              <w:rPr>
                <w:rFonts w:hint="eastAsia" w:ascii="宋体" w:hAnsi="宋体" w:eastAsia="宋体" w:cs="宋体"/>
                <w:sz w:val="21"/>
                <w:szCs w:val="21"/>
              </w:rPr>
            </w:pPr>
            <w:r>
              <w:rPr>
                <w:rFonts w:hint="eastAsia" w:ascii="宋体" w:hAnsi="宋体" w:eastAsia="宋体" w:cs="宋体"/>
                <w:sz w:val="21"/>
                <w:szCs w:val="21"/>
              </w:rPr>
              <w:t>2.筛孔尺寸：≤12（mm）</w:t>
            </w:r>
          </w:p>
          <w:p w14:paraId="315797EF">
            <w:pPr>
              <w:rPr>
                <w:rFonts w:hint="eastAsia" w:ascii="宋体" w:hAnsi="宋体" w:eastAsia="宋体" w:cs="宋体"/>
                <w:sz w:val="21"/>
                <w:szCs w:val="21"/>
              </w:rPr>
            </w:pPr>
            <w:r>
              <w:rPr>
                <w:rFonts w:hint="eastAsia" w:ascii="宋体" w:hAnsi="宋体" w:eastAsia="宋体" w:cs="宋体"/>
                <w:sz w:val="21"/>
                <w:szCs w:val="21"/>
              </w:rPr>
              <w:t>3.筛面层数：≥2</w:t>
            </w:r>
          </w:p>
          <w:p w14:paraId="1C40F3C8">
            <w:pPr>
              <w:rPr>
                <w:rFonts w:hint="eastAsia" w:ascii="宋体" w:hAnsi="宋体" w:eastAsia="宋体" w:cs="宋体"/>
                <w:sz w:val="21"/>
                <w:szCs w:val="21"/>
              </w:rPr>
            </w:pPr>
            <w:r>
              <w:rPr>
                <w:rFonts w:hint="eastAsia" w:ascii="宋体" w:hAnsi="宋体" w:eastAsia="宋体" w:cs="宋体"/>
                <w:sz w:val="21"/>
                <w:szCs w:val="21"/>
              </w:rPr>
              <w:t>4.进料粒度：≤20（mm）</w:t>
            </w:r>
          </w:p>
          <w:p w14:paraId="0B1E83A1">
            <w:pPr>
              <w:rPr>
                <w:rFonts w:hint="eastAsia" w:ascii="宋体" w:hAnsi="宋体" w:eastAsia="宋体" w:cs="宋体"/>
                <w:sz w:val="21"/>
                <w:szCs w:val="21"/>
              </w:rPr>
            </w:pPr>
            <w:r>
              <w:rPr>
                <w:rFonts w:hint="eastAsia" w:ascii="宋体" w:hAnsi="宋体" w:eastAsia="宋体" w:cs="宋体"/>
                <w:sz w:val="21"/>
                <w:szCs w:val="21"/>
              </w:rPr>
              <w:t>5.生产能力：1</w:t>
            </w:r>
            <w:r>
              <w:rPr>
                <w:rFonts w:hint="eastAsia" w:ascii="宋体" w:hAnsi="宋体" w:eastAsia="宋体" w:cs="宋体"/>
                <w:sz w:val="21"/>
                <w:szCs w:val="21"/>
                <w:lang w:eastAsia="zh-CN"/>
              </w:rPr>
              <w:t>～</w:t>
            </w:r>
            <w:r>
              <w:rPr>
                <w:rFonts w:hint="eastAsia" w:ascii="宋体" w:hAnsi="宋体" w:eastAsia="宋体" w:cs="宋体"/>
                <w:sz w:val="21"/>
                <w:szCs w:val="21"/>
              </w:rPr>
              <w:t>3（t/h）</w:t>
            </w:r>
          </w:p>
          <w:p w14:paraId="48E9FA82">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6.功率：≤300W</w:t>
            </w:r>
          </w:p>
        </w:tc>
      </w:tr>
      <w:tr w14:paraId="67894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C115E0E">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7</w:t>
            </w:r>
          </w:p>
        </w:tc>
        <w:tc>
          <w:tcPr>
            <w:tcW w:w="981" w:type="dxa"/>
            <w:tcBorders>
              <w:top w:val="single" w:color="000000" w:sz="4" w:space="0"/>
              <w:left w:val="nil"/>
              <w:bottom w:val="single" w:color="000000" w:sz="4" w:space="0"/>
              <w:right w:val="single" w:color="000000" w:sz="4" w:space="0"/>
            </w:tcBorders>
            <w:vAlign w:val="center"/>
          </w:tcPr>
          <w:p w14:paraId="437A5CD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种子发芽盒</w:t>
            </w:r>
          </w:p>
        </w:tc>
        <w:tc>
          <w:tcPr>
            <w:tcW w:w="648" w:type="dxa"/>
            <w:tcBorders>
              <w:top w:val="single" w:color="000000" w:sz="4" w:space="0"/>
              <w:left w:val="nil"/>
              <w:bottom w:val="single" w:color="000000" w:sz="4" w:space="0"/>
              <w:right w:val="single" w:color="000000" w:sz="4" w:space="0"/>
            </w:tcBorders>
            <w:vAlign w:val="center"/>
          </w:tcPr>
          <w:p w14:paraId="3ACDB322">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个</w:t>
            </w:r>
          </w:p>
        </w:tc>
        <w:tc>
          <w:tcPr>
            <w:tcW w:w="564" w:type="dxa"/>
            <w:tcBorders>
              <w:top w:val="single" w:color="000000" w:sz="4" w:space="0"/>
              <w:left w:val="nil"/>
              <w:bottom w:val="single" w:color="000000" w:sz="4" w:space="0"/>
              <w:right w:val="single" w:color="000000" w:sz="4" w:space="0"/>
            </w:tcBorders>
            <w:vAlign w:val="center"/>
          </w:tcPr>
          <w:p w14:paraId="27DCA681">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100</w:t>
            </w:r>
          </w:p>
        </w:tc>
        <w:tc>
          <w:tcPr>
            <w:tcW w:w="6698" w:type="dxa"/>
            <w:tcBorders>
              <w:top w:val="single" w:color="000000" w:sz="4" w:space="0"/>
              <w:left w:val="nil"/>
              <w:bottom w:val="single" w:color="000000" w:sz="4" w:space="0"/>
              <w:right w:val="single" w:color="000000" w:sz="4" w:space="0"/>
            </w:tcBorders>
            <w:vAlign w:val="center"/>
          </w:tcPr>
          <w:p w14:paraId="09E39343">
            <w:pPr>
              <w:rPr>
                <w:rFonts w:hint="eastAsia" w:ascii="宋体" w:hAnsi="宋体" w:eastAsia="宋体" w:cs="宋体"/>
                <w:sz w:val="21"/>
                <w:szCs w:val="21"/>
              </w:rPr>
            </w:pPr>
            <w:r>
              <w:rPr>
                <w:rFonts w:hint="eastAsia" w:ascii="宋体" w:hAnsi="宋体" w:eastAsia="宋体" w:cs="宋体"/>
                <w:sz w:val="21"/>
                <w:szCs w:val="21"/>
              </w:rPr>
              <w:t>1.材质：透明或半透明耐用材料，适合种子发芽试验需要</w:t>
            </w:r>
          </w:p>
          <w:p w14:paraId="6AC7F791">
            <w:pPr>
              <w:rPr>
                <w:rFonts w:hint="eastAsia" w:ascii="宋体" w:hAnsi="宋体" w:eastAsia="宋体" w:cs="宋体"/>
                <w:sz w:val="21"/>
                <w:szCs w:val="21"/>
              </w:rPr>
            </w:pPr>
            <w:r>
              <w:rPr>
                <w:rFonts w:hint="eastAsia" w:ascii="宋体" w:hAnsi="宋体" w:eastAsia="宋体" w:cs="宋体"/>
                <w:sz w:val="21"/>
                <w:szCs w:val="21"/>
              </w:rPr>
              <w:t>2.发芽盒（大）50个：≥口径13</w:t>
            </w:r>
            <w:r>
              <w:rPr>
                <w:rFonts w:hint="eastAsia" w:ascii="宋体" w:hAnsi="宋体" w:cs="宋体"/>
                <w:sz w:val="21"/>
                <w:szCs w:val="21"/>
                <w:lang w:eastAsia="zh-CN"/>
              </w:rPr>
              <w:t>×</w:t>
            </w:r>
            <w:r>
              <w:rPr>
                <w:rFonts w:hint="eastAsia" w:ascii="宋体" w:hAnsi="宋体" w:eastAsia="宋体" w:cs="宋体"/>
                <w:sz w:val="21"/>
                <w:szCs w:val="21"/>
              </w:rPr>
              <w:t>19</w:t>
            </w:r>
            <w:r>
              <w:rPr>
                <w:rFonts w:hint="eastAsia" w:ascii="宋体" w:hAnsi="宋体" w:cs="宋体"/>
                <w:sz w:val="21"/>
                <w:szCs w:val="21"/>
                <w:lang w:eastAsia="zh-CN"/>
              </w:rPr>
              <w:t>×</w:t>
            </w:r>
            <w:r>
              <w:rPr>
                <w:rFonts w:hint="eastAsia" w:ascii="宋体" w:hAnsi="宋体" w:eastAsia="宋体" w:cs="宋体"/>
                <w:sz w:val="21"/>
                <w:szCs w:val="21"/>
              </w:rPr>
              <w:t>12cm</w:t>
            </w:r>
          </w:p>
          <w:p w14:paraId="270EB260">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3.发芽盒（小）50个：≥口径12</w:t>
            </w:r>
            <w:r>
              <w:rPr>
                <w:rFonts w:hint="eastAsia" w:ascii="宋体" w:hAnsi="宋体" w:cs="宋体"/>
                <w:sz w:val="21"/>
                <w:szCs w:val="21"/>
                <w:lang w:eastAsia="zh-CN"/>
              </w:rPr>
              <w:t>×</w:t>
            </w:r>
            <w:r>
              <w:rPr>
                <w:rFonts w:hint="eastAsia" w:ascii="宋体" w:hAnsi="宋体" w:eastAsia="宋体" w:cs="宋体"/>
                <w:sz w:val="21"/>
                <w:szCs w:val="21"/>
              </w:rPr>
              <w:t>12</w:t>
            </w:r>
            <w:r>
              <w:rPr>
                <w:rFonts w:hint="eastAsia" w:ascii="宋体" w:hAnsi="宋体" w:cs="宋体"/>
                <w:sz w:val="21"/>
                <w:szCs w:val="21"/>
                <w:lang w:eastAsia="zh-CN"/>
              </w:rPr>
              <w:t>×</w:t>
            </w:r>
            <w:r>
              <w:rPr>
                <w:rFonts w:hint="eastAsia" w:ascii="宋体" w:hAnsi="宋体" w:eastAsia="宋体" w:cs="宋体"/>
                <w:sz w:val="21"/>
                <w:szCs w:val="21"/>
              </w:rPr>
              <w:t>6cm</w:t>
            </w:r>
          </w:p>
        </w:tc>
      </w:tr>
      <w:tr w14:paraId="3D3C9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0EE8309B">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8</w:t>
            </w:r>
          </w:p>
        </w:tc>
        <w:tc>
          <w:tcPr>
            <w:tcW w:w="981" w:type="dxa"/>
            <w:tcBorders>
              <w:top w:val="single" w:color="000000" w:sz="4" w:space="0"/>
              <w:left w:val="nil"/>
              <w:bottom w:val="single" w:color="000000" w:sz="4" w:space="0"/>
              <w:right w:val="single" w:color="000000" w:sz="4" w:space="0"/>
            </w:tcBorders>
            <w:vAlign w:val="center"/>
          </w:tcPr>
          <w:p w14:paraId="28AFE211">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小型粉碎机</w:t>
            </w:r>
          </w:p>
        </w:tc>
        <w:tc>
          <w:tcPr>
            <w:tcW w:w="648" w:type="dxa"/>
            <w:tcBorders>
              <w:top w:val="single" w:color="000000" w:sz="4" w:space="0"/>
              <w:left w:val="nil"/>
              <w:bottom w:val="single" w:color="000000" w:sz="4" w:space="0"/>
              <w:right w:val="single" w:color="000000" w:sz="4" w:space="0"/>
            </w:tcBorders>
            <w:vAlign w:val="center"/>
          </w:tcPr>
          <w:p w14:paraId="53EA188F">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2FF579E1">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6698" w:type="dxa"/>
            <w:tcBorders>
              <w:top w:val="single" w:color="000000" w:sz="4" w:space="0"/>
              <w:left w:val="nil"/>
              <w:bottom w:val="single" w:color="000000" w:sz="4" w:space="0"/>
              <w:right w:val="single" w:color="000000" w:sz="4" w:space="0"/>
            </w:tcBorders>
            <w:vAlign w:val="center"/>
          </w:tcPr>
          <w:p w14:paraId="09DFC773">
            <w:pPr>
              <w:jc w:val="left"/>
              <w:rPr>
                <w:rFonts w:hint="eastAsia" w:ascii="宋体" w:hAnsi="宋体" w:eastAsia="宋体" w:cs="宋体"/>
                <w:sz w:val="21"/>
                <w:szCs w:val="21"/>
              </w:rPr>
            </w:pPr>
            <w:r>
              <w:rPr>
                <w:rFonts w:hint="eastAsia" w:ascii="宋体" w:hAnsi="宋体" w:eastAsia="宋体" w:cs="宋体"/>
                <w:sz w:val="21"/>
                <w:szCs w:val="21"/>
              </w:rPr>
              <w:t>1.研磨细度要求：磨盘间距可调，满足不同粉碎细度要求。粉碎样品≥98％通过ф1.0mm筛； 粉碎样品≥90％通过ф0.5mm筛； 粉碎样品≥80％通过40目筛                                                                                                                                                                                                                                                            2.粮食水分测试粉碎磨研磨能力：100～300（g/min）</w:t>
            </w:r>
          </w:p>
          <w:p w14:paraId="52C7F6B2">
            <w:pPr>
              <w:rPr>
                <w:rFonts w:hint="eastAsia" w:ascii="宋体" w:hAnsi="宋体" w:eastAsia="宋体" w:cs="宋体"/>
                <w:sz w:val="21"/>
                <w:szCs w:val="21"/>
              </w:rPr>
            </w:pPr>
            <w:r>
              <w:rPr>
                <w:rFonts w:hint="eastAsia" w:ascii="宋体" w:hAnsi="宋体" w:eastAsia="宋体" w:cs="宋体"/>
                <w:sz w:val="21"/>
                <w:szCs w:val="21"/>
              </w:rPr>
              <w:t>3.收集容器的容积：≥110g</w:t>
            </w:r>
          </w:p>
          <w:p w14:paraId="32F7A42C">
            <w:pPr>
              <w:rPr>
                <w:rFonts w:hint="eastAsia" w:ascii="宋体" w:hAnsi="宋体" w:eastAsia="宋体" w:cs="宋体"/>
                <w:sz w:val="21"/>
                <w:szCs w:val="21"/>
              </w:rPr>
            </w:pPr>
            <w:r>
              <w:rPr>
                <w:rFonts w:hint="eastAsia" w:ascii="宋体" w:hAnsi="宋体" w:eastAsia="宋体" w:cs="宋体"/>
                <w:sz w:val="21"/>
                <w:szCs w:val="21"/>
              </w:rPr>
              <w:t>4.可调节档位：≥15档</w:t>
            </w:r>
          </w:p>
          <w:p w14:paraId="49151123">
            <w:pPr>
              <w:rPr>
                <w:rFonts w:hint="eastAsia" w:ascii="宋体" w:hAnsi="宋体" w:eastAsia="宋体" w:cs="宋体"/>
                <w:sz w:val="21"/>
                <w:szCs w:val="21"/>
              </w:rPr>
            </w:pPr>
            <w:r>
              <w:rPr>
                <w:rFonts w:hint="eastAsia" w:ascii="宋体" w:hAnsi="宋体" w:eastAsia="宋体" w:cs="宋体"/>
                <w:sz w:val="21"/>
                <w:szCs w:val="21"/>
              </w:rPr>
              <w:t xml:space="preserve">5.工作噪音：≤68dB                                                                                                                                                                                                          </w:t>
            </w:r>
          </w:p>
          <w:p w14:paraId="12DDB75B">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6.功率：≤350W</w:t>
            </w:r>
          </w:p>
        </w:tc>
      </w:tr>
      <w:tr w14:paraId="62695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7C9749A">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9</w:t>
            </w:r>
          </w:p>
        </w:tc>
        <w:tc>
          <w:tcPr>
            <w:tcW w:w="981" w:type="dxa"/>
            <w:tcBorders>
              <w:top w:val="single" w:color="000000" w:sz="4" w:space="0"/>
              <w:left w:val="nil"/>
              <w:bottom w:val="single" w:color="000000" w:sz="4" w:space="0"/>
              <w:right w:val="single" w:color="000000" w:sz="4" w:space="0"/>
            </w:tcBorders>
            <w:vAlign w:val="center"/>
          </w:tcPr>
          <w:p w14:paraId="259AC7E9">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谷物水分测定仪</w:t>
            </w:r>
          </w:p>
        </w:tc>
        <w:tc>
          <w:tcPr>
            <w:tcW w:w="648" w:type="dxa"/>
            <w:tcBorders>
              <w:top w:val="single" w:color="000000" w:sz="4" w:space="0"/>
              <w:left w:val="nil"/>
              <w:bottom w:val="single" w:color="000000" w:sz="4" w:space="0"/>
              <w:right w:val="single" w:color="000000" w:sz="4" w:space="0"/>
            </w:tcBorders>
            <w:vAlign w:val="center"/>
          </w:tcPr>
          <w:p w14:paraId="7E9889C7">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50AAF7AE">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6</w:t>
            </w:r>
          </w:p>
        </w:tc>
        <w:tc>
          <w:tcPr>
            <w:tcW w:w="6698" w:type="dxa"/>
            <w:tcBorders>
              <w:top w:val="single" w:color="000000" w:sz="4" w:space="0"/>
              <w:left w:val="nil"/>
              <w:bottom w:val="single" w:color="000000" w:sz="4" w:space="0"/>
              <w:right w:val="single" w:color="000000" w:sz="4" w:space="0"/>
            </w:tcBorders>
            <w:vAlign w:val="center"/>
          </w:tcPr>
          <w:p w14:paraId="11F30441">
            <w:pPr>
              <w:rPr>
                <w:rFonts w:hint="eastAsia" w:ascii="宋体" w:hAnsi="宋体" w:eastAsia="宋体" w:cs="宋体"/>
                <w:sz w:val="21"/>
                <w:szCs w:val="21"/>
              </w:rPr>
            </w:pPr>
            <w:r>
              <w:rPr>
                <w:rFonts w:hint="eastAsia" w:ascii="宋体" w:hAnsi="宋体" w:eastAsia="宋体" w:cs="宋体"/>
                <w:sz w:val="21"/>
                <w:szCs w:val="21"/>
              </w:rPr>
              <w:t>1.测量种类：≥14个品种种类</w:t>
            </w:r>
          </w:p>
          <w:p w14:paraId="0B6A0F7B">
            <w:pPr>
              <w:rPr>
                <w:rFonts w:hint="eastAsia" w:ascii="宋体" w:hAnsi="宋体" w:eastAsia="宋体" w:cs="宋体"/>
                <w:sz w:val="21"/>
                <w:szCs w:val="21"/>
              </w:rPr>
            </w:pPr>
            <w:r>
              <w:rPr>
                <w:rFonts w:hint="eastAsia" w:ascii="宋体" w:hAnsi="宋体" w:eastAsia="宋体" w:cs="宋体"/>
                <w:sz w:val="21"/>
                <w:szCs w:val="21"/>
              </w:rPr>
              <w:t>2.测量范围：0～40%</w:t>
            </w:r>
          </w:p>
          <w:p w14:paraId="5E97D251">
            <w:pPr>
              <w:rPr>
                <w:rFonts w:hint="eastAsia" w:ascii="宋体" w:hAnsi="宋体" w:eastAsia="宋体" w:cs="宋体"/>
                <w:sz w:val="21"/>
                <w:szCs w:val="21"/>
              </w:rPr>
            </w:pPr>
            <w:r>
              <w:rPr>
                <w:rFonts w:hint="eastAsia" w:ascii="宋体" w:hAnsi="宋体" w:eastAsia="宋体" w:cs="宋体"/>
                <w:sz w:val="21"/>
                <w:szCs w:val="21"/>
              </w:rPr>
              <w:t>3.测量误差：≤±0.5%（主要水分范围）</w:t>
            </w:r>
          </w:p>
          <w:p w14:paraId="7DCFA472">
            <w:pPr>
              <w:rPr>
                <w:rFonts w:hint="eastAsia" w:ascii="宋体" w:hAnsi="宋体" w:eastAsia="宋体" w:cs="宋体"/>
                <w:sz w:val="21"/>
                <w:szCs w:val="21"/>
              </w:rPr>
            </w:pPr>
            <w:r>
              <w:rPr>
                <w:rFonts w:hint="eastAsia" w:ascii="宋体" w:hAnsi="宋体" w:eastAsia="宋体" w:cs="宋体"/>
                <w:sz w:val="21"/>
                <w:szCs w:val="21"/>
              </w:rPr>
              <w:t>4.测量时间：≤10s</w:t>
            </w:r>
          </w:p>
          <w:p w14:paraId="1FEEBE63">
            <w:pPr>
              <w:rPr>
                <w:rFonts w:hint="eastAsia" w:ascii="宋体" w:hAnsi="宋体" w:eastAsia="宋体" w:cs="宋体"/>
                <w:sz w:val="21"/>
                <w:szCs w:val="21"/>
              </w:rPr>
            </w:pPr>
            <w:r>
              <w:rPr>
                <w:rFonts w:hint="eastAsia" w:ascii="宋体" w:hAnsi="宋体" w:eastAsia="宋体" w:cs="宋体"/>
                <w:sz w:val="21"/>
                <w:szCs w:val="21"/>
              </w:rPr>
              <w:t>5.重复误差：≤±0.2%</w:t>
            </w:r>
          </w:p>
          <w:p w14:paraId="41A47730">
            <w:pPr>
              <w:rPr>
                <w:rFonts w:hint="eastAsia" w:ascii="宋体" w:hAnsi="宋体" w:eastAsia="宋体" w:cs="宋体"/>
                <w:sz w:val="21"/>
                <w:szCs w:val="21"/>
              </w:rPr>
            </w:pPr>
            <w:r>
              <w:rPr>
                <w:rFonts w:hint="eastAsia" w:ascii="宋体" w:hAnsi="宋体" w:eastAsia="宋体" w:cs="宋体"/>
                <w:sz w:val="21"/>
                <w:szCs w:val="21"/>
              </w:rPr>
              <w:t>6.使用环境温度：≤40℃</w:t>
            </w:r>
          </w:p>
          <w:p w14:paraId="4ED1B228">
            <w:pPr>
              <w:rPr>
                <w:rFonts w:hint="eastAsia" w:ascii="宋体" w:hAnsi="宋体" w:eastAsia="宋体" w:cs="宋体"/>
                <w:sz w:val="21"/>
                <w:szCs w:val="21"/>
              </w:rPr>
            </w:pPr>
            <w:r>
              <w:rPr>
                <w:rFonts w:hint="eastAsia" w:ascii="宋体" w:hAnsi="宋体" w:eastAsia="宋体" w:cs="宋体"/>
                <w:sz w:val="21"/>
                <w:szCs w:val="21"/>
              </w:rPr>
              <w:t>7.显示方式：高亮背光LCD数字显示</w:t>
            </w:r>
          </w:p>
          <w:p w14:paraId="0C14403C">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8.功率：≤50W</w:t>
            </w:r>
          </w:p>
        </w:tc>
      </w:tr>
      <w:tr w14:paraId="54FF5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38D95505">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10</w:t>
            </w:r>
          </w:p>
        </w:tc>
        <w:tc>
          <w:tcPr>
            <w:tcW w:w="981" w:type="dxa"/>
            <w:tcBorders>
              <w:top w:val="single" w:color="000000" w:sz="4" w:space="0"/>
              <w:left w:val="nil"/>
              <w:bottom w:val="single" w:color="000000" w:sz="4" w:space="0"/>
              <w:right w:val="single" w:color="000000" w:sz="4" w:space="0"/>
            </w:tcBorders>
            <w:vAlign w:val="center"/>
          </w:tcPr>
          <w:p w14:paraId="3B776B7F">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真空数种置床仪</w:t>
            </w:r>
          </w:p>
        </w:tc>
        <w:tc>
          <w:tcPr>
            <w:tcW w:w="648" w:type="dxa"/>
            <w:tcBorders>
              <w:top w:val="single" w:color="000000" w:sz="4" w:space="0"/>
              <w:left w:val="nil"/>
              <w:bottom w:val="single" w:color="000000" w:sz="4" w:space="0"/>
              <w:right w:val="single" w:color="000000" w:sz="4" w:space="0"/>
            </w:tcBorders>
            <w:vAlign w:val="center"/>
          </w:tcPr>
          <w:p w14:paraId="3498FAA5">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0B9DD4C7">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6698" w:type="dxa"/>
            <w:tcBorders>
              <w:top w:val="single" w:color="000000" w:sz="4" w:space="0"/>
              <w:left w:val="nil"/>
              <w:bottom w:val="single" w:color="000000" w:sz="4" w:space="0"/>
              <w:right w:val="single" w:color="000000" w:sz="4" w:space="0"/>
            </w:tcBorders>
            <w:vAlign w:val="center"/>
          </w:tcPr>
          <w:p w14:paraId="1E5D3059">
            <w:pPr>
              <w:rPr>
                <w:rFonts w:hint="eastAsia" w:ascii="宋体" w:hAnsi="宋体" w:eastAsia="宋体" w:cs="宋体"/>
                <w:sz w:val="21"/>
                <w:szCs w:val="21"/>
              </w:rPr>
            </w:pPr>
            <w:r>
              <w:rPr>
                <w:rFonts w:hint="eastAsia" w:ascii="宋体" w:hAnsi="宋体" w:eastAsia="宋体" w:cs="宋体"/>
                <w:sz w:val="21"/>
                <w:szCs w:val="21"/>
              </w:rPr>
              <w:t>一、技术参数</w:t>
            </w:r>
          </w:p>
          <w:p w14:paraId="165A729B">
            <w:pPr>
              <w:rPr>
                <w:rFonts w:hint="eastAsia" w:ascii="宋体" w:hAnsi="宋体" w:eastAsia="宋体" w:cs="宋体"/>
                <w:sz w:val="21"/>
                <w:szCs w:val="21"/>
              </w:rPr>
            </w:pPr>
            <w:r>
              <w:rPr>
                <w:rFonts w:hint="eastAsia" w:ascii="宋体" w:hAnsi="宋体" w:eastAsia="宋体" w:cs="宋体"/>
                <w:sz w:val="21"/>
                <w:szCs w:val="21"/>
              </w:rPr>
              <w:t>1.吸种盘配置：5个（大号1个、小号3个、圆形1个）</w:t>
            </w:r>
          </w:p>
          <w:p w14:paraId="10C1CC94">
            <w:pPr>
              <w:rPr>
                <w:rFonts w:hint="eastAsia" w:ascii="宋体" w:hAnsi="宋体" w:eastAsia="宋体" w:cs="宋体"/>
                <w:sz w:val="21"/>
                <w:szCs w:val="21"/>
              </w:rPr>
            </w:pPr>
            <w:r>
              <w:rPr>
                <w:rFonts w:hint="eastAsia" w:ascii="宋体" w:hAnsi="宋体" w:eastAsia="宋体" w:cs="宋体"/>
                <w:sz w:val="21"/>
                <w:szCs w:val="21"/>
              </w:rPr>
              <w:t>2.泵箱尺寸</w:t>
            </w:r>
            <w:r>
              <w:rPr>
                <w:rFonts w:hint="eastAsia" w:ascii="宋体" w:hAnsi="宋体" w:eastAsia="宋体" w:cs="宋体"/>
                <w:sz w:val="21"/>
                <w:szCs w:val="21"/>
                <w:lang w:eastAsia="zh-CN"/>
              </w:rPr>
              <w:t>（偏差</w:t>
            </w:r>
            <w:r>
              <w:rPr>
                <w:rFonts w:hint="eastAsia" w:ascii="宋体" w:hAnsi="宋体" w:eastAsia="宋体" w:cs="宋体"/>
                <w:sz w:val="21"/>
                <w:szCs w:val="21"/>
              </w:rPr>
              <w:t>±</w:t>
            </w:r>
            <w:r>
              <w:rPr>
                <w:rFonts w:hint="eastAsia" w:ascii="宋体" w:hAnsi="宋体" w:eastAsia="宋体" w:cs="宋体"/>
                <w:sz w:val="21"/>
                <w:szCs w:val="21"/>
                <w:lang w:val="en-US" w:eastAsia="zh-CN"/>
              </w:rPr>
              <w:t>5%内</w:t>
            </w:r>
            <w:r>
              <w:rPr>
                <w:rFonts w:hint="eastAsia" w:ascii="宋体" w:hAnsi="宋体" w:eastAsia="宋体" w:cs="宋体"/>
                <w:sz w:val="21"/>
                <w:szCs w:val="21"/>
                <w:lang w:eastAsia="zh-CN"/>
              </w:rPr>
              <w:t>）</w:t>
            </w:r>
            <w:r>
              <w:rPr>
                <w:rFonts w:hint="eastAsia" w:ascii="宋体" w:hAnsi="宋体" w:eastAsia="宋体" w:cs="宋体"/>
                <w:sz w:val="21"/>
                <w:szCs w:val="21"/>
              </w:rPr>
              <w:t>：520</w:t>
            </w:r>
            <w:r>
              <w:rPr>
                <w:rFonts w:hint="eastAsia" w:ascii="宋体" w:hAnsi="宋体" w:cs="宋体"/>
                <w:sz w:val="21"/>
                <w:szCs w:val="21"/>
                <w:lang w:eastAsia="zh-CN"/>
              </w:rPr>
              <w:t>×</w:t>
            </w:r>
            <w:r>
              <w:rPr>
                <w:rFonts w:hint="eastAsia" w:ascii="宋体" w:hAnsi="宋体" w:eastAsia="宋体" w:cs="宋体"/>
                <w:sz w:val="21"/>
                <w:szCs w:val="21"/>
              </w:rPr>
              <w:t>350</w:t>
            </w:r>
            <w:r>
              <w:rPr>
                <w:rFonts w:hint="eastAsia" w:ascii="宋体" w:hAnsi="宋体" w:cs="宋体"/>
                <w:sz w:val="21"/>
                <w:szCs w:val="21"/>
                <w:lang w:eastAsia="zh-CN"/>
              </w:rPr>
              <w:t>×</w:t>
            </w:r>
            <w:r>
              <w:rPr>
                <w:rFonts w:hint="eastAsia" w:ascii="宋体" w:hAnsi="宋体" w:eastAsia="宋体" w:cs="宋体"/>
                <w:sz w:val="21"/>
                <w:szCs w:val="21"/>
              </w:rPr>
              <w:t>410</w:t>
            </w:r>
            <w:r>
              <w:rPr>
                <w:rFonts w:hint="eastAsia" w:ascii="宋体" w:hAnsi="宋体" w:cs="宋体"/>
                <w:sz w:val="21"/>
                <w:szCs w:val="21"/>
                <w:lang w:eastAsia="zh-CN"/>
              </w:rPr>
              <w:t>（</w:t>
            </w:r>
            <w:r>
              <w:rPr>
                <w:rFonts w:hint="eastAsia" w:ascii="宋体" w:hAnsi="宋体" w:eastAsia="宋体" w:cs="宋体"/>
                <w:sz w:val="21"/>
                <w:szCs w:val="21"/>
              </w:rPr>
              <w:t>mm</w:t>
            </w:r>
            <w:r>
              <w:rPr>
                <w:rFonts w:hint="eastAsia" w:ascii="宋体" w:hAnsi="宋体" w:cs="宋体"/>
                <w:sz w:val="21"/>
                <w:szCs w:val="21"/>
                <w:lang w:eastAsia="zh-CN"/>
              </w:rPr>
              <w:t>）</w:t>
            </w:r>
          </w:p>
          <w:p w14:paraId="17AC3C18">
            <w:pPr>
              <w:rPr>
                <w:rFonts w:hint="eastAsia" w:ascii="宋体" w:hAnsi="宋体" w:eastAsia="宋体" w:cs="宋体"/>
                <w:sz w:val="21"/>
                <w:szCs w:val="21"/>
              </w:rPr>
            </w:pPr>
            <w:r>
              <w:rPr>
                <w:rFonts w:hint="eastAsia" w:ascii="宋体" w:hAnsi="宋体" w:eastAsia="宋体" w:cs="宋体"/>
                <w:sz w:val="21"/>
                <w:szCs w:val="21"/>
              </w:rPr>
              <w:t>3.整机重量</w:t>
            </w:r>
            <w:r>
              <w:rPr>
                <w:rFonts w:hint="eastAsia" w:ascii="宋体" w:hAnsi="宋体" w:eastAsia="宋体" w:cs="宋体"/>
                <w:sz w:val="21"/>
                <w:szCs w:val="21"/>
                <w:lang w:eastAsia="zh-CN"/>
              </w:rPr>
              <w:t>（偏差</w:t>
            </w:r>
            <w:r>
              <w:rPr>
                <w:rFonts w:hint="eastAsia" w:ascii="宋体" w:hAnsi="宋体" w:eastAsia="宋体" w:cs="宋体"/>
                <w:sz w:val="21"/>
                <w:szCs w:val="21"/>
              </w:rPr>
              <w:t>±</w:t>
            </w:r>
            <w:r>
              <w:rPr>
                <w:rFonts w:hint="eastAsia" w:ascii="宋体" w:hAnsi="宋体" w:eastAsia="宋体" w:cs="宋体"/>
                <w:sz w:val="21"/>
                <w:szCs w:val="21"/>
                <w:lang w:val="en-US" w:eastAsia="zh-CN"/>
              </w:rPr>
              <w:t>5%内</w:t>
            </w:r>
            <w:r>
              <w:rPr>
                <w:rFonts w:hint="eastAsia" w:ascii="宋体" w:hAnsi="宋体" w:eastAsia="宋体" w:cs="宋体"/>
                <w:sz w:val="21"/>
                <w:szCs w:val="21"/>
                <w:lang w:eastAsia="zh-CN"/>
              </w:rPr>
              <w:t>）</w:t>
            </w:r>
            <w:r>
              <w:rPr>
                <w:rFonts w:hint="eastAsia" w:ascii="宋体" w:hAnsi="宋体" w:eastAsia="宋体" w:cs="宋体"/>
                <w:sz w:val="21"/>
                <w:szCs w:val="21"/>
              </w:rPr>
              <w:t>：35Kg</w:t>
            </w:r>
          </w:p>
          <w:p w14:paraId="7349536F">
            <w:pPr>
              <w:rPr>
                <w:rFonts w:hint="eastAsia" w:ascii="宋体" w:hAnsi="宋体" w:eastAsia="宋体" w:cs="宋体"/>
                <w:sz w:val="21"/>
                <w:szCs w:val="21"/>
              </w:rPr>
            </w:pPr>
            <w:r>
              <w:rPr>
                <w:rFonts w:hint="eastAsia" w:ascii="宋体" w:hAnsi="宋体" w:eastAsia="宋体" w:cs="宋体"/>
                <w:sz w:val="21"/>
                <w:szCs w:val="21"/>
              </w:rPr>
              <w:t>4.最大功率：≤900W</w:t>
            </w:r>
          </w:p>
          <w:p w14:paraId="28B32B4B">
            <w:pPr>
              <w:rPr>
                <w:rFonts w:hint="eastAsia" w:ascii="宋体" w:hAnsi="宋体" w:eastAsia="宋体" w:cs="宋体"/>
                <w:sz w:val="21"/>
                <w:szCs w:val="21"/>
              </w:rPr>
            </w:pPr>
            <w:r>
              <w:rPr>
                <w:rFonts w:hint="eastAsia" w:ascii="宋体" w:hAnsi="宋体" w:eastAsia="宋体" w:cs="宋体"/>
                <w:sz w:val="21"/>
                <w:szCs w:val="21"/>
              </w:rPr>
              <w:t>5.电机转速：≥2880转/分钟</w:t>
            </w:r>
          </w:p>
          <w:p w14:paraId="680B35AA">
            <w:pPr>
              <w:rPr>
                <w:rFonts w:hint="eastAsia" w:ascii="宋体" w:hAnsi="宋体" w:eastAsia="宋体" w:cs="宋体"/>
                <w:sz w:val="21"/>
                <w:szCs w:val="21"/>
              </w:rPr>
            </w:pPr>
            <w:r>
              <w:rPr>
                <w:rFonts w:hint="eastAsia" w:ascii="宋体" w:hAnsi="宋体" w:eastAsia="宋体" w:cs="宋体"/>
                <w:sz w:val="21"/>
                <w:szCs w:val="21"/>
              </w:rPr>
              <w:t>6.工作环境：5℃～40℃湿度：≤95%</w:t>
            </w:r>
          </w:p>
          <w:p w14:paraId="2E744BCF">
            <w:pPr>
              <w:rPr>
                <w:rFonts w:hint="eastAsia" w:ascii="宋体" w:hAnsi="宋体" w:eastAsia="宋体" w:cs="宋体"/>
                <w:sz w:val="21"/>
                <w:szCs w:val="21"/>
              </w:rPr>
            </w:pPr>
            <w:r>
              <w:rPr>
                <w:rFonts w:hint="eastAsia" w:ascii="宋体" w:hAnsi="宋体" w:eastAsia="宋体" w:cs="宋体"/>
                <w:sz w:val="21"/>
                <w:szCs w:val="21"/>
              </w:rPr>
              <w:t>7.工作电压：220v，50hz</w:t>
            </w:r>
          </w:p>
          <w:p w14:paraId="23D040E2">
            <w:pPr>
              <w:rPr>
                <w:rFonts w:hint="eastAsia" w:ascii="宋体" w:hAnsi="宋体" w:eastAsia="宋体" w:cs="宋体"/>
                <w:sz w:val="21"/>
                <w:szCs w:val="21"/>
              </w:rPr>
            </w:pPr>
            <w:r>
              <w:rPr>
                <w:rFonts w:hint="eastAsia" w:ascii="宋体" w:hAnsi="宋体" w:eastAsia="宋体" w:cs="宋体"/>
                <w:sz w:val="21"/>
                <w:szCs w:val="21"/>
              </w:rPr>
              <w:t>二、功能特点</w:t>
            </w:r>
          </w:p>
          <w:p w14:paraId="6A5DD80A">
            <w:pPr>
              <w:rPr>
                <w:rFonts w:hint="eastAsia" w:ascii="宋体" w:hAnsi="宋体" w:eastAsia="宋体" w:cs="宋体"/>
                <w:sz w:val="21"/>
                <w:szCs w:val="21"/>
              </w:rPr>
            </w:pPr>
            <w:r>
              <w:rPr>
                <w:rFonts w:hint="eastAsia" w:ascii="宋体" w:hAnsi="宋体" w:eastAsia="宋体" w:cs="宋体"/>
                <w:sz w:val="21"/>
                <w:szCs w:val="21"/>
              </w:rPr>
              <w:t>1.独立台阶孔设计，置床效率大幅提升：孔位采用独立台阶孔设计，吸粒位置更准确，置床更规整，较手工置床效率提升37倍以上</w:t>
            </w:r>
          </w:p>
          <w:p w14:paraId="6F9DF819">
            <w:pPr>
              <w:rPr>
                <w:rFonts w:hint="eastAsia" w:ascii="宋体" w:hAnsi="宋体" w:eastAsia="宋体" w:cs="宋体"/>
                <w:sz w:val="21"/>
                <w:szCs w:val="21"/>
              </w:rPr>
            </w:pPr>
            <w:r>
              <w:rPr>
                <w:rFonts w:hint="eastAsia" w:ascii="宋体" w:hAnsi="宋体" w:eastAsia="宋体" w:cs="宋体"/>
                <w:sz w:val="21"/>
                <w:szCs w:val="21"/>
              </w:rPr>
              <w:t>2.高速真空泵设计：吸力强劲，噪音小，冷却时间短，可长时间进行吸种工作</w:t>
            </w:r>
          </w:p>
          <w:p w14:paraId="4F9D33FF">
            <w:pPr>
              <w:rPr>
                <w:rFonts w:hint="eastAsia" w:ascii="宋体" w:hAnsi="宋体" w:eastAsia="宋体" w:cs="宋体"/>
                <w:sz w:val="21"/>
                <w:szCs w:val="21"/>
              </w:rPr>
            </w:pPr>
            <w:r>
              <w:rPr>
                <w:rFonts w:hint="eastAsia" w:ascii="宋体" w:hAnsi="宋体" w:eastAsia="宋体" w:cs="宋体"/>
                <w:sz w:val="21"/>
                <w:szCs w:val="21"/>
              </w:rPr>
              <w:t>3.多个吸种头，满足不同需求：配有5个吸种头，可满足不同大小、形状的种子吸种，其大小规格与国内通用的发芽盒相配套</w:t>
            </w:r>
          </w:p>
          <w:p w14:paraId="149518A3">
            <w:pPr>
              <w:rPr>
                <w:rFonts w:hint="eastAsia" w:ascii="宋体" w:hAnsi="宋体" w:eastAsia="宋体" w:cs="宋体"/>
                <w:sz w:val="21"/>
                <w:szCs w:val="21"/>
              </w:rPr>
            </w:pPr>
            <w:r>
              <w:rPr>
                <w:rFonts w:hint="eastAsia" w:ascii="宋体" w:hAnsi="宋体" w:eastAsia="宋体" w:cs="宋体"/>
                <w:sz w:val="21"/>
                <w:szCs w:val="21"/>
              </w:rPr>
              <w:t>4.吸力可按需调节，达到最佳效果：机身外部置有吸力调节装置，可单独固定在实验台上，根据不同大小的种子来调节吸力</w:t>
            </w:r>
          </w:p>
          <w:p w14:paraId="46C53B42">
            <w:pPr>
              <w:rPr>
                <w:rFonts w:hint="eastAsia" w:ascii="宋体" w:hAnsi="宋体" w:eastAsia="宋体" w:cs="宋体"/>
                <w:sz w:val="21"/>
                <w:szCs w:val="21"/>
              </w:rPr>
            </w:pPr>
            <w:r>
              <w:rPr>
                <w:rFonts w:hint="eastAsia" w:ascii="宋体" w:hAnsi="宋体" w:eastAsia="宋体" w:cs="宋体"/>
                <w:sz w:val="21"/>
                <w:szCs w:val="21"/>
              </w:rPr>
              <w:t>5.杂物清理方便：机身内置污物隔离袋，能轻松清除吸进机身的杂物和水分</w:t>
            </w:r>
          </w:p>
          <w:p w14:paraId="33C67128">
            <w:pPr>
              <w:rPr>
                <w:rFonts w:hint="eastAsia" w:ascii="宋体" w:hAnsi="宋体" w:eastAsia="宋体" w:cs="宋体"/>
                <w:sz w:val="21"/>
                <w:szCs w:val="21"/>
              </w:rPr>
            </w:pPr>
            <w:r>
              <w:rPr>
                <w:rFonts w:hint="eastAsia" w:ascii="宋体" w:hAnsi="宋体" w:eastAsia="宋体" w:cs="宋体"/>
                <w:sz w:val="21"/>
                <w:szCs w:val="21"/>
              </w:rPr>
              <w:t>6.移动方便：置床台和泵箱底部装有滑轮，可移动灵活</w:t>
            </w:r>
          </w:p>
          <w:p w14:paraId="74DCB7E2">
            <w:pPr>
              <w:rPr>
                <w:rFonts w:hint="eastAsia" w:ascii="宋体" w:hAnsi="宋体" w:eastAsia="宋体" w:cs="宋体"/>
                <w:sz w:val="21"/>
                <w:szCs w:val="21"/>
              </w:rPr>
            </w:pPr>
            <w:r>
              <w:rPr>
                <w:rFonts w:hint="eastAsia" w:ascii="宋体" w:hAnsi="宋体" w:eastAsia="宋体" w:cs="宋体"/>
                <w:sz w:val="21"/>
                <w:szCs w:val="21"/>
              </w:rPr>
              <w:t>7.漏电防护功能：能够及时检测和阻止漏电现象，有效降低漏电造成的安全风险</w:t>
            </w:r>
          </w:p>
          <w:p w14:paraId="3736B6EE">
            <w:pPr>
              <w:rPr>
                <w:rFonts w:hint="eastAsia" w:ascii="宋体" w:hAnsi="宋体" w:eastAsia="宋体" w:cs="宋体"/>
                <w:sz w:val="21"/>
                <w:szCs w:val="21"/>
              </w:rPr>
            </w:pPr>
            <w:r>
              <w:rPr>
                <w:rFonts w:hint="eastAsia" w:ascii="宋体" w:hAnsi="宋体" w:eastAsia="宋体" w:cs="宋体"/>
                <w:sz w:val="21"/>
                <w:szCs w:val="21"/>
              </w:rPr>
              <w:t>8.计数app要求：具备手机APP自动计数识别功能</w:t>
            </w:r>
          </w:p>
          <w:p w14:paraId="722A942B">
            <w:pPr>
              <w:rPr>
                <w:rFonts w:hint="eastAsia" w:ascii="宋体" w:hAnsi="宋体" w:eastAsia="宋体" w:cs="宋体"/>
                <w:sz w:val="21"/>
                <w:szCs w:val="21"/>
              </w:rPr>
            </w:pPr>
            <w:r>
              <w:rPr>
                <w:rFonts w:hint="eastAsia" w:ascii="宋体" w:hAnsi="宋体" w:eastAsia="宋体" w:cs="宋体"/>
                <w:sz w:val="21"/>
                <w:szCs w:val="21"/>
              </w:rPr>
              <w:t>9.可图像识别：拍摄照片后，软件自动计算种子数量，输出种子数量及千粒重结果</w:t>
            </w:r>
          </w:p>
          <w:p w14:paraId="41590364">
            <w:pPr>
              <w:rPr>
                <w:rFonts w:hint="eastAsia" w:ascii="宋体" w:hAnsi="宋体" w:eastAsia="宋体" w:cs="宋体"/>
                <w:sz w:val="21"/>
                <w:szCs w:val="21"/>
              </w:rPr>
            </w:pPr>
            <w:r>
              <w:rPr>
                <w:rFonts w:hint="eastAsia" w:ascii="宋体" w:hAnsi="宋体" w:eastAsia="宋体" w:cs="宋体"/>
                <w:sz w:val="21"/>
                <w:szCs w:val="21"/>
              </w:rPr>
              <w:t>10.手动修正使计数更精确：算法识别度高，基本上能识别所有的种子，紧挨或者太远造成误差计算的种子，可通过“+”“_”做相应的修正，使数粒准确性达100%</w:t>
            </w:r>
          </w:p>
          <w:p w14:paraId="1BB74CB7">
            <w:pPr>
              <w:rPr>
                <w:rFonts w:hint="eastAsia" w:ascii="宋体" w:hAnsi="宋体" w:eastAsia="宋体" w:cs="宋体"/>
                <w:sz w:val="21"/>
                <w:szCs w:val="21"/>
              </w:rPr>
            </w:pPr>
            <w:r>
              <w:rPr>
                <w:rFonts w:hint="eastAsia" w:ascii="宋体" w:hAnsi="宋体" w:eastAsia="宋体" w:cs="宋体"/>
                <w:sz w:val="21"/>
                <w:szCs w:val="21"/>
              </w:rPr>
              <w:t>11.数据查看方式多样化：可在系统软件中查看报表或者导出EXCEL表格查看数据</w:t>
            </w:r>
          </w:p>
          <w:p w14:paraId="5748244C">
            <w:pPr>
              <w:rPr>
                <w:rFonts w:hint="eastAsia" w:ascii="宋体" w:hAnsi="宋体" w:eastAsia="宋体" w:cs="宋体"/>
                <w:sz w:val="21"/>
                <w:szCs w:val="21"/>
              </w:rPr>
            </w:pPr>
            <w:r>
              <w:rPr>
                <w:rFonts w:hint="eastAsia" w:ascii="宋体" w:hAnsi="宋体" w:eastAsia="宋体" w:cs="宋体"/>
                <w:sz w:val="21"/>
                <w:szCs w:val="21"/>
              </w:rPr>
              <w:t>12.APP计数软件参数：万能算法，支持各种粒型种子：玉米、水稻、小麦、大豆油菜籽、花生、芝麻、绿豆、红豆、草籽等</w:t>
            </w:r>
          </w:p>
          <w:p w14:paraId="24CD3F37">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13.数粒精度：圆形种子±1，长形种子±5，修正后可达100%</w:t>
            </w:r>
          </w:p>
        </w:tc>
      </w:tr>
      <w:tr w14:paraId="3793A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7654FF68">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11</w:t>
            </w:r>
          </w:p>
        </w:tc>
        <w:tc>
          <w:tcPr>
            <w:tcW w:w="981" w:type="dxa"/>
            <w:tcBorders>
              <w:top w:val="single" w:color="000000" w:sz="4" w:space="0"/>
              <w:left w:val="nil"/>
              <w:bottom w:val="single" w:color="000000" w:sz="4" w:space="0"/>
              <w:right w:val="single" w:color="000000" w:sz="4" w:space="0"/>
            </w:tcBorders>
            <w:vAlign w:val="center"/>
          </w:tcPr>
          <w:p w14:paraId="753EB845">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种子老化箱</w:t>
            </w:r>
          </w:p>
        </w:tc>
        <w:tc>
          <w:tcPr>
            <w:tcW w:w="648" w:type="dxa"/>
            <w:tcBorders>
              <w:top w:val="single" w:color="000000" w:sz="4" w:space="0"/>
              <w:left w:val="nil"/>
              <w:bottom w:val="single" w:color="000000" w:sz="4" w:space="0"/>
              <w:right w:val="single" w:color="000000" w:sz="4" w:space="0"/>
            </w:tcBorders>
            <w:vAlign w:val="center"/>
          </w:tcPr>
          <w:p w14:paraId="157410FA">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396C2DDE">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6698" w:type="dxa"/>
            <w:tcBorders>
              <w:top w:val="single" w:color="000000" w:sz="4" w:space="0"/>
              <w:left w:val="nil"/>
              <w:bottom w:val="single" w:color="000000" w:sz="4" w:space="0"/>
              <w:right w:val="single" w:color="000000" w:sz="4" w:space="0"/>
            </w:tcBorders>
            <w:vAlign w:val="center"/>
          </w:tcPr>
          <w:p w14:paraId="24AC6AAE">
            <w:pPr>
              <w:rPr>
                <w:rFonts w:hint="eastAsia" w:ascii="宋体" w:hAnsi="宋体" w:eastAsia="宋体" w:cs="宋体"/>
                <w:sz w:val="21"/>
                <w:szCs w:val="21"/>
              </w:rPr>
            </w:pPr>
            <w:r>
              <w:rPr>
                <w:rFonts w:hint="eastAsia" w:ascii="宋体" w:hAnsi="宋体" w:eastAsia="宋体" w:cs="宋体"/>
                <w:sz w:val="21"/>
                <w:szCs w:val="21"/>
              </w:rPr>
              <w:t>1.电脑控温，控温范围：≤65℃</w:t>
            </w:r>
          </w:p>
          <w:p w14:paraId="2968F14E">
            <w:pPr>
              <w:rPr>
                <w:rFonts w:hint="eastAsia" w:ascii="宋体" w:hAnsi="宋体" w:eastAsia="宋体" w:cs="宋体"/>
                <w:sz w:val="21"/>
                <w:szCs w:val="21"/>
              </w:rPr>
            </w:pPr>
            <w:r>
              <w:rPr>
                <w:rFonts w:hint="eastAsia" w:ascii="宋体" w:hAnsi="宋体" w:eastAsia="宋体" w:cs="宋体"/>
                <w:sz w:val="21"/>
                <w:szCs w:val="21"/>
              </w:rPr>
              <w:t>2.温度分辨率：≤0.1℃</w:t>
            </w:r>
          </w:p>
          <w:p w14:paraId="7E9E47B8">
            <w:pPr>
              <w:rPr>
                <w:rFonts w:hint="eastAsia" w:ascii="宋体" w:hAnsi="宋体" w:eastAsia="宋体" w:cs="宋体"/>
                <w:sz w:val="21"/>
                <w:szCs w:val="21"/>
              </w:rPr>
            </w:pPr>
            <w:r>
              <w:rPr>
                <w:rFonts w:hint="eastAsia" w:ascii="宋体" w:hAnsi="宋体" w:eastAsia="宋体" w:cs="宋体"/>
                <w:sz w:val="21"/>
                <w:szCs w:val="21"/>
              </w:rPr>
              <w:t>3.温度波动度：±0.5℃</w:t>
            </w:r>
          </w:p>
          <w:p w14:paraId="539E4DE3">
            <w:pPr>
              <w:rPr>
                <w:rFonts w:hint="eastAsia" w:ascii="宋体" w:hAnsi="宋体" w:eastAsia="宋体" w:cs="宋体"/>
                <w:sz w:val="21"/>
                <w:szCs w:val="21"/>
              </w:rPr>
            </w:pPr>
            <w:r>
              <w:rPr>
                <w:rFonts w:hint="eastAsia" w:ascii="宋体" w:hAnsi="宋体" w:eastAsia="宋体" w:cs="宋体"/>
                <w:sz w:val="21"/>
                <w:szCs w:val="21"/>
              </w:rPr>
              <w:t>4.温度均匀度：±1℃</w:t>
            </w:r>
          </w:p>
          <w:p w14:paraId="57DDF07F">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5.功率：≤100W</w:t>
            </w:r>
          </w:p>
        </w:tc>
      </w:tr>
      <w:tr w14:paraId="34FE4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90BE9C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12</w:t>
            </w:r>
          </w:p>
        </w:tc>
        <w:tc>
          <w:tcPr>
            <w:tcW w:w="981" w:type="dxa"/>
            <w:tcBorders>
              <w:top w:val="single" w:color="000000" w:sz="4" w:space="0"/>
              <w:left w:val="nil"/>
              <w:bottom w:val="single" w:color="000000" w:sz="4" w:space="0"/>
              <w:right w:val="single" w:color="000000" w:sz="4" w:space="0"/>
            </w:tcBorders>
            <w:vAlign w:val="center"/>
          </w:tcPr>
          <w:p w14:paraId="1757DFC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全自动高压灭菌锅</w:t>
            </w:r>
          </w:p>
        </w:tc>
        <w:tc>
          <w:tcPr>
            <w:tcW w:w="648" w:type="dxa"/>
            <w:tcBorders>
              <w:top w:val="single" w:color="000000" w:sz="4" w:space="0"/>
              <w:left w:val="nil"/>
              <w:bottom w:val="single" w:color="000000" w:sz="4" w:space="0"/>
              <w:right w:val="single" w:color="000000" w:sz="4" w:space="0"/>
            </w:tcBorders>
            <w:vAlign w:val="center"/>
          </w:tcPr>
          <w:p w14:paraId="249C09BD">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26DFB90B">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6698" w:type="dxa"/>
            <w:tcBorders>
              <w:top w:val="single" w:color="000000" w:sz="4" w:space="0"/>
              <w:left w:val="nil"/>
              <w:bottom w:val="single" w:color="000000" w:sz="4" w:space="0"/>
              <w:right w:val="single" w:color="000000" w:sz="4" w:space="0"/>
            </w:tcBorders>
            <w:vAlign w:val="center"/>
          </w:tcPr>
          <w:p w14:paraId="67A19FF9">
            <w:pPr>
              <w:rPr>
                <w:rFonts w:hint="eastAsia" w:ascii="宋体" w:hAnsi="宋体" w:eastAsia="宋体" w:cs="宋体"/>
                <w:sz w:val="21"/>
                <w:szCs w:val="21"/>
              </w:rPr>
            </w:pPr>
            <w:r>
              <w:rPr>
                <w:rFonts w:hint="eastAsia" w:ascii="宋体" w:hAnsi="宋体" w:eastAsia="宋体" w:cs="宋体"/>
                <w:sz w:val="21"/>
                <w:szCs w:val="21"/>
              </w:rPr>
              <w:t>▲1.容积：在55升～75升范围内</w:t>
            </w:r>
          </w:p>
          <w:p w14:paraId="598A7208">
            <w:pPr>
              <w:rPr>
                <w:rFonts w:hint="eastAsia" w:ascii="宋体" w:hAnsi="宋体" w:eastAsia="宋体" w:cs="宋体"/>
                <w:sz w:val="21"/>
                <w:szCs w:val="21"/>
              </w:rPr>
            </w:pPr>
            <w:r>
              <w:rPr>
                <w:rFonts w:hint="eastAsia" w:ascii="宋体" w:hAnsi="宋体" w:eastAsia="宋体" w:cs="宋体"/>
                <w:sz w:val="21"/>
                <w:szCs w:val="21"/>
              </w:rPr>
              <w:t>2.设计压力和温度：设计压力≧0.38Mpa，设计温度≧150℃，安全阀整定压力≧0.26Mpa</w:t>
            </w:r>
          </w:p>
          <w:p w14:paraId="6AAE24AB">
            <w:pPr>
              <w:rPr>
                <w:rFonts w:hint="eastAsia" w:ascii="宋体" w:hAnsi="宋体" w:eastAsia="宋体" w:cs="宋体"/>
                <w:sz w:val="21"/>
                <w:szCs w:val="21"/>
              </w:rPr>
            </w:pPr>
            <w:r>
              <w:rPr>
                <w:rFonts w:hint="eastAsia" w:ascii="宋体" w:hAnsi="宋体" w:eastAsia="宋体" w:cs="宋体"/>
                <w:sz w:val="21"/>
                <w:szCs w:val="21"/>
              </w:rPr>
              <w:t>3.温度设定：灭菌温度范围≥105℃，溶解温度范围60℃～102℃，保温温度范围45℃～65℃，解锁温度范围60℃～95℃</w:t>
            </w:r>
          </w:p>
          <w:p w14:paraId="14E2C1CB">
            <w:pPr>
              <w:rPr>
                <w:rFonts w:hint="eastAsia" w:ascii="宋体" w:hAnsi="宋体" w:eastAsia="宋体" w:cs="宋体"/>
                <w:sz w:val="21"/>
                <w:szCs w:val="21"/>
              </w:rPr>
            </w:pPr>
            <w:r>
              <w:rPr>
                <w:rFonts w:hint="eastAsia" w:ascii="宋体" w:hAnsi="宋体" w:eastAsia="宋体" w:cs="宋体"/>
                <w:sz w:val="21"/>
                <w:szCs w:val="21"/>
              </w:rPr>
              <w:t>4.排气方式：100℃～120℃可设置</w:t>
            </w:r>
          </w:p>
          <w:p w14:paraId="5A5DC363">
            <w:pPr>
              <w:rPr>
                <w:rFonts w:hint="eastAsia" w:ascii="宋体" w:hAnsi="宋体" w:eastAsia="宋体" w:cs="宋体"/>
                <w:sz w:val="21"/>
                <w:szCs w:val="21"/>
              </w:rPr>
            </w:pPr>
            <w:r>
              <w:rPr>
                <w:rFonts w:hint="eastAsia" w:ascii="宋体" w:hAnsi="宋体" w:eastAsia="宋体" w:cs="宋体"/>
                <w:sz w:val="21"/>
                <w:szCs w:val="21"/>
              </w:rPr>
              <w:t>5.灭菌模式：A1、A2液体、A3液体废弃物，B1、B2液体+保温，C1溶解，C2溶解+保温，D1器械，D2器械，F1自清洗</w:t>
            </w:r>
          </w:p>
          <w:p w14:paraId="304CF4D3">
            <w:pPr>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cs="宋体"/>
                <w:sz w:val="21"/>
                <w:szCs w:val="21"/>
                <w:lang w:eastAsia="zh-CN"/>
              </w:rPr>
              <w:t>具有</w:t>
            </w:r>
            <w:r>
              <w:rPr>
                <w:rFonts w:hint="eastAsia" w:ascii="宋体" w:hAnsi="宋体" w:eastAsia="宋体" w:cs="宋体"/>
                <w:sz w:val="21"/>
                <w:szCs w:val="21"/>
              </w:rPr>
              <w:t>灭菌、保温、溶解功能：带灭菌后保温功能，以防止琼脂糖灭菌后降温固化无法分装</w:t>
            </w:r>
          </w:p>
          <w:p w14:paraId="66F86C15">
            <w:pPr>
              <w:rPr>
                <w:rFonts w:hint="eastAsia" w:ascii="宋体" w:hAnsi="宋体" w:eastAsia="宋体" w:cs="宋体"/>
                <w:sz w:val="21"/>
                <w:szCs w:val="21"/>
              </w:rPr>
            </w:pPr>
            <w:r>
              <w:rPr>
                <w:rFonts w:hint="eastAsia" w:ascii="宋体" w:hAnsi="宋体" w:eastAsia="宋体" w:cs="宋体"/>
                <w:sz w:val="21"/>
                <w:szCs w:val="21"/>
              </w:rPr>
              <w:t>▲7.F0值功能：内置F0值计算并生成灭菌报告，可预设过程F0值或灭菌F0值两种计算方式；可在灭菌时间过长时依据灭菌对象的F0值直接结束灭菌</w:t>
            </w:r>
          </w:p>
          <w:p w14:paraId="68070615">
            <w:pPr>
              <w:rPr>
                <w:rFonts w:hint="eastAsia" w:ascii="宋体" w:hAnsi="宋体" w:eastAsia="宋体" w:cs="宋体"/>
                <w:sz w:val="21"/>
                <w:szCs w:val="21"/>
              </w:rPr>
            </w:pPr>
            <w:r>
              <w:rPr>
                <w:rFonts w:hint="eastAsia" w:ascii="宋体" w:hAnsi="宋体" w:eastAsia="宋体" w:cs="宋体"/>
                <w:sz w:val="21"/>
                <w:szCs w:val="21"/>
              </w:rPr>
              <w:t>8.预热温度设定范围：45℃～80℃可设定，预约和预热同时启用时，预约倒计时结束前60分钟自动开始预热、单预热时用户按下灭菌启动键开始预热</w:t>
            </w:r>
          </w:p>
          <w:p w14:paraId="2F22C316">
            <w:pPr>
              <w:rPr>
                <w:rFonts w:hint="eastAsia" w:ascii="宋体" w:hAnsi="宋体" w:eastAsia="宋体" w:cs="宋体"/>
                <w:sz w:val="21"/>
                <w:szCs w:val="21"/>
              </w:rPr>
            </w:pPr>
            <w:r>
              <w:rPr>
                <w:rFonts w:hint="eastAsia" w:ascii="宋体" w:hAnsi="宋体" w:eastAsia="宋体" w:cs="宋体"/>
                <w:sz w:val="21"/>
                <w:szCs w:val="21"/>
              </w:rPr>
              <w:t>9.具有在线存储系统功能：可在线存储3年或2000次以上灭菌报告，并可U盘导出灭菌报告并生成PDF格式的电子数据，12组可编辑修改程序参数并可保存，断电记忆不丢失</w:t>
            </w:r>
          </w:p>
          <w:p w14:paraId="68326F95">
            <w:pPr>
              <w:rPr>
                <w:rFonts w:hint="eastAsia" w:ascii="宋体" w:hAnsi="宋体" w:eastAsia="宋体" w:cs="宋体"/>
                <w:sz w:val="21"/>
                <w:szCs w:val="21"/>
              </w:rPr>
            </w:pPr>
            <w:r>
              <w:rPr>
                <w:rFonts w:hint="eastAsia" w:ascii="宋体" w:hAnsi="宋体" w:eastAsia="宋体" w:cs="宋体"/>
                <w:sz w:val="21"/>
                <w:szCs w:val="21"/>
              </w:rPr>
              <w:t>10.预约功能：可预约设定倒计时，定时时间2分钟-99小时99分钟</w:t>
            </w:r>
          </w:p>
          <w:p w14:paraId="22E06E3F">
            <w:pPr>
              <w:rPr>
                <w:rFonts w:hint="eastAsia" w:ascii="宋体" w:hAnsi="宋体" w:eastAsia="宋体" w:cs="宋体"/>
                <w:sz w:val="21"/>
                <w:szCs w:val="21"/>
              </w:rPr>
            </w:pPr>
            <w:r>
              <w:rPr>
                <w:rFonts w:hint="eastAsia" w:ascii="宋体" w:hAnsi="宋体" w:eastAsia="宋体" w:cs="宋体"/>
                <w:sz w:val="21"/>
                <w:szCs w:val="21"/>
              </w:rPr>
              <w:t>▲11.具有自动补水功能：内置蓄水箱，未达到灭菌前实时检测缺水状态，灭菌过程中高压补水确保灭菌顺利完成，不会因为缺水停机耽误实验</w:t>
            </w:r>
          </w:p>
          <w:p w14:paraId="62C80AF8">
            <w:pPr>
              <w:rPr>
                <w:rFonts w:hint="eastAsia" w:ascii="宋体" w:hAnsi="宋体" w:eastAsia="宋体" w:cs="宋体"/>
                <w:sz w:val="21"/>
                <w:szCs w:val="21"/>
              </w:rPr>
            </w:pPr>
            <w:r>
              <w:rPr>
                <w:rFonts w:hint="eastAsia" w:ascii="宋体" w:hAnsi="宋体" w:eastAsia="宋体" w:cs="宋体"/>
                <w:sz w:val="21"/>
                <w:szCs w:val="21"/>
              </w:rPr>
              <w:t>▲12.具有废汽处理及过水收集功能：内置紫铜盘管冷凝和废弃收集壶过水收集，汽水循环灭菌期间不外排蒸汽，降压排气蒸汽收集减少蒸汽溢出，保证环境清洁干燥</w:t>
            </w:r>
          </w:p>
          <w:p w14:paraId="3020FAD0">
            <w:pPr>
              <w:rPr>
                <w:rFonts w:hint="eastAsia" w:ascii="宋体" w:hAnsi="宋体" w:eastAsia="宋体" w:cs="宋体"/>
                <w:sz w:val="21"/>
                <w:szCs w:val="21"/>
              </w:rPr>
            </w:pPr>
            <w:r>
              <w:rPr>
                <w:rFonts w:hint="eastAsia" w:ascii="宋体" w:hAnsi="宋体" w:eastAsia="宋体" w:cs="宋体"/>
                <w:sz w:val="21"/>
                <w:szCs w:val="21"/>
              </w:rPr>
              <w:t>13.电源“POWER”：220V±10%/50HZ±1%，11A，≤2500W</w:t>
            </w:r>
          </w:p>
          <w:p w14:paraId="0A6A4462">
            <w:pPr>
              <w:rPr>
                <w:rFonts w:hint="eastAsia" w:ascii="宋体" w:hAnsi="宋体" w:eastAsia="宋体" w:cs="宋体"/>
                <w:sz w:val="21"/>
                <w:szCs w:val="21"/>
              </w:rPr>
            </w:pPr>
            <w:r>
              <w:rPr>
                <w:rFonts w:hint="eastAsia" w:ascii="宋体" w:hAnsi="宋体" w:eastAsia="宋体" w:cs="宋体"/>
                <w:sz w:val="21"/>
                <w:szCs w:val="21"/>
              </w:rPr>
              <w:t>▲14.设备安全状态：无需靠近设备即可知运行状态，</w:t>
            </w:r>
            <w:r>
              <w:rPr>
                <w:rFonts w:hint="eastAsia" w:ascii="宋体" w:hAnsi="宋体" w:eastAsia="宋体" w:cs="宋体"/>
                <w:sz w:val="21"/>
                <w:szCs w:val="21"/>
                <w:lang w:eastAsia="zh-CN"/>
              </w:rPr>
              <w:t>可</w:t>
            </w:r>
            <w:r>
              <w:rPr>
                <w:rFonts w:hint="eastAsia" w:ascii="宋体" w:hAnsi="宋体" w:eastAsia="宋体" w:cs="宋体"/>
                <w:sz w:val="21"/>
                <w:szCs w:val="21"/>
              </w:rPr>
              <w:t>自动显示故障代码并蜂鸣报警</w:t>
            </w:r>
          </w:p>
          <w:p w14:paraId="68552CD8">
            <w:pPr>
              <w:rPr>
                <w:rFonts w:hint="eastAsia" w:ascii="宋体" w:hAnsi="宋体" w:eastAsia="宋体" w:cs="宋体"/>
                <w:sz w:val="21"/>
                <w:szCs w:val="21"/>
              </w:rPr>
            </w:pPr>
            <w:r>
              <w:rPr>
                <w:rFonts w:hint="eastAsia" w:ascii="宋体" w:hAnsi="宋体" w:eastAsia="宋体" w:cs="宋体"/>
                <w:sz w:val="21"/>
                <w:szCs w:val="21"/>
              </w:rPr>
              <w:t>▲15.具有安全联锁保护装置</w:t>
            </w:r>
          </w:p>
          <w:p w14:paraId="53BD4862">
            <w:pPr>
              <w:rPr>
                <w:rFonts w:hint="eastAsia" w:ascii="宋体" w:hAnsi="宋体" w:eastAsia="宋体" w:cs="宋体"/>
                <w:sz w:val="21"/>
                <w:szCs w:val="21"/>
              </w:rPr>
            </w:pPr>
            <w:r>
              <w:rPr>
                <w:rFonts w:hint="eastAsia" w:ascii="宋体" w:hAnsi="宋体" w:eastAsia="宋体" w:cs="宋体"/>
                <w:sz w:val="21"/>
                <w:szCs w:val="21"/>
              </w:rPr>
              <w:t>16.具有缺水自动保护功能：配备防干烧保护干烧自动切断加热并报警，同时机械切断加热回路，运行过程中水位传感器实时监测胆内用水缺水自动返回待机界面</w:t>
            </w:r>
          </w:p>
          <w:p w14:paraId="594EB237">
            <w:pPr>
              <w:rPr>
                <w:rFonts w:hint="eastAsia" w:ascii="宋体" w:hAnsi="宋体" w:eastAsia="宋体" w:cs="宋体"/>
                <w:sz w:val="21"/>
                <w:szCs w:val="21"/>
              </w:rPr>
            </w:pPr>
            <w:r>
              <w:rPr>
                <w:rFonts w:hint="eastAsia" w:ascii="宋体" w:hAnsi="宋体" w:eastAsia="宋体" w:cs="宋体"/>
                <w:sz w:val="21"/>
                <w:szCs w:val="21"/>
              </w:rPr>
              <w:t>17.超压与超温保护：压力和温度三重保护，若出现超过设定的压力或升温异常或温度上升无压力迅速加热断电并报警提示</w:t>
            </w:r>
          </w:p>
          <w:p w14:paraId="241DF928">
            <w:pPr>
              <w:rPr>
                <w:rFonts w:hint="eastAsia" w:ascii="宋体" w:hAnsi="宋体" w:eastAsia="宋体" w:cs="宋体"/>
                <w:sz w:val="21"/>
                <w:szCs w:val="21"/>
              </w:rPr>
            </w:pPr>
            <w:r>
              <w:rPr>
                <w:rFonts w:hint="eastAsia" w:ascii="宋体" w:hAnsi="宋体" w:eastAsia="宋体" w:cs="宋体"/>
                <w:sz w:val="21"/>
                <w:szCs w:val="21"/>
              </w:rPr>
              <w:t>18.具有漏电安全保护功能：具有过流,短路保护,漏电保护，除加热器外所有执行器件都采用≦36V安全电压的执行器件以降低触电和漏电的风险</w:t>
            </w:r>
          </w:p>
          <w:p w14:paraId="2B2094E0">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19.附件：标配大容量Flash存储模块并USB导出、不锈钢提篮2个、内排废汽冷却壶1个、二次汽水收集桶1个、排水管1根、废气排气管1根、排水方盘1个</w:t>
            </w:r>
          </w:p>
        </w:tc>
      </w:tr>
      <w:tr w14:paraId="410E0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34E9A4B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13</w:t>
            </w:r>
          </w:p>
        </w:tc>
        <w:tc>
          <w:tcPr>
            <w:tcW w:w="981" w:type="dxa"/>
            <w:tcBorders>
              <w:top w:val="single" w:color="000000" w:sz="4" w:space="0"/>
              <w:left w:val="nil"/>
              <w:bottom w:val="single" w:color="000000" w:sz="4" w:space="0"/>
              <w:right w:val="single" w:color="000000" w:sz="4" w:space="0"/>
            </w:tcBorders>
            <w:vAlign w:val="center"/>
          </w:tcPr>
          <w:p w14:paraId="13412DBF">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超净工作台</w:t>
            </w:r>
          </w:p>
        </w:tc>
        <w:tc>
          <w:tcPr>
            <w:tcW w:w="648" w:type="dxa"/>
            <w:tcBorders>
              <w:top w:val="single" w:color="000000" w:sz="4" w:space="0"/>
              <w:left w:val="nil"/>
              <w:bottom w:val="single" w:color="000000" w:sz="4" w:space="0"/>
              <w:right w:val="single" w:color="000000" w:sz="4" w:space="0"/>
            </w:tcBorders>
            <w:vAlign w:val="center"/>
          </w:tcPr>
          <w:p w14:paraId="3304D226">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6698F89F">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6698" w:type="dxa"/>
            <w:tcBorders>
              <w:top w:val="single" w:color="000000" w:sz="4" w:space="0"/>
              <w:left w:val="nil"/>
              <w:bottom w:val="single" w:color="000000" w:sz="4" w:space="0"/>
              <w:right w:val="single" w:color="000000" w:sz="4" w:space="0"/>
            </w:tcBorders>
            <w:vAlign w:val="center"/>
          </w:tcPr>
          <w:p w14:paraId="6DAC598D">
            <w:pPr>
              <w:rPr>
                <w:rFonts w:hint="eastAsia" w:ascii="宋体" w:hAnsi="宋体" w:eastAsia="宋体" w:cs="宋体"/>
                <w:sz w:val="21"/>
                <w:szCs w:val="21"/>
              </w:rPr>
            </w:pPr>
            <w:r>
              <w:rPr>
                <w:rFonts w:hint="eastAsia" w:ascii="宋体" w:hAnsi="宋体" w:eastAsia="宋体" w:cs="宋体"/>
                <w:sz w:val="21"/>
                <w:szCs w:val="21"/>
              </w:rPr>
              <w:t>1.控制方式：调压控制</w:t>
            </w:r>
          </w:p>
          <w:p w14:paraId="00719A06">
            <w:pPr>
              <w:rPr>
                <w:rFonts w:hint="eastAsia" w:ascii="宋体" w:hAnsi="宋体" w:eastAsia="宋体" w:cs="宋体"/>
                <w:sz w:val="21"/>
                <w:szCs w:val="21"/>
              </w:rPr>
            </w:pPr>
            <w:r>
              <w:rPr>
                <w:rFonts w:hint="eastAsia" w:ascii="宋体" w:hAnsi="宋体" w:eastAsia="宋体" w:cs="宋体"/>
                <w:sz w:val="21"/>
                <w:szCs w:val="21"/>
              </w:rPr>
              <w:t>2.显示方式：LED</w:t>
            </w:r>
          </w:p>
          <w:p w14:paraId="6439134C">
            <w:pPr>
              <w:rPr>
                <w:rFonts w:hint="eastAsia" w:ascii="宋体" w:hAnsi="宋体" w:eastAsia="宋体" w:cs="宋体"/>
                <w:sz w:val="21"/>
                <w:szCs w:val="21"/>
              </w:rPr>
            </w:pPr>
            <w:r>
              <w:rPr>
                <w:rFonts w:hint="eastAsia" w:ascii="宋体" w:hAnsi="宋体" w:eastAsia="宋体" w:cs="宋体"/>
                <w:sz w:val="21"/>
                <w:szCs w:val="21"/>
              </w:rPr>
              <w:t>3.空气流向：垂直流</w:t>
            </w:r>
          </w:p>
          <w:p w14:paraId="6AE5B871">
            <w:pPr>
              <w:rPr>
                <w:rFonts w:hint="eastAsia" w:ascii="宋体" w:hAnsi="宋体" w:eastAsia="宋体" w:cs="宋体"/>
                <w:sz w:val="21"/>
                <w:szCs w:val="21"/>
              </w:rPr>
            </w:pPr>
            <w:r>
              <w:rPr>
                <w:rFonts w:hint="eastAsia" w:ascii="宋体" w:hAnsi="宋体" w:eastAsia="宋体" w:cs="宋体"/>
                <w:sz w:val="21"/>
                <w:szCs w:val="21"/>
              </w:rPr>
              <w:t>4.工作面：一个</w:t>
            </w:r>
          </w:p>
          <w:p w14:paraId="3CA7C60B">
            <w:pPr>
              <w:rPr>
                <w:rFonts w:hint="eastAsia" w:ascii="宋体" w:hAnsi="宋体" w:eastAsia="宋体" w:cs="宋体"/>
                <w:sz w:val="21"/>
                <w:szCs w:val="21"/>
              </w:rPr>
            </w:pPr>
            <w:r>
              <w:rPr>
                <w:rFonts w:hint="eastAsia" w:ascii="宋体" w:hAnsi="宋体" w:eastAsia="宋体" w:cs="宋体"/>
                <w:sz w:val="21"/>
                <w:szCs w:val="21"/>
              </w:rPr>
              <w:t>5.风机类型：优质离心风机</w:t>
            </w:r>
          </w:p>
          <w:p w14:paraId="0E7D58F7">
            <w:pPr>
              <w:rPr>
                <w:rFonts w:hint="eastAsia" w:ascii="宋体" w:hAnsi="宋体" w:eastAsia="宋体" w:cs="宋体"/>
                <w:sz w:val="21"/>
                <w:szCs w:val="21"/>
              </w:rPr>
            </w:pPr>
            <w:r>
              <w:rPr>
                <w:rFonts w:hint="eastAsia" w:ascii="宋体" w:hAnsi="宋体" w:eastAsia="宋体" w:cs="宋体"/>
                <w:sz w:val="21"/>
                <w:szCs w:val="21"/>
              </w:rPr>
              <w:t>6.灭菌方式：高效紫外线杀菌</w:t>
            </w:r>
          </w:p>
          <w:p w14:paraId="7888D592">
            <w:pPr>
              <w:rPr>
                <w:rFonts w:hint="eastAsia" w:ascii="宋体" w:hAnsi="宋体" w:eastAsia="宋体" w:cs="宋体"/>
                <w:sz w:val="21"/>
                <w:szCs w:val="21"/>
              </w:rPr>
            </w:pPr>
            <w:r>
              <w:rPr>
                <w:rFonts w:hint="eastAsia" w:ascii="宋体" w:hAnsi="宋体" w:eastAsia="宋体" w:cs="宋体"/>
                <w:sz w:val="21"/>
                <w:szCs w:val="21"/>
              </w:rPr>
              <w:t>7.洁净等级：工作区内≥0.5μm粒径的尘埃应≤3.5颗/升（ISO5级以上）</w:t>
            </w:r>
          </w:p>
          <w:p w14:paraId="70098E6E">
            <w:pPr>
              <w:rPr>
                <w:rFonts w:hint="eastAsia" w:ascii="宋体" w:hAnsi="宋体" w:eastAsia="宋体" w:cs="宋体"/>
                <w:sz w:val="21"/>
                <w:szCs w:val="21"/>
              </w:rPr>
            </w:pPr>
            <w:r>
              <w:rPr>
                <w:rFonts w:hint="eastAsia" w:ascii="宋体" w:hAnsi="宋体" w:eastAsia="宋体" w:cs="宋体"/>
                <w:sz w:val="21"/>
                <w:szCs w:val="21"/>
              </w:rPr>
              <w:t>8.菌落数：菌落数≤0.5/皿时（90mm培养平皿）</w:t>
            </w:r>
          </w:p>
          <w:p w14:paraId="2BE89776">
            <w:pPr>
              <w:rPr>
                <w:rFonts w:hint="eastAsia" w:ascii="宋体" w:hAnsi="宋体" w:eastAsia="宋体" w:cs="宋体"/>
                <w:sz w:val="21"/>
                <w:szCs w:val="21"/>
              </w:rPr>
            </w:pPr>
            <w:r>
              <w:rPr>
                <w:rFonts w:hint="eastAsia" w:ascii="宋体" w:hAnsi="宋体" w:eastAsia="宋体" w:cs="宋体"/>
                <w:sz w:val="21"/>
                <w:szCs w:val="21"/>
              </w:rPr>
              <w:t>▲9.风速调节范围：0.3m/s～0.6m/s（七级可调）</w:t>
            </w:r>
          </w:p>
          <w:p w14:paraId="5F31900E">
            <w:pPr>
              <w:rPr>
                <w:rFonts w:hint="eastAsia" w:ascii="宋体" w:hAnsi="宋体" w:eastAsia="宋体" w:cs="宋体"/>
                <w:sz w:val="21"/>
                <w:szCs w:val="21"/>
              </w:rPr>
            </w:pPr>
            <w:r>
              <w:rPr>
                <w:rFonts w:hint="eastAsia" w:ascii="宋体" w:hAnsi="宋体" w:eastAsia="宋体" w:cs="宋体"/>
                <w:sz w:val="21"/>
                <w:szCs w:val="21"/>
              </w:rPr>
              <w:t>10.噪音水平：≤65dB（A）</w:t>
            </w:r>
          </w:p>
          <w:p w14:paraId="41EE96AF">
            <w:pPr>
              <w:rPr>
                <w:rFonts w:hint="eastAsia" w:ascii="宋体" w:hAnsi="宋体" w:eastAsia="宋体" w:cs="宋体"/>
                <w:sz w:val="21"/>
                <w:szCs w:val="21"/>
              </w:rPr>
            </w:pPr>
            <w:r>
              <w:rPr>
                <w:rFonts w:hint="eastAsia" w:ascii="宋体" w:hAnsi="宋体" w:eastAsia="宋体" w:cs="宋体"/>
                <w:sz w:val="21"/>
                <w:szCs w:val="21"/>
              </w:rPr>
              <w:t>11.振动半峰值：≤5μm</w:t>
            </w:r>
          </w:p>
          <w:p w14:paraId="6FC85C33">
            <w:pPr>
              <w:rPr>
                <w:rFonts w:hint="eastAsia" w:ascii="宋体" w:hAnsi="宋体" w:eastAsia="宋体" w:cs="宋体"/>
                <w:sz w:val="21"/>
                <w:szCs w:val="21"/>
              </w:rPr>
            </w:pPr>
            <w:r>
              <w:rPr>
                <w:rFonts w:hint="eastAsia" w:ascii="宋体" w:hAnsi="宋体" w:eastAsia="宋体" w:cs="宋体"/>
                <w:sz w:val="21"/>
                <w:szCs w:val="21"/>
              </w:rPr>
              <w:t>12.照度：≧300Lx</w:t>
            </w:r>
          </w:p>
          <w:p w14:paraId="53D9A3E3">
            <w:pPr>
              <w:rPr>
                <w:rFonts w:hint="eastAsia" w:ascii="宋体" w:hAnsi="宋体" w:eastAsia="宋体" w:cs="宋体"/>
                <w:color w:val="auto"/>
                <w:sz w:val="21"/>
                <w:szCs w:val="21"/>
              </w:rPr>
            </w:pPr>
            <w:r>
              <w:rPr>
                <w:rFonts w:hint="eastAsia" w:ascii="宋体" w:hAnsi="宋体" w:eastAsia="宋体" w:cs="宋体"/>
                <w:sz w:val="21"/>
                <w:szCs w:val="21"/>
              </w:rPr>
              <w:t>13.初阻力（Pa）：</w:t>
            </w:r>
            <w:r>
              <w:rPr>
                <w:rFonts w:hint="eastAsia" w:ascii="宋体" w:hAnsi="宋体" w:eastAsia="宋体" w:cs="宋体"/>
                <w:color w:val="auto"/>
                <w:sz w:val="21"/>
                <w:szCs w:val="21"/>
              </w:rPr>
              <w:t>≤120（在最大风量下）</w:t>
            </w:r>
          </w:p>
          <w:p w14:paraId="3C2C2681">
            <w:pPr>
              <w:rPr>
                <w:rFonts w:hint="eastAsia" w:ascii="宋体" w:hAnsi="宋体" w:eastAsia="宋体" w:cs="宋体"/>
                <w:color w:val="auto"/>
                <w:sz w:val="21"/>
                <w:szCs w:val="21"/>
              </w:rPr>
            </w:pPr>
            <w:r>
              <w:rPr>
                <w:rFonts w:hint="eastAsia" w:ascii="宋体" w:hAnsi="宋体" w:eastAsia="宋体" w:cs="宋体"/>
                <w:color w:val="auto"/>
                <w:sz w:val="21"/>
                <w:szCs w:val="21"/>
              </w:rPr>
              <w:t>▲14.工作区尺寸（mm）：≥1200</w:t>
            </w:r>
            <w:r>
              <w:rPr>
                <w:rFonts w:hint="eastAsia" w:ascii="宋体" w:hAnsi="宋体" w:cs="宋体"/>
                <w:color w:val="auto"/>
                <w:sz w:val="21"/>
                <w:szCs w:val="21"/>
                <w:lang w:eastAsia="zh-CN"/>
              </w:rPr>
              <w:t>×</w:t>
            </w:r>
            <w:r>
              <w:rPr>
                <w:rFonts w:hint="eastAsia" w:ascii="宋体" w:hAnsi="宋体" w:eastAsia="宋体" w:cs="宋体"/>
                <w:color w:val="auto"/>
                <w:sz w:val="21"/>
                <w:szCs w:val="21"/>
              </w:rPr>
              <w:t>625</w:t>
            </w:r>
            <w:r>
              <w:rPr>
                <w:rFonts w:hint="eastAsia" w:ascii="宋体" w:hAnsi="宋体" w:cs="宋体"/>
                <w:color w:val="auto"/>
                <w:sz w:val="21"/>
                <w:szCs w:val="21"/>
                <w:lang w:eastAsia="zh-CN"/>
              </w:rPr>
              <w:t>×</w:t>
            </w:r>
            <w:r>
              <w:rPr>
                <w:rFonts w:hint="eastAsia" w:ascii="宋体" w:hAnsi="宋体" w:eastAsia="宋体" w:cs="宋体"/>
                <w:color w:val="auto"/>
                <w:sz w:val="21"/>
                <w:szCs w:val="21"/>
              </w:rPr>
              <w:t>645</w:t>
            </w:r>
          </w:p>
          <w:p w14:paraId="3BF9C601">
            <w:pPr>
              <w:rPr>
                <w:rFonts w:hint="eastAsia" w:ascii="宋体" w:hAnsi="宋体" w:eastAsia="宋体" w:cs="宋体"/>
                <w:color w:val="auto"/>
                <w:sz w:val="21"/>
                <w:szCs w:val="21"/>
              </w:rPr>
            </w:pPr>
            <w:r>
              <w:rPr>
                <w:rFonts w:hint="eastAsia" w:ascii="宋体" w:hAnsi="宋体" w:eastAsia="宋体" w:cs="宋体"/>
                <w:color w:val="auto"/>
                <w:sz w:val="21"/>
                <w:szCs w:val="21"/>
              </w:rPr>
              <w:t>15.外形尺寸（mm）：≥1320</w:t>
            </w:r>
            <w:r>
              <w:rPr>
                <w:rFonts w:hint="eastAsia" w:ascii="宋体" w:hAnsi="宋体" w:cs="宋体"/>
                <w:color w:val="auto"/>
                <w:sz w:val="21"/>
                <w:szCs w:val="21"/>
                <w:lang w:eastAsia="zh-CN"/>
              </w:rPr>
              <w:t>×</w:t>
            </w:r>
            <w:r>
              <w:rPr>
                <w:rFonts w:hint="eastAsia" w:ascii="宋体" w:hAnsi="宋体" w:eastAsia="宋体" w:cs="宋体"/>
                <w:color w:val="auto"/>
                <w:sz w:val="21"/>
                <w:szCs w:val="21"/>
              </w:rPr>
              <w:t>750</w:t>
            </w:r>
            <w:r>
              <w:rPr>
                <w:rFonts w:hint="eastAsia" w:ascii="宋体" w:hAnsi="宋体" w:cs="宋体"/>
                <w:color w:val="auto"/>
                <w:sz w:val="21"/>
                <w:szCs w:val="21"/>
                <w:lang w:eastAsia="zh-CN"/>
              </w:rPr>
              <w:t>×</w:t>
            </w:r>
            <w:r>
              <w:rPr>
                <w:rFonts w:hint="eastAsia" w:ascii="宋体" w:hAnsi="宋体" w:eastAsia="宋体" w:cs="宋体"/>
                <w:color w:val="auto"/>
                <w:sz w:val="21"/>
                <w:szCs w:val="21"/>
              </w:rPr>
              <w:t>1700</w:t>
            </w:r>
          </w:p>
          <w:p w14:paraId="1B7CF2C3">
            <w:pPr>
              <w:rPr>
                <w:rFonts w:hint="eastAsia" w:ascii="宋体" w:hAnsi="宋体" w:eastAsia="宋体" w:cs="宋体"/>
                <w:color w:val="auto"/>
                <w:sz w:val="21"/>
                <w:szCs w:val="21"/>
              </w:rPr>
            </w:pPr>
            <w:r>
              <w:rPr>
                <w:rFonts w:hint="eastAsia" w:ascii="宋体" w:hAnsi="宋体" w:eastAsia="宋体" w:cs="宋体"/>
                <w:color w:val="auto"/>
                <w:sz w:val="21"/>
                <w:szCs w:val="21"/>
              </w:rPr>
              <w:t>16.净重（kg）：≥215</w:t>
            </w:r>
          </w:p>
          <w:p w14:paraId="3BB47529">
            <w:pPr>
              <w:rPr>
                <w:rFonts w:hint="eastAsia" w:ascii="宋体" w:hAnsi="宋体" w:eastAsia="宋体" w:cs="宋体"/>
                <w:sz w:val="21"/>
                <w:szCs w:val="21"/>
              </w:rPr>
            </w:pPr>
            <w:r>
              <w:rPr>
                <w:rFonts w:hint="eastAsia" w:ascii="宋体" w:hAnsi="宋体" w:eastAsia="宋体" w:cs="宋体"/>
                <w:sz w:val="21"/>
                <w:szCs w:val="21"/>
              </w:rPr>
              <w:t>17.功率（W）：≤680</w:t>
            </w:r>
          </w:p>
          <w:p w14:paraId="7A280A03">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val="en-US" w:eastAsia="zh-CN"/>
              </w:rPr>
              <w:t>8</w:t>
            </w:r>
            <w:r>
              <w:rPr>
                <w:rFonts w:hint="eastAsia" w:ascii="宋体" w:hAnsi="宋体" w:eastAsia="宋体" w:cs="宋体"/>
                <w:sz w:val="21"/>
                <w:szCs w:val="21"/>
              </w:rPr>
              <w:t>.电源：AC220V，50/60Hz</w:t>
            </w:r>
          </w:p>
          <w:p w14:paraId="57B23BC2">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1</w:t>
            </w:r>
            <w:r>
              <w:rPr>
                <w:rFonts w:hint="eastAsia" w:ascii="宋体" w:hAnsi="宋体" w:cs="宋体"/>
                <w:sz w:val="21"/>
                <w:szCs w:val="21"/>
                <w:lang w:val="en-US" w:eastAsia="zh-CN"/>
              </w:rPr>
              <w:t>9</w:t>
            </w:r>
            <w:r>
              <w:rPr>
                <w:rFonts w:hint="eastAsia" w:ascii="宋体" w:hAnsi="宋体" w:eastAsia="宋体" w:cs="宋体"/>
                <w:sz w:val="21"/>
                <w:szCs w:val="21"/>
              </w:rPr>
              <w:t>.售后服务：主机保修一年</w:t>
            </w:r>
          </w:p>
        </w:tc>
      </w:tr>
      <w:tr w14:paraId="02259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526F746">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14</w:t>
            </w:r>
          </w:p>
        </w:tc>
        <w:tc>
          <w:tcPr>
            <w:tcW w:w="981" w:type="dxa"/>
            <w:tcBorders>
              <w:top w:val="single" w:color="000000" w:sz="4" w:space="0"/>
              <w:left w:val="nil"/>
              <w:bottom w:val="single" w:color="000000" w:sz="4" w:space="0"/>
              <w:right w:val="single" w:color="000000" w:sz="4" w:space="0"/>
            </w:tcBorders>
            <w:vAlign w:val="center"/>
          </w:tcPr>
          <w:p w14:paraId="07EDF578">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小型制冰机</w:t>
            </w:r>
          </w:p>
        </w:tc>
        <w:tc>
          <w:tcPr>
            <w:tcW w:w="648" w:type="dxa"/>
            <w:tcBorders>
              <w:top w:val="single" w:color="000000" w:sz="4" w:space="0"/>
              <w:left w:val="nil"/>
              <w:bottom w:val="single" w:color="000000" w:sz="4" w:space="0"/>
              <w:right w:val="single" w:color="000000" w:sz="4" w:space="0"/>
            </w:tcBorders>
            <w:vAlign w:val="center"/>
          </w:tcPr>
          <w:p w14:paraId="0FE129E1">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64C57978">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6698" w:type="dxa"/>
            <w:tcBorders>
              <w:top w:val="single" w:color="000000" w:sz="4" w:space="0"/>
              <w:left w:val="nil"/>
              <w:bottom w:val="single" w:color="000000" w:sz="4" w:space="0"/>
              <w:right w:val="single" w:color="000000" w:sz="4" w:space="0"/>
            </w:tcBorders>
            <w:vAlign w:val="center"/>
          </w:tcPr>
          <w:p w14:paraId="05A253E3">
            <w:pPr>
              <w:rPr>
                <w:rFonts w:hint="eastAsia" w:ascii="宋体" w:hAnsi="宋体" w:eastAsia="宋体" w:cs="宋体"/>
                <w:sz w:val="21"/>
                <w:szCs w:val="21"/>
              </w:rPr>
            </w:pPr>
            <w:r>
              <w:rPr>
                <w:rFonts w:hint="eastAsia" w:ascii="宋体" w:hAnsi="宋体" w:eastAsia="宋体" w:cs="宋体"/>
                <w:sz w:val="21"/>
                <w:szCs w:val="21"/>
              </w:rPr>
              <w:t>1.制冰量(kg/24h)：≥30</w:t>
            </w:r>
          </w:p>
          <w:p w14:paraId="2CF2CC0F">
            <w:pPr>
              <w:rPr>
                <w:rFonts w:hint="eastAsia" w:ascii="宋体" w:hAnsi="宋体" w:eastAsia="宋体" w:cs="宋体"/>
                <w:sz w:val="21"/>
                <w:szCs w:val="21"/>
              </w:rPr>
            </w:pPr>
            <w:r>
              <w:rPr>
                <w:rFonts w:hint="eastAsia" w:ascii="宋体" w:hAnsi="宋体" w:eastAsia="宋体" w:cs="宋体"/>
                <w:sz w:val="21"/>
                <w:szCs w:val="21"/>
              </w:rPr>
              <w:t xml:space="preserve">2.储冰量(kg)：≥10                                                                                                                                                                                                                                                                                                     </w:t>
            </w:r>
          </w:p>
          <w:p w14:paraId="7603B01E">
            <w:pPr>
              <w:rPr>
                <w:rFonts w:hint="eastAsia" w:ascii="宋体" w:hAnsi="宋体" w:eastAsia="宋体" w:cs="宋体"/>
                <w:sz w:val="21"/>
                <w:szCs w:val="21"/>
              </w:rPr>
            </w:pPr>
            <w:r>
              <w:rPr>
                <w:rFonts w:hint="eastAsia" w:ascii="宋体" w:hAnsi="宋体" w:eastAsia="宋体" w:cs="宋体"/>
                <w:sz w:val="21"/>
                <w:szCs w:val="21"/>
              </w:rPr>
              <w:t>3.冷凝方式：风冷</w:t>
            </w:r>
          </w:p>
          <w:p w14:paraId="55347322">
            <w:pPr>
              <w:rPr>
                <w:rFonts w:hint="eastAsia" w:ascii="宋体" w:hAnsi="宋体" w:eastAsia="宋体" w:cs="宋体"/>
                <w:sz w:val="21"/>
                <w:szCs w:val="21"/>
              </w:rPr>
            </w:pPr>
            <w:r>
              <w:rPr>
                <w:rFonts w:hint="eastAsia" w:ascii="宋体" w:hAnsi="宋体" w:eastAsia="宋体" w:cs="宋体"/>
                <w:sz w:val="21"/>
                <w:szCs w:val="21"/>
              </w:rPr>
              <w:t>4.耗水量(L/H)：≤1.2</w:t>
            </w:r>
          </w:p>
          <w:p w14:paraId="6AE8C589">
            <w:pPr>
              <w:rPr>
                <w:rFonts w:hint="eastAsia" w:ascii="宋体" w:hAnsi="宋体" w:eastAsia="宋体" w:cs="宋体"/>
                <w:sz w:val="21"/>
                <w:szCs w:val="21"/>
              </w:rPr>
            </w:pPr>
            <w:r>
              <w:rPr>
                <w:rFonts w:hint="eastAsia" w:ascii="宋体" w:hAnsi="宋体" w:eastAsia="宋体" w:cs="宋体"/>
                <w:sz w:val="21"/>
                <w:szCs w:val="21"/>
              </w:rPr>
              <w:t>5.压缩机/制冷剂：进口无氟/R134a</w:t>
            </w:r>
          </w:p>
          <w:p w14:paraId="217EEEA7">
            <w:pPr>
              <w:rPr>
                <w:rFonts w:hint="eastAsia" w:ascii="宋体" w:hAnsi="宋体" w:eastAsia="宋体" w:cs="宋体"/>
                <w:sz w:val="21"/>
                <w:szCs w:val="21"/>
              </w:rPr>
            </w:pPr>
            <w:r>
              <w:rPr>
                <w:rFonts w:hint="eastAsia" w:ascii="宋体" w:hAnsi="宋体" w:eastAsia="宋体" w:cs="宋体"/>
                <w:sz w:val="21"/>
                <w:szCs w:val="21"/>
              </w:rPr>
              <w:t>6.箱体外壳：不锈钢</w:t>
            </w:r>
          </w:p>
          <w:p w14:paraId="2850A6F5">
            <w:pPr>
              <w:rPr>
                <w:rFonts w:hint="eastAsia" w:ascii="宋体" w:hAnsi="宋体" w:eastAsia="宋体" w:cs="宋体"/>
                <w:sz w:val="21"/>
                <w:szCs w:val="21"/>
              </w:rPr>
            </w:pPr>
            <w:r>
              <w:rPr>
                <w:rFonts w:hint="eastAsia" w:ascii="宋体" w:hAnsi="宋体" w:eastAsia="宋体" w:cs="宋体"/>
                <w:sz w:val="21"/>
                <w:szCs w:val="21"/>
              </w:rPr>
              <w:t>7.冰型：碎冰</w:t>
            </w:r>
          </w:p>
          <w:p w14:paraId="1C077E14">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8.功率：≤300W</w:t>
            </w:r>
          </w:p>
        </w:tc>
      </w:tr>
      <w:tr w14:paraId="548DD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5AD2C35">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15</w:t>
            </w:r>
          </w:p>
        </w:tc>
        <w:tc>
          <w:tcPr>
            <w:tcW w:w="981" w:type="dxa"/>
            <w:tcBorders>
              <w:top w:val="single" w:color="000000" w:sz="4" w:space="0"/>
              <w:left w:val="nil"/>
              <w:bottom w:val="single" w:color="000000" w:sz="4" w:space="0"/>
              <w:right w:val="single" w:color="000000" w:sz="4" w:space="0"/>
            </w:tcBorders>
            <w:vAlign w:val="center"/>
          </w:tcPr>
          <w:p w14:paraId="4A97921A">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移液枪</w:t>
            </w:r>
          </w:p>
        </w:tc>
        <w:tc>
          <w:tcPr>
            <w:tcW w:w="648" w:type="dxa"/>
            <w:tcBorders>
              <w:top w:val="single" w:color="000000" w:sz="4" w:space="0"/>
              <w:left w:val="nil"/>
              <w:bottom w:val="single" w:color="000000" w:sz="4" w:space="0"/>
              <w:right w:val="single" w:color="000000" w:sz="4" w:space="0"/>
            </w:tcBorders>
            <w:vAlign w:val="center"/>
          </w:tcPr>
          <w:p w14:paraId="47BC68A5">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564" w:type="dxa"/>
            <w:tcBorders>
              <w:top w:val="single" w:color="000000" w:sz="4" w:space="0"/>
              <w:left w:val="nil"/>
              <w:bottom w:val="single" w:color="000000" w:sz="4" w:space="0"/>
              <w:right w:val="single" w:color="000000" w:sz="4" w:space="0"/>
            </w:tcBorders>
            <w:vAlign w:val="center"/>
          </w:tcPr>
          <w:p w14:paraId="3BEE5510">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2</w:t>
            </w:r>
          </w:p>
        </w:tc>
        <w:tc>
          <w:tcPr>
            <w:tcW w:w="6698" w:type="dxa"/>
            <w:tcBorders>
              <w:top w:val="single" w:color="000000" w:sz="4" w:space="0"/>
              <w:left w:val="nil"/>
              <w:bottom w:val="single" w:color="000000" w:sz="4" w:space="0"/>
              <w:right w:val="single" w:color="000000" w:sz="4" w:space="0"/>
            </w:tcBorders>
            <w:vAlign w:val="center"/>
          </w:tcPr>
          <w:p w14:paraId="044E7F9A">
            <w:pPr>
              <w:rPr>
                <w:rFonts w:hint="eastAsia" w:ascii="宋体" w:hAnsi="宋体" w:eastAsia="宋体" w:cs="宋体"/>
                <w:sz w:val="21"/>
                <w:szCs w:val="21"/>
              </w:rPr>
            </w:pPr>
            <w:r>
              <w:rPr>
                <w:rFonts w:hint="eastAsia" w:ascii="宋体" w:hAnsi="宋体" w:eastAsia="宋体" w:cs="宋体"/>
                <w:sz w:val="21"/>
                <w:szCs w:val="21"/>
              </w:rPr>
              <w:t>1.操作力小，坚固耐用，耐高温抗腐蚀</w:t>
            </w:r>
          </w:p>
          <w:p w14:paraId="49AAB6B7">
            <w:pPr>
              <w:rPr>
                <w:rFonts w:hint="eastAsia" w:ascii="宋体" w:hAnsi="宋体" w:eastAsia="宋体" w:cs="宋体"/>
                <w:sz w:val="21"/>
                <w:szCs w:val="21"/>
              </w:rPr>
            </w:pPr>
            <w:r>
              <w:rPr>
                <w:rFonts w:hint="eastAsia" w:ascii="宋体" w:hAnsi="宋体" w:eastAsia="宋体" w:cs="宋体"/>
                <w:sz w:val="21"/>
                <w:szCs w:val="21"/>
              </w:rPr>
              <w:t>▲2.可整支高温高压灭菌和紫外线灭菌，操作安全</w:t>
            </w:r>
          </w:p>
          <w:p w14:paraId="6BC50A92">
            <w:pPr>
              <w:rPr>
                <w:rFonts w:hint="eastAsia" w:ascii="宋体" w:hAnsi="宋体" w:eastAsia="宋体" w:cs="宋体"/>
                <w:sz w:val="21"/>
                <w:szCs w:val="21"/>
              </w:rPr>
            </w:pPr>
            <w:r>
              <w:rPr>
                <w:rFonts w:hint="eastAsia" w:ascii="宋体" w:hAnsi="宋体" w:eastAsia="宋体" w:cs="宋体"/>
                <w:sz w:val="21"/>
                <w:szCs w:val="21"/>
              </w:rPr>
              <w:t>3.采用人体工程学设计，减少手、手臂和肩膀用力，避免手部重复性劳损</w:t>
            </w:r>
          </w:p>
          <w:p w14:paraId="131A052C">
            <w:pPr>
              <w:rPr>
                <w:rFonts w:hint="eastAsia" w:ascii="宋体" w:hAnsi="宋体" w:eastAsia="宋体" w:cs="宋体"/>
                <w:sz w:val="21"/>
                <w:szCs w:val="21"/>
              </w:rPr>
            </w:pPr>
            <w:r>
              <w:rPr>
                <w:rFonts w:hint="eastAsia" w:ascii="宋体" w:hAnsi="宋体" w:eastAsia="宋体" w:cs="宋体"/>
                <w:sz w:val="21"/>
                <w:szCs w:val="21"/>
              </w:rPr>
              <w:t>4.下半支可徒手拆卸，便于清洁保养</w:t>
            </w:r>
          </w:p>
          <w:p w14:paraId="2D0F6E54">
            <w:pPr>
              <w:rPr>
                <w:rFonts w:hint="eastAsia" w:ascii="宋体" w:hAnsi="宋体" w:eastAsia="宋体" w:cs="宋体"/>
                <w:sz w:val="21"/>
                <w:szCs w:val="21"/>
              </w:rPr>
            </w:pPr>
            <w:r>
              <w:rPr>
                <w:rFonts w:hint="eastAsia" w:ascii="宋体" w:hAnsi="宋体" w:eastAsia="宋体" w:cs="宋体"/>
                <w:sz w:val="21"/>
                <w:szCs w:val="21"/>
              </w:rPr>
              <w:t>5.伸缩式弹性吸嘴设计，确保吸头装配的气密性和移液均一性</w:t>
            </w:r>
          </w:p>
          <w:p w14:paraId="3D1E91D2">
            <w:pPr>
              <w:rPr>
                <w:rFonts w:hint="eastAsia" w:ascii="宋体" w:hAnsi="宋体" w:eastAsia="宋体" w:cs="宋体"/>
                <w:sz w:val="21"/>
                <w:szCs w:val="21"/>
              </w:rPr>
            </w:pPr>
            <w:r>
              <w:rPr>
                <w:rFonts w:hint="eastAsia" w:ascii="宋体" w:hAnsi="宋体" w:eastAsia="宋体" w:cs="宋体"/>
                <w:sz w:val="21"/>
                <w:szCs w:val="21"/>
              </w:rPr>
              <w:t>6.四位数字放大体积显示，可精准设置移液体积</w:t>
            </w:r>
          </w:p>
          <w:p w14:paraId="13F3403B">
            <w:pPr>
              <w:rPr>
                <w:rFonts w:hint="eastAsia" w:ascii="宋体" w:hAnsi="宋体" w:eastAsia="宋体" w:cs="宋体"/>
                <w:sz w:val="21"/>
                <w:szCs w:val="21"/>
              </w:rPr>
            </w:pPr>
            <w:r>
              <w:rPr>
                <w:rFonts w:hint="eastAsia" w:ascii="宋体" w:hAnsi="宋体" w:eastAsia="宋体" w:cs="宋体"/>
                <w:sz w:val="21"/>
                <w:szCs w:val="21"/>
              </w:rPr>
              <w:t>7.体积视窗位置合理（在前面），便于移液观察，可单手设定体积及操作</w:t>
            </w:r>
          </w:p>
          <w:p w14:paraId="2C18FF41">
            <w:pPr>
              <w:rPr>
                <w:rFonts w:hint="eastAsia" w:ascii="宋体" w:hAnsi="宋体" w:eastAsia="宋体" w:cs="宋体"/>
                <w:sz w:val="21"/>
                <w:szCs w:val="21"/>
              </w:rPr>
            </w:pPr>
            <w:r>
              <w:rPr>
                <w:rFonts w:hint="eastAsia" w:ascii="宋体" w:hAnsi="宋体" w:eastAsia="宋体" w:cs="宋体"/>
                <w:sz w:val="21"/>
                <w:szCs w:val="21"/>
              </w:rPr>
              <w:t>▲8.有密度调节窗口，适用于不同密度的液体</w:t>
            </w:r>
          </w:p>
          <w:p w14:paraId="0D74602B">
            <w:pPr>
              <w:rPr>
                <w:rFonts w:hint="eastAsia" w:ascii="宋体" w:hAnsi="宋体" w:eastAsia="宋体" w:cs="宋体"/>
                <w:sz w:val="21"/>
                <w:szCs w:val="21"/>
              </w:rPr>
            </w:pPr>
            <w:r>
              <w:rPr>
                <w:rFonts w:hint="eastAsia" w:ascii="宋体" w:hAnsi="宋体" w:eastAsia="宋体" w:cs="宋体"/>
                <w:sz w:val="21"/>
                <w:szCs w:val="21"/>
              </w:rPr>
              <w:t>9.颜色标识移液器量程</w:t>
            </w:r>
          </w:p>
          <w:p w14:paraId="4881B28C">
            <w:pPr>
              <w:rPr>
                <w:rFonts w:hint="eastAsia" w:ascii="宋体" w:hAnsi="宋体" w:eastAsia="宋体" w:cs="宋体"/>
                <w:sz w:val="21"/>
                <w:szCs w:val="21"/>
              </w:rPr>
            </w:pPr>
            <w:r>
              <w:rPr>
                <w:rFonts w:hint="eastAsia" w:ascii="宋体" w:hAnsi="宋体" w:eastAsia="宋体" w:cs="宋体"/>
                <w:sz w:val="21"/>
                <w:szCs w:val="21"/>
              </w:rPr>
              <w:t>10.RFID数据芯片读取功能，可读取数据进行追踪</w:t>
            </w:r>
          </w:p>
          <w:p w14:paraId="684F3852">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11.每套配置规格：0.1-2.5ul；0.5-10uL；10-100uL；20-200uL；100-1000uL；0.5-5mL</w:t>
            </w:r>
          </w:p>
        </w:tc>
      </w:tr>
      <w:tr w14:paraId="3B64A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069A480A">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16</w:t>
            </w:r>
          </w:p>
        </w:tc>
        <w:tc>
          <w:tcPr>
            <w:tcW w:w="981" w:type="dxa"/>
            <w:tcBorders>
              <w:top w:val="single" w:color="000000" w:sz="4" w:space="0"/>
              <w:left w:val="nil"/>
              <w:bottom w:val="single" w:color="000000" w:sz="4" w:space="0"/>
              <w:right w:val="single" w:color="000000" w:sz="4" w:space="0"/>
            </w:tcBorders>
            <w:vAlign w:val="center"/>
          </w:tcPr>
          <w:p w14:paraId="55B28367">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数码生物显微镜</w:t>
            </w:r>
          </w:p>
        </w:tc>
        <w:tc>
          <w:tcPr>
            <w:tcW w:w="648" w:type="dxa"/>
            <w:tcBorders>
              <w:top w:val="single" w:color="000000" w:sz="4" w:space="0"/>
              <w:left w:val="nil"/>
              <w:bottom w:val="single" w:color="000000" w:sz="4" w:space="0"/>
              <w:right w:val="single" w:color="000000" w:sz="4" w:space="0"/>
            </w:tcBorders>
            <w:vAlign w:val="center"/>
          </w:tcPr>
          <w:p w14:paraId="29595704">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2170A1F8">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6698" w:type="dxa"/>
            <w:tcBorders>
              <w:top w:val="single" w:color="000000" w:sz="4" w:space="0"/>
              <w:left w:val="nil"/>
              <w:bottom w:val="single" w:color="000000" w:sz="4" w:space="0"/>
              <w:right w:val="single" w:color="000000" w:sz="4" w:space="0"/>
            </w:tcBorders>
            <w:vAlign w:val="center"/>
          </w:tcPr>
          <w:p w14:paraId="44F1461F">
            <w:pPr>
              <w:rPr>
                <w:rFonts w:hint="eastAsia" w:ascii="宋体" w:hAnsi="宋体" w:eastAsia="宋体" w:cs="宋体"/>
                <w:sz w:val="21"/>
                <w:szCs w:val="21"/>
              </w:rPr>
            </w:pPr>
            <w:r>
              <w:rPr>
                <w:rFonts w:hint="eastAsia" w:ascii="宋体" w:hAnsi="宋体" w:eastAsia="宋体" w:cs="宋体"/>
                <w:sz w:val="21"/>
                <w:szCs w:val="21"/>
              </w:rPr>
              <w:t>▲1.铰链式头部，可360°旋转，适用不同角度观察；观察筒本身可以360°旋转，两侧上下翻转，适应不同高度观察</w:t>
            </w:r>
          </w:p>
          <w:p w14:paraId="2DD4C7DB">
            <w:pPr>
              <w:rPr>
                <w:rFonts w:hint="eastAsia" w:ascii="宋体" w:hAnsi="宋体" w:eastAsia="宋体" w:cs="宋体"/>
                <w:sz w:val="21"/>
                <w:szCs w:val="21"/>
              </w:rPr>
            </w:pPr>
            <w:r>
              <w:rPr>
                <w:rFonts w:hint="eastAsia" w:ascii="宋体" w:hAnsi="宋体" w:eastAsia="宋体" w:cs="宋体"/>
                <w:sz w:val="21"/>
                <w:szCs w:val="21"/>
              </w:rPr>
              <w:t>▲2.两只视度可调高眼点宽视野平场目镜UC-WF10X/22mm，带松开防跌落设计，超大瞳距调节范围48mm-75mm</w:t>
            </w:r>
            <w:r>
              <w:rPr>
                <w:rFonts w:hint="eastAsia" w:ascii="宋体" w:hAnsi="宋体" w:cs="宋体"/>
                <w:sz w:val="21"/>
                <w:szCs w:val="21"/>
                <w:lang w:eastAsia="zh-CN"/>
              </w:rPr>
              <w:t>，</w:t>
            </w:r>
            <w:r>
              <w:rPr>
                <w:rFonts w:hint="eastAsia" w:ascii="宋体" w:hAnsi="宋体" w:eastAsia="宋体" w:cs="宋体"/>
                <w:sz w:val="21"/>
                <w:szCs w:val="21"/>
              </w:rPr>
              <w:t>满足不同使用者需求</w:t>
            </w:r>
          </w:p>
          <w:p w14:paraId="3865B92A">
            <w:pPr>
              <w:rPr>
                <w:rFonts w:hint="eastAsia" w:ascii="宋体" w:hAnsi="宋体" w:eastAsia="宋体" w:cs="宋体"/>
                <w:sz w:val="21"/>
                <w:szCs w:val="21"/>
              </w:rPr>
            </w:pPr>
            <w:r>
              <w:rPr>
                <w:rFonts w:hint="eastAsia" w:ascii="宋体" w:hAnsi="宋体" w:eastAsia="宋体" w:cs="宋体"/>
                <w:sz w:val="21"/>
                <w:szCs w:val="21"/>
              </w:rPr>
              <w:t>▲3.五孔物镜编码转换器，编码LED物镜转换器以及照明器能够指示照明强度、显微镜的照明模式并记忆各倍率物镜的照明强度</w:t>
            </w:r>
          </w:p>
          <w:p w14:paraId="13F1155C">
            <w:pPr>
              <w:rPr>
                <w:rFonts w:hint="eastAsia" w:ascii="宋体" w:hAnsi="宋体" w:eastAsia="宋体" w:cs="宋体"/>
                <w:sz w:val="21"/>
                <w:szCs w:val="21"/>
              </w:rPr>
            </w:pPr>
            <w:r>
              <w:rPr>
                <w:rFonts w:hint="eastAsia" w:ascii="宋体" w:hAnsi="宋体" w:eastAsia="宋体" w:cs="宋体"/>
                <w:sz w:val="21"/>
                <w:szCs w:val="21"/>
              </w:rPr>
              <w:t>▲4.物镜转换器：集合了编码物镜转换器与智能调光手轮用于实现对照明的智能控制，可以记忆每个物镜工作时的亮度在物镜切换时自动调整亮度，使用者无需重复调节</w:t>
            </w:r>
          </w:p>
          <w:p w14:paraId="218DF793">
            <w:pPr>
              <w:rPr>
                <w:rFonts w:hint="eastAsia" w:ascii="宋体" w:hAnsi="宋体" w:eastAsia="宋体" w:cs="宋体"/>
                <w:sz w:val="21"/>
                <w:szCs w:val="21"/>
              </w:rPr>
            </w:pPr>
            <w:r>
              <w:rPr>
                <w:rFonts w:hint="eastAsia" w:ascii="宋体" w:hAnsi="宋体" w:eastAsia="宋体" w:cs="宋体"/>
                <w:sz w:val="21"/>
                <w:szCs w:val="21"/>
              </w:rPr>
              <w:t>5.放大倍率：40-1000倍。物镜：4X物镜，N.A.0.1,工作距离不小于30.5mm；10X物镜，N.A.0.25,工作距离不小于17.4mm；40X物镜，N.A.0.65,工作距离不小于0.6mm；100X物镜，N.A.1.25,工作距离不小于0.16mm</w:t>
            </w:r>
          </w:p>
          <w:p w14:paraId="1732C31E">
            <w:pPr>
              <w:rPr>
                <w:rFonts w:hint="eastAsia" w:ascii="宋体" w:hAnsi="宋体" w:eastAsia="宋体" w:cs="宋体"/>
                <w:sz w:val="21"/>
                <w:szCs w:val="21"/>
              </w:rPr>
            </w:pPr>
            <w:r>
              <w:rPr>
                <w:rFonts w:hint="eastAsia" w:ascii="宋体" w:hAnsi="宋体" w:eastAsia="宋体" w:cs="宋体"/>
                <w:sz w:val="21"/>
                <w:szCs w:val="21"/>
              </w:rPr>
              <w:t>6.载物台面积不小于185×145mm，移动范围不小于75×50mm</w:t>
            </w:r>
          </w:p>
          <w:p w14:paraId="77F4D4E3">
            <w:pPr>
              <w:rPr>
                <w:rFonts w:hint="eastAsia" w:ascii="宋体" w:hAnsi="宋体" w:eastAsia="宋体" w:cs="宋体"/>
                <w:sz w:val="21"/>
                <w:szCs w:val="21"/>
              </w:rPr>
            </w:pPr>
            <w:r>
              <w:rPr>
                <w:rFonts w:hint="eastAsia" w:ascii="宋体" w:hAnsi="宋体" w:eastAsia="宋体" w:cs="宋体"/>
                <w:sz w:val="21"/>
                <w:szCs w:val="21"/>
              </w:rPr>
              <w:t>7.载物台X向为钢丝传动，Y向为齿轮齿条传动；载物台可同时放置2张切片，表面石墨喷涂，耐磨抗化学腐蚀。</w:t>
            </w:r>
          </w:p>
          <w:p w14:paraId="560B262D">
            <w:pPr>
              <w:rPr>
                <w:rFonts w:hint="eastAsia" w:ascii="宋体" w:hAnsi="宋体" w:eastAsia="宋体" w:cs="宋体"/>
                <w:sz w:val="21"/>
                <w:szCs w:val="21"/>
              </w:rPr>
            </w:pPr>
            <w:r>
              <w:rPr>
                <w:rFonts w:hint="eastAsia" w:ascii="宋体" w:hAnsi="宋体" w:eastAsia="宋体" w:cs="宋体"/>
                <w:sz w:val="21"/>
                <w:szCs w:val="21"/>
              </w:rPr>
              <w:t>8.聚光镜：阿贝聚光镜N.A.0.9/1.25</w:t>
            </w:r>
          </w:p>
          <w:p w14:paraId="3BAD0E4D">
            <w:pPr>
              <w:rPr>
                <w:rFonts w:hint="eastAsia" w:ascii="宋体" w:hAnsi="宋体" w:eastAsia="宋体" w:cs="宋体"/>
                <w:sz w:val="21"/>
                <w:szCs w:val="21"/>
              </w:rPr>
            </w:pPr>
            <w:r>
              <w:rPr>
                <w:rFonts w:hint="eastAsia" w:ascii="宋体" w:hAnsi="宋体" w:eastAsia="宋体" w:cs="宋体"/>
                <w:sz w:val="21"/>
                <w:szCs w:val="21"/>
              </w:rPr>
              <w:t>9.配备3WLED照明同时配30W卤素灯，可抽屉式插拔任意切换</w:t>
            </w:r>
          </w:p>
          <w:p w14:paraId="14CF8E3F">
            <w:pPr>
              <w:rPr>
                <w:rFonts w:hint="eastAsia" w:ascii="宋体" w:hAnsi="宋体" w:eastAsia="宋体" w:cs="宋体"/>
                <w:sz w:val="21"/>
                <w:szCs w:val="21"/>
              </w:rPr>
            </w:pPr>
            <w:r>
              <w:rPr>
                <w:rFonts w:hint="eastAsia" w:ascii="宋体" w:hAnsi="宋体" w:eastAsia="宋体" w:cs="宋体"/>
                <w:sz w:val="21"/>
                <w:szCs w:val="21"/>
              </w:rPr>
              <w:t>10.照明系统接收物镜转换实时数据，切换不同物镜镜头时，照明系统自动切换到最佳。粗微调同轴调节，带载物台卡位器</w:t>
            </w:r>
          </w:p>
          <w:p w14:paraId="30689D94">
            <w:pPr>
              <w:rPr>
                <w:rFonts w:hint="eastAsia" w:ascii="宋体" w:hAnsi="宋体" w:eastAsia="宋体" w:cs="宋体"/>
                <w:sz w:val="21"/>
                <w:szCs w:val="21"/>
              </w:rPr>
            </w:pPr>
            <w:r>
              <w:rPr>
                <w:rFonts w:hint="eastAsia" w:ascii="宋体" w:hAnsi="宋体" w:eastAsia="宋体" w:cs="宋体"/>
                <w:sz w:val="21"/>
                <w:szCs w:val="21"/>
              </w:rPr>
              <w:t>11.一体化弯臂式T型机架，具备可靠的刚性，不易侧倾，保证镜下图像稳定，不晃动，内置电源、数字接口</w:t>
            </w:r>
          </w:p>
          <w:p w14:paraId="2B633910">
            <w:pPr>
              <w:rPr>
                <w:rFonts w:hint="eastAsia" w:ascii="宋体" w:hAnsi="宋体" w:eastAsia="宋体" w:cs="宋体"/>
                <w:sz w:val="21"/>
                <w:szCs w:val="21"/>
              </w:rPr>
            </w:pPr>
            <w:r>
              <w:rPr>
                <w:rFonts w:hint="eastAsia" w:ascii="宋体" w:hAnsi="宋体" w:eastAsia="宋体" w:cs="宋体"/>
                <w:sz w:val="21"/>
                <w:szCs w:val="21"/>
              </w:rPr>
              <w:t>12.内置600万像素高清数码图像采集系统，cmos芯片，像素点尺寸：2.4umX2.4um,配专业图像分析软件</w:t>
            </w:r>
          </w:p>
          <w:p w14:paraId="5840CA6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▲13.重要技术性能：</w:t>
            </w:r>
          </w:p>
          <w:p w14:paraId="6FC6CE27">
            <w:pPr>
              <w:rPr>
                <w:rFonts w:hint="eastAsia" w:ascii="宋体" w:hAnsi="宋体" w:eastAsia="宋体" w:cs="宋体"/>
                <w:sz w:val="21"/>
                <w:szCs w:val="21"/>
              </w:rPr>
            </w:pPr>
            <w:r>
              <w:rPr>
                <w:rFonts w:hint="eastAsia" w:ascii="宋体" w:hAnsi="宋体" w:eastAsia="宋体" w:cs="宋体"/>
                <w:color w:val="auto"/>
                <w:sz w:val="21"/>
                <w:szCs w:val="21"/>
              </w:rPr>
              <w:t>（1）转换器定位稳定性</w:t>
            </w:r>
            <w:r>
              <w:rPr>
                <w:rFonts w:hint="eastAsia" w:ascii="宋体" w:hAnsi="宋体" w:eastAsia="宋体" w:cs="宋体"/>
                <w:sz w:val="21"/>
                <w:szCs w:val="21"/>
              </w:rPr>
              <w:t>≤0.015mm（投标文件必须提供具备检测资质的第三方检测机构出具的检测报告复印件，检测结果满足</w:t>
            </w:r>
            <w:r>
              <w:rPr>
                <w:rFonts w:hint="eastAsia" w:ascii="宋体" w:hAnsi="宋体" w:eastAsia="宋体" w:cs="宋体"/>
                <w:sz w:val="21"/>
                <w:szCs w:val="21"/>
                <w:lang w:eastAsia="zh-CN"/>
              </w:rPr>
              <w:t>本项参数</w:t>
            </w:r>
            <w:r>
              <w:rPr>
                <w:rFonts w:hint="eastAsia" w:ascii="宋体" w:hAnsi="宋体" w:eastAsia="宋体" w:cs="宋体"/>
                <w:sz w:val="21"/>
                <w:szCs w:val="21"/>
              </w:rPr>
              <w:t>要求）</w:t>
            </w:r>
          </w:p>
          <w:p w14:paraId="1B1A5762">
            <w:pPr>
              <w:rPr>
                <w:rFonts w:hint="eastAsia" w:ascii="宋体" w:hAnsi="宋体" w:eastAsia="宋体" w:cs="宋体"/>
                <w:sz w:val="21"/>
                <w:szCs w:val="21"/>
              </w:rPr>
            </w:pPr>
            <w:r>
              <w:rPr>
                <w:rFonts w:hint="eastAsia" w:ascii="宋体" w:hAnsi="宋体" w:eastAsia="宋体" w:cs="宋体"/>
                <w:sz w:val="21"/>
                <w:szCs w:val="21"/>
              </w:rPr>
              <w:t>（2）载物台侧向受5N水平方向作用力的最大位移≤0.015mm（投标文件必须提供具备检测资质的第三方检测机构出具的检测报告复印件，检测结果满足</w:t>
            </w:r>
            <w:r>
              <w:rPr>
                <w:rFonts w:hint="eastAsia" w:ascii="宋体" w:hAnsi="宋体" w:eastAsia="宋体" w:cs="宋体"/>
                <w:sz w:val="21"/>
                <w:szCs w:val="21"/>
                <w:lang w:eastAsia="zh-CN"/>
              </w:rPr>
              <w:t>本项参数</w:t>
            </w:r>
            <w:r>
              <w:rPr>
                <w:rFonts w:hint="eastAsia" w:ascii="宋体" w:hAnsi="宋体" w:eastAsia="宋体" w:cs="宋体"/>
                <w:sz w:val="21"/>
                <w:szCs w:val="21"/>
              </w:rPr>
              <w:t>要求）</w:t>
            </w:r>
          </w:p>
          <w:p w14:paraId="101FC5B1">
            <w:pPr>
              <w:rPr>
                <w:rFonts w:hint="eastAsia" w:ascii="宋体" w:hAnsi="宋体" w:eastAsia="宋体" w:cs="宋体"/>
                <w:sz w:val="21"/>
                <w:szCs w:val="21"/>
              </w:rPr>
            </w:pPr>
            <w:r>
              <w:rPr>
                <w:rFonts w:hint="eastAsia" w:ascii="宋体" w:hAnsi="宋体" w:eastAsia="宋体" w:cs="宋体"/>
                <w:sz w:val="21"/>
                <w:szCs w:val="21"/>
              </w:rPr>
              <w:t>（3）载物台侧向受5N水平方向作用力的不重复性≤0.003mm（投标文件必须提供具备检测资质的第三方检测机构出具的检测报告复印件，检测结果满足</w:t>
            </w:r>
            <w:r>
              <w:rPr>
                <w:rFonts w:hint="eastAsia" w:ascii="宋体" w:hAnsi="宋体" w:eastAsia="宋体" w:cs="宋体"/>
                <w:sz w:val="21"/>
                <w:szCs w:val="21"/>
                <w:lang w:eastAsia="zh-CN"/>
              </w:rPr>
              <w:t>本项参数</w:t>
            </w:r>
            <w:r>
              <w:rPr>
                <w:rFonts w:hint="eastAsia" w:ascii="宋体" w:hAnsi="宋体" w:eastAsia="宋体" w:cs="宋体"/>
                <w:sz w:val="21"/>
                <w:szCs w:val="21"/>
              </w:rPr>
              <w:t>要求）</w:t>
            </w:r>
          </w:p>
          <w:p w14:paraId="586D8DDC">
            <w:pPr>
              <w:rPr>
                <w:rFonts w:hint="eastAsia" w:ascii="宋体" w:hAnsi="宋体" w:eastAsia="宋体" w:cs="宋体"/>
                <w:sz w:val="21"/>
                <w:szCs w:val="21"/>
              </w:rPr>
            </w:pPr>
            <w:r>
              <w:rPr>
                <w:rFonts w:hint="eastAsia" w:ascii="宋体" w:hAnsi="宋体" w:eastAsia="宋体" w:cs="宋体"/>
                <w:sz w:val="21"/>
                <w:szCs w:val="21"/>
              </w:rPr>
              <w:t>（4）10倍物镜景深范围内像面的偏摆：≤0.01mm（投标文件必须提供具备检测资质的第三方检测机构出具的检测报告复印件，检测结果满足</w:t>
            </w:r>
            <w:r>
              <w:rPr>
                <w:rFonts w:hint="eastAsia" w:ascii="宋体" w:hAnsi="宋体" w:eastAsia="宋体" w:cs="宋体"/>
                <w:sz w:val="21"/>
                <w:szCs w:val="21"/>
                <w:lang w:eastAsia="zh-CN"/>
              </w:rPr>
              <w:t>本项参数</w:t>
            </w:r>
            <w:r>
              <w:rPr>
                <w:rFonts w:hint="eastAsia" w:ascii="宋体" w:hAnsi="宋体" w:eastAsia="宋体" w:cs="宋体"/>
                <w:sz w:val="21"/>
                <w:szCs w:val="21"/>
              </w:rPr>
              <w:t>要求）</w:t>
            </w:r>
          </w:p>
          <w:p w14:paraId="4DF798B0">
            <w:pPr>
              <w:rPr>
                <w:rFonts w:hint="eastAsia" w:ascii="宋体" w:hAnsi="宋体" w:eastAsia="宋体" w:cs="宋体"/>
                <w:sz w:val="21"/>
                <w:szCs w:val="21"/>
              </w:rPr>
            </w:pPr>
            <w:r>
              <w:rPr>
                <w:rFonts w:hint="eastAsia" w:ascii="宋体" w:hAnsi="宋体" w:eastAsia="宋体" w:cs="宋体"/>
                <w:sz w:val="21"/>
                <w:szCs w:val="21"/>
              </w:rPr>
              <w:t>（5）显微镜物镜放大率准确度≤0.87%（投标文件必须提供具备检测资质的第三方检测机构出具的检测报告复印件，检测结果满足</w:t>
            </w:r>
            <w:r>
              <w:rPr>
                <w:rFonts w:hint="eastAsia" w:ascii="宋体" w:hAnsi="宋体" w:eastAsia="宋体" w:cs="宋体"/>
                <w:sz w:val="21"/>
                <w:szCs w:val="21"/>
                <w:lang w:eastAsia="zh-CN"/>
              </w:rPr>
              <w:t>本项参数</w:t>
            </w:r>
            <w:r>
              <w:rPr>
                <w:rFonts w:hint="eastAsia" w:ascii="宋体" w:hAnsi="宋体" w:eastAsia="宋体" w:cs="宋体"/>
                <w:sz w:val="21"/>
                <w:szCs w:val="21"/>
              </w:rPr>
              <w:t>要求）</w:t>
            </w:r>
          </w:p>
          <w:p w14:paraId="2BA948B7">
            <w:pPr>
              <w:rPr>
                <w:rFonts w:hint="eastAsia" w:ascii="宋体" w:hAnsi="宋体" w:eastAsia="宋体" w:cs="宋体"/>
                <w:sz w:val="21"/>
                <w:szCs w:val="21"/>
              </w:rPr>
            </w:pPr>
            <w:r>
              <w:rPr>
                <w:rFonts w:hint="eastAsia" w:ascii="宋体" w:hAnsi="宋体" w:eastAsia="宋体" w:cs="宋体"/>
                <w:sz w:val="21"/>
                <w:szCs w:val="21"/>
              </w:rPr>
              <w:t>（6）显微镜目镜放大率准确度≤0.48%（投标文件必须提供具备检测资质的第三方检测机构出具的检测报告复印件，检测结果满足</w:t>
            </w:r>
            <w:r>
              <w:rPr>
                <w:rFonts w:hint="eastAsia" w:ascii="宋体" w:hAnsi="宋体" w:eastAsia="宋体" w:cs="宋体"/>
                <w:sz w:val="21"/>
                <w:szCs w:val="21"/>
                <w:lang w:eastAsia="zh-CN"/>
              </w:rPr>
              <w:t>本项参数</w:t>
            </w:r>
            <w:r>
              <w:rPr>
                <w:rFonts w:hint="eastAsia" w:ascii="宋体" w:hAnsi="宋体" w:eastAsia="宋体" w:cs="宋体"/>
                <w:sz w:val="21"/>
                <w:szCs w:val="21"/>
              </w:rPr>
              <w:t>要求）</w:t>
            </w:r>
          </w:p>
          <w:p w14:paraId="7BC4D9EE">
            <w:pPr>
              <w:rPr>
                <w:rFonts w:hint="eastAsia" w:ascii="宋体" w:hAnsi="宋体" w:eastAsia="宋体" w:cs="宋体"/>
                <w:sz w:val="21"/>
                <w:szCs w:val="21"/>
              </w:rPr>
            </w:pPr>
            <w:r>
              <w:rPr>
                <w:rFonts w:hint="eastAsia" w:ascii="宋体" w:hAnsi="宋体" w:eastAsia="宋体" w:cs="宋体"/>
                <w:sz w:val="21"/>
                <w:szCs w:val="21"/>
              </w:rPr>
              <w:t>（7）倾斜式目镜筒作360度旋转时，目镜焦平面上像中心的位移≤0.15mm</w:t>
            </w:r>
          </w:p>
          <w:p w14:paraId="0378AE29">
            <w:pPr>
              <w:rPr>
                <w:rFonts w:hint="eastAsia" w:ascii="宋体" w:hAnsi="宋体" w:eastAsia="宋体" w:cs="宋体"/>
                <w:sz w:val="21"/>
                <w:szCs w:val="21"/>
              </w:rPr>
            </w:pPr>
            <w:r>
              <w:rPr>
                <w:rFonts w:hint="eastAsia" w:ascii="宋体" w:hAnsi="宋体" w:eastAsia="宋体" w:cs="宋体"/>
                <w:sz w:val="21"/>
                <w:szCs w:val="21"/>
              </w:rPr>
              <w:t>（8）左右两系统放大率差≤0.25%</w:t>
            </w:r>
          </w:p>
          <w:p w14:paraId="2211D0C4">
            <w:pPr>
              <w:rPr>
                <w:rFonts w:hint="eastAsia" w:ascii="宋体" w:hAnsi="宋体" w:eastAsia="宋体" w:cs="宋体"/>
                <w:sz w:val="21"/>
                <w:szCs w:val="21"/>
              </w:rPr>
            </w:pPr>
            <w:r>
              <w:rPr>
                <w:rFonts w:hint="eastAsia" w:ascii="宋体" w:hAnsi="宋体" w:eastAsia="宋体" w:cs="宋体"/>
                <w:sz w:val="21"/>
                <w:szCs w:val="21"/>
              </w:rPr>
              <w:t>（9）双目系统左右两像面光谱色一致，明暗差≤5.3%</w:t>
            </w:r>
          </w:p>
          <w:p w14:paraId="6D9F83B1">
            <w:pPr>
              <w:rPr>
                <w:rFonts w:hint="eastAsia" w:ascii="宋体" w:hAnsi="宋体" w:eastAsia="宋体" w:cs="宋体"/>
                <w:sz w:val="21"/>
                <w:szCs w:val="21"/>
              </w:rPr>
            </w:pPr>
            <w:r>
              <w:rPr>
                <w:rFonts w:hint="eastAsia" w:ascii="宋体" w:hAnsi="宋体" w:eastAsia="宋体" w:cs="宋体"/>
                <w:sz w:val="21"/>
                <w:szCs w:val="21"/>
              </w:rPr>
              <w:t>（10）双目系统左右视场相面方位差≤30</w:t>
            </w:r>
          </w:p>
          <w:p w14:paraId="305BE4A4">
            <w:pPr>
              <w:rPr>
                <w:rFonts w:hint="eastAsia" w:ascii="宋体" w:hAnsi="宋体" w:eastAsia="宋体" w:cs="宋体"/>
                <w:sz w:val="21"/>
                <w:szCs w:val="21"/>
              </w:rPr>
            </w:pPr>
            <w:r>
              <w:rPr>
                <w:rFonts w:hint="eastAsia" w:ascii="宋体" w:hAnsi="宋体" w:eastAsia="宋体" w:cs="宋体"/>
                <w:sz w:val="21"/>
                <w:szCs w:val="21"/>
              </w:rPr>
              <w:t>（11）双目系统左右视场中心偏差上下≤0.03mm,左右外侧≤0.2mm,左右内侧≤0.1mm</w:t>
            </w:r>
          </w:p>
          <w:p w14:paraId="119E559D">
            <w:pPr>
              <w:rPr>
                <w:rFonts w:hint="eastAsia" w:ascii="宋体" w:hAnsi="宋体" w:eastAsia="宋体" w:cs="宋体"/>
                <w:sz w:val="21"/>
                <w:szCs w:val="21"/>
              </w:rPr>
            </w:pPr>
            <w:r>
              <w:rPr>
                <w:rFonts w:hint="eastAsia" w:ascii="宋体" w:hAnsi="宋体" w:eastAsia="宋体" w:cs="宋体"/>
                <w:sz w:val="21"/>
                <w:szCs w:val="21"/>
              </w:rPr>
              <w:t>（12）零视度时左右系统的目镜端面位置差≤0.08mm</w:t>
            </w:r>
          </w:p>
          <w:p w14:paraId="129785A9">
            <w:pPr>
              <w:rPr>
                <w:rFonts w:hint="eastAsia" w:ascii="宋体" w:hAnsi="宋体" w:eastAsia="宋体" w:cs="宋体"/>
                <w:sz w:val="21"/>
                <w:szCs w:val="21"/>
              </w:rPr>
            </w:pPr>
            <w:r>
              <w:rPr>
                <w:rFonts w:hint="eastAsia" w:ascii="宋体" w:hAnsi="宋体" w:eastAsia="宋体" w:cs="宋体"/>
                <w:sz w:val="21"/>
                <w:szCs w:val="21"/>
              </w:rPr>
              <w:t>（13）目镜观察与显示屏观察的图像齐焦≤0.020mm</w:t>
            </w:r>
          </w:p>
          <w:p w14:paraId="0CFA6148">
            <w:pPr>
              <w:rPr>
                <w:rFonts w:hint="eastAsia" w:ascii="宋体" w:hAnsi="宋体" w:eastAsia="宋体" w:cs="宋体"/>
                <w:sz w:val="21"/>
                <w:szCs w:val="21"/>
              </w:rPr>
            </w:pPr>
            <w:r>
              <w:rPr>
                <w:rFonts w:hint="eastAsia" w:ascii="宋体" w:hAnsi="宋体" w:eastAsia="宋体" w:cs="宋体"/>
                <w:sz w:val="21"/>
                <w:szCs w:val="21"/>
              </w:rPr>
              <w:t>（14）摄影、摄像视场清晰范围≤90%</w:t>
            </w:r>
          </w:p>
          <w:p w14:paraId="42F724EF">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14.配置清单：目镜1对；显微镜主机1套；物镜4个；防尘罩1个；内六角扳手2个；内置数码摄像系统头部1个；香柏油1瓶；护眼罩2个；抽屉式LED光源1个</w:t>
            </w:r>
          </w:p>
        </w:tc>
      </w:tr>
      <w:tr w14:paraId="486E4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05E35EE8">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981" w:type="dxa"/>
            <w:tcBorders>
              <w:top w:val="single" w:color="000000" w:sz="4" w:space="0"/>
              <w:left w:val="nil"/>
              <w:bottom w:val="single" w:color="000000" w:sz="4" w:space="0"/>
              <w:right w:val="single" w:color="000000" w:sz="4" w:space="0"/>
            </w:tcBorders>
            <w:vAlign w:val="center"/>
          </w:tcPr>
          <w:p w14:paraId="73D10F62">
            <w:pPr>
              <w:bidi w:val="0"/>
              <w:jc w:val="center"/>
              <w:rPr>
                <w:rFonts w:hint="eastAsia" w:ascii="宋体" w:hAnsi="宋体" w:eastAsia="宋体" w:cs="宋体"/>
                <w:sz w:val="21"/>
                <w:szCs w:val="21"/>
              </w:rPr>
            </w:pPr>
            <w:r>
              <w:rPr>
                <w:rFonts w:hint="eastAsia" w:ascii="宋体" w:hAnsi="宋体" w:eastAsia="宋体" w:cs="宋体"/>
                <w:sz w:val="21"/>
                <w:szCs w:val="21"/>
              </w:rPr>
              <w:t>数码体式显微镜</w:t>
            </w:r>
          </w:p>
        </w:tc>
        <w:tc>
          <w:tcPr>
            <w:tcW w:w="648" w:type="dxa"/>
            <w:tcBorders>
              <w:top w:val="single" w:color="000000" w:sz="4" w:space="0"/>
              <w:left w:val="nil"/>
              <w:bottom w:val="single" w:color="000000" w:sz="4" w:space="0"/>
              <w:right w:val="single" w:color="000000" w:sz="4" w:space="0"/>
            </w:tcBorders>
            <w:vAlign w:val="center"/>
          </w:tcPr>
          <w:p w14:paraId="14AB871E">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台</w:t>
            </w:r>
          </w:p>
        </w:tc>
        <w:tc>
          <w:tcPr>
            <w:tcW w:w="564" w:type="dxa"/>
            <w:tcBorders>
              <w:top w:val="single" w:color="000000" w:sz="4" w:space="0"/>
              <w:left w:val="nil"/>
              <w:bottom w:val="single" w:color="000000" w:sz="4" w:space="0"/>
              <w:right w:val="single" w:color="000000" w:sz="4" w:space="0"/>
            </w:tcBorders>
            <w:vAlign w:val="center"/>
          </w:tcPr>
          <w:p w14:paraId="5297D473">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6698" w:type="dxa"/>
            <w:tcBorders>
              <w:top w:val="single" w:color="000000" w:sz="4" w:space="0"/>
              <w:left w:val="nil"/>
              <w:bottom w:val="single" w:color="000000" w:sz="4" w:space="0"/>
              <w:right w:val="single" w:color="000000" w:sz="4" w:space="0"/>
            </w:tcBorders>
            <w:vAlign w:val="center"/>
          </w:tcPr>
          <w:p w14:paraId="2EB90C69">
            <w:pPr>
              <w:rPr>
                <w:rFonts w:hint="eastAsia" w:ascii="宋体" w:hAnsi="宋体" w:eastAsia="宋体" w:cs="宋体"/>
                <w:sz w:val="21"/>
                <w:szCs w:val="21"/>
              </w:rPr>
            </w:pPr>
            <w:r>
              <w:rPr>
                <w:rFonts w:hint="eastAsia" w:ascii="宋体" w:hAnsi="宋体" w:eastAsia="宋体" w:cs="宋体"/>
                <w:sz w:val="21"/>
                <w:szCs w:val="21"/>
              </w:rPr>
              <w:t>1.观察角度：45º</w:t>
            </w:r>
          </w:p>
          <w:p w14:paraId="2FF9DE01">
            <w:pPr>
              <w:rPr>
                <w:rFonts w:hint="eastAsia" w:ascii="宋体" w:hAnsi="宋体" w:eastAsia="宋体" w:cs="宋体"/>
                <w:sz w:val="21"/>
                <w:szCs w:val="21"/>
              </w:rPr>
            </w:pPr>
            <w:r>
              <w:rPr>
                <w:rFonts w:hint="eastAsia" w:ascii="宋体" w:hAnsi="宋体" w:eastAsia="宋体" w:cs="宋体"/>
                <w:sz w:val="21"/>
                <w:szCs w:val="21"/>
              </w:rPr>
              <w:t>2.主机变倍比：6.7:1</w:t>
            </w:r>
          </w:p>
          <w:p w14:paraId="0F3B2A57">
            <w:pPr>
              <w:rPr>
                <w:rFonts w:hint="eastAsia" w:ascii="宋体" w:hAnsi="宋体" w:eastAsia="宋体" w:cs="宋体"/>
                <w:sz w:val="21"/>
                <w:szCs w:val="21"/>
              </w:rPr>
            </w:pPr>
            <w:r>
              <w:rPr>
                <w:rFonts w:hint="eastAsia" w:ascii="宋体" w:hAnsi="宋体" w:eastAsia="宋体" w:cs="宋体"/>
                <w:sz w:val="21"/>
                <w:szCs w:val="21"/>
              </w:rPr>
              <w:t>3.主机变倍比范围：0.75X～5.0X</w:t>
            </w:r>
          </w:p>
          <w:p w14:paraId="57D3D11E">
            <w:pPr>
              <w:rPr>
                <w:rFonts w:hint="eastAsia" w:ascii="宋体" w:hAnsi="宋体" w:eastAsia="宋体" w:cs="宋体"/>
                <w:sz w:val="21"/>
                <w:szCs w:val="21"/>
              </w:rPr>
            </w:pPr>
            <w:r>
              <w:rPr>
                <w:rFonts w:hint="eastAsia" w:ascii="宋体" w:hAnsi="宋体" w:eastAsia="宋体" w:cs="宋体"/>
                <w:sz w:val="21"/>
                <w:szCs w:val="21"/>
              </w:rPr>
              <w:t>4.目镜：高眼点超广角，视度可调WF10X/23，视度调节：±5屈光度,配方便观察的护眼罩一对。瞳距：48mm-75mm</w:t>
            </w:r>
          </w:p>
          <w:p w14:paraId="7FA63899">
            <w:pPr>
              <w:rPr>
                <w:rFonts w:hint="eastAsia" w:ascii="宋体" w:hAnsi="宋体" w:eastAsia="宋体" w:cs="宋体"/>
                <w:sz w:val="21"/>
                <w:szCs w:val="21"/>
              </w:rPr>
            </w:pPr>
            <w:r>
              <w:rPr>
                <w:rFonts w:hint="eastAsia" w:ascii="宋体" w:hAnsi="宋体" w:eastAsia="宋体" w:cs="宋体"/>
                <w:sz w:val="21"/>
                <w:szCs w:val="21"/>
              </w:rPr>
              <w:t>5.调焦机构：V型导轨与钢球组合构成调焦机构，保证调焦灵活舒适、稳定可靠</w:t>
            </w:r>
          </w:p>
          <w:p w14:paraId="029F2DA3">
            <w:pPr>
              <w:rPr>
                <w:rFonts w:hint="eastAsia" w:ascii="宋体" w:hAnsi="宋体" w:eastAsia="宋体" w:cs="宋体"/>
                <w:sz w:val="21"/>
                <w:szCs w:val="21"/>
              </w:rPr>
            </w:pPr>
            <w:r>
              <w:rPr>
                <w:rFonts w:hint="eastAsia" w:ascii="宋体" w:hAnsi="宋体" w:eastAsia="宋体" w:cs="宋体"/>
                <w:sz w:val="21"/>
                <w:szCs w:val="21"/>
              </w:rPr>
              <w:t>6.上光源：3WLED灯，亮度可调，角度可调</w:t>
            </w:r>
          </w:p>
          <w:p w14:paraId="3A57075D">
            <w:pPr>
              <w:rPr>
                <w:rFonts w:hint="eastAsia" w:ascii="宋体" w:hAnsi="宋体" w:eastAsia="宋体" w:cs="宋体"/>
                <w:sz w:val="21"/>
                <w:szCs w:val="21"/>
              </w:rPr>
            </w:pPr>
            <w:r>
              <w:rPr>
                <w:rFonts w:hint="eastAsia" w:ascii="宋体" w:hAnsi="宋体" w:eastAsia="宋体" w:cs="宋体"/>
                <w:sz w:val="21"/>
                <w:szCs w:val="21"/>
              </w:rPr>
              <w:t>7.工作距离：110mm</w:t>
            </w:r>
          </w:p>
          <w:p w14:paraId="78B978CA">
            <w:pPr>
              <w:rPr>
                <w:rFonts w:hint="eastAsia" w:ascii="宋体" w:hAnsi="宋体" w:eastAsia="宋体" w:cs="宋体"/>
                <w:sz w:val="21"/>
                <w:szCs w:val="21"/>
              </w:rPr>
            </w:pPr>
            <w:r>
              <w:rPr>
                <w:rFonts w:hint="eastAsia" w:ascii="宋体" w:hAnsi="宋体" w:eastAsia="宋体" w:cs="宋体"/>
                <w:sz w:val="21"/>
                <w:szCs w:val="21"/>
              </w:rPr>
              <w:t>8.景深（标准配置下）：2.42～0.13</w:t>
            </w:r>
          </w:p>
          <w:p w14:paraId="103460BC">
            <w:pPr>
              <w:rPr>
                <w:rFonts w:hint="eastAsia" w:ascii="宋体" w:hAnsi="宋体" w:eastAsia="宋体" w:cs="宋体"/>
                <w:sz w:val="21"/>
                <w:szCs w:val="21"/>
              </w:rPr>
            </w:pPr>
            <w:r>
              <w:rPr>
                <w:rFonts w:hint="eastAsia" w:ascii="宋体" w:hAnsi="宋体" w:eastAsia="宋体" w:cs="宋体"/>
                <w:sz w:val="21"/>
                <w:szCs w:val="21"/>
              </w:rPr>
              <w:t>9.系统最大放大倍率：200X</w:t>
            </w:r>
          </w:p>
          <w:p w14:paraId="4C54F832">
            <w:pPr>
              <w:rPr>
                <w:rFonts w:hint="eastAsia" w:ascii="宋体" w:hAnsi="宋体" w:eastAsia="宋体" w:cs="宋体"/>
                <w:sz w:val="21"/>
                <w:szCs w:val="21"/>
              </w:rPr>
            </w:pPr>
            <w:r>
              <w:rPr>
                <w:rFonts w:hint="eastAsia" w:ascii="宋体" w:hAnsi="宋体" w:eastAsia="宋体" w:cs="宋体"/>
                <w:sz w:val="21"/>
                <w:szCs w:val="21"/>
              </w:rPr>
              <w:t>10.系统最大工作距离：301mm</w:t>
            </w:r>
          </w:p>
          <w:p w14:paraId="2F41B91F">
            <w:pPr>
              <w:rPr>
                <w:rFonts w:hint="eastAsia" w:ascii="宋体" w:hAnsi="宋体" w:eastAsia="宋体" w:cs="宋体"/>
                <w:sz w:val="21"/>
                <w:szCs w:val="21"/>
              </w:rPr>
            </w:pPr>
            <w:r>
              <w:rPr>
                <w:rFonts w:hint="eastAsia" w:ascii="宋体" w:hAnsi="宋体" w:eastAsia="宋体" w:cs="宋体"/>
                <w:sz w:val="21"/>
                <w:szCs w:val="21"/>
              </w:rPr>
              <w:t>11.系统最大视场：102.2mm</w:t>
            </w:r>
          </w:p>
          <w:p w14:paraId="53FBD71C">
            <w:pPr>
              <w:rPr>
                <w:rFonts w:hint="eastAsia" w:ascii="宋体" w:hAnsi="宋体" w:eastAsia="宋体" w:cs="宋体"/>
                <w:sz w:val="21"/>
                <w:szCs w:val="21"/>
              </w:rPr>
            </w:pPr>
            <w:r>
              <w:rPr>
                <w:rFonts w:hint="eastAsia" w:ascii="宋体" w:hAnsi="宋体" w:eastAsia="宋体" w:cs="宋体"/>
                <w:sz w:val="21"/>
                <w:szCs w:val="21"/>
              </w:rPr>
              <w:t>12.防静电（esd）:有</w:t>
            </w:r>
          </w:p>
          <w:p w14:paraId="7551A951">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13.内置高分辨率摄像系统，进口高清彩色芯片；静态≥1600万像素、动态分辨率≥1080P。Wifi无线传输，可以链接各类的智能终端（平板或智能手机），智能终端不受品牌、操作系统限制，各类智能终端与无线数码显微镜均可实现无线链接，为用户实时呈现优质的镜下图像。一体化单一外置DC供电插口及标准网络接口，同时也可以连接电脑进行显微图像观察</w:t>
            </w:r>
          </w:p>
        </w:tc>
      </w:tr>
      <w:tr w14:paraId="10607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4D410E8">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981" w:type="dxa"/>
            <w:tcBorders>
              <w:top w:val="single" w:color="000000" w:sz="4" w:space="0"/>
              <w:left w:val="nil"/>
              <w:bottom w:val="single" w:color="000000" w:sz="4" w:space="0"/>
              <w:right w:val="single" w:color="000000" w:sz="4" w:space="0"/>
            </w:tcBorders>
            <w:vAlign w:val="center"/>
          </w:tcPr>
          <w:p w14:paraId="522BCBFE">
            <w:pPr>
              <w:bidi w:val="0"/>
              <w:jc w:val="center"/>
              <w:rPr>
                <w:rFonts w:hint="eastAsia" w:ascii="宋体" w:hAnsi="宋体" w:eastAsia="宋体" w:cs="宋体"/>
                <w:sz w:val="21"/>
                <w:szCs w:val="21"/>
              </w:rPr>
            </w:pPr>
            <w:r>
              <w:rPr>
                <w:rFonts w:hint="eastAsia" w:ascii="宋体" w:hAnsi="宋体" w:eastAsia="宋体" w:cs="宋体"/>
                <w:sz w:val="21"/>
                <w:szCs w:val="21"/>
              </w:rPr>
              <w:t>培养架</w:t>
            </w:r>
          </w:p>
        </w:tc>
        <w:tc>
          <w:tcPr>
            <w:tcW w:w="648" w:type="dxa"/>
            <w:tcBorders>
              <w:top w:val="single" w:color="000000" w:sz="4" w:space="0"/>
              <w:left w:val="nil"/>
              <w:bottom w:val="single" w:color="000000" w:sz="4" w:space="0"/>
              <w:right w:val="single" w:color="000000" w:sz="4" w:space="0"/>
            </w:tcBorders>
            <w:vAlign w:val="center"/>
          </w:tcPr>
          <w:p w14:paraId="0DD17F92">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副</w:t>
            </w:r>
          </w:p>
        </w:tc>
        <w:tc>
          <w:tcPr>
            <w:tcW w:w="564" w:type="dxa"/>
            <w:tcBorders>
              <w:top w:val="single" w:color="000000" w:sz="4" w:space="0"/>
              <w:left w:val="nil"/>
              <w:bottom w:val="single" w:color="000000" w:sz="4" w:space="0"/>
              <w:right w:val="single" w:color="000000" w:sz="4" w:space="0"/>
            </w:tcBorders>
            <w:vAlign w:val="center"/>
          </w:tcPr>
          <w:p w14:paraId="0B3A8F14">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300</w:t>
            </w:r>
          </w:p>
        </w:tc>
        <w:tc>
          <w:tcPr>
            <w:tcW w:w="6698" w:type="dxa"/>
            <w:tcBorders>
              <w:top w:val="single" w:color="000000" w:sz="4" w:space="0"/>
              <w:left w:val="nil"/>
              <w:bottom w:val="single" w:color="000000" w:sz="4" w:space="0"/>
              <w:right w:val="single" w:color="000000" w:sz="4" w:space="0"/>
            </w:tcBorders>
            <w:vAlign w:val="center"/>
          </w:tcPr>
          <w:p w14:paraId="3BDC897E">
            <w:pPr>
              <w:rPr>
                <w:rFonts w:hint="eastAsia" w:ascii="宋体" w:hAnsi="宋体" w:eastAsia="宋体" w:cs="宋体"/>
                <w:sz w:val="21"/>
                <w:szCs w:val="21"/>
              </w:rPr>
            </w:pPr>
            <w:r>
              <w:rPr>
                <w:rFonts w:hint="eastAsia" w:ascii="宋体" w:hAnsi="宋体" w:eastAsia="宋体" w:cs="宋体"/>
                <w:sz w:val="21"/>
                <w:szCs w:val="21"/>
              </w:rPr>
              <w:t>5层，实用4层，日光灯，开关控制器</w:t>
            </w:r>
          </w:p>
          <w:p w14:paraId="34C216AD">
            <w:pPr>
              <w:rPr>
                <w:rFonts w:hint="eastAsia" w:ascii="宋体" w:hAnsi="宋体" w:eastAsia="宋体" w:cs="宋体"/>
                <w:sz w:val="21"/>
                <w:szCs w:val="21"/>
              </w:rPr>
            </w:pPr>
            <w:r>
              <w:rPr>
                <w:rFonts w:hint="eastAsia" w:ascii="宋体" w:hAnsi="宋体" w:eastAsia="宋体" w:cs="宋体"/>
                <w:sz w:val="21"/>
                <w:szCs w:val="21"/>
              </w:rPr>
              <w:t>技术参数：</w:t>
            </w:r>
          </w:p>
          <w:p w14:paraId="41C9FA83">
            <w:pPr>
              <w:rPr>
                <w:rFonts w:hint="eastAsia" w:ascii="宋体" w:hAnsi="宋体" w:eastAsia="宋体" w:cs="宋体"/>
                <w:sz w:val="21"/>
                <w:szCs w:val="21"/>
              </w:rPr>
            </w:pPr>
            <w:r>
              <w:rPr>
                <w:rFonts w:hint="eastAsia" w:ascii="宋体" w:hAnsi="宋体" w:eastAsia="宋体" w:cs="宋体"/>
                <w:sz w:val="21"/>
                <w:szCs w:val="21"/>
              </w:rPr>
              <w:t>▲1.光照强度：1000-5000Lx，光照独立控制，高效节能。</w:t>
            </w:r>
          </w:p>
          <w:p w14:paraId="5AA408CD">
            <w:pPr>
              <w:rPr>
                <w:rFonts w:hint="eastAsia" w:ascii="宋体" w:hAnsi="宋体" w:eastAsia="宋体" w:cs="宋体"/>
                <w:sz w:val="21"/>
                <w:szCs w:val="21"/>
              </w:rPr>
            </w:pPr>
            <w:r>
              <w:rPr>
                <w:rFonts w:hint="eastAsia" w:ascii="宋体" w:hAnsi="宋体" w:eastAsia="宋体" w:cs="宋体"/>
                <w:sz w:val="21"/>
                <w:szCs w:val="21"/>
              </w:rPr>
              <w:t>2.层数：实用4层(共5层搁板)</w:t>
            </w:r>
          </w:p>
          <w:p w14:paraId="2F8710CD">
            <w:pPr>
              <w:rPr>
                <w:rFonts w:hint="eastAsia" w:ascii="宋体" w:hAnsi="宋体" w:eastAsia="宋体" w:cs="宋体"/>
                <w:sz w:val="21"/>
                <w:szCs w:val="21"/>
              </w:rPr>
            </w:pPr>
            <w:r>
              <w:rPr>
                <w:rFonts w:hint="eastAsia" w:ascii="宋体" w:hAnsi="宋体" w:eastAsia="宋体" w:cs="宋体"/>
                <w:sz w:val="21"/>
                <w:szCs w:val="21"/>
              </w:rPr>
              <w:t>3.规格：约1.2×0.5×1.8</w:t>
            </w:r>
            <w:r>
              <w:rPr>
                <w:rFonts w:hint="eastAsia" w:ascii="宋体" w:hAnsi="宋体" w:cs="宋体"/>
                <w:sz w:val="21"/>
                <w:szCs w:val="21"/>
                <w:lang w:eastAsia="zh-CN"/>
              </w:rPr>
              <w:t>（</w:t>
            </w:r>
            <w:r>
              <w:rPr>
                <w:rFonts w:hint="eastAsia" w:ascii="宋体" w:hAnsi="宋体" w:eastAsia="宋体" w:cs="宋体"/>
                <w:sz w:val="21"/>
                <w:szCs w:val="21"/>
              </w:rPr>
              <w:t>m</w:t>
            </w:r>
            <w:r>
              <w:rPr>
                <w:rFonts w:hint="eastAsia" w:ascii="宋体" w:hAnsi="宋体" w:cs="宋体"/>
                <w:sz w:val="21"/>
                <w:szCs w:val="21"/>
                <w:lang w:eastAsia="zh-CN"/>
              </w:rPr>
              <w:t>）</w:t>
            </w:r>
          </w:p>
          <w:p w14:paraId="3D00D0D0">
            <w:pPr>
              <w:rPr>
                <w:rFonts w:hint="eastAsia" w:ascii="宋体" w:hAnsi="宋体" w:eastAsia="宋体" w:cs="宋体"/>
                <w:sz w:val="21"/>
                <w:szCs w:val="21"/>
              </w:rPr>
            </w:pPr>
            <w:r>
              <w:rPr>
                <w:rFonts w:hint="eastAsia" w:ascii="宋体" w:hAnsi="宋体" w:eastAsia="宋体" w:cs="宋体"/>
                <w:sz w:val="21"/>
                <w:szCs w:val="21"/>
              </w:rPr>
              <w:t>4.每层日光灯管可独立控制。（选配带开关AC220v插座）</w:t>
            </w:r>
          </w:p>
          <w:p w14:paraId="76F71865">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5.材料：组培架铁质，精致烤漆；插孔暗式布线，每层配T8LED日光灯管贰套(选配)，内外为冷轧钢板，外表喷塑(浅色)</w:t>
            </w:r>
          </w:p>
        </w:tc>
      </w:tr>
      <w:tr w14:paraId="6697C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4E9FAF23">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981" w:type="dxa"/>
            <w:vMerge w:val="restart"/>
            <w:tcBorders>
              <w:top w:val="single" w:color="000000" w:sz="4" w:space="0"/>
              <w:left w:val="nil"/>
              <w:right w:val="single" w:color="000000" w:sz="4" w:space="0"/>
            </w:tcBorders>
            <w:vAlign w:val="center"/>
          </w:tcPr>
          <w:p w14:paraId="2811B720">
            <w:pPr>
              <w:bidi w:val="0"/>
              <w:jc w:val="center"/>
              <w:rPr>
                <w:rFonts w:hint="eastAsia" w:ascii="宋体" w:hAnsi="宋体" w:eastAsia="宋体" w:cs="宋体"/>
                <w:sz w:val="21"/>
                <w:szCs w:val="21"/>
              </w:rPr>
            </w:pPr>
            <w:r>
              <w:rPr>
                <w:rFonts w:hint="eastAsia" w:ascii="宋体" w:hAnsi="宋体" w:eastAsia="宋体" w:cs="宋体"/>
                <w:sz w:val="21"/>
                <w:szCs w:val="21"/>
              </w:rPr>
              <w:t>种子烘干室设备</w:t>
            </w:r>
          </w:p>
        </w:tc>
        <w:tc>
          <w:tcPr>
            <w:tcW w:w="648" w:type="dxa"/>
            <w:tcBorders>
              <w:top w:val="single" w:color="000000" w:sz="4" w:space="0"/>
              <w:left w:val="nil"/>
              <w:bottom w:val="single" w:color="000000" w:sz="4" w:space="0"/>
              <w:right w:val="single" w:color="000000" w:sz="4" w:space="0"/>
            </w:tcBorders>
            <w:vAlign w:val="center"/>
          </w:tcPr>
          <w:p w14:paraId="7EE95241">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套</w:t>
            </w:r>
          </w:p>
        </w:tc>
        <w:tc>
          <w:tcPr>
            <w:tcW w:w="564" w:type="dxa"/>
            <w:tcBorders>
              <w:top w:val="single" w:color="000000" w:sz="4" w:space="0"/>
              <w:left w:val="nil"/>
              <w:bottom w:val="single" w:color="000000" w:sz="4" w:space="0"/>
              <w:right w:val="single" w:color="000000" w:sz="4" w:space="0"/>
            </w:tcBorders>
            <w:vAlign w:val="center"/>
          </w:tcPr>
          <w:p w14:paraId="044DD6F3">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6698" w:type="dxa"/>
            <w:tcBorders>
              <w:top w:val="single" w:color="000000" w:sz="4" w:space="0"/>
              <w:left w:val="nil"/>
              <w:bottom w:val="single" w:color="000000" w:sz="4" w:space="0"/>
              <w:right w:val="single" w:color="000000" w:sz="4" w:space="0"/>
            </w:tcBorders>
            <w:vAlign w:val="center"/>
          </w:tcPr>
          <w:p w14:paraId="71447DA0">
            <w:pPr>
              <w:rPr>
                <w:rFonts w:hint="eastAsia" w:ascii="宋体" w:hAnsi="宋体" w:eastAsia="宋体" w:cs="宋体"/>
                <w:sz w:val="21"/>
                <w:szCs w:val="21"/>
              </w:rPr>
            </w:pPr>
            <w:r>
              <w:rPr>
                <w:rFonts w:hint="eastAsia" w:ascii="宋体" w:hAnsi="宋体" w:eastAsia="宋体" w:cs="宋体"/>
                <w:sz w:val="21"/>
                <w:szCs w:val="21"/>
              </w:rPr>
              <w:t>▲1、槽式热泵烘干机，有效烘干容积：≥1.4m³</w:t>
            </w:r>
          </w:p>
          <w:p w14:paraId="7BB897AD">
            <w:pPr>
              <w:rPr>
                <w:rFonts w:hint="eastAsia" w:ascii="宋体" w:hAnsi="宋体" w:eastAsia="宋体" w:cs="宋体"/>
                <w:sz w:val="21"/>
                <w:szCs w:val="21"/>
              </w:rPr>
            </w:pPr>
            <w:r>
              <w:rPr>
                <w:rFonts w:hint="eastAsia" w:ascii="宋体" w:hAnsi="宋体" w:eastAsia="宋体" w:cs="宋体"/>
                <w:sz w:val="21"/>
                <w:szCs w:val="21"/>
              </w:rPr>
              <w:t>▲2、最大处理量/批：≥1.0T/批，可增高定制</w:t>
            </w:r>
          </w:p>
          <w:p w14:paraId="28E54099">
            <w:pPr>
              <w:rPr>
                <w:rFonts w:hint="eastAsia" w:ascii="宋体" w:hAnsi="宋体" w:eastAsia="宋体" w:cs="宋体"/>
                <w:sz w:val="21"/>
                <w:szCs w:val="21"/>
              </w:rPr>
            </w:pPr>
            <w:r>
              <w:rPr>
                <w:rFonts w:hint="eastAsia" w:ascii="宋体" w:hAnsi="宋体" w:eastAsia="宋体" w:cs="宋体"/>
                <w:sz w:val="21"/>
                <w:szCs w:val="21"/>
              </w:rPr>
              <w:t>3、出风烘干温度＜60℃</w:t>
            </w:r>
          </w:p>
          <w:p w14:paraId="39774987">
            <w:pPr>
              <w:rPr>
                <w:rFonts w:hint="eastAsia" w:ascii="宋体" w:hAnsi="宋体" w:eastAsia="宋体" w:cs="宋体"/>
                <w:sz w:val="21"/>
                <w:szCs w:val="21"/>
              </w:rPr>
            </w:pPr>
            <w:r>
              <w:rPr>
                <w:rFonts w:hint="eastAsia" w:ascii="宋体" w:hAnsi="宋体" w:eastAsia="宋体" w:cs="宋体"/>
                <w:sz w:val="21"/>
                <w:szCs w:val="21"/>
              </w:rPr>
              <w:t>4、控制系统：智能控温控时</w:t>
            </w:r>
          </w:p>
          <w:p w14:paraId="4DF2D4D9">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5、功率：≤8.2KW</w:t>
            </w:r>
          </w:p>
        </w:tc>
      </w:tr>
      <w:tr w14:paraId="1EE2E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C370419">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981" w:type="dxa"/>
            <w:vMerge w:val="continue"/>
            <w:tcBorders>
              <w:left w:val="nil"/>
              <w:right w:val="single" w:color="000000" w:sz="4" w:space="0"/>
            </w:tcBorders>
            <w:vAlign w:val="center"/>
          </w:tcPr>
          <w:p w14:paraId="2889A9D4">
            <w:pPr>
              <w:bidi w:val="0"/>
              <w:jc w:val="center"/>
              <w:rPr>
                <w:rFonts w:hint="eastAsia" w:ascii="宋体" w:hAnsi="宋体" w:eastAsia="宋体" w:cs="宋体"/>
                <w:sz w:val="21"/>
                <w:szCs w:val="21"/>
              </w:rPr>
            </w:pPr>
          </w:p>
        </w:tc>
        <w:tc>
          <w:tcPr>
            <w:tcW w:w="648" w:type="dxa"/>
            <w:tcBorders>
              <w:top w:val="single" w:color="000000" w:sz="4" w:space="0"/>
              <w:left w:val="nil"/>
              <w:bottom w:val="single" w:color="000000" w:sz="4" w:space="0"/>
              <w:right w:val="single" w:color="000000" w:sz="4" w:space="0"/>
            </w:tcBorders>
            <w:vAlign w:val="center"/>
          </w:tcPr>
          <w:p w14:paraId="5EB888AA">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套</w:t>
            </w:r>
          </w:p>
        </w:tc>
        <w:tc>
          <w:tcPr>
            <w:tcW w:w="564" w:type="dxa"/>
            <w:tcBorders>
              <w:top w:val="single" w:color="000000" w:sz="4" w:space="0"/>
              <w:left w:val="nil"/>
              <w:bottom w:val="single" w:color="000000" w:sz="4" w:space="0"/>
              <w:right w:val="single" w:color="000000" w:sz="4" w:space="0"/>
            </w:tcBorders>
            <w:vAlign w:val="center"/>
          </w:tcPr>
          <w:p w14:paraId="2EFA12F0">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6698" w:type="dxa"/>
            <w:tcBorders>
              <w:top w:val="single" w:color="000000" w:sz="4" w:space="0"/>
              <w:left w:val="nil"/>
              <w:bottom w:val="single" w:color="000000" w:sz="4" w:space="0"/>
              <w:right w:val="single" w:color="000000" w:sz="4" w:space="0"/>
            </w:tcBorders>
            <w:vAlign w:val="center"/>
          </w:tcPr>
          <w:p w14:paraId="723D9474">
            <w:pPr>
              <w:rPr>
                <w:rFonts w:hint="eastAsia" w:ascii="宋体" w:hAnsi="宋体" w:eastAsia="宋体" w:cs="宋体"/>
                <w:sz w:val="21"/>
                <w:szCs w:val="21"/>
              </w:rPr>
            </w:pPr>
            <w:r>
              <w:rPr>
                <w:rFonts w:hint="eastAsia" w:ascii="宋体" w:hAnsi="宋体" w:eastAsia="宋体" w:cs="宋体"/>
                <w:sz w:val="21"/>
                <w:szCs w:val="21"/>
              </w:rPr>
              <w:t>▲1、槽式热泵烘干机，有效烘干容积：≥5.5m³</w:t>
            </w:r>
          </w:p>
          <w:p w14:paraId="0CDB6C37">
            <w:pPr>
              <w:rPr>
                <w:rFonts w:hint="eastAsia" w:ascii="宋体" w:hAnsi="宋体" w:eastAsia="宋体" w:cs="宋体"/>
                <w:sz w:val="21"/>
                <w:szCs w:val="21"/>
              </w:rPr>
            </w:pPr>
            <w:r>
              <w:rPr>
                <w:rFonts w:hint="eastAsia" w:ascii="宋体" w:hAnsi="宋体" w:eastAsia="宋体" w:cs="宋体"/>
                <w:sz w:val="21"/>
                <w:szCs w:val="21"/>
              </w:rPr>
              <w:t>▲2、最大处理量/批：≥4.0T/批，可增高定制</w:t>
            </w:r>
          </w:p>
          <w:p w14:paraId="30E173C3">
            <w:pPr>
              <w:rPr>
                <w:rFonts w:hint="eastAsia" w:ascii="宋体" w:hAnsi="宋体" w:eastAsia="宋体" w:cs="宋体"/>
                <w:sz w:val="21"/>
                <w:szCs w:val="21"/>
              </w:rPr>
            </w:pPr>
            <w:r>
              <w:rPr>
                <w:rFonts w:hint="eastAsia" w:ascii="宋体" w:hAnsi="宋体" w:eastAsia="宋体" w:cs="宋体"/>
                <w:sz w:val="21"/>
                <w:szCs w:val="21"/>
              </w:rPr>
              <w:t>3、出风烘干温度＜60℃</w:t>
            </w:r>
          </w:p>
          <w:p w14:paraId="31DB6ECA">
            <w:pPr>
              <w:rPr>
                <w:rFonts w:hint="eastAsia" w:ascii="宋体" w:hAnsi="宋体" w:eastAsia="宋体" w:cs="宋体"/>
                <w:sz w:val="21"/>
                <w:szCs w:val="21"/>
              </w:rPr>
            </w:pPr>
            <w:r>
              <w:rPr>
                <w:rFonts w:hint="eastAsia" w:ascii="宋体" w:hAnsi="宋体" w:eastAsia="宋体" w:cs="宋体"/>
                <w:sz w:val="21"/>
                <w:szCs w:val="21"/>
              </w:rPr>
              <w:t>4、控制系统：智能控温控时</w:t>
            </w:r>
          </w:p>
          <w:p w14:paraId="2DAB5BCC">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5、功率：≤19.5KW</w:t>
            </w:r>
          </w:p>
        </w:tc>
      </w:tr>
      <w:tr w14:paraId="31910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4157632">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981" w:type="dxa"/>
            <w:vMerge w:val="continue"/>
            <w:tcBorders>
              <w:left w:val="nil"/>
              <w:right w:val="single" w:color="000000" w:sz="4" w:space="0"/>
            </w:tcBorders>
            <w:vAlign w:val="center"/>
          </w:tcPr>
          <w:p w14:paraId="5345636C">
            <w:pPr>
              <w:bidi w:val="0"/>
              <w:jc w:val="center"/>
              <w:rPr>
                <w:rFonts w:hint="eastAsia" w:ascii="宋体" w:hAnsi="宋体" w:eastAsia="宋体" w:cs="宋体"/>
                <w:sz w:val="21"/>
                <w:szCs w:val="21"/>
              </w:rPr>
            </w:pPr>
          </w:p>
        </w:tc>
        <w:tc>
          <w:tcPr>
            <w:tcW w:w="648" w:type="dxa"/>
            <w:tcBorders>
              <w:top w:val="single" w:color="000000" w:sz="4" w:space="0"/>
              <w:left w:val="nil"/>
              <w:bottom w:val="single" w:color="000000" w:sz="4" w:space="0"/>
              <w:right w:val="single" w:color="000000" w:sz="4" w:space="0"/>
            </w:tcBorders>
            <w:vAlign w:val="center"/>
          </w:tcPr>
          <w:p w14:paraId="200F13B6">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套</w:t>
            </w:r>
          </w:p>
        </w:tc>
        <w:tc>
          <w:tcPr>
            <w:tcW w:w="564" w:type="dxa"/>
            <w:tcBorders>
              <w:top w:val="single" w:color="000000" w:sz="4" w:space="0"/>
              <w:left w:val="nil"/>
              <w:bottom w:val="single" w:color="000000" w:sz="4" w:space="0"/>
              <w:right w:val="single" w:color="000000" w:sz="4" w:space="0"/>
            </w:tcBorders>
            <w:vAlign w:val="center"/>
          </w:tcPr>
          <w:p w14:paraId="081E8374">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w:t>
            </w:r>
          </w:p>
        </w:tc>
        <w:tc>
          <w:tcPr>
            <w:tcW w:w="6698" w:type="dxa"/>
            <w:tcBorders>
              <w:top w:val="single" w:color="000000" w:sz="4" w:space="0"/>
              <w:left w:val="nil"/>
              <w:bottom w:val="single" w:color="000000" w:sz="4" w:space="0"/>
              <w:right w:val="single" w:color="000000" w:sz="4" w:space="0"/>
            </w:tcBorders>
            <w:vAlign w:val="center"/>
          </w:tcPr>
          <w:p w14:paraId="03BB40D1">
            <w:pPr>
              <w:rPr>
                <w:rFonts w:hint="eastAsia" w:ascii="宋体" w:hAnsi="宋体" w:eastAsia="宋体" w:cs="宋体"/>
                <w:sz w:val="21"/>
                <w:szCs w:val="21"/>
              </w:rPr>
            </w:pPr>
            <w:r>
              <w:rPr>
                <w:rFonts w:hint="eastAsia" w:ascii="宋体" w:hAnsi="宋体" w:eastAsia="宋体" w:cs="宋体"/>
                <w:sz w:val="21"/>
                <w:szCs w:val="21"/>
              </w:rPr>
              <w:t>▲1、槽式热泵烘干机，有效烘干容积：≥8.5m³</w:t>
            </w:r>
          </w:p>
          <w:p w14:paraId="43E0EB8B">
            <w:pPr>
              <w:rPr>
                <w:rFonts w:hint="eastAsia" w:ascii="宋体" w:hAnsi="宋体" w:eastAsia="宋体" w:cs="宋体"/>
                <w:sz w:val="21"/>
                <w:szCs w:val="21"/>
              </w:rPr>
            </w:pPr>
            <w:r>
              <w:rPr>
                <w:rFonts w:hint="eastAsia" w:ascii="宋体" w:hAnsi="宋体" w:eastAsia="宋体" w:cs="宋体"/>
                <w:sz w:val="21"/>
                <w:szCs w:val="21"/>
              </w:rPr>
              <w:t>▲2、最大处理量/批：≥6.5T/批，可增高定制</w:t>
            </w:r>
          </w:p>
          <w:p w14:paraId="02759AFA">
            <w:pPr>
              <w:rPr>
                <w:rFonts w:hint="eastAsia" w:ascii="宋体" w:hAnsi="宋体" w:eastAsia="宋体" w:cs="宋体"/>
                <w:sz w:val="21"/>
                <w:szCs w:val="21"/>
              </w:rPr>
            </w:pPr>
            <w:r>
              <w:rPr>
                <w:rFonts w:hint="eastAsia" w:ascii="宋体" w:hAnsi="宋体" w:eastAsia="宋体" w:cs="宋体"/>
                <w:sz w:val="21"/>
                <w:szCs w:val="21"/>
              </w:rPr>
              <w:t>3、出风烘干温度＜60℃</w:t>
            </w:r>
          </w:p>
          <w:p w14:paraId="2CC6D193">
            <w:pPr>
              <w:rPr>
                <w:rFonts w:hint="eastAsia" w:ascii="宋体" w:hAnsi="宋体" w:eastAsia="宋体" w:cs="宋体"/>
                <w:sz w:val="21"/>
                <w:szCs w:val="21"/>
              </w:rPr>
            </w:pPr>
            <w:r>
              <w:rPr>
                <w:rFonts w:hint="eastAsia" w:ascii="宋体" w:hAnsi="宋体" w:eastAsia="宋体" w:cs="宋体"/>
                <w:sz w:val="21"/>
                <w:szCs w:val="21"/>
              </w:rPr>
              <w:t>4、控制系统：智能控温控时</w:t>
            </w:r>
          </w:p>
          <w:p w14:paraId="6D84F843">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5、功率：≤36.9KW</w:t>
            </w:r>
          </w:p>
        </w:tc>
      </w:tr>
      <w:tr w14:paraId="0BA33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453" w:type="dxa"/>
            <w:gridSpan w:val="5"/>
            <w:tcBorders>
              <w:top w:val="single" w:color="000000" w:sz="4" w:space="0"/>
              <w:left w:val="single" w:color="auto" w:sz="4" w:space="0"/>
              <w:bottom w:val="single" w:color="000000" w:sz="4" w:space="0"/>
              <w:right w:val="single" w:color="000000" w:sz="4" w:space="0"/>
            </w:tcBorders>
            <w:vAlign w:val="center"/>
          </w:tcPr>
          <w:p w14:paraId="6710C2C5">
            <w:pPr>
              <w:jc w:val="center"/>
              <w:rPr>
                <w:rFonts w:hint="eastAsia" w:ascii="宋体" w:hAnsi="宋体" w:eastAsia="宋体" w:cs="宋体"/>
                <w:sz w:val="21"/>
                <w:szCs w:val="21"/>
              </w:rPr>
            </w:pPr>
            <w:r>
              <w:rPr>
                <w:rFonts w:hint="eastAsia" w:ascii="仿宋" w:hAnsi="仿宋" w:eastAsia="仿宋" w:cs="仿宋"/>
                <w:b/>
                <w:bCs/>
                <w:color w:val="auto"/>
                <w:sz w:val="30"/>
                <w:szCs w:val="30"/>
                <w:highlight w:val="none"/>
                <w:lang w:eastAsia="zh-CN"/>
              </w:rPr>
              <w:t>二、</w:t>
            </w:r>
            <w:r>
              <w:rPr>
                <w:rFonts w:hint="eastAsia" w:ascii="仿宋" w:hAnsi="仿宋" w:eastAsia="仿宋" w:cs="仿宋"/>
                <w:b/>
                <w:bCs/>
                <w:color w:val="auto"/>
                <w:sz w:val="30"/>
                <w:szCs w:val="30"/>
                <w:highlight w:val="none"/>
              </w:rPr>
              <w:t>商务要求</w:t>
            </w:r>
          </w:p>
        </w:tc>
      </w:tr>
      <w:tr w14:paraId="052B6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5D2FDC88">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981" w:type="dxa"/>
            <w:tcBorders>
              <w:left w:val="nil"/>
              <w:right w:val="single" w:color="000000" w:sz="4" w:space="0"/>
            </w:tcBorders>
            <w:shd w:val="clear" w:color="auto" w:fill="auto"/>
            <w:vAlign w:val="center"/>
          </w:tcPr>
          <w:p w14:paraId="119ACA57">
            <w:pPr>
              <w:snapToGrid w:val="0"/>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质保期</w:t>
            </w:r>
          </w:p>
        </w:tc>
        <w:tc>
          <w:tcPr>
            <w:tcW w:w="7910" w:type="dxa"/>
            <w:gridSpan w:val="3"/>
            <w:tcBorders>
              <w:top w:val="single" w:color="000000" w:sz="4" w:space="0"/>
              <w:left w:val="nil"/>
              <w:bottom w:val="single" w:color="000000" w:sz="4" w:space="0"/>
              <w:right w:val="single" w:color="000000" w:sz="4" w:space="0"/>
            </w:tcBorders>
            <w:shd w:val="clear" w:color="auto" w:fill="auto"/>
            <w:vAlign w:val="top"/>
          </w:tcPr>
          <w:p w14:paraId="4DF0B8D7">
            <w:pPr>
              <w:pStyle w:val="14"/>
              <w:snapToGrid w:val="0"/>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en-US" w:eastAsia="zh-CN"/>
              </w:rPr>
              <w:t>按国家有关产品“三包”规定执行“三包”，所有设备自验收合格之日起质保期≥1年（质保期承诺如优于招标文件规定的，按中标人实际承诺质保期执行。），</w:t>
            </w:r>
            <w:r>
              <w:rPr>
                <w:rFonts w:hint="eastAsia" w:ascii="宋体" w:hAnsi="宋体" w:eastAsia="宋体" w:cs="宋体"/>
                <w:sz w:val="21"/>
                <w:szCs w:val="21"/>
                <w:lang w:val="en-US" w:eastAsia="zh-CN"/>
              </w:rPr>
              <w:t>提供终身有偿维护。</w:t>
            </w:r>
          </w:p>
          <w:p w14:paraId="037F5A85">
            <w:pPr>
              <w:pStyle w:val="14"/>
              <w:snapToGrid w:val="0"/>
              <w:spacing w:line="4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2.质保期所更换的零配件必须是同品牌同型号全新的零配件，满足设备运行要求。</w:t>
            </w:r>
          </w:p>
        </w:tc>
      </w:tr>
      <w:tr w14:paraId="678A7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6000461E">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981" w:type="dxa"/>
            <w:tcBorders>
              <w:left w:val="nil"/>
              <w:right w:val="single" w:color="000000" w:sz="4" w:space="0"/>
            </w:tcBorders>
            <w:shd w:val="clear" w:color="auto" w:fill="auto"/>
            <w:vAlign w:val="center"/>
          </w:tcPr>
          <w:p w14:paraId="6A18DB68">
            <w:pPr>
              <w:snapToGrid w:val="0"/>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w:t>
            </w:r>
          </w:p>
        </w:tc>
        <w:tc>
          <w:tcPr>
            <w:tcW w:w="7910" w:type="dxa"/>
            <w:gridSpan w:val="3"/>
            <w:tcBorders>
              <w:top w:val="single" w:color="000000" w:sz="4" w:space="0"/>
              <w:left w:val="nil"/>
              <w:bottom w:val="single" w:color="000000" w:sz="4" w:space="0"/>
              <w:right w:val="single" w:color="000000" w:sz="4" w:space="0"/>
            </w:tcBorders>
            <w:shd w:val="clear" w:color="auto" w:fill="auto"/>
            <w:vAlign w:val="top"/>
          </w:tcPr>
          <w:p w14:paraId="2A1A13BA">
            <w:pPr>
              <w:snapToGrid w:val="0"/>
              <w:spacing w:line="400" w:lineRule="exact"/>
              <w:outlineLvl w:val="0"/>
              <w:rPr>
                <w:rFonts w:hint="eastAsia" w:ascii="宋体" w:hAnsi="宋体" w:eastAsia="宋体" w:cs="宋体"/>
                <w:kern w:val="2"/>
                <w:sz w:val="21"/>
                <w:szCs w:val="21"/>
                <w:lang w:val="en-US" w:eastAsia="zh-CN" w:bidi="ar-SA"/>
              </w:rPr>
            </w:pP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报价包括货物的所有费用，包括货物采购、运输、安装调试、保险、培训、售后服务、</w:t>
            </w:r>
            <w:r>
              <w:rPr>
                <w:rFonts w:hint="eastAsia" w:ascii="宋体" w:hAnsi="宋体" w:eastAsia="宋体" w:cs="宋体"/>
                <w:sz w:val="21"/>
                <w:szCs w:val="21"/>
                <w:lang w:eastAsia="zh-CN"/>
              </w:rPr>
              <w:t>备品备件、</w:t>
            </w:r>
            <w:r>
              <w:rPr>
                <w:rFonts w:hint="eastAsia" w:ascii="宋体" w:hAnsi="宋体" w:eastAsia="宋体" w:cs="宋体"/>
                <w:sz w:val="21"/>
                <w:szCs w:val="21"/>
              </w:rPr>
              <w:t>必要检测、利润、税金以及所有的不</w:t>
            </w:r>
            <w:r>
              <w:rPr>
                <w:rFonts w:hint="eastAsia" w:ascii="宋体" w:hAnsi="宋体" w:eastAsia="宋体" w:cs="宋体"/>
                <w:sz w:val="21"/>
                <w:szCs w:val="21"/>
                <w:lang w:eastAsia="zh-CN"/>
              </w:rPr>
              <w:t>确</w:t>
            </w:r>
            <w:r>
              <w:rPr>
                <w:rFonts w:hint="eastAsia" w:ascii="宋体" w:hAnsi="宋体" w:eastAsia="宋体" w:cs="宋体"/>
                <w:sz w:val="21"/>
                <w:szCs w:val="21"/>
              </w:rPr>
              <w:t>定因素的风险等</w:t>
            </w:r>
            <w:r>
              <w:rPr>
                <w:rFonts w:hint="eastAsia" w:ascii="宋体" w:hAnsi="宋体" w:eastAsia="宋体" w:cs="宋体"/>
                <w:sz w:val="21"/>
                <w:szCs w:val="21"/>
                <w:lang w:eastAsia="zh-CN"/>
              </w:rPr>
              <w:t>。</w:t>
            </w:r>
          </w:p>
        </w:tc>
      </w:tr>
      <w:tr w14:paraId="3440C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6E9FC4D0">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981" w:type="dxa"/>
            <w:tcBorders>
              <w:left w:val="nil"/>
              <w:right w:val="single" w:color="000000" w:sz="4" w:space="0"/>
            </w:tcBorders>
            <w:shd w:val="clear" w:color="auto" w:fill="auto"/>
            <w:vAlign w:val="center"/>
          </w:tcPr>
          <w:p w14:paraId="797C9051">
            <w:pPr>
              <w:snapToGrid w:val="0"/>
              <w:spacing w:line="400" w:lineRule="exact"/>
              <w:jc w:val="center"/>
              <w:outlineLvl w:val="0"/>
              <w:rPr>
                <w:rFonts w:hint="eastAsia" w:ascii="宋体" w:hAnsi="宋体" w:eastAsia="宋体" w:cs="宋体"/>
                <w:kern w:val="2"/>
                <w:sz w:val="21"/>
                <w:szCs w:val="21"/>
                <w:lang w:val="en-US" w:eastAsia="zh-CN" w:bidi="ar-SA"/>
              </w:rPr>
            </w:pPr>
            <w:r>
              <w:rPr>
                <w:rFonts w:hint="eastAsia" w:ascii="宋体" w:hAnsi="宋体" w:eastAsia="宋体" w:cs="宋体"/>
                <w:color w:val="auto"/>
                <w:kern w:val="0"/>
                <w:sz w:val="21"/>
                <w:szCs w:val="21"/>
                <w:highlight w:val="none"/>
              </w:rPr>
              <w:t>▲</w:t>
            </w:r>
            <w:r>
              <w:rPr>
                <w:rFonts w:hint="eastAsia" w:ascii="宋体" w:hAnsi="宋体" w:eastAsia="宋体" w:cs="宋体"/>
                <w:bCs/>
                <w:kern w:val="0"/>
                <w:sz w:val="21"/>
                <w:szCs w:val="21"/>
              </w:rPr>
              <w:t>交货时间及地点</w:t>
            </w:r>
          </w:p>
        </w:tc>
        <w:tc>
          <w:tcPr>
            <w:tcW w:w="7910" w:type="dxa"/>
            <w:gridSpan w:val="3"/>
            <w:tcBorders>
              <w:top w:val="single" w:color="000000" w:sz="4" w:space="0"/>
              <w:left w:val="nil"/>
              <w:bottom w:val="single" w:color="000000" w:sz="4" w:space="0"/>
              <w:right w:val="single" w:color="000000" w:sz="4" w:space="0"/>
            </w:tcBorders>
            <w:shd w:val="clear" w:color="auto" w:fill="auto"/>
            <w:vAlign w:val="top"/>
          </w:tcPr>
          <w:p w14:paraId="39418E7A">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1</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交货时间：自签订合同</w:t>
            </w:r>
            <w:r>
              <w:rPr>
                <w:rFonts w:hint="eastAsia" w:ascii="宋体" w:hAnsi="宋体" w:eastAsia="宋体" w:cs="宋体"/>
                <w:bCs/>
                <w:color w:val="auto"/>
                <w:kern w:val="0"/>
                <w:sz w:val="21"/>
                <w:szCs w:val="21"/>
                <w:highlight w:val="none"/>
              </w:rPr>
              <w:t>之日起</w:t>
            </w:r>
            <w:r>
              <w:rPr>
                <w:rFonts w:hint="eastAsia" w:ascii="宋体" w:hAnsi="宋体" w:eastAsia="宋体" w:cs="宋体"/>
                <w:bCs/>
                <w:color w:val="auto"/>
                <w:kern w:val="0"/>
                <w:sz w:val="21"/>
                <w:szCs w:val="21"/>
                <w:highlight w:val="none"/>
                <w:lang w:val="en-US" w:eastAsia="zh-CN"/>
              </w:rPr>
              <w:t>30天内按采购人要</w:t>
            </w:r>
            <w:r>
              <w:rPr>
                <w:rFonts w:hint="eastAsia" w:ascii="宋体" w:hAnsi="宋体" w:eastAsia="宋体" w:cs="宋体"/>
                <w:bCs/>
                <w:kern w:val="0"/>
                <w:sz w:val="21"/>
                <w:szCs w:val="21"/>
                <w:lang w:val="en-US" w:eastAsia="zh-CN"/>
              </w:rPr>
              <w:t>求</w:t>
            </w:r>
            <w:r>
              <w:rPr>
                <w:rFonts w:hint="eastAsia" w:ascii="宋体" w:hAnsi="宋体" w:eastAsia="宋体" w:cs="宋体"/>
                <w:bCs/>
                <w:kern w:val="0"/>
                <w:sz w:val="21"/>
                <w:szCs w:val="21"/>
              </w:rPr>
              <w:t>安装完毕并交付使用。</w:t>
            </w:r>
          </w:p>
          <w:p w14:paraId="75653576">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2</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交货内容包括：</w:t>
            </w:r>
          </w:p>
          <w:p w14:paraId="0C68DB6E">
            <w:pPr>
              <w:numPr>
                <w:ilvl w:val="0"/>
                <w:numId w:val="4"/>
              </w:numPr>
              <w:snapToGrid w:val="0"/>
              <w:spacing w:line="400" w:lineRule="exact"/>
              <w:outlineLvl w:val="0"/>
              <w:rPr>
                <w:rFonts w:hint="eastAsia" w:ascii="宋体" w:hAnsi="宋体" w:eastAsia="宋体" w:cs="宋体"/>
                <w:sz w:val="21"/>
                <w:szCs w:val="21"/>
              </w:rPr>
            </w:pPr>
            <w:r>
              <w:rPr>
                <w:rFonts w:hint="eastAsia" w:ascii="宋体" w:hAnsi="宋体" w:eastAsia="宋体" w:cs="宋体"/>
                <w:bCs/>
                <w:kern w:val="0"/>
                <w:sz w:val="21"/>
                <w:szCs w:val="21"/>
              </w:rPr>
              <w:t>设备整机、配件、</w:t>
            </w:r>
            <w:r>
              <w:rPr>
                <w:rFonts w:hint="eastAsia" w:ascii="宋体" w:hAnsi="宋体" w:eastAsia="宋体" w:cs="宋体"/>
                <w:bCs/>
                <w:kern w:val="0"/>
                <w:sz w:val="21"/>
                <w:szCs w:val="21"/>
                <w:lang w:eastAsia="zh-CN"/>
              </w:rPr>
              <w:t>出厂随配</w:t>
            </w:r>
            <w:r>
              <w:rPr>
                <w:rFonts w:hint="eastAsia" w:ascii="宋体" w:hAnsi="宋体" w:eastAsia="宋体" w:cs="宋体"/>
                <w:bCs/>
                <w:kern w:val="0"/>
                <w:sz w:val="21"/>
                <w:szCs w:val="21"/>
              </w:rPr>
              <w:t>耗材等。</w:t>
            </w:r>
          </w:p>
          <w:p w14:paraId="238B5AFD">
            <w:pPr>
              <w:numPr>
                <w:ilvl w:val="0"/>
                <w:numId w:val="4"/>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说明书、产品合格证</w:t>
            </w:r>
            <w:r>
              <w:rPr>
                <w:rFonts w:hint="eastAsia" w:ascii="宋体" w:hAnsi="宋体" w:eastAsia="宋体" w:cs="宋体"/>
                <w:sz w:val="21"/>
                <w:szCs w:val="21"/>
                <w:lang w:eastAsia="zh-CN"/>
              </w:rPr>
              <w:t>或质量证书</w:t>
            </w:r>
            <w:r>
              <w:rPr>
                <w:rFonts w:hint="eastAsia" w:ascii="宋体" w:hAnsi="宋体" w:eastAsia="宋体" w:cs="宋体"/>
                <w:sz w:val="21"/>
                <w:szCs w:val="21"/>
              </w:rPr>
              <w:t>、保修单、保险单（如有）</w:t>
            </w:r>
            <w:r>
              <w:rPr>
                <w:rFonts w:hint="eastAsia" w:ascii="宋体" w:hAnsi="宋体" w:eastAsia="宋体" w:cs="宋体"/>
                <w:sz w:val="21"/>
                <w:szCs w:val="21"/>
                <w:lang w:eastAsia="zh-CN"/>
              </w:rPr>
              <w:t>等</w:t>
            </w:r>
            <w:r>
              <w:rPr>
                <w:rFonts w:hint="eastAsia" w:ascii="宋体" w:hAnsi="宋体" w:eastAsia="宋体" w:cs="宋体"/>
                <w:sz w:val="21"/>
                <w:szCs w:val="21"/>
              </w:rPr>
              <w:t>。</w:t>
            </w:r>
          </w:p>
          <w:p w14:paraId="6112709F">
            <w:pPr>
              <w:numPr>
                <w:ilvl w:val="0"/>
                <w:numId w:val="4"/>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上述文件资料应随货物一并提供。</w:t>
            </w:r>
          </w:p>
          <w:p w14:paraId="1C26910B">
            <w:pPr>
              <w:snapToGrid w:val="0"/>
              <w:spacing w:line="400" w:lineRule="exact"/>
              <w:outlineLvl w:val="0"/>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交货地点：</w:t>
            </w:r>
            <w:r>
              <w:rPr>
                <w:rFonts w:hint="eastAsia" w:ascii="宋体" w:hAnsi="宋体" w:eastAsia="宋体" w:cs="宋体"/>
                <w:sz w:val="21"/>
                <w:szCs w:val="21"/>
                <w:lang w:eastAsia="zh-CN"/>
              </w:rPr>
              <w:t>海南省三亚市崖州湾科技城采购人指定地点</w:t>
            </w:r>
            <w:r>
              <w:rPr>
                <w:rFonts w:hint="eastAsia" w:ascii="宋体" w:hAnsi="宋体" w:eastAsia="宋体" w:cs="宋体"/>
                <w:sz w:val="21"/>
                <w:szCs w:val="21"/>
              </w:rPr>
              <w:t>。</w:t>
            </w:r>
          </w:p>
        </w:tc>
      </w:tr>
      <w:tr w14:paraId="20A51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6D27A36A">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981" w:type="dxa"/>
            <w:tcBorders>
              <w:left w:val="nil"/>
              <w:right w:val="single" w:color="000000" w:sz="4" w:space="0"/>
            </w:tcBorders>
            <w:shd w:val="clear" w:color="auto" w:fill="auto"/>
            <w:vAlign w:val="center"/>
          </w:tcPr>
          <w:p w14:paraId="28C60122">
            <w:pPr>
              <w:snapToGrid w:val="0"/>
              <w:spacing w:line="360" w:lineRule="auto"/>
              <w:jc w:val="center"/>
              <w:outlineLvl w:val="0"/>
              <w:rPr>
                <w:rFonts w:hint="eastAsia" w:ascii="宋体" w:hAnsi="宋体" w:eastAsia="宋体" w:cs="宋体"/>
                <w:bCs/>
                <w:kern w:val="0"/>
                <w:sz w:val="21"/>
                <w:szCs w:val="21"/>
                <w:lang w:val="en-US" w:eastAsia="zh-CN" w:bidi="ar-SA"/>
              </w:rPr>
            </w:pPr>
            <w:r>
              <w:rPr>
                <w:rFonts w:hint="eastAsia" w:ascii="宋体" w:hAnsi="宋体" w:eastAsia="宋体" w:cs="宋体"/>
                <w:bCs/>
                <w:kern w:val="0"/>
                <w:sz w:val="21"/>
                <w:szCs w:val="21"/>
              </w:rPr>
              <w:t>验收</w:t>
            </w:r>
            <w:r>
              <w:rPr>
                <w:rFonts w:hint="eastAsia" w:ascii="宋体" w:hAnsi="宋体" w:eastAsia="宋体" w:cs="宋体"/>
                <w:bCs/>
                <w:kern w:val="0"/>
                <w:sz w:val="21"/>
                <w:szCs w:val="21"/>
                <w:lang w:eastAsia="zh-CN"/>
              </w:rPr>
              <w:t>依据、标准、验收程序</w:t>
            </w:r>
          </w:p>
        </w:tc>
        <w:tc>
          <w:tcPr>
            <w:tcW w:w="7910" w:type="dxa"/>
            <w:gridSpan w:val="3"/>
            <w:tcBorders>
              <w:top w:val="single" w:color="000000" w:sz="4" w:space="0"/>
              <w:left w:val="nil"/>
              <w:bottom w:val="single" w:color="000000" w:sz="4" w:space="0"/>
              <w:right w:val="single" w:color="000000" w:sz="4" w:space="0"/>
            </w:tcBorders>
            <w:shd w:val="clear" w:color="auto" w:fill="auto"/>
            <w:vAlign w:val="top"/>
          </w:tcPr>
          <w:p w14:paraId="4367854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验收主体：采购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w:t>
            </w:r>
          </w:p>
          <w:p w14:paraId="705058B9">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自仪器设备到货</w:t>
            </w:r>
            <w:r>
              <w:rPr>
                <w:rFonts w:hint="eastAsia" w:ascii="宋体" w:hAnsi="宋体" w:eastAsia="宋体" w:cs="宋体"/>
                <w:color w:val="auto"/>
                <w:sz w:val="21"/>
                <w:szCs w:val="21"/>
                <w:lang w:eastAsia="zh-CN"/>
              </w:rPr>
              <w:t>、安装调试完成</w:t>
            </w:r>
            <w:r>
              <w:rPr>
                <w:rFonts w:hint="eastAsia" w:ascii="宋体" w:hAnsi="宋体" w:eastAsia="宋体" w:cs="宋体"/>
                <w:color w:val="auto"/>
                <w:sz w:val="21"/>
                <w:szCs w:val="21"/>
              </w:rPr>
              <w:t>之日起</w:t>
            </w:r>
            <w:r>
              <w:rPr>
                <w:rFonts w:hint="eastAsia" w:ascii="宋体" w:hAnsi="宋体" w:eastAsia="宋体" w:cs="宋体"/>
                <w:color w:val="auto"/>
                <w:sz w:val="21"/>
                <w:szCs w:val="21"/>
                <w:lang w:val="en-US" w:eastAsia="zh-CN"/>
              </w:rPr>
              <w:t>30天内完成验收</w:t>
            </w:r>
            <w:r>
              <w:rPr>
                <w:rFonts w:hint="eastAsia" w:ascii="宋体" w:hAnsi="宋体" w:eastAsia="宋体" w:cs="宋体"/>
                <w:color w:val="auto"/>
                <w:sz w:val="21"/>
                <w:szCs w:val="21"/>
              </w:rPr>
              <w:t>。</w:t>
            </w:r>
          </w:p>
          <w:p w14:paraId="278E0CA0">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依据及标准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国家、行业标准、招标文件采购需求、投标文件承诺。</w:t>
            </w:r>
          </w:p>
          <w:p w14:paraId="75D22FFB">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履约验收程序</w:t>
            </w:r>
            <w:r>
              <w:rPr>
                <w:rFonts w:hint="eastAsia" w:ascii="宋体" w:hAnsi="宋体" w:eastAsia="宋体" w:cs="宋体"/>
                <w:color w:val="auto"/>
                <w:sz w:val="21"/>
                <w:szCs w:val="21"/>
                <w:highlight w:val="none"/>
                <w:lang w:eastAsia="zh-CN"/>
              </w:rPr>
              <w:t>：</w:t>
            </w:r>
          </w:p>
          <w:p w14:paraId="1A739DF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A.成立验收小组：采购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代表成立验收小组。</w:t>
            </w:r>
          </w:p>
          <w:p w14:paraId="024240A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B.开箱验收：</w:t>
            </w:r>
          </w:p>
          <w:p w14:paraId="29B957C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中标人代表双方当场</w:t>
            </w:r>
            <w:r>
              <w:rPr>
                <w:rFonts w:hint="eastAsia" w:ascii="宋体" w:hAnsi="宋体" w:eastAsia="宋体" w:cs="宋体"/>
                <w:color w:val="auto"/>
                <w:sz w:val="21"/>
                <w:szCs w:val="21"/>
                <w:highlight w:val="none"/>
              </w:rPr>
              <w:t>进行开箱验收。检查其外包装是否完好无损，并对设备数量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eastAsia="zh-CN"/>
              </w:rPr>
              <w:t>初步</w:t>
            </w:r>
            <w:r>
              <w:rPr>
                <w:rFonts w:hint="eastAsia" w:ascii="宋体" w:hAnsi="宋体" w:eastAsia="宋体" w:cs="宋体"/>
                <w:color w:val="auto"/>
                <w:sz w:val="21"/>
                <w:szCs w:val="21"/>
                <w:highlight w:val="none"/>
              </w:rPr>
              <w:t>核对，检查是否与合同一致，文档材料是否齐全。</w:t>
            </w:r>
          </w:p>
          <w:p w14:paraId="0657F9E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)如发现设备短缺、损坏或其他与合同约定不符的情况，由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采取补齐、更换及其他补救措施，以确保仪器设备的正常安装调试。</w:t>
            </w:r>
          </w:p>
          <w:p w14:paraId="5A08327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)开箱检验合格后，由采购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w:t>
            </w:r>
            <w:r>
              <w:rPr>
                <w:rFonts w:hint="eastAsia" w:ascii="宋体" w:hAnsi="宋体" w:eastAsia="宋体" w:cs="宋体"/>
                <w:color w:val="auto"/>
                <w:sz w:val="21"/>
                <w:szCs w:val="21"/>
                <w:highlight w:val="none"/>
              </w:rPr>
              <w:t>签署开箱检验验收书，开箱检验验收书应列明合同设备数量、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文档资料等验收情况及评价意见。</w:t>
            </w:r>
          </w:p>
          <w:p w14:paraId="3F25769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C.安装、调试</w:t>
            </w:r>
          </w:p>
          <w:p w14:paraId="416EB84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进行仪器设备的安装、调试。</w:t>
            </w:r>
          </w:p>
          <w:p w14:paraId="65A995D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w:t>
            </w:r>
            <w:r>
              <w:rPr>
                <w:rFonts w:hint="eastAsia" w:ascii="宋体" w:hAnsi="宋体" w:eastAsia="宋体" w:cs="宋体"/>
                <w:color w:val="auto"/>
                <w:sz w:val="21"/>
                <w:szCs w:val="21"/>
                <w:highlight w:val="none"/>
                <w:lang w:eastAsia="zh-CN"/>
              </w:rPr>
              <w:t>、中标人代表进行设备试运行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试运行情况</w:t>
            </w:r>
            <w:r>
              <w:rPr>
                <w:rFonts w:hint="eastAsia" w:ascii="宋体" w:hAnsi="宋体" w:eastAsia="宋体" w:cs="宋体"/>
                <w:color w:val="auto"/>
                <w:sz w:val="21"/>
                <w:szCs w:val="21"/>
                <w:highlight w:val="none"/>
              </w:rPr>
              <w:t>进行评价。</w:t>
            </w:r>
          </w:p>
          <w:p w14:paraId="1B70EAAE">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试运行时由采购人对照招标文件的功能目标及技术指标要求、投标文件响应的功能、参数全面核对检验，所提供设备的性能应与投标时提供的证明文件及响应的功能、参数完全一致，</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共同对安装、调试情况进行记录。</w:t>
            </w:r>
            <w:r>
              <w:rPr>
                <w:rFonts w:hint="eastAsia" w:ascii="宋体" w:hAnsi="宋体" w:eastAsia="宋体" w:cs="宋体"/>
                <w:color w:val="auto"/>
                <w:sz w:val="21"/>
                <w:szCs w:val="21"/>
                <w:highlight w:val="none"/>
                <w:lang w:eastAsia="zh-CN"/>
              </w:rPr>
              <w:t>如不符合招标文件的技术需求及要求以及提供虚假承诺的，按相关规定做退货处理及违约处理，中标人承担所有责任和费用，采购人保留进一步追究责任的权利。</w:t>
            </w:r>
          </w:p>
          <w:p w14:paraId="51ABA997">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采购项目进行验收时，采购人可以邀请参加本项目的其他投标人、技术专家或者第三方机构参与验收。参与验收的投标人、技术专家或者第三方机构的意见作为验收书的参考资料一并存档。验收所产生的一切费用由中标人承担。</w:t>
            </w:r>
          </w:p>
          <w:p w14:paraId="4BB6A3A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D</w:t>
            </w:r>
            <w:r>
              <w:rPr>
                <w:rFonts w:hint="eastAsia" w:ascii="宋体" w:hAnsi="宋体" w:eastAsia="宋体" w:cs="宋体"/>
                <w:color w:val="auto"/>
                <w:sz w:val="21"/>
                <w:szCs w:val="21"/>
                <w:highlight w:val="none"/>
              </w:rPr>
              <w:t>.履约验收其他事项：</w:t>
            </w:r>
          </w:p>
          <w:p w14:paraId="4EF571E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验收资料归档，采购合同项目完成验收后，将验收原始记录、验收书等资料作为该采购项目档案妥善保管，不得伪造、变造、隐匿或者销毁，验收资料保存期为采购结束之日起至少保存15年。</w:t>
            </w:r>
          </w:p>
          <w:p w14:paraId="526C30B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原因造成不按时完成验收、造成逾期供货事实的，由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承担相关合同责任。</w:t>
            </w:r>
          </w:p>
          <w:p w14:paraId="4359B81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)验收合格后视为设备交接，在验收合格前设备属于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，所有运输、仓储、装卸、保管、搬运等相关责任由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负责。</w:t>
            </w:r>
          </w:p>
          <w:p w14:paraId="045EAE18">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5.验收内容：包括每个采购标的每一项技术参数和商务要求全部内容的履约情况。</w:t>
            </w:r>
          </w:p>
        </w:tc>
      </w:tr>
      <w:tr w14:paraId="7C52C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06F6FB5C">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p>
        </w:tc>
        <w:tc>
          <w:tcPr>
            <w:tcW w:w="981" w:type="dxa"/>
            <w:tcBorders>
              <w:left w:val="nil"/>
              <w:right w:val="single" w:color="000000" w:sz="4" w:space="0"/>
            </w:tcBorders>
            <w:shd w:val="clear" w:color="auto" w:fill="auto"/>
            <w:vAlign w:val="center"/>
          </w:tcPr>
          <w:p w14:paraId="3DE244E6">
            <w:pPr>
              <w:snapToGrid w:val="0"/>
              <w:spacing w:line="400" w:lineRule="exact"/>
              <w:jc w:val="center"/>
              <w:rPr>
                <w:rFonts w:hint="eastAsia" w:ascii="宋体" w:hAnsi="宋体" w:eastAsia="宋体" w:cs="宋体"/>
                <w:bCs/>
                <w:color w:val="auto"/>
                <w:kern w:val="0"/>
                <w:sz w:val="21"/>
                <w:szCs w:val="21"/>
                <w:lang w:val="en-US" w:eastAsia="zh-CN" w:bidi="ar-SA"/>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rPr>
              <w:t>付款条件</w:t>
            </w:r>
          </w:p>
        </w:tc>
        <w:tc>
          <w:tcPr>
            <w:tcW w:w="7910" w:type="dxa"/>
            <w:gridSpan w:val="3"/>
            <w:tcBorders>
              <w:top w:val="single" w:color="000000" w:sz="4" w:space="0"/>
              <w:left w:val="nil"/>
              <w:bottom w:val="single" w:color="000000" w:sz="4" w:space="0"/>
              <w:right w:val="single" w:color="000000" w:sz="4" w:space="0"/>
            </w:tcBorders>
            <w:shd w:val="clear" w:color="auto" w:fill="auto"/>
            <w:vAlign w:val="top"/>
          </w:tcPr>
          <w:p w14:paraId="20F13B2E">
            <w:pPr>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.签订合同后10个工作日内，支付合同合计金额的30%作为预付款；全部货物到货后支付合同款的5</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%，安装调试</w:t>
            </w:r>
            <w:r>
              <w:rPr>
                <w:rFonts w:hint="eastAsia" w:ascii="宋体" w:hAnsi="宋体" w:cs="宋体"/>
                <w:color w:val="auto"/>
                <w:sz w:val="21"/>
                <w:szCs w:val="21"/>
                <w:lang w:val="en-US" w:eastAsia="zh-CN"/>
              </w:rPr>
              <w:t>并</w:t>
            </w:r>
            <w:r>
              <w:rPr>
                <w:rFonts w:hint="eastAsia" w:ascii="宋体" w:hAnsi="宋体" w:eastAsia="宋体" w:cs="宋体"/>
                <w:color w:val="auto"/>
                <w:sz w:val="21"/>
                <w:szCs w:val="21"/>
                <w:lang w:val="en-US" w:eastAsia="zh-CN"/>
              </w:rPr>
              <w:t>经采购人验收合格后，支付剩余合同款。</w:t>
            </w:r>
          </w:p>
          <w:p w14:paraId="651A9040">
            <w:pPr>
              <w:spacing w:line="400" w:lineRule="exact"/>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每次付款前供应商应提供请款函和</w:t>
            </w:r>
            <w:r>
              <w:rPr>
                <w:rFonts w:hint="eastAsia" w:ascii="宋体" w:hAnsi="宋体" w:eastAsia="宋体" w:cs="宋体"/>
                <w:color w:val="auto"/>
                <w:sz w:val="21"/>
                <w:szCs w:val="21"/>
                <w:lang w:eastAsia="zh-CN"/>
              </w:rPr>
              <w:t>合法</w:t>
            </w:r>
            <w:r>
              <w:rPr>
                <w:rFonts w:hint="eastAsia" w:ascii="宋体" w:hAnsi="宋体" w:eastAsia="宋体" w:cs="宋体"/>
                <w:color w:val="auto"/>
                <w:sz w:val="21"/>
                <w:szCs w:val="21"/>
              </w:rPr>
              <w:t>发票。</w:t>
            </w:r>
          </w:p>
        </w:tc>
      </w:tr>
      <w:tr w14:paraId="02CB8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6902DC8D">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981" w:type="dxa"/>
            <w:tcBorders>
              <w:left w:val="nil"/>
              <w:right w:val="single" w:color="000000" w:sz="4" w:space="0"/>
            </w:tcBorders>
            <w:shd w:val="clear" w:color="auto" w:fill="auto"/>
            <w:vAlign w:val="center"/>
          </w:tcPr>
          <w:p w14:paraId="175DE5C8">
            <w:pPr>
              <w:snapToGrid w:val="0"/>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售后服务要求</w:t>
            </w:r>
          </w:p>
        </w:tc>
        <w:tc>
          <w:tcPr>
            <w:tcW w:w="7910" w:type="dxa"/>
            <w:gridSpan w:val="3"/>
            <w:tcBorders>
              <w:top w:val="single" w:color="000000" w:sz="4" w:space="0"/>
              <w:left w:val="nil"/>
              <w:bottom w:val="single" w:color="000000" w:sz="4" w:space="0"/>
              <w:right w:val="single" w:color="000000" w:sz="4" w:space="0"/>
            </w:tcBorders>
            <w:shd w:val="clear" w:color="auto" w:fill="auto"/>
            <w:vAlign w:val="top"/>
          </w:tcPr>
          <w:p w14:paraId="07903319">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供货：送货上门、安装、调试，采购人不再额外支付费用。</w:t>
            </w:r>
          </w:p>
          <w:p w14:paraId="7B7F6D7C">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现场安装、调试：由采购人提供安装调试环境条件，技术人员到达现场，并在进场一周内完成设备安装、调试，所需工具器材、交通食宿应包含在报价内，采购人不再额外支付费用。</w:t>
            </w:r>
          </w:p>
          <w:p w14:paraId="35AE4C5E">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现场培训：在安装调试合格后，</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厂家技术人员对采购人至少2名操作人员现场进行仪器使用及维护培训，能够独立操作仪器</w:t>
            </w:r>
            <w:r>
              <w:rPr>
                <w:rFonts w:hint="eastAsia" w:ascii="宋体" w:hAnsi="宋体" w:eastAsia="宋体" w:cs="宋体"/>
                <w:sz w:val="21"/>
                <w:szCs w:val="21"/>
                <w:lang w:eastAsia="zh-CN"/>
              </w:rPr>
              <w:t>、设备</w:t>
            </w:r>
            <w:r>
              <w:rPr>
                <w:rFonts w:hint="eastAsia" w:ascii="宋体" w:hAnsi="宋体" w:eastAsia="宋体" w:cs="宋体"/>
                <w:sz w:val="21"/>
                <w:szCs w:val="21"/>
              </w:rPr>
              <w:t>。</w:t>
            </w:r>
          </w:p>
          <w:p w14:paraId="4A0A4AF4">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后期回访：质保期内进行</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次/年回访，回访期间对仪器进行维护和培训等，采购人不再额外支付费用。</w:t>
            </w:r>
          </w:p>
          <w:p w14:paraId="75360123">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接到采购人故障通知后</w:t>
            </w:r>
            <w:r>
              <w:rPr>
                <w:rFonts w:hint="eastAsia" w:ascii="宋体" w:hAnsi="宋体" w:eastAsia="宋体" w:cs="宋体"/>
                <w:sz w:val="21"/>
                <w:szCs w:val="21"/>
                <w:lang w:val="en-US" w:eastAsia="zh-CN"/>
              </w:rPr>
              <w:t>1</w:t>
            </w:r>
            <w:r>
              <w:rPr>
                <w:rFonts w:hint="eastAsia" w:ascii="宋体" w:hAnsi="宋体" w:eastAsia="宋体" w:cs="宋体"/>
                <w:sz w:val="21"/>
                <w:szCs w:val="21"/>
              </w:rPr>
              <w:t>小时内响应，如不能解决问题将派人</w:t>
            </w:r>
            <w:r>
              <w:rPr>
                <w:rFonts w:hint="eastAsia" w:ascii="宋体" w:hAnsi="宋体" w:eastAsia="宋体" w:cs="宋体"/>
                <w:sz w:val="21"/>
                <w:szCs w:val="21"/>
                <w:lang w:val="en-US" w:eastAsia="zh-CN"/>
              </w:rPr>
              <w:t>24小时内到达</w:t>
            </w:r>
            <w:r>
              <w:rPr>
                <w:rFonts w:hint="eastAsia" w:ascii="宋体" w:hAnsi="宋体" w:eastAsia="宋体" w:cs="宋体"/>
                <w:sz w:val="21"/>
                <w:szCs w:val="21"/>
              </w:rPr>
              <w:t>现场排除故障。</w:t>
            </w:r>
          </w:p>
          <w:p w14:paraId="2532FBFE">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备件、技术及维修服务及其它：</w:t>
            </w:r>
          </w:p>
          <w:p w14:paraId="166AE464">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（1）备件要求：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厂家应在</w:t>
            </w:r>
            <w:r>
              <w:rPr>
                <w:rFonts w:hint="eastAsia" w:ascii="宋体" w:hAnsi="宋体" w:eastAsia="宋体" w:cs="宋体"/>
                <w:sz w:val="21"/>
                <w:szCs w:val="21"/>
                <w:lang w:eastAsia="zh-CN"/>
              </w:rPr>
              <w:t>交货地点所在</w:t>
            </w:r>
            <w:r>
              <w:rPr>
                <w:rFonts w:hint="eastAsia" w:ascii="宋体" w:hAnsi="宋体" w:eastAsia="宋体" w:cs="宋体"/>
                <w:sz w:val="21"/>
                <w:szCs w:val="21"/>
              </w:rPr>
              <w:t>省会中心城市设置备件库，</w:t>
            </w:r>
            <w:r>
              <w:rPr>
                <w:rFonts w:hint="eastAsia" w:ascii="宋体" w:hAnsi="宋体" w:eastAsia="宋体" w:cs="宋体"/>
                <w:sz w:val="21"/>
                <w:szCs w:val="21"/>
                <w:lang w:eastAsia="zh-CN"/>
              </w:rPr>
              <w:t>配备必要</w:t>
            </w:r>
            <w:r>
              <w:rPr>
                <w:rFonts w:hint="eastAsia" w:ascii="宋体" w:hAnsi="宋体" w:eastAsia="宋体" w:cs="宋体"/>
                <w:sz w:val="21"/>
                <w:szCs w:val="21"/>
              </w:rPr>
              <w:t>的备件，保证必要时可以及时供应。</w:t>
            </w:r>
          </w:p>
          <w:p w14:paraId="54574755">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（2）技术及维修服务：在用户当地或省会中心城市，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厂家应配置工程技术人员，随时提供开箱验货、安装、调试或维修等服务。</w:t>
            </w:r>
          </w:p>
          <w:p w14:paraId="682B9A3F">
            <w:pPr>
              <w:snapToGrid w:val="0"/>
              <w:spacing w:line="400" w:lineRule="exact"/>
              <w:outlineLvl w:val="0"/>
              <w:rPr>
                <w:rFonts w:hint="eastAsia" w:ascii="宋体" w:hAnsi="宋体" w:eastAsia="宋体" w:cs="宋体"/>
                <w:color w:val="FF0000"/>
                <w:kern w:val="2"/>
                <w:sz w:val="21"/>
                <w:szCs w:val="21"/>
                <w:lang w:val="en-US" w:eastAsia="zh-CN" w:bidi="ar-SA"/>
              </w:rPr>
            </w:pPr>
            <w:r>
              <w:rPr>
                <w:rFonts w:hint="eastAsia" w:ascii="宋体" w:hAnsi="宋体" w:eastAsia="宋体" w:cs="宋体"/>
                <w:sz w:val="21"/>
                <w:szCs w:val="21"/>
              </w:rPr>
              <w:t>（3）质保期内设备发生故障时，响应时间1小时以内，特殊情况无法到达须提前与采购人沟通。当配件等待周期大于7个工作日时，对应延长质保期。</w:t>
            </w:r>
          </w:p>
        </w:tc>
      </w:tr>
      <w:tr w14:paraId="00F55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3297F4D9">
            <w:pPr>
              <w:bidi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w:t>
            </w:r>
          </w:p>
        </w:tc>
        <w:tc>
          <w:tcPr>
            <w:tcW w:w="981" w:type="dxa"/>
            <w:tcBorders>
              <w:left w:val="nil"/>
              <w:right w:val="single" w:color="000000" w:sz="4" w:space="0"/>
            </w:tcBorders>
            <w:shd w:val="clear" w:color="auto" w:fill="auto"/>
            <w:vAlign w:val="center"/>
          </w:tcPr>
          <w:p w14:paraId="6D20E0E8">
            <w:pPr>
              <w:snapToGrid w:val="0"/>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其它要求</w:t>
            </w:r>
          </w:p>
        </w:tc>
        <w:tc>
          <w:tcPr>
            <w:tcW w:w="7910" w:type="dxa"/>
            <w:gridSpan w:val="3"/>
            <w:tcBorders>
              <w:top w:val="single" w:color="000000" w:sz="4" w:space="0"/>
              <w:left w:val="nil"/>
              <w:bottom w:val="single" w:color="000000" w:sz="4" w:space="0"/>
              <w:right w:val="single" w:color="000000" w:sz="4" w:space="0"/>
            </w:tcBorders>
            <w:shd w:val="clear" w:color="auto" w:fill="auto"/>
            <w:vAlign w:val="top"/>
          </w:tcPr>
          <w:p w14:paraId="7FF076D1">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1.核心产品：本项目的核心产品为</w:t>
            </w:r>
            <w:r>
              <w:rPr>
                <w:rFonts w:hint="eastAsia" w:hAnsi="宋体" w:cs="宋体"/>
                <w:sz w:val="21"/>
                <w:szCs w:val="21"/>
                <w:lang w:val="en-US" w:eastAsia="zh-CN"/>
              </w:rPr>
              <w:t>“</w:t>
            </w:r>
            <w:r>
              <w:rPr>
                <w:rFonts w:hint="eastAsia" w:ascii="宋体" w:hAnsi="宋体" w:eastAsia="宋体" w:cs="宋体"/>
                <w:b/>
                <w:bCs/>
                <w:sz w:val="21"/>
                <w:szCs w:val="21"/>
                <w:lang w:val="en-US" w:eastAsia="zh-CN"/>
              </w:rPr>
              <w:t>全自动核酸提取工作站</w:t>
            </w:r>
            <w:r>
              <w:rPr>
                <w:rFonts w:hint="eastAsia"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b/>
                <w:bCs/>
                <w:color w:val="auto"/>
                <w:kern w:val="2"/>
                <w:sz w:val="21"/>
                <w:szCs w:val="21"/>
                <w:highlight w:val="none"/>
                <w:lang w:val="en-US" w:eastAsia="zh-CN" w:bidi="ar"/>
              </w:rPr>
              <w:t>核心产品品牌相同的，视为提供同品牌产品。核心产品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7E60CF22">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2.进口产品：本包</w:t>
            </w:r>
            <w:r>
              <w:rPr>
                <w:rFonts w:hint="eastAsia" w:hAnsi="宋体" w:cs="宋体"/>
                <w:sz w:val="21"/>
                <w:szCs w:val="21"/>
                <w:lang w:val="en-US" w:eastAsia="zh-CN"/>
              </w:rPr>
              <w:t>采购</w:t>
            </w:r>
            <w:r>
              <w:rPr>
                <w:rFonts w:hint="eastAsia" w:ascii="宋体" w:hAnsi="宋体" w:eastAsia="宋体" w:cs="宋体"/>
                <w:sz w:val="21"/>
                <w:szCs w:val="21"/>
                <w:lang w:val="en-US" w:eastAsia="zh-CN"/>
              </w:rPr>
              <w:t>标的不接受进口产品（即通过中国海关报关验放进入中国境内且产自关境外的产品）参与投标，如有此类产品参与投标的做无效投标处理。</w:t>
            </w:r>
          </w:p>
          <w:p w14:paraId="6DAD9B23">
            <w:pPr>
              <w:pStyle w:val="14"/>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3.投标人保证向采购人提供的货物是全新、完整、未使用过的</w:t>
            </w:r>
            <w:r>
              <w:rPr>
                <w:rFonts w:hint="eastAsia" w:ascii="宋体" w:hAnsi="宋体" w:eastAsia="宋体" w:cs="宋体"/>
                <w:bCs/>
                <w:kern w:val="0"/>
                <w:sz w:val="21"/>
                <w:szCs w:val="21"/>
                <w:lang w:val="en-US" w:eastAsia="zh-CN"/>
              </w:rPr>
              <w:t>。</w:t>
            </w:r>
          </w:p>
          <w:p w14:paraId="71A8124F">
            <w:pPr>
              <w:pStyle w:val="14"/>
              <w:snapToGrid w:val="0"/>
              <w:spacing w:line="400" w:lineRule="exact"/>
              <w:outlineLvl w:val="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4.投标时按要求提供投标产品彩色图片或说明书或检测报告等产品技术参数佐证材料。</w:t>
            </w:r>
          </w:p>
        </w:tc>
      </w:tr>
    </w:tbl>
    <w:p w14:paraId="5655F634">
      <w:pPr>
        <w:spacing w:line="460" w:lineRule="exact"/>
        <w:ind w:firstLine="600" w:firstLineChars="200"/>
        <w:jc w:val="left"/>
        <w:rPr>
          <w:rFonts w:ascii="仿宋" w:hAnsi="仿宋" w:eastAsia="仿宋" w:cs="仿宋"/>
          <w:color w:val="auto"/>
          <w:sz w:val="30"/>
          <w:szCs w:val="30"/>
          <w:highlight w:val="none"/>
        </w:rPr>
      </w:pPr>
    </w:p>
    <w:p w14:paraId="7596B626">
      <w:pPr>
        <w:numPr>
          <w:ilvl w:val="0"/>
          <w:numId w:val="0"/>
        </w:numPr>
        <w:spacing w:line="460" w:lineRule="exact"/>
        <w:jc w:val="left"/>
        <w:rPr>
          <w:rFonts w:ascii="仿宋" w:hAnsi="仿宋" w:eastAsia="仿宋" w:cs="仿宋"/>
          <w:b/>
          <w:bCs/>
          <w:color w:val="auto"/>
          <w:sz w:val="30"/>
          <w:szCs w:val="30"/>
          <w:highlight w:val="none"/>
        </w:rPr>
      </w:pPr>
    </w:p>
    <w:p w14:paraId="6BF0F62C">
      <w:pPr>
        <w:numPr>
          <w:ilvl w:val="0"/>
          <w:numId w:val="0"/>
        </w:numPr>
        <w:spacing w:line="460" w:lineRule="exact"/>
        <w:ind w:firstLine="602" w:firstLineChars="200"/>
        <w:jc w:val="center"/>
        <w:rPr>
          <w:rFonts w:hint="eastAsia" w:ascii="仿宋" w:hAnsi="仿宋" w:eastAsia="仿宋" w:cs="仿宋"/>
          <w:b/>
          <w:bCs/>
          <w:color w:val="auto"/>
          <w:sz w:val="30"/>
          <w:szCs w:val="30"/>
          <w:highlight w:val="none"/>
          <w:lang w:val="en-US" w:eastAsia="zh-CN"/>
        </w:rPr>
      </w:pPr>
    </w:p>
    <w:p w14:paraId="5BAD2E10">
      <w:pPr>
        <w:numPr>
          <w:ilvl w:val="0"/>
          <w:numId w:val="0"/>
        </w:numPr>
        <w:spacing w:line="460" w:lineRule="exact"/>
        <w:ind w:firstLine="602" w:firstLineChars="200"/>
        <w:jc w:val="center"/>
        <w:rPr>
          <w:rFonts w:hint="eastAsia" w:ascii="仿宋" w:hAnsi="仿宋" w:eastAsia="仿宋" w:cs="仿宋"/>
          <w:b/>
          <w:bCs/>
          <w:color w:val="auto"/>
          <w:sz w:val="30"/>
          <w:szCs w:val="30"/>
          <w:highlight w:val="none"/>
          <w:lang w:val="en-US" w:eastAsia="zh-CN"/>
        </w:rPr>
      </w:pPr>
    </w:p>
    <w:p w14:paraId="755C0C0B">
      <w:pPr>
        <w:numPr>
          <w:ilvl w:val="0"/>
          <w:numId w:val="0"/>
        </w:numPr>
        <w:spacing w:line="460" w:lineRule="exact"/>
        <w:ind w:firstLine="602" w:firstLineChars="200"/>
        <w:jc w:val="center"/>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2分标（水产实验室设备）</w:t>
      </w:r>
    </w:p>
    <w:tbl>
      <w:tblPr>
        <w:tblStyle w:val="28"/>
        <w:tblW w:w="94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981"/>
        <w:gridCol w:w="648"/>
        <w:gridCol w:w="564"/>
        <w:gridCol w:w="6733"/>
      </w:tblGrid>
      <w:tr w14:paraId="2B053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9488" w:type="dxa"/>
            <w:gridSpan w:val="5"/>
            <w:tcBorders>
              <w:top w:val="single" w:color="000000" w:sz="4" w:space="0"/>
              <w:left w:val="single" w:color="auto" w:sz="4" w:space="0"/>
              <w:bottom w:val="single" w:color="000000" w:sz="4" w:space="0"/>
              <w:right w:val="single" w:color="000000" w:sz="4" w:space="0"/>
            </w:tcBorders>
            <w:vAlign w:val="center"/>
          </w:tcPr>
          <w:p w14:paraId="68927D0E">
            <w:pPr>
              <w:wordWrap/>
              <w:adjustRightInd/>
              <w:snapToGrid/>
              <w:spacing w:before="0" w:after="0" w:line="320" w:lineRule="exact"/>
              <w:ind w:right="0"/>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一、技术要求</w:t>
            </w:r>
          </w:p>
        </w:tc>
      </w:tr>
      <w:tr w14:paraId="06B3F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3DF4EBE0">
            <w:pPr>
              <w:wordWrap/>
              <w:adjustRightInd/>
              <w:snapToGrid/>
              <w:spacing w:before="0" w:after="0" w:line="320" w:lineRule="exact"/>
              <w:ind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序号</w:t>
            </w:r>
          </w:p>
        </w:tc>
        <w:tc>
          <w:tcPr>
            <w:tcW w:w="981" w:type="dxa"/>
            <w:tcBorders>
              <w:top w:val="single" w:color="000000" w:sz="4" w:space="0"/>
              <w:left w:val="nil"/>
              <w:bottom w:val="single" w:color="000000" w:sz="4" w:space="0"/>
              <w:right w:val="single" w:color="000000" w:sz="4" w:space="0"/>
            </w:tcBorders>
            <w:shd w:val="clear" w:color="auto" w:fill="auto"/>
            <w:vAlign w:val="center"/>
          </w:tcPr>
          <w:p w14:paraId="7EB857A5">
            <w:pPr>
              <w:wordWrap/>
              <w:adjustRightInd/>
              <w:snapToGrid/>
              <w:spacing w:before="0" w:after="0" w:line="320" w:lineRule="exact"/>
              <w:ind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eastAsia="zh-CN"/>
              </w:rPr>
              <w:t>标的</w:t>
            </w:r>
            <w:r>
              <w:rPr>
                <w:rFonts w:hint="eastAsia" w:ascii="宋体" w:hAnsi="宋体" w:eastAsia="宋体" w:cs="宋体"/>
                <w:b/>
                <w:bCs/>
                <w:color w:val="auto"/>
                <w:sz w:val="21"/>
                <w:szCs w:val="21"/>
                <w:highlight w:val="none"/>
              </w:rPr>
              <w:t>名称</w:t>
            </w:r>
          </w:p>
        </w:tc>
        <w:tc>
          <w:tcPr>
            <w:tcW w:w="648" w:type="dxa"/>
            <w:tcBorders>
              <w:top w:val="single" w:color="000000" w:sz="4" w:space="0"/>
              <w:left w:val="nil"/>
              <w:bottom w:val="single" w:color="000000" w:sz="4" w:space="0"/>
              <w:right w:val="single" w:color="000000" w:sz="4" w:space="0"/>
            </w:tcBorders>
            <w:shd w:val="clear" w:color="auto" w:fill="auto"/>
            <w:vAlign w:val="center"/>
          </w:tcPr>
          <w:p w14:paraId="2829B327">
            <w:pPr>
              <w:wordWrap/>
              <w:adjustRightInd/>
              <w:snapToGrid/>
              <w:spacing w:before="0" w:after="0" w:line="320" w:lineRule="exact"/>
              <w:ind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单位</w:t>
            </w:r>
          </w:p>
        </w:tc>
        <w:tc>
          <w:tcPr>
            <w:tcW w:w="564" w:type="dxa"/>
            <w:tcBorders>
              <w:top w:val="single" w:color="000000" w:sz="4" w:space="0"/>
              <w:left w:val="nil"/>
              <w:bottom w:val="single" w:color="000000" w:sz="4" w:space="0"/>
              <w:right w:val="single" w:color="000000" w:sz="4" w:space="0"/>
            </w:tcBorders>
            <w:shd w:val="clear" w:color="auto" w:fill="auto"/>
            <w:vAlign w:val="center"/>
          </w:tcPr>
          <w:p w14:paraId="683583B2">
            <w:pPr>
              <w:wordWrap/>
              <w:adjustRightInd/>
              <w:snapToGrid/>
              <w:spacing w:before="0" w:after="0" w:line="320" w:lineRule="exact"/>
              <w:ind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数量</w:t>
            </w:r>
          </w:p>
        </w:tc>
        <w:tc>
          <w:tcPr>
            <w:tcW w:w="6733" w:type="dxa"/>
            <w:tcBorders>
              <w:top w:val="single" w:color="000000" w:sz="4" w:space="0"/>
              <w:left w:val="nil"/>
              <w:bottom w:val="single" w:color="000000" w:sz="4" w:space="0"/>
              <w:right w:val="single" w:color="000000" w:sz="4" w:space="0"/>
            </w:tcBorders>
            <w:shd w:val="clear" w:color="auto" w:fill="auto"/>
            <w:vAlign w:val="center"/>
          </w:tcPr>
          <w:p w14:paraId="14827104">
            <w:pPr>
              <w:wordWrap/>
              <w:adjustRightInd/>
              <w:snapToGrid/>
              <w:spacing w:before="0" w:after="0" w:line="320" w:lineRule="exact"/>
              <w:ind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技术性能、参数及有关要求</w:t>
            </w:r>
          </w:p>
        </w:tc>
      </w:tr>
      <w:tr w14:paraId="04E38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9F851BA">
            <w:pPr>
              <w:wordWrap/>
              <w:adjustRightInd/>
              <w:snapToGrid/>
              <w:spacing w:before="0" w:after="0" w:line="320" w:lineRule="exact"/>
              <w:ind w:right="0" w:right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1</w:t>
            </w:r>
          </w:p>
        </w:tc>
        <w:tc>
          <w:tcPr>
            <w:tcW w:w="981" w:type="dxa"/>
            <w:tcBorders>
              <w:top w:val="single" w:color="000000" w:sz="4" w:space="0"/>
              <w:left w:val="nil"/>
              <w:bottom w:val="single" w:color="000000" w:sz="4" w:space="0"/>
              <w:right w:val="single" w:color="000000" w:sz="4" w:space="0"/>
            </w:tcBorders>
            <w:vAlign w:val="center"/>
          </w:tcPr>
          <w:p w14:paraId="2262DFE4">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梯度PCR仪</w:t>
            </w:r>
          </w:p>
        </w:tc>
        <w:tc>
          <w:tcPr>
            <w:tcW w:w="648" w:type="dxa"/>
            <w:tcBorders>
              <w:top w:val="single" w:color="000000" w:sz="4" w:space="0"/>
              <w:left w:val="nil"/>
              <w:bottom w:val="single" w:color="000000" w:sz="4" w:space="0"/>
              <w:right w:val="single" w:color="000000" w:sz="4" w:space="0"/>
            </w:tcBorders>
            <w:vAlign w:val="center"/>
          </w:tcPr>
          <w:p w14:paraId="7D1150E1">
            <w:pPr>
              <w:wordWrap/>
              <w:adjustRightInd/>
              <w:snapToGrid/>
              <w:spacing w:before="0" w:after="0" w:line="320" w:lineRule="exact"/>
              <w:ind w:right="0" w:right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78709BBE">
            <w:pPr>
              <w:wordWrap/>
              <w:adjustRightInd/>
              <w:snapToGrid/>
              <w:spacing w:before="0" w:after="0" w:line="320" w:lineRule="exact"/>
              <w:ind w:right="0" w:right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6733" w:type="dxa"/>
            <w:tcBorders>
              <w:top w:val="single" w:color="000000" w:sz="4" w:space="0"/>
              <w:left w:val="nil"/>
              <w:bottom w:val="single" w:color="000000" w:sz="4" w:space="0"/>
              <w:right w:val="single" w:color="000000" w:sz="4" w:space="0"/>
            </w:tcBorders>
            <w:vAlign w:val="center"/>
          </w:tcPr>
          <w:p w14:paraId="17A5AF03">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1.反应模块：0.2ml×96孔反应模块，适合96孔板、8联管、单管等标准耗材</w:t>
            </w:r>
          </w:p>
          <w:p w14:paraId="3BECE7D1">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2.标配为快速反应模块，最大变温速率：≥4℃/S，能提高工作效率</w:t>
            </w:r>
          </w:p>
          <w:p w14:paraId="6B49652B">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▲3.仪器控温准确性：≤±0.1℃</w:t>
            </w:r>
          </w:p>
          <w:p w14:paraId="0052E72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▲4.仪器控温均一性：≤±0.2℃</w:t>
            </w:r>
          </w:p>
          <w:p w14:paraId="1851FE90">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▲5.带有温度梯度功能，可同时对≥12个不同的温度点进行反应条件优化</w:t>
            </w:r>
          </w:p>
          <w:p w14:paraId="18E69B83">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▲6.具有不少于两种温度梯度设计模式：线性温度梯度和随机温度梯度模式</w:t>
            </w:r>
          </w:p>
          <w:p w14:paraId="55EA7EE0">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7.热盖温度可调，最高不低于110℃</w:t>
            </w:r>
          </w:p>
          <w:p w14:paraId="7DF5C48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▲8.热盖采用非固定的方式，高度可调，适合各种不同的耗材使用</w:t>
            </w:r>
          </w:p>
          <w:p w14:paraId="2784F86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▲9.≥7英寸彩色触摸屏，水晶屏幕，无反光</w:t>
            </w:r>
          </w:p>
          <w:p w14:paraId="49F430C5">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10.用户特异性的程序快速启动功能：每个用户可快速启动自己最近使用过的5个程序</w:t>
            </w:r>
          </w:p>
          <w:p w14:paraId="2FE4D1FF">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11.程序运行显示方式可在表格式和图形式之间互相自由切换</w:t>
            </w:r>
          </w:p>
          <w:p w14:paraId="4BE8D615">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12.静音技术：运行时最大声音不超过45分贝，为实验室提供安静舒适的工作环境</w:t>
            </w:r>
          </w:p>
          <w:p w14:paraId="78A05808">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13.进行TouchdownPCR实验，以提高PCR扩增产物的特异性</w:t>
            </w:r>
          </w:p>
          <w:p w14:paraId="2434626E">
            <w:pPr>
              <w:jc w:val="left"/>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rPr>
              <w:t>14.屏幕操作软件语言可至少在中文和英文间自由切换，满足不同的使用习惯</w:t>
            </w:r>
          </w:p>
        </w:tc>
      </w:tr>
      <w:tr w14:paraId="655B7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1EF4DF9D">
            <w:pPr>
              <w:wordWrap/>
              <w:adjustRightInd/>
              <w:snapToGrid/>
              <w:spacing w:before="0" w:after="0" w:line="320" w:lineRule="exact"/>
              <w:ind w:right="0" w:right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2</w:t>
            </w:r>
          </w:p>
        </w:tc>
        <w:tc>
          <w:tcPr>
            <w:tcW w:w="981" w:type="dxa"/>
            <w:tcBorders>
              <w:top w:val="single" w:color="000000" w:sz="4" w:space="0"/>
              <w:left w:val="nil"/>
              <w:bottom w:val="single" w:color="000000" w:sz="4" w:space="0"/>
              <w:right w:val="single" w:color="000000" w:sz="4" w:space="0"/>
            </w:tcBorders>
            <w:vAlign w:val="center"/>
          </w:tcPr>
          <w:p w14:paraId="423272CC">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凝胶成像仪系统</w:t>
            </w:r>
          </w:p>
        </w:tc>
        <w:tc>
          <w:tcPr>
            <w:tcW w:w="648" w:type="dxa"/>
            <w:tcBorders>
              <w:top w:val="single" w:color="000000" w:sz="4" w:space="0"/>
              <w:left w:val="nil"/>
              <w:bottom w:val="single" w:color="000000" w:sz="4" w:space="0"/>
              <w:right w:val="single" w:color="000000" w:sz="4" w:space="0"/>
            </w:tcBorders>
            <w:vAlign w:val="center"/>
          </w:tcPr>
          <w:p w14:paraId="194A30AF">
            <w:pPr>
              <w:wordWrap/>
              <w:adjustRightInd/>
              <w:snapToGrid/>
              <w:spacing w:before="0" w:after="0" w:line="320" w:lineRule="exact"/>
              <w:ind w:right="0" w:right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324CD4AF">
            <w:pPr>
              <w:wordWrap/>
              <w:adjustRightInd/>
              <w:snapToGrid/>
              <w:spacing w:before="0" w:after="0" w:line="320" w:lineRule="exact"/>
              <w:ind w:right="0" w:rightChars="0"/>
              <w:jc w:val="center"/>
              <w:textAlignment w:val="auto"/>
              <w:outlineLvl w:val="9"/>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6733" w:type="dxa"/>
            <w:tcBorders>
              <w:top w:val="single" w:color="000000" w:sz="4" w:space="0"/>
              <w:left w:val="nil"/>
              <w:bottom w:val="single" w:color="000000" w:sz="4" w:space="0"/>
              <w:right w:val="single" w:color="000000" w:sz="4" w:space="0"/>
            </w:tcBorders>
            <w:vAlign w:val="center"/>
          </w:tcPr>
          <w:p w14:paraId="4845C7CA">
            <w:pPr>
              <w:jc w:val="left"/>
              <w:rPr>
                <w:rFonts w:hint="eastAsia" w:ascii="宋体" w:hAnsi="宋体" w:eastAsia="宋体" w:cs="宋体"/>
                <w:sz w:val="21"/>
                <w:szCs w:val="21"/>
              </w:rPr>
            </w:pPr>
            <w:r>
              <w:rPr>
                <w:rFonts w:hint="eastAsia" w:ascii="宋体" w:hAnsi="宋体" w:eastAsia="宋体" w:cs="宋体"/>
                <w:sz w:val="21"/>
                <w:szCs w:val="21"/>
              </w:rPr>
              <w:t>1．暗箱</w:t>
            </w:r>
          </w:p>
          <w:p w14:paraId="750AB722">
            <w:pPr>
              <w:jc w:val="left"/>
              <w:rPr>
                <w:rFonts w:hint="eastAsia" w:ascii="宋体" w:hAnsi="宋体" w:eastAsia="宋体" w:cs="宋体"/>
                <w:sz w:val="21"/>
                <w:szCs w:val="21"/>
              </w:rPr>
            </w:pPr>
            <w:r>
              <w:rPr>
                <w:rFonts w:hint="eastAsia" w:ascii="宋体" w:hAnsi="宋体" w:eastAsia="宋体" w:cs="宋体"/>
                <w:sz w:val="21"/>
                <w:szCs w:val="21"/>
              </w:rPr>
              <w:t>1.1 尺寸(W*D*H)</w:t>
            </w:r>
            <w:r>
              <w:rPr>
                <w:rFonts w:hint="eastAsia" w:ascii="宋体" w:hAnsi="宋体" w:eastAsia="宋体" w:cs="宋体"/>
                <w:sz w:val="21"/>
                <w:szCs w:val="21"/>
                <w:lang w:eastAsia="zh-CN"/>
              </w:rPr>
              <w:t>（偏差±</w:t>
            </w:r>
            <w:r>
              <w:rPr>
                <w:rFonts w:hint="eastAsia" w:ascii="宋体" w:hAnsi="宋体" w:eastAsia="宋体" w:cs="宋体"/>
                <w:sz w:val="21"/>
                <w:szCs w:val="21"/>
                <w:lang w:val="en-US" w:eastAsia="zh-CN"/>
              </w:rPr>
              <w:t>5%以内</w:t>
            </w:r>
            <w:r>
              <w:rPr>
                <w:rFonts w:hint="eastAsia" w:ascii="宋体" w:hAnsi="宋体" w:eastAsia="宋体" w:cs="宋体"/>
                <w:sz w:val="21"/>
                <w:szCs w:val="21"/>
                <w:lang w:eastAsia="zh-CN"/>
              </w:rPr>
              <w:t>）</w:t>
            </w:r>
            <w:r>
              <w:rPr>
                <w:rFonts w:hint="eastAsia" w:ascii="宋体" w:hAnsi="宋体" w:eastAsia="宋体" w:cs="宋体"/>
                <w:sz w:val="21"/>
                <w:szCs w:val="21"/>
              </w:rPr>
              <w:t>：435mm×395mm×700mm</w:t>
            </w:r>
          </w:p>
          <w:p w14:paraId="33D75B8D">
            <w:pPr>
              <w:jc w:val="left"/>
              <w:rPr>
                <w:rFonts w:hint="eastAsia" w:ascii="宋体" w:hAnsi="宋体" w:eastAsia="宋体" w:cs="宋体"/>
                <w:sz w:val="21"/>
                <w:szCs w:val="21"/>
              </w:rPr>
            </w:pPr>
            <w:r>
              <w:rPr>
                <w:rFonts w:hint="eastAsia" w:ascii="宋体" w:hAnsi="宋体" w:eastAsia="宋体" w:cs="宋体"/>
                <w:sz w:val="21"/>
                <w:szCs w:val="21"/>
              </w:rPr>
              <w:t>1.2 机箱：箱体板面由ABS阻燃材料模具成型，机箱由镀锌钢板材料成型，牢固且确保光密闭及抗干扰</w:t>
            </w:r>
          </w:p>
          <w:p w14:paraId="7DF93860">
            <w:pPr>
              <w:jc w:val="left"/>
              <w:rPr>
                <w:rFonts w:hint="eastAsia" w:ascii="宋体" w:hAnsi="宋体" w:eastAsia="宋体" w:cs="宋体"/>
                <w:sz w:val="21"/>
                <w:szCs w:val="21"/>
              </w:rPr>
            </w:pPr>
            <w:r>
              <w:rPr>
                <w:rFonts w:hint="eastAsia" w:ascii="宋体" w:hAnsi="宋体" w:eastAsia="宋体" w:cs="宋体"/>
                <w:sz w:val="21"/>
                <w:szCs w:val="21"/>
              </w:rPr>
              <w:t>2．高灵敏度数字相机</w:t>
            </w:r>
          </w:p>
          <w:p w14:paraId="5017E6F4">
            <w:pPr>
              <w:jc w:val="left"/>
              <w:rPr>
                <w:rFonts w:hint="eastAsia" w:ascii="宋体" w:hAnsi="宋体" w:eastAsia="宋体" w:cs="宋体"/>
                <w:sz w:val="21"/>
                <w:szCs w:val="21"/>
              </w:rPr>
            </w:pPr>
            <w:r>
              <w:rPr>
                <w:rFonts w:hint="eastAsia" w:ascii="宋体" w:hAnsi="宋体" w:eastAsia="宋体" w:cs="宋体"/>
                <w:sz w:val="21"/>
                <w:szCs w:val="21"/>
              </w:rPr>
              <w:t>2.1分辨率：≥630万物理像素，3072×2048；图像位深：≥16bit(65536灰阶）</w:t>
            </w:r>
          </w:p>
          <w:p w14:paraId="4E780191">
            <w:pPr>
              <w:jc w:val="left"/>
              <w:rPr>
                <w:rFonts w:hint="eastAsia" w:ascii="宋体" w:hAnsi="宋体" w:eastAsia="宋体" w:cs="宋体"/>
                <w:sz w:val="21"/>
                <w:szCs w:val="21"/>
              </w:rPr>
            </w:pPr>
            <w:r>
              <w:rPr>
                <w:rFonts w:hint="eastAsia" w:ascii="宋体" w:hAnsi="宋体" w:eastAsia="宋体" w:cs="宋体"/>
                <w:sz w:val="21"/>
                <w:szCs w:val="21"/>
              </w:rPr>
              <w:t>2.2量子效率：≥81%</w:t>
            </w:r>
          </w:p>
          <w:p w14:paraId="2781C4CB">
            <w:pPr>
              <w:jc w:val="left"/>
              <w:rPr>
                <w:rFonts w:hint="eastAsia" w:ascii="宋体" w:hAnsi="宋体" w:eastAsia="宋体" w:cs="宋体"/>
                <w:sz w:val="21"/>
                <w:szCs w:val="21"/>
              </w:rPr>
            </w:pPr>
            <w:r>
              <w:rPr>
                <w:rFonts w:hint="eastAsia" w:ascii="宋体" w:hAnsi="宋体" w:eastAsia="宋体" w:cs="宋体"/>
                <w:sz w:val="21"/>
                <w:szCs w:val="21"/>
              </w:rPr>
              <w:t>2.3动态范围：≥73db</w:t>
            </w:r>
          </w:p>
          <w:p w14:paraId="48066097">
            <w:pPr>
              <w:jc w:val="left"/>
              <w:rPr>
                <w:rFonts w:hint="eastAsia" w:ascii="宋体" w:hAnsi="宋体" w:eastAsia="宋体" w:cs="宋体"/>
                <w:sz w:val="21"/>
                <w:szCs w:val="21"/>
              </w:rPr>
            </w:pPr>
            <w:r>
              <w:rPr>
                <w:rFonts w:hint="eastAsia" w:ascii="宋体" w:hAnsi="宋体" w:eastAsia="宋体" w:cs="宋体"/>
                <w:sz w:val="21"/>
                <w:szCs w:val="21"/>
              </w:rPr>
              <w:t>3．高通透电动变焦镜头：</w:t>
            </w:r>
          </w:p>
          <w:p w14:paraId="012BDCF4">
            <w:pPr>
              <w:jc w:val="left"/>
              <w:rPr>
                <w:rFonts w:hint="eastAsia" w:ascii="宋体" w:hAnsi="宋体" w:eastAsia="宋体" w:cs="宋体"/>
                <w:sz w:val="21"/>
                <w:szCs w:val="21"/>
              </w:rPr>
            </w:pPr>
            <w:r>
              <w:rPr>
                <w:rFonts w:hint="eastAsia" w:ascii="宋体" w:hAnsi="宋体" w:eastAsia="宋体" w:cs="宋体"/>
                <w:sz w:val="21"/>
                <w:szCs w:val="21"/>
              </w:rPr>
              <w:t>3.1具有镜头量化功能：镜头变焦缩放数值化，数字显示放缩倍数，镜头光圈大小数值化</w:t>
            </w:r>
          </w:p>
          <w:p w14:paraId="718FE9ED">
            <w:pPr>
              <w:jc w:val="left"/>
              <w:rPr>
                <w:rFonts w:hint="eastAsia" w:ascii="宋体" w:hAnsi="宋体" w:eastAsia="宋体" w:cs="宋体"/>
                <w:sz w:val="21"/>
                <w:szCs w:val="21"/>
              </w:rPr>
            </w:pPr>
            <w:r>
              <w:rPr>
                <w:rFonts w:hint="eastAsia" w:ascii="宋体" w:hAnsi="宋体" w:eastAsia="宋体" w:cs="宋体"/>
                <w:sz w:val="21"/>
                <w:szCs w:val="21"/>
              </w:rPr>
              <w:t>3.2具有自动聚焦功能，通过优化算法实现样品自动聚焦</w:t>
            </w:r>
          </w:p>
          <w:p w14:paraId="493B7873">
            <w:pPr>
              <w:jc w:val="left"/>
              <w:rPr>
                <w:rFonts w:hint="eastAsia" w:ascii="宋体" w:hAnsi="宋体" w:eastAsia="宋体" w:cs="宋体"/>
                <w:sz w:val="21"/>
                <w:szCs w:val="21"/>
              </w:rPr>
            </w:pPr>
            <w:r>
              <w:rPr>
                <w:rFonts w:hint="eastAsia" w:ascii="宋体" w:hAnsi="宋体" w:eastAsia="宋体" w:cs="宋体"/>
                <w:sz w:val="21"/>
                <w:szCs w:val="21"/>
              </w:rPr>
              <w:t xml:space="preserve">3.3 高解像力，最大光圈时，中心超过4000×4000LW/PH </w:t>
            </w:r>
          </w:p>
          <w:p w14:paraId="638EA41C">
            <w:pPr>
              <w:jc w:val="left"/>
              <w:rPr>
                <w:rFonts w:hint="eastAsia" w:ascii="宋体" w:hAnsi="宋体" w:eastAsia="宋体" w:cs="宋体"/>
                <w:sz w:val="21"/>
                <w:szCs w:val="21"/>
              </w:rPr>
            </w:pPr>
            <w:r>
              <w:rPr>
                <w:rFonts w:hint="eastAsia" w:ascii="宋体" w:hAnsi="宋体" w:eastAsia="宋体" w:cs="宋体"/>
                <w:sz w:val="21"/>
                <w:szCs w:val="21"/>
              </w:rPr>
              <w:t>3.4 变焦快速，最小倍数到最大倍数时间≤4.8秒；高速光圈，任意光圈切换时间≤0.5秒</w:t>
            </w:r>
          </w:p>
          <w:p w14:paraId="0FD49977">
            <w:pPr>
              <w:jc w:val="left"/>
              <w:rPr>
                <w:rFonts w:hint="eastAsia" w:ascii="宋体" w:hAnsi="宋体" w:eastAsia="宋体" w:cs="宋体"/>
                <w:sz w:val="21"/>
                <w:szCs w:val="21"/>
              </w:rPr>
            </w:pPr>
            <w:r>
              <w:rPr>
                <w:rFonts w:hint="eastAsia" w:ascii="宋体" w:hAnsi="宋体" w:eastAsia="宋体" w:cs="宋体"/>
                <w:sz w:val="21"/>
                <w:szCs w:val="21"/>
              </w:rPr>
              <w:t>4．滤镜系统：</w:t>
            </w:r>
          </w:p>
          <w:p w14:paraId="1714D54C">
            <w:pPr>
              <w:jc w:val="left"/>
              <w:rPr>
                <w:rFonts w:hint="eastAsia" w:ascii="宋体" w:hAnsi="宋体" w:eastAsia="宋体" w:cs="宋体"/>
                <w:sz w:val="21"/>
                <w:szCs w:val="21"/>
              </w:rPr>
            </w:pPr>
            <w:r>
              <w:rPr>
                <w:rFonts w:hint="eastAsia" w:ascii="宋体" w:hAnsi="宋体" w:eastAsia="宋体" w:cs="宋体"/>
                <w:sz w:val="21"/>
                <w:szCs w:val="21"/>
              </w:rPr>
              <w:t>4.1标配590nm多层镀膜滤光片</w:t>
            </w:r>
          </w:p>
          <w:p w14:paraId="009D427D">
            <w:pPr>
              <w:jc w:val="left"/>
              <w:rPr>
                <w:rFonts w:hint="eastAsia" w:ascii="宋体" w:hAnsi="宋体" w:eastAsia="宋体" w:cs="宋体"/>
                <w:sz w:val="21"/>
                <w:szCs w:val="21"/>
              </w:rPr>
            </w:pPr>
            <w:r>
              <w:rPr>
                <w:rFonts w:hint="eastAsia" w:ascii="宋体" w:hAnsi="宋体" w:eastAsia="宋体" w:cs="宋体"/>
                <w:sz w:val="21"/>
                <w:szCs w:val="21"/>
              </w:rPr>
              <w:t>5．反射光源：</w:t>
            </w:r>
          </w:p>
          <w:p w14:paraId="7642456C">
            <w:pPr>
              <w:jc w:val="left"/>
              <w:rPr>
                <w:rFonts w:hint="eastAsia" w:ascii="宋体" w:hAnsi="宋体" w:eastAsia="宋体" w:cs="宋体"/>
                <w:sz w:val="21"/>
                <w:szCs w:val="21"/>
              </w:rPr>
            </w:pPr>
            <w:r>
              <w:rPr>
                <w:rFonts w:hint="eastAsia" w:ascii="宋体" w:hAnsi="宋体" w:eastAsia="宋体" w:cs="宋体"/>
                <w:sz w:val="21"/>
                <w:szCs w:val="21"/>
              </w:rPr>
              <w:t>5.1 LED白光反射灯×2，用于白光预览</w:t>
            </w:r>
          </w:p>
          <w:p w14:paraId="2DFB4E3B">
            <w:pPr>
              <w:jc w:val="left"/>
              <w:rPr>
                <w:rFonts w:hint="eastAsia" w:ascii="宋体" w:hAnsi="宋体" w:eastAsia="宋体" w:cs="宋体"/>
                <w:sz w:val="21"/>
                <w:szCs w:val="21"/>
              </w:rPr>
            </w:pPr>
            <w:r>
              <w:rPr>
                <w:rFonts w:hint="eastAsia" w:ascii="宋体" w:hAnsi="宋体" w:eastAsia="宋体" w:cs="宋体"/>
                <w:sz w:val="21"/>
                <w:szCs w:val="21"/>
              </w:rPr>
              <w:t>6．样品台：</w:t>
            </w:r>
          </w:p>
          <w:p w14:paraId="3DA6E7BF">
            <w:pPr>
              <w:jc w:val="left"/>
              <w:rPr>
                <w:rFonts w:hint="eastAsia" w:ascii="宋体" w:hAnsi="宋体" w:eastAsia="宋体" w:cs="宋体"/>
                <w:sz w:val="21"/>
                <w:szCs w:val="21"/>
              </w:rPr>
            </w:pPr>
            <w:r>
              <w:rPr>
                <w:rFonts w:hint="eastAsia" w:ascii="宋体" w:hAnsi="宋体" w:eastAsia="宋体" w:cs="宋体"/>
                <w:sz w:val="21"/>
                <w:szCs w:val="21"/>
              </w:rPr>
              <w:t>6.1紫外透照台：UVSmart超薄紫外透照台，波长302nm，无灯影设计去除灯管灯影干扰，成像和切胶时背景相比传统紫外台更低，紫外透射面积：约21cm×26cm</w:t>
            </w:r>
          </w:p>
          <w:p w14:paraId="09295A04">
            <w:pPr>
              <w:jc w:val="left"/>
              <w:rPr>
                <w:rFonts w:hint="eastAsia" w:ascii="宋体" w:hAnsi="宋体" w:eastAsia="宋体" w:cs="宋体"/>
                <w:sz w:val="21"/>
                <w:szCs w:val="21"/>
              </w:rPr>
            </w:pPr>
            <w:r>
              <w:rPr>
                <w:rFonts w:hint="eastAsia" w:ascii="宋体" w:hAnsi="宋体" w:eastAsia="宋体" w:cs="宋体"/>
                <w:sz w:val="21"/>
                <w:szCs w:val="21"/>
              </w:rPr>
              <w:t>6.2白光透照台：顶针磁吸式超薄LED白光透照台， LED冷光源，非紫外白光转换板，白光板上可以触摸调节光强，白光透照面积约19cm×26cm，钢化玻璃表面，防腐蚀防刮擦，用于考染和银染的蛋白胶，拍摄面积约19.5cm×30cm</w:t>
            </w:r>
          </w:p>
          <w:p w14:paraId="6E15750C">
            <w:pPr>
              <w:jc w:val="left"/>
              <w:rPr>
                <w:rFonts w:hint="eastAsia" w:ascii="宋体" w:hAnsi="宋体" w:eastAsia="宋体" w:cs="宋体"/>
                <w:sz w:val="21"/>
                <w:szCs w:val="21"/>
              </w:rPr>
            </w:pPr>
            <w:r>
              <w:rPr>
                <w:rFonts w:hint="eastAsia" w:ascii="宋体" w:hAnsi="宋体" w:eastAsia="宋体" w:cs="宋体"/>
                <w:sz w:val="21"/>
                <w:szCs w:val="21"/>
              </w:rPr>
              <w:t>7. 观察、切胶防护</w:t>
            </w:r>
          </w:p>
          <w:p w14:paraId="0A50A7F3">
            <w:pPr>
              <w:jc w:val="left"/>
              <w:rPr>
                <w:rFonts w:hint="eastAsia" w:ascii="宋体" w:hAnsi="宋体" w:eastAsia="宋体" w:cs="宋体"/>
                <w:sz w:val="21"/>
                <w:szCs w:val="21"/>
              </w:rPr>
            </w:pPr>
            <w:r>
              <w:rPr>
                <w:rFonts w:hint="eastAsia" w:ascii="宋体" w:hAnsi="宋体" w:eastAsia="宋体" w:cs="宋体"/>
                <w:sz w:val="21"/>
                <w:szCs w:val="21"/>
              </w:rPr>
              <w:t>7.1专用切胶防护板和防划板</w:t>
            </w:r>
          </w:p>
          <w:p w14:paraId="4EDEE161">
            <w:pPr>
              <w:jc w:val="left"/>
              <w:rPr>
                <w:rFonts w:hint="eastAsia" w:ascii="宋体" w:hAnsi="宋体" w:eastAsia="宋体" w:cs="宋体"/>
                <w:sz w:val="21"/>
                <w:szCs w:val="21"/>
              </w:rPr>
            </w:pPr>
            <w:r>
              <w:rPr>
                <w:rFonts w:hint="eastAsia" w:ascii="宋体" w:hAnsi="宋体" w:eastAsia="宋体" w:cs="宋体"/>
                <w:sz w:val="21"/>
                <w:szCs w:val="21"/>
              </w:rPr>
              <w:t>7.2 轨道式紫外台，紫外台可以抽出用于切胶，开放式空间，切胶方便</w:t>
            </w:r>
          </w:p>
          <w:p w14:paraId="2F520890">
            <w:pPr>
              <w:jc w:val="left"/>
              <w:rPr>
                <w:rFonts w:hint="eastAsia" w:ascii="宋体" w:hAnsi="宋体" w:eastAsia="宋体" w:cs="宋体"/>
                <w:sz w:val="21"/>
                <w:szCs w:val="21"/>
              </w:rPr>
            </w:pPr>
            <w:r>
              <w:rPr>
                <w:rFonts w:hint="eastAsia" w:ascii="宋体" w:hAnsi="宋体" w:eastAsia="宋体" w:cs="宋体"/>
                <w:sz w:val="21"/>
                <w:szCs w:val="21"/>
              </w:rPr>
              <w:t>8. 图像采集分析软件：</w:t>
            </w:r>
          </w:p>
          <w:p w14:paraId="1571643A">
            <w:pPr>
              <w:jc w:val="left"/>
              <w:rPr>
                <w:rFonts w:hint="eastAsia" w:ascii="宋体" w:hAnsi="宋体" w:eastAsia="宋体" w:cs="宋体"/>
                <w:sz w:val="21"/>
                <w:szCs w:val="21"/>
              </w:rPr>
            </w:pPr>
            <w:r>
              <w:rPr>
                <w:rFonts w:hint="eastAsia" w:ascii="宋体" w:hAnsi="宋体" w:eastAsia="宋体" w:cs="宋体"/>
                <w:sz w:val="21"/>
                <w:szCs w:val="21"/>
              </w:rPr>
              <w:t>8.1标配界面友好简洁，专业的图像采集和分析软件，软件终身免费升级，软件拥有完全自主知识产权</w:t>
            </w:r>
          </w:p>
          <w:p w14:paraId="67950E89">
            <w:pPr>
              <w:jc w:val="left"/>
              <w:rPr>
                <w:rFonts w:hint="eastAsia" w:ascii="宋体" w:hAnsi="宋体" w:eastAsia="宋体" w:cs="宋体"/>
                <w:sz w:val="21"/>
                <w:szCs w:val="21"/>
              </w:rPr>
            </w:pPr>
            <w:r>
              <w:rPr>
                <w:rFonts w:hint="eastAsia" w:ascii="宋体" w:hAnsi="宋体" w:eastAsia="宋体" w:cs="宋体"/>
                <w:sz w:val="21"/>
                <w:szCs w:val="21"/>
              </w:rPr>
              <w:t>8.2具备手动曝光和自动曝光，能自动保存及读取设置参数</w:t>
            </w:r>
          </w:p>
          <w:p w14:paraId="412C8848">
            <w:pPr>
              <w:jc w:val="left"/>
              <w:rPr>
                <w:rFonts w:hint="eastAsia" w:ascii="宋体" w:hAnsi="宋体" w:eastAsia="宋体" w:cs="宋体"/>
                <w:sz w:val="21"/>
                <w:szCs w:val="21"/>
              </w:rPr>
            </w:pPr>
            <w:r>
              <w:rPr>
                <w:rFonts w:hint="eastAsia" w:ascii="宋体" w:hAnsi="宋体" w:eastAsia="宋体" w:cs="宋体"/>
                <w:sz w:val="21"/>
                <w:szCs w:val="21"/>
              </w:rPr>
              <w:t>8.3 拍摄完成的图像可以直接旋转调水平，无需后续再用其他软件进行调节，除旋转调水平外还具有图像裁切，反色，打印，添加伪彩，灰度调节等功能</w:t>
            </w:r>
          </w:p>
          <w:p w14:paraId="62F0F617">
            <w:pPr>
              <w:jc w:val="left"/>
              <w:rPr>
                <w:rFonts w:hint="eastAsia" w:ascii="宋体" w:hAnsi="宋体" w:eastAsia="宋体" w:cs="宋体"/>
                <w:sz w:val="21"/>
                <w:szCs w:val="21"/>
              </w:rPr>
            </w:pPr>
            <w:r>
              <w:rPr>
                <w:rFonts w:hint="eastAsia" w:ascii="宋体" w:hAnsi="宋体" w:eastAsia="宋体" w:cs="宋体"/>
                <w:sz w:val="21"/>
                <w:szCs w:val="21"/>
              </w:rPr>
              <w:t>8.4 自动识别泳道条带，并且可以根据需要添加、删除，调整泳道，实现泳道和条带的精确分离，自动计算泳道中各条带的光密度、百分比和分子量大小等</w:t>
            </w:r>
          </w:p>
          <w:p w14:paraId="3437B167">
            <w:pPr>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8.5 能对凝胶、化学发光、荧光、可见光、96孔板等图像进行光密度计算及定量分析</w:t>
            </w:r>
          </w:p>
        </w:tc>
      </w:tr>
      <w:tr w14:paraId="1746E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56C5810">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w:t>
            </w:r>
          </w:p>
        </w:tc>
        <w:tc>
          <w:tcPr>
            <w:tcW w:w="981" w:type="dxa"/>
            <w:tcBorders>
              <w:top w:val="single" w:color="000000" w:sz="4" w:space="0"/>
              <w:left w:val="nil"/>
              <w:bottom w:val="single" w:color="000000" w:sz="4" w:space="0"/>
              <w:right w:val="single" w:color="000000" w:sz="4" w:space="0"/>
            </w:tcBorders>
            <w:vAlign w:val="center"/>
          </w:tcPr>
          <w:p w14:paraId="6B2EAC39">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纯水仪</w:t>
            </w:r>
          </w:p>
        </w:tc>
        <w:tc>
          <w:tcPr>
            <w:tcW w:w="648" w:type="dxa"/>
            <w:tcBorders>
              <w:top w:val="single" w:color="000000" w:sz="4" w:space="0"/>
              <w:left w:val="nil"/>
              <w:bottom w:val="single" w:color="000000" w:sz="4" w:space="0"/>
              <w:right w:val="single" w:color="000000" w:sz="4" w:space="0"/>
            </w:tcBorders>
            <w:vAlign w:val="center"/>
          </w:tcPr>
          <w:p w14:paraId="2F2E5D18">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049E7D4D">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54474C14">
            <w:pPr>
              <w:jc w:val="left"/>
              <w:rPr>
                <w:rFonts w:hint="eastAsia" w:ascii="宋体" w:hAnsi="宋体" w:eastAsia="宋体" w:cs="宋体"/>
                <w:sz w:val="21"/>
                <w:szCs w:val="21"/>
              </w:rPr>
            </w:pPr>
            <w:r>
              <w:rPr>
                <w:rFonts w:hint="eastAsia" w:ascii="宋体" w:hAnsi="宋体" w:eastAsia="宋体" w:cs="宋体"/>
                <w:sz w:val="21"/>
                <w:szCs w:val="21"/>
              </w:rPr>
              <w:t>1.设备标配由超纯水仪、模具水箱和移动取水手柄组成，具有预处理柱（双柱，活性碳柱和PP棉过滤柱），陶氏反渗透膜，1组纯化柱，1组超纯柱，微滤，紫外灯，终端过滤器等模块，由自来水为进水，同时制备纯水和超纯水</w:t>
            </w:r>
          </w:p>
          <w:p w14:paraId="5EA44481">
            <w:pPr>
              <w:jc w:val="left"/>
              <w:rPr>
                <w:rFonts w:hint="eastAsia" w:ascii="宋体" w:hAnsi="宋体" w:eastAsia="宋体" w:cs="宋体"/>
                <w:sz w:val="21"/>
                <w:szCs w:val="21"/>
              </w:rPr>
            </w:pPr>
            <w:r>
              <w:rPr>
                <w:rFonts w:hint="eastAsia" w:ascii="宋体" w:hAnsi="宋体" w:eastAsia="宋体" w:cs="宋体"/>
                <w:sz w:val="21"/>
                <w:szCs w:val="21"/>
              </w:rPr>
              <w:t>2.纯水指标：RO制水量≥15L/h@25℃，RO膜脱盐率≥98%</w:t>
            </w:r>
          </w:p>
          <w:p w14:paraId="7005E615">
            <w:pPr>
              <w:jc w:val="left"/>
              <w:rPr>
                <w:rFonts w:hint="eastAsia" w:ascii="宋体" w:hAnsi="宋体" w:eastAsia="宋体" w:cs="宋体"/>
                <w:sz w:val="21"/>
                <w:szCs w:val="21"/>
              </w:rPr>
            </w:pPr>
            <w:r>
              <w:rPr>
                <w:rFonts w:hint="eastAsia" w:ascii="宋体" w:hAnsi="宋体" w:eastAsia="宋体" w:cs="宋体"/>
                <w:sz w:val="21"/>
                <w:szCs w:val="21"/>
              </w:rPr>
              <w:t>3.超纯水指标：</w:t>
            </w:r>
          </w:p>
          <w:p w14:paraId="46D0EBDF">
            <w:pPr>
              <w:jc w:val="left"/>
              <w:rPr>
                <w:rFonts w:hint="eastAsia" w:ascii="宋体" w:hAnsi="宋体" w:eastAsia="宋体" w:cs="宋体"/>
                <w:sz w:val="21"/>
                <w:szCs w:val="21"/>
              </w:rPr>
            </w:pPr>
            <w:r>
              <w:rPr>
                <w:rFonts w:hint="eastAsia" w:ascii="宋体" w:hAnsi="宋体" w:eastAsia="宋体" w:cs="宋体"/>
                <w:sz w:val="21"/>
                <w:szCs w:val="21"/>
              </w:rPr>
              <w:t>3.1电阻率为：18.2MΩ-cm(@25℃)</w:t>
            </w:r>
          </w:p>
          <w:p w14:paraId="3A4A8303">
            <w:pPr>
              <w:jc w:val="left"/>
              <w:rPr>
                <w:rFonts w:hint="eastAsia" w:ascii="宋体" w:hAnsi="宋体" w:eastAsia="宋体" w:cs="宋体"/>
                <w:sz w:val="21"/>
                <w:szCs w:val="21"/>
              </w:rPr>
            </w:pPr>
            <w:r>
              <w:rPr>
                <w:rFonts w:hint="eastAsia" w:ascii="宋体" w:hAnsi="宋体" w:eastAsia="宋体" w:cs="宋体"/>
                <w:sz w:val="21"/>
                <w:szCs w:val="21"/>
              </w:rPr>
              <w:t>3.2出水量：0.8</w:t>
            </w:r>
            <w:r>
              <w:rPr>
                <w:rFonts w:hint="eastAsia" w:ascii="宋体" w:hAnsi="宋体" w:eastAsia="宋体" w:cs="宋体"/>
                <w:sz w:val="21"/>
                <w:szCs w:val="21"/>
                <w:lang w:eastAsia="zh-CN"/>
              </w:rPr>
              <w:t>～</w:t>
            </w:r>
            <w:r>
              <w:rPr>
                <w:rFonts w:hint="eastAsia" w:ascii="宋体" w:hAnsi="宋体" w:eastAsia="宋体" w:cs="宋体"/>
                <w:sz w:val="21"/>
                <w:szCs w:val="21"/>
              </w:rPr>
              <w:t>1.2L/min</w:t>
            </w:r>
          </w:p>
          <w:p w14:paraId="0F0E4F42">
            <w:pPr>
              <w:jc w:val="left"/>
              <w:rPr>
                <w:rFonts w:hint="eastAsia" w:ascii="宋体" w:hAnsi="宋体" w:eastAsia="宋体" w:cs="宋体"/>
                <w:sz w:val="21"/>
                <w:szCs w:val="21"/>
              </w:rPr>
            </w:pPr>
            <w:r>
              <w:rPr>
                <w:rFonts w:hint="eastAsia" w:ascii="宋体" w:hAnsi="宋体" w:eastAsia="宋体" w:cs="宋体"/>
                <w:sz w:val="21"/>
                <w:szCs w:val="21"/>
              </w:rPr>
              <w:t>3.3 TOC含量：≤10ppb，标配双波长（254/185nm）紫外灯</w:t>
            </w:r>
          </w:p>
          <w:p w14:paraId="38D498E2">
            <w:pPr>
              <w:jc w:val="left"/>
              <w:rPr>
                <w:rFonts w:hint="eastAsia" w:ascii="宋体" w:hAnsi="宋体" w:eastAsia="宋体" w:cs="宋体"/>
                <w:sz w:val="21"/>
                <w:szCs w:val="21"/>
              </w:rPr>
            </w:pPr>
            <w:r>
              <w:rPr>
                <w:rFonts w:hint="eastAsia" w:ascii="宋体" w:hAnsi="宋体" w:eastAsia="宋体" w:cs="宋体"/>
                <w:sz w:val="21"/>
                <w:szCs w:val="21"/>
              </w:rPr>
              <w:t>3.4颗粒数（≥0.22μm）：&lt;1个/ml</w:t>
            </w:r>
          </w:p>
          <w:p w14:paraId="37F7613B">
            <w:pPr>
              <w:jc w:val="left"/>
              <w:rPr>
                <w:rFonts w:hint="eastAsia" w:ascii="宋体" w:hAnsi="宋体" w:eastAsia="宋体" w:cs="宋体"/>
                <w:color w:val="auto"/>
                <w:kern w:val="0"/>
                <w:sz w:val="21"/>
                <w:szCs w:val="21"/>
                <w:highlight w:val="none"/>
              </w:rPr>
            </w:pPr>
            <w:r>
              <w:rPr>
                <w:rFonts w:hint="eastAsia" w:ascii="宋体" w:hAnsi="宋体" w:eastAsia="宋体" w:cs="宋体"/>
                <w:sz w:val="21"/>
                <w:szCs w:val="21"/>
              </w:rPr>
              <w:t>3.5微生物数量：&lt;1cfu/ml</w:t>
            </w:r>
          </w:p>
        </w:tc>
      </w:tr>
      <w:tr w14:paraId="73F1A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5614DE78">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4</w:t>
            </w:r>
          </w:p>
        </w:tc>
        <w:tc>
          <w:tcPr>
            <w:tcW w:w="981" w:type="dxa"/>
            <w:tcBorders>
              <w:top w:val="single" w:color="000000" w:sz="4" w:space="0"/>
              <w:left w:val="nil"/>
              <w:bottom w:val="single" w:color="000000" w:sz="4" w:space="0"/>
              <w:right w:val="single" w:color="000000" w:sz="4" w:space="0"/>
            </w:tcBorders>
            <w:vAlign w:val="center"/>
          </w:tcPr>
          <w:p w14:paraId="6FDF9D88">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移液器</w:t>
            </w:r>
          </w:p>
        </w:tc>
        <w:tc>
          <w:tcPr>
            <w:tcW w:w="648" w:type="dxa"/>
            <w:tcBorders>
              <w:top w:val="single" w:color="000000" w:sz="4" w:space="0"/>
              <w:left w:val="nil"/>
              <w:bottom w:val="single" w:color="000000" w:sz="4" w:space="0"/>
              <w:right w:val="single" w:color="000000" w:sz="4" w:space="0"/>
            </w:tcBorders>
            <w:vAlign w:val="center"/>
          </w:tcPr>
          <w:p w14:paraId="2737F8A2">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支</w:t>
            </w:r>
          </w:p>
        </w:tc>
        <w:tc>
          <w:tcPr>
            <w:tcW w:w="564" w:type="dxa"/>
            <w:tcBorders>
              <w:top w:val="single" w:color="000000" w:sz="4" w:space="0"/>
              <w:left w:val="nil"/>
              <w:bottom w:val="single" w:color="000000" w:sz="4" w:space="0"/>
              <w:right w:val="single" w:color="000000" w:sz="4" w:space="0"/>
            </w:tcBorders>
            <w:vAlign w:val="center"/>
          </w:tcPr>
          <w:p w14:paraId="496E3FD8">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6733" w:type="dxa"/>
            <w:tcBorders>
              <w:top w:val="single" w:color="000000" w:sz="4" w:space="0"/>
              <w:left w:val="nil"/>
              <w:bottom w:val="single" w:color="000000" w:sz="4" w:space="0"/>
              <w:right w:val="single" w:color="000000" w:sz="4" w:space="0"/>
            </w:tcBorders>
            <w:vAlign w:val="center"/>
          </w:tcPr>
          <w:p w14:paraId="5581401A">
            <w:pPr>
              <w:jc w:val="left"/>
              <w:rPr>
                <w:rFonts w:hint="eastAsia" w:ascii="宋体" w:hAnsi="宋体" w:eastAsia="宋体" w:cs="宋体"/>
                <w:sz w:val="21"/>
                <w:szCs w:val="21"/>
              </w:rPr>
            </w:pPr>
            <w:r>
              <w:rPr>
                <w:rFonts w:hint="eastAsia" w:ascii="宋体" w:hAnsi="宋体" w:eastAsia="宋体" w:cs="宋体"/>
                <w:sz w:val="21"/>
                <w:szCs w:val="21"/>
              </w:rPr>
              <w:t>1．可充电锂电池</w:t>
            </w:r>
          </w:p>
          <w:p w14:paraId="5D49A7B7">
            <w:pPr>
              <w:jc w:val="left"/>
              <w:rPr>
                <w:rFonts w:hint="eastAsia" w:ascii="宋体" w:hAnsi="宋体" w:eastAsia="宋体" w:cs="宋体"/>
                <w:sz w:val="21"/>
                <w:szCs w:val="21"/>
              </w:rPr>
            </w:pPr>
            <w:r>
              <w:rPr>
                <w:rFonts w:hint="eastAsia" w:ascii="宋体" w:hAnsi="宋体" w:eastAsia="宋体" w:cs="宋体"/>
                <w:sz w:val="21"/>
                <w:szCs w:val="21"/>
              </w:rPr>
              <w:t>2．可编程移液容量：0.5-10ul，5-50ul，30-300ul，100-1000ul</w:t>
            </w:r>
          </w:p>
          <w:p w14:paraId="1B84235B">
            <w:pPr>
              <w:jc w:val="left"/>
              <w:rPr>
                <w:rFonts w:hint="eastAsia" w:ascii="宋体" w:hAnsi="宋体" w:eastAsia="宋体" w:cs="宋体"/>
                <w:sz w:val="21"/>
                <w:szCs w:val="21"/>
              </w:rPr>
            </w:pPr>
            <w:r>
              <w:rPr>
                <w:rFonts w:hint="eastAsia" w:ascii="宋体" w:hAnsi="宋体" w:eastAsia="宋体" w:cs="宋体"/>
                <w:sz w:val="21"/>
                <w:szCs w:val="21"/>
              </w:rPr>
              <w:t>3.超轻设计，流线造型，符合人体工程力学</w:t>
            </w:r>
          </w:p>
          <w:p w14:paraId="2D58C8D1">
            <w:pPr>
              <w:jc w:val="left"/>
              <w:rPr>
                <w:rFonts w:hint="eastAsia" w:ascii="宋体" w:hAnsi="宋体" w:eastAsia="宋体" w:cs="宋体"/>
                <w:sz w:val="21"/>
                <w:szCs w:val="21"/>
              </w:rPr>
            </w:pPr>
            <w:r>
              <w:rPr>
                <w:rFonts w:hint="eastAsia" w:ascii="宋体" w:hAnsi="宋体" w:eastAsia="宋体" w:cs="宋体"/>
                <w:sz w:val="21"/>
                <w:szCs w:val="21"/>
              </w:rPr>
              <w:t>3．大液晶屏位于枪身部分，完全还原手动移液器的操作和显示方式</w:t>
            </w:r>
          </w:p>
          <w:p w14:paraId="1072B4F8">
            <w:pPr>
              <w:jc w:val="left"/>
              <w:rPr>
                <w:rFonts w:hint="eastAsia" w:ascii="宋体" w:hAnsi="宋体" w:eastAsia="宋体" w:cs="宋体"/>
                <w:sz w:val="21"/>
                <w:szCs w:val="21"/>
              </w:rPr>
            </w:pPr>
            <w:r>
              <w:rPr>
                <w:rFonts w:hint="eastAsia" w:ascii="宋体" w:hAnsi="宋体" w:eastAsia="宋体" w:cs="宋体"/>
                <w:sz w:val="21"/>
                <w:szCs w:val="21"/>
              </w:rPr>
              <w:t>4．组合旋钮设计，所有操作均可通过组合旋钮来完成，操作简便</w:t>
            </w:r>
          </w:p>
          <w:p w14:paraId="558D4FC5">
            <w:pPr>
              <w:jc w:val="left"/>
              <w:rPr>
                <w:rFonts w:hint="eastAsia" w:ascii="宋体" w:hAnsi="宋体" w:eastAsia="宋体" w:cs="宋体"/>
                <w:sz w:val="21"/>
                <w:szCs w:val="21"/>
              </w:rPr>
            </w:pPr>
            <w:r>
              <w:rPr>
                <w:rFonts w:hint="eastAsia" w:ascii="宋体" w:hAnsi="宋体" w:eastAsia="宋体" w:cs="宋体"/>
                <w:sz w:val="21"/>
                <w:szCs w:val="21"/>
              </w:rPr>
              <w:t>5．吸液和排液速度可调</w:t>
            </w:r>
          </w:p>
          <w:p w14:paraId="75106494">
            <w:pPr>
              <w:jc w:val="left"/>
              <w:rPr>
                <w:rFonts w:hint="eastAsia" w:ascii="宋体" w:hAnsi="宋体" w:eastAsia="宋体" w:cs="宋体"/>
                <w:color w:val="auto"/>
                <w:sz w:val="21"/>
                <w:szCs w:val="21"/>
                <w:highlight w:val="none"/>
              </w:rPr>
            </w:pPr>
            <w:r>
              <w:rPr>
                <w:rFonts w:hint="eastAsia" w:ascii="宋体" w:hAnsi="宋体" w:eastAsia="宋体" w:cs="宋体"/>
                <w:sz w:val="21"/>
                <w:szCs w:val="21"/>
              </w:rPr>
              <w:t>6．精密度和准确度高，保证移液的准确性和平行性</w:t>
            </w:r>
          </w:p>
        </w:tc>
      </w:tr>
      <w:tr w14:paraId="3918D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3FE71478">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5</w:t>
            </w:r>
          </w:p>
        </w:tc>
        <w:tc>
          <w:tcPr>
            <w:tcW w:w="981" w:type="dxa"/>
            <w:tcBorders>
              <w:top w:val="single" w:color="000000" w:sz="4" w:space="0"/>
              <w:left w:val="nil"/>
              <w:bottom w:val="single" w:color="000000" w:sz="4" w:space="0"/>
              <w:right w:val="single" w:color="000000" w:sz="4" w:space="0"/>
            </w:tcBorders>
            <w:vAlign w:val="center"/>
          </w:tcPr>
          <w:p w14:paraId="39916257">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低温高速台式离心机</w:t>
            </w:r>
          </w:p>
        </w:tc>
        <w:tc>
          <w:tcPr>
            <w:tcW w:w="648" w:type="dxa"/>
            <w:tcBorders>
              <w:top w:val="single" w:color="000000" w:sz="4" w:space="0"/>
              <w:left w:val="nil"/>
              <w:bottom w:val="single" w:color="000000" w:sz="4" w:space="0"/>
              <w:right w:val="single" w:color="000000" w:sz="4" w:space="0"/>
            </w:tcBorders>
            <w:vAlign w:val="center"/>
          </w:tcPr>
          <w:p w14:paraId="03C26417">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5B9EC838">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6595EBE9">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1.最高转速：≥15500rpm</w:t>
            </w:r>
          </w:p>
          <w:p w14:paraId="6A7BED4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2.最大相对离心力：≥26322xg</w:t>
            </w:r>
          </w:p>
          <w:p w14:paraId="682BA42D">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3.转速精度：±10rpm</w:t>
            </w:r>
          </w:p>
          <w:p w14:paraId="548F519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4.最大容量：4x500ml</w:t>
            </w:r>
          </w:p>
          <w:p w14:paraId="72398E90">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5.定时范围：1秒－99小时59分59秒</w:t>
            </w:r>
          </w:p>
          <w:p w14:paraId="64AF3F42">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6.温度设置范围：-20℃～40℃</w:t>
            </w:r>
          </w:p>
          <w:p w14:paraId="1D52CD9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7.温度精度：±2℃</w:t>
            </w:r>
          </w:p>
          <w:p w14:paraId="497A283B">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8.噪音：≤55dB</w:t>
            </w:r>
          </w:p>
          <w:p w14:paraId="5D338037">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9.电源：220V/50Hz</w:t>
            </w:r>
          </w:p>
          <w:p w14:paraId="5ED880DA">
            <w:pP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10.功率：≥1200W</w:t>
            </w:r>
          </w:p>
        </w:tc>
      </w:tr>
      <w:tr w14:paraId="14042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CA3B8D2">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6</w:t>
            </w:r>
          </w:p>
        </w:tc>
        <w:tc>
          <w:tcPr>
            <w:tcW w:w="981" w:type="dxa"/>
            <w:tcBorders>
              <w:top w:val="single" w:color="000000" w:sz="4" w:space="0"/>
              <w:left w:val="nil"/>
              <w:bottom w:val="single" w:color="000000" w:sz="4" w:space="0"/>
              <w:right w:val="single" w:color="000000" w:sz="4" w:space="0"/>
            </w:tcBorders>
            <w:vAlign w:val="center"/>
          </w:tcPr>
          <w:p w14:paraId="34759A5A">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制冰机</w:t>
            </w:r>
          </w:p>
        </w:tc>
        <w:tc>
          <w:tcPr>
            <w:tcW w:w="648" w:type="dxa"/>
            <w:tcBorders>
              <w:top w:val="single" w:color="000000" w:sz="4" w:space="0"/>
              <w:left w:val="nil"/>
              <w:bottom w:val="single" w:color="000000" w:sz="4" w:space="0"/>
              <w:right w:val="single" w:color="000000" w:sz="4" w:space="0"/>
            </w:tcBorders>
            <w:vAlign w:val="center"/>
          </w:tcPr>
          <w:p w14:paraId="25F5F380">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5C587A84">
            <w:pPr>
              <w:wordWrap/>
              <w:adjustRightInd/>
              <w:snapToGrid/>
              <w:spacing w:before="0" w:after="0" w:line="320" w:lineRule="exact"/>
              <w:ind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1896251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1.制冰量（kg/24h）：≥70</w:t>
            </w:r>
          </w:p>
          <w:p w14:paraId="19A9AF0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2.储冰量(kg)：≥25</w:t>
            </w:r>
          </w:p>
          <w:p w14:paraId="0932A929">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3.制冷剂：R404a/120g</w:t>
            </w:r>
          </w:p>
          <w:p w14:paraId="53C6142C">
            <w:pP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4.输入功率（W）：≤420</w:t>
            </w:r>
          </w:p>
        </w:tc>
      </w:tr>
      <w:tr w14:paraId="55953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66078030">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81" w:type="dxa"/>
            <w:tcBorders>
              <w:top w:val="single" w:color="000000" w:sz="4" w:space="0"/>
              <w:left w:val="nil"/>
              <w:bottom w:val="single" w:color="000000" w:sz="4" w:space="0"/>
              <w:right w:val="single" w:color="000000" w:sz="4" w:space="0"/>
            </w:tcBorders>
            <w:vAlign w:val="center"/>
          </w:tcPr>
          <w:p w14:paraId="290D4109">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超声波清洗机</w:t>
            </w:r>
          </w:p>
        </w:tc>
        <w:tc>
          <w:tcPr>
            <w:tcW w:w="648" w:type="dxa"/>
            <w:tcBorders>
              <w:top w:val="single" w:color="000000" w:sz="4" w:space="0"/>
              <w:left w:val="nil"/>
              <w:bottom w:val="single" w:color="000000" w:sz="4" w:space="0"/>
              <w:right w:val="single" w:color="000000" w:sz="4" w:space="0"/>
            </w:tcBorders>
            <w:vAlign w:val="center"/>
          </w:tcPr>
          <w:p w14:paraId="685E7693">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3232522E">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11F0C44C">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1.内槽长*宽*高</w:t>
            </w:r>
            <w:r>
              <w:rPr>
                <w:rFonts w:hint="eastAsia" w:ascii="宋体" w:hAnsi="宋体" w:eastAsia="宋体" w:cs="宋体"/>
                <w:sz w:val="21"/>
                <w:szCs w:val="21"/>
                <w:highlight w:val="none"/>
                <w:lang w:eastAsia="zh-CN"/>
              </w:rPr>
              <w:t>（偏差±</w:t>
            </w:r>
            <w:r>
              <w:rPr>
                <w:rFonts w:hint="eastAsia" w:ascii="宋体" w:hAnsi="宋体" w:eastAsia="宋体" w:cs="宋体"/>
                <w:sz w:val="21"/>
                <w:szCs w:val="21"/>
                <w:highlight w:val="none"/>
                <w:lang w:val="en-US" w:eastAsia="zh-CN"/>
              </w:rPr>
              <w:t>5%以内</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 500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150(mm)L/W/H</w:t>
            </w:r>
          </w:p>
          <w:p w14:paraId="280C1C2B">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2.容量：≥22.5L</w:t>
            </w:r>
          </w:p>
          <w:p w14:paraId="3739BE58">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3.频率：≥40KHz</w:t>
            </w:r>
          </w:p>
          <w:p w14:paraId="1C870822">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4.超声功率：600/720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w:t>
            </w:r>
            <w:r>
              <w:rPr>
                <w:rFonts w:hint="eastAsia" w:ascii="宋体" w:hAnsi="宋体" w:cs="宋体"/>
                <w:sz w:val="21"/>
                <w:szCs w:val="21"/>
                <w:highlight w:val="none"/>
                <w:lang w:eastAsia="zh-CN"/>
              </w:rPr>
              <w:t>）</w:t>
            </w:r>
          </w:p>
          <w:p w14:paraId="6A6F0E1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5.功率可调：40～100%</w:t>
            </w:r>
          </w:p>
          <w:p w14:paraId="14F99EB9">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6.加热功率：≥800W</w:t>
            </w:r>
          </w:p>
          <w:p w14:paraId="52CE54F7">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7.温度可调：室温-80℃</w:t>
            </w:r>
          </w:p>
          <w:p w14:paraId="48744E82">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8.时间可调：1～999min</w:t>
            </w:r>
          </w:p>
          <w:p w14:paraId="3545F4CC">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9.网架：有</w:t>
            </w:r>
          </w:p>
          <w:p w14:paraId="696B2FDB">
            <w:pPr>
              <w:jc w:val="left"/>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10.降音盖：有</w:t>
            </w:r>
          </w:p>
        </w:tc>
      </w:tr>
      <w:tr w14:paraId="539EC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44E33141">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981" w:type="dxa"/>
            <w:tcBorders>
              <w:top w:val="single" w:color="000000" w:sz="4" w:space="0"/>
              <w:left w:val="nil"/>
              <w:bottom w:val="single" w:color="000000" w:sz="4" w:space="0"/>
              <w:right w:val="single" w:color="000000" w:sz="4" w:space="0"/>
            </w:tcBorders>
            <w:vAlign w:val="center"/>
          </w:tcPr>
          <w:p w14:paraId="40786F7E">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琼脂糖水平电泳仪</w:t>
            </w:r>
          </w:p>
        </w:tc>
        <w:tc>
          <w:tcPr>
            <w:tcW w:w="648" w:type="dxa"/>
            <w:tcBorders>
              <w:top w:val="single" w:color="000000" w:sz="4" w:space="0"/>
              <w:left w:val="nil"/>
              <w:bottom w:val="single" w:color="000000" w:sz="4" w:space="0"/>
              <w:right w:val="single" w:color="000000" w:sz="4" w:space="0"/>
            </w:tcBorders>
            <w:vAlign w:val="center"/>
          </w:tcPr>
          <w:p w14:paraId="77419C9B">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46818B53">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62189FFB">
            <w:pPr>
              <w:jc w:val="left"/>
              <w:rPr>
                <w:rFonts w:hint="eastAsia" w:ascii="宋体" w:hAnsi="宋体" w:eastAsia="宋体" w:cs="宋体"/>
                <w:sz w:val="21"/>
                <w:szCs w:val="21"/>
              </w:rPr>
            </w:pPr>
            <w:r>
              <w:rPr>
                <w:rFonts w:hint="eastAsia" w:ascii="宋体" w:hAnsi="宋体" w:eastAsia="宋体" w:cs="宋体"/>
                <w:sz w:val="21"/>
                <w:szCs w:val="21"/>
              </w:rPr>
              <w:t>1.外型尺寸</w:t>
            </w:r>
          </w:p>
          <w:p w14:paraId="270ED56C">
            <w:pPr>
              <w:jc w:val="left"/>
              <w:rPr>
                <w:rFonts w:hint="eastAsia" w:ascii="宋体" w:hAnsi="宋体" w:eastAsia="宋体" w:cs="宋体"/>
                <w:sz w:val="21"/>
                <w:szCs w:val="21"/>
              </w:rPr>
            </w:pPr>
            <w:r>
              <w:rPr>
                <w:rFonts w:hint="eastAsia" w:ascii="宋体" w:hAnsi="宋体" w:eastAsia="宋体" w:cs="宋体"/>
                <w:sz w:val="21"/>
                <w:szCs w:val="21"/>
              </w:rPr>
              <w:t>（L × W × H）：310×150×120</w:t>
            </w:r>
            <w:r>
              <w:rPr>
                <w:rFonts w:hint="eastAsia" w:ascii="宋体" w:hAnsi="宋体" w:cs="宋体"/>
                <w:sz w:val="21"/>
                <w:szCs w:val="21"/>
                <w:lang w:eastAsia="zh-CN"/>
              </w:rPr>
              <w:t>（</w:t>
            </w:r>
            <w:r>
              <w:rPr>
                <w:rFonts w:hint="eastAsia" w:ascii="宋体" w:hAnsi="宋体" w:eastAsia="宋体" w:cs="宋体"/>
                <w:sz w:val="21"/>
                <w:szCs w:val="21"/>
              </w:rPr>
              <w:t>mm</w:t>
            </w:r>
            <w:r>
              <w:rPr>
                <w:rFonts w:hint="eastAsia" w:ascii="宋体" w:hAnsi="宋体" w:cs="宋体"/>
                <w:sz w:val="21"/>
                <w:szCs w:val="21"/>
                <w:lang w:eastAsia="zh-CN"/>
              </w:rPr>
              <w:t>）</w:t>
            </w:r>
          </w:p>
          <w:p w14:paraId="1B3BFF50">
            <w:pPr>
              <w:jc w:val="left"/>
              <w:rPr>
                <w:rFonts w:hint="eastAsia" w:ascii="宋体" w:hAnsi="宋体" w:eastAsia="宋体" w:cs="宋体"/>
                <w:sz w:val="21"/>
                <w:szCs w:val="21"/>
              </w:rPr>
            </w:pPr>
            <w:r>
              <w:rPr>
                <w:rFonts w:hint="eastAsia" w:ascii="宋体" w:hAnsi="宋体" w:eastAsia="宋体" w:cs="宋体"/>
                <w:sz w:val="21"/>
                <w:szCs w:val="21"/>
              </w:rPr>
              <w:t>凝胶板规格</w:t>
            </w:r>
          </w:p>
          <w:p w14:paraId="412A8CFF">
            <w:pPr>
              <w:jc w:val="left"/>
              <w:rPr>
                <w:rFonts w:hint="eastAsia" w:ascii="宋体" w:hAnsi="宋体" w:eastAsia="宋体" w:cs="宋体"/>
                <w:sz w:val="21"/>
                <w:szCs w:val="21"/>
              </w:rPr>
            </w:pPr>
            <w:r>
              <w:rPr>
                <w:rFonts w:hint="eastAsia" w:ascii="宋体" w:hAnsi="宋体" w:eastAsia="宋体" w:cs="宋体"/>
                <w:sz w:val="21"/>
                <w:szCs w:val="21"/>
              </w:rPr>
              <w:t>（L×W）：大胶 120×120mm；宽胶60×120</w:t>
            </w:r>
            <w:r>
              <w:rPr>
                <w:rFonts w:hint="eastAsia" w:ascii="宋体" w:hAnsi="宋体" w:cs="宋体"/>
                <w:sz w:val="21"/>
                <w:szCs w:val="21"/>
                <w:lang w:eastAsia="zh-CN"/>
              </w:rPr>
              <w:t>（</w:t>
            </w:r>
            <w:r>
              <w:rPr>
                <w:rFonts w:hint="eastAsia" w:ascii="宋体" w:hAnsi="宋体" w:eastAsia="宋体" w:cs="宋体"/>
                <w:sz w:val="21"/>
                <w:szCs w:val="21"/>
              </w:rPr>
              <w:t>mm</w:t>
            </w:r>
            <w:r>
              <w:rPr>
                <w:rFonts w:hint="eastAsia" w:ascii="宋体" w:hAnsi="宋体" w:cs="宋体"/>
                <w:sz w:val="21"/>
                <w:szCs w:val="21"/>
                <w:lang w:eastAsia="zh-CN"/>
              </w:rPr>
              <w:t>）</w:t>
            </w:r>
            <w:r>
              <w:rPr>
                <w:rFonts w:hint="eastAsia" w:ascii="宋体" w:hAnsi="宋体" w:eastAsia="宋体" w:cs="宋体"/>
                <w:sz w:val="21"/>
                <w:szCs w:val="21"/>
              </w:rPr>
              <w:t xml:space="preserve"> ；</w:t>
            </w:r>
          </w:p>
          <w:p w14:paraId="238DF7B0">
            <w:pPr>
              <w:jc w:val="left"/>
              <w:rPr>
                <w:rFonts w:hint="eastAsia" w:ascii="宋体" w:hAnsi="宋体" w:eastAsia="宋体" w:cs="宋体"/>
                <w:sz w:val="21"/>
                <w:szCs w:val="21"/>
              </w:rPr>
            </w:pPr>
            <w:r>
              <w:rPr>
                <w:rFonts w:hint="eastAsia" w:ascii="宋体" w:hAnsi="宋体" w:eastAsia="宋体" w:cs="宋体"/>
                <w:sz w:val="21"/>
                <w:szCs w:val="21"/>
              </w:rPr>
              <w:t>长胶 120×60</w:t>
            </w:r>
            <w:r>
              <w:rPr>
                <w:rFonts w:hint="eastAsia" w:ascii="宋体" w:hAnsi="宋体" w:cs="宋体"/>
                <w:sz w:val="21"/>
                <w:szCs w:val="21"/>
                <w:lang w:eastAsia="zh-CN"/>
              </w:rPr>
              <w:t>（</w:t>
            </w:r>
            <w:r>
              <w:rPr>
                <w:rFonts w:hint="eastAsia" w:ascii="宋体" w:hAnsi="宋体" w:eastAsia="宋体" w:cs="宋体"/>
                <w:sz w:val="21"/>
                <w:szCs w:val="21"/>
              </w:rPr>
              <w:t>mm</w:t>
            </w:r>
            <w:r>
              <w:rPr>
                <w:rFonts w:hint="eastAsia" w:ascii="宋体" w:hAnsi="宋体" w:cs="宋体"/>
                <w:sz w:val="21"/>
                <w:szCs w:val="21"/>
                <w:lang w:eastAsia="zh-CN"/>
              </w:rPr>
              <w:t>）</w:t>
            </w:r>
            <w:r>
              <w:rPr>
                <w:rFonts w:hint="eastAsia" w:ascii="宋体" w:hAnsi="宋体" w:eastAsia="宋体" w:cs="宋体"/>
                <w:sz w:val="21"/>
                <w:szCs w:val="21"/>
              </w:rPr>
              <w:t>；小胶 60 × 60</w:t>
            </w:r>
            <w:r>
              <w:rPr>
                <w:rFonts w:hint="eastAsia" w:ascii="宋体" w:hAnsi="宋体" w:cs="宋体"/>
                <w:sz w:val="21"/>
                <w:szCs w:val="21"/>
                <w:lang w:eastAsia="zh-CN"/>
              </w:rPr>
              <w:t>（</w:t>
            </w:r>
            <w:r>
              <w:rPr>
                <w:rFonts w:hint="eastAsia" w:ascii="宋体" w:hAnsi="宋体" w:eastAsia="宋体" w:cs="宋体"/>
                <w:sz w:val="21"/>
                <w:szCs w:val="21"/>
              </w:rPr>
              <w:t>mm</w:t>
            </w:r>
            <w:r>
              <w:rPr>
                <w:rFonts w:hint="eastAsia" w:ascii="宋体" w:hAnsi="宋体" w:cs="宋体"/>
                <w:sz w:val="21"/>
                <w:szCs w:val="21"/>
                <w:lang w:eastAsia="zh-CN"/>
              </w:rPr>
              <w:t>）</w:t>
            </w:r>
          </w:p>
          <w:p w14:paraId="11D0C2EC">
            <w:pPr>
              <w:jc w:val="left"/>
              <w:rPr>
                <w:rFonts w:hint="eastAsia" w:ascii="宋体" w:hAnsi="宋体" w:eastAsia="宋体" w:cs="宋体"/>
                <w:sz w:val="21"/>
                <w:szCs w:val="21"/>
              </w:rPr>
            </w:pPr>
            <w:r>
              <w:rPr>
                <w:rFonts w:hint="eastAsia" w:ascii="宋体" w:hAnsi="宋体" w:eastAsia="宋体" w:cs="宋体"/>
                <w:sz w:val="21"/>
                <w:szCs w:val="21"/>
              </w:rPr>
              <w:t>2.试样格</w:t>
            </w:r>
          </w:p>
          <w:p w14:paraId="25FD5AE9">
            <w:pPr>
              <w:jc w:val="left"/>
              <w:rPr>
                <w:rFonts w:hint="eastAsia" w:ascii="宋体" w:hAnsi="宋体" w:eastAsia="宋体" w:cs="宋体"/>
                <w:sz w:val="21"/>
                <w:szCs w:val="21"/>
              </w:rPr>
            </w:pPr>
            <w:r>
              <w:rPr>
                <w:rFonts w:hint="eastAsia" w:ascii="宋体" w:hAnsi="宋体" w:eastAsia="宋体" w:cs="宋体"/>
                <w:sz w:val="21"/>
                <w:szCs w:val="21"/>
              </w:rPr>
              <w:t>2+3 齿（ 2.0mm 厚），6+13 齿，</w:t>
            </w:r>
          </w:p>
          <w:p w14:paraId="58B67FC8">
            <w:pPr>
              <w:jc w:val="left"/>
              <w:rPr>
                <w:rFonts w:hint="eastAsia" w:ascii="宋体" w:hAnsi="宋体" w:eastAsia="宋体" w:cs="宋体"/>
                <w:sz w:val="21"/>
                <w:szCs w:val="21"/>
              </w:rPr>
            </w:pPr>
            <w:r>
              <w:rPr>
                <w:rFonts w:hint="eastAsia" w:ascii="宋体" w:hAnsi="宋体" w:eastAsia="宋体" w:cs="宋体"/>
                <w:sz w:val="21"/>
                <w:szCs w:val="21"/>
              </w:rPr>
              <w:t>8+18 齿（1.5mm 厚），</w:t>
            </w:r>
          </w:p>
          <w:p w14:paraId="4C1FBCC6">
            <w:pPr>
              <w:jc w:val="left"/>
              <w:rPr>
                <w:rFonts w:hint="eastAsia" w:ascii="宋体" w:hAnsi="宋体" w:eastAsia="宋体" w:cs="宋体"/>
                <w:sz w:val="21"/>
                <w:szCs w:val="21"/>
              </w:rPr>
            </w:pPr>
            <w:r>
              <w:rPr>
                <w:rFonts w:hint="eastAsia" w:ascii="宋体" w:hAnsi="宋体" w:eastAsia="宋体" w:cs="宋体"/>
                <w:sz w:val="21"/>
                <w:szCs w:val="21"/>
              </w:rPr>
              <w:t>11+25 齿（1.0mm 厚）可用排枪加样</w:t>
            </w:r>
          </w:p>
          <w:p w14:paraId="0A492ECF">
            <w:pPr>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.缓冲液总容量：650ml</w:t>
            </w:r>
          </w:p>
          <w:p w14:paraId="3A352143">
            <w:pPr>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.配置清单：</w:t>
            </w:r>
          </w:p>
          <w:p w14:paraId="5FE6C2F1">
            <w:pPr>
              <w:jc w:val="left"/>
              <w:rPr>
                <w:rFonts w:hint="eastAsia" w:ascii="宋体" w:hAnsi="宋体" w:eastAsia="宋体" w:cs="宋体"/>
                <w:sz w:val="21"/>
                <w:szCs w:val="21"/>
              </w:rPr>
            </w:pPr>
            <w:r>
              <w:rPr>
                <w:rFonts w:hint="eastAsia" w:ascii="宋体" w:hAnsi="宋体" w:eastAsia="宋体" w:cs="宋体"/>
                <w:sz w:val="21"/>
                <w:szCs w:val="21"/>
              </w:rPr>
              <w:t>电泳仪（主体）/1 个</w:t>
            </w:r>
          </w:p>
          <w:p w14:paraId="2CCF24A8">
            <w:pPr>
              <w:jc w:val="left"/>
              <w:rPr>
                <w:rFonts w:hint="eastAsia" w:ascii="宋体" w:hAnsi="宋体" w:eastAsia="宋体" w:cs="宋体"/>
                <w:sz w:val="21"/>
                <w:szCs w:val="21"/>
              </w:rPr>
            </w:pPr>
            <w:r>
              <w:rPr>
                <w:rFonts w:hint="eastAsia" w:ascii="宋体" w:hAnsi="宋体" w:eastAsia="宋体" w:cs="宋体"/>
                <w:sz w:val="21"/>
                <w:szCs w:val="21"/>
              </w:rPr>
              <w:t>电泳仪（上盖）/1 个</w:t>
            </w:r>
          </w:p>
          <w:p w14:paraId="6A5EDAE0">
            <w:pPr>
              <w:jc w:val="left"/>
              <w:rPr>
                <w:rFonts w:hint="eastAsia" w:ascii="宋体" w:hAnsi="宋体" w:eastAsia="宋体" w:cs="宋体"/>
                <w:sz w:val="21"/>
                <w:szCs w:val="21"/>
              </w:rPr>
            </w:pPr>
            <w:r>
              <w:rPr>
                <w:rFonts w:hint="eastAsia" w:ascii="宋体" w:hAnsi="宋体" w:eastAsia="宋体" w:cs="宋体"/>
                <w:sz w:val="21"/>
                <w:szCs w:val="21"/>
              </w:rPr>
              <w:t>1.0mm25 齿/11 齿试样格/4 把</w:t>
            </w:r>
          </w:p>
          <w:p w14:paraId="45E93B87">
            <w:pPr>
              <w:jc w:val="left"/>
              <w:rPr>
                <w:rFonts w:hint="eastAsia" w:ascii="宋体" w:hAnsi="宋体" w:eastAsia="宋体" w:cs="宋体"/>
                <w:sz w:val="21"/>
                <w:szCs w:val="21"/>
              </w:rPr>
            </w:pPr>
            <w:r>
              <w:rPr>
                <w:rFonts w:hint="eastAsia" w:ascii="宋体" w:hAnsi="宋体" w:eastAsia="宋体" w:cs="宋体"/>
                <w:sz w:val="21"/>
                <w:szCs w:val="21"/>
              </w:rPr>
              <w:t>1.5mm13 齿/6 齿试样格/1 把</w:t>
            </w:r>
          </w:p>
          <w:p w14:paraId="2055896B">
            <w:pPr>
              <w:jc w:val="left"/>
              <w:rPr>
                <w:rFonts w:hint="eastAsia" w:ascii="宋体" w:hAnsi="宋体" w:eastAsia="宋体" w:cs="宋体"/>
                <w:sz w:val="21"/>
                <w:szCs w:val="21"/>
              </w:rPr>
            </w:pPr>
            <w:r>
              <w:rPr>
                <w:rFonts w:hint="eastAsia" w:ascii="宋体" w:hAnsi="宋体" w:eastAsia="宋体" w:cs="宋体"/>
                <w:sz w:val="21"/>
                <w:szCs w:val="21"/>
              </w:rPr>
              <w:t>1.5mm18 齿/8 齿试样格/1 把</w:t>
            </w:r>
          </w:p>
          <w:p w14:paraId="385CF413">
            <w:pPr>
              <w:jc w:val="left"/>
              <w:rPr>
                <w:rFonts w:hint="eastAsia" w:ascii="宋体" w:hAnsi="宋体" w:eastAsia="宋体" w:cs="宋体"/>
                <w:sz w:val="21"/>
                <w:szCs w:val="21"/>
              </w:rPr>
            </w:pPr>
            <w:r>
              <w:rPr>
                <w:rFonts w:hint="eastAsia" w:ascii="宋体" w:hAnsi="宋体" w:eastAsia="宋体" w:cs="宋体"/>
                <w:sz w:val="21"/>
                <w:szCs w:val="21"/>
              </w:rPr>
              <w:t>2.0mm3 齿/2 齿试样格/1 把</w:t>
            </w:r>
          </w:p>
          <w:p w14:paraId="29460EB3">
            <w:pPr>
              <w:jc w:val="left"/>
              <w:rPr>
                <w:rFonts w:hint="eastAsia" w:ascii="宋体" w:hAnsi="宋体" w:eastAsia="宋体" w:cs="宋体"/>
                <w:sz w:val="21"/>
                <w:szCs w:val="21"/>
              </w:rPr>
            </w:pPr>
            <w:r>
              <w:rPr>
                <w:rFonts w:hint="eastAsia" w:ascii="宋体" w:hAnsi="宋体" w:eastAsia="宋体" w:cs="宋体"/>
                <w:sz w:val="21"/>
                <w:szCs w:val="21"/>
              </w:rPr>
              <w:t>制胶器/1 个</w:t>
            </w:r>
          </w:p>
          <w:p w14:paraId="50E84FCC">
            <w:pPr>
              <w:jc w:val="left"/>
              <w:rPr>
                <w:rFonts w:hint="eastAsia" w:ascii="宋体" w:hAnsi="宋体" w:eastAsia="宋体" w:cs="宋体"/>
                <w:sz w:val="21"/>
                <w:szCs w:val="21"/>
              </w:rPr>
            </w:pPr>
            <w:r>
              <w:rPr>
                <w:rFonts w:hint="eastAsia" w:ascii="宋体" w:hAnsi="宋体" w:eastAsia="宋体" w:cs="宋体"/>
                <w:sz w:val="21"/>
                <w:szCs w:val="21"/>
              </w:rPr>
              <w:t>60mm×60mm 凝胶托盘/2 个</w:t>
            </w:r>
          </w:p>
          <w:p w14:paraId="206CFD17">
            <w:pPr>
              <w:jc w:val="left"/>
              <w:rPr>
                <w:rFonts w:hint="eastAsia" w:ascii="宋体" w:hAnsi="宋体" w:eastAsia="宋体" w:cs="宋体"/>
                <w:sz w:val="21"/>
                <w:szCs w:val="21"/>
              </w:rPr>
            </w:pPr>
            <w:r>
              <w:rPr>
                <w:rFonts w:hint="eastAsia" w:ascii="宋体" w:hAnsi="宋体" w:eastAsia="宋体" w:cs="宋体"/>
                <w:sz w:val="21"/>
                <w:szCs w:val="21"/>
              </w:rPr>
              <w:t>60mm×120mm 凝胶托盘/1 个</w:t>
            </w:r>
          </w:p>
          <w:p w14:paraId="4FBD22B4">
            <w:pPr>
              <w:jc w:val="left"/>
              <w:rPr>
                <w:rFonts w:hint="eastAsia" w:ascii="宋体" w:hAnsi="宋体" w:eastAsia="宋体" w:cs="宋体"/>
                <w:sz w:val="21"/>
                <w:szCs w:val="21"/>
              </w:rPr>
            </w:pPr>
            <w:r>
              <w:rPr>
                <w:rFonts w:hint="eastAsia" w:ascii="宋体" w:hAnsi="宋体" w:eastAsia="宋体" w:cs="宋体"/>
                <w:sz w:val="21"/>
                <w:szCs w:val="21"/>
              </w:rPr>
              <w:t>120mm×60mm 凝胶托盘/1 个</w:t>
            </w:r>
          </w:p>
          <w:p w14:paraId="230171CB">
            <w:pPr>
              <w:jc w:val="left"/>
              <w:rPr>
                <w:rFonts w:hint="eastAsia" w:ascii="宋体" w:hAnsi="宋体" w:eastAsia="宋体" w:cs="宋体"/>
                <w:sz w:val="21"/>
                <w:szCs w:val="21"/>
              </w:rPr>
            </w:pPr>
            <w:r>
              <w:rPr>
                <w:rFonts w:hint="eastAsia" w:ascii="宋体" w:hAnsi="宋体" w:eastAsia="宋体" w:cs="宋体"/>
                <w:sz w:val="21"/>
                <w:szCs w:val="21"/>
              </w:rPr>
              <w:t>120mm×120mm 凝胶托盘/1个</w:t>
            </w:r>
          </w:p>
          <w:p w14:paraId="13DD521B">
            <w:pPr>
              <w:jc w:val="left"/>
              <w:rPr>
                <w:rFonts w:hint="eastAsia" w:ascii="宋体" w:hAnsi="宋体" w:eastAsia="宋体" w:cs="宋体"/>
                <w:color w:val="auto"/>
                <w:sz w:val="21"/>
                <w:szCs w:val="21"/>
                <w:highlight w:val="none"/>
              </w:rPr>
            </w:pPr>
            <w:r>
              <w:rPr>
                <w:rFonts w:hint="eastAsia" w:ascii="宋体" w:hAnsi="宋体" w:eastAsia="宋体" w:cs="宋体"/>
                <w:sz w:val="21"/>
                <w:szCs w:val="21"/>
              </w:rPr>
              <w:t>电泳导线/1 付</w:t>
            </w:r>
          </w:p>
        </w:tc>
      </w:tr>
      <w:tr w14:paraId="721B1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58D23146">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981" w:type="dxa"/>
            <w:tcBorders>
              <w:top w:val="single" w:color="000000" w:sz="4" w:space="0"/>
              <w:left w:val="nil"/>
              <w:bottom w:val="single" w:color="000000" w:sz="4" w:space="0"/>
              <w:right w:val="single" w:color="000000" w:sz="4" w:space="0"/>
            </w:tcBorders>
            <w:vAlign w:val="center"/>
          </w:tcPr>
          <w:p w14:paraId="18FA5BED">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双垂直电泳仪</w:t>
            </w:r>
          </w:p>
        </w:tc>
        <w:tc>
          <w:tcPr>
            <w:tcW w:w="648" w:type="dxa"/>
            <w:tcBorders>
              <w:top w:val="single" w:color="000000" w:sz="4" w:space="0"/>
              <w:left w:val="nil"/>
              <w:bottom w:val="single" w:color="000000" w:sz="4" w:space="0"/>
              <w:right w:val="single" w:color="000000" w:sz="4" w:space="0"/>
            </w:tcBorders>
            <w:vAlign w:val="center"/>
          </w:tcPr>
          <w:p w14:paraId="5054373D">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1C07C7C2">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48299813">
            <w:pPr>
              <w:jc w:val="left"/>
              <w:rPr>
                <w:rFonts w:hint="eastAsia" w:ascii="宋体" w:hAnsi="宋体" w:eastAsia="宋体" w:cs="宋体"/>
                <w:sz w:val="21"/>
                <w:szCs w:val="21"/>
              </w:rPr>
            </w:pPr>
            <w:r>
              <w:rPr>
                <w:rFonts w:hint="eastAsia" w:ascii="宋体" w:hAnsi="宋体" w:eastAsia="宋体" w:cs="宋体"/>
                <w:sz w:val="21"/>
                <w:szCs w:val="21"/>
              </w:rPr>
              <w:t>一、技术参数：</w:t>
            </w:r>
          </w:p>
          <w:p w14:paraId="707A3B5D">
            <w:pPr>
              <w:jc w:val="left"/>
              <w:rPr>
                <w:rFonts w:hint="eastAsia" w:ascii="宋体" w:hAnsi="宋体" w:eastAsia="宋体" w:cs="宋体"/>
                <w:sz w:val="21"/>
                <w:szCs w:val="21"/>
              </w:rPr>
            </w:pPr>
            <w:r>
              <w:rPr>
                <w:rFonts w:hint="eastAsia" w:ascii="宋体" w:hAnsi="宋体" w:eastAsia="宋体" w:cs="宋体"/>
                <w:sz w:val="21"/>
                <w:szCs w:val="21"/>
              </w:rPr>
              <w:t>1.凝胶数：1-4块</w:t>
            </w:r>
          </w:p>
          <w:p w14:paraId="11FE33B1">
            <w:pPr>
              <w:jc w:val="left"/>
              <w:rPr>
                <w:rFonts w:hint="eastAsia" w:ascii="宋体" w:hAnsi="宋体" w:eastAsia="宋体" w:cs="宋体"/>
                <w:sz w:val="21"/>
                <w:szCs w:val="21"/>
              </w:rPr>
            </w:pPr>
            <w:r>
              <w:rPr>
                <w:rFonts w:hint="eastAsia" w:ascii="宋体" w:hAnsi="宋体" w:eastAsia="宋体" w:cs="宋体"/>
                <w:sz w:val="21"/>
                <w:szCs w:val="21"/>
              </w:rPr>
              <w:t>2.凝胶厚度：0.75mm、1mm、1.5mm可选</w:t>
            </w:r>
          </w:p>
          <w:p w14:paraId="61AE46C7">
            <w:pPr>
              <w:jc w:val="left"/>
              <w:rPr>
                <w:rFonts w:hint="eastAsia" w:ascii="宋体" w:hAnsi="宋体" w:eastAsia="宋体" w:cs="宋体"/>
                <w:sz w:val="21"/>
                <w:szCs w:val="21"/>
              </w:rPr>
            </w:pPr>
            <w:r>
              <w:rPr>
                <w:rFonts w:hint="eastAsia" w:ascii="宋体" w:hAnsi="宋体" w:eastAsia="宋体" w:cs="宋体"/>
                <w:sz w:val="21"/>
                <w:szCs w:val="21"/>
              </w:rPr>
              <w:t>3.加样梳齿数：10齿、15齿可选</w:t>
            </w:r>
          </w:p>
          <w:p w14:paraId="51CF3E88">
            <w:pPr>
              <w:jc w:val="left"/>
              <w:rPr>
                <w:rFonts w:hint="eastAsia" w:ascii="宋体" w:hAnsi="宋体" w:eastAsia="宋体" w:cs="宋体"/>
                <w:sz w:val="21"/>
                <w:szCs w:val="21"/>
              </w:rPr>
            </w:pPr>
            <w:r>
              <w:rPr>
                <w:rFonts w:hint="eastAsia" w:ascii="宋体" w:hAnsi="宋体" w:eastAsia="宋体" w:cs="宋体"/>
                <w:sz w:val="21"/>
                <w:szCs w:val="21"/>
              </w:rPr>
              <w:t>4.玻璃尺寸：短玻璃板（W×L：10.1×7.3cm）、长玻璃板（W×L：10.1×8.2cm）</w:t>
            </w:r>
          </w:p>
          <w:p w14:paraId="75DBA33F">
            <w:pPr>
              <w:jc w:val="left"/>
              <w:rPr>
                <w:rFonts w:hint="eastAsia" w:ascii="宋体" w:hAnsi="宋体" w:eastAsia="宋体" w:cs="宋体"/>
                <w:sz w:val="21"/>
                <w:szCs w:val="21"/>
              </w:rPr>
            </w:pPr>
            <w:r>
              <w:rPr>
                <w:rFonts w:hint="eastAsia" w:ascii="宋体" w:hAnsi="宋体" w:eastAsia="宋体" w:cs="宋体"/>
                <w:sz w:val="21"/>
                <w:szCs w:val="21"/>
              </w:rPr>
              <w:t>凝胶大小：手灌胶（W×L：8.3×7.3cm）、预制胶（W×L：8.6×6.8cm）</w:t>
            </w:r>
          </w:p>
          <w:p w14:paraId="1E2E5A03">
            <w:pPr>
              <w:jc w:val="left"/>
              <w:rPr>
                <w:rFonts w:hint="eastAsia" w:ascii="宋体" w:hAnsi="宋体" w:eastAsia="宋体" w:cs="宋体"/>
                <w:sz w:val="21"/>
                <w:szCs w:val="21"/>
              </w:rPr>
            </w:pPr>
            <w:r>
              <w:rPr>
                <w:rFonts w:hint="eastAsia" w:ascii="宋体" w:hAnsi="宋体" w:eastAsia="宋体" w:cs="宋体"/>
                <w:sz w:val="21"/>
                <w:szCs w:val="21"/>
              </w:rPr>
              <w:t>二、标准配置清单：</w:t>
            </w:r>
          </w:p>
          <w:p w14:paraId="516ED102">
            <w:pPr>
              <w:jc w:val="left"/>
              <w:rPr>
                <w:rFonts w:hint="eastAsia" w:ascii="宋体" w:hAnsi="宋体" w:eastAsia="宋体" w:cs="宋体"/>
                <w:sz w:val="21"/>
                <w:szCs w:val="21"/>
              </w:rPr>
            </w:pPr>
            <w:r>
              <w:rPr>
                <w:rFonts w:hint="eastAsia" w:ascii="宋体" w:hAnsi="宋体" w:eastAsia="宋体" w:cs="宋体"/>
                <w:sz w:val="21"/>
                <w:szCs w:val="21"/>
              </w:rPr>
              <w:t>电泳槽上盖 ：1个</w:t>
            </w:r>
          </w:p>
          <w:p w14:paraId="6708C8ED">
            <w:pPr>
              <w:jc w:val="left"/>
              <w:rPr>
                <w:rFonts w:hint="eastAsia" w:ascii="宋体" w:hAnsi="宋体" w:eastAsia="宋体" w:cs="宋体"/>
                <w:sz w:val="21"/>
                <w:szCs w:val="21"/>
              </w:rPr>
            </w:pPr>
            <w:r>
              <w:rPr>
                <w:rFonts w:hint="eastAsia" w:ascii="宋体" w:hAnsi="宋体" w:eastAsia="宋体" w:cs="宋体"/>
                <w:sz w:val="21"/>
                <w:szCs w:val="21"/>
              </w:rPr>
              <w:t>电泳槽下槽：1个</w:t>
            </w:r>
          </w:p>
          <w:p w14:paraId="42B451D4">
            <w:pPr>
              <w:jc w:val="left"/>
              <w:rPr>
                <w:rFonts w:hint="eastAsia" w:ascii="宋体" w:hAnsi="宋体" w:eastAsia="宋体" w:cs="宋体"/>
                <w:sz w:val="21"/>
                <w:szCs w:val="21"/>
              </w:rPr>
            </w:pPr>
            <w:r>
              <w:rPr>
                <w:rFonts w:hint="eastAsia" w:ascii="宋体" w:hAnsi="宋体" w:eastAsia="宋体" w:cs="宋体"/>
                <w:sz w:val="21"/>
                <w:szCs w:val="21"/>
              </w:rPr>
              <w:t>导线：1 付</w:t>
            </w:r>
          </w:p>
          <w:p w14:paraId="3C1CCEE7">
            <w:pPr>
              <w:jc w:val="left"/>
              <w:rPr>
                <w:rFonts w:hint="eastAsia" w:ascii="宋体" w:hAnsi="宋体" w:eastAsia="宋体" w:cs="宋体"/>
                <w:sz w:val="21"/>
                <w:szCs w:val="21"/>
              </w:rPr>
            </w:pPr>
            <w:r>
              <w:rPr>
                <w:rFonts w:hint="eastAsia" w:ascii="宋体" w:hAnsi="宋体" w:eastAsia="宋体" w:cs="宋体"/>
                <w:sz w:val="21"/>
                <w:szCs w:val="21"/>
              </w:rPr>
              <w:t>电泳仪内芯（长头螺杆）：1套</w:t>
            </w:r>
          </w:p>
          <w:p w14:paraId="3307CD26">
            <w:pPr>
              <w:jc w:val="left"/>
              <w:rPr>
                <w:rFonts w:hint="eastAsia" w:ascii="宋体" w:hAnsi="宋体" w:eastAsia="宋体" w:cs="宋体"/>
                <w:sz w:val="21"/>
                <w:szCs w:val="21"/>
              </w:rPr>
            </w:pPr>
            <w:r>
              <w:rPr>
                <w:rFonts w:hint="eastAsia" w:ascii="宋体" w:hAnsi="宋体" w:eastAsia="宋体" w:cs="宋体"/>
                <w:sz w:val="21"/>
                <w:szCs w:val="21"/>
              </w:rPr>
              <w:t>电泳仪内芯（圆头螺杆）：1套</w:t>
            </w:r>
          </w:p>
          <w:p w14:paraId="5392262B">
            <w:pPr>
              <w:jc w:val="left"/>
              <w:rPr>
                <w:rFonts w:hint="eastAsia" w:ascii="宋体" w:hAnsi="宋体" w:eastAsia="宋体" w:cs="宋体"/>
                <w:sz w:val="21"/>
                <w:szCs w:val="21"/>
              </w:rPr>
            </w:pPr>
            <w:r>
              <w:rPr>
                <w:rFonts w:hint="eastAsia" w:ascii="宋体" w:hAnsi="宋体" w:eastAsia="宋体" w:cs="宋体"/>
                <w:sz w:val="21"/>
                <w:szCs w:val="21"/>
              </w:rPr>
              <w:t>凝胶玻璃厚板（1.0mm）： 5块</w:t>
            </w:r>
          </w:p>
          <w:p w14:paraId="6614D90B">
            <w:pPr>
              <w:jc w:val="left"/>
              <w:rPr>
                <w:rFonts w:hint="eastAsia" w:ascii="宋体" w:hAnsi="宋体" w:eastAsia="宋体" w:cs="宋体"/>
                <w:sz w:val="21"/>
                <w:szCs w:val="21"/>
              </w:rPr>
            </w:pPr>
            <w:r>
              <w:rPr>
                <w:rFonts w:hint="eastAsia" w:ascii="宋体" w:hAnsi="宋体" w:eastAsia="宋体" w:cs="宋体"/>
                <w:sz w:val="21"/>
                <w:szCs w:val="21"/>
              </w:rPr>
              <w:t>凝胶玻璃薄板：5块</w:t>
            </w:r>
          </w:p>
          <w:p w14:paraId="64B07656">
            <w:pPr>
              <w:jc w:val="left"/>
              <w:rPr>
                <w:rFonts w:hint="eastAsia" w:ascii="宋体" w:hAnsi="宋体" w:eastAsia="宋体" w:cs="宋体"/>
                <w:sz w:val="21"/>
                <w:szCs w:val="21"/>
              </w:rPr>
            </w:pPr>
            <w:r>
              <w:rPr>
                <w:rFonts w:hint="eastAsia" w:ascii="宋体" w:hAnsi="宋体" w:eastAsia="宋体" w:cs="宋体"/>
                <w:sz w:val="21"/>
                <w:szCs w:val="21"/>
              </w:rPr>
              <w:t>1.0mm10齿试样格：5把</w:t>
            </w:r>
          </w:p>
          <w:p w14:paraId="79116996">
            <w:pPr>
              <w:jc w:val="left"/>
              <w:rPr>
                <w:rFonts w:hint="eastAsia" w:ascii="宋体" w:hAnsi="宋体" w:eastAsia="宋体" w:cs="宋体"/>
                <w:sz w:val="21"/>
                <w:szCs w:val="21"/>
              </w:rPr>
            </w:pPr>
            <w:r>
              <w:rPr>
                <w:rFonts w:hint="eastAsia" w:ascii="宋体" w:hAnsi="宋体" w:eastAsia="宋体" w:cs="宋体"/>
                <w:sz w:val="21"/>
                <w:szCs w:val="21"/>
              </w:rPr>
              <w:t xml:space="preserve">单体透明制胶架（含胶垫）：4个 </w:t>
            </w:r>
          </w:p>
          <w:p w14:paraId="29CE28AA">
            <w:pPr>
              <w:jc w:val="left"/>
              <w:rPr>
                <w:rFonts w:hint="eastAsia" w:ascii="宋体" w:hAnsi="宋体" w:eastAsia="宋体" w:cs="宋体"/>
                <w:sz w:val="21"/>
                <w:szCs w:val="21"/>
              </w:rPr>
            </w:pPr>
            <w:r>
              <w:rPr>
                <w:rFonts w:hint="eastAsia" w:ascii="宋体" w:hAnsi="宋体" w:eastAsia="宋体" w:cs="宋体"/>
                <w:sz w:val="21"/>
                <w:szCs w:val="21"/>
              </w:rPr>
              <w:t>制胶框：4个</w:t>
            </w:r>
          </w:p>
          <w:p w14:paraId="28871F4C">
            <w:pPr>
              <w:jc w:val="left"/>
              <w:rPr>
                <w:rFonts w:hint="eastAsia" w:ascii="宋体" w:hAnsi="宋体" w:eastAsia="宋体" w:cs="宋体"/>
                <w:sz w:val="21"/>
                <w:szCs w:val="21"/>
              </w:rPr>
            </w:pPr>
            <w:r>
              <w:rPr>
                <w:rFonts w:hint="eastAsia" w:ascii="宋体" w:hAnsi="宋体" w:eastAsia="宋体" w:cs="宋体"/>
                <w:sz w:val="21"/>
                <w:szCs w:val="21"/>
              </w:rPr>
              <w:t>胶铲：2个</w:t>
            </w:r>
          </w:p>
          <w:p w14:paraId="39EA54A2">
            <w:pPr>
              <w:jc w:val="left"/>
              <w:rPr>
                <w:rFonts w:hint="eastAsia" w:ascii="宋体" w:hAnsi="宋体" w:eastAsia="宋体" w:cs="宋体"/>
                <w:sz w:val="21"/>
                <w:szCs w:val="21"/>
              </w:rPr>
            </w:pPr>
            <w:r>
              <w:rPr>
                <w:rFonts w:hint="eastAsia" w:ascii="宋体" w:hAnsi="宋体" w:eastAsia="宋体" w:cs="宋体"/>
                <w:sz w:val="21"/>
                <w:szCs w:val="21"/>
              </w:rPr>
              <w:t>挡板（单胶堵板）： 1个</w:t>
            </w:r>
          </w:p>
          <w:p w14:paraId="7BD6C63E">
            <w:pPr>
              <w:jc w:val="left"/>
              <w:rPr>
                <w:rFonts w:hint="eastAsia" w:ascii="宋体" w:hAnsi="宋体" w:eastAsia="宋体" w:cs="宋体"/>
                <w:color w:val="auto"/>
                <w:sz w:val="21"/>
                <w:szCs w:val="21"/>
                <w:highlight w:val="none"/>
              </w:rPr>
            </w:pPr>
            <w:r>
              <w:rPr>
                <w:rFonts w:hint="eastAsia" w:ascii="宋体" w:hAnsi="宋体" w:eastAsia="宋体" w:cs="宋体"/>
                <w:sz w:val="21"/>
                <w:szCs w:val="21"/>
              </w:rPr>
              <w:t>上样引导（10齿）： 1个</w:t>
            </w:r>
          </w:p>
        </w:tc>
      </w:tr>
      <w:tr w14:paraId="5BF55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7851336">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0</w:t>
            </w:r>
          </w:p>
        </w:tc>
        <w:tc>
          <w:tcPr>
            <w:tcW w:w="981" w:type="dxa"/>
            <w:tcBorders>
              <w:top w:val="single" w:color="000000" w:sz="4" w:space="0"/>
              <w:left w:val="nil"/>
              <w:bottom w:val="single" w:color="000000" w:sz="4" w:space="0"/>
              <w:right w:val="single" w:color="000000" w:sz="4" w:space="0"/>
            </w:tcBorders>
            <w:vAlign w:val="center"/>
          </w:tcPr>
          <w:p w14:paraId="4AC65CA5">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斑马鱼养殖系统</w:t>
            </w:r>
          </w:p>
        </w:tc>
        <w:tc>
          <w:tcPr>
            <w:tcW w:w="648" w:type="dxa"/>
            <w:tcBorders>
              <w:top w:val="single" w:color="000000" w:sz="4" w:space="0"/>
              <w:left w:val="nil"/>
              <w:bottom w:val="single" w:color="000000" w:sz="4" w:space="0"/>
              <w:right w:val="single" w:color="000000" w:sz="4" w:space="0"/>
            </w:tcBorders>
            <w:vAlign w:val="center"/>
          </w:tcPr>
          <w:p w14:paraId="5E66D487">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564" w:type="dxa"/>
            <w:tcBorders>
              <w:top w:val="single" w:color="000000" w:sz="4" w:space="0"/>
              <w:left w:val="nil"/>
              <w:bottom w:val="single" w:color="000000" w:sz="4" w:space="0"/>
              <w:right w:val="single" w:color="000000" w:sz="4" w:space="0"/>
            </w:tcBorders>
            <w:vAlign w:val="center"/>
          </w:tcPr>
          <w:p w14:paraId="17766245">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5C5BDCAD">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1.系统支架材质：强化铝合金</w:t>
            </w:r>
          </w:p>
          <w:p w14:paraId="64F1A09C">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2.系统支架结构：榫卯式结构设计，五层、四层、三层可转换，拆装灵活</w:t>
            </w:r>
          </w:p>
          <w:p w14:paraId="5E5DE35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3.系统支架尺寸</w:t>
            </w:r>
            <w:r>
              <w:rPr>
                <w:rFonts w:hint="eastAsia" w:ascii="宋体" w:hAnsi="宋体" w:eastAsia="宋体" w:cs="宋体"/>
                <w:sz w:val="21"/>
                <w:szCs w:val="21"/>
                <w:highlight w:val="none"/>
                <w:lang w:eastAsia="zh-CN"/>
              </w:rPr>
              <w:t>（偏差±</w:t>
            </w:r>
            <w:r>
              <w:rPr>
                <w:rFonts w:hint="eastAsia" w:ascii="宋体" w:hAnsi="宋体" w:eastAsia="宋体" w:cs="宋体"/>
                <w:sz w:val="21"/>
                <w:szCs w:val="21"/>
                <w:highlight w:val="none"/>
                <w:lang w:val="en-US" w:eastAsia="zh-CN"/>
              </w:rPr>
              <w:t>5%以内</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：长176㎝（不含控制箱），宽80㎝，高240㎝</w:t>
            </w:r>
          </w:p>
          <w:p w14:paraId="1DA2FF5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4.鱼缸容积：2L、4L、8L可选</w:t>
            </w:r>
          </w:p>
          <w:p w14:paraId="7932F595">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5.鱼缸为自清洁式结构V字型设计，方便清洗</w:t>
            </w:r>
          </w:p>
          <w:p w14:paraId="4AFC1615">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6.水循环系统包含供水、供气管路及其动力系统三部分</w:t>
            </w:r>
          </w:p>
          <w:p w14:paraId="0E7B992F">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▲7.水循环系统的循环泵：水循环动力，外置式，耐酸碱，水流量：≥75L/min。配备电子液位浮球</w:t>
            </w:r>
          </w:p>
          <w:p w14:paraId="55B9EE6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8.水循环系统的空气泵：供气，可手动启动及停止，气流量：≥30L/min</w:t>
            </w:r>
          </w:p>
          <w:p w14:paraId="5EE1E518">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▲9.水循环系统的管路材质：白色聚氯乙烯(UPVC)，不含增塑剂</w:t>
            </w:r>
          </w:p>
          <w:p w14:paraId="6DEA5AF9">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▲10.水循环系统的供水管路独立配管，每个层均有12个出水调节阀，可完全打开或关闭</w:t>
            </w:r>
          </w:p>
          <w:p w14:paraId="03942DEF">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11.预过滤系统：从自来水到水箱通过3个预过滤柱</w:t>
            </w:r>
          </w:p>
          <w:p w14:paraId="1BA7B3E9">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▲12.水箱过滤：采用物理式滤材、生化棉、活性炭吸附三层过滤</w:t>
            </w:r>
          </w:p>
          <w:p w14:paraId="04108EBD">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▲13.紫外线杀菌系统：40W紫外杀菌灯1支，灯光寿命可达8000小时以上</w:t>
            </w:r>
          </w:p>
          <w:p w14:paraId="3B1DF64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14.可自动控制水循环、紫外杀菌、温度调节、间歇式光照调节等</w:t>
            </w:r>
          </w:p>
          <w:p w14:paraId="0CC7BF9C">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15.含防泼溅结构，漏电断电装置</w:t>
            </w:r>
          </w:p>
          <w:p w14:paraId="0FE2B127">
            <w:pPr>
              <w:jc w:val="left"/>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16.灯光定时开关控制</w:t>
            </w:r>
          </w:p>
        </w:tc>
      </w:tr>
      <w:tr w14:paraId="01029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20AC545C">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p>
        </w:tc>
        <w:tc>
          <w:tcPr>
            <w:tcW w:w="981" w:type="dxa"/>
            <w:tcBorders>
              <w:top w:val="single" w:color="000000" w:sz="4" w:space="0"/>
              <w:left w:val="nil"/>
              <w:bottom w:val="single" w:color="000000" w:sz="4" w:space="0"/>
              <w:right w:val="single" w:color="000000" w:sz="4" w:space="0"/>
            </w:tcBorders>
            <w:vAlign w:val="center"/>
          </w:tcPr>
          <w:p w14:paraId="67F6AABC">
            <w:pPr>
              <w:widowControl w:val="0"/>
              <w:wordWrap/>
              <w:adjustRightInd/>
              <w:snapToGrid/>
              <w:spacing w:before="0" w:after="0" w:line="320" w:lineRule="exact"/>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显微镜成像系统</w:t>
            </w:r>
          </w:p>
        </w:tc>
        <w:tc>
          <w:tcPr>
            <w:tcW w:w="648" w:type="dxa"/>
            <w:tcBorders>
              <w:top w:val="single" w:color="000000" w:sz="4" w:space="0"/>
              <w:left w:val="nil"/>
              <w:bottom w:val="single" w:color="000000" w:sz="4" w:space="0"/>
              <w:right w:val="single" w:color="000000" w:sz="4" w:space="0"/>
            </w:tcBorders>
            <w:vAlign w:val="center"/>
          </w:tcPr>
          <w:p w14:paraId="78BF1D62">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台</w:t>
            </w:r>
          </w:p>
        </w:tc>
        <w:tc>
          <w:tcPr>
            <w:tcW w:w="564" w:type="dxa"/>
            <w:tcBorders>
              <w:top w:val="single" w:color="000000" w:sz="4" w:space="0"/>
              <w:left w:val="nil"/>
              <w:bottom w:val="single" w:color="000000" w:sz="4" w:space="0"/>
              <w:right w:val="single" w:color="000000" w:sz="4" w:space="0"/>
            </w:tcBorders>
            <w:vAlign w:val="center"/>
          </w:tcPr>
          <w:p w14:paraId="2A133AD5">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664D21A9">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1．主机： </w:t>
            </w:r>
          </w:p>
          <w:p w14:paraId="28251E02">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▲1.1无限远色差反差（IC2S）双重校正系统，具备明场，相差，荧光等观察方式，可升级DIC、PlasDIC功能，适合塑料皿内活细胞样品的观察</w:t>
            </w:r>
          </w:p>
          <w:p w14:paraId="6E89290C">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▲1.2机身集成两个快速拍摄图像按钮，靠近两侧调焦旋钮，可一键实现快速获取单张图像，多通道荧光，甚至录像等</w:t>
            </w:r>
          </w:p>
          <w:p w14:paraId="79849D1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▲1.3机身内置智能控制盒，可无需额外配置电脑主机。</w:t>
            </w:r>
          </w:p>
          <w:p w14:paraId="243D9A1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2．光学部件：</w:t>
            </w:r>
          </w:p>
          <w:p w14:paraId="28F62D7F">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2.1目镜：10×，视野数≥23</w:t>
            </w:r>
          </w:p>
          <w:p w14:paraId="7D20CBF5">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▲2.2 ≥6位编码物镜转换器，配备5个物镜：</w:t>
            </w:r>
          </w:p>
          <w:p w14:paraId="168C6EE7">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5×平场荧光相差物镜，数值孔径≥0.15</w:t>
            </w:r>
          </w:p>
          <w:p w14:paraId="0D1AA522">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10×平场荧光相差物镜，数值孔径≥0.25</w:t>
            </w:r>
          </w:p>
          <w:p w14:paraId="1B3C8366">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20×长工作距离平场荧光相差物镜，数值孔径≥0.35</w:t>
            </w:r>
          </w:p>
          <w:p w14:paraId="11CF921D">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40×长工作距离平场荧光相差物镜，数值孔径≥0.55</w:t>
            </w:r>
          </w:p>
          <w:p w14:paraId="0888BB6C">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63×长工作距离平场荧光相差物镜，数值孔径≥0.75</w:t>
            </w:r>
          </w:p>
          <w:p w14:paraId="5641D10D">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3．内置高亮度LED长寿命光源透射光光源，功率10W，大于60,000小时使用寿命，无需额外供电</w:t>
            </w:r>
          </w:p>
          <w:p w14:paraId="4FC0A837">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 反射荧光照明装置</w:t>
            </w:r>
          </w:p>
          <w:p w14:paraId="38666AB1">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▲4.1采用复消色差荧光光路设计，高通透性多通荧光滤光块一组：</w:t>
            </w:r>
          </w:p>
          <w:p w14:paraId="2639D91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适合染料DAPI、FITC、TRITC 和 Cy5，分光波长： 405nm、493nm、575nm、653nm，发射滤片波段：425/30、514/30、592/30、709/100</w:t>
            </w:r>
          </w:p>
          <w:p w14:paraId="232B8497">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4.2配置高效窄带通荧光滤光块3组：</w:t>
            </w:r>
          </w:p>
          <w:p w14:paraId="71A331E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EX BP 390/40, BS FT 420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 xml:space="preserve"> EM BP 450/40适用于Dapi；</w:t>
            </w:r>
          </w:p>
          <w:p w14:paraId="6341A9C5">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EX BP 470/40, BS FT 495</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 xml:space="preserve"> EM BP 525/50适用于eGFP；</w:t>
            </w:r>
          </w:p>
          <w:p w14:paraId="2B79FFA4">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EX BP 545/25, BS FT 570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 xml:space="preserve"> EM BP 605/70适用于Cy 3/Rhodamin</w:t>
            </w:r>
          </w:p>
          <w:p w14:paraId="4CD384DE">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4.3配4色长寿命LED 荧光光源（385nm, 470nm, 565nm, 625nm），寿命可达15000小时，可瞬间开启或关闭，无须预热或冷却</w:t>
            </w:r>
          </w:p>
          <w:p w14:paraId="1D33BE3B">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▲4.4 ≥6位编码荧光滤光块转盘，荧光滤色镜套：“Push&amp;Click”技术，即插即换滤片系统，支持热插拔，Light Trap光陷阱技术有效消除背景杂散步光</w:t>
            </w:r>
          </w:p>
          <w:p w14:paraId="1167495A">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5．高精度手动载物台：耐磨表面，防滑设计；移动范围≥130×85mm</w:t>
            </w:r>
          </w:p>
          <w:p w14:paraId="4A541E18">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6．长工作距离聚光镜（N.A≥0.4），工作距离≥38mm</w:t>
            </w:r>
          </w:p>
          <w:p w14:paraId="72AD7EA3">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7．配置遮光板，能在环境光下获得更好的信噪比图像</w:t>
            </w:r>
          </w:p>
          <w:p w14:paraId="6BAB3745">
            <w:pPr>
              <w:jc w:val="left"/>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 xml:space="preserve">8．外置彩色成像系统，芯片尺寸：≥2/3英寸，物理像素：≥500万，像素大小：≥3.45μm </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 xml:space="preserve"> 3.45 μm，拍摄速度≥36幅/秒（2464x2056）</w:t>
            </w:r>
          </w:p>
        </w:tc>
      </w:tr>
      <w:tr w14:paraId="066E4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39FF06C4">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p>
        </w:tc>
        <w:tc>
          <w:tcPr>
            <w:tcW w:w="981" w:type="dxa"/>
            <w:tcBorders>
              <w:top w:val="single" w:color="000000" w:sz="4" w:space="0"/>
              <w:left w:val="nil"/>
              <w:bottom w:val="single" w:color="000000" w:sz="4" w:space="0"/>
              <w:right w:val="single" w:color="000000" w:sz="4" w:space="0"/>
            </w:tcBorders>
            <w:vAlign w:val="center"/>
          </w:tcPr>
          <w:p w14:paraId="26FA184C">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生物安全柜</w:t>
            </w:r>
          </w:p>
        </w:tc>
        <w:tc>
          <w:tcPr>
            <w:tcW w:w="648" w:type="dxa"/>
            <w:tcBorders>
              <w:top w:val="single" w:color="000000" w:sz="4" w:space="0"/>
              <w:left w:val="nil"/>
              <w:bottom w:val="single" w:color="000000" w:sz="4" w:space="0"/>
              <w:right w:val="single" w:color="000000" w:sz="4" w:space="0"/>
            </w:tcBorders>
            <w:vAlign w:val="center"/>
          </w:tcPr>
          <w:p w14:paraId="51274524">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个</w:t>
            </w:r>
          </w:p>
        </w:tc>
        <w:tc>
          <w:tcPr>
            <w:tcW w:w="564" w:type="dxa"/>
            <w:tcBorders>
              <w:top w:val="single" w:color="000000" w:sz="4" w:space="0"/>
              <w:left w:val="nil"/>
              <w:bottom w:val="single" w:color="000000" w:sz="4" w:space="0"/>
              <w:right w:val="single" w:color="000000" w:sz="4" w:space="0"/>
            </w:tcBorders>
            <w:vAlign w:val="center"/>
          </w:tcPr>
          <w:p w14:paraId="544B8267">
            <w:pPr>
              <w:wordWrap/>
              <w:adjustRightInd/>
              <w:snapToGrid/>
              <w:spacing w:before="0" w:after="0" w:line="320" w:lineRule="exact"/>
              <w:ind w:right="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733" w:type="dxa"/>
            <w:tcBorders>
              <w:top w:val="single" w:color="000000" w:sz="4" w:space="0"/>
              <w:left w:val="nil"/>
              <w:bottom w:val="single" w:color="000000" w:sz="4" w:space="0"/>
              <w:right w:val="single" w:color="000000" w:sz="4" w:space="0"/>
            </w:tcBorders>
            <w:vAlign w:val="center"/>
          </w:tcPr>
          <w:p w14:paraId="52BB6298">
            <w:pPr>
              <w:jc w:val="left"/>
              <w:rPr>
                <w:rFonts w:hint="eastAsia" w:ascii="宋体" w:hAnsi="宋体" w:eastAsia="宋体" w:cs="宋体"/>
                <w:sz w:val="21"/>
                <w:szCs w:val="21"/>
              </w:rPr>
            </w:pPr>
            <w:r>
              <w:rPr>
                <w:rFonts w:hint="eastAsia" w:ascii="宋体" w:hAnsi="宋体" w:eastAsia="宋体" w:cs="宋体"/>
                <w:sz w:val="21"/>
                <w:szCs w:val="21"/>
              </w:rPr>
              <w:t>1.产品类别：II级A2型</w:t>
            </w:r>
          </w:p>
          <w:p w14:paraId="38206157">
            <w:pPr>
              <w:jc w:val="left"/>
              <w:rPr>
                <w:rFonts w:hint="eastAsia" w:ascii="宋体" w:hAnsi="宋体" w:eastAsia="宋体" w:cs="宋体"/>
                <w:sz w:val="21"/>
                <w:szCs w:val="21"/>
              </w:rPr>
            </w:pPr>
            <w:r>
              <w:rPr>
                <w:rFonts w:hint="eastAsia" w:ascii="宋体" w:hAnsi="宋体" w:eastAsia="宋体" w:cs="宋体"/>
                <w:sz w:val="21"/>
                <w:szCs w:val="21"/>
              </w:rPr>
              <w:t>2.气流循环：70%循环，30%外排</w:t>
            </w:r>
          </w:p>
          <w:p w14:paraId="09D521F0">
            <w:pPr>
              <w:jc w:val="left"/>
              <w:rPr>
                <w:rFonts w:hint="eastAsia" w:ascii="宋体" w:hAnsi="宋体" w:eastAsia="宋体" w:cs="宋体"/>
                <w:sz w:val="21"/>
                <w:szCs w:val="21"/>
              </w:rPr>
            </w:pPr>
            <w:r>
              <w:rPr>
                <w:rFonts w:hint="eastAsia" w:ascii="宋体" w:hAnsi="宋体" w:eastAsia="宋体" w:cs="宋体"/>
                <w:sz w:val="21"/>
                <w:szCs w:val="21"/>
              </w:rPr>
              <w:t>3.外形尺寸(宽*深*高)（mm）</w:t>
            </w:r>
            <w:r>
              <w:rPr>
                <w:rFonts w:hint="eastAsia" w:ascii="宋体" w:hAnsi="宋体" w:eastAsia="宋体" w:cs="宋体"/>
                <w:sz w:val="21"/>
                <w:szCs w:val="21"/>
                <w:lang w:eastAsia="zh-CN"/>
              </w:rPr>
              <w:t>（偏差±</w:t>
            </w:r>
            <w:r>
              <w:rPr>
                <w:rFonts w:hint="eastAsia" w:ascii="宋体" w:hAnsi="宋体" w:eastAsia="宋体" w:cs="宋体"/>
                <w:sz w:val="21"/>
                <w:szCs w:val="21"/>
                <w:lang w:val="en-US" w:eastAsia="zh-CN"/>
              </w:rPr>
              <w:t>5%以内</w:t>
            </w:r>
            <w:r>
              <w:rPr>
                <w:rFonts w:hint="eastAsia" w:ascii="宋体" w:hAnsi="宋体" w:eastAsia="宋体" w:cs="宋体"/>
                <w:sz w:val="21"/>
                <w:szCs w:val="21"/>
                <w:lang w:eastAsia="zh-CN"/>
              </w:rPr>
              <w:t>）</w:t>
            </w:r>
            <w:r>
              <w:rPr>
                <w:rFonts w:hint="eastAsia" w:ascii="宋体" w:hAnsi="宋体" w:eastAsia="宋体" w:cs="宋体"/>
                <w:sz w:val="21"/>
                <w:szCs w:val="21"/>
              </w:rPr>
              <w:t>：1336×790×2120（宽度不含搁手架）</w:t>
            </w:r>
          </w:p>
          <w:p w14:paraId="4D99BF05">
            <w:pPr>
              <w:jc w:val="left"/>
              <w:rPr>
                <w:rFonts w:hint="eastAsia" w:ascii="宋体" w:hAnsi="宋体" w:eastAsia="宋体" w:cs="宋体"/>
                <w:sz w:val="21"/>
                <w:szCs w:val="21"/>
              </w:rPr>
            </w:pPr>
            <w:r>
              <w:rPr>
                <w:rFonts w:hint="eastAsia" w:ascii="宋体" w:hAnsi="宋体" w:eastAsia="宋体" w:cs="宋体"/>
                <w:sz w:val="21"/>
                <w:szCs w:val="21"/>
              </w:rPr>
              <w:t>4.内部尺寸(宽*深*高)（mm）</w:t>
            </w:r>
            <w:r>
              <w:rPr>
                <w:rFonts w:hint="eastAsia" w:ascii="宋体" w:hAnsi="宋体" w:eastAsia="宋体" w:cs="宋体"/>
                <w:sz w:val="21"/>
                <w:szCs w:val="21"/>
                <w:lang w:eastAsia="zh-CN"/>
              </w:rPr>
              <w:t>（偏差±</w:t>
            </w:r>
            <w:r>
              <w:rPr>
                <w:rFonts w:hint="eastAsia" w:ascii="宋体" w:hAnsi="宋体" w:eastAsia="宋体" w:cs="宋体"/>
                <w:sz w:val="21"/>
                <w:szCs w:val="21"/>
                <w:lang w:val="en-US" w:eastAsia="zh-CN"/>
              </w:rPr>
              <w:t>5%以内</w:t>
            </w:r>
            <w:r>
              <w:rPr>
                <w:rFonts w:hint="eastAsia" w:ascii="宋体" w:hAnsi="宋体" w:eastAsia="宋体" w:cs="宋体"/>
                <w:sz w:val="21"/>
                <w:szCs w:val="21"/>
                <w:lang w:eastAsia="zh-CN"/>
              </w:rPr>
              <w:t>）</w:t>
            </w:r>
            <w:r>
              <w:rPr>
                <w:rFonts w:hint="eastAsia" w:ascii="宋体" w:hAnsi="宋体" w:eastAsia="宋体" w:cs="宋体"/>
                <w:sz w:val="21"/>
                <w:szCs w:val="21"/>
              </w:rPr>
              <w:t>：1230×600×653</w:t>
            </w:r>
          </w:p>
          <w:p w14:paraId="21B7952A">
            <w:pPr>
              <w:jc w:val="left"/>
              <w:rPr>
                <w:rFonts w:hint="eastAsia" w:ascii="宋体" w:hAnsi="宋体" w:eastAsia="宋体" w:cs="宋体"/>
                <w:sz w:val="21"/>
                <w:szCs w:val="21"/>
              </w:rPr>
            </w:pPr>
            <w:r>
              <w:rPr>
                <w:rFonts w:hint="eastAsia" w:ascii="宋体" w:hAnsi="宋体" w:eastAsia="宋体" w:cs="宋体"/>
                <w:sz w:val="21"/>
                <w:szCs w:val="21"/>
              </w:rPr>
              <w:t>5.前窗开口高度（mm）</w:t>
            </w:r>
            <w:r>
              <w:rPr>
                <w:rFonts w:hint="eastAsia" w:ascii="宋体" w:hAnsi="宋体" w:eastAsia="宋体" w:cs="宋体"/>
                <w:sz w:val="21"/>
                <w:szCs w:val="21"/>
                <w:lang w:eastAsia="zh-CN"/>
              </w:rPr>
              <w:t>（偏差±</w:t>
            </w:r>
            <w:r>
              <w:rPr>
                <w:rFonts w:hint="eastAsia" w:ascii="宋体" w:hAnsi="宋体" w:eastAsia="宋体" w:cs="宋体"/>
                <w:sz w:val="21"/>
                <w:szCs w:val="21"/>
                <w:lang w:val="en-US" w:eastAsia="zh-CN"/>
              </w:rPr>
              <w:t>5%以内</w:t>
            </w:r>
            <w:r>
              <w:rPr>
                <w:rFonts w:hint="eastAsia" w:ascii="宋体" w:hAnsi="宋体" w:eastAsia="宋体" w:cs="宋体"/>
                <w:sz w:val="21"/>
                <w:szCs w:val="21"/>
                <w:lang w:eastAsia="zh-CN"/>
              </w:rPr>
              <w:t>）</w:t>
            </w:r>
            <w:r>
              <w:rPr>
                <w:rFonts w:hint="eastAsia" w:ascii="宋体" w:hAnsi="宋体" w:eastAsia="宋体" w:cs="宋体"/>
                <w:sz w:val="21"/>
                <w:szCs w:val="21"/>
              </w:rPr>
              <w:t>：200（最大480）</w:t>
            </w:r>
          </w:p>
          <w:p w14:paraId="6137C4BB">
            <w:pPr>
              <w:jc w:val="left"/>
              <w:rPr>
                <w:rFonts w:hint="eastAsia" w:ascii="宋体" w:hAnsi="宋体" w:eastAsia="宋体" w:cs="宋体"/>
                <w:sz w:val="21"/>
                <w:szCs w:val="21"/>
              </w:rPr>
            </w:pPr>
            <w:r>
              <w:rPr>
                <w:rFonts w:hint="eastAsia" w:ascii="宋体" w:hAnsi="宋体" w:eastAsia="宋体" w:cs="宋体"/>
                <w:sz w:val="21"/>
                <w:szCs w:val="21"/>
              </w:rPr>
              <w:t>6.洁净等级：10级，CLASS4（ISO14644-1）</w:t>
            </w:r>
          </w:p>
          <w:p w14:paraId="24B39F0F">
            <w:pPr>
              <w:jc w:val="left"/>
              <w:rPr>
                <w:rFonts w:hint="eastAsia" w:ascii="宋体" w:hAnsi="宋体" w:eastAsia="宋体" w:cs="宋体"/>
                <w:sz w:val="21"/>
                <w:szCs w:val="21"/>
              </w:rPr>
            </w:pPr>
            <w:r>
              <w:rPr>
                <w:rFonts w:hint="eastAsia" w:ascii="宋体" w:hAnsi="宋体" w:eastAsia="宋体" w:cs="宋体"/>
                <w:sz w:val="21"/>
                <w:szCs w:val="21"/>
              </w:rPr>
              <w:t>7.过滤器类别：防潮、阻燃玻璃纤维超高效过滤器ULPA</w:t>
            </w:r>
          </w:p>
          <w:p w14:paraId="6E58F51B">
            <w:pPr>
              <w:jc w:val="left"/>
              <w:rPr>
                <w:rFonts w:hint="eastAsia" w:ascii="宋体" w:hAnsi="宋体" w:eastAsia="宋体" w:cs="宋体"/>
                <w:sz w:val="21"/>
                <w:szCs w:val="21"/>
              </w:rPr>
            </w:pPr>
            <w:r>
              <w:rPr>
                <w:rFonts w:hint="eastAsia" w:ascii="宋体" w:hAnsi="宋体" w:eastAsia="宋体" w:cs="宋体"/>
                <w:sz w:val="21"/>
                <w:szCs w:val="21"/>
              </w:rPr>
              <w:t>8.过滤器效率：99.9995%@0.12µm</w:t>
            </w:r>
          </w:p>
          <w:p w14:paraId="7634A73D">
            <w:pPr>
              <w:jc w:val="left"/>
              <w:rPr>
                <w:rFonts w:hint="eastAsia" w:ascii="宋体" w:hAnsi="宋体" w:eastAsia="宋体" w:cs="宋体"/>
                <w:sz w:val="21"/>
                <w:szCs w:val="21"/>
              </w:rPr>
            </w:pPr>
            <w:r>
              <w:rPr>
                <w:rFonts w:hint="eastAsia" w:ascii="宋体" w:hAnsi="宋体" w:eastAsia="宋体" w:cs="宋体"/>
                <w:sz w:val="21"/>
                <w:szCs w:val="21"/>
              </w:rPr>
              <w:t>9.排风量（m³/h）：≥469</w:t>
            </w:r>
          </w:p>
          <w:p w14:paraId="25175A74">
            <w:pPr>
              <w:jc w:val="left"/>
              <w:rPr>
                <w:rFonts w:hint="eastAsia" w:ascii="宋体" w:hAnsi="宋体" w:eastAsia="宋体" w:cs="宋体"/>
                <w:sz w:val="21"/>
                <w:szCs w:val="21"/>
              </w:rPr>
            </w:pPr>
            <w:r>
              <w:rPr>
                <w:rFonts w:hint="eastAsia" w:ascii="宋体" w:hAnsi="宋体" w:eastAsia="宋体" w:cs="宋体"/>
                <w:sz w:val="21"/>
                <w:szCs w:val="21"/>
              </w:rPr>
              <w:t>10.下降气流速度(m/s）：≥0.35</w:t>
            </w:r>
          </w:p>
          <w:p w14:paraId="27E26D47">
            <w:pPr>
              <w:jc w:val="left"/>
              <w:rPr>
                <w:rFonts w:hint="eastAsia" w:ascii="宋体" w:hAnsi="宋体" w:eastAsia="宋体" w:cs="宋体"/>
                <w:sz w:val="21"/>
                <w:szCs w:val="21"/>
              </w:rPr>
            </w:pPr>
            <w:r>
              <w:rPr>
                <w:rFonts w:hint="eastAsia" w:ascii="宋体" w:hAnsi="宋体" w:eastAsia="宋体" w:cs="宋体"/>
                <w:sz w:val="21"/>
                <w:szCs w:val="21"/>
              </w:rPr>
              <w:t>11.流入气流速度(m/s）：≥0.53</w:t>
            </w:r>
          </w:p>
          <w:p w14:paraId="207A48F3">
            <w:pPr>
              <w:jc w:val="left"/>
              <w:rPr>
                <w:rFonts w:hint="eastAsia" w:ascii="宋体" w:hAnsi="宋体" w:eastAsia="宋体" w:cs="宋体"/>
                <w:sz w:val="21"/>
                <w:szCs w:val="21"/>
              </w:rPr>
            </w:pPr>
            <w:r>
              <w:rPr>
                <w:rFonts w:hint="eastAsia" w:ascii="宋体" w:hAnsi="宋体" w:eastAsia="宋体" w:cs="宋体"/>
                <w:sz w:val="21"/>
                <w:szCs w:val="21"/>
              </w:rPr>
              <w:t>12.照度(LX)：≥1000</w:t>
            </w:r>
          </w:p>
          <w:p w14:paraId="51894AC3">
            <w:pPr>
              <w:jc w:val="left"/>
              <w:rPr>
                <w:rFonts w:hint="eastAsia" w:ascii="宋体" w:hAnsi="宋体" w:eastAsia="宋体" w:cs="宋体"/>
                <w:sz w:val="21"/>
                <w:szCs w:val="21"/>
              </w:rPr>
            </w:pPr>
            <w:r>
              <w:rPr>
                <w:rFonts w:hint="eastAsia" w:ascii="宋体" w:hAnsi="宋体" w:eastAsia="宋体" w:cs="宋体"/>
                <w:sz w:val="21"/>
                <w:szCs w:val="21"/>
              </w:rPr>
              <w:t>13.人员保护：1.1</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105</w:t>
            </w:r>
          </w:p>
          <w:p w14:paraId="1A6DA413">
            <w:pPr>
              <w:jc w:val="left"/>
              <w:rPr>
                <w:rFonts w:hint="eastAsia" w:ascii="宋体" w:hAnsi="宋体" w:eastAsia="宋体" w:cs="宋体"/>
                <w:sz w:val="21"/>
                <w:szCs w:val="21"/>
              </w:rPr>
            </w:pPr>
            <w:r>
              <w:rPr>
                <w:rFonts w:hint="eastAsia" w:ascii="宋体" w:hAnsi="宋体" w:eastAsia="宋体" w:cs="宋体"/>
                <w:sz w:val="21"/>
                <w:szCs w:val="21"/>
              </w:rPr>
              <w:t>14.产品保护：2CFU</w:t>
            </w:r>
          </w:p>
          <w:p w14:paraId="1DF621EB">
            <w:pPr>
              <w:jc w:val="left"/>
              <w:rPr>
                <w:rFonts w:hint="eastAsia" w:ascii="宋体" w:hAnsi="宋体" w:eastAsia="宋体" w:cs="宋体"/>
                <w:sz w:val="21"/>
                <w:szCs w:val="21"/>
              </w:rPr>
            </w:pPr>
            <w:r>
              <w:rPr>
                <w:rFonts w:hint="eastAsia" w:ascii="宋体" w:hAnsi="宋体" w:eastAsia="宋体" w:cs="宋体"/>
                <w:sz w:val="21"/>
                <w:szCs w:val="21"/>
              </w:rPr>
              <w:t>15.交叉污染保护：1CFU</w:t>
            </w:r>
          </w:p>
          <w:p w14:paraId="1E14C039">
            <w:pPr>
              <w:jc w:val="left"/>
              <w:rPr>
                <w:rFonts w:hint="eastAsia" w:ascii="宋体" w:hAnsi="宋体" w:eastAsia="宋体" w:cs="宋体"/>
                <w:sz w:val="21"/>
                <w:szCs w:val="21"/>
              </w:rPr>
            </w:pPr>
            <w:r>
              <w:rPr>
                <w:rFonts w:hint="eastAsia" w:ascii="宋体" w:hAnsi="宋体" w:eastAsia="宋体" w:cs="宋体"/>
                <w:sz w:val="21"/>
                <w:szCs w:val="21"/>
              </w:rPr>
              <w:t>16.报警模式声光报警</w:t>
            </w:r>
          </w:p>
          <w:p w14:paraId="0D0E3A76">
            <w:pPr>
              <w:jc w:val="left"/>
              <w:rPr>
                <w:rFonts w:hint="eastAsia" w:ascii="宋体" w:hAnsi="宋体" w:eastAsia="宋体" w:cs="宋体"/>
                <w:sz w:val="21"/>
                <w:szCs w:val="21"/>
              </w:rPr>
            </w:pPr>
            <w:r>
              <w:rPr>
                <w:rFonts w:hint="eastAsia" w:ascii="宋体" w:hAnsi="宋体" w:eastAsia="宋体" w:cs="宋体"/>
                <w:sz w:val="21"/>
                <w:szCs w:val="21"/>
              </w:rPr>
              <w:t>17.工作区内表面材质304不锈钢</w:t>
            </w:r>
          </w:p>
          <w:p w14:paraId="0A85E1A2">
            <w:pPr>
              <w:jc w:val="left"/>
              <w:rPr>
                <w:rFonts w:hint="eastAsia" w:ascii="宋体" w:hAnsi="宋体" w:eastAsia="宋体" w:cs="宋体"/>
                <w:color w:val="auto"/>
                <w:sz w:val="21"/>
                <w:szCs w:val="21"/>
                <w:highlight w:val="none"/>
              </w:rPr>
            </w:pPr>
            <w:r>
              <w:rPr>
                <w:rFonts w:hint="eastAsia" w:ascii="宋体" w:hAnsi="宋体" w:eastAsia="宋体" w:cs="宋体"/>
                <w:sz w:val="21"/>
                <w:szCs w:val="21"/>
              </w:rPr>
              <w:t>18.积液槽材质304不锈钢</w:t>
            </w:r>
          </w:p>
        </w:tc>
      </w:tr>
      <w:tr w14:paraId="6618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88" w:type="dxa"/>
            <w:gridSpan w:val="5"/>
            <w:tcBorders>
              <w:top w:val="single" w:color="000000" w:sz="4" w:space="0"/>
              <w:left w:val="single" w:color="auto" w:sz="4" w:space="0"/>
              <w:bottom w:val="single" w:color="000000" w:sz="4" w:space="0"/>
              <w:right w:val="single" w:color="000000" w:sz="4" w:space="0"/>
            </w:tcBorders>
            <w:vAlign w:val="center"/>
          </w:tcPr>
          <w:p w14:paraId="34DE00F0">
            <w:pPr>
              <w:bidi w:val="0"/>
              <w:jc w:val="center"/>
              <w:rPr>
                <w:rFonts w:hint="eastAsia" w:ascii="宋体" w:hAnsi="宋体" w:eastAsia="宋体" w:cs="宋体"/>
                <w:sz w:val="21"/>
                <w:szCs w:val="21"/>
                <w:lang w:eastAsia="zh-CN"/>
              </w:rPr>
            </w:pPr>
            <w:r>
              <w:rPr>
                <w:rFonts w:hint="eastAsia" w:ascii="宋体" w:hAnsi="宋体" w:eastAsia="宋体" w:cs="宋体"/>
                <w:b/>
                <w:bCs/>
                <w:sz w:val="32"/>
                <w:szCs w:val="32"/>
                <w:lang w:eastAsia="zh-CN"/>
              </w:rPr>
              <w:t>二、商务要求</w:t>
            </w:r>
          </w:p>
        </w:tc>
      </w:tr>
      <w:tr w14:paraId="33E83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544CC519">
            <w:pPr>
              <w:bidi w:val="0"/>
              <w:jc w:val="center"/>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1</w:t>
            </w:r>
          </w:p>
        </w:tc>
        <w:tc>
          <w:tcPr>
            <w:tcW w:w="981" w:type="dxa"/>
            <w:tcBorders>
              <w:top w:val="single" w:color="000000" w:sz="4" w:space="0"/>
              <w:left w:val="nil"/>
              <w:bottom w:val="single" w:color="000000" w:sz="4" w:space="0"/>
              <w:right w:val="single" w:color="000000" w:sz="4" w:space="0"/>
            </w:tcBorders>
            <w:vAlign w:val="center"/>
          </w:tcPr>
          <w:p w14:paraId="1497D074">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质保期</w:t>
            </w:r>
          </w:p>
        </w:tc>
        <w:tc>
          <w:tcPr>
            <w:tcW w:w="7945" w:type="dxa"/>
            <w:gridSpan w:val="3"/>
            <w:tcBorders>
              <w:top w:val="single" w:color="000000" w:sz="4" w:space="0"/>
              <w:left w:val="nil"/>
              <w:bottom w:val="single" w:color="000000" w:sz="4" w:space="0"/>
              <w:right w:val="single" w:color="000000" w:sz="4" w:space="0"/>
            </w:tcBorders>
            <w:vAlign w:val="top"/>
          </w:tcPr>
          <w:p w14:paraId="411DA4E0">
            <w:pPr>
              <w:pStyle w:val="14"/>
              <w:snapToGrid w:val="0"/>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en-US" w:eastAsia="zh-CN"/>
              </w:rPr>
              <w:t>按国家有关产品“三包”规定执行“三包”，所有设备自验收合格之日起质保期≥1年（质保期承诺如优于招标文件规定的，按中标人实际承诺质保期执行。），</w:t>
            </w:r>
            <w:r>
              <w:rPr>
                <w:rFonts w:hint="eastAsia" w:ascii="宋体" w:hAnsi="宋体" w:eastAsia="宋体" w:cs="宋体"/>
                <w:sz w:val="21"/>
                <w:szCs w:val="21"/>
                <w:lang w:val="en-US" w:eastAsia="zh-CN"/>
              </w:rPr>
              <w:t>提供终身有偿维护。</w:t>
            </w:r>
          </w:p>
          <w:p w14:paraId="4FA1CA71">
            <w:pPr>
              <w:bidi w:val="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2.质保期所更换的零配件必须是同品牌同型号全新的零配件，满足设备运行要求。</w:t>
            </w:r>
          </w:p>
        </w:tc>
      </w:tr>
      <w:tr w14:paraId="5AC9E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5F7BF6EC">
            <w:pPr>
              <w:bidi w:val="0"/>
              <w:jc w:val="center"/>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2</w:t>
            </w:r>
          </w:p>
        </w:tc>
        <w:tc>
          <w:tcPr>
            <w:tcW w:w="981" w:type="dxa"/>
            <w:tcBorders>
              <w:top w:val="single" w:color="000000" w:sz="4" w:space="0"/>
              <w:left w:val="nil"/>
              <w:bottom w:val="single" w:color="000000" w:sz="4" w:space="0"/>
              <w:right w:val="single" w:color="000000" w:sz="4" w:space="0"/>
            </w:tcBorders>
            <w:vAlign w:val="center"/>
          </w:tcPr>
          <w:p w14:paraId="1E7DC477">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w:t>
            </w:r>
          </w:p>
        </w:tc>
        <w:tc>
          <w:tcPr>
            <w:tcW w:w="7945" w:type="dxa"/>
            <w:gridSpan w:val="3"/>
            <w:tcBorders>
              <w:top w:val="single" w:color="000000" w:sz="4" w:space="0"/>
              <w:left w:val="nil"/>
              <w:bottom w:val="single" w:color="000000" w:sz="4" w:space="0"/>
              <w:right w:val="single" w:color="000000" w:sz="4" w:space="0"/>
            </w:tcBorders>
            <w:vAlign w:val="top"/>
          </w:tcPr>
          <w:p w14:paraId="26DCD7BB">
            <w:pPr>
              <w:snapToGrid w:val="0"/>
              <w:spacing w:line="400" w:lineRule="exact"/>
              <w:outlineLvl w:val="0"/>
              <w:rPr>
                <w:rFonts w:hint="eastAsia" w:ascii="宋体" w:hAnsi="宋体" w:eastAsia="宋体" w:cs="宋体"/>
                <w:sz w:val="21"/>
                <w:szCs w:val="21"/>
                <w:lang w:eastAsia="zh-CN"/>
              </w:rPr>
            </w:pP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报价包括货物的所有费用，包括货物采购、运输、安装调试、保险、培训、售后服务、</w:t>
            </w:r>
            <w:r>
              <w:rPr>
                <w:rFonts w:hint="eastAsia" w:ascii="宋体" w:hAnsi="宋体" w:eastAsia="宋体" w:cs="宋体"/>
                <w:sz w:val="21"/>
                <w:szCs w:val="21"/>
                <w:lang w:eastAsia="zh-CN"/>
              </w:rPr>
              <w:t>备品备件、</w:t>
            </w:r>
            <w:r>
              <w:rPr>
                <w:rFonts w:hint="eastAsia" w:ascii="宋体" w:hAnsi="宋体" w:eastAsia="宋体" w:cs="宋体"/>
                <w:sz w:val="21"/>
                <w:szCs w:val="21"/>
              </w:rPr>
              <w:t>必要检测、利润、税金以及所有的不</w:t>
            </w:r>
            <w:r>
              <w:rPr>
                <w:rFonts w:hint="eastAsia" w:ascii="宋体" w:hAnsi="宋体" w:eastAsia="宋体" w:cs="宋体"/>
                <w:sz w:val="21"/>
                <w:szCs w:val="21"/>
                <w:lang w:eastAsia="zh-CN"/>
              </w:rPr>
              <w:t>确</w:t>
            </w:r>
            <w:r>
              <w:rPr>
                <w:rFonts w:hint="eastAsia" w:ascii="宋体" w:hAnsi="宋体" w:eastAsia="宋体" w:cs="宋体"/>
                <w:sz w:val="21"/>
                <w:szCs w:val="21"/>
              </w:rPr>
              <w:t>定因素的风险等</w:t>
            </w:r>
            <w:r>
              <w:rPr>
                <w:rFonts w:hint="eastAsia" w:ascii="宋体" w:hAnsi="宋体" w:eastAsia="宋体" w:cs="宋体"/>
                <w:sz w:val="21"/>
                <w:szCs w:val="21"/>
                <w:lang w:eastAsia="zh-CN"/>
              </w:rPr>
              <w:t>。</w:t>
            </w:r>
          </w:p>
        </w:tc>
      </w:tr>
      <w:tr w14:paraId="1B440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41CB460D">
            <w:pPr>
              <w:bidi w:val="0"/>
              <w:jc w:val="center"/>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3</w:t>
            </w:r>
          </w:p>
        </w:tc>
        <w:tc>
          <w:tcPr>
            <w:tcW w:w="981" w:type="dxa"/>
            <w:tcBorders>
              <w:top w:val="single" w:color="000000" w:sz="4" w:space="0"/>
              <w:left w:val="nil"/>
              <w:bottom w:val="single" w:color="000000" w:sz="4" w:space="0"/>
              <w:right w:val="single" w:color="000000" w:sz="4" w:space="0"/>
            </w:tcBorders>
            <w:vAlign w:val="center"/>
          </w:tcPr>
          <w:p w14:paraId="48293D82">
            <w:pPr>
              <w:snapToGrid w:val="0"/>
              <w:spacing w:line="400" w:lineRule="exact"/>
              <w:jc w:val="center"/>
              <w:outlineLvl w:val="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bCs/>
                <w:kern w:val="0"/>
                <w:sz w:val="21"/>
                <w:szCs w:val="21"/>
              </w:rPr>
              <w:t>交货时间及地点</w:t>
            </w:r>
          </w:p>
        </w:tc>
        <w:tc>
          <w:tcPr>
            <w:tcW w:w="7945" w:type="dxa"/>
            <w:gridSpan w:val="3"/>
            <w:tcBorders>
              <w:top w:val="single" w:color="000000" w:sz="4" w:space="0"/>
              <w:left w:val="nil"/>
              <w:bottom w:val="single" w:color="000000" w:sz="4" w:space="0"/>
              <w:right w:val="single" w:color="000000" w:sz="4" w:space="0"/>
            </w:tcBorders>
            <w:vAlign w:val="top"/>
          </w:tcPr>
          <w:p w14:paraId="266DEC62">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1</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交货时间：</w:t>
            </w:r>
            <w:r>
              <w:rPr>
                <w:rFonts w:hint="eastAsia" w:ascii="宋体" w:hAnsi="宋体" w:eastAsia="宋体" w:cs="宋体"/>
                <w:bCs/>
                <w:kern w:val="0"/>
                <w:sz w:val="21"/>
                <w:szCs w:val="21"/>
                <w:lang w:eastAsia="zh-CN"/>
              </w:rPr>
              <w:t>国内产品要求</w:t>
            </w:r>
            <w:r>
              <w:rPr>
                <w:rFonts w:hint="eastAsia" w:ascii="宋体" w:hAnsi="宋体" w:eastAsia="宋体" w:cs="宋体"/>
                <w:bCs/>
                <w:kern w:val="0"/>
                <w:sz w:val="21"/>
                <w:szCs w:val="21"/>
              </w:rPr>
              <w:t>自签订合同</w:t>
            </w:r>
            <w:r>
              <w:rPr>
                <w:rFonts w:hint="eastAsia" w:ascii="宋体" w:hAnsi="宋体" w:eastAsia="宋体" w:cs="宋体"/>
                <w:bCs/>
                <w:kern w:val="0"/>
                <w:sz w:val="21"/>
                <w:szCs w:val="21"/>
                <w:highlight w:val="none"/>
              </w:rPr>
              <w:t>之日起</w:t>
            </w:r>
            <w:r>
              <w:rPr>
                <w:rFonts w:hint="eastAsia" w:ascii="宋体" w:hAnsi="宋体" w:eastAsia="宋体" w:cs="宋体"/>
                <w:bCs/>
                <w:kern w:val="0"/>
                <w:sz w:val="21"/>
                <w:szCs w:val="21"/>
                <w:highlight w:val="none"/>
                <w:lang w:val="en-US" w:eastAsia="zh-CN"/>
              </w:rPr>
              <w:t>30天内按采购人</w:t>
            </w:r>
            <w:r>
              <w:rPr>
                <w:rFonts w:hint="eastAsia" w:ascii="宋体" w:hAnsi="宋体" w:eastAsia="宋体" w:cs="宋体"/>
                <w:bCs/>
                <w:kern w:val="0"/>
                <w:sz w:val="21"/>
                <w:szCs w:val="21"/>
                <w:lang w:val="en-US" w:eastAsia="zh-CN"/>
              </w:rPr>
              <w:t>要求</w:t>
            </w:r>
            <w:r>
              <w:rPr>
                <w:rFonts w:hint="eastAsia" w:ascii="宋体" w:hAnsi="宋体" w:eastAsia="宋体" w:cs="宋体"/>
                <w:bCs/>
                <w:kern w:val="0"/>
                <w:sz w:val="21"/>
                <w:szCs w:val="21"/>
              </w:rPr>
              <w:t>安装完毕并交付使用</w:t>
            </w:r>
            <w:r>
              <w:rPr>
                <w:rFonts w:hint="eastAsia" w:ascii="宋体" w:hAnsi="宋体" w:eastAsia="宋体" w:cs="宋体"/>
                <w:bCs/>
                <w:kern w:val="0"/>
                <w:sz w:val="21"/>
                <w:szCs w:val="21"/>
                <w:lang w:eastAsia="zh-CN"/>
              </w:rPr>
              <w:t>，进口产品要求签订合同之日起</w:t>
            </w:r>
            <w:r>
              <w:rPr>
                <w:rFonts w:hint="eastAsia" w:ascii="宋体" w:hAnsi="宋体" w:eastAsia="宋体" w:cs="宋体"/>
                <w:bCs/>
                <w:kern w:val="0"/>
                <w:sz w:val="21"/>
                <w:szCs w:val="21"/>
                <w:lang w:val="en-US" w:eastAsia="zh-CN"/>
              </w:rPr>
              <w:t>90天内按采购人要求</w:t>
            </w:r>
            <w:r>
              <w:rPr>
                <w:rFonts w:hint="eastAsia" w:ascii="宋体" w:hAnsi="宋体" w:eastAsia="宋体" w:cs="宋体"/>
                <w:bCs/>
                <w:kern w:val="0"/>
                <w:sz w:val="21"/>
                <w:szCs w:val="21"/>
              </w:rPr>
              <w:t>安装完毕并交付使用。</w:t>
            </w:r>
          </w:p>
          <w:p w14:paraId="622CCE94">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2</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交货内容包括：</w:t>
            </w:r>
          </w:p>
          <w:p w14:paraId="553B9713">
            <w:pPr>
              <w:numPr>
                <w:ilvl w:val="0"/>
                <w:numId w:val="5"/>
              </w:numPr>
              <w:snapToGrid w:val="0"/>
              <w:spacing w:line="400" w:lineRule="exact"/>
              <w:outlineLvl w:val="0"/>
              <w:rPr>
                <w:rFonts w:hint="eastAsia" w:ascii="宋体" w:hAnsi="宋体" w:eastAsia="宋体" w:cs="宋体"/>
                <w:sz w:val="21"/>
                <w:szCs w:val="21"/>
              </w:rPr>
            </w:pPr>
            <w:r>
              <w:rPr>
                <w:rFonts w:hint="eastAsia" w:ascii="宋体" w:hAnsi="宋体" w:eastAsia="宋体" w:cs="宋体"/>
                <w:bCs/>
                <w:kern w:val="0"/>
                <w:sz w:val="21"/>
                <w:szCs w:val="21"/>
              </w:rPr>
              <w:t>设备整机、配件、</w:t>
            </w:r>
            <w:r>
              <w:rPr>
                <w:rFonts w:hint="eastAsia" w:ascii="宋体" w:hAnsi="宋体" w:eastAsia="宋体" w:cs="宋体"/>
                <w:bCs/>
                <w:kern w:val="0"/>
                <w:sz w:val="21"/>
                <w:szCs w:val="21"/>
                <w:lang w:eastAsia="zh-CN"/>
              </w:rPr>
              <w:t>出厂随配</w:t>
            </w:r>
            <w:r>
              <w:rPr>
                <w:rFonts w:hint="eastAsia" w:ascii="宋体" w:hAnsi="宋体" w:eastAsia="宋体" w:cs="宋体"/>
                <w:bCs/>
                <w:kern w:val="0"/>
                <w:sz w:val="21"/>
                <w:szCs w:val="21"/>
              </w:rPr>
              <w:t>耗材等。</w:t>
            </w:r>
          </w:p>
          <w:p w14:paraId="551A1106">
            <w:pPr>
              <w:numPr>
                <w:ilvl w:val="0"/>
                <w:numId w:val="5"/>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说明书、产品合格证、保修单、保险单（如有）。</w:t>
            </w:r>
          </w:p>
          <w:p w14:paraId="4982046E">
            <w:pPr>
              <w:numPr>
                <w:ilvl w:val="0"/>
                <w:numId w:val="5"/>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上述文件资料应随货物一并提供。</w:t>
            </w:r>
          </w:p>
          <w:p w14:paraId="03BDCE56">
            <w:pPr>
              <w:snapToGrid w:val="0"/>
              <w:spacing w:line="400" w:lineRule="exact"/>
              <w:outlineLvl w:val="0"/>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交货地点：</w:t>
            </w:r>
            <w:r>
              <w:rPr>
                <w:rFonts w:hint="eastAsia" w:ascii="宋体" w:hAnsi="宋体" w:eastAsia="宋体" w:cs="宋体"/>
                <w:sz w:val="21"/>
                <w:szCs w:val="21"/>
                <w:lang w:eastAsia="zh-CN"/>
              </w:rPr>
              <w:t>海南省乐东县九所镇广西南繁基地水产区采购人指定地点</w:t>
            </w:r>
            <w:r>
              <w:rPr>
                <w:rFonts w:hint="eastAsia" w:ascii="宋体" w:hAnsi="宋体" w:eastAsia="宋体" w:cs="宋体"/>
                <w:sz w:val="21"/>
                <w:szCs w:val="21"/>
              </w:rPr>
              <w:t>。</w:t>
            </w:r>
          </w:p>
        </w:tc>
      </w:tr>
      <w:tr w14:paraId="71872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6D436D2C">
            <w:pPr>
              <w:bidi w:val="0"/>
              <w:jc w:val="center"/>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4</w:t>
            </w:r>
          </w:p>
        </w:tc>
        <w:tc>
          <w:tcPr>
            <w:tcW w:w="981" w:type="dxa"/>
            <w:tcBorders>
              <w:top w:val="single" w:color="000000" w:sz="4" w:space="0"/>
              <w:left w:val="nil"/>
              <w:bottom w:val="single" w:color="000000" w:sz="4" w:space="0"/>
              <w:right w:val="single" w:color="000000" w:sz="4" w:space="0"/>
            </w:tcBorders>
            <w:vAlign w:val="center"/>
          </w:tcPr>
          <w:p w14:paraId="1FF5DF92">
            <w:pPr>
              <w:snapToGrid w:val="0"/>
              <w:spacing w:line="360" w:lineRule="auto"/>
              <w:jc w:val="center"/>
              <w:outlineLvl w:val="0"/>
              <w:rPr>
                <w:rFonts w:hint="eastAsia" w:ascii="宋体" w:hAnsi="宋体" w:eastAsia="宋体" w:cs="宋体"/>
                <w:color w:val="auto"/>
                <w:sz w:val="21"/>
                <w:szCs w:val="21"/>
                <w:highlight w:val="none"/>
              </w:rPr>
            </w:pPr>
            <w:r>
              <w:rPr>
                <w:rFonts w:hint="eastAsia" w:ascii="宋体" w:hAnsi="宋体" w:eastAsia="宋体" w:cs="宋体"/>
                <w:bCs/>
                <w:kern w:val="0"/>
                <w:sz w:val="21"/>
                <w:szCs w:val="21"/>
              </w:rPr>
              <w:t>验收</w:t>
            </w:r>
            <w:r>
              <w:rPr>
                <w:rFonts w:hint="eastAsia" w:ascii="宋体" w:hAnsi="宋体" w:eastAsia="宋体" w:cs="宋体"/>
                <w:bCs/>
                <w:kern w:val="0"/>
                <w:sz w:val="21"/>
                <w:szCs w:val="21"/>
                <w:lang w:eastAsia="zh-CN"/>
              </w:rPr>
              <w:t>依据、标准、验收程序</w:t>
            </w:r>
          </w:p>
        </w:tc>
        <w:tc>
          <w:tcPr>
            <w:tcW w:w="7945" w:type="dxa"/>
            <w:gridSpan w:val="3"/>
            <w:tcBorders>
              <w:top w:val="single" w:color="000000" w:sz="4" w:space="0"/>
              <w:left w:val="nil"/>
              <w:bottom w:val="single" w:color="000000" w:sz="4" w:space="0"/>
              <w:right w:val="single" w:color="000000" w:sz="4" w:space="0"/>
            </w:tcBorders>
            <w:vAlign w:val="top"/>
          </w:tcPr>
          <w:p w14:paraId="2ABF7C4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验收主体：采购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w:t>
            </w:r>
          </w:p>
          <w:p w14:paraId="1AE0CF8A">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自仪器设备到货</w:t>
            </w:r>
            <w:r>
              <w:rPr>
                <w:rFonts w:hint="eastAsia" w:ascii="宋体" w:hAnsi="宋体" w:eastAsia="宋体" w:cs="宋体"/>
                <w:color w:val="auto"/>
                <w:sz w:val="21"/>
                <w:szCs w:val="21"/>
                <w:lang w:eastAsia="zh-CN"/>
              </w:rPr>
              <w:t>、安装调试完成</w:t>
            </w:r>
            <w:r>
              <w:rPr>
                <w:rFonts w:hint="eastAsia" w:ascii="宋体" w:hAnsi="宋体" w:eastAsia="宋体" w:cs="宋体"/>
                <w:color w:val="auto"/>
                <w:sz w:val="21"/>
                <w:szCs w:val="21"/>
              </w:rPr>
              <w:t>之日起</w:t>
            </w:r>
            <w:r>
              <w:rPr>
                <w:rFonts w:hint="eastAsia" w:ascii="宋体" w:hAnsi="宋体" w:eastAsia="宋体" w:cs="宋体"/>
                <w:color w:val="auto"/>
                <w:sz w:val="21"/>
                <w:szCs w:val="21"/>
                <w:lang w:val="en-US" w:eastAsia="zh-CN"/>
              </w:rPr>
              <w:t>30天内完成验收</w:t>
            </w:r>
            <w:r>
              <w:rPr>
                <w:rFonts w:hint="eastAsia" w:ascii="宋体" w:hAnsi="宋体" w:eastAsia="宋体" w:cs="宋体"/>
                <w:color w:val="auto"/>
                <w:sz w:val="21"/>
                <w:szCs w:val="21"/>
              </w:rPr>
              <w:t>。</w:t>
            </w:r>
          </w:p>
          <w:p w14:paraId="252762D2">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依据及标准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国家、行业标准、招标文件采购需求、投标文件承诺</w:t>
            </w:r>
          </w:p>
          <w:p w14:paraId="11A01161">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履约验收程序</w:t>
            </w:r>
            <w:r>
              <w:rPr>
                <w:rFonts w:hint="eastAsia" w:ascii="宋体" w:hAnsi="宋体" w:eastAsia="宋体" w:cs="宋体"/>
                <w:color w:val="auto"/>
                <w:sz w:val="21"/>
                <w:szCs w:val="21"/>
                <w:highlight w:val="none"/>
                <w:lang w:eastAsia="zh-CN"/>
              </w:rPr>
              <w:t>：</w:t>
            </w:r>
          </w:p>
          <w:p w14:paraId="0645D1F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A.成立验收小组：采购</w:t>
            </w:r>
            <w:r>
              <w:rPr>
                <w:rFonts w:hint="eastAsia" w:ascii="宋体" w:hAnsi="宋体" w:eastAsia="宋体" w:cs="宋体"/>
                <w:color w:val="auto"/>
                <w:sz w:val="21"/>
                <w:szCs w:val="21"/>
                <w:highlight w:val="none"/>
                <w:lang w:eastAsia="zh-CN"/>
              </w:rPr>
              <w:t>人成立验收小组</w:t>
            </w:r>
            <w:r>
              <w:rPr>
                <w:rFonts w:hint="eastAsia" w:ascii="宋体" w:hAnsi="宋体" w:eastAsia="宋体" w:cs="宋体"/>
                <w:color w:val="auto"/>
                <w:sz w:val="21"/>
                <w:szCs w:val="21"/>
                <w:highlight w:val="none"/>
              </w:rPr>
              <w:t>。</w:t>
            </w:r>
          </w:p>
          <w:p w14:paraId="0BDD61E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B.开箱验收：</w:t>
            </w:r>
          </w:p>
          <w:p w14:paraId="4363530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中标人代表双方当场</w:t>
            </w:r>
            <w:r>
              <w:rPr>
                <w:rFonts w:hint="eastAsia" w:ascii="宋体" w:hAnsi="宋体" w:eastAsia="宋体" w:cs="宋体"/>
                <w:color w:val="auto"/>
                <w:sz w:val="21"/>
                <w:szCs w:val="21"/>
                <w:highlight w:val="none"/>
              </w:rPr>
              <w:t>进行开箱验收。检查其外包装是否完好无损，并对设备数量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eastAsia="zh-CN"/>
              </w:rPr>
              <w:t>初步</w:t>
            </w:r>
            <w:r>
              <w:rPr>
                <w:rFonts w:hint="eastAsia" w:ascii="宋体" w:hAnsi="宋体" w:eastAsia="宋体" w:cs="宋体"/>
                <w:color w:val="auto"/>
                <w:sz w:val="21"/>
                <w:szCs w:val="21"/>
                <w:highlight w:val="none"/>
              </w:rPr>
              <w:t>核对，检查是否与合同一致，文档材料是否齐全。</w:t>
            </w:r>
          </w:p>
          <w:p w14:paraId="2424D2E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)如发现设备短缺、损坏或其他与合同约定不符的情况，由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采取补齐、更换及其他补救措施，以确保仪器设备的正常安装调试。</w:t>
            </w:r>
          </w:p>
          <w:p w14:paraId="32FD2856">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)开箱检验合格后，由采购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w:t>
            </w:r>
            <w:r>
              <w:rPr>
                <w:rFonts w:hint="eastAsia" w:ascii="宋体" w:hAnsi="宋体" w:eastAsia="宋体" w:cs="宋体"/>
                <w:color w:val="auto"/>
                <w:sz w:val="21"/>
                <w:szCs w:val="21"/>
                <w:highlight w:val="none"/>
              </w:rPr>
              <w:t>签署开箱检验验收书，开箱检验验收书应列明合同设备数量、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文档资料等验收情况及评价意见。</w:t>
            </w:r>
          </w:p>
          <w:p w14:paraId="4E8F6AF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C.安装、调试</w:t>
            </w:r>
          </w:p>
          <w:p w14:paraId="12EE582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进行仪器设备的安装、调试。</w:t>
            </w:r>
          </w:p>
          <w:p w14:paraId="4F6A099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w:t>
            </w:r>
            <w:r>
              <w:rPr>
                <w:rFonts w:hint="eastAsia" w:ascii="宋体" w:hAnsi="宋体" w:eastAsia="宋体" w:cs="宋体"/>
                <w:color w:val="auto"/>
                <w:sz w:val="21"/>
                <w:szCs w:val="21"/>
                <w:highlight w:val="none"/>
                <w:lang w:eastAsia="zh-CN"/>
              </w:rPr>
              <w:t>、中标人代表进行设备试运行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试运行情况</w:t>
            </w:r>
            <w:r>
              <w:rPr>
                <w:rFonts w:hint="eastAsia" w:ascii="宋体" w:hAnsi="宋体" w:eastAsia="宋体" w:cs="宋体"/>
                <w:color w:val="auto"/>
                <w:sz w:val="21"/>
                <w:szCs w:val="21"/>
                <w:highlight w:val="none"/>
              </w:rPr>
              <w:t>进行评价。</w:t>
            </w:r>
          </w:p>
          <w:p w14:paraId="4316642F">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试运行时由采购人对照招标文件的功能目标及技术指标要求、投标文件响应的功能、参数全面核对检验，所提供设备的性能应与投标时提供的证明文件及响应的功能、参数完全一致，</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共同对安装、调试情况进行记录。</w:t>
            </w:r>
            <w:r>
              <w:rPr>
                <w:rFonts w:hint="eastAsia" w:ascii="宋体" w:hAnsi="宋体" w:eastAsia="宋体" w:cs="宋体"/>
                <w:color w:val="auto"/>
                <w:sz w:val="21"/>
                <w:szCs w:val="21"/>
                <w:highlight w:val="none"/>
                <w:lang w:eastAsia="zh-CN"/>
              </w:rPr>
              <w:t>如不符合招标文件的技术需求及要求以及提供虚假承诺的，按相关规定做退货处理及违约处理，中标人承担所有责任和费用，采购人保留进一步追究责任的权利。</w:t>
            </w:r>
          </w:p>
          <w:p w14:paraId="102E796E">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采购项目进行验收时，采购人可以邀请参加本项目的其他投标人、技术专家或者第三方机构参与验收。参与验收的投标人、技术专家或者第三方机构的意见作为验收书的参考资料一并存档。验收所产生的一切费用由中标人承担。</w:t>
            </w:r>
          </w:p>
          <w:p w14:paraId="48D7C4C6">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D</w:t>
            </w:r>
            <w:r>
              <w:rPr>
                <w:rFonts w:hint="eastAsia" w:ascii="宋体" w:hAnsi="宋体" w:eastAsia="宋体" w:cs="宋体"/>
                <w:color w:val="auto"/>
                <w:sz w:val="21"/>
                <w:szCs w:val="21"/>
                <w:highlight w:val="none"/>
              </w:rPr>
              <w:t>.履约验收其他事项：</w:t>
            </w:r>
          </w:p>
          <w:p w14:paraId="09F9704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验收资料归档，采购合同项目完成验收后，将验收原始记录、验收书等资料作为该采购项目档案妥善保管，不得伪造、变造、隐匿或者销毁，验收资料保存期为采购结束之日起至少保存15年。</w:t>
            </w:r>
          </w:p>
          <w:p w14:paraId="48DE28B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原因造成不按时完成验收、造成逾期供货事实的，由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承担相关合同责任。</w:t>
            </w:r>
          </w:p>
          <w:p w14:paraId="7295B06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)验收合格后视为设备交接，在验收合格前设备属于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，所有运输、仓储、装卸、保管、搬运等相关责任由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负责。</w:t>
            </w:r>
          </w:p>
          <w:p w14:paraId="0BDEEA0D">
            <w:pPr>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5.验收内容：包括每个采购标的每一项技术参数和商务要求全部内容的履约情况。</w:t>
            </w:r>
          </w:p>
        </w:tc>
      </w:tr>
      <w:tr w14:paraId="11137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5BA197FC">
            <w:pPr>
              <w:bidi w:val="0"/>
              <w:jc w:val="center"/>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5</w:t>
            </w:r>
          </w:p>
        </w:tc>
        <w:tc>
          <w:tcPr>
            <w:tcW w:w="981" w:type="dxa"/>
            <w:tcBorders>
              <w:top w:val="single" w:color="000000" w:sz="4" w:space="0"/>
              <w:left w:val="nil"/>
              <w:bottom w:val="single" w:color="000000" w:sz="4" w:space="0"/>
              <w:right w:val="single" w:color="000000" w:sz="4" w:space="0"/>
            </w:tcBorders>
            <w:vAlign w:val="center"/>
          </w:tcPr>
          <w:p w14:paraId="5A18CA9A">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rPr>
              <w:t>付款条件</w:t>
            </w:r>
          </w:p>
        </w:tc>
        <w:tc>
          <w:tcPr>
            <w:tcW w:w="7945" w:type="dxa"/>
            <w:gridSpan w:val="3"/>
            <w:tcBorders>
              <w:top w:val="single" w:color="000000" w:sz="4" w:space="0"/>
              <w:left w:val="nil"/>
              <w:bottom w:val="single" w:color="000000" w:sz="4" w:space="0"/>
              <w:right w:val="single" w:color="000000" w:sz="4" w:space="0"/>
            </w:tcBorders>
            <w:vAlign w:val="top"/>
          </w:tcPr>
          <w:p w14:paraId="08A02CD0">
            <w:pPr>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.签订合同后10个工作日内，支付合同合计金额的30%作为预付款；全部货物到货后支付合同款的5</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%，安装调试并并经采购人验收合格后，支付剩余合同款。</w:t>
            </w:r>
          </w:p>
          <w:p w14:paraId="17CE8B9B">
            <w:pPr>
              <w:spacing w:line="400" w:lineRule="exact"/>
              <w:jc w:val="left"/>
              <w:rPr>
                <w:rFonts w:hint="eastAsia" w:ascii="宋体" w:hAnsi="宋体" w:eastAsia="宋体" w:cs="宋体"/>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每次付款前供应商应提供请款函和</w:t>
            </w:r>
            <w:r>
              <w:rPr>
                <w:rFonts w:hint="eastAsia" w:ascii="宋体" w:hAnsi="宋体" w:eastAsia="宋体" w:cs="宋体"/>
                <w:color w:val="auto"/>
                <w:sz w:val="21"/>
                <w:szCs w:val="21"/>
                <w:lang w:eastAsia="zh-CN"/>
              </w:rPr>
              <w:t>合法</w:t>
            </w:r>
            <w:r>
              <w:rPr>
                <w:rFonts w:hint="eastAsia" w:ascii="宋体" w:hAnsi="宋体" w:eastAsia="宋体" w:cs="宋体"/>
                <w:color w:val="auto"/>
                <w:sz w:val="21"/>
                <w:szCs w:val="21"/>
              </w:rPr>
              <w:t>发票。</w:t>
            </w:r>
          </w:p>
        </w:tc>
      </w:tr>
      <w:tr w14:paraId="62048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5BF3B01C">
            <w:pPr>
              <w:bidi w:val="0"/>
              <w:jc w:val="center"/>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6</w:t>
            </w:r>
          </w:p>
        </w:tc>
        <w:tc>
          <w:tcPr>
            <w:tcW w:w="981" w:type="dxa"/>
            <w:tcBorders>
              <w:top w:val="single" w:color="000000" w:sz="4" w:space="0"/>
              <w:left w:val="nil"/>
              <w:bottom w:val="single" w:color="000000" w:sz="4" w:space="0"/>
              <w:right w:val="single" w:color="000000" w:sz="4" w:space="0"/>
            </w:tcBorders>
            <w:vAlign w:val="center"/>
          </w:tcPr>
          <w:p w14:paraId="391DE639">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sz w:val="21"/>
                <w:szCs w:val="21"/>
              </w:rPr>
              <w:t>售后服务要求</w:t>
            </w:r>
          </w:p>
        </w:tc>
        <w:tc>
          <w:tcPr>
            <w:tcW w:w="7945" w:type="dxa"/>
            <w:gridSpan w:val="3"/>
            <w:tcBorders>
              <w:top w:val="single" w:color="000000" w:sz="4" w:space="0"/>
              <w:left w:val="nil"/>
              <w:bottom w:val="single" w:color="000000" w:sz="4" w:space="0"/>
              <w:right w:val="single" w:color="000000" w:sz="4" w:space="0"/>
            </w:tcBorders>
            <w:vAlign w:val="top"/>
          </w:tcPr>
          <w:p w14:paraId="5BC32D67">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供货：送货上门、安装、调试，采购人不再额外支付费用。</w:t>
            </w:r>
          </w:p>
          <w:p w14:paraId="44917277">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现场安装、调试：由采购人提供安装调试环境条件，技术人员到达现场，并在进场一周内完成设备安装、调试，所需工具器材、交通食宿应包含在报价内，采购人不再额外支付费用。</w:t>
            </w:r>
          </w:p>
          <w:p w14:paraId="56C5712B">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现场培训：在安装调试合格后，</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厂家技术人员对采购人至少2名操作人员现场进行仪器使用及维护培训，能够独立操作仪器</w:t>
            </w:r>
            <w:r>
              <w:rPr>
                <w:rFonts w:hint="eastAsia" w:ascii="宋体" w:hAnsi="宋体" w:eastAsia="宋体" w:cs="宋体"/>
                <w:sz w:val="21"/>
                <w:szCs w:val="21"/>
                <w:lang w:eastAsia="zh-CN"/>
              </w:rPr>
              <w:t>、设备</w:t>
            </w:r>
            <w:r>
              <w:rPr>
                <w:rFonts w:hint="eastAsia" w:ascii="宋体" w:hAnsi="宋体" w:eastAsia="宋体" w:cs="宋体"/>
                <w:sz w:val="21"/>
                <w:szCs w:val="21"/>
              </w:rPr>
              <w:t>。</w:t>
            </w:r>
          </w:p>
          <w:p w14:paraId="341CDCCF">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后期回访：质保期内进行</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次/年回访，回访期间对仪器进行维护和培训等，采购人不再额外支付费用。</w:t>
            </w:r>
          </w:p>
          <w:p w14:paraId="235E4609">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接到采购人故障通知后</w:t>
            </w:r>
            <w:r>
              <w:rPr>
                <w:rFonts w:hint="eastAsia" w:ascii="宋体" w:hAnsi="宋体" w:eastAsia="宋体" w:cs="宋体"/>
                <w:sz w:val="21"/>
                <w:szCs w:val="21"/>
                <w:lang w:val="en-US" w:eastAsia="zh-CN"/>
              </w:rPr>
              <w:t>1</w:t>
            </w:r>
            <w:r>
              <w:rPr>
                <w:rFonts w:hint="eastAsia" w:ascii="宋体" w:hAnsi="宋体" w:eastAsia="宋体" w:cs="宋体"/>
                <w:sz w:val="21"/>
                <w:szCs w:val="21"/>
              </w:rPr>
              <w:t>小时内响应，如不能解决问题将派人</w:t>
            </w:r>
            <w:r>
              <w:rPr>
                <w:rFonts w:hint="eastAsia" w:ascii="宋体" w:hAnsi="宋体" w:eastAsia="宋体" w:cs="宋体"/>
                <w:sz w:val="21"/>
                <w:szCs w:val="21"/>
                <w:lang w:val="en-US" w:eastAsia="zh-CN"/>
              </w:rPr>
              <w:t>24小时内到达</w:t>
            </w:r>
            <w:r>
              <w:rPr>
                <w:rFonts w:hint="eastAsia" w:ascii="宋体" w:hAnsi="宋体" w:eastAsia="宋体" w:cs="宋体"/>
                <w:sz w:val="21"/>
                <w:szCs w:val="21"/>
              </w:rPr>
              <w:t>现场排除故障。</w:t>
            </w:r>
          </w:p>
          <w:p w14:paraId="1A4AF2BF">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备件、技术及维修服务及其它：</w:t>
            </w:r>
          </w:p>
          <w:p w14:paraId="3535DAFE">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（1）备件要求：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厂家应在</w:t>
            </w:r>
            <w:r>
              <w:rPr>
                <w:rFonts w:hint="eastAsia" w:ascii="宋体" w:hAnsi="宋体" w:eastAsia="宋体" w:cs="宋体"/>
                <w:sz w:val="21"/>
                <w:szCs w:val="21"/>
                <w:lang w:eastAsia="zh-CN"/>
              </w:rPr>
              <w:t>交货地点所在</w:t>
            </w:r>
            <w:r>
              <w:rPr>
                <w:rFonts w:hint="eastAsia" w:ascii="宋体" w:hAnsi="宋体" w:eastAsia="宋体" w:cs="宋体"/>
                <w:sz w:val="21"/>
                <w:szCs w:val="21"/>
              </w:rPr>
              <w:t>省会中心城市设置备件库，存入</w:t>
            </w:r>
            <w:r>
              <w:rPr>
                <w:rFonts w:hint="eastAsia" w:ascii="宋体" w:hAnsi="宋体" w:eastAsia="宋体" w:cs="宋体"/>
                <w:sz w:val="21"/>
                <w:szCs w:val="21"/>
                <w:lang w:eastAsia="zh-CN"/>
              </w:rPr>
              <w:t>必要</w:t>
            </w:r>
            <w:r>
              <w:rPr>
                <w:rFonts w:hint="eastAsia" w:ascii="宋体" w:hAnsi="宋体" w:eastAsia="宋体" w:cs="宋体"/>
                <w:sz w:val="21"/>
                <w:szCs w:val="21"/>
              </w:rPr>
              <w:t>的</w:t>
            </w:r>
            <w:r>
              <w:rPr>
                <w:rFonts w:hint="eastAsia" w:ascii="宋体" w:hAnsi="宋体" w:eastAsia="宋体" w:cs="宋体"/>
                <w:sz w:val="21"/>
                <w:szCs w:val="21"/>
                <w:lang w:eastAsia="zh-CN"/>
              </w:rPr>
              <w:t>备品</w:t>
            </w:r>
            <w:r>
              <w:rPr>
                <w:rFonts w:hint="eastAsia" w:ascii="宋体" w:hAnsi="宋体" w:eastAsia="宋体" w:cs="宋体"/>
                <w:sz w:val="21"/>
                <w:szCs w:val="21"/>
              </w:rPr>
              <w:t>备件，保证必要时可以及时供应。</w:t>
            </w:r>
          </w:p>
          <w:p w14:paraId="41865BC8">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（2）技术及维修服务：在用户当地或省会中心城市，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厂家应配置工程技术人员，随时提供开箱验货、安装、调试或维修等服务。</w:t>
            </w:r>
          </w:p>
          <w:p w14:paraId="3EA760E9">
            <w:pPr>
              <w:snapToGrid w:val="0"/>
              <w:spacing w:line="400" w:lineRule="exact"/>
              <w:outlineLvl w:val="0"/>
              <w:rPr>
                <w:rFonts w:hint="eastAsia" w:ascii="宋体" w:hAnsi="宋体" w:eastAsia="宋体" w:cs="宋体"/>
                <w:sz w:val="21"/>
                <w:szCs w:val="21"/>
                <w:lang w:eastAsia="zh-CN"/>
              </w:rPr>
            </w:pPr>
            <w:r>
              <w:rPr>
                <w:rFonts w:hint="eastAsia" w:ascii="宋体" w:hAnsi="宋体" w:eastAsia="宋体" w:cs="宋体"/>
                <w:sz w:val="21"/>
                <w:szCs w:val="21"/>
              </w:rPr>
              <w:t>（3）质保期内设备发生故障时，响应时间1小时以内，特殊情况无法到达须提前与采购人沟通。当配件等待周期大于7个工作日时，对应延长质保期。</w:t>
            </w:r>
          </w:p>
        </w:tc>
      </w:tr>
      <w:tr w14:paraId="181C8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tcBorders>
              <w:top w:val="single" w:color="000000" w:sz="4" w:space="0"/>
              <w:left w:val="single" w:color="auto" w:sz="4" w:space="0"/>
              <w:bottom w:val="single" w:color="000000" w:sz="4" w:space="0"/>
              <w:right w:val="single" w:color="000000" w:sz="4" w:space="0"/>
            </w:tcBorders>
            <w:vAlign w:val="center"/>
          </w:tcPr>
          <w:p w14:paraId="4B6774F2">
            <w:pPr>
              <w:bidi w:val="0"/>
              <w:jc w:val="center"/>
              <w:rPr>
                <w:rFonts w:hint="eastAsia" w:ascii="宋体" w:hAnsi="宋体" w:eastAsia="宋体" w:cs="宋体"/>
                <w:color w:val="auto"/>
                <w:sz w:val="21"/>
                <w:szCs w:val="21"/>
                <w:highlight w:val="none"/>
              </w:rPr>
            </w:pPr>
            <w:r>
              <w:rPr>
                <w:rFonts w:hint="eastAsia" w:ascii="宋体" w:hAnsi="宋体" w:eastAsia="宋体" w:cs="宋体"/>
                <w:sz w:val="21"/>
                <w:szCs w:val="21"/>
                <w:lang w:val="en-US" w:eastAsia="zh-CN"/>
              </w:rPr>
              <w:t>7</w:t>
            </w:r>
          </w:p>
        </w:tc>
        <w:tc>
          <w:tcPr>
            <w:tcW w:w="981" w:type="dxa"/>
            <w:tcBorders>
              <w:top w:val="single" w:color="000000" w:sz="4" w:space="0"/>
              <w:left w:val="nil"/>
              <w:bottom w:val="single" w:color="000000" w:sz="4" w:space="0"/>
              <w:right w:val="single" w:color="000000" w:sz="4" w:space="0"/>
            </w:tcBorders>
            <w:vAlign w:val="center"/>
          </w:tcPr>
          <w:p w14:paraId="45E8670E">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sz w:val="21"/>
                <w:szCs w:val="21"/>
              </w:rPr>
              <w:t>其它要求</w:t>
            </w:r>
          </w:p>
        </w:tc>
        <w:tc>
          <w:tcPr>
            <w:tcW w:w="7945" w:type="dxa"/>
            <w:gridSpan w:val="3"/>
            <w:tcBorders>
              <w:top w:val="single" w:color="000000" w:sz="4" w:space="0"/>
              <w:left w:val="nil"/>
              <w:bottom w:val="single" w:color="000000" w:sz="4" w:space="0"/>
              <w:right w:val="single" w:color="000000" w:sz="4" w:space="0"/>
            </w:tcBorders>
            <w:vAlign w:val="top"/>
          </w:tcPr>
          <w:p w14:paraId="45E0A66A">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1.核心产品：本包的核心产品为</w:t>
            </w:r>
            <w:r>
              <w:rPr>
                <w:rFonts w:hint="eastAsia" w:hAnsi="宋体" w:cs="宋体"/>
                <w:sz w:val="21"/>
                <w:szCs w:val="21"/>
                <w:lang w:val="en-US" w:eastAsia="zh-CN"/>
              </w:rPr>
              <w:t>“</w:t>
            </w:r>
            <w:r>
              <w:rPr>
                <w:rFonts w:hint="eastAsia" w:ascii="宋体" w:hAnsi="宋体" w:eastAsia="宋体" w:cs="宋体"/>
                <w:b/>
                <w:bCs/>
                <w:sz w:val="21"/>
                <w:szCs w:val="21"/>
                <w:lang w:val="en-US" w:eastAsia="zh-CN"/>
              </w:rPr>
              <w:t>显微镜成像系统</w:t>
            </w:r>
            <w:r>
              <w:rPr>
                <w:rFonts w:hint="eastAsia"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b/>
                <w:bCs/>
                <w:color w:val="auto"/>
                <w:kern w:val="2"/>
                <w:sz w:val="21"/>
                <w:szCs w:val="21"/>
                <w:highlight w:val="none"/>
                <w:lang w:val="en-US" w:eastAsia="zh-CN" w:bidi="ar"/>
              </w:rPr>
              <w:t>核心产品品牌相同的，视为提供同品牌产品。核心产品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473E17DE">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2.进口产品：本包采购标的不接受进口产品（即通过中国海关报关验放进入中国境内且产自关境外的产品）参与投标，如有此类产品参与投标的做无效投标处理。</w:t>
            </w:r>
          </w:p>
          <w:p w14:paraId="0D1406CB">
            <w:pPr>
              <w:pStyle w:val="14"/>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3.投标人保证向采购人提供的货物是全新、完整、未使用过的</w:t>
            </w:r>
            <w:r>
              <w:rPr>
                <w:rFonts w:hint="eastAsia" w:ascii="宋体" w:hAnsi="宋体" w:eastAsia="宋体" w:cs="宋体"/>
                <w:bCs/>
                <w:kern w:val="0"/>
                <w:sz w:val="21"/>
                <w:szCs w:val="21"/>
                <w:lang w:val="en-US" w:eastAsia="zh-CN"/>
              </w:rPr>
              <w:t>。</w:t>
            </w:r>
          </w:p>
          <w:p w14:paraId="3D872C74">
            <w:pPr>
              <w:pStyle w:val="14"/>
              <w:snapToGrid w:val="0"/>
              <w:spacing w:line="400" w:lineRule="exact"/>
              <w:outlineLvl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4.投标时按要求提供投标产品彩色图片或说明书或检测报告等产品技术参数佐证材料。</w:t>
            </w:r>
          </w:p>
        </w:tc>
      </w:tr>
    </w:tbl>
    <w:p w14:paraId="482F0BEB">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11D65E04">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2727A3AD">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02BAA4E4">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5F6FB4B8">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194D349A">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5D7132C8">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1D41B49D">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349753ED">
      <w:pPr>
        <w:spacing w:line="460" w:lineRule="exact"/>
        <w:ind w:firstLine="600" w:firstLineChars="200"/>
        <w:jc w:val="center"/>
        <w:rPr>
          <w:rFonts w:hint="eastAsia" w:ascii="仿宋" w:hAnsi="仿宋" w:eastAsia="仿宋" w:cs="仿宋"/>
          <w:color w:val="auto"/>
          <w:sz w:val="30"/>
          <w:szCs w:val="30"/>
          <w:highlight w:val="none"/>
          <w:lang w:val="en-US" w:eastAsia="zh-CN"/>
        </w:rPr>
      </w:pPr>
    </w:p>
    <w:p w14:paraId="7B6940DC">
      <w:pPr>
        <w:spacing w:line="460" w:lineRule="exact"/>
        <w:ind w:left="0" w:leftChars="0" w:firstLine="0" w:firstLineChars="0"/>
        <w:jc w:val="center"/>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val="en-US" w:eastAsia="zh-CN"/>
        </w:rPr>
        <w:t>3</w:t>
      </w:r>
      <w:r>
        <w:rPr>
          <w:rFonts w:hint="eastAsia" w:ascii="宋体" w:hAnsi="宋体" w:eastAsia="宋体" w:cs="宋体"/>
          <w:b/>
          <w:bCs/>
          <w:color w:val="auto"/>
          <w:sz w:val="30"/>
          <w:szCs w:val="30"/>
          <w:highlight w:val="none"/>
          <w:lang w:eastAsia="zh-CN"/>
        </w:rPr>
        <w:t>分标</w:t>
      </w:r>
      <w:r>
        <w:rPr>
          <w:rFonts w:hint="eastAsia" w:ascii="宋体" w:hAnsi="宋体" w:cs="宋体"/>
          <w:b/>
          <w:bCs/>
          <w:color w:val="auto"/>
          <w:sz w:val="30"/>
          <w:szCs w:val="30"/>
          <w:highlight w:val="none"/>
          <w:lang w:eastAsia="zh-CN"/>
        </w:rPr>
        <w:t>（科研生产管理用车）</w:t>
      </w:r>
    </w:p>
    <w:tbl>
      <w:tblPr>
        <w:tblStyle w:val="28"/>
        <w:tblW w:w="971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8"/>
        <w:gridCol w:w="1594"/>
        <w:gridCol w:w="691"/>
        <w:gridCol w:w="602"/>
        <w:gridCol w:w="6080"/>
      </w:tblGrid>
      <w:tr w14:paraId="0E99E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9715" w:type="dxa"/>
            <w:gridSpan w:val="5"/>
            <w:tcBorders>
              <w:top w:val="single" w:color="000000" w:sz="4" w:space="0"/>
              <w:left w:val="single" w:color="000000" w:sz="4" w:space="0"/>
              <w:bottom w:val="single" w:color="000000" w:sz="4" w:space="0"/>
              <w:right w:val="single" w:color="000000" w:sz="4" w:space="0"/>
            </w:tcBorders>
            <w:vAlign w:val="center"/>
          </w:tcPr>
          <w:p w14:paraId="44948F2D">
            <w:pPr>
              <w:wordWrap/>
              <w:adjustRightInd/>
              <w:snapToGrid/>
              <w:spacing w:before="0" w:after="0" w:line="360" w:lineRule="auto"/>
              <w:ind w:left="0" w:leftChars="0" w:right="0"/>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一、技术要求</w:t>
            </w:r>
          </w:p>
        </w:tc>
      </w:tr>
      <w:tr w14:paraId="3B783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AC75">
            <w:pPr>
              <w:wordWrap/>
              <w:adjustRightInd/>
              <w:snapToGrid/>
              <w:spacing w:before="0" w:after="0" w:line="360" w:lineRule="auto"/>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序号</w:t>
            </w:r>
          </w:p>
        </w:tc>
        <w:tc>
          <w:tcPr>
            <w:tcW w:w="1594" w:type="dxa"/>
            <w:tcBorders>
              <w:top w:val="single" w:color="000000" w:sz="4" w:space="0"/>
              <w:left w:val="nil"/>
              <w:bottom w:val="single" w:color="000000" w:sz="4" w:space="0"/>
              <w:right w:val="single" w:color="000000" w:sz="4" w:space="0"/>
            </w:tcBorders>
            <w:shd w:val="clear" w:color="auto" w:fill="auto"/>
            <w:vAlign w:val="center"/>
          </w:tcPr>
          <w:p w14:paraId="5B942A03">
            <w:pPr>
              <w:wordWrap/>
              <w:adjustRightInd/>
              <w:snapToGrid/>
              <w:spacing w:before="0" w:after="0" w:line="360" w:lineRule="auto"/>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 w:val="21"/>
                <w:szCs w:val="21"/>
                <w:highlight w:val="none"/>
                <w:lang w:eastAsia="zh-CN"/>
              </w:rPr>
              <w:t>标的</w:t>
            </w:r>
            <w:r>
              <w:rPr>
                <w:rFonts w:hint="eastAsia" w:ascii="宋体" w:hAnsi="宋体" w:eastAsia="宋体" w:cs="宋体"/>
                <w:b/>
                <w:bCs/>
                <w:color w:val="auto"/>
                <w:sz w:val="21"/>
                <w:szCs w:val="21"/>
                <w:highlight w:val="none"/>
              </w:rPr>
              <w:t>名称</w:t>
            </w:r>
          </w:p>
        </w:tc>
        <w:tc>
          <w:tcPr>
            <w:tcW w:w="691" w:type="dxa"/>
            <w:tcBorders>
              <w:top w:val="single" w:color="000000" w:sz="4" w:space="0"/>
              <w:left w:val="nil"/>
              <w:bottom w:val="single" w:color="000000" w:sz="4" w:space="0"/>
              <w:right w:val="single" w:color="000000" w:sz="4" w:space="0"/>
            </w:tcBorders>
            <w:shd w:val="clear" w:color="auto" w:fill="auto"/>
            <w:vAlign w:val="center"/>
          </w:tcPr>
          <w:p w14:paraId="40216074">
            <w:pPr>
              <w:wordWrap/>
              <w:adjustRightInd/>
              <w:snapToGrid/>
              <w:spacing w:before="0" w:after="0" w:line="360" w:lineRule="auto"/>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单位</w:t>
            </w:r>
          </w:p>
        </w:tc>
        <w:tc>
          <w:tcPr>
            <w:tcW w:w="602" w:type="dxa"/>
            <w:tcBorders>
              <w:top w:val="single" w:color="000000" w:sz="4" w:space="0"/>
              <w:left w:val="nil"/>
              <w:bottom w:val="single" w:color="000000" w:sz="4" w:space="0"/>
              <w:right w:val="single" w:color="000000" w:sz="4" w:space="0"/>
            </w:tcBorders>
            <w:shd w:val="clear" w:color="auto" w:fill="auto"/>
            <w:vAlign w:val="center"/>
          </w:tcPr>
          <w:p w14:paraId="23A968F6">
            <w:pPr>
              <w:wordWrap/>
              <w:adjustRightInd/>
              <w:snapToGrid/>
              <w:spacing w:before="0" w:after="0" w:line="360" w:lineRule="auto"/>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数量</w:t>
            </w:r>
          </w:p>
        </w:tc>
        <w:tc>
          <w:tcPr>
            <w:tcW w:w="6080" w:type="dxa"/>
            <w:tcBorders>
              <w:top w:val="single" w:color="000000" w:sz="4" w:space="0"/>
              <w:left w:val="nil"/>
              <w:bottom w:val="single" w:color="000000" w:sz="4" w:space="0"/>
              <w:right w:val="single" w:color="000000" w:sz="4" w:space="0"/>
            </w:tcBorders>
            <w:shd w:val="clear" w:color="auto" w:fill="auto"/>
            <w:vAlign w:val="center"/>
          </w:tcPr>
          <w:p w14:paraId="400E1100">
            <w:pPr>
              <w:wordWrap/>
              <w:adjustRightInd/>
              <w:snapToGrid/>
              <w:spacing w:before="0" w:after="0" w:line="360" w:lineRule="auto"/>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技术性能、参数及有关要求</w:t>
            </w:r>
          </w:p>
        </w:tc>
      </w:tr>
      <w:tr w14:paraId="2CF84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1728AAA9">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w:t>
            </w:r>
          </w:p>
        </w:tc>
        <w:tc>
          <w:tcPr>
            <w:tcW w:w="1594" w:type="dxa"/>
            <w:tcBorders>
              <w:top w:val="single" w:color="000000" w:sz="4" w:space="0"/>
              <w:left w:val="nil"/>
              <w:bottom w:val="single" w:color="auto" w:sz="4" w:space="0"/>
              <w:right w:val="single" w:color="000000" w:sz="4" w:space="0"/>
            </w:tcBorders>
            <w:vAlign w:val="center"/>
          </w:tcPr>
          <w:p w14:paraId="06A77377">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rPr>
              <w:t>电动二轮巡逻车</w:t>
            </w:r>
          </w:p>
        </w:tc>
        <w:tc>
          <w:tcPr>
            <w:tcW w:w="691" w:type="dxa"/>
            <w:tcBorders>
              <w:top w:val="single" w:color="000000" w:sz="4" w:space="0"/>
              <w:left w:val="nil"/>
              <w:bottom w:val="single" w:color="000000" w:sz="4" w:space="0"/>
              <w:right w:val="single" w:color="000000" w:sz="4" w:space="0"/>
            </w:tcBorders>
            <w:vAlign w:val="center"/>
          </w:tcPr>
          <w:p w14:paraId="4A133B18">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val="en-US" w:eastAsia="zh-CN"/>
              </w:rPr>
              <w:t>辆</w:t>
            </w:r>
          </w:p>
        </w:tc>
        <w:tc>
          <w:tcPr>
            <w:tcW w:w="602" w:type="dxa"/>
            <w:tcBorders>
              <w:top w:val="single" w:color="000000" w:sz="4" w:space="0"/>
              <w:left w:val="nil"/>
              <w:bottom w:val="single" w:color="000000" w:sz="4" w:space="0"/>
              <w:right w:val="single" w:color="000000" w:sz="4" w:space="0"/>
            </w:tcBorders>
            <w:vAlign w:val="center"/>
          </w:tcPr>
          <w:p w14:paraId="4B927661">
            <w:pPr>
              <w:wordWrap/>
              <w:adjustRightInd/>
              <w:snapToGrid/>
              <w:spacing w:before="0" w:after="0" w:line="360" w:lineRule="auto"/>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val="en-US" w:eastAsia="zh-CN"/>
              </w:rPr>
              <w:t>2</w:t>
            </w:r>
          </w:p>
        </w:tc>
        <w:tc>
          <w:tcPr>
            <w:tcW w:w="6080" w:type="dxa"/>
            <w:tcBorders>
              <w:top w:val="single" w:color="000000" w:sz="4" w:space="0"/>
              <w:left w:val="nil"/>
              <w:bottom w:val="single" w:color="000000" w:sz="4" w:space="0"/>
              <w:right w:val="single" w:color="000000" w:sz="4" w:space="0"/>
            </w:tcBorders>
            <w:vAlign w:val="center"/>
          </w:tcPr>
          <w:p w14:paraId="7FBC7164">
            <w:pPr>
              <w:numPr>
                <w:ilvl w:val="-1"/>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一、</w:t>
            </w:r>
            <w:r>
              <w:rPr>
                <w:rFonts w:hint="eastAsia" w:ascii="宋体" w:hAnsi="宋体" w:eastAsia="宋体" w:cs="宋体"/>
                <w:sz w:val="21"/>
                <w:szCs w:val="21"/>
                <w:highlight w:val="none"/>
                <w:lang w:eastAsia="zh-CN"/>
              </w:rPr>
              <w:t>电器系统：</w:t>
            </w:r>
          </w:p>
          <w:p w14:paraId="40615031">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sz w:val="21"/>
                <w:szCs w:val="21"/>
                <w:highlight w:val="none"/>
                <w:lang w:eastAsia="zh-CN"/>
              </w:rPr>
              <w:t>电控：8V-60V-72v智能化控制系统；具备无级调速，制动断电，欠压保护，过流保护等性能</w:t>
            </w:r>
          </w:p>
          <w:p w14:paraId="62FE6CD5">
            <w:pPr>
              <w:numPr>
                <w:ilvl w:val="0"/>
                <w:numId w:val="0"/>
              </w:numPr>
              <w:bidi w:val="0"/>
              <w:spacing w:line="360" w:lineRule="auto"/>
              <w:jc w:val="left"/>
              <w:rPr>
                <w:rFonts w:hint="default" w:ascii="宋体" w:hAnsi="宋体" w:eastAsia="宋体" w:cs="宋体"/>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电池：</w:t>
            </w:r>
            <w:r>
              <w:rPr>
                <w:rFonts w:hint="eastAsia" w:ascii="宋体" w:hAnsi="宋体" w:eastAsia="宋体" w:cs="宋体"/>
                <w:sz w:val="21"/>
                <w:szCs w:val="21"/>
                <w:highlight w:val="none"/>
              </w:rPr>
              <w:t>≥60V20AH</w:t>
            </w:r>
            <w:r>
              <w:rPr>
                <w:rFonts w:hint="eastAsia" w:ascii="宋体" w:hAnsi="宋体" w:eastAsia="宋体" w:cs="宋体"/>
                <w:sz w:val="21"/>
                <w:szCs w:val="21"/>
                <w:highlight w:val="none"/>
                <w:lang w:eastAsia="zh-CN"/>
              </w:rPr>
              <w:t>大容量深循环蓄电池</w:t>
            </w:r>
          </w:p>
          <w:p w14:paraId="0F4A90B9">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电机：</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1000W大功率电机，动力持久强劲，1000W控制器</w:t>
            </w:r>
          </w:p>
          <w:p w14:paraId="343B0EB9">
            <w:pPr>
              <w:numPr>
                <w:ilvl w:val="0"/>
                <w:numId w:val="0"/>
              </w:numPr>
              <w:bidi w:val="0"/>
              <w:spacing w:line="36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充电器：智能48-60V充电器</w:t>
            </w:r>
          </w:p>
          <w:p w14:paraId="6163D6A0">
            <w:pPr>
              <w:numPr>
                <w:ilvl w:val="0"/>
                <w:numId w:val="1"/>
              </w:numPr>
              <w:bidi w:val="0"/>
              <w:spacing w:line="360" w:lineRule="auto"/>
              <w:ind w:left="0" w:leftChars="0" w:firstLine="0" w:firstLineChars="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充电时间：6-8小时</w:t>
            </w:r>
          </w:p>
          <w:p w14:paraId="780E5C6A">
            <w:pPr>
              <w:numPr>
                <w:ilvl w:val="0"/>
                <w:numId w:val="1"/>
              </w:numPr>
              <w:spacing w:line="360" w:lineRule="auto"/>
              <w:ind w:left="0" w:leftChars="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车身配置：</w:t>
            </w:r>
          </w:p>
          <w:p w14:paraId="6B725851">
            <w:pPr>
              <w:numPr>
                <w:ilvl w:val="0"/>
                <w:numId w:val="0"/>
              </w:numPr>
              <w:spacing w:line="360" w:lineRule="auto"/>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座椅</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整体式海绵外包皮革座椅</w:t>
            </w:r>
          </w:p>
          <w:p w14:paraId="096C6B42">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车体</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钢制车架+优质塑料外壳</w:t>
            </w:r>
            <w:r>
              <w:rPr>
                <w:rFonts w:hint="eastAsia" w:ascii="宋体" w:hAnsi="宋体" w:eastAsia="宋体" w:cs="宋体"/>
                <w:sz w:val="21"/>
                <w:szCs w:val="21"/>
                <w:highlight w:val="none"/>
              </w:rPr>
              <w:tab/>
            </w:r>
          </w:p>
          <w:p w14:paraId="126A3A46">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仪表台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多功能液晶仪表盘</w:t>
            </w:r>
            <w:r>
              <w:rPr>
                <w:rFonts w:hint="eastAsia" w:ascii="宋体" w:hAnsi="宋体" w:eastAsia="宋体" w:cs="宋体"/>
                <w:sz w:val="21"/>
                <w:szCs w:val="21"/>
                <w:highlight w:val="none"/>
              </w:rPr>
              <w:tab/>
            </w:r>
          </w:p>
          <w:p w14:paraId="56FFDCD0">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车架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电动车专业车架，高强度钢结构件；整车采用大踏板，前后避震；搭配加固型大货架</w:t>
            </w:r>
          </w:p>
          <w:p w14:paraId="06DA2DE6">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灯光及信号</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前照灯，前排灯，前后转向灯，组合后尾灯，电喇叭</w:t>
            </w:r>
            <w:r>
              <w:rPr>
                <w:rFonts w:hint="eastAsia" w:ascii="宋体" w:hAnsi="宋体" w:eastAsia="宋体" w:cs="宋体"/>
                <w:sz w:val="21"/>
                <w:szCs w:val="21"/>
                <w:highlight w:val="none"/>
              </w:rPr>
              <w:tab/>
            </w:r>
          </w:p>
          <w:p w14:paraId="4FEA3B17">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后视镜</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左右各一手动型外后视镜</w:t>
            </w:r>
          </w:p>
          <w:p w14:paraId="5A4389A8">
            <w:pPr>
              <w:numPr>
                <w:ilvl w:val="0"/>
                <w:numId w:val="0"/>
              </w:numPr>
              <w:bidi w:val="0"/>
              <w:spacing w:line="360" w:lineRule="auto"/>
              <w:ind w:leftChars="0"/>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lang w:eastAsia="zh-CN"/>
              </w:rPr>
              <w:t>四、</w:t>
            </w:r>
            <w:r>
              <w:rPr>
                <w:rFonts w:hint="eastAsia" w:ascii="宋体" w:hAnsi="宋体" w:eastAsia="宋体" w:cs="宋体"/>
                <w:sz w:val="21"/>
                <w:szCs w:val="21"/>
                <w:highlight w:val="none"/>
              </w:rPr>
              <w:t>巡逻灯具</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配备后杆式LED灯具，灯车前配置优质警用红蓝警示巡视灯各一只，20W巡逻专用喇叭一只，喊话器一只，防雨防晒</w:t>
            </w:r>
            <w:r>
              <w:rPr>
                <w:rFonts w:hint="eastAsia" w:ascii="宋体" w:hAnsi="宋体" w:eastAsia="宋体" w:cs="宋体"/>
                <w:sz w:val="21"/>
                <w:szCs w:val="21"/>
                <w:highlight w:val="none"/>
                <w:lang w:eastAsia="zh-CN"/>
              </w:rPr>
              <w:t>。</w:t>
            </w:r>
          </w:p>
          <w:p w14:paraId="7132714F">
            <w:pPr>
              <w:numPr>
                <w:ilvl w:val="0"/>
                <w:numId w:val="0"/>
              </w:numPr>
              <w:bidi w:val="0"/>
              <w:spacing w:line="360" w:lineRule="auto"/>
              <w:ind w:leftChars="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五、底盘：</w:t>
            </w:r>
          </w:p>
          <w:p w14:paraId="4D1859EF">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动力传动系统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无级调速系统</w:t>
            </w:r>
          </w:p>
          <w:p w14:paraId="0C0AA750">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驱动系统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后轴驱动</w:t>
            </w:r>
          </w:p>
          <w:p w14:paraId="60B8267D">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制动系统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前后原装大鼓刹</w:t>
            </w:r>
          </w:p>
          <w:p w14:paraId="36CD58A7">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轮胎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加厚真空轮胎，耐磨防刺穿</w:t>
            </w:r>
          </w:p>
          <w:p w14:paraId="1F86190C">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整车装备质量</w:t>
            </w:r>
            <w:r>
              <w:rPr>
                <w:rFonts w:hint="eastAsia" w:ascii="宋体" w:hAnsi="宋体" w:eastAsia="宋体" w:cs="宋体"/>
                <w:sz w:val="21"/>
                <w:szCs w:val="21"/>
                <w:highlight w:val="none"/>
                <w:lang w:eastAsia="zh-CN"/>
              </w:rPr>
              <w:t>：</w:t>
            </w:r>
            <w:r>
              <w:rPr>
                <w:rFonts w:hint="eastAsia" w:ascii="仿宋" w:hAnsi="仿宋" w:eastAsia="仿宋" w:cs="仿宋"/>
                <w:sz w:val="24"/>
                <w:highlight w:val="none"/>
              </w:rPr>
              <w:t>≥</w:t>
            </w:r>
            <w:r>
              <w:rPr>
                <w:rFonts w:hint="eastAsia" w:ascii="宋体" w:hAnsi="宋体" w:eastAsia="宋体" w:cs="宋体"/>
                <w:sz w:val="21"/>
                <w:szCs w:val="21"/>
                <w:highlight w:val="none"/>
              </w:rPr>
              <w:t>60kg(不含电池)</w:t>
            </w:r>
          </w:p>
          <w:p w14:paraId="3738B169">
            <w:pPr>
              <w:spacing w:line="360" w:lineRule="auto"/>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整车载荷</w:t>
            </w:r>
            <w:r>
              <w:rPr>
                <w:rFonts w:hint="eastAsia" w:ascii="宋体" w:hAnsi="宋体" w:eastAsia="宋体" w:cs="宋体"/>
                <w:sz w:val="21"/>
                <w:szCs w:val="21"/>
                <w:highlight w:val="none"/>
                <w:lang w:eastAsia="zh-CN"/>
              </w:rPr>
              <w:t>：</w:t>
            </w:r>
            <w:r>
              <w:rPr>
                <w:rFonts w:hint="eastAsia" w:ascii="仿宋" w:hAnsi="仿宋" w:eastAsia="仿宋" w:cs="仿宋"/>
                <w:sz w:val="24"/>
                <w:highlight w:val="none"/>
              </w:rPr>
              <w:t>≥</w:t>
            </w:r>
            <w:r>
              <w:rPr>
                <w:rFonts w:hint="eastAsia" w:ascii="宋体" w:hAnsi="宋体" w:eastAsia="宋体" w:cs="宋体"/>
                <w:sz w:val="21"/>
                <w:szCs w:val="21"/>
                <w:highlight w:val="none"/>
              </w:rPr>
              <w:t>170kg</w:t>
            </w:r>
          </w:p>
          <w:p w14:paraId="1595CEFC">
            <w:pPr>
              <w:spacing w:line="360" w:lineRule="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轴距</w:t>
            </w:r>
            <w:r>
              <w:rPr>
                <w:rFonts w:hint="eastAsia" w:ascii="宋体" w:hAnsi="宋体" w:eastAsia="宋体" w:cs="宋体"/>
                <w:sz w:val="21"/>
                <w:szCs w:val="21"/>
                <w:highlight w:val="none"/>
                <w:lang w:eastAsia="zh-CN"/>
              </w:rPr>
              <w:t>：</w:t>
            </w:r>
            <w:r>
              <w:rPr>
                <w:rFonts w:hint="eastAsia" w:ascii="仿宋" w:hAnsi="仿宋" w:eastAsia="仿宋" w:cs="仿宋"/>
                <w:sz w:val="24"/>
                <w:highlight w:val="none"/>
              </w:rPr>
              <w:t>≥</w:t>
            </w:r>
            <w:r>
              <w:rPr>
                <w:rFonts w:hint="eastAsia" w:ascii="宋体" w:hAnsi="宋体" w:eastAsia="宋体" w:cs="宋体"/>
                <w:sz w:val="21"/>
                <w:szCs w:val="21"/>
                <w:highlight w:val="none"/>
              </w:rPr>
              <w:t>1300 mm</w:t>
            </w:r>
          </w:p>
          <w:p w14:paraId="5B62AC97">
            <w:pPr>
              <w:spacing w:line="360" w:lineRule="auto"/>
              <w:rPr>
                <w:rFonts w:hint="eastAsia" w:ascii="宋体" w:hAnsi="宋体" w:eastAsia="宋体" w:cs="宋体"/>
                <w:color w:val="auto"/>
                <w:kern w:val="0"/>
                <w:sz w:val="21"/>
                <w:szCs w:val="21"/>
                <w:highlight w:val="none"/>
              </w:rPr>
            </w:pPr>
            <w:r>
              <w:rPr>
                <w:rFonts w:hint="eastAsia" w:ascii="宋体" w:hAnsi="宋体" w:cs="宋体"/>
                <w:sz w:val="21"/>
                <w:szCs w:val="21"/>
                <w:highlight w:val="none"/>
                <w:lang w:val="en-US" w:eastAsia="zh-CN"/>
              </w:rPr>
              <w:t>8</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续驶里程</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35-70Km</w:t>
            </w:r>
          </w:p>
        </w:tc>
      </w:tr>
      <w:tr w14:paraId="3A88B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5E15D834">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1594" w:type="dxa"/>
            <w:tcBorders>
              <w:top w:val="single" w:color="auto" w:sz="4" w:space="0"/>
              <w:left w:val="nil"/>
              <w:bottom w:val="single" w:color="auto" w:sz="4" w:space="0"/>
              <w:right w:val="single" w:color="000000" w:sz="4" w:space="0"/>
            </w:tcBorders>
            <w:vAlign w:val="center"/>
          </w:tcPr>
          <w:p w14:paraId="3C1052FE">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eastAsia="zh-CN"/>
              </w:rPr>
              <w:t>普通电动二轮车</w:t>
            </w:r>
          </w:p>
        </w:tc>
        <w:tc>
          <w:tcPr>
            <w:tcW w:w="691" w:type="dxa"/>
            <w:tcBorders>
              <w:top w:val="single" w:color="000000" w:sz="4" w:space="0"/>
              <w:left w:val="nil"/>
              <w:bottom w:val="single" w:color="000000" w:sz="4" w:space="0"/>
              <w:right w:val="single" w:color="000000" w:sz="4" w:space="0"/>
            </w:tcBorders>
            <w:vAlign w:val="center"/>
          </w:tcPr>
          <w:p w14:paraId="54A68378">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val="en-US" w:eastAsia="zh-CN"/>
              </w:rPr>
              <w:t>辆</w:t>
            </w:r>
          </w:p>
        </w:tc>
        <w:tc>
          <w:tcPr>
            <w:tcW w:w="602" w:type="dxa"/>
            <w:tcBorders>
              <w:top w:val="single" w:color="000000" w:sz="4" w:space="0"/>
              <w:left w:val="nil"/>
              <w:bottom w:val="single" w:color="000000" w:sz="4" w:space="0"/>
              <w:right w:val="single" w:color="000000" w:sz="4" w:space="0"/>
            </w:tcBorders>
            <w:vAlign w:val="center"/>
          </w:tcPr>
          <w:p w14:paraId="7D91D70A">
            <w:pPr>
              <w:wordWrap/>
              <w:adjustRightInd/>
              <w:snapToGrid/>
              <w:spacing w:before="0" w:after="0" w:line="360" w:lineRule="auto"/>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cs="宋体"/>
                <w:sz w:val="21"/>
                <w:szCs w:val="21"/>
                <w:highlight w:val="none"/>
                <w:lang w:val="en-US" w:eastAsia="zh-CN"/>
              </w:rPr>
              <w:t>8</w:t>
            </w:r>
          </w:p>
        </w:tc>
        <w:tc>
          <w:tcPr>
            <w:tcW w:w="6080" w:type="dxa"/>
            <w:tcBorders>
              <w:top w:val="single" w:color="000000" w:sz="4" w:space="0"/>
              <w:left w:val="nil"/>
              <w:bottom w:val="single" w:color="000000" w:sz="4" w:space="0"/>
              <w:right w:val="single" w:color="000000" w:sz="4" w:space="0"/>
            </w:tcBorders>
            <w:vAlign w:val="center"/>
          </w:tcPr>
          <w:p w14:paraId="36B2BB03">
            <w:pPr>
              <w:numPr>
                <w:ilvl w:val="-1"/>
                <w:numId w:val="0"/>
              </w:numPr>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一、电器系统：</w:t>
            </w:r>
          </w:p>
          <w:p w14:paraId="7D1F39B4">
            <w:pPr>
              <w:numPr>
                <w:ilvl w:val="-1"/>
                <w:numId w:val="0"/>
              </w:numPr>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sz w:val="21"/>
                <w:szCs w:val="21"/>
                <w:highlight w:val="none"/>
                <w:lang w:eastAsia="zh-CN"/>
              </w:rPr>
              <w:t>电控：8V-60V-72v智能化控制系统；具备无级调速，制动断电，欠压保护，过流保护等性能</w:t>
            </w:r>
          </w:p>
          <w:p w14:paraId="7A01F4D6">
            <w:pPr>
              <w:numPr>
                <w:ilvl w:val="-1"/>
                <w:numId w:val="0"/>
              </w:numPr>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电池：</w:t>
            </w:r>
            <w:r>
              <w:rPr>
                <w:rFonts w:hint="eastAsia" w:ascii="宋体" w:hAnsi="宋体" w:eastAsia="宋体" w:cs="宋体"/>
                <w:sz w:val="21"/>
                <w:szCs w:val="21"/>
                <w:highlight w:val="none"/>
              </w:rPr>
              <w:t>≥60V20AH</w:t>
            </w:r>
            <w:r>
              <w:rPr>
                <w:rFonts w:hint="eastAsia" w:ascii="宋体" w:hAnsi="宋体" w:eastAsia="宋体" w:cs="宋体"/>
                <w:sz w:val="21"/>
                <w:szCs w:val="21"/>
                <w:highlight w:val="none"/>
                <w:lang w:eastAsia="zh-CN"/>
              </w:rPr>
              <w:t>大容量深循环蓄电池</w:t>
            </w:r>
          </w:p>
          <w:p w14:paraId="56BE9F0F">
            <w:pPr>
              <w:numPr>
                <w:ilvl w:val="-1"/>
                <w:numId w:val="0"/>
              </w:numPr>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电机：</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1000W大功率电机，动力持久强劲，1000W控制器</w:t>
            </w:r>
          </w:p>
          <w:p w14:paraId="26F94F3D">
            <w:pPr>
              <w:numPr>
                <w:ilvl w:val="-1"/>
                <w:numId w:val="0"/>
              </w:numPr>
              <w:bidi w:val="0"/>
              <w:spacing w:line="240" w:lineRule="auto"/>
              <w:jc w:val="left"/>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充电器：智能48-60V充电器</w:t>
            </w:r>
          </w:p>
          <w:p w14:paraId="65F3D966">
            <w:pPr>
              <w:numPr>
                <w:ilvl w:val="-1"/>
                <w:numId w:val="0"/>
              </w:numPr>
              <w:bidi w:val="0"/>
              <w:spacing w:line="240" w:lineRule="auto"/>
              <w:ind w:leftChars="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二、充电时间：6-8小时</w:t>
            </w:r>
          </w:p>
          <w:p w14:paraId="17AE222A">
            <w:pPr>
              <w:numPr>
                <w:ilvl w:val="-1"/>
                <w:numId w:val="0"/>
              </w:numPr>
              <w:spacing w:line="240" w:lineRule="auto"/>
              <w:ind w:left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三、车身配置：</w:t>
            </w:r>
          </w:p>
          <w:p w14:paraId="6F9617ED">
            <w:pPr>
              <w:numPr>
                <w:ilvl w:val="-1"/>
                <w:numId w:val="0"/>
              </w:numPr>
              <w:spacing w:line="240" w:lineRule="auto"/>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座椅</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整体式海绵外包皮革座椅</w:t>
            </w:r>
            <w:r>
              <w:rPr>
                <w:rFonts w:hint="eastAsia" w:ascii="宋体" w:hAnsi="宋体" w:eastAsia="宋体" w:cs="宋体"/>
                <w:sz w:val="21"/>
                <w:szCs w:val="21"/>
                <w:highlight w:val="none"/>
              </w:rPr>
              <w:tab/>
            </w:r>
          </w:p>
          <w:p w14:paraId="3145D571">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车体</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钢制车架+优质塑料外壳</w:t>
            </w:r>
            <w:r>
              <w:rPr>
                <w:rFonts w:hint="eastAsia" w:ascii="宋体" w:hAnsi="宋体" w:eastAsia="宋体" w:cs="宋体"/>
                <w:sz w:val="21"/>
                <w:szCs w:val="21"/>
                <w:highlight w:val="none"/>
              </w:rPr>
              <w:tab/>
            </w:r>
          </w:p>
          <w:p w14:paraId="09ADB7D8">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仪表台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多功能液晶仪表盘</w:t>
            </w:r>
            <w:r>
              <w:rPr>
                <w:rFonts w:hint="eastAsia" w:ascii="宋体" w:hAnsi="宋体" w:eastAsia="宋体" w:cs="宋体"/>
                <w:sz w:val="21"/>
                <w:szCs w:val="21"/>
                <w:highlight w:val="none"/>
              </w:rPr>
              <w:tab/>
            </w:r>
          </w:p>
          <w:p w14:paraId="2FF6125F">
            <w:pPr>
              <w:spacing w:line="24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车架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电动车专业车架，高强度钢结构件；整车采用大踏板，前后避震；搭配加固型大货架</w:t>
            </w:r>
            <w:r>
              <w:rPr>
                <w:rFonts w:hint="eastAsia" w:ascii="宋体" w:hAnsi="宋体" w:eastAsia="宋体" w:cs="宋体"/>
                <w:sz w:val="21"/>
                <w:szCs w:val="21"/>
                <w:highlight w:val="none"/>
                <w:lang w:eastAsia="zh-CN"/>
              </w:rPr>
              <w:t>。</w:t>
            </w:r>
          </w:p>
          <w:p w14:paraId="17594939">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灯光及信号</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前照灯，前排灯，前后转向灯，组合后尾灯，电喇叭</w:t>
            </w:r>
            <w:r>
              <w:rPr>
                <w:rFonts w:hint="eastAsia" w:ascii="宋体" w:hAnsi="宋体" w:eastAsia="宋体" w:cs="宋体"/>
                <w:sz w:val="21"/>
                <w:szCs w:val="21"/>
                <w:highlight w:val="none"/>
              </w:rPr>
              <w:tab/>
            </w:r>
          </w:p>
          <w:p w14:paraId="79B1F706">
            <w:pPr>
              <w:spacing w:line="24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后视镜</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左右各一手动型外后视镜</w:t>
            </w:r>
          </w:p>
          <w:p w14:paraId="3C10F758">
            <w:pPr>
              <w:numPr>
                <w:ilvl w:val="-1"/>
                <w:numId w:val="0"/>
              </w:numPr>
              <w:bidi w:val="0"/>
              <w:spacing w:line="240" w:lineRule="auto"/>
              <w:ind w:leftChars="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四、底盘：</w:t>
            </w:r>
          </w:p>
          <w:p w14:paraId="7F7252B3">
            <w:pPr>
              <w:spacing w:line="24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动力传动系统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无级调速系统</w:t>
            </w:r>
          </w:p>
          <w:p w14:paraId="32C76B4F">
            <w:pPr>
              <w:spacing w:line="24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驱动系统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后轴驱动</w:t>
            </w:r>
          </w:p>
          <w:p w14:paraId="17130D0B">
            <w:pPr>
              <w:spacing w:line="24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制动系统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前后原装大鼓刹</w:t>
            </w:r>
          </w:p>
          <w:p w14:paraId="2571F6C5">
            <w:pPr>
              <w:spacing w:line="24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轮胎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加厚真空轮胎，耐磨防刺穿</w:t>
            </w:r>
          </w:p>
          <w:p w14:paraId="0CCA062D">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整车装备质量：≥60kg(不含电池)</w:t>
            </w:r>
          </w:p>
          <w:p w14:paraId="538017A1">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.整车载荷：≥170kg</w:t>
            </w:r>
          </w:p>
          <w:p w14:paraId="5BCB05F4">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.续驶里程：35-70Km</w:t>
            </w:r>
          </w:p>
          <w:p w14:paraId="68700175">
            <w:pPr>
              <w:spacing w:line="240" w:lineRule="auto"/>
              <w:rPr>
                <w:rFonts w:hint="eastAsia" w:ascii="宋体" w:hAnsi="宋体" w:eastAsia="宋体" w:cs="宋体"/>
                <w:color w:val="auto"/>
                <w:kern w:val="0"/>
                <w:sz w:val="21"/>
                <w:szCs w:val="21"/>
                <w:highlight w:val="none"/>
              </w:rPr>
            </w:pPr>
            <w:r>
              <w:rPr>
                <w:rFonts w:hint="eastAsia" w:ascii="宋体" w:hAnsi="宋体" w:cs="宋体"/>
                <w:sz w:val="21"/>
                <w:szCs w:val="21"/>
                <w:highlight w:val="none"/>
                <w:lang w:val="en-US" w:eastAsia="zh-CN"/>
              </w:rPr>
              <w:t>8.轴距</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1300mm</w:t>
            </w:r>
          </w:p>
        </w:tc>
      </w:tr>
      <w:tr w14:paraId="05EF9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20B0CEE5">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3</w:t>
            </w:r>
          </w:p>
        </w:tc>
        <w:tc>
          <w:tcPr>
            <w:tcW w:w="1594" w:type="dxa"/>
            <w:tcBorders>
              <w:top w:val="single" w:color="auto" w:sz="4" w:space="0"/>
              <w:left w:val="nil"/>
              <w:bottom w:val="single" w:color="000000" w:sz="4" w:space="0"/>
              <w:right w:val="single" w:color="000000" w:sz="4" w:space="0"/>
            </w:tcBorders>
            <w:vAlign w:val="center"/>
          </w:tcPr>
          <w:p w14:paraId="3DB46C0B">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eastAsia="zh-CN"/>
              </w:rPr>
              <w:t>电动三轮车</w:t>
            </w:r>
          </w:p>
        </w:tc>
        <w:tc>
          <w:tcPr>
            <w:tcW w:w="691" w:type="dxa"/>
            <w:tcBorders>
              <w:top w:val="single" w:color="000000" w:sz="4" w:space="0"/>
              <w:left w:val="nil"/>
              <w:bottom w:val="single" w:color="000000" w:sz="4" w:space="0"/>
              <w:right w:val="single" w:color="000000" w:sz="4" w:space="0"/>
            </w:tcBorders>
            <w:vAlign w:val="center"/>
          </w:tcPr>
          <w:p w14:paraId="417F8E39">
            <w:pPr>
              <w:bidi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val="en-US" w:eastAsia="zh-CN"/>
              </w:rPr>
              <w:t>辆</w:t>
            </w:r>
          </w:p>
        </w:tc>
        <w:tc>
          <w:tcPr>
            <w:tcW w:w="602" w:type="dxa"/>
            <w:tcBorders>
              <w:top w:val="single" w:color="000000" w:sz="4" w:space="0"/>
              <w:left w:val="nil"/>
              <w:bottom w:val="single" w:color="000000" w:sz="4" w:space="0"/>
              <w:right w:val="single" w:color="000000" w:sz="4" w:space="0"/>
            </w:tcBorders>
            <w:vAlign w:val="center"/>
          </w:tcPr>
          <w:p w14:paraId="68C12C79">
            <w:pPr>
              <w:wordWrap/>
              <w:adjustRightInd/>
              <w:snapToGrid/>
              <w:spacing w:before="0" w:after="0" w:line="360" w:lineRule="auto"/>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val="en-US" w:eastAsia="zh-CN"/>
              </w:rPr>
              <w:t>2</w:t>
            </w:r>
          </w:p>
        </w:tc>
        <w:tc>
          <w:tcPr>
            <w:tcW w:w="6080" w:type="dxa"/>
            <w:tcBorders>
              <w:top w:val="single" w:color="000000" w:sz="4" w:space="0"/>
              <w:left w:val="nil"/>
              <w:bottom w:val="single" w:color="000000" w:sz="4" w:space="0"/>
              <w:right w:val="single" w:color="000000" w:sz="4" w:space="0"/>
            </w:tcBorders>
            <w:vAlign w:val="center"/>
          </w:tcPr>
          <w:p w14:paraId="539FEF82">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sz w:val="21"/>
                <w:szCs w:val="21"/>
                <w:highlight w:val="none"/>
                <w:lang w:val="en-US" w:eastAsia="zh-CN"/>
              </w:rPr>
              <w:t>车箱容积：</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0.6m</w:t>
            </w:r>
            <w:r>
              <w:rPr>
                <w:rFonts w:hint="eastAsia" w:ascii="宋体" w:hAnsi="宋体" w:eastAsia="宋体" w:cs="宋体"/>
                <w:sz w:val="21"/>
                <w:szCs w:val="21"/>
                <w:highlight w:val="none"/>
                <w:vertAlign w:val="superscript"/>
                <w:lang w:val="en-US" w:eastAsia="zh-CN"/>
              </w:rPr>
              <w:t>3</w:t>
            </w:r>
          </w:p>
          <w:p w14:paraId="6855B5BB">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2.额定载重量：</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1000Kg</w:t>
            </w:r>
          </w:p>
          <w:p w14:paraId="4B44361D">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3.卸载高度：</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2100mm</w:t>
            </w:r>
          </w:p>
          <w:p w14:paraId="334D5DF3">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4.转弯半径：≤4200mm</w:t>
            </w:r>
          </w:p>
          <w:p w14:paraId="1F408E06">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5.减震系统：前：</w:t>
            </w:r>
            <w:r>
              <w:rPr>
                <w:rFonts w:hint="eastAsia" w:ascii="宋体" w:hAnsi="宋体" w:cs="宋体"/>
                <w:sz w:val="21"/>
                <w:szCs w:val="21"/>
                <w:highlight w:val="none"/>
                <w:lang w:val="en-US" w:eastAsia="zh-CN"/>
              </w:rPr>
              <w:t>阻尼</w:t>
            </w:r>
            <w:r>
              <w:rPr>
                <w:rFonts w:hint="eastAsia" w:ascii="宋体" w:hAnsi="宋体" w:eastAsia="宋体" w:cs="宋体"/>
                <w:sz w:val="21"/>
                <w:szCs w:val="21"/>
                <w:highlight w:val="none"/>
                <w:lang w:val="en-US" w:eastAsia="zh-CN"/>
              </w:rPr>
              <w:t>式减震器</w:t>
            </w:r>
          </w:p>
          <w:p w14:paraId="72316386">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6.照明系统：前后LED灯</w:t>
            </w:r>
          </w:p>
          <w:p w14:paraId="190A7420">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7.最高车速：</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25km/h</w:t>
            </w:r>
          </w:p>
          <w:p w14:paraId="66D95F9D">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8.电机功率：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 xml:space="preserve">交流3000W </w:t>
            </w:r>
          </w:p>
          <w:p w14:paraId="50C2F32B">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9.货箱板材厚度：</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3mm</w:t>
            </w:r>
          </w:p>
          <w:p w14:paraId="67CDDBC4">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10.电压：</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72</w:t>
            </w:r>
          </w:p>
          <w:p w14:paraId="218BBE93">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11.电瓶数量：6块12V210AH</w:t>
            </w:r>
          </w:p>
          <w:p w14:paraId="01A221D4">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12.外形尺寸（长*宽*高）：</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3350</w:t>
            </w:r>
            <w:r>
              <w:rPr>
                <w:rFonts w:hint="eastAsia" w:ascii="宋体" w:hAnsi="宋体" w:cs="宋体"/>
                <w:i w:val="0"/>
                <w:iCs w:val="0"/>
                <w:snapToGrid w:val="0"/>
                <w:color w:val="000000"/>
                <w:kern w:val="0"/>
                <w:sz w:val="21"/>
                <w:szCs w:val="21"/>
                <w:highlight w:val="none"/>
                <w:u w:val="none"/>
                <w:lang w:val="en-US" w:eastAsia="zh-CN" w:bidi="ar"/>
              </w:rPr>
              <w:t>×</w:t>
            </w:r>
            <w:r>
              <w:rPr>
                <w:rFonts w:hint="eastAsia" w:ascii="宋体" w:hAnsi="宋体" w:eastAsia="宋体" w:cs="宋体"/>
                <w:sz w:val="21"/>
                <w:szCs w:val="21"/>
                <w:highlight w:val="none"/>
                <w:lang w:val="en-US" w:eastAsia="zh-CN"/>
              </w:rPr>
              <w:t>1150</w:t>
            </w:r>
            <w:r>
              <w:rPr>
                <w:rFonts w:hint="eastAsia" w:ascii="宋体" w:hAnsi="宋体" w:cs="宋体"/>
                <w:i w:val="0"/>
                <w:iCs w:val="0"/>
                <w:snapToGrid w:val="0"/>
                <w:color w:val="000000"/>
                <w:kern w:val="0"/>
                <w:sz w:val="21"/>
                <w:szCs w:val="21"/>
                <w:highlight w:val="none"/>
                <w:u w:val="none"/>
                <w:lang w:val="en-US" w:eastAsia="zh-CN" w:bidi="ar"/>
              </w:rPr>
              <w:t>×</w:t>
            </w:r>
            <w:r>
              <w:rPr>
                <w:rFonts w:hint="eastAsia" w:ascii="宋体" w:hAnsi="宋体" w:eastAsia="宋体" w:cs="宋体"/>
                <w:sz w:val="21"/>
                <w:szCs w:val="21"/>
                <w:highlight w:val="none"/>
                <w:lang w:val="en-US" w:eastAsia="zh-CN"/>
              </w:rPr>
              <w:t>1200（mm）</w:t>
            </w:r>
          </w:p>
          <w:p w14:paraId="1E7F0396">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13.货箱尺寸（外径）（长*宽*高）：</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1850</w:t>
            </w:r>
            <w:r>
              <w:rPr>
                <w:rFonts w:hint="eastAsia" w:ascii="宋体" w:hAnsi="宋体" w:cs="宋体"/>
                <w:i w:val="0"/>
                <w:iCs w:val="0"/>
                <w:snapToGrid w:val="0"/>
                <w:color w:val="000000"/>
                <w:kern w:val="0"/>
                <w:sz w:val="21"/>
                <w:szCs w:val="21"/>
                <w:highlight w:val="none"/>
                <w:u w:val="none"/>
                <w:lang w:val="en-US" w:eastAsia="zh-CN" w:bidi="ar"/>
              </w:rPr>
              <w:t>×</w:t>
            </w:r>
            <w:r>
              <w:rPr>
                <w:rFonts w:hint="eastAsia" w:ascii="宋体" w:hAnsi="宋体" w:eastAsia="宋体" w:cs="宋体"/>
                <w:sz w:val="21"/>
                <w:szCs w:val="21"/>
                <w:highlight w:val="none"/>
                <w:lang w:val="en-US" w:eastAsia="zh-CN"/>
              </w:rPr>
              <w:t>1000</w:t>
            </w:r>
            <w:r>
              <w:rPr>
                <w:rFonts w:hint="eastAsia" w:ascii="宋体" w:hAnsi="宋体" w:cs="宋体"/>
                <w:i w:val="0"/>
                <w:iCs w:val="0"/>
                <w:snapToGrid w:val="0"/>
                <w:color w:val="000000"/>
                <w:kern w:val="0"/>
                <w:sz w:val="21"/>
                <w:szCs w:val="21"/>
                <w:highlight w:val="none"/>
                <w:u w:val="none"/>
                <w:lang w:val="en-US" w:eastAsia="zh-CN" w:bidi="ar"/>
              </w:rPr>
              <w:t>×</w:t>
            </w:r>
            <w:r>
              <w:rPr>
                <w:rFonts w:hint="eastAsia" w:ascii="宋体" w:hAnsi="宋体" w:eastAsia="宋体" w:cs="宋体"/>
                <w:sz w:val="21"/>
                <w:szCs w:val="21"/>
                <w:highlight w:val="none"/>
                <w:lang w:val="en-US" w:eastAsia="zh-CN"/>
              </w:rPr>
              <w:t>400（mm）</w:t>
            </w:r>
          </w:p>
          <w:p w14:paraId="47482E5C">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14.车架：矩形定焊接</w:t>
            </w:r>
          </w:p>
          <w:p w14:paraId="47DEF17F">
            <w:pPr>
              <w:numPr>
                <w:ilvl w:val="0"/>
                <w:numId w:val="0"/>
              </w:numPr>
              <w:bidi w:val="0"/>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15.整机质量：</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860kg</w:t>
            </w:r>
          </w:p>
          <w:p w14:paraId="75A80BAD">
            <w:pPr>
              <w:numPr>
                <w:ilvl w:val="0"/>
                <w:numId w:val="0"/>
              </w:numPr>
              <w:bidi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val="en-US" w:eastAsia="zh-CN"/>
              </w:rPr>
              <w:t>16.轮距：约1150mm</w:t>
            </w:r>
          </w:p>
        </w:tc>
      </w:tr>
      <w:tr w14:paraId="5D18E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5" w:hRule="atLeast"/>
        </w:trPr>
        <w:tc>
          <w:tcPr>
            <w:tcW w:w="748" w:type="dxa"/>
            <w:tcBorders>
              <w:top w:val="single" w:color="000000" w:sz="4" w:space="0"/>
              <w:left w:val="single" w:color="000000" w:sz="4" w:space="0"/>
              <w:right w:val="single" w:color="000000" w:sz="4" w:space="0"/>
            </w:tcBorders>
            <w:vAlign w:val="center"/>
          </w:tcPr>
          <w:p w14:paraId="7447F0FA">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594" w:type="dxa"/>
            <w:tcBorders>
              <w:top w:val="single" w:color="auto" w:sz="4" w:space="0"/>
              <w:left w:val="nil"/>
              <w:right w:val="single" w:color="000000" w:sz="4" w:space="0"/>
            </w:tcBorders>
            <w:vAlign w:val="center"/>
          </w:tcPr>
          <w:p w14:paraId="14AB6C91">
            <w:pPr>
              <w:wordWrap/>
              <w:adjustRightInd/>
              <w:snapToGrid/>
              <w:spacing w:before="0" w:after="0" w:line="360" w:lineRule="auto"/>
              <w:ind w:left="0" w:leftChars="0" w:right="0" w:rightChars="0"/>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11座治安巡逻车（电动）</w:t>
            </w:r>
          </w:p>
        </w:tc>
        <w:tc>
          <w:tcPr>
            <w:tcW w:w="691" w:type="dxa"/>
            <w:tcBorders>
              <w:top w:val="single" w:color="000000" w:sz="4" w:space="0"/>
              <w:left w:val="nil"/>
              <w:right w:val="single" w:color="000000" w:sz="4" w:space="0"/>
            </w:tcBorders>
            <w:vAlign w:val="center"/>
          </w:tcPr>
          <w:p w14:paraId="70242252">
            <w:pPr>
              <w:bidi w:val="0"/>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辆</w:t>
            </w:r>
          </w:p>
        </w:tc>
        <w:tc>
          <w:tcPr>
            <w:tcW w:w="602" w:type="dxa"/>
            <w:tcBorders>
              <w:top w:val="single" w:color="000000" w:sz="4" w:space="0"/>
              <w:left w:val="nil"/>
              <w:right w:val="single" w:color="000000" w:sz="4" w:space="0"/>
            </w:tcBorders>
            <w:vAlign w:val="center"/>
          </w:tcPr>
          <w:p w14:paraId="5F50FD82">
            <w:pPr>
              <w:wordWrap/>
              <w:adjustRightInd/>
              <w:snapToGrid/>
              <w:spacing w:before="0" w:after="0" w:line="360" w:lineRule="auto"/>
              <w:ind w:left="0" w:leftChars="0" w:right="0" w:rightChars="0"/>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080" w:type="dxa"/>
            <w:tcBorders>
              <w:top w:val="single" w:color="000000" w:sz="4" w:space="0"/>
              <w:left w:val="nil"/>
              <w:bottom w:val="single" w:color="000000" w:sz="4" w:space="0"/>
              <w:right w:val="single" w:color="000000" w:sz="4" w:space="0"/>
            </w:tcBorders>
            <w:vAlign w:val="center"/>
          </w:tcPr>
          <w:p w14:paraId="38222300">
            <w:pPr>
              <w:spacing w:line="360" w:lineRule="auto"/>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eastAsia="zh-CN"/>
              </w:rPr>
              <w:t>一、</w:t>
            </w:r>
            <w:r>
              <w:rPr>
                <w:rFonts w:hint="eastAsia" w:ascii="宋体" w:hAnsi="宋体" w:eastAsia="宋体" w:cs="宋体"/>
                <w:sz w:val="21"/>
                <w:szCs w:val="21"/>
                <w:highlight w:val="none"/>
              </w:rPr>
              <w:t>载客量</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最大乘员人数11</w:t>
            </w:r>
            <w:r>
              <w:rPr>
                <w:rFonts w:hint="eastAsia" w:ascii="宋体" w:hAnsi="宋体" w:eastAsia="宋体" w:cs="宋体"/>
                <w:sz w:val="21"/>
                <w:szCs w:val="21"/>
                <w:highlight w:val="none"/>
                <w:lang w:eastAsia="zh-CN"/>
              </w:rPr>
              <w:t>人</w:t>
            </w:r>
          </w:p>
          <w:p w14:paraId="6B2358E3">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w:t>
            </w:r>
            <w:r>
              <w:rPr>
                <w:rFonts w:hint="eastAsia" w:ascii="宋体" w:hAnsi="宋体" w:eastAsia="宋体" w:cs="宋体"/>
                <w:sz w:val="21"/>
                <w:szCs w:val="21"/>
                <w:highlight w:val="none"/>
              </w:rPr>
              <w:t>尺寸参数</w:t>
            </w:r>
            <w:r>
              <w:rPr>
                <w:rFonts w:hint="eastAsia" w:ascii="宋体" w:hAnsi="宋体" w:eastAsia="宋体" w:cs="宋体"/>
                <w:sz w:val="21"/>
                <w:szCs w:val="21"/>
                <w:highlight w:val="none"/>
                <w:lang w:eastAsia="zh-CN"/>
              </w:rPr>
              <w:t>：</w:t>
            </w:r>
          </w:p>
          <w:p w14:paraId="58330E40">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长*宽*高(mm)</w:t>
            </w:r>
            <w:r>
              <w:rPr>
                <w:rFonts w:hint="eastAsia" w:ascii="仿宋" w:hAnsi="仿宋" w:eastAsia="仿宋" w:cs="仿宋"/>
                <w:sz w:val="24"/>
                <w:highlight w:val="none"/>
                <w:lang w:eastAsia="zh-CN"/>
              </w:rPr>
              <w:t>（偏差±</w:t>
            </w:r>
            <w:r>
              <w:rPr>
                <w:rFonts w:hint="eastAsia" w:ascii="仿宋" w:hAnsi="仿宋" w:eastAsia="仿宋" w:cs="仿宋"/>
                <w:sz w:val="24"/>
                <w:highlight w:val="none"/>
                <w:lang w:val="en-US" w:eastAsia="zh-CN"/>
              </w:rPr>
              <w:t>5%以内</w:t>
            </w:r>
            <w:r>
              <w:rPr>
                <w:rFonts w:hint="eastAsia" w:ascii="仿宋" w:hAnsi="仿宋" w:eastAsia="仿宋" w:cs="仿宋"/>
                <w:sz w:val="24"/>
                <w:highlight w:val="none"/>
                <w:lang w:eastAsia="zh-CN"/>
              </w:rPr>
              <w:t>）</w:t>
            </w:r>
            <w:r>
              <w:rPr>
                <w:rFonts w:hint="eastAsia" w:ascii="宋体" w:hAnsi="宋体" w:eastAsia="宋体" w:cs="宋体"/>
                <w:sz w:val="21"/>
                <w:szCs w:val="21"/>
                <w:highlight w:val="none"/>
                <w:lang w:eastAsia="zh-CN"/>
              </w:rPr>
              <w:t>：约</w:t>
            </w:r>
            <w:r>
              <w:rPr>
                <w:rFonts w:hint="eastAsia" w:ascii="宋体" w:hAnsi="宋体" w:eastAsia="宋体" w:cs="宋体"/>
                <w:sz w:val="21"/>
                <w:szCs w:val="21"/>
                <w:highlight w:val="none"/>
              </w:rPr>
              <w:t>4660</w:t>
            </w:r>
            <w:r>
              <w:rPr>
                <w:rFonts w:hint="eastAsia" w:ascii="宋体" w:hAnsi="宋体" w:cs="宋体"/>
                <w:i w:val="0"/>
                <w:iCs w:val="0"/>
                <w:snapToGrid w:val="0"/>
                <w:color w:val="000000"/>
                <w:kern w:val="0"/>
                <w:sz w:val="21"/>
                <w:szCs w:val="21"/>
                <w:highlight w:val="none"/>
                <w:u w:val="none"/>
                <w:lang w:val="en-US" w:eastAsia="zh-CN" w:bidi="ar"/>
              </w:rPr>
              <w:t>×</w:t>
            </w:r>
            <w:r>
              <w:rPr>
                <w:rFonts w:hint="eastAsia" w:ascii="宋体" w:hAnsi="宋体" w:eastAsia="宋体" w:cs="宋体"/>
                <w:sz w:val="21"/>
                <w:szCs w:val="21"/>
                <w:highlight w:val="none"/>
              </w:rPr>
              <w:t>1530</w:t>
            </w:r>
            <w:r>
              <w:rPr>
                <w:rFonts w:hint="eastAsia" w:ascii="宋体" w:hAnsi="宋体" w:cs="宋体"/>
                <w:i w:val="0"/>
                <w:iCs w:val="0"/>
                <w:snapToGrid w:val="0"/>
                <w:color w:val="000000"/>
                <w:kern w:val="0"/>
                <w:sz w:val="21"/>
                <w:szCs w:val="21"/>
                <w:highlight w:val="none"/>
                <w:u w:val="none"/>
                <w:lang w:val="en-US" w:eastAsia="zh-CN" w:bidi="ar"/>
              </w:rPr>
              <w:t>×</w:t>
            </w:r>
            <w:r>
              <w:rPr>
                <w:rFonts w:hint="eastAsia" w:ascii="宋体" w:hAnsi="宋体" w:eastAsia="宋体" w:cs="宋体"/>
                <w:sz w:val="21"/>
                <w:szCs w:val="21"/>
                <w:highlight w:val="none"/>
              </w:rPr>
              <w:t>1900</w:t>
            </w:r>
          </w:p>
          <w:p w14:paraId="7AFDA363">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轴距(mm)</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≥3400</w:t>
            </w:r>
          </w:p>
          <w:p w14:paraId="34C1C1BE">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轮距前/后(mm)</w:t>
            </w:r>
            <w:r>
              <w:rPr>
                <w:rFonts w:hint="eastAsia" w:ascii="宋体" w:hAnsi="宋体" w:eastAsia="宋体" w:cs="宋体"/>
                <w:sz w:val="21"/>
                <w:szCs w:val="21"/>
                <w:highlight w:val="none"/>
                <w:lang w:eastAsia="zh-CN"/>
              </w:rPr>
              <w:t>：约</w:t>
            </w:r>
            <w:r>
              <w:rPr>
                <w:rFonts w:hint="eastAsia" w:ascii="宋体" w:hAnsi="宋体" w:eastAsia="宋体" w:cs="宋体"/>
                <w:sz w:val="21"/>
                <w:szCs w:val="21"/>
                <w:highlight w:val="none"/>
              </w:rPr>
              <w:t>1280/1290</w:t>
            </w:r>
          </w:p>
          <w:p w14:paraId="1A7B7C0A">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w:t>
            </w:r>
            <w:r>
              <w:rPr>
                <w:rFonts w:hint="eastAsia" w:ascii="宋体" w:hAnsi="宋体" w:eastAsia="宋体" w:cs="宋体"/>
                <w:sz w:val="21"/>
                <w:szCs w:val="21"/>
                <w:highlight w:val="none"/>
              </w:rPr>
              <w:t>质量参数</w:t>
            </w:r>
            <w:r>
              <w:rPr>
                <w:rFonts w:hint="eastAsia" w:ascii="宋体" w:hAnsi="宋体" w:eastAsia="宋体" w:cs="宋体"/>
                <w:sz w:val="21"/>
                <w:szCs w:val="21"/>
                <w:highlight w:val="none"/>
                <w:lang w:eastAsia="zh-CN"/>
              </w:rPr>
              <w:t>：</w:t>
            </w:r>
          </w:p>
          <w:p w14:paraId="4A39D9CF">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地板离地高度(mm)</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≥385</w:t>
            </w:r>
          </w:p>
          <w:p w14:paraId="3D2FA98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整备质量(kg)</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≥1280</w:t>
            </w:r>
          </w:p>
          <w:p w14:paraId="5616C0CB">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最大总质量(kg)</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≥2215</w:t>
            </w:r>
          </w:p>
          <w:p w14:paraId="1349D391">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四、</w:t>
            </w:r>
            <w:r>
              <w:rPr>
                <w:rFonts w:hint="eastAsia" w:ascii="宋体" w:hAnsi="宋体" w:eastAsia="宋体" w:cs="宋体"/>
                <w:sz w:val="21"/>
                <w:szCs w:val="21"/>
                <w:highlight w:val="none"/>
              </w:rPr>
              <w:t>通过性参数</w:t>
            </w:r>
            <w:r>
              <w:rPr>
                <w:rFonts w:hint="eastAsia" w:ascii="宋体" w:hAnsi="宋体" w:eastAsia="宋体" w:cs="宋体"/>
                <w:sz w:val="21"/>
                <w:szCs w:val="21"/>
                <w:highlight w:val="none"/>
                <w:lang w:eastAsia="zh-CN"/>
              </w:rPr>
              <w:t>：</w:t>
            </w:r>
          </w:p>
          <w:p w14:paraId="3D3ED8EC">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最小离地间隙(满载)mm</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≥130</w:t>
            </w:r>
          </w:p>
          <w:p w14:paraId="74B3442C">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最小转弯半径(m)</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7.3</w:t>
            </w:r>
          </w:p>
          <w:p w14:paraId="039C36F9">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接近/离去角(°)</w:t>
            </w:r>
            <w:r>
              <w:rPr>
                <w:rFonts w:hint="eastAsia" w:ascii="仿宋" w:hAnsi="仿宋" w:eastAsia="仿宋" w:cs="仿宋"/>
                <w:sz w:val="24"/>
                <w:highlight w:val="none"/>
                <w:lang w:eastAsia="zh-CN"/>
              </w:rPr>
              <w:t>（偏差±</w:t>
            </w:r>
            <w:r>
              <w:rPr>
                <w:rFonts w:hint="eastAsia" w:ascii="仿宋" w:hAnsi="仿宋" w:eastAsia="仿宋" w:cs="仿宋"/>
                <w:sz w:val="24"/>
                <w:highlight w:val="none"/>
                <w:lang w:val="en-US" w:eastAsia="zh-CN"/>
              </w:rPr>
              <w:t>3%以内</w:t>
            </w:r>
            <w:r>
              <w:rPr>
                <w:rFonts w:hint="eastAsia" w:ascii="仿宋" w:hAnsi="仿宋" w:eastAsia="仿宋" w:cs="仿宋"/>
                <w:sz w:val="24"/>
                <w:highlight w:val="none"/>
                <w:lang w:eastAsia="zh-CN"/>
              </w:rPr>
              <w:t>）</w:t>
            </w:r>
            <w:r>
              <w:rPr>
                <w:rFonts w:hint="eastAsia" w:ascii="宋体" w:hAnsi="宋体" w:eastAsia="宋体" w:cs="宋体"/>
                <w:sz w:val="21"/>
                <w:szCs w:val="21"/>
                <w:highlight w:val="none"/>
                <w:lang w:eastAsia="zh-CN"/>
              </w:rPr>
              <w:t>：约</w:t>
            </w:r>
            <w:r>
              <w:rPr>
                <w:rFonts w:hint="eastAsia" w:ascii="宋体" w:hAnsi="宋体" w:eastAsia="宋体" w:cs="宋体"/>
                <w:sz w:val="21"/>
                <w:szCs w:val="21"/>
                <w:highlight w:val="none"/>
              </w:rPr>
              <w:t>27.5/35.5</w:t>
            </w:r>
          </w:p>
          <w:p w14:paraId="5ED4418A">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五、</w:t>
            </w:r>
            <w:r>
              <w:rPr>
                <w:rFonts w:hint="eastAsia" w:ascii="宋体" w:hAnsi="宋体" w:eastAsia="宋体" w:cs="宋体"/>
                <w:sz w:val="21"/>
                <w:szCs w:val="21"/>
                <w:highlight w:val="none"/>
              </w:rPr>
              <w:t>动力参数</w:t>
            </w:r>
            <w:r>
              <w:rPr>
                <w:rFonts w:hint="eastAsia" w:ascii="宋体" w:hAnsi="宋体" w:eastAsia="宋体" w:cs="宋体"/>
                <w:sz w:val="21"/>
                <w:szCs w:val="21"/>
                <w:highlight w:val="none"/>
                <w:lang w:eastAsia="zh-CN"/>
              </w:rPr>
              <w:t>：</w:t>
            </w:r>
          </w:p>
          <w:p w14:paraId="04FD2BF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电机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三相交流异步</w:t>
            </w:r>
          </w:p>
          <w:p w14:paraId="0702FF9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额定功率(kw)</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≥10</w:t>
            </w:r>
          </w:p>
          <w:p w14:paraId="72356198">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额定电压(V)</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≥72</w:t>
            </w:r>
          </w:p>
          <w:p w14:paraId="12977F54">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动力电池组配置特点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72V220Ah铅酸</w:t>
            </w:r>
          </w:p>
          <w:p w14:paraId="189265BF">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充电时间(h)</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10~14</w:t>
            </w:r>
          </w:p>
          <w:p w14:paraId="37ED2093">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最高车速(km/h)</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≥30</w:t>
            </w:r>
          </w:p>
          <w:p w14:paraId="202B1799">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最大爬坡度(°/%)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≥11.3/20</w:t>
            </w:r>
          </w:p>
          <w:p w14:paraId="73EFEEA6">
            <w:pPr>
              <w:spacing w:line="360" w:lineRule="auto"/>
              <w:rPr>
                <w:rFonts w:hint="eastAsia" w:ascii="宋体" w:hAnsi="宋体" w:eastAsia="宋体" w:cs="宋体"/>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续驶里程(空载/满载)(km)</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≥30/110</w:t>
            </w:r>
          </w:p>
          <w:p w14:paraId="29D40D43">
            <w:pPr>
              <w:numPr>
                <w:ilvl w:val="0"/>
                <w:numId w:val="0"/>
              </w:numPr>
              <w:bidi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lang w:eastAsia="zh-CN"/>
              </w:rPr>
              <w:t>六、</w:t>
            </w:r>
            <w:r>
              <w:rPr>
                <w:rFonts w:hint="eastAsia" w:ascii="宋体" w:hAnsi="宋体" w:eastAsia="宋体" w:cs="宋体"/>
                <w:sz w:val="21"/>
                <w:szCs w:val="21"/>
                <w:highlight w:val="none"/>
              </w:rPr>
              <w:t>主要配置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10KW交流电机；72V</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免维护电池；电机控制器；前独立、后板簧悬挂；组合仪表板；组合大灯；雨刮器；开关式换挡机构；提式手刹；随车工具；前、中、后排独立塑料座椅(蓝色)</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pvc地板革；钢制轮毂，钣金顶棚及两侧翼子板+电子助力转向+真空助力制动</w:t>
            </w:r>
          </w:p>
          <w:p w14:paraId="4A2C889B">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rPr>
              <w:tab/>
            </w:r>
          </w:p>
        </w:tc>
      </w:tr>
      <w:tr w14:paraId="696C9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715" w:type="dxa"/>
            <w:gridSpan w:val="5"/>
            <w:tcBorders>
              <w:top w:val="single" w:color="000000" w:sz="4" w:space="0"/>
              <w:left w:val="single" w:color="000000" w:sz="4" w:space="0"/>
              <w:bottom w:val="single" w:color="000000" w:sz="4" w:space="0"/>
              <w:right w:val="single" w:color="000000" w:sz="4" w:space="0"/>
            </w:tcBorders>
            <w:vAlign w:val="center"/>
          </w:tcPr>
          <w:p w14:paraId="2144913A">
            <w:pPr>
              <w:bidi w:val="0"/>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b/>
                <w:bCs/>
                <w:color w:val="auto"/>
                <w:kern w:val="0"/>
                <w:sz w:val="28"/>
                <w:szCs w:val="28"/>
                <w:highlight w:val="none"/>
                <w:lang w:eastAsia="zh-CN"/>
              </w:rPr>
              <w:t>二、商务要求</w:t>
            </w:r>
          </w:p>
        </w:tc>
      </w:tr>
      <w:tr w14:paraId="636A2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46207E9C">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1</w:t>
            </w:r>
          </w:p>
        </w:tc>
        <w:tc>
          <w:tcPr>
            <w:tcW w:w="1594" w:type="dxa"/>
            <w:tcBorders>
              <w:left w:val="nil"/>
              <w:right w:val="single" w:color="000000" w:sz="4" w:space="0"/>
            </w:tcBorders>
            <w:vAlign w:val="center"/>
          </w:tcPr>
          <w:p w14:paraId="6B4D995F">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质保期</w:t>
            </w:r>
          </w:p>
        </w:tc>
        <w:tc>
          <w:tcPr>
            <w:tcW w:w="7373" w:type="dxa"/>
            <w:gridSpan w:val="3"/>
            <w:tcBorders>
              <w:top w:val="single" w:color="000000" w:sz="4" w:space="0"/>
              <w:left w:val="nil"/>
              <w:bottom w:val="single" w:color="000000" w:sz="4" w:space="0"/>
              <w:right w:val="single" w:color="000000" w:sz="4" w:space="0"/>
            </w:tcBorders>
            <w:vAlign w:val="top"/>
          </w:tcPr>
          <w:p w14:paraId="1F93C649">
            <w:pPr>
              <w:pStyle w:val="14"/>
              <w:snapToGrid w:val="0"/>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en-US" w:eastAsia="zh-CN"/>
              </w:rPr>
              <w:t>按国家有关产品“三包”规定执行“三包”，所有设备自验收合格之日起质保期≥1年（质保期承诺如优于招标文件规定的，按中标人实际承诺质保期执行。），</w:t>
            </w:r>
            <w:r>
              <w:rPr>
                <w:rFonts w:hint="eastAsia" w:ascii="宋体" w:hAnsi="宋体" w:eastAsia="宋体" w:cs="宋体"/>
                <w:sz w:val="21"/>
                <w:szCs w:val="21"/>
                <w:lang w:val="en-US" w:eastAsia="zh-CN"/>
              </w:rPr>
              <w:t>提供终身有偿维护。</w:t>
            </w:r>
          </w:p>
          <w:p w14:paraId="7CDD4D7A">
            <w:pPr>
              <w:pStyle w:val="14"/>
              <w:snapToGrid w:val="0"/>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2.质保期所更换的零配件必须是同品牌同型号全新的零配件，满足设备运行要求。</w:t>
            </w:r>
          </w:p>
        </w:tc>
      </w:tr>
      <w:tr w14:paraId="4A34A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09240743">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2</w:t>
            </w:r>
          </w:p>
        </w:tc>
        <w:tc>
          <w:tcPr>
            <w:tcW w:w="1594" w:type="dxa"/>
            <w:tcBorders>
              <w:left w:val="nil"/>
              <w:right w:val="single" w:color="000000" w:sz="4" w:space="0"/>
            </w:tcBorders>
            <w:vAlign w:val="center"/>
          </w:tcPr>
          <w:p w14:paraId="6F7BE4D7">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w:t>
            </w:r>
          </w:p>
        </w:tc>
        <w:tc>
          <w:tcPr>
            <w:tcW w:w="7373" w:type="dxa"/>
            <w:gridSpan w:val="3"/>
            <w:tcBorders>
              <w:top w:val="single" w:color="000000" w:sz="4" w:space="0"/>
              <w:left w:val="nil"/>
              <w:bottom w:val="single" w:color="000000" w:sz="4" w:space="0"/>
              <w:right w:val="single" w:color="000000" w:sz="4" w:space="0"/>
            </w:tcBorders>
            <w:vAlign w:val="top"/>
          </w:tcPr>
          <w:p w14:paraId="0DBEEBFE">
            <w:pPr>
              <w:snapToGrid w:val="0"/>
              <w:spacing w:line="400" w:lineRule="exact"/>
              <w:outlineLvl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报价包括货物的所有费用，包括货物采购、运输、安装调试、保险、培训、售后服务、</w:t>
            </w:r>
            <w:r>
              <w:rPr>
                <w:rFonts w:hint="eastAsia" w:ascii="宋体" w:hAnsi="宋体" w:eastAsia="宋体" w:cs="宋体"/>
                <w:sz w:val="21"/>
                <w:szCs w:val="21"/>
                <w:lang w:eastAsia="zh-CN"/>
              </w:rPr>
              <w:t>备品备件、</w:t>
            </w:r>
            <w:r>
              <w:rPr>
                <w:rFonts w:hint="eastAsia" w:ascii="宋体" w:hAnsi="宋体" w:eastAsia="宋体" w:cs="宋体"/>
                <w:sz w:val="21"/>
                <w:szCs w:val="21"/>
              </w:rPr>
              <w:t>必要检测、利润、税金以及所有的不</w:t>
            </w:r>
            <w:r>
              <w:rPr>
                <w:rFonts w:hint="eastAsia" w:ascii="宋体" w:hAnsi="宋体" w:eastAsia="宋体" w:cs="宋体"/>
                <w:sz w:val="21"/>
                <w:szCs w:val="21"/>
                <w:lang w:eastAsia="zh-CN"/>
              </w:rPr>
              <w:t>确</w:t>
            </w:r>
            <w:r>
              <w:rPr>
                <w:rFonts w:hint="eastAsia" w:ascii="宋体" w:hAnsi="宋体" w:eastAsia="宋体" w:cs="宋体"/>
                <w:sz w:val="21"/>
                <w:szCs w:val="21"/>
              </w:rPr>
              <w:t>定因素的风险等</w:t>
            </w:r>
            <w:r>
              <w:rPr>
                <w:rFonts w:hint="eastAsia" w:ascii="宋体" w:hAnsi="宋体" w:eastAsia="宋体" w:cs="宋体"/>
                <w:sz w:val="21"/>
                <w:szCs w:val="21"/>
                <w:lang w:eastAsia="zh-CN"/>
              </w:rPr>
              <w:t>。</w:t>
            </w:r>
          </w:p>
        </w:tc>
      </w:tr>
      <w:tr w14:paraId="1F546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4E21470F">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3</w:t>
            </w:r>
          </w:p>
        </w:tc>
        <w:tc>
          <w:tcPr>
            <w:tcW w:w="1594" w:type="dxa"/>
            <w:tcBorders>
              <w:left w:val="nil"/>
              <w:right w:val="single" w:color="000000" w:sz="4" w:space="0"/>
            </w:tcBorders>
            <w:vAlign w:val="center"/>
          </w:tcPr>
          <w:p w14:paraId="68ED8F8E">
            <w:pPr>
              <w:snapToGrid w:val="0"/>
              <w:spacing w:line="400" w:lineRule="exact"/>
              <w:jc w:val="center"/>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bCs/>
                <w:kern w:val="0"/>
                <w:sz w:val="21"/>
                <w:szCs w:val="21"/>
              </w:rPr>
              <w:t>交货时间及地点</w:t>
            </w:r>
          </w:p>
        </w:tc>
        <w:tc>
          <w:tcPr>
            <w:tcW w:w="7373" w:type="dxa"/>
            <w:gridSpan w:val="3"/>
            <w:tcBorders>
              <w:top w:val="single" w:color="000000" w:sz="4" w:space="0"/>
              <w:left w:val="nil"/>
              <w:bottom w:val="single" w:color="000000" w:sz="4" w:space="0"/>
              <w:right w:val="single" w:color="000000" w:sz="4" w:space="0"/>
            </w:tcBorders>
            <w:vAlign w:val="top"/>
          </w:tcPr>
          <w:p w14:paraId="66EC0F2B">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1</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交货时间：自签订合同之</w:t>
            </w:r>
            <w:r>
              <w:rPr>
                <w:rFonts w:hint="eastAsia" w:ascii="宋体" w:hAnsi="宋体" w:eastAsia="宋体" w:cs="宋体"/>
                <w:bCs/>
                <w:kern w:val="0"/>
                <w:sz w:val="21"/>
                <w:szCs w:val="21"/>
                <w:highlight w:val="none"/>
              </w:rPr>
              <w:t>日起</w:t>
            </w:r>
            <w:r>
              <w:rPr>
                <w:rFonts w:hint="eastAsia" w:ascii="宋体" w:hAnsi="宋体" w:eastAsia="宋体" w:cs="宋体"/>
                <w:bCs/>
                <w:kern w:val="0"/>
                <w:sz w:val="21"/>
                <w:szCs w:val="21"/>
                <w:highlight w:val="none"/>
                <w:lang w:val="en-US" w:eastAsia="zh-CN"/>
              </w:rPr>
              <w:t>30天内按采购人要</w:t>
            </w:r>
            <w:r>
              <w:rPr>
                <w:rFonts w:hint="eastAsia" w:ascii="宋体" w:hAnsi="宋体" w:eastAsia="宋体" w:cs="宋体"/>
                <w:bCs/>
                <w:kern w:val="0"/>
                <w:sz w:val="21"/>
                <w:szCs w:val="21"/>
                <w:lang w:val="en-US" w:eastAsia="zh-CN"/>
              </w:rPr>
              <w:t>求</w:t>
            </w:r>
            <w:r>
              <w:rPr>
                <w:rFonts w:hint="eastAsia" w:ascii="宋体" w:hAnsi="宋体" w:eastAsia="宋体" w:cs="宋体"/>
                <w:bCs/>
                <w:kern w:val="0"/>
                <w:sz w:val="21"/>
                <w:szCs w:val="21"/>
              </w:rPr>
              <w:t>安装完毕并交付使用。</w:t>
            </w:r>
          </w:p>
          <w:p w14:paraId="4E049265">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2</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交货内容包括：</w:t>
            </w:r>
          </w:p>
          <w:p w14:paraId="6D244441">
            <w:pPr>
              <w:numPr>
                <w:ilvl w:val="0"/>
                <w:numId w:val="6"/>
              </w:numPr>
              <w:snapToGrid w:val="0"/>
              <w:spacing w:line="400" w:lineRule="exact"/>
              <w:outlineLvl w:val="0"/>
              <w:rPr>
                <w:rFonts w:hint="eastAsia" w:ascii="宋体" w:hAnsi="宋体" w:eastAsia="宋体" w:cs="宋体"/>
                <w:sz w:val="21"/>
                <w:szCs w:val="21"/>
              </w:rPr>
            </w:pPr>
            <w:r>
              <w:rPr>
                <w:rFonts w:hint="eastAsia" w:ascii="宋体" w:hAnsi="宋体" w:eastAsia="宋体" w:cs="宋体"/>
                <w:bCs/>
                <w:kern w:val="0"/>
                <w:sz w:val="21"/>
                <w:szCs w:val="21"/>
              </w:rPr>
              <w:t>设备整机、配件、</w:t>
            </w:r>
            <w:r>
              <w:rPr>
                <w:rFonts w:hint="eastAsia" w:ascii="宋体" w:hAnsi="宋体" w:eastAsia="宋体" w:cs="宋体"/>
                <w:bCs/>
                <w:kern w:val="0"/>
                <w:sz w:val="21"/>
                <w:szCs w:val="21"/>
                <w:lang w:eastAsia="zh-CN"/>
              </w:rPr>
              <w:t>出厂随配</w:t>
            </w:r>
            <w:r>
              <w:rPr>
                <w:rFonts w:hint="eastAsia" w:ascii="宋体" w:hAnsi="宋体" w:eastAsia="宋体" w:cs="宋体"/>
                <w:bCs/>
                <w:kern w:val="0"/>
                <w:sz w:val="21"/>
                <w:szCs w:val="21"/>
              </w:rPr>
              <w:t>耗材</w:t>
            </w:r>
            <w:r>
              <w:rPr>
                <w:rFonts w:hint="eastAsia" w:ascii="宋体" w:hAnsi="宋体" w:eastAsia="宋体" w:cs="宋体"/>
                <w:bCs/>
                <w:kern w:val="0"/>
                <w:sz w:val="21"/>
                <w:szCs w:val="21"/>
                <w:lang w:eastAsia="zh-CN"/>
              </w:rPr>
              <w:t>（如有）</w:t>
            </w:r>
            <w:r>
              <w:rPr>
                <w:rFonts w:hint="eastAsia" w:ascii="宋体" w:hAnsi="宋体" w:eastAsia="宋体" w:cs="宋体"/>
                <w:bCs/>
                <w:kern w:val="0"/>
                <w:sz w:val="21"/>
                <w:szCs w:val="21"/>
              </w:rPr>
              <w:t>等。</w:t>
            </w:r>
          </w:p>
          <w:p w14:paraId="120170EA">
            <w:pPr>
              <w:numPr>
                <w:ilvl w:val="0"/>
                <w:numId w:val="6"/>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说明书、产品合格证</w:t>
            </w:r>
            <w:r>
              <w:rPr>
                <w:rFonts w:hint="eastAsia" w:ascii="宋体" w:hAnsi="宋体" w:eastAsia="宋体" w:cs="宋体"/>
                <w:sz w:val="21"/>
                <w:szCs w:val="21"/>
                <w:lang w:eastAsia="zh-CN"/>
              </w:rPr>
              <w:t>或质量证书</w:t>
            </w:r>
            <w:r>
              <w:rPr>
                <w:rFonts w:hint="eastAsia" w:ascii="宋体" w:hAnsi="宋体" w:eastAsia="宋体" w:cs="宋体"/>
                <w:sz w:val="21"/>
                <w:szCs w:val="21"/>
              </w:rPr>
              <w:t>、保修单、保险单（如有）</w:t>
            </w:r>
            <w:r>
              <w:rPr>
                <w:rFonts w:hint="eastAsia" w:ascii="宋体" w:hAnsi="宋体" w:eastAsia="宋体" w:cs="宋体"/>
                <w:sz w:val="21"/>
                <w:szCs w:val="21"/>
                <w:lang w:eastAsia="zh-CN"/>
              </w:rPr>
              <w:t>等</w:t>
            </w:r>
            <w:r>
              <w:rPr>
                <w:rFonts w:hint="eastAsia" w:ascii="宋体" w:hAnsi="宋体" w:eastAsia="宋体" w:cs="宋体"/>
                <w:sz w:val="21"/>
                <w:szCs w:val="21"/>
              </w:rPr>
              <w:t>。</w:t>
            </w:r>
          </w:p>
          <w:p w14:paraId="23D039FB">
            <w:pPr>
              <w:numPr>
                <w:ilvl w:val="0"/>
                <w:numId w:val="6"/>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上述文件资料应随货物一并提供。</w:t>
            </w:r>
          </w:p>
          <w:p w14:paraId="76C1284F">
            <w:pPr>
              <w:snapToGrid w:val="0"/>
              <w:spacing w:line="400" w:lineRule="exact"/>
              <w:outlineLvl w:val="0"/>
              <w:rPr>
                <w:rFonts w:hint="eastAsia" w:ascii="宋体" w:hAnsi="宋体" w:eastAsia="宋体" w:cs="宋体"/>
                <w:color w:val="auto"/>
                <w:kern w:val="0"/>
                <w:sz w:val="21"/>
                <w:szCs w:val="21"/>
                <w:highlight w:val="none"/>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交货地点：</w:t>
            </w:r>
            <w:r>
              <w:rPr>
                <w:rFonts w:hint="eastAsia" w:ascii="宋体" w:hAnsi="宋体" w:eastAsia="宋体" w:cs="宋体"/>
                <w:sz w:val="21"/>
                <w:szCs w:val="21"/>
                <w:lang w:eastAsia="zh-CN"/>
              </w:rPr>
              <w:t>海南省乐东县九所镇广西南繁基地采购人指定地点</w:t>
            </w:r>
            <w:r>
              <w:rPr>
                <w:rFonts w:hint="eastAsia" w:ascii="宋体" w:hAnsi="宋体" w:eastAsia="宋体" w:cs="宋体"/>
                <w:sz w:val="21"/>
                <w:szCs w:val="21"/>
              </w:rPr>
              <w:t>。</w:t>
            </w:r>
          </w:p>
        </w:tc>
      </w:tr>
      <w:tr w14:paraId="1D131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7967CB59">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4</w:t>
            </w:r>
          </w:p>
        </w:tc>
        <w:tc>
          <w:tcPr>
            <w:tcW w:w="1594" w:type="dxa"/>
            <w:tcBorders>
              <w:left w:val="nil"/>
              <w:right w:val="single" w:color="000000" w:sz="4" w:space="0"/>
            </w:tcBorders>
            <w:vAlign w:val="center"/>
          </w:tcPr>
          <w:p w14:paraId="6ADAF336">
            <w:pPr>
              <w:snapToGrid w:val="0"/>
              <w:spacing w:line="360" w:lineRule="auto"/>
              <w:jc w:val="center"/>
              <w:outlineLvl w:val="0"/>
              <w:rPr>
                <w:rFonts w:hint="eastAsia" w:ascii="宋体" w:hAnsi="宋体" w:eastAsia="宋体" w:cs="宋体"/>
                <w:sz w:val="21"/>
                <w:szCs w:val="21"/>
                <w:lang w:val="en-US" w:eastAsia="zh-CN"/>
              </w:rPr>
            </w:pPr>
            <w:r>
              <w:rPr>
                <w:rFonts w:hint="eastAsia" w:ascii="宋体" w:hAnsi="宋体" w:eastAsia="宋体" w:cs="宋体"/>
                <w:bCs/>
                <w:kern w:val="0"/>
                <w:sz w:val="21"/>
                <w:szCs w:val="21"/>
              </w:rPr>
              <w:t>验收</w:t>
            </w:r>
            <w:r>
              <w:rPr>
                <w:rFonts w:hint="eastAsia" w:ascii="宋体" w:hAnsi="宋体" w:eastAsia="宋体" w:cs="宋体"/>
                <w:bCs/>
                <w:kern w:val="0"/>
                <w:sz w:val="21"/>
                <w:szCs w:val="21"/>
                <w:lang w:eastAsia="zh-CN"/>
              </w:rPr>
              <w:t>依据、标准、验收程序</w:t>
            </w:r>
          </w:p>
        </w:tc>
        <w:tc>
          <w:tcPr>
            <w:tcW w:w="7373" w:type="dxa"/>
            <w:gridSpan w:val="3"/>
            <w:tcBorders>
              <w:top w:val="single" w:color="000000" w:sz="4" w:space="0"/>
              <w:left w:val="nil"/>
              <w:bottom w:val="single" w:color="000000" w:sz="4" w:space="0"/>
              <w:right w:val="single" w:color="000000" w:sz="4" w:space="0"/>
            </w:tcBorders>
            <w:vAlign w:val="top"/>
          </w:tcPr>
          <w:p w14:paraId="049646B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验收主体：采购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w:t>
            </w:r>
          </w:p>
          <w:p w14:paraId="075FD61D">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自</w:t>
            </w:r>
            <w:r>
              <w:rPr>
                <w:rFonts w:hint="eastAsia" w:ascii="宋体" w:hAnsi="宋体" w:eastAsia="宋体" w:cs="宋体"/>
                <w:color w:val="auto"/>
                <w:sz w:val="21"/>
                <w:szCs w:val="21"/>
                <w:lang w:eastAsia="zh-CN"/>
              </w:rPr>
              <w:t>车辆</w:t>
            </w:r>
            <w:r>
              <w:rPr>
                <w:rFonts w:hint="eastAsia" w:ascii="宋体" w:hAnsi="宋体" w:eastAsia="宋体" w:cs="宋体"/>
                <w:color w:val="auto"/>
                <w:sz w:val="21"/>
                <w:szCs w:val="21"/>
              </w:rPr>
              <w:t>到货</w:t>
            </w:r>
            <w:r>
              <w:rPr>
                <w:rFonts w:hint="eastAsia" w:ascii="宋体" w:hAnsi="宋体" w:eastAsia="宋体" w:cs="宋体"/>
                <w:color w:val="auto"/>
                <w:sz w:val="21"/>
                <w:szCs w:val="21"/>
                <w:lang w:eastAsia="zh-CN"/>
              </w:rPr>
              <w:t>、安装调试完成</w:t>
            </w:r>
            <w:r>
              <w:rPr>
                <w:rFonts w:hint="eastAsia" w:ascii="宋体" w:hAnsi="宋体" w:eastAsia="宋体" w:cs="宋体"/>
                <w:color w:val="auto"/>
                <w:sz w:val="21"/>
                <w:szCs w:val="21"/>
              </w:rPr>
              <w:t>之日起</w:t>
            </w:r>
            <w:r>
              <w:rPr>
                <w:rFonts w:hint="eastAsia" w:ascii="宋体" w:hAnsi="宋体" w:eastAsia="宋体" w:cs="宋体"/>
                <w:color w:val="auto"/>
                <w:sz w:val="21"/>
                <w:szCs w:val="21"/>
                <w:lang w:val="en-US" w:eastAsia="zh-CN"/>
              </w:rPr>
              <w:t>30天内完成验收</w:t>
            </w:r>
            <w:r>
              <w:rPr>
                <w:rFonts w:hint="eastAsia" w:ascii="宋体" w:hAnsi="宋体" w:eastAsia="宋体" w:cs="宋体"/>
                <w:color w:val="auto"/>
                <w:sz w:val="21"/>
                <w:szCs w:val="21"/>
              </w:rPr>
              <w:t>。</w:t>
            </w:r>
          </w:p>
          <w:p w14:paraId="4E3201D7">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依据及标准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国家、行业标准、招标文件采购需求、投标文件承诺</w:t>
            </w:r>
          </w:p>
          <w:p w14:paraId="1FFE380B">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履约验收程序</w:t>
            </w:r>
            <w:r>
              <w:rPr>
                <w:rFonts w:hint="eastAsia" w:ascii="宋体" w:hAnsi="宋体" w:eastAsia="宋体" w:cs="宋体"/>
                <w:color w:val="auto"/>
                <w:sz w:val="21"/>
                <w:szCs w:val="21"/>
                <w:highlight w:val="none"/>
                <w:lang w:eastAsia="zh-CN"/>
              </w:rPr>
              <w:t>：</w:t>
            </w:r>
          </w:p>
          <w:p w14:paraId="21208E4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A.成立验收小组：采购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代表成立验收小组。</w:t>
            </w:r>
          </w:p>
          <w:p w14:paraId="30176D1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B.开箱验收：</w:t>
            </w:r>
          </w:p>
          <w:p w14:paraId="63E12C1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中标人代表双方当场</w:t>
            </w:r>
            <w:r>
              <w:rPr>
                <w:rFonts w:hint="eastAsia" w:ascii="宋体" w:hAnsi="宋体" w:eastAsia="宋体" w:cs="宋体"/>
                <w:color w:val="auto"/>
                <w:sz w:val="21"/>
                <w:szCs w:val="21"/>
                <w:highlight w:val="none"/>
              </w:rPr>
              <w:t>进行开箱验收。检查其外包装是否完好无损，并对</w:t>
            </w:r>
            <w:r>
              <w:rPr>
                <w:rFonts w:hint="eastAsia" w:ascii="宋体" w:hAnsi="宋体" w:eastAsia="宋体" w:cs="宋体"/>
                <w:color w:val="auto"/>
                <w:sz w:val="21"/>
                <w:szCs w:val="21"/>
                <w:highlight w:val="none"/>
                <w:lang w:eastAsia="zh-CN"/>
              </w:rPr>
              <w:t>车辆</w:t>
            </w:r>
            <w:r>
              <w:rPr>
                <w:rFonts w:hint="eastAsia" w:ascii="宋体" w:hAnsi="宋体" w:eastAsia="宋体" w:cs="宋体"/>
                <w:color w:val="auto"/>
                <w:sz w:val="21"/>
                <w:szCs w:val="21"/>
                <w:highlight w:val="none"/>
              </w:rPr>
              <w:t>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进行核对，检查是否与合同一致，文档材料是否齐全。</w:t>
            </w:r>
          </w:p>
          <w:p w14:paraId="79A243F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)如发现</w:t>
            </w:r>
            <w:r>
              <w:rPr>
                <w:rFonts w:hint="eastAsia" w:ascii="宋体" w:hAnsi="宋体" w:eastAsia="宋体" w:cs="宋体"/>
                <w:color w:val="auto"/>
                <w:sz w:val="21"/>
                <w:szCs w:val="21"/>
                <w:highlight w:val="none"/>
                <w:lang w:eastAsia="zh-CN"/>
              </w:rPr>
              <w:t>车辆数量不对</w:t>
            </w:r>
            <w:r>
              <w:rPr>
                <w:rFonts w:hint="eastAsia" w:ascii="宋体" w:hAnsi="宋体" w:eastAsia="宋体" w:cs="宋体"/>
                <w:color w:val="auto"/>
                <w:sz w:val="21"/>
                <w:szCs w:val="21"/>
                <w:highlight w:val="none"/>
              </w:rPr>
              <w:t>、损坏或其他与合同约定不符的情况，由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采取补齐、更换及其他补救措施。</w:t>
            </w:r>
          </w:p>
          <w:p w14:paraId="1257999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)开箱检验合格后，由采购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w:t>
            </w:r>
            <w:r>
              <w:rPr>
                <w:rFonts w:hint="eastAsia" w:ascii="宋体" w:hAnsi="宋体" w:eastAsia="宋体" w:cs="宋体"/>
                <w:color w:val="auto"/>
                <w:sz w:val="21"/>
                <w:szCs w:val="21"/>
                <w:highlight w:val="none"/>
              </w:rPr>
              <w:t>签署开箱检验验收书，开箱检验验收书应列明合同设备数量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、文档资料等验收情况及评价意见。</w:t>
            </w:r>
          </w:p>
          <w:p w14:paraId="672A43C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C.安装、调试</w:t>
            </w:r>
          </w:p>
          <w:p w14:paraId="19597E1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eastAsia="zh-CN"/>
              </w:rPr>
              <w:t>车辆</w:t>
            </w:r>
            <w:r>
              <w:rPr>
                <w:rFonts w:hint="eastAsia" w:ascii="宋体" w:hAnsi="宋体" w:eastAsia="宋体" w:cs="宋体"/>
                <w:color w:val="auto"/>
                <w:sz w:val="21"/>
                <w:szCs w:val="21"/>
                <w:highlight w:val="none"/>
              </w:rPr>
              <w:t>的安装、调试。</w:t>
            </w:r>
          </w:p>
          <w:p w14:paraId="3957C87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w:t>
            </w:r>
            <w:r>
              <w:rPr>
                <w:rFonts w:hint="eastAsia" w:ascii="宋体" w:hAnsi="宋体" w:eastAsia="宋体" w:cs="宋体"/>
                <w:color w:val="auto"/>
                <w:sz w:val="21"/>
                <w:szCs w:val="21"/>
                <w:highlight w:val="none"/>
                <w:lang w:eastAsia="zh-CN"/>
              </w:rPr>
              <w:t>、中标人代表对车辆进行试运行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试运行情况</w:t>
            </w:r>
            <w:r>
              <w:rPr>
                <w:rFonts w:hint="eastAsia" w:ascii="宋体" w:hAnsi="宋体" w:eastAsia="宋体" w:cs="宋体"/>
                <w:color w:val="auto"/>
                <w:sz w:val="21"/>
                <w:szCs w:val="21"/>
                <w:highlight w:val="none"/>
              </w:rPr>
              <w:t>进行评价。</w:t>
            </w:r>
          </w:p>
          <w:p w14:paraId="4282EF28">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试运行时由采购人对照招标文件的功能目标及技术指标要求、投标文件响应的功能、参数全面核对检验，所提供车辆的性能、参数应与投标时提供的证明文件及响应的功能、参数完全一致，</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共同对安装、调试情况进行记录。</w:t>
            </w:r>
            <w:r>
              <w:rPr>
                <w:rFonts w:hint="eastAsia" w:ascii="宋体" w:hAnsi="宋体" w:eastAsia="宋体" w:cs="宋体"/>
                <w:color w:val="auto"/>
                <w:sz w:val="21"/>
                <w:szCs w:val="21"/>
                <w:highlight w:val="none"/>
                <w:lang w:eastAsia="zh-CN"/>
              </w:rPr>
              <w:t>如不符合招标文件的技术需求及要求以及提供虚假承诺的，按相关规定做退货处理及违约处理，中标人承担所有责任和费用，采购人保留进一步追究责任的权利。</w:t>
            </w:r>
          </w:p>
          <w:p w14:paraId="710BD41F">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采购项目进行验收时，采购人可以邀请参加本项目的其他投标人、技术专家或者第三方机构参与验收。参与验收的投标人、技术专家或者第三方机构的意见作为验收书的参考资料一并存档。验收所产生的一切费用由中标人承担。</w:t>
            </w:r>
          </w:p>
          <w:p w14:paraId="415F7B9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D</w:t>
            </w:r>
            <w:r>
              <w:rPr>
                <w:rFonts w:hint="eastAsia" w:ascii="宋体" w:hAnsi="宋体" w:eastAsia="宋体" w:cs="宋体"/>
                <w:color w:val="auto"/>
                <w:sz w:val="21"/>
                <w:szCs w:val="21"/>
                <w:highlight w:val="none"/>
              </w:rPr>
              <w:t>.履约验收其他事项：</w:t>
            </w:r>
          </w:p>
          <w:p w14:paraId="08B45C7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验收资料归档，采购合同项目完成验收后，将验收原始记录、验收书等资料作为该采购项目档案妥善保管，不得伪造、变造、隐匿或者销毁，验收资料保存期为采购结束之日起至少保存15年。</w:t>
            </w:r>
          </w:p>
          <w:p w14:paraId="6FA43086">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原因造成不按时完成验收、造成逾期供货事实的，由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承担相关合同责任。</w:t>
            </w:r>
          </w:p>
          <w:p w14:paraId="43B76E7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)验收合格后视为交接，在验收合格前</w:t>
            </w:r>
            <w:r>
              <w:rPr>
                <w:rFonts w:hint="eastAsia" w:ascii="宋体" w:hAnsi="宋体" w:eastAsia="宋体" w:cs="宋体"/>
                <w:color w:val="auto"/>
                <w:sz w:val="21"/>
                <w:szCs w:val="21"/>
                <w:highlight w:val="none"/>
                <w:lang w:eastAsia="zh-CN"/>
              </w:rPr>
              <w:t>车辆</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，所有运输、仓储、装卸、保管、搬运等相关责任由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负责。</w:t>
            </w:r>
          </w:p>
          <w:p w14:paraId="38A9BD7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5.验收内容：包括每个采购标的每一项技术参数和商务要求全部内容的履约情况。</w:t>
            </w:r>
          </w:p>
        </w:tc>
      </w:tr>
      <w:tr w14:paraId="728DE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27D0EAF4">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5</w:t>
            </w:r>
          </w:p>
        </w:tc>
        <w:tc>
          <w:tcPr>
            <w:tcW w:w="1594" w:type="dxa"/>
            <w:tcBorders>
              <w:left w:val="nil"/>
              <w:right w:val="single" w:color="000000" w:sz="4" w:space="0"/>
            </w:tcBorders>
            <w:vAlign w:val="center"/>
          </w:tcPr>
          <w:p w14:paraId="2E144D45">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rPr>
              <w:t>付款条件</w:t>
            </w:r>
          </w:p>
        </w:tc>
        <w:tc>
          <w:tcPr>
            <w:tcW w:w="7373" w:type="dxa"/>
            <w:gridSpan w:val="3"/>
            <w:tcBorders>
              <w:top w:val="single" w:color="000000" w:sz="4" w:space="0"/>
              <w:left w:val="nil"/>
              <w:bottom w:val="single" w:color="000000" w:sz="4" w:space="0"/>
              <w:right w:val="single" w:color="000000" w:sz="4" w:space="0"/>
            </w:tcBorders>
            <w:vAlign w:val="top"/>
          </w:tcPr>
          <w:p w14:paraId="554EBA3B">
            <w:pPr>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.签订合同后10个工作日内，支付合同合计金额的30%作为预付款；全部货物到货后支付合同款的</w:t>
            </w:r>
            <w:r>
              <w:rPr>
                <w:rFonts w:hint="eastAsia" w:ascii="宋体" w:hAnsi="宋体" w:cs="宋体"/>
                <w:color w:val="auto"/>
                <w:sz w:val="21"/>
                <w:szCs w:val="21"/>
                <w:lang w:val="en-US" w:eastAsia="zh-CN"/>
              </w:rPr>
              <w:t>55</w:t>
            </w:r>
            <w:r>
              <w:rPr>
                <w:rFonts w:hint="eastAsia" w:ascii="宋体" w:hAnsi="宋体" w:eastAsia="宋体" w:cs="宋体"/>
                <w:color w:val="auto"/>
                <w:sz w:val="21"/>
                <w:szCs w:val="21"/>
                <w:lang w:val="en-US" w:eastAsia="zh-CN"/>
              </w:rPr>
              <w:t>%，安装调试</w:t>
            </w:r>
            <w:r>
              <w:rPr>
                <w:rFonts w:hint="eastAsia" w:ascii="宋体" w:hAnsi="宋体" w:cs="宋体"/>
                <w:color w:val="auto"/>
                <w:sz w:val="21"/>
                <w:szCs w:val="21"/>
                <w:lang w:val="en-US" w:eastAsia="zh-CN"/>
              </w:rPr>
              <w:t>并</w:t>
            </w:r>
            <w:r>
              <w:rPr>
                <w:rFonts w:hint="eastAsia" w:ascii="宋体" w:hAnsi="宋体" w:eastAsia="宋体" w:cs="宋体"/>
                <w:color w:val="auto"/>
                <w:sz w:val="21"/>
                <w:szCs w:val="21"/>
                <w:lang w:val="en-US" w:eastAsia="zh-CN"/>
              </w:rPr>
              <w:t>经采购人验收合格后，支付剩余合同款。</w:t>
            </w:r>
          </w:p>
          <w:p w14:paraId="32C89537">
            <w:pPr>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每次付款前供应商应提供请款函和</w:t>
            </w:r>
            <w:r>
              <w:rPr>
                <w:rFonts w:hint="eastAsia" w:ascii="宋体" w:hAnsi="宋体" w:eastAsia="宋体" w:cs="宋体"/>
                <w:color w:val="auto"/>
                <w:sz w:val="21"/>
                <w:szCs w:val="21"/>
                <w:lang w:eastAsia="zh-CN"/>
              </w:rPr>
              <w:t>合法</w:t>
            </w:r>
            <w:r>
              <w:rPr>
                <w:rFonts w:hint="eastAsia" w:ascii="宋体" w:hAnsi="宋体" w:eastAsia="宋体" w:cs="宋体"/>
                <w:color w:val="auto"/>
                <w:sz w:val="21"/>
                <w:szCs w:val="21"/>
              </w:rPr>
              <w:t>发票。</w:t>
            </w:r>
          </w:p>
        </w:tc>
      </w:tr>
      <w:tr w14:paraId="5D5C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5CBF2F3D">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6</w:t>
            </w:r>
          </w:p>
        </w:tc>
        <w:tc>
          <w:tcPr>
            <w:tcW w:w="1594" w:type="dxa"/>
            <w:tcBorders>
              <w:left w:val="nil"/>
              <w:right w:val="single" w:color="000000" w:sz="4" w:space="0"/>
            </w:tcBorders>
            <w:vAlign w:val="center"/>
          </w:tcPr>
          <w:p w14:paraId="167286BB">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售后服务要求</w:t>
            </w:r>
          </w:p>
        </w:tc>
        <w:tc>
          <w:tcPr>
            <w:tcW w:w="7373" w:type="dxa"/>
            <w:gridSpan w:val="3"/>
            <w:tcBorders>
              <w:top w:val="single" w:color="000000" w:sz="4" w:space="0"/>
              <w:left w:val="nil"/>
              <w:bottom w:val="single" w:color="000000" w:sz="4" w:space="0"/>
              <w:right w:val="single" w:color="000000" w:sz="4" w:space="0"/>
            </w:tcBorders>
            <w:vAlign w:val="top"/>
          </w:tcPr>
          <w:p w14:paraId="46872360">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供货：送货上门、安装、调试，采购人不再额外支付费用。</w:t>
            </w:r>
          </w:p>
          <w:p w14:paraId="57023591">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现场安装、调试：由采购人提供安装调试环境条件，技术人员到达现场，并在进场一周内完成安装、调试，所需工具器材、交通食宿应包含在报价内，采购人不再额外支付费用。</w:t>
            </w:r>
          </w:p>
          <w:p w14:paraId="3D4F6455">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后期回访：质保期内进行</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次/年回访，回访期间对仪器进行维护和培训等，采购人不再额外支付费用。</w:t>
            </w:r>
          </w:p>
          <w:p w14:paraId="7D5E85E9">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接到采购人故障通知</w:t>
            </w:r>
            <w:r>
              <w:rPr>
                <w:rFonts w:hint="eastAsia" w:ascii="宋体" w:hAnsi="宋体" w:eastAsia="宋体" w:cs="宋体"/>
                <w:sz w:val="21"/>
                <w:szCs w:val="21"/>
                <w:lang w:val="en-US" w:eastAsia="zh-CN"/>
              </w:rPr>
              <w:t>1</w:t>
            </w:r>
            <w:r>
              <w:rPr>
                <w:rFonts w:hint="eastAsia" w:ascii="宋体" w:hAnsi="宋体" w:eastAsia="宋体" w:cs="宋体"/>
                <w:sz w:val="21"/>
                <w:szCs w:val="21"/>
              </w:rPr>
              <w:t>小时内响应，如不能解决问题将派人</w:t>
            </w:r>
            <w:r>
              <w:rPr>
                <w:rFonts w:hint="eastAsia" w:ascii="宋体" w:hAnsi="宋体" w:eastAsia="宋体" w:cs="宋体"/>
                <w:sz w:val="21"/>
                <w:szCs w:val="21"/>
                <w:lang w:val="en-US" w:eastAsia="zh-CN"/>
              </w:rPr>
              <w:t>24小时内到达</w:t>
            </w:r>
            <w:r>
              <w:rPr>
                <w:rFonts w:hint="eastAsia" w:ascii="宋体" w:hAnsi="宋体" w:eastAsia="宋体" w:cs="宋体"/>
                <w:sz w:val="21"/>
                <w:szCs w:val="21"/>
              </w:rPr>
              <w:t>现场排除故障。</w:t>
            </w:r>
          </w:p>
          <w:p w14:paraId="55DC56DB">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备件、技术及维修服务及其它：</w:t>
            </w:r>
          </w:p>
          <w:p w14:paraId="3D7D8C6E">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（1）备件要求：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厂家应在</w:t>
            </w:r>
            <w:r>
              <w:rPr>
                <w:rFonts w:hint="eastAsia" w:ascii="宋体" w:hAnsi="宋体" w:eastAsia="宋体" w:cs="宋体"/>
                <w:sz w:val="21"/>
                <w:szCs w:val="21"/>
                <w:lang w:eastAsia="zh-CN"/>
              </w:rPr>
              <w:t>交货地点所在</w:t>
            </w:r>
            <w:r>
              <w:rPr>
                <w:rFonts w:hint="eastAsia" w:ascii="宋体" w:hAnsi="宋体" w:eastAsia="宋体" w:cs="宋体"/>
                <w:sz w:val="21"/>
                <w:szCs w:val="21"/>
              </w:rPr>
              <w:t>省会中心城市设置备件库，存入</w:t>
            </w:r>
            <w:r>
              <w:rPr>
                <w:rFonts w:hint="eastAsia" w:ascii="宋体" w:hAnsi="宋体" w:eastAsia="宋体" w:cs="宋体"/>
                <w:sz w:val="21"/>
                <w:szCs w:val="21"/>
                <w:lang w:eastAsia="zh-CN"/>
              </w:rPr>
              <w:t>必要</w:t>
            </w:r>
            <w:r>
              <w:rPr>
                <w:rFonts w:hint="eastAsia" w:ascii="宋体" w:hAnsi="宋体" w:eastAsia="宋体" w:cs="宋体"/>
                <w:sz w:val="21"/>
                <w:szCs w:val="21"/>
              </w:rPr>
              <w:t>的</w:t>
            </w:r>
            <w:r>
              <w:rPr>
                <w:rFonts w:hint="eastAsia" w:ascii="宋体" w:hAnsi="宋体" w:eastAsia="宋体" w:cs="宋体"/>
                <w:sz w:val="21"/>
                <w:szCs w:val="21"/>
                <w:lang w:eastAsia="zh-CN"/>
              </w:rPr>
              <w:t>备品</w:t>
            </w:r>
            <w:r>
              <w:rPr>
                <w:rFonts w:hint="eastAsia" w:ascii="宋体" w:hAnsi="宋体" w:eastAsia="宋体" w:cs="宋体"/>
                <w:sz w:val="21"/>
                <w:szCs w:val="21"/>
              </w:rPr>
              <w:t>备件，保证必要时可以及时供应。</w:t>
            </w:r>
          </w:p>
          <w:p w14:paraId="3726E2B4">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（2）技术及维修服务：在用户当地或省会中心城市，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厂家应配置技术人员，随时提供开箱验货、安装、调试或维修等服务。</w:t>
            </w:r>
          </w:p>
          <w:p w14:paraId="3DE5E5F9">
            <w:pPr>
              <w:snapToGrid w:val="0"/>
              <w:spacing w:line="400" w:lineRule="exact"/>
              <w:outlineLvl w:val="0"/>
              <w:rPr>
                <w:rFonts w:hint="eastAsia" w:ascii="宋体" w:hAnsi="宋体" w:eastAsia="宋体" w:cs="宋体"/>
                <w:color w:val="auto"/>
                <w:kern w:val="0"/>
                <w:sz w:val="21"/>
                <w:szCs w:val="21"/>
                <w:highlight w:val="none"/>
              </w:rPr>
            </w:pPr>
            <w:r>
              <w:rPr>
                <w:rFonts w:hint="eastAsia" w:ascii="宋体" w:hAnsi="宋体" w:eastAsia="宋体" w:cs="宋体"/>
                <w:sz w:val="21"/>
                <w:szCs w:val="21"/>
              </w:rPr>
              <w:t>（3）质保期内设备发生故障时，响应时间1小时以内，特殊情况无法到达须提前与采购人沟通。当配件等待周期大于7个工作日时，对应延长质保期。</w:t>
            </w:r>
          </w:p>
        </w:tc>
      </w:tr>
      <w:tr w14:paraId="54DE2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000000" w:sz="4" w:space="0"/>
              <w:left w:val="single" w:color="000000" w:sz="4" w:space="0"/>
              <w:bottom w:val="single" w:color="000000" w:sz="4" w:space="0"/>
              <w:right w:val="single" w:color="000000" w:sz="4" w:space="0"/>
            </w:tcBorders>
            <w:vAlign w:val="center"/>
          </w:tcPr>
          <w:p w14:paraId="69634140">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7</w:t>
            </w:r>
          </w:p>
        </w:tc>
        <w:tc>
          <w:tcPr>
            <w:tcW w:w="1594" w:type="dxa"/>
            <w:tcBorders>
              <w:left w:val="nil"/>
              <w:right w:val="single" w:color="000000" w:sz="4" w:space="0"/>
            </w:tcBorders>
            <w:vAlign w:val="center"/>
          </w:tcPr>
          <w:p w14:paraId="1FB2DF45">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其它要求</w:t>
            </w:r>
          </w:p>
        </w:tc>
        <w:tc>
          <w:tcPr>
            <w:tcW w:w="7373" w:type="dxa"/>
            <w:gridSpan w:val="3"/>
            <w:tcBorders>
              <w:top w:val="single" w:color="000000" w:sz="4" w:space="0"/>
              <w:left w:val="nil"/>
              <w:bottom w:val="single" w:color="000000" w:sz="4" w:space="0"/>
              <w:right w:val="single" w:color="000000" w:sz="4" w:space="0"/>
            </w:tcBorders>
            <w:vAlign w:val="top"/>
          </w:tcPr>
          <w:p w14:paraId="3CF36572">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1.核心产品：本项目的核心产品为</w:t>
            </w:r>
            <w:r>
              <w:rPr>
                <w:rFonts w:hint="eastAsia" w:hAnsi="宋体" w:cs="宋体"/>
                <w:b/>
                <w:bCs/>
                <w:sz w:val="21"/>
                <w:szCs w:val="21"/>
                <w:lang w:val="en-US" w:eastAsia="zh-CN"/>
              </w:rPr>
              <w:t>11座</w:t>
            </w:r>
            <w:r>
              <w:rPr>
                <w:rFonts w:hint="eastAsia" w:ascii="宋体" w:hAnsi="宋体" w:eastAsia="宋体" w:cs="宋体"/>
                <w:b/>
                <w:bCs/>
                <w:sz w:val="21"/>
                <w:szCs w:val="21"/>
                <w:lang w:eastAsia="zh-CN"/>
              </w:rPr>
              <w:t>治安巡逻车（电动）</w:t>
            </w:r>
            <w:r>
              <w:rPr>
                <w:rFonts w:hint="eastAsia" w:ascii="宋体" w:hAnsi="宋体" w:eastAsia="宋体" w:cs="宋体"/>
                <w:sz w:val="21"/>
                <w:szCs w:val="21"/>
                <w:lang w:val="en-US" w:eastAsia="zh-CN"/>
              </w:rPr>
              <w:t>。</w:t>
            </w:r>
            <w:r>
              <w:rPr>
                <w:rFonts w:hint="eastAsia" w:ascii="宋体" w:hAnsi="宋体" w:eastAsia="宋体" w:cs="宋体"/>
                <w:b/>
                <w:bCs/>
                <w:color w:val="auto"/>
                <w:kern w:val="2"/>
                <w:sz w:val="21"/>
                <w:szCs w:val="21"/>
                <w:highlight w:val="none"/>
                <w:lang w:val="en-US" w:eastAsia="zh-CN" w:bidi="ar"/>
              </w:rPr>
              <w:t>核心产品品牌相同的，视为提供同品牌产品。核心产品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495B7CA1">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2.进口产品：本包采购标的不接受进口产品（即通过中国海关报关验放进入中国境内且产自关境外的产品）参与投标，如有此类产品参与投标的做无效投标处理。</w:t>
            </w:r>
          </w:p>
          <w:p w14:paraId="1D7DA06E">
            <w:pPr>
              <w:pStyle w:val="14"/>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3、投标人保证向采购人提供的货物是全新、完整、未使用过的</w:t>
            </w:r>
            <w:r>
              <w:rPr>
                <w:rFonts w:hint="eastAsia" w:ascii="宋体" w:hAnsi="宋体" w:eastAsia="宋体" w:cs="宋体"/>
                <w:bCs/>
                <w:kern w:val="0"/>
                <w:sz w:val="21"/>
                <w:szCs w:val="21"/>
                <w:lang w:val="en-US" w:eastAsia="zh-CN"/>
              </w:rPr>
              <w:t>。</w:t>
            </w:r>
          </w:p>
          <w:p w14:paraId="2D551B48">
            <w:pPr>
              <w:pStyle w:val="14"/>
              <w:snapToGrid w:val="0"/>
              <w:spacing w:line="400" w:lineRule="exact"/>
              <w:outlineLvl w:val="0"/>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4、投标时可提供投标产品彩色图片或说明书或检测报告等产品技术参数佐证材料。</w:t>
            </w:r>
          </w:p>
        </w:tc>
      </w:tr>
    </w:tbl>
    <w:p w14:paraId="6E749ED3">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7F3EB94D">
      <w:pPr>
        <w:spacing w:line="460" w:lineRule="exact"/>
        <w:ind w:firstLine="602" w:firstLineChars="200"/>
        <w:jc w:val="center"/>
        <w:rPr>
          <w:rFonts w:hint="eastAsia" w:ascii="宋体" w:hAnsi="宋体" w:eastAsia="宋体" w:cs="宋体"/>
          <w:b/>
          <w:bCs/>
          <w:color w:val="auto"/>
          <w:sz w:val="30"/>
          <w:szCs w:val="30"/>
          <w:highlight w:val="none"/>
          <w:lang w:val="en-US" w:eastAsia="zh-CN"/>
        </w:rPr>
      </w:pPr>
    </w:p>
    <w:p w14:paraId="2C3DB6A8">
      <w:pPr>
        <w:spacing w:line="460" w:lineRule="exact"/>
        <w:ind w:firstLine="602" w:firstLineChars="200"/>
        <w:jc w:val="center"/>
        <w:rPr>
          <w:rFonts w:hint="eastAsia" w:ascii="宋体" w:hAnsi="宋体" w:eastAsia="宋体" w:cs="宋体"/>
          <w:b/>
          <w:bCs/>
          <w:color w:val="auto"/>
          <w:sz w:val="30"/>
          <w:szCs w:val="30"/>
          <w:highlight w:val="none"/>
          <w:lang w:val="en-US" w:eastAsia="zh-CN"/>
        </w:rPr>
      </w:pPr>
    </w:p>
    <w:p w14:paraId="76010941">
      <w:pPr>
        <w:spacing w:line="460" w:lineRule="exact"/>
        <w:ind w:firstLine="602" w:firstLineChars="200"/>
        <w:jc w:val="center"/>
        <w:rPr>
          <w:rFonts w:hint="eastAsia" w:ascii="宋体" w:hAnsi="宋体" w:eastAsia="宋体" w:cs="宋体"/>
          <w:b/>
          <w:bCs/>
          <w:color w:val="auto"/>
          <w:sz w:val="30"/>
          <w:szCs w:val="30"/>
          <w:highlight w:val="none"/>
          <w:lang w:val="en-US" w:eastAsia="zh-CN"/>
        </w:rPr>
      </w:pPr>
    </w:p>
    <w:p w14:paraId="7169F9F6">
      <w:pPr>
        <w:spacing w:line="460" w:lineRule="exact"/>
        <w:ind w:firstLine="602" w:firstLineChars="200"/>
        <w:jc w:val="center"/>
        <w:rPr>
          <w:rFonts w:hint="eastAsia" w:ascii="宋体" w:hAnsi="宋体" w:eastAsia="宋体" w:cs="宋体"/>
          <w:b/>
          <w:bCs/>
          <w:color w:val="auto"/>
          <w:sz w:val="30"/>
          <w:szCs w:val="30"/>
          <w:highlight w:val="none"/>
          <w:lang w:val="en-US" w:eastAsia="zh-CN"/>
        </w:rPr>
      </w:pPr>
    </w:p>
    <w:p w14:paraId="2DE7458B">
      <w:pPr>
        <w:spacing w:line="460" w:lineRule="exact"/>
        <w:ind w:firstLine="602" w:firstLineChars="200"/>
        <w:jc w:val="center"/>
        <w:rPr>
          <w:rFonts w:hint="eastAsia" w:ascii="宋体" w:hAnsi="宋体" w:eastAsia="宋体" w:cs="宋体"/>
          <w:b/>
          <w:bCs/>
          <w:color w:val="auto"/>
          <w:sz w:val="30"/>
          <w:szCs w:val="30"/>
          <w:highlight w:val="none"/>
          <w:lang w:val="en-US" w:eastAsia="zh-CN"/>
        </w:rPr>
      </w:pPr>
    </w:p>
    <w:p w14:paraId="25C1802B">
      <w:pPr>
        <w:spacing w:line="460" w:lineRule="exact"/>
        <w:ind w:firstLine="602" w:firstLineChars="200"/>
        <w:jc w:val="center"/>
        <w:rPr>
          <w:rFonts w:hint="eastAsia" w:ascii="宋体" w:hAnsi="宋体" w:eastAsia="宋体" w:cs="宋体"/>
          <w:b/>
          <w:bCs/>
          <w:color w:val="auto"/>
          <w:sz w:val="30"/>
          <w:szCs w:val="30"/>
          <w:highlight w:val="none"/>
          <w:lang w:val="en-US" w:eastAsia="zh-CN"/>
        </w:rPr>
      </w:pPr>
    </w:p>
    <w:p w14:paraId="262B6337">
      <w:pPr>
        <w:spacing w:line="460" w:lineRule="exact"/>
        <w:ind w:firstLine="602" w:firstLineChars="200"/>
        <w:jc w:val="center"/>
        <w:rPr>
          <w:rFonts w:hint="eastAsia" w:ascii="宋体" w:hAnsi="宋体" w:eastAsia="宋体" w:cs="宋体"/>
          <w:b/>
          <w:bCs/>
          <w:color w:val="auto"/>
          <w:sz w:val="30"/>
          <w:szCs w:val="30"/>
          <w:highlight w:val="none"/>
          <w:lang w:val="en-US" w:eastAsia="zh-CN"/>
        </w:rPr>
      </w:pPr>
    </w:p>
    <w:p w14:paraId="5A7F5290">
      <w:pPr>
        <w:spacing w:line="460" w:lineRule="exact"/>
        <w:ind w:firstLine="602" w:firstLineChars="200"/>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4分标</w:t>
      </w:r>
      <w:r>
        <w:rPr>
          <w:rFonts w:hint="eastAsia" w:ascii="宋体" w:hAnsi="宋体" w:cs="宋体"/>
          <w:b/>
          <w:bCs/>
          <w:color w:val="auto"/>
          <w:sz w:val="30"/>
          <w:szCs w:val="30"/>
          <w:highlight w:val="none"/>
          <w:lang w:val="en-US" w:eastAsia="zh-CN"/>
        </w:rPr>
        <w:t>（资源圃展示升级设备）</w:t>
      </w:r>
    </w:p>
    <w:tbl>
      <w:tblPr>
        <w:tblStyle w:val="28"/>
        <w:tblW w:w="977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8"/>
        <w:gridCol w:w="1303"/>
        <w:gridCol w:w="690"/>
        <w:gridCol w:w="1140"/>
        <w:gridCol w:w="5894"/>
      </w:tblGrid>
      <w:tr w14:paraId="373C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9775" w:type="dxa"/>
            <w:gridSpan w:val="5"/>
            <w:tcBorders>
              <w:top w:val="single" w:color="000000" w:sz="4" w:space="0"/>
              <w:left w:val="single" w:color="000000" w:sz="4" w:space="0"/>
              <w:bottom w:val="single" w:color="000000" w:sz="4" w:space="0"/>
              <w:right w:val="single" w:color="000000" w:sz="4" w:space="0"/>
            </w:tcBorders>
            <w:vAlign w:val="center"/>
          </w:tcPr>
          <w:p w14:paraId="728E854F">
            <w:pPr>
              <w:wordWrap/>
              <w:adjustRightInd/>
              <w:snapToGrid/>
              <w:spacing w:before="0" w:after="0" w:line="320" w:lineRule="exact"/>
              <w:ind w:left="0" w:leftChars="0" w:right="0"/>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一、技术要求</w:t>
            </w:r>
          </w:p>
        </w:tc>
      </w:tr>
      <w:tr w14:paraId="66102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6062">
            <w:pPr>
              <w:wordWrap/>
              <w:adjustRightInd/>
              <w:snapToGrid/>
              <w:spacing w:before="0" w:after="0" w:line="320" w:lineRule="exact"/>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序号</w:t>
            </w:r>
          </w:p>
        </w:tc>
        <w:tc>
          <w:tcPr>
            <w:tcW w:w="1303" w:type="dxa"/>
            <w:tcBorders>
              <w:top w:val="single" w:color="000000" w:sz="4" w:space="0"/>
              <w:left w:val="nil"/>
              <w:bottom w:val="single" w:color="000000" w:sz="4" w:space="0"/>
              <w:right w:val="single" w:color="000000" w:sz="4" w:space="0"/>
            </w:tcBorders>
            <w:shd w:val="clear" w:color="auto" w:fill="auto"/>
            <w:vAlign w:val="center"/>
          </w:tcPr>
          <w:p w14:paraId="1C5AD0AD">
            <w:pPr>
              <w:wordWrap/>
              <w:adjustRightInd/>
              <w:snapToGrid/>
              <w:spacing w:before="0" w:after="0" w:line="320" w:lineRule="exact"/>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产品名称</w:t>
            </w:r>
          </w:p>
        </w:tc>
        <w:tc>
          <w:tcPr>
            <w:tcW w:w="690" w:type="dxa"/>
            <w:tcBorders>
              <w:top w:val="single" w:color="000000" w:sz="4" w:space="0"/>
              <w:left w:val="nil"/>
              <w:bottom w:val="single" w:color="000000" w:sz="4" w:space="0"/>
              <w:right w:val="single" w:color="000000" w:sz="4" w:space="0"/>
            </w:tcBorders>
            <w:shd w:val="clear" w:color="auto" w:fill="auto"/>
            <w:vAlign w:val="center"/>
          </w:tcPr>
          <w:p w14:paraId="656C1DCD">
            <w:pPr>
              <w:wordWrap/>
              <w:adjustRightInd/>
              <w:snapToGrid/>
              <w:spacing w:before="0" w:after="0" w:line="320" w:lineRule="exact"/>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单位</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6E15D600">
            <w:pPr>
              <w:wordWrap/>
              <w:adjustRightInd/>
              <w:snapToGrid/>
              <w:spacing w:before="0" w:after="0" w:line="320" w:lineRule="exact"/>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数量</w:t>
            </w:r>
          </w:p>
        </w:tc>
        <w:tc>
          <w:tcPr>
            <w:tcW w:w="5894" w:type="dxa"/>
            <w:tcBorders>
              <w:top w:val="single" w:color="000000" w:sz="4" w:space="0"/>
              <w:left w:val="nil"/>
              <w:bottom w:val="single" w:color="000000" w:sz="4" w:space="0"/>
              <w:right w:val="single" w:color="000000" w:sz="4" w:space="0"/>
            </w:tcBorders>
            <w:shd w:val="clear" w:color="auto" w:fill="auto"/>
            <w:vAlign w:val="center"/>
          </w:tcPr>
          <w:p w14:paraId="40992CCD">
            <w:pPr>
              <w:wordWrap/>
              <w:adjustRightInd/>
              <w:snapToGrid/>
              <w:spacing w:before="0" w:after="0" w:line="320" w:lineRule="exact"/>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技术性能、参数及有关要求</w:t>
            </w:r>
          </w:p>
        </w:tc>
      </w:tr>
      <w:tr w14:paraId="4DBDE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restart"/>
            <w:tcBorders>
              <w:top w:val="single" w:color="000000" w:sz="4" w:space="0"/>
              <w:left w:val="single" w:color="000000" w:sz="4" w:space="0"/>
              <w:right w:val="single" w:color="000000" w:sz="4" w:space="0"/>
            </w:tcBorders>
            <w:vAlign w:val="center"/>
          </w:tcPr>
          <w:p w14:paraId="76B7743F">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w:t>
            </w:r>
          </w:p>
        </w:tc>
        <w:tc>
          <w:tcPr>
            <w:tcW w:w="1303" w:type="dxa"/>
            <w:vMerge w:val="restart"/>
            <w:tcBorders>
              <w:top w:val="single" w:color="000000" w:sz="4" w:space="0"/>
              <w:left w:val="nil"/>
              <w:right w:val="single" w:color="000000" w:sz="4" w:space="0"/>
            </w:tcBorders>
            <w:vAlign w:val="center"/>
          </w:tcPr>
          <w:p w14:paraId="755A53AB">
            <w:pPr>
              <w:bidi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灌溉系统（灌溉面积达</w:t>
            </w:r>
            <w:r>
              <w:rPr>
                <w:rFonts w:hint="eastAsia" w:ascii="宋体" w:hAnsi="宋体" w:eastAsia="宋体" w:cs="宋体"/>
                <w:color w:val="auto"/>
                <w:kern w:val="0"/>
                <w:sz w:val="21"/>
                <w:szCs w:val="21"/>
                <w:highlight w:val="none"/>
                <w:lang w:val="en-US" w:eastAsia="zh-CN"/>
              </w:rPr>
              <w:t>37亩</w:t>
            </w:r>
            <w:r>
              <w:rPr>
                <w:rFonts w:hint="eastAsia" w:ascii="宋体" w:hAnsi="宋体" w:eastAsia="宋体" w:cs="宋体"/>
                <w:color w:val="auto"/>
                <w:kern w:val="0"/>
                <w:sz w:val="21"/>
                <w:szCs w:val="21"/>
                <w:highlight w:val="none"/>
                <w:lang w:eastAsia="zh-CN"/>
              </w:rPr>
              <w:t>）</w:t>
            </w:r>
          </w:p>
        </w:tc>
        <w:tc>
          <w:tcPr>
            <w:tcW w:w="7724" w:type="dxa"/>
            <w:gridSpan w:val="3"/>
            <w:tcBorders>
              <w:top w:val="single" w:color="000000" w:sz="4" w:space="0"/>
              <w:left w:val="nil"/>
              <w:bottom w:val="single" w:color="auto" w:sz="4" w:space="0"/>
              <w:right w:val="single" w:color="000000" w:sz="4" w:space="0"/>
            </w:tcBorders>
            <w:vAlign w:val="center"/>
          </w:tcPr>
          <w:p w14:paraId="48D872AA">
            <w:pPr>
              <w:numPr>
                <w:ilvl w:val="0"/>
                <w:numId w:val="0"/>
              </w:numPr>
              <w:tabs>
                <w:tab w:val="left" w:pos="1626"/>
              </w:tabs>
              <w:bidi w:val="0"/>
              <w:ind w:left="0" w:leftChars="0"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ab/>
            </w:r>
            <w:r>
              <w:rPr>
                <w:rFonts w:hint="eastAsia" w:ascii="宋体" w:hAnsi="宋体" w:eastAsia="宋体" w:cs="宋体"/>
                <w:color w:val="auto"/>
                <w:kern w:val="0"/>
                <w:sz w:val="21"/>
                <w:szCs w:val="21"/>
                <w:highlight w:val="none"/>
                <w:lang w:eastAsia="zh-CN"/>
              </w:rPr>
              <w:t>（</w:t>
            </w:r>
            <w:r>
              <w:rPr>
                <w:rFonts w:hint="eastAsia" w:ascii="宋体" w:hAnsi="宋体" w:eastAsia="宋体" w:cs="宋体"/>
                <w:b/>
                <w:bCs/>
                <w:sz w:val="21"/>
                <w:szCs w:val="21"/>
                <w:lang w:eastAsia="zh-CN"/>
              </w:rPr>
              <w:t>一</w:t>
            </w:r>
            <w:r>
              <w:rPr>
                <w:rFonts w:hint="eastAsia" w:ascii="宋体" w:hAnsi="宋体" w:eastAsia="宋体" w:cs="宋体"/>
                <w:color w:val="auto"/>
                <w:kern w:val="0"/>
                <w:sz w:val="21"/>
                <w:szCs w:val="21"/>
                <w:highlight w:val="none"/>
                <w:lang w:eastAsia="zh-CN"/>
              </w:rPr>
              <w:t>）</w:t>
            </w:r>
            <w:r>
              <w:rPr>
                <w:rFonts w:hint="eastAsia" w:ascii="宋体" w:hAnsi="宋体" w:eastAsia="宋体" w:cs="宋体"/>
                <w:b/>
                <w:bCs/>
                <w:sz w:val="21"/>
                <w:szCs w:val="21"/>
                <w:lang w:eastAsia="zh-CN"/>
              </w:rPr>
              <w:t>主管道</w:t>
            </w:r>
          </w:p>
        </w:tc>
      </w:tr>
      <w:tr w14:paraId="33658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26C58F14">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67220243">
            <w:pPr>
              <w:bidi w:val="0"/>
              <w:jc w:val="center"/>
              <w:rPr>
                <w:rFonts w:hint="eastAsia" w:ascii="宋体" w:hAnsi="宋体" w:eastAsia="宋体" w:cs="宋体"/>
                <w:sz w:val="21"/>
                <w:szCs w:val="21"/>
                <w:lang w:eastAsia="zh-CN"/>
              </w:rPr>
            </w:pPr>
          </w:p>
        </w:tc>
        <w:tc>
          <w:tcPr>
            <w:tcW w:w="690" w:type="dxa"/>
            <w:tcBorders>
              <w:top w:val="single" w:color="000000" w:sz="4" w:space="0"/>
              <w:left w:val="nil"/>
              <w:bottom w:val="single" w:color="auto" w:sz="4" w:space="0"/>
              <w:right w:val="single" w:color="000000" w:sz="4" w:space="0"/>
            </w:tcBorders>
            <w:vAlign w:val="center"/>
          </w:tcPr>
          <w:p w14:paraId="26050633">
            <w:pPr>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sz w:val="21"/>
                <w:szCs w:val="21"/>
                <w:lang w:val="en-US" w:eastAsia="zh-CN"/>
              </w:rPr>
              <w:t>m</w:t>
            </w:r>
          </w:p>
        </w:tc>
        <w:tc>
          <w:tcPr>
            <w:tcW w:w="1140" w:type="dxa"/>
            <w:tcBorders>
              <w:top w:val="single" w:color="000000" w:sz="4" w:space="0"/>
              <w:left w:val="nil"/>
              <w:bottom w:val="single" w:color="auto" w:sz="4" w:space="0"/>
              <w:right w:val="single" w:color="000000" w:sz="4" w:space="0"/>
            </w:tcBorders>
            <w:vAlign w:val="center"/>
          </w:tcPr>
          <w:p w14:paraId="04E4D139">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180.00</w:t>
            </w:r>
          </w:p>
        </w:tc>
        <w:tc>
          <w:tcPr>
            <w:tcW w:w="5894" w:type="dxa"/>
            <w:tcBorders>
              <w:top w:val="single" w:color="000000" w:sz="4" w:space="0"/>
              <w:left w:val="nil"/>
              <w:bottom w:val="single" w:color="000000" w:sz="4" w:space="0"/>
              <w:right w:val="single" w:color="000000" w:sz="4" w:space="0"/>
            </w:tcBorders>
            <w:vAlign w:val="center"/>
          </w:tcPr>
          <w:p w14:paraId="5D266601">
            <w:pPr>
              <w:keepNext w:val="0"/>
              <w:keepLines w:val="0"/>
              <w:widowControl/>
              <w:suppressLineNumbers w:val="0"/>
              <w:spacing w:line="36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PVC塑料管DN110</w:t>
            </w:r>
          </w:p>
          <w:p w14:paraId="5B007CDE">
            <w:pPr>
              <w:keepNext w:val="0"/>
              <w:keepLines w:val="0"/>
              <w:widowControl/>
              <w:suppressLineNumbers w:val="0"/>
              <w:spacing w:line="36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管壁厚不小于4.5mm，压力不小于1.0Mpa</w:t>
            </w:r>
          </w:p>
          <w:p w14:paraId="42A2CB6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6841C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64FC06D2">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1B847D13">
            <w:pPr>
              <w:bidi w:val="0"/>
              <w:jc w:val="center"/>
              <w:rPr>
                <w:rFonts w:hint="eastAsia" w:ascii="宋体" w:hAnsi="宋体" w:eastAsia="宋体" w:cs="宋体"/>
                <w:sz w:val="21"/>
                <w:szCs w:val="21"/>
                <w:lang w:eastAsia="zh-CN"/>
              </w:rPr>
            </w:pPr>
          </w:p>
        </w:tc>
        <w:tc>
          <w:tcPr>
            <w:tcW w:w="690" w:type="dxa"/>
            <w:tcBorders>
              <w:top w:val="single" w:color="000000" w:sz="4" w:space="0"/>
              <w:left w:val="nil"/>
              <w:bottom w:val="single" w:color="auto" w:sz="4" w:space="0"/>
              <w:right w:val="single" w:color="000000" w:sz="4" w:space="0"/>
            </w:tcBorders>
            <w:vAlign w:val="center"/>
          </w:tcPr>
          <w:p w14:paraId="4A9DEFEC">
            <w:pPr>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snapToGrid w:val="0"/>
                <w:color w:val="000000"/>
                <w:kern w:val="0"/>
                <w:sz w:val="21"/>
                <w:szCs w:val="21"/>
                <w:u w:val="none"/>
                <w:lang w:val="en-US" w:eastAsia="zh-CN" w:bidi="ar"/>
              </w:rPr>
              <w:t>个</w:t>
            </w:r>
          </w:p>
        </w:tc>
        <w:tc>
          <w:tcPr>
            <w:tcW w:w="1140" w:type="dxa"/>
            <w:tcBorders>
              <w:top w:val="single" w:color="000000" w:sz="4" w:space="0"/>
              <w:left w:val="nil"/>
              <w:bottom w:val="single" w:color="auto" w:sz="4" w:space="0"/>
              <w:right w:val="single" w:color="000000" w:sz="4" w:space="0"/>
            </w:tcBorders>
            <w:vAlign w:val="center"/>
          </w:tcPr>
          <w:p w14:paraId="7B3B6C12">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snapToGrid w:val="0"/>
                <w:color w:val="000000"/>
                <w:kern w:val="0"/>
                <w:sz w:val="21"/>
                <w:szCs w:val="21"/>
                <w:u w:val="none"/>
                <w:lang w:val="en-US" w:eastAsia="zh-CN" w:bidi="ar"/>
              </w:rPr>
              <w:t>6</w:t>
            </w:r>
          </w:p>
        </w:tc>
        <w:tc>
          <w:tcPr>
            <w:tcW w:w="5894" w:type="dxa"/>
            <w:tcBorders>
              <w:top w:val="single" w:color="000000" w:sz="4" w:space="0"/>
              <w:left w:val="nil"/>
              <w:bottom w:val="single" w:color="000000" w:sz="4" w:space="0"/>
              <w:right w:val="single" w:color="000000" w:sz="4" w:space="0"/>
            </w:tcBorders>
            <w:vAlign w:val="center"/>
          </w:tcPr>
          <w:p w14:paraId="0225061D">
            <w:pPr>
              <w:keepNext w:val="0"/>
              <w:keepLines w:val="0"/>
              <w:widowControl/>
              <w:suppressLineNumbers w:val="0"/>
              <w:spacing w:line="36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90°弯头 Dn110</w:t>
            </w:r>
          </w:p>
          <w:p w14:paraId="48C4BD16">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03B37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5F4B52C2">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01F24F20">
            <w:pPr>
              <w:bidi w:val="0"/>
              <w:jc w:val="center"/>
              <w:rPr>
                <w:rFonts w:hint="eastAsia" w:ascii="宋体" w:hAnsi="宋体" w:eastAsia="宋体" w:cs="宋体"/>
                <w:sz w:val="21"/>
                <w:szCs w:val="21"/>
                <w:lang w:eastAsia="zh-CN"/>
              </w:rPr>
            </w:pPr>
          </w:p>
        </w:tc>
        <w:tc>
          <w:tcPr>
            <w:tcW w:w="690" w:type="dxa"/>
            <w:tcBorders>
              <w:top w:val="single" w:color="000000" w:sz="4" w:space="0"/>
              <w:left w:val="nil"/>
              <w:bottom w:val="single" w:color="auto" w:sz="4" w:space="0"/>
              <w:right w:val="single" w:color="000000" w:sz="4" w:space="0"/>
            </w:tcBorders>
            <w:vAlign w:val="center"/>
          </w:tcPr>
          <w:p w14:paraId="1F68E71D">
            <w:pPr>
              <w:keepNext w:val="0"/>
              <w:keepLines w:val="0"/>
              <w:widowControl/>
              <w:suppressLineNumbers w:val="0"/>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204CFBBE">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snapToGrid w:val="0"/>
                <w:color w:val="000000"/>
                <w:kern w:val="0"/>
                <w:sz w:val="21"/>
                <w:szCs w:val="21"/>
                <w:u w:val="none"/>
                <w:lang w:val="en-US" w:eastAsia="zh-CN" w:bidi="ar"/>
              </w:rPr>
              <w:t>5</w:t>
            </w:r>
          </w:p>
        </w:tc>
        <w:tc>
          <w:tcPr>
            <w:tcW w:w="5894" w:type="dxa"/>
            <w:tcBorders>
              <w:top w:val="single" w:color="000000" w:sz="4" w:space="0"/>
              <w:left w:val="nil"/>
              <w:bottom w:val="single" w:color="000000" w:sz="4" w:space="0"/>
              <w:right w:val="single" w:color="000000" w:sz="4" w:space="0"/>
            </w:tcBorders>
            <w:vAlign w:val="center"/>
          </w:tcPr>
          <w:p w14:paraId="519206B5">
            <w:pPr>
              <w:keepNext w:val="0"/>
              <w:keepLines w:val="0"/>
              <w:widowControl/>
              <w:suppressLineNumbers w:val="0"/>
              <w:spacing w:line="36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异径三通 Dn110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40</w:t>
            </w:r>
          </w:p>
          <w:p w14:paraId="3371457B">
            <w:pPr>
              <w:keepNext w:val="0"/>
              <w:keepLines w:val="0"/>
              <w:widowControl/>
              <w:suppressLineNumbers w:val="0"/>
              <w:spacing w:line="36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管壁厚不小于4.5mm，压力不小于1.0Mpa</w:t>
            </w:r>
          </w:p>
          <w:p w14:paraId="5EDDDD51">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63304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7BF285C3">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1C346BE2">
            <w:pPr>
              <w:bidi w:val="0"/>
              <w:jc w:val="center"/>
              <w:rPr>
                <w:rFonts w:hint="eastAsia" w:ascii="宋体" w:hAnsi="宋体" w:eastAsia="宋体" w:cs="宋体"/>
                <w:sz w:val="21"/>
                <w:szCs w:val="21"/>
                <w:lang w:eastAsia="zh-CN"/>
              </w:rPr>
            </w:pPr>
          </w:p>
        </w:tc>
        <w:tc>
          <w:tcPr>
            <w:tcW w:w="690" w:type="dxa"/>
            <w:tcBorders>
              <w:top w:val="single" w:color="000000" w:sz="4" w:space="0"/>
              <w:left w:val="nil"/>
              <w:bottom w:val="single" w:color="auto" w:sz="4" w:space="0"/>
              <w:right w:val="single" w:color="000000" w:sz="4" w:space="0"/>
            </w:tcBorders>
            <w:vAlign w:val="center"/>
          </w:tcPr>
          <w:p w14:paraId="0187C5C3">
            <w:pPr>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52504C7F">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snapToGrid w:val="0"/>
                <w:color w:val="000000"/>
                <w:kern w:val="0"/>
                <w:sz w:val="21"/>
                <w:szCs w:val="21"/>
                <w:u w:val="none"/>
                <w:lang w:val="en-US" w:eastAsia="zh-CN" w:bidi="ar"/>
              </w:rPr>
              <w:t>1</w:t>
            </w:r>
          </w:p>
        </w:tc>
        <w:tc>
          <w:tcPr>
            <w:tcW w:w="5894" w:type="dxa"/>
            <w:tcBorders>
              <w:top w:val="single" w:color="000000" w:sz="4" w:space="0"/>
              <w:left w:val="nil"/>
              <w:bottom w:val="single" w:color="000000" w:sz="4" w:space="0"/>
              <w:right w:val="single" w:color="000000" w:sz="4" w:space="0"/>
            </w:tcBorders>
            <w:vAlign w:val="center"/>
          </w:tcPr>
          <w:p w14:paraId="50222366">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法兰蝶阀 DN100</w:t>
            </w:r>
          </w:p>
          <w:p w14:paraId="32103B25">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开启方式：手动；材质：钢质；</w:t>
            </w:r>
            <w:r>
              <w:rPr>
                <w:rFonts w:hint="eastAsia" w:ascii="宋体" w:hAnsi="宋体" w:cs="宋体"/>
                <w:snapToGrid w:val="0"/>
                <w:color w:val="000000"/>
                <w:kern w:val="0"/>
                <w:sz w:val="21"/>
                <w:szCs w:val="21"/>
                <w:lang w:val="en-US" w:eastAsia="zh-CN" w:bidi="ar-SA"/>
              </w:rPr>
              <w:t>压力</w:t>
            </w:r>
            <w:r>
              <w:rPr>
                <w:rFonts w:hint="eastAsia" w:ascii="宋体" w:hAnsi="宋体" w:eastAsia="宋体" w:cs="宋体"/>
                <w:snapToGrid w:val="0"/>
                <w:color w:val="000000"/>
                <w:kern w:val="0"/>
                <w:sz w:val="21"/>
                <w:szCs w:val="21"/>
                <w:lang w:val="en-US" w:eastAsia="zh-CN" w:bidi="ar-SA"/>
              </w:rPr>
              <w:t>不小于1.0Mpa</w:t>
            </w:r>
          </w:p>
          <w:p w14:paraId="27D786D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000000"/>
                <w:kern w:val="0"/>
                <w:sz w:val="21"/>
                <w:szCs w:val="21"/>
                <w:lang w:val="en-US" w:eastAsia="zh-CN" w:bidi="ar-SA"/>
              </w:rPr>
              <w:t>包含安装费、装卸搬运费</w:t>
            </w:r>
          </w:p>
        </w:tc>
      </w:tr>
      <w:tr w14:paraId="39E75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376BACC4">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03995780">
            <w:pPr>
              <w:bidi w:val="0"/>
              <w:jc w:val="center"/>
              <w:rPr>
                <w:rFonts w:hint="eastAsia" w:ascii="宋体" w:hAnsi="宋体" w:eastAsia="宋体" w:cs="宋体"/>
                <w:sz w:val="21"/>
                <w:szCs w:val="21"/>
                <w:lang w:eastAsia="zh-CN"/>
              </w:rPr>
            </w:pPr>
          </w:p>
        </w:tc>
        <w:tc>
          <w:tcPr>
            <w:tcW w:w="7724" w:type="dxa"/>
            <w:gridSpan w:val="3"/>
            <w:tcBorders>
              <w:top w:val="single" w:color="000000" w:sz="4" w:space="0"/>
              <w:left w:val="nil"/>
              <w:bottom w:val="single" w:color="auto" w:sz="4" w:space="0"/>
              <w:right w:val="single" w:color="000000" w:sz="4" w:space="0"/>
            </w:tcBorders>
            <w:vAlign w:val="center"/>
          </w:tcPr>
          <w:p w14:paraId="1D4F0573">
            <w:pPr>
              <w:keepNext w:val="0"/>
              <w:keepLines w:val="0"/>
              <w:widowControl/>
              <w:suppressLineNumbers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二</w:t>
            </w:r>
            <w:r>
              <w:rPr>
                <w:rFonts w:hint="eastAsia" w:ascii="宋体" w:hAnsi="宋体" w:eastAsia="宋体" w:cs="宋体"/>
                <w:b/>
                <w:bCs/>
                <w:sz w:val="21"/>
                <w:szCs w:val="21"/>
                <w:lang w:eastAsia="zh-CN"/>
              </w:rPr>
              <w:t>）（</w:t>
            </w:r>
            <w:r>
              <w:rPr>
                <w:rFonts w:hint="eastAsia" w:ascii="宋体" w:hAnsi="宋体" w:eastAsia="宋体" w:cs="宋体"/>
                <w:b/>
                <w:bCs/>
                <w:sz w:val="21"/>
                <w:szCs w:val="21"/>
              </w:rPr>
              <w:t>1、5、6、7、8灌区</w:t>
            </w:r>
            <w:r>
              <w:rPr>
                <w:rFonts w:hint="eastAsia" w:ascii="宋体" w:hAnsi="宋体" w:eastAsia="宋体" w:cs="宋体"/>
                <w:b/>
                <w:bCs/>
                <w:sz w:val="21"/>
                <w:szCs w:val="21"/>
                <w:lang w:eastAsia="zh-CN"/>
              </w:rPr>
              <w:t>）</w:t>
            </w:r>
            <w:r>
              <w:rPr>
                <w:rFonts w:hint="eastAsia" w:ascii="宋体" w:hAnsi="宋体" w:eastAsia="宋体" w:cs="宋体"/>
                <w:b/>
                <w:bCs/>
                <w:sz w:val="21"/>
                <w:szCs w:val="21"/>
              </w:rPr>
              <w:t>地面喷灌</w:t>
            </w:r>
          </w:p>
        </w:tc>
      </w:tr>
      <w:tr w14:paraId="47508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4A557A6E">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7BDE0449">
            <w:pPr>
              <w:bidi w:val="0"/>
              <w:jc w:val="center"/>
              <w:rPr>
                <w:rFonts w:hint="eastAsia" w:ascii="宋体" w:hAnsi="宋体" w:eastAsia="宋体" w:cs="宋体"/>
                <w:sz w:val="21"/>
                <w:szCs w:val="21"/>
                <w:lang w:eastAsia="zh-CN"/>
              </w:rPr>
            </w:pPr>
          </w:p>
        </w:tc>
        <w:tc>
          <w:tcPr>
            <w:tcW w:w="690" w:type="dxa"/>
            <w:tcBorders>
              <w:top w:val="single" w:color="000000" w:sz="4" w:space="0"/>
              <w:left w:val="nil"/>
              <w:bottom w:val="single" w:color="auto" w:sz="4" w:space="0"/>
              <w:right w:val="single" w:color="000000" w:sz="4" w:space="0"/>
            </w:tcBorders>
            <w:vAlign w:val="center"/>
          </w:tcPr>
          <w:p w14:paraId="23CEDF22">
            <w:pPr>
              <w:keepNext w:val="0"/>
              <w:keepLines w:val="0"/>
              <w:widowControl/>
              <w:suppressLineNumbers w:val="0"/>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6FFC1F2D">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229</w:t>
            </w:r>
          </w:p>
        </w:tc>
        <w:tc>
          <w:tcPr>
            <w:tcW w:w="5894" w:type="dxa"/>
            <w:tcBorders>
              <w:top w:val="single" w:color="000000" w:sz="4" w:space="0"/>
              <w:left w:val="nil"/>
              <w:bottom w:val="single" w:color="000000" w:sz="4" w:space="0"/>
              <w:right w:val="single" w:color="000000" w:sz="4" w:space="0"/>
            </w:tcBorders>
            <w:vAlign w:val="center"/>
          </w:tcPr>
          <w:p w14:paraId="4F654546">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喷灌喷头</w:t>
            </w:r>
          </w:p>
          <w:p w14:paraId="342D5DFB">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PRO-15A地埋式伸缩散射喷头，配备PRS 30系列喷杆</w:t>
            </w:r>
          </w:p>
          <w:p w14:paraId="4CFE6405">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材质；锌合金或铜；喷洒角度360°，工作压力150KPa，射程半径R=4.3m</w:t>
            </w:r>
          </w:p>
          <w:p w14:paraId="6FC1AC0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000000"/>
                <w:kern w:val="0"/>
                <w:sz w:val="21"/>
                <w:szCs w:val="21"/>
                <w:lang w:val="en-US" w:eastAsia="zh-CN" w:bidi="ar-SA"/>
              </w:rPr>
              <w:t>包含安装费、装卸搬运费</w:t>
            </w:r>
          </w:p>
        </w:tc>
      </w:tr>
      <w:tr w14:paraId="53F19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55446FAA">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7ABEA29C">
            <w:pPr>
              <w:bidi w:val="0"/>
              <w:jc w:val="center"/>
              <w:rPr>
                <w:rFonts w:hint="eastAsia" w:ascii="宋体" w:hAnsi="宋体" w:eastAsia="宋体" w:cs="宋体"/>
                <w:sz w:val="21"/>
                <w:szCs w:val="21"/>
                <w:lang w:eastAsia="zh-CN"/>
              </w:rPr>
            </w:pPr>
          </w:p>
        </w:tc>
        <w:tc>
          <w:tcPr>
            <w:tcW w:w="690" w:type="dxa"/>
            <w:tcBorders>
              <w:top w:val="single" w:color="000000" w:sz="4" w:space="0"/>
              <w:left w:val="nil"/>
              <w:bottom w:val="single" w:color="auto" w:sz="4" w:space="0"/>
              <w:right w:val="single" w:color="000000" w:sz="4" w:space="0"/>
            </w:tcBorders>
            <w:vAlign w:val="center"/>
          </w:tcPr>
          <w:p w14:paraId="160458A4">
            <w:pPr>
              <w:keepNext w:val="0"/>
              <w:keepLines w:val="0"/>
              <w:widowControl/>
              <w:suppressLineNumbers w:val="0"/>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sz w:val="21"/>
                <w:szCs w:val="21"/>
                <w:lang w:val="en-US" w:eastAsia="zh-CN"/>
              </w:rPr>
              <w:t>m</w:t>
            </w:r>
          </w:p>
        </w:tc>
        <w:tc>
          <w:tcPr>
            <w:tcW w:w="1140" w:type="dxa"/>
            <w:tcBorders>
              <w:top w:val="single" w:color="000000" w:sz="4" w:space="0"/>
              <w:left w:val="nil"/>
              <w:bottom w:val="single" w:color="auto" w:sz="4" w:space="0"/>
              <w:right w:val="single" w:color="000000" w:sz="4" w:space="0"/>
            </w:tcBorders>
            <w:vAlign w:val="center"/>
          </w:tcPr>
          <w:p w14:paraId="7DC3E12A">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348.00</w:t>
            </w:r>
          </w:p>
        </w:tc>
        <w:tc>
          <w:tcPr>
            <w:tcW w:w="5894" w:type="dxa"/>
            <w:tcBorders>
              <w:top w:val="single" w:color="000000" w:sz="4" w:space="0"/>
              <w:left w:val="nil"/>
              <w:bottom w:val="single" w:color="000000" w:sz="4" w:space="0"/>
              <w:right w:val="single" w:color="000000" w:sz="4" w:space="0"/>
            </w:tcBorders>
            <w:vAlign w:val="center"/>
          </w:tcPr>
          <w:p w14:paraId="7BE2DB79">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镀锌钢管DN25</w:t>
            </w:r>
          </w:p>
          <w:p w14:paraId="2DE768DB">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国标热镀钢管 DN25</w:t>
            </w:r>
          </w:p>
          <w:p w14:paraId="7338FC67">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000000"/>
                <w:kern w:val="0"/>
                <w:sz w:val="21"/>
                <w:szCs w:val="21"/>
                <w:lang w:val="en-US" w:eastAsia="zh-CN" w:bidi="ar-SA"/>
              </w:rPr>
              <w:t>包含安装费、装卸搬运费</w:t>
            </w:r>
          </w:p>
        </w:tc>
      </w:tr>
      <w:tr w14:paraId="3012D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3700DDDE">
            <w:pPr>
              <w:bidi w:val="0"/>
              <w:jc w:val="center"/>
              <w:rPr>
                <w:rFonts w:hint="eastAsia" w:ascii="宋体" w:hAnsi="宋体" w:eastAsia="宋体" w:cs="宋体"/>
                <w:sz w:val="21"/>
                <w:szCs w:val="21"/>
                <w:lang w:val="en-US" w:eastAsia="zh-CN"/>
              </w:rPr>
            </w:pPr>
          </w:p>
        </w:tc>
        <w:tc>
          <w:tcPr>
            <w:tcW w:w="1303" w:type="dxa"/>
            <w:vMerge w:val="continue"/>
            <w:tcBorders>
              <w:left w:val="nil"/>
              <w:right w:val="single" w:color="000000" w:sz="4" w:space="0"/>
            </w:tcBorders>
            <w:vAlign w:val="center"/>
          </w:tcPr>
          <w:p w14:paraId="5B1B045D">
            <w:pPr>
              <w:bidi w:val="0"/>
              <w:jc w:val="center"/>
              <w:rPr>
                <w:rFonts w:hint="eastAsia" w:ascii="宋体" w:hAnsi="宋体" w:eastAsia="宋体" w:cs="宋体"/>
                <w:sz w:val="21"/>
                <w:szCs w:val="21"/>
                <w:lang w:eastAsia="zh-CN"/>
              </w:rPr>
            </w:pPr>
          </w:p>
        </w:tc>
        <w:tc>
          <w:tcPr>
            <w:tcW w:w="690" w:type="dxa"/>
            <w:tcBorders>
              <w:top w:val="single" w:color="000000" w:sz="4" w:space="0"/>
              <w:left w:val="nil"/>
              <w:bottom w:val="single" w:color="auto" w:sz="4" w:space="0"/>
              <w:right w:val="single" w:color="000000" w:sz="4" w:space="0"/>
            </w:tcBorders>
            <w:vAlign w:val="center"/>
          </w:tcPr>
          <w:p w14:paraId="10D27DCE">
            <w:pPr>
              <w:keepNext w:val="0"/>
              <w:keepLines w:val="0"/>
              <w:widowControl/>
              <w:suppressLineNumbers w:val="0"/>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sz w:val="21"/>
                <w:szCs w:val="21"/>
                <w:lang w:val="en-US" w:eastAsia="zh-CN"/>
              </w:rPr>
              <w:t>m</w:t>
            </w:r>
          </w:p>
        </w:tc>
        <w:tc>
          <w:tcPr>
            <w:tcW w:w="1140" w:type="dxa"/>
            <w:tcBorders>
              <w:top w:val="single" w:color="000000" w:sz="4" w:space="0"/>
              <w:left w:val="nil"/>
              <w:bottom w:val="single" w:color="auto" w:sz="4" w:space="0"/>
              <w:right w:val="single" w:color="000000" w:sz="4" w:space="0"/>
            </w:tcBorders>
            <w:vAlign w:val="center"/>
          </w:tcPr>
          <w:p w14:paraId="68423B61">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540.00</w:t>
            </w:r>
          </w:p>
        </w:tc>
        <w:tc>
          <w:tcPr>
            <w:tcW w:w="5894" w:type="dxa"/>
            <w:tcBorders>
              <w:top w:val="single" w:color="000000" w:sz="4" w:space="0"/>
              <w:left w:val="nil"/>
              <w:bottom w:val="single" w:color="000000" w:sz="4" w:space="0"/>
              <w:right w:val="single" w:color="000000" w:sz="4" w:space="0"/>
            </w:tcBorders>
            <w:vAlign w:val="center"/>
          </w:tcPr>
          <w:p w14:paraId="1B17CC89">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PVC塑料管DN25</w:t>
            </w:r>
          </w:p>
          <w:p w14:paraId="54C80D36">
            <w:pPr>
              <w:keepNext w:val="0"/>
              <w:keepLines w:val="0"/>
              <w:widowControl/>
              <w:suppressLineNumbers w:val="0"/>
              <w:spacing w:line="360" w:lineRule="auto"/>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管壁厚不小于2.0mm，压力不小于1.0Mpa</w:t>
            </w:r>
          </w:p>
          <w:p w14:paraId="38A659E9">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000000"/>
                <w:kern w:val="0"/>
                <w:sz w:val="21"/>
                <w:szCs w:val="21"/>
                <w:lang w:val="en-US" w:eastAsia="zh-CN" w:bidi="ar-SA"/>
              </w:rPr>
              <w:t>包含安装费、装卸搬运费</w:t>
            </w:r>
          </w:p>
        </w:tc>
      </w:tr>
      <w:tr w14:paraId="2BDA7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1C02917C">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727DE7A9">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auto" w:sz="4" w:space="0"/>
              <w:right w:val="single" w:color="000000" w:sz="4" w:space="0"/>
            </w:tcBorders>
            <w:vAlign w:val="center"/>
          </w:tcPr>
          <w:p w14:paraId="37A19DC7">
            <w:pPr>
              <w:keepNext w:val="0"/>
              <w:keepLines w:val="0"/>
              <w:widowControl/>
              <w:suppressLineNumbers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m</w:t>
            </w:r>
          </w:p>
        </w:tc>
        <w:tc>
          <w:tcPr>
            <w:tcW w:w="1140" w:type="dxa"/>
            <w:tcBorders>
              <w:top w:val="single" w:color="auto" w:sz="4" w:space="0"/>
              <w:left w:val="nil"/>
              <w:bottom w:val="single" w:color="auto" w:sz="4" w:space="0"/>
              <w:right w:val="single" w:color="000000" w:sz="4" w:space="0"/>
            </w:tcBorders>
            <w:vAlign w:val="center"/>
          </w:tcPr>
          <w:p w14:paraId="7465C842">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480.00</w:t>
            </w:r>
          </w:p>
        </w:tc>
        <w:tc>
          <w:tcPr>
            <w:tcW w:w="5894" w:type="dxa"/>
            <w:tcBorders>
              <w:top w:val="single" w:color="000000" w:sz="4" w:space="0"/>
              <w:left w:val="nil"/>
              <w:bottom w:val="single" w:color="000000" w:sz="4" w:space="0"/>
              <w:right w:val="single" w:color="000000" w:sz="4" w:space="0"/>
            </w:tcBorders>
            <w:vAlign w:val="center"/>
          </w:tcPr>
          <w:p w14:paraId="6F195C9A">
            <w:pPr>
              <w:spacing w:line="36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PVC塑料管DN32</w:t>
            </w:r>
          </w:p>
          <w:p w14:paraId="6D2B8FF1">
            <w:pPr>
              <w:spacing w:line="36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管壁厚不小于2.4mm，压力不小于0.8Mpa</w:t>
            </w:r>
          </w:p>
          <w:p w14:paraId="3420458F">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4931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0A3BCD86">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60C258B0">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502A5A5E">
            <w:pPr>
              <w:keepNext w:val="0"/>
              <w:keepLines w:val="0"/>
              <w:widowControl/>
              <w:suppressLineNumbers w:val="0"/>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m</w:t>
            </w:r>
          </w:p>
        </w:tc>
        <w:tc>
          <w:tcPr>
            <w:tcW w:w="1140" w:type="dxa"/>
            <w:tcBorders>
              <w:top w:val="single" w:color="auto" w:sz="4" w:space="0"/>
              <w:left w:val="nil"/>
              <w:bottom w:val="single" w:color="000000" w:sz="4" w:space="0"/>
              <w:right w:val="single" w:color="000000" w:sz="4" w:space="0"/>
            </w:tcBorders>
            <w:vAlign w:val="center"/>
          </w:tcPr>
          <w:p w14:paraId="070E39AF">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366.00</w:t>
            </w:r>
          </w:p>
        </w:tc>
        <w:tc>
          <w:tcPr>
            <w:tcW w:w="5894" w:type="dxa"/>
            <w:tcBorders>
              <w:top w:val="single" w:color="000000" w:sz="4" w:space="0"/>
              <w:left w:val="nil"/>
              <w:bottom w:val="single" w:color="000000" w:sz="4" w:space="0"/>
              <w:right w:val="single" w:color="000000" w:sz="4" w:space="0"/>
            </w:tcBorders>
            <w:vAlign w:val="center"/>
          </w:tcPr>
          <w:p w14:paraId="55A2120F">
            <w:pPr>
              <w:spacing w:line="360" w:lineRule="auto"/>
              <w:rPr>
                <w:rFonts w:hint="eastAsia" w:ascii="宋体" w:hAnsi="宋体" w:eastAsia="宋体" w:cs="宋体"/>
                <w:sz w:val="21"/>
                <w:szCs w:val="21"/>
              </w:rPr>
            </w:pPr>
            <w:r>
              <w:rPr>
                <w:rFonts w:hint="eastAsia" w:ascii="宋体" w:hAnsi="宋体" w:eastAsia="宋体" w:cs="宋体"/>
                <w:sz w:val="21"/>
                <w:szCs w:val="21"/>
              </w:rPr>
              <w:t>PVC塑料管DN40</w:t>
            </w:r>
          </w:p>
          <w:p w14:paraId="3A0F99B1">
            <w:pPr>
              <w:spacing w:line="360" w:lineRule="auto"/>
              <w:rPr>
                <w:rFonts w:hint="eastAsia" w:ascii="宋体" w:hAnsi="宋体" w:eastAsia="宋体" w:cs="宋体"/>
                <w:sz w:val="21"/>
                <w:szCs w:val="21"/>
              </w:rPr>
            </w:pPr>
            <w:r>
              <w:rPr>
                <w:rFonts w:hint="eastAsia" w:ascii="宋体" w:hAnsi="宋体" w:eastAsia="宋体" w:cs="宋体"/>
                <w:sz w:val="21"/>
                <w:szCs w:val="21"/>
              </w:rPr>
              <w:t>管壁厚不小于3.0mm，压力不小于0.8Mpa</w:t>
            </w:r>
          </w:p>
          <w:p w14:paraId="48357D34">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62559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79AE6CCC">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621BF4F1">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7D4E3BA9">
            <w:pPr>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615CB60D">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7</w:t>
            </w:r>
          </w:p>
        </w:tc>
        <w:tc>
          <w:tcPr>
            <w:tcW w:w="5894" w:type="dxa"/>
            <w:tcBorders>
              <w:top w:val="single" w:color="000000" w:sz="4" w:space="0"/>
              <w:left w:val="nil"/>
              <w:bottom w:val="single" w:color="000000" w:sz="4" w:space="0"/>
              <w:right w:val="single" w:color="000000" w:sz="4" w:space="0"/>
            </w:tcBorders>
            <w:vAlign w:val="center"/>
          </w:tcPr>
          <w:p w14:paraId="30AB4E9C">
            <w:pPr>
              <w:rPr>
                <w:rFonts w:hint="eastAsia" w:ascii="宋体" w:hAnsi="宋体" w:eastAsia="宋体" w:cs="宋体"/>
                <w:sz w:val="21"/>
                <w:szCs w:val="21"/>
              </w:rPr>
            </w:pPr>
            <w:r>
              <w:rPr>
                <w:rFonts w:hint="eastAsia" w:ascii="宋体" w:hAnsi="宋体" w:eastAsia="宋体" w:cs="宋体"/>
                <w:sz w:val="21"/>
                <w:szCs w:val="21"/>
              </w:rPr>
              <w:t>法兰蝶阀 DN40</w:t>
            </w:r>
          </w:p>
          <w:p w14:paraId="62545F56">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57267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0E11F957">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4DE99007">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14683A3A">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5F7B7CB6">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7</w:t>
            </w:r>
          </w:p>
        </w:tc>
        <w:tc>
          <w:tcPr>
            <w:tcW w:w="5894" w:type="dxa"/>
            <w:tcBorders>
              <w:top w:val="single" w:color="000000" w:sz="4" w:space="0"/>
              <w:left w:val="nil"/>
              <w:bottom w:val="single" w:color="000000" w:sz="4" w:space="0"/>
              <w:right w:val="single" w:color="000000" w:sz="4" w:space="0"/>
            </w:tcBorders>
            <w:vAlign w:val="center"/>
          </w:tcPr>
          <w:p w14:paraId="43C4C943">
            <w:pPr>
              <w:rPr>
                <w:rFonts w:hint="eastAsia" w:ascii="宋体" w:hAnsi="宋体" w:eastAsia="宋体" w:cs="宋体"/>
                <w:sz w:val="21"/>
                <w:szCs w:val="21"/>
              </w:rPr>
            </w:pPr>
            <w:r>
              <w:rPr>
                <w:rFonts w:hint="eastAsia" w:ascii="宋体" w:hAnsi="宋体" w:eastAsia="宋体" w:cs="宋体"/>
                <w:sz w:val="21"/>
                <w:szCs w:val="21"/>
              </w:rPr>
              <w:t>电控球阀 DN40</w:t>
            </w:r>
          </w:p>
          <w:p w14:paraId="28B9D626">
            <w:pPr>
              <w:rPr>
                <w:rFonts w:hint="eastAsia" w:ascii="宋体" w:hAnsi="宋体" w:eastAsia="宋体" w:cs="宋体"/>
                <w:sz w:val="21"/>
                <w:szCs w:val="21"/>
              </w:rPr>
            </w:pPr>
            <w:r>
              <w:rPr>
                <w:rFonts w:hint="eastAsia" w:ascii="宋体" w:hAnsi="宋体" w:eastAsia="宋体" w:cs="宋体"/>
                <w:sz w:val="21"/>
                <w:szCs w:val="21"/>
              </w:rPr>
              <w:t>配LCV010无线开关阀门终端</w:t>
            </w:r>
          </w:p>
          <w:p w14:paraId="281E99E2">
            <w:pPr>
              <w:rPr>
                <w:rFonts w:hint="eastAsia" w:ascii="宋体" w:hAnsi="宋体" w:eastAsia="宋体" w:cs="宋体"/>
                <w:sz w:val="21"/>
                <w:szCs w:val="21"/>
                <w:lang w:eastAsia="zh-CN"/>
              </w:rPr>
            </w:pPr>
            <w:r>
              <w:rPr>
                <w:rFonts w:hint="eastAsia" w:ascii="宋体" w:hAnsi="宋体" w:eastAsia="宋体" w:cs="宋体"/>
                <w:sz w:val="21"/>
                <w:szCs w:val="21"/>
              </w:rPr>
              <w:t>配304材质不锈钢阀门箱400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400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400</w:t>
            </w:r>
            <w:r>
              <w:rPr>
                <w:rFonts w:hint="eastAsia" w:ascii="宋体" w:hAnsi="宋体" w:cs="宋体"/>
                <w:sz w:val="21"/>
                <w:szCs w:val="21"/>
                <w:lang w:eastAsia="zh-CN"/>
              </w:rPr>
              <w:t>（</w:t>
            </w:r>
            <w:r>
              <w:rPr>
                <w:rFonts w:hint="eastAsia" w:ascii="宋体" w:hAnsi="宋体" w:cs="宋体"/>
                <w:sz w:val="21"/>
                <w:szCs w:val="21"/>
                <w:lang w:val="en-US" w:eastAsia="zh-CN"/>
              </w:rPr>
              <w:t>mm</w:t>
            </w:r>
            <w:r>
              <w:rPr>
                <w:rFonts w:hint="eastAsia" w:ascii="宋体" w:hAnsi="宋体" w:cs="宋体"/>
                <w:sz w:val="21"/>
                <w:szCs w:val="21"/>
                <w:lang w:eastAsia="zh-CN"/>
              </w:rPr>
              <w:t>）</w:t>
            </w:r>
          </w:p>
          <w:p w14:paraId="02D9A9C2">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5338F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02C8A6D6">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3B88614D">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182490C3">
            <w:pPr>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0ED5E52E">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7</w:t>
            </w:r>
          </w:p>
        </w:tc>
        <w:tc>
          <w:tcPr>
            <w:tcW w:w="5894" w:type="dxa"/>
            <w:tcBorders>
              <w:top w:val="single" w:color="000000" w:sz="4" w:space="0"/>
              <w:left w:val="nil"/>
              <w:bottom w:val="single" w:color="000000" w:sz="4" w:space="0"/>
              <w:right w:val="single" w:color="000000" w:sz="4" w:space="0"/>
            </w:tcBorders>
            <w:vAlign w:val="center"/>
          </w:tcPr>
          <w:p w14:paraId="7259BF7F">
            <w:pPr>
              <w:rPr>
                <w:rFonts w:hint="eastAsia" w:ascii="宋体" w:hAnsi="宋体" w:eastAsia="宋体" w:cs="宋体"/>
                <w:sz w:val="21"/>
                <w:szCs w:val="21"/>
              </w:rPr>
            </w:pPr>
            <w:r>
              <w:rPr>
                <w:rFonts w:hint="eastAsia" w:ascii="宋体" w:hAnsi="宋体" w:eastAsia="宋体" w:cs="宋体"/>
                <w:sz w:val="21"/>
                <w:szCs w:val="21"/>
              </w:rPr>
              <w:t>自动排气阀 DN25</w:t>
            </w:r>
          </w:p>
          <w:p w14:paraId="5969FB06">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10A32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71CDCD2F">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5CE32E7A">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70BF90DF">
            <w:pPr>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7BB8EB10">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60</w:t>
            </w:r>
          </w:p>
        </w:tc>
        <w:tc>
          <w:tcPr>
            <w:tcW w:w="5894" w:type="dxa"/>
            <w:tcBorders>
              <w:top w:val="single" w:color="000000" w:sz="4" w:space="0"/>
              <w:left w:val="nil"/>
              <w:bottom w:val="single" w:color="000000" w:sz="4" w:space="0"/>
              <w:right w:val="single" w:color="000000" w:sz="4" w:space="0"/>
            </w:tcBorders>
            <w:vAlign w:val="center"/>
          </w:tcPr>
          <w:p w14:paraId="4BEBC8ED">
            <w:pPr>
              <w:keepNext w:val="0"/>
              <w:keepLines w:val="0"/>
              <w:widowControl/>
              <w:suppressLineNumbers w:val="0"/>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PVC塑料管件 内牙90°弯头Dn25</w:t>
            </w:r>
          </w:p>
          <w:p w14:paraId="5C8129CB">
            <w:pPr>
              <w:keepNext w:val="0"/>
              <w:keepLines w:val="0"/>
              <w:widowControl/>
              <w:suppressLineNumbers w:val="0"/>
              <w:jc w:val="left"/>
              <w:textAlignment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管壁厚不小于2.0mm，压力不小于0.8Mpa</w:t>
            </w:r>
          </w:p>
          <w:p w14:paraId="2F80E756">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000000"/>
                <w:kern w:val="0"/>
                <w:sz w:val="21"/>
                <w:szCs w:val="21"/>
                <w:lang w:val="en-US" w:eastAsia="zh-CN" w:bidi="ar-SA"/>
              </w:rPr>
              <w:t>包含安装费、装卸搬运费</w:t>
            </w:r>
          </w:p>
        </w:tc>
      </w:tr>
      <w:tr w14:paraId="4BDD5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6916718F">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3D8FD86E">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3F05004D">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16ED910E">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60</w:t>
            </w:r>
          </w:p>
        </w:tc>
        <w:tc>
          <w:tcPr>
            <w:tcW w:w="5894" w:type="dxa"/>
            <w:tcBorders>
              <w:top w:val="single" w:color="000000" w:sz="4" w:space="0"/>
              <w:left w:val="nil"/>
              <w:bottom w:val="single" w:color="000000" w:sz="4" w:space="0"/>
              <w:right w:val="single" w:color="000000" w:sz="4" w:space="0"/>
            </w:tcBorders>
            <w:vAlign w:val="center"/>
          </w:tcPr>
          <w:p w14:paraId="43DE6A17">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等径三通Dn25（内牙）</w:t>
            </w:r>
          </w:p>
          <w:p w14:paraId="3238F61C">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管壁厚不小于2.0mm，压力不小于0.8Mpa</w:t>
            </w:r>
          </w:p>
          <w:p w14:paraId="6257D636">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2E3F4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78D0EEBF">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39FD7772">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157C42CC">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796B9F52">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126</w:t>
            </w:r>
          </w:p>
        </w:tc>
        <w:tc>
          <w:tcPr>
            <w:tcW w:w="5894" w:type="dxa"/>
            <w:tcBorders>
              <w:top w:val="single" w:color="000000" w:sz="4" w:space="0"/>
              <w:left w:val="nil"/>
              <w:bottom w:val="single" w:color="000000" w:sz="4" w:space="0"/>
              <w:right w:val="single" w:color="000000" w:sz="4" w:space="0"/>
            </w:tcBorders>
            <w:vAlign w:val="center"/>
          </w:tcPr>
          <w:p w14:paraId="7FE1E5D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异径三通Dn32</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25（内牙）</w:t>
            </w:r>
          </w:p>
          <w:p w14:paraId="1A60799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管壁厚不小于2.4mm，压力不小于0.8Mpa</w:t>
            </w:r>
          </w:p>
          <w:p w14:paraId="431240DE">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1B5CB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66BD5325">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4504C58C">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6E97D9A4">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609864D1">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60</w:t>
            </w:r>
          </w:p>
        </w:tc>
        <w:tc>
          <w:tcPr>
            <w:tcW w:w="5894" w:type="dxa"/>
            <w:tcBorders>
              <w:top w:val="single" w:color="000000" w:sz="4" w:space="0"/>
              <w:left w:val="nil"/>
              <w:bottom w:val="single" w:color="000000" w:sz="4" w:space="0"/>
              <w:right w:val="single" w:color="000000" w:sz="4" w:space="0"/>
            </w:tcBorders>
            <w:vAlign w:val="center"/>
          </w:tcPr>
          <w:p w14:paraId="0AA361AB">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变径直通Dn32变25</w:t>
            </w:r>
          </w:p>
          <w:p w14:paraId="7604FFA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管壁厚不小于2.4mm，压力不小于0.8Mpa</w:t>
            </w:r>
          </w:p>
          <w:p w14:paraId="4351243D">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7742E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3622A327">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40C32423">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6F77A0F6">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6C702EB0">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12</w:t>
            </w:r>
          </w:p>
        </w:tc>
        <w:tc>
          <w:tcPr>
            <w:tcW w:w="5894" w:type="dxa"/>
            <w:tcBorders>
              <w:top w:val="single" w:color="000000" w:sz="4" w:space="0"/>
              <w:left w:val="nil"/>
              <w:bottom w:val="single" w:color="000000" w:sz="4" w:space="0"/>
              <w:right w:val="single" w:color="000000" w:sz="4" w:space="0"/>
            </w:tcBorders>
            <w:vAlign w:val="center"/>
          </w:tcPr>
          <w:p w14:paraId="05641EBC">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等径三通Dn32</w:t>
            </w:r>
          </w:p>
          <w:p w14:paraId="591255E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管壁厚不小于2.4mm，压力不小于0.8Mpa</w:t>
            </w:r>
          </w:p>
          <w:p w14:paraId="45D60DA9">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3DFA4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2CD3E478">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05FF906B">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4A5BB00F">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7FDEBBD0">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8</w:t>
            </w:r>
          </w:p>
        </w:tc>
        <w:tc>
          <w:tcPr>
            <w:tcW w:w="5894" w:type="dxa"/>
            <w:tcBorders>
              <w:top w:val="single" w:color="000000" w:sz="4" w:space="0"/>
              <w:left w:val="nil"/>
              <w:bottom w:val="single" w:color="000000" w:sz="4" w:space="0"/>
              <w:right w:val="single" w:color="000000" w:sz="4" w:space="0"/>
            </w:tcBorders>
            <w:vAlign w:val="center"/>
          </w:tcPr>
          <w:p w14:paraId="599D1F0D">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90°弯头DN32</w:t>
            </w:r>
          </w:p>
          <w:p w14:paraId="3D6E4D16">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管壁厚不小于2.4mm，压力不小于0.8Mpa</w:t>
            </w:r>
          </w:p>
          <w:p w14:paraId="06D4AF71">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46E26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16154394">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56CF6DE3">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43F737E0">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599D1020">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15</w:t>
            </w:r>
          </w:p>
        </w:tc>
        <w:tc>
          <w:tcPr>
            <w:tcW w:w="5894" w:type="dxa"/>
            <w:tcBorders>
              <w:top w:val="single" w:color="000000" w:sz="4" w:space="0"/>
              <w:left w:val="nil"/>
              <w:bottom w:val="single" w:color="000000" w:sz="4" w:space="0"/>
              <w:right w:val="single" w:color="000000" w:sz="4" w:space="0"/>
            </w:tcBorders>
            <w:vAlign w:val="center"/>
          </w:tcPr>
          <w:p w14:paraId="62DA14BA">
            <w:pPr>
              <w:rPr>
                <w:rFonts w:hint="eastAsia" w:ascii="宋体" w:hAnsi="宋体" w:eastAsia="宋体" w:cs="宋体"/>
                <w:sz w:val="21"/>
                <w:szCs w:val="21"/>
              </w:rPr>
            </w:pPr>
            <w:r>
              <w:rPr>
                <w:rFonts w:hint="eastAsia" w:ascii="宋体" w:hAnsi="宋体" w:eastAsia="宋体" w:cs="宋体"/>
                <w:sz w:val="21"/>
                <w:szCs w:val="21"/>
              </w:rPr>
              <w:t>PVC塑料管件 变径直通DN40变32</w:t>
            </w:r>
          </w:p>
          <w:p w14:paraId="78065AC9">
            <w:pPr>
              <w:rPr>
                <w:rFonts w:hint="eastAsia" w:ascii="宋体" w:hAnsi="宋体" w:eastAsia="宋体" w:cs="宋体"/>
                <w:sz w:val="21"/>
                <w:szCs w:val="21"/>
              </w:rPr>
            </w:pPr>
            <w:r>
              <w:rPr>
                <w:rFonts w:hint="eastAsia" w:ascii="宋体" w:hAnsi="宋体" w:eastAsia="宋体" w:cs="宋体"/>
                <w:sz w:val="21"/>
                <w:szCs w:val="21"/>
              </w:rPr>
              <w:t>管壁厚不小于3.0mm，压力不小于0.8Mpa</w:t>
            </w:r>
          </w:p>
          <w:p w14:paraId="7ED76082">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42F2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5E940A60">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1834F030">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27C68801">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391CC9E7">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21</w:t>
            </w:r>
          </w:p>
        </w:tc>
        <w:tc>
          <w:tcPr>
            <w:tcW w:w="5894" w:type="dxa"/>
            <w:tcBorders>
              <w:top w:val="single" w:color="000000" w:sz="4" w:space="0"/>
              <w:left w:val="nil"/>
              <w:bottom w:val="single" w:color="000000" w:sz="4" w:space="0"/>
              <w:right w:val="single" w:color="000000" w:sz="4" w:space="0"/>
            </w:tcBorders>
            <w:vAlign w:val="center"/>
          </w:tcPr>
          <w:p w14:paraId="780E1F71">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异径三通De40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25（内牙）</w:t>
            </w:r>
          </w:p>
          <w:p w14:paraId="29837748">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管壁厚不小于3.0mm，压力不小于0.8Mpa</w:t>
            </w:r>
          </w:p>
          <w:p w14:paraId="48663974">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16F53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1" w:hRule="atLeast"/>
        </w:trPr>
        <w:tc>
          <w:tcPr>
            <w:tcW w:w="748" w:type="dxa"/>
            <w:vMerge w:val="continue"/>
            <w:tcBorders>
              <w:left w:val="single" w:color="000000" w:sz="4" w:space="0"/>
              <w:right w:val="single" w:color="000000" w:sz="4" w:space="0"/>
            </w:tcBorders>
            <w:vAlign w:val="center"/>
          </w:tcPr>
          <w:p w14:paraId="07D3685A">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52166305">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51C4AEBB">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36DAB53C">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32</w:t>
            </w:r>
          </w:p>
        </w:tc>
        <w:tc>
          <w:tcPr>
            <w:tcW w:w="5894" w:type="dxa"/>
            <w:tcBorders>
              <w:top w:val="single" w:color="000000" w:sz="4" w:space="0"/>
              <w:left w:val="nil"/>
              <w:bottom w:val="single" w:color="000000" w:sz="4" w:space="0"/>
              <w:right w:val="single" w:color="000000" w:sz="4" w:space="0"/>
            </w:tcBorders>
            <w:vAlign w:val="center"/>
          </w:tcPr>
          <w:p w14:paraId="2B3B759C">
            <w:pPr>
              <w:rPr>
                <w:rFonts w:hint="eastAsia" w:ascii="宋体" w:hAnsi="宋体" w:eastAsia="宋体" w:cs="宋体"/>
                <w:sz w:val="21"/>
                <w:szCs w:val="21"/>
              </w:rPr>
            </w:pPr>
            <w:r>
              <w:rPr>
                <w:rFonts w:hint="eastAsia" w:ascii="宋体" w:hAnsi="宋体" w:eastAsia="宋体" w:cs="宋体"/>
                <w:sz w:val="21"/>
                <w:szCs w:val="21"/>
              </w:rPr>
              <w:t>PVC塑料管件 异径三通Dn40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32</w:t>
            </w:r>
          </w:p>
          <w:p w14:paraId="2DD1C42A">
            <w:pPr>
              <w:rPr>
                <w:rFonts w:hint="eastAsia" w:ascii="宋体" w:hAnsi="宋体" w:eastAsia="宋体" w:cs="宋体"/>
                <w:sz w:val="21"/>
                <w:szCs w:val="21"/>
              </w:rPr>
            </w:pPr>
            <w:r>
              <w:rPr>
                <w:rFonts w:hint="eastAsia" w:ascii="宋体" w:hAnsi="宋体" w:eastAsia="宋体" w:cs="宋体"/>
                <w:sz w:val="21"/>
                <w:szCs w:val="21"/>
              </w:rPr>
              <w:t>管壁厚不小于3.0mm，压力不小于0.8Mpa</w:t>
            </w:r>
          </w:p>
          <w:p w14:paraId="6C6E4071">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05489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025B7827">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2B128C04">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706F9CF9">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56918255">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9</w:t>
            </w:r>
          </w:p>
        </w:tc>
        <w:tc>
          <w:tcPr>
            <w:tcW w:w="5894" w:type="dxa"/>
            <w:tcBorders>
              <w:top w:val="single" w:color="000000" w:sz="4" w:space="0"/>
              <w:left w:val="nil"/>
              <w:bottom w:val="single" w:color="000000" w:sz="4" w:space="0"/>
              <w:right w:val="single" w:color="000000" w:sz="4" w:space="0"/>
            </w:tcBorders>
            <w:vAlign w:val="center"/>
          </w:tcPr>
          <w:p w14:paraId="4D004018">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等径三通De40</w:t>
            </w:r>
          </w:p>
          <w:p w14:paraId="407A310F">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管壁厚不小于3.0mm，压力不小于0.8Mpa</w:t>
            </w:r>
          </w:p>
          <w:p w14:paraId="36BC2DA5">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22570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3B69A0F1">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06E0461D">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16F3C0CB">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5F3E1C13">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43</w:t>
            </w:r>
          </w:p>
        </w:tc>
        <w:tc>
          <w:tcPr>
            <w:tcW w:w="5894" w:type="dxa"/>
            <w:tcBorders>
              <w:top w:val="single" w:color="000000" w:sz="4" w:space="0"/>
              <w:left w:val="nil"/>
              <w:bottom w:val="single" w:color="000000" w:sz="4" w:space="0"/>
              <w:right w:val="single" w:color="000000" w:sz="4" w:space="0"/>
            </w:tcBorders>
            <w:vAlign w:val="center"/>
          </w:tcPr>
          <w:p w14:paraId="6FDA527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90°弯头DN40</w:t>
            </w:r>
          </w:p>
          <w:p w14:paraId="6EA8FD5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管壁厚不小于3.0mm，压力不小于0.8Mpa</w:t>
            </w:r>
          </w:p>
          <w:p w14:paraId="734BF152">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30A3E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009F279B">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310BF7A6">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42AEBEC7">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15239FD1">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5894" w:type="dxa"/>
            <w:tcBorders>
              <w:top w:val="single" w:color="000000" w:sz="4" w:space="0"/>
              <w:left w:val="nil"/>
              <w:bottom w:val="single" w:color="000000" w:sz="4" w:space="0"/>
              <w:right w:val="single" w:color="000000" w:sz="4" w:space="0"/>
            </w:tcBorders>
            <w:vAlign w:val="center"/>
          </w:tcPr>
          <w:p w14:paraId="6E54F233">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变径直通Dn110变40</w:t>
            </w:r>
          </w:p>
          <w:p w14:paraId="1619D4EE">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管壁厚不小于4.5mm，压力不小于1.0Mpa</w:t>
            </w:r>
          </w:p>
          <w:p w14:paraId="1BE43683">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2DD8E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4AAA260A">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3ABC9EF8">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061DFB85">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537CF411">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5894" w:type="dxa"/>
            <w:tcBorders>
              <w:top w:val="single" w:color="000000" w:sz="4" w:space="0"/>
              <w:left w:val="nil"/>
              <w:bottom w:val="single" w:color="000000" w:sz="4" w:space="0"/>
              <w:right w:val="single" w:color="000000" w:sz="4" w:space="0"/>
            </w:tcBorders>
            <w:vAlign w:val="center"/>
          </w:tcPr>
          <w:p w14:paraId="09036F1B">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90°弯头DN110</w:t>
            </w:r>
          </w:p>
          <w:p w14:paraId="3C5C512E">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管壁厚不小于4.5mm，压力不小于1.0Mpa</w:t>
            </w:r>
          </w:p>
          <w:p w14:paraId="543455C7">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25404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197DC101">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0E65AC33">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000000" w:sz="4" w:space="0"/>
              <w:right w:val="single" w:color="000000" w:sz="4" w:space="0"/>
            </w:tcBorders>
            <w:vAlign w:val="center"/>
          </w:tcPr>
          <w:p w14:paraId="2202E33D">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auto" w:sz="4" w:space="0"/>
              <w:left w:val="nil"/>
              <w:bottom w:val="single" w:color="000000" w:sz="4" w:space="0"/>
              <w:right w:val="single" w:color="000000" w:sz="4" w:space="0"/>
            </w:tcBorders>
            <w:vAlign w:val="center"/>
          </w:tcPr>
          <w:p w14:paraId="0657E61B">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5894" w:type="dxa"/>
            <w:tcBorders>
              <w:top w:val="single" w:color="000000" w:sz="4" w:space="0"/>
              <w:left w:val="nil"/>
              <w:bottom w:val="single" w:color="000000" w:sz="4" w:space="0"/>
              <w:right w:val="single" w:color="000000" w:sz="4" w:space="0"/>
            </w:tcBorders>
            <w:vAlign w:val="center"/>
          </w:tcPr>
          <w:p w14:paraId="69112ECB">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异径三通Dn40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32</w:t>
            </w:r>
          </w:p>
          <w:p w14:paraId="0B35963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管壁厚不小于3.0mm，压力不小于0.8Mpa</w:t>
            </w:r>
          </w:p>
          <w:p w14:paraId="4BE470EC">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1317B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79FB7D5B">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470E8DD2">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2285340F">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2A7550F1">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90</w:t>
            </w:r>
          </w:p>
        </w:tc>
        <w:tc>
          <w:tcPr>
            <w:tcW w:w="5894" w:type="dxa"/>
            <w:tcBorders>
              <w:top w:val="single" w:color="000000" w:sz="4" w:space="0"/>
              <w:left w:val="nil"/>
              <w:bottom w:val="single" w:color="auto" w:sz="4" w:space="0"/>
              <w:right w:val="single" w:color="000000" w:sz="4" w:space="0"/>
            </w:tcBorders>
            <w:vAlign w:val="center"/>
          </w:tcPr>
          <w:p w14:paraId="030151A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等径直接Dn25</w:t>
            </w:r>
          </w:p>
          <w:p w14:paraId="5AEB11E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管壁厚不小于2.0mm，压力不小于0.8Mpa</w:t>
            </w:r>
          </w:p>
          <w:p w14:paraId="26D9AC64">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6E4CB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448ED165">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0113CAB3">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084335DA">
            <w:pPr>
              <w:keepNext w:val="0"/>
              <w:keepLines w:val="0"/>
              <w:widowControl/>
              <w:suppressLineNumbers w:val="0"/>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6DD0F2A7">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80</w:t>
            </w:r>
          </w:p>
        </w:tc>
        <w:tc>
          <w:tcPr>
            <w:tcW w:w="5894" w:type="dxa"/>
            <w:tcBorders>
              <w:top w:val="single" w:color="000000" w:sz="4" w:space="0"/>
              <w:left w:val="nil"/>
              <w:bottom w:val="single" w:color="auto" w:sz="4" w:space="0"/>
              <w:right w:val="single" w:color="000000" w:sz="4" w:space="0"/>
            </w:tcBorders>
            <w:vAlign w:val="center"/>
          </w:tcPr>
          <w:p w14:paraId="499C5860">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PVC塑料管件 等径直接Dn32</w:t>
            </w:r>
          </w:p>
          <w:p w14:paraId="7D13BAC2">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管壁厚不小于2.4mm，压力不小于0.8Mpa</w:t>
            </w:r>
          </w:p>
          <w:p w14:paraId="514E3F62">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包含安装费、装卸搬运费</w:t>
            </w:r>
          </w:p>
        </w:tc>
      </w:tr>
      <w:tr w14:paraId="6C6F2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3A54C26A">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4EBC53E9">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14C524F7">
            <w:pPr>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103400B0">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61</w:t>
            </w:r>
          </w:p>
        </w:tc>
        <w:tc>
          <w:tcPr>
            <w:tcW w:w="5894" w:type="dxa"/>
            <w:tcBorders>
              <w:top w:val="single" w:color="000000" w:sz="4" w:space="0"/>
              <w:left w:val="nil"/>
              <w:bottom w:val="single" w:color="auto" w:sz="4" w:space="0"/>
              <w:right w:val="single" w:color="000000" w:sz="4" w:space="0"/>
            </w:tcBorders>
            <w:vAlign w:val="center"/>
          </w:tcPr>
          <w:p w14:paraId="3BEA3D72">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PVC塑料管件 等径直接Dn40</w:t>
            </w:r>
          </w:p>
          <w:p w14:paraId="5EE65D63">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管壁厚不小于3.0mm，压力不小于0.8Mpa</w:t>
            </w:r>
          </w:p>
          <w:p w14:paraId="4222ABA8">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eastAsia="zh-CN"/>
              </w:rPr>
              <w:t>包含安装费、装卸搬运费</w:t>
            </w:r>
          </w:p>
        </w:tc>
      </w:tr>
      <w:tr w14:paraId="3ED48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7721D3ED">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05B487B4">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6C0DE1FC">
            <w:pPr>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748AB30F">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30</w:t>
            </w:r>
          </w:p>
        </w:tc>
        <w:tc>
          <w:tcPr>
            <w:tcW w:w="5894" w:type="dxa"/>
            <w:tcBorders>
              <w:top w:val="single" w:color="000000" w:sz="4" w:space="0"/>
              <w:left w:val="nil"/>
              <w:bottom w:val="single" w:color="auto" w:sz="4" w:space="0"/>
              <w:right w:val="single" w:color="000000" w:sz="4" w:space="0"/>
            </w:tcBorders>
            <w:vAlign w:val="center"/>
          </w:tcPr>
          <w:p w14:paraId="39D59C66">
            <w:pPr>
              <w:rPr>
                <w:rFonts w:hint="eastAsia" w:ascii="宋体" w:hAnsi="宋体" w:eastAsia="宋体" w:cs="宋体"/>
                <w:sz w:val="21"/>
                <w:szCs w:val="21"/>
              </w:rPr>
            </w:pPr>
            <w:r>
              <w:rPr>
                <w:rFonts w:hint="eastAsia" w:ascii="宋体" w:hAnsi="宋体" w:eastAsia="宋体" w:cs="宋体"/>
                <w:sz w:val="21"/>
                <w:szCs w:val="21"/>
              </w:rPr>
              <w:t>PVC塑料管件 等径直接Dn110</w:t>
            </w:r>
          </w:p>
          <w:p w14:paraId="46EE4004">
            <w:pPr>
              <w:rPr>
                <w:rFonts w:hint="eastAsia" w:ascii="宋体" w:hAnsi="宋体" w:eastAsia="宋体" w:cs="宋体"/>
                <w:sz w:val="21"/>
                <w:szCs w:val="21"/>
              </w:rPr>
            </w:pPr>
            <w:r>
              <w:rPr>
                <w:rFonts w:hint="eastAsia" w:ascii="宋体" w:hAnsi="宋体" w:eastAsia="宋体" w:cs="宋体"/>
                <w:sz w:val="21"/>
                <w:szCs w:val="21"/>
              </w:rPr>
              <w:t>管壁厚不小于4.5mm，压力不小于1.0Mpa</w:t>
            </w:r>
          </w:p>
          <w:p w14:paraId="1AFA9207">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6EBE6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615C3CA0">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7EDC3943">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6B925F59">
            <w:pPr>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个</w:t>
            </w:r>
          </w:p>
        </w:tc>
        <w:tc>
          <w:tcPr>
            <w:tcW w:w="1140" w:type="dxa"/>
            <w:tcBorders>
              <w:top w:val="single" w:color="000000" w:sz="4" w:space="0"/>
              <w:left w:val="nil"/>
              <w:bottom w:val="single" w:color="auto" w:sz="4" w:space="0"/>
              <w:right w:val="single" w:color="000000" w:sz="4" w:space="0"/>
            </w:tcBorders>
            <w:vAlign w:val="center"/>
          </w:tcPr>
          <w:p w14:paraId="6F11D670">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28</w:t>
            </w:r>
          </w:p>
        </w:tc>
        <w:tc>
          <w:tcPr>
            <w:tcW w:w="5894" w:type="dxa"/>
            <w:tcBorders>
              <w:top w:val="single" w:color="000000" w:sz="4" w:space="0"/>
              <w:left w:val="nil"/>
              <w:bottom w:val="single" w:color="auto" w:sz="4" w:space="0"/>
              <w:right w:val="single" w:color="000000" w:sz="4" w:space="0"/>
            </w:tcBorders>
            <w:vAlign w:val="center"/>
          </w:tcPr>
          <w:p w14:paraId="35768C53">
            <w:pPr>
              <w:rPr>
                <w:rFonts w:hint="eastAsia" w:ascii="宋体" w:hAnsi="宋体" w:eastAsia="宋体" w:cs="宋体"/>
                <w:sz w:val="21"/>
                <w:szCs w:val="21"/>
              </w:rPr>
            </w:pPr>
            <w:r>
              <w:rPr>
                <w:rFonts w:hint="eastAsia" w:ascii="宋体" w:hAnsi="宋体" w:eastAsia="宋体" w:cs="宋体"/>
                <w:sz w:val="21"/>
                <w:szCs w:val="21"/>
              </w:rPr>
              <w:t>PVC塑料管件 法兰头Dn40</w:t>
            </w:r>
          </w:p>
          <w:p w14:paraId="563272F1">
            <w:pPr>
              <w:rPr>
                <w:rFonts w:hint="eastAsia" w:ascii="宋体" w:hAnsi="宋体" w:eastAsia="宋体" w:cs="宋体"/>
                <w:sz w:val="21"/>
                <w:szCs w:val="21"/>
              </w:rPr>
            </w:pPr>
            <w:r>
              <w:rPr>
                <w:rFonts w:hint="eastAsia" w:ascii="宋体" w:hAnsi="宋体" w:eastAsia="宋体" w:cs="宋体"/>
                <w:sz w:val="21"/>
                <w:szCs w:val="21"/>
              </w:rPr>
              <w:t>管壁厚不小于3.0mm，压力不小于0.8Mpa</w:t>
            </w:r>
          </w:p>
          <w:p w14:paraId="4E9A4EFA">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包含安装费、装卸搬运费</w:t>
            </w:r>
          </w:p>
        </w:tc>
      </w:tr>
      <w:tr w14:paraId="3E00C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bottom w:val="single" w:color="auto" w:sz="4" w:space="0"/>
              <w:right w:val="single" w:color="000000" w:sz="4" w:space="0"/>
            </w:tcBorders>
            <w:vAlign w:val="center"/>
          </w:tcPr>
          <w:p w14:paraId="4BEC4EE0">
            <w:pPr>
              <w:bidi w:val="0"/>
              <w:jc w:val="center"/>
              <w:rPr>
                <w:rFonts w:hint="eastAsia" w:ascii="宋体" w:hAnsi="宋体" w:eastAsia="宋体" w:cs="宋体"/>
                <w:color w:val="auto"/>
                <w:kern w:val="0"/>
                <w:sz w:val="21"/>
                <w:szCs w:val="21"/>
                <w:highlight w:val="none"/>
              </w:rPr>
            </w:pPr>
          </w:p>
        </w:tc>
        <w:tc>
          <w:tcPr>
            <w:tcW w:w="1303" w:type="dxa"/>
            <w:vMerge w:val="continue"/>
            <w:tcBorders>
              <w:left w:val="nil"/>
              <w:bottom w:val="single" w:color="auto" w:sz="4" w:space="0"/>
              <w:right w:val="single" w:color="000000" w:sz="4" w:space="0"/>
            </w:tcBorders>
            <w:vAlign w:val="center"/>
          </w:tcPr>
          <w:p w14:paraId="740CD7F8">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40A37345">
            <w:pPr>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m</w:t>
            </w:r>
          </w:p>
        </w:tc>
        <w:tc>
          <w:tcPr>
            <w:tcW w:w="1140" w:type="dxa"/>
            <w:tcBorders>
              <w:top w:val="single" w:color="000000" w:sz="4" w:space="0"/>
              <w:left w:val="nil"/>
              <w:bottom w:val="single" w:color="auto" w:sz="4" w:space="0"/>
              <w:right w:val="single" w:color="000000" w:sz="4" w:space="0"/>
            </w:tcBorders>
            <w:vAlign w:val="center"/>
          </w:tcPr>
          <w:p w14:paraId="283A0789">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1566.00</w:t>
            </w:r>
          </w:p>
        </w:tc>
        <w:tc>
          <w:tcPr>
            <w:tcW w:w="5894" w:type="dxa"/>
            <w:tcBorders>
              <w:top w:val="single" w:color="000000" w:sz="4" w:space="0"/>
              <w:left w:val="nil"/>
              <w:bottom w:val="single" w:color="auto" w:sz="4" w:space="0"/>
              <w:right w:val="single" w:color="000000" w:sz="4" w:space="0"/>
            </w:tcBorders>
            <w:vAlign w:val="center"/>
          </w:tcPr>
          <w:p w14:paraId="363DBF07">
            <w:pPr>
              <w:rPr>
                <w:rFonts w:hint="eastAsia" w:ascii="宋体" w:hAnsi="宋体" w:eastAsia="宋体" w:cs="宋体"/>
                <w:sz w:val="21"/>
                <w:szCs w:val="21"/>
                <w:lang w:eastAsia="zh-CN"/>
              </w:rPr>
            </w:pPr>
            <w:r>
              <w:rPr>
                <w:rFonts w:hint="eastAsia" w:ascii="宋体" w:hAnsi="宋体" w:eastAsia="宋体" w:cs="宋体"/>
                <w:sz w:val="21"/>
                <w:szCs w:val="21"/>
                <w:lang w:eastAsia="zh-CN"/>
              </w:rPr>
              <w:t>管沟挖填土方</w:t>
            </w:r>
          </w:p>
          <w:p w14:paraId="45A95A0E">
            <w:pPr>
              <w:rPr>
                <w:rFonts w:hint="eastAsia" w:ascii="宋体" w:hAnsi="宋体" w:eastAsia="宋体" w:cs="宋体"/>
                <w:color w:val="auto"/>
                <w:kern w:val="0"/>
                <w:sz w:val="21"/>
                <w:szCs w:val="21"/>
                <w:highlight w:val="none"/>
              </w:rPr>
            </w:pPr>
            <w:r>
              <w:rPr>
                <w:rFonts w:hint="eastAsia" w:ascii="宋体" w:hAnsi="宋体" w:eastAsia="宋体" w:cs="宋体"/>
                <w:sz w:val="21"/>
                <w:szCs w:val="21"/>
                <w:lang w:eastAsia="zh-CN"/>
              </w:rPr>
              <w:t>挖填土方，管道埋设不小于1.0m</w:t>
            </w:r>
          </w:p>
        </w:tc>
      </w:tr>
      <w:tr w14:paraId="0F297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215DBD02">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1303" w:type="dxa"/>
            <w:tcBorders>
              <w:top w:val="single" w:color="auto" w:sz="4" w:space="0"/>
              <w:left w:val="nil"/>
              <w:bottom w:val="single" w:color="auto" w:sz="4" w:space="0"/>
              <w:right w:val="single" w:color="000000" w:sz="4" w:space="0"/>
            </w:tcBorders>
            <w:vAlign w:val="center"/>
          </w:tcPr>
          <w:p w14:paraId="5C7C5E1F">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水肥一体灌溉机</w:t>
            </w:r>
          </w:p>
        </w:tc>
        <w:tc>
          <w:tcPr>
            <w:tcW w:w="690" w:type="dxa"/>
            <w:tcBorders>
              <w:top w:val="single" w:color="auto" w:sz="4" w:space="0"/>
              <w:left w:val="nil"/>
              <w:bottom w:val="single" w:color="auto" w:sz="4" w:space="0"/>
              <w:right w:val="single" w:color="000000" w:sz="4" w:space="0"/>
            </w:tcBorders>
            <w:vAlign w:val="center"/>
          </w:tcPr>
          <w:p w14:paraId="2FF686DA">
            <w:pPr>
              <w:bidi w:val="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套</w:t>
            </w:r>
          </w:p>
        </w:tc>
        <w:tc>
          <w:tcPr>
            <w:tcW w:w="1140" w:type="dxa"/>
            <w:tcBorders>
              <w:top w:val="single" w:color="auto" w:sz="4" w:space="0"/>
              <w:left w:val="nil"/>
              <w:bottom w:val="single" w:color="auto" w:sz="4" w:space="0"/>
              <w:right w:val="single" w:color="000000" w:sz="4" w:space="0"/>
            </w:tcBorders>
            <w:vAlign w:val="center"/>
          </w:tcPr>
          <w:p w14:paraId="00F233F4">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5894" w:type="dxa"/>
            <w:tcBorders>
              <w:top w:val="single" w:color="auto" w:sz="4" w:space="0"/>
              <w:left w:val="nil"/>
              <w:bottom w:val="single" w:color="auto" w:sz="4" w:space="0"/>
              <w:right w:val="single" w:color="000000" w:sz="4" w:space="0"/>
            </w:tcBorders>
            <w:vAlign w:val="center"/>
          </w:tcPr>
          <w:p w14:paraId="4321FFE1">
            <w:pPr>
              <w:rPr>
                <w:rFonts w:hint="eastAsia" w:ascii="宋体" w:hAnsi="宋体" w:eastAsia="宋体" w:cs="宋体"/>
                <w:sz w:val="21"/>
                <w:szCs w:val="21"/>
              </w:rPr>
            </w:pPr>
            <w:r>
              <w:rPr>
                <w:rFonts w:hint="eastAsia" w:ascii="宋体" w:hAnsi="宋体" w:eastAsia="宋体" w:cs="宋体"/>
                <w:sz w:val="21"/>
                <w:szCs w:val="21"/>
              </w:rPr>
              <w:t>▲1.具备≥10寸人机交互界面，可手动控制及设定设备执行操作</w:t>
            </w:r>
          </w:p>
          <w:p w14:paraId="59D328BA">
            <w:pPr>
              <w:rPr>
                <w:rFonts w:hint="eastAsia" w:ascii="宋体" w:hAnsi="宋体" w:eastAsia="宋体" w:cs="宋体"/>
                <w:sz w:val="21"/>
                <w:szCs w:val="21"/>
              </w:rPr>
            </w:pPr>
            <w:r>
              <w:rPr>
                <w:rFonts w:hint="eastAsia" w:ascii="宋体" w:hAnsi="宋体" w:eastAsia="宋体" w:cs="宋体"/>
                <w:sz w:val="21"/>
                <w:szCs w:val="21"/>
              </w:rPr>
              <w:t>2.可自动或手动控制控制吸肥泵、吸肥阀、搅拌机以及外接水泵的开启和关闭</w:t>
            </w:r>
          </w:p>
          <w:p w14:paraId="6A1D052B">
            <w:pPr>
              <w:rPr>
                <w:rFonts w:hint="eastAsia" w:ascii="宋体" w:hAnsi="宋体" w:eastAsia="宋体" w:cs="宋体"/>
                <w:sz w:val="21"/>
                <w:szCs w:val="21"/>
              </w:rPr>
            </w:pPr>
            <w:r>
              <w:rPr>
                <w:rFonts w:hint="eastAsia" w:ascii="宋体" w:hAnsi="宋体" w:eastAsia="宋体" w:cs="宋体"/>
                <w:sz w:val="21"/>
                <w:szCs w:val="21"/>
              </w:rPr>
              <w:t>3.可远程控制各功能开关</w:t>
            </w:r>
          </w:p>
          <w:p w14:paraId="22EDD795">
            <w:pPr>
              <w:rPr>
                <w:rFonts w:hint="eastAsia" w:ascii="宋体" w:hAnsi="宋体" w:eastAsia="宋体" w:cs="宋体"/>
                <w:sz w:val="21"/>
                <w:szCs w:val="21"/>
              </w:rPr>
            </w:pPr>
            <w:r>
              <w:rPr>
                <w:rFonts w:hint="eastAsia" w:ascii="宋体" w:hAnsi="宋体" w:eastAsia="宋体" w:cs="宋体"/>
                <w:sz w:val="21"/>
                <w:szCs w:val="21"/>
              </w:rPr>
              <w:t>▲4.可远程查看外接EC、PH值以及各吸肥通道瞬时流量和总流量数据</w:t>
            </w:r>
          </w:p>
          <w:p w14:paraId="2F571C0B">
            <w:pPr>
              <w:rPr>
                <w:rFonts w:hint="eastAsia" w:ascii="宋体" w:hAnsi="宋体" w:eastAsia="宋体" w:cs="宋体"/>
                <w:sz w:val="21"/>
                <w:szCs w:val="21"/>
              </w:rPr>
            </w:pPr>
            <w:r>
              <w:rPr>
                <w:rFonts w:hint="eastAsia" w:ascii="宋体" w:hAnsi="宋体" w:eastAsia="宋体" w:cs="宋体"/>
                <w:sz w:val="21"/>
                <w:szCs w:val="21"/>
              </w:rPr>
              <w:t>5.可手动或自动控制外接电磁阀的开关</w:t>
            </w:r>
          </w:p>
          <w:p w14:paraId="00D5D139">
            <w:pPr>
              <w:rPr>
                <w:rFonts w:hint="eastAsia" w:ascii="宋体" w:hAnsi="宋体" w:eastAsia="宋体" w:cs="宋体"/>
                <w:sz w:val="21"/>
                <w:szCs w:val="21"/>
              </w:rPr>
            </w:pPr>
            <w:r>
              <w:rPr>
                <w:rFonts w:hint="eastAsia" w:ascii="宋体" w:hAnsi="宋体" w:eastAsia="宋体" w:cs="宋体"/>
                <w:sz w:val="21"/>
                <w:szCs w:val="21"/>
              </w:rPr>
              <w:t>▲6.可设置各通道搅拌电机、各通道吸肥阀的工作时间，设置吸肥泵、及外接水泵的工作时间</w:t>
            </w:r>
          </w:p>
          <w:p w14:paraId="1347FF11">
            <w:pPr>
              <w:rPr>
                <w:rFonts w:hint="eastAsia" w:ascii="宋体" w:hAnsi="宋体" w:eastAsia="宋体" w:cs="宋体"/>
                <w:sz w:val="21"/>
                <w:szCs w:val="21"/>
              </w:rPr>
            </w:pPr>
            <w:r>
              <w:rPr>
                <w:rFonts w:hint="eastAsia" w:ascii="宋体" w:hAnsi="宋体" w:eastAsia="宋体" w:cs="宋体"/>
                <w:sz w:val="21"/>
                <w:szCs w:val="21"/>
              </w:rPr>
              <w:t>▲7.可设置轮灌次数以及轮灌的时间间隔，可设定周循环，或选择单独哪天工作，可设置阀门</w:t>
            </w:r>
            <w:r>
              <w:rPr>
                <w:rFonts w:hint="eastAsia" w:ascii="宋体" w:hAnsi="宋体" w:cs="宋体"/>
                <w:sz w:val="21"/>
                <w:szCs w:val="21"/>
                <w:lang w:eastAsia="zh-CN"/>
              </w:rPr>
              <w:t>组合</w:t>
            </w:r>
            <w:r>
              <w:rPr>
                <w:rFonts w:hint="eastAsia" w:ascii="宋体" w:hAnsi="宋体" w:eastAsia="宋体" w:cs="宋体"/>
                <w:sz w:val="21"/>
                <w:szCs w:val="21"/>
              </w:rPr>
              <w:t>及工作时间</w:t>
            </w:r>
          </w:p>
          <w:p w14:paraId="365A2278">
            <w:pPr>
              <w:rPr>
                <w:rFonts w:hint="eastAsia" w:ascii="宋体" w:hAnsi="宋体" w:eastAsia="宋体" w:cs="宋体"/>
                <w:sz w:val="21"/>
                <w:szCs w:val="21"/>
              </w:rPr>
            </w:pPr>
            <w:r>
              <w:rPr>
                <w:rFonts w:hint="eastAsia" w:ascii="宋体" w:hAnsi="宋体" w:eastAsia="宋体" w:cs="宋体"/>
                <w:sz w:val="21"/>
                <w:szCs w:val="21"/>
              </w:rPr>
              <w:t>8.电路保护和过热保护：产品装有电路保护系统和自动过热保护，确保产品在长期运行中的安全可靠性</w:t>
            </w:r>
          </w:p>
          <w:p w14:paraId="6E32F70E">
            <w:pPr>
              <w:rPr>
                <w:rFonts w:hint="eastAsia" w:ascii="宋体" w:hAnsi="宋体" w:eastAsia="宋体" w:cs="宋体"/>
                <w:sz w:val="21"/>
                <w:szCs w:val="21"/>
              </w:rPr>
            </w:pPr>
            <w:r>
              <w:rPr>
                <w:rFonts w:hint="eastAsia" w:ascii="宋体" w:hAnsi="宋体" w:eastAsia="宋体" w:cs="宋体"/>
                <w:sz w:val="21"/>
                <w:szCs w:val="21"/>
              </w:rPr>
              <w:t>9.具备流量异常告警功能</w:t>
            </w:r>
          </w:p>
          <w:p w14:paraId="79E63F14">
            <w:pPr>
              <w:rPr>
                <w:rFonts w:hint="eastAsia" w:ascii="宋体" w:hAnsi="宋体" w:eastAsia="宋体" w:cs="宋体"/>
                <w:sz w:val="21"/>
                <w:szCs w:val="21"/>
              </w:rPr>
            </w:pPr>
            <w:r>
              <w:rPr>
                <w:rFonts w:hint="eastAsia" w:ascii="宋体" w:hAnsi="宋体" w:eastAsia="宋体" w:cs="宋体"/>
                <w:sz w:val="21"/>
                <w:szCs w:val="21"/>
              </w:rPr>
              <w:t>10.具备锁屏功能，可更改锁屏密码</w:t>
            </w:r>
          </w:p>
          <w:p w14:paraId="5FDAF04E">
            <w:pPr>
              <w:rPr>
                <w:rFonts w:hint="eastAsia" w:ascii="宋体" w:hAnsi="宋体" w:eastAsia="宋体" w:cs="宋体"/>
                <w:sz w:val="21"/>
                <w:szCs w:val="21"/>
              </w:rPr>
            </w:pPr>
            <w:r>
              <w:rPr>
                <w:rFonts w:hint="eastAsia" w:ascii="宋体" w:hAnsi="宋体" w:eastAsia="宋体" w:cs="宋体"/>
                <w:sz w:val="21"/>
                <w:szCs w:val="21"/>
              </w:rPr>
              <w:t>11.传输方式：4G</w:t>
            </w:r>
            <w:r>
              <w:rPr>
                <w:rFonts w:hint="eastAsia" w:ascii="宋体" w:hAnsi="宋体" w:eastAsia="宋体" w:cs="宋体"/>
                <w:sz w:val="21"/>
                <w:szCs w:val="21"/>
                <w:lang w:val="en-US" w:eastAsia="zh-CN"/>
              </w:rPr>
              <w:t>或以上</w:t>
            </w:r>
          </w:p>
          <w:p w14:paraId="76170D1F">
            <w:pPr>
              <w:rPr>
                <w:rFonts w:hint="eastAsia" w:ascii="宋体" w:hAnsi="宋体" w:eastAsia="宋体" w:cs="宋体"/>
                <w:sz w:val="21"/>
                <w:szCs w:val="21"/>
              </w:rPr>
            </w:pPr>
            <w:r>
              <w:rPr>
                <w:rFonts w:hint="eastAsia" w:ascii="宋体" w:hAnsi="宋体" w:eastAsia="宋体" w:cs="宋体"/>
                <w:sz w:val="21"/>
                <w:szCs w:val="21"/>
              </w:rPr>
              <w:t>12.吸肥通道：≥四通道</w:t>
            </w:r>
          </w:p>
          <w:p w14:paraId="26C59041">
            <w:pPr>
              <w:rPr>
                <w:rFonts w:hint="eastAsia" w:ascii="宋体" w:hAnsi="宋体" w:eastAsia="宋体" w:cs="宋体"/>
                <w:sz w:val="21"/>
                <w:szCs w:val="21"/>
              </w:rPr>
            </w:pPr>
            <w:r>
              <w:rPr>
                <w:rFonts w:hint="eastAsia" w:ascii="宋体" w:hAnsi="宋体" w:eastAsia="宋体" w:cs="宋体"/>
                <w:sz w:val="21"/>
                <w:szCs w:val="21"/>
              </w:rPr>
              <w:t>13.吸肥管口径：≥DN20</w:t>
            </w:r>
          </w:p>
          <w:p w14:paraId="4D999B61">
            <w:pPr>
              <w:rPr>
                <w:rFonts w:hint="eastAsia" w:ascii="宋体" w:hAnsi="宋体" w:eastAsia="宋体" w:cs="宋体"/>
                <w:sz w:val="21"/>
                <w:szCs w:val="21"/>
              </w:rPr>
            </w:pPr>
            <w:r>
              <w:rPr>
                <w:rFonts w:hint="eastAsia" w:ascii="宋体" w:hAnsi="宋体" w:eastAsia="宋体" w:cs="宋体"/>
                <w:sz w:val="21"/>
                <w:szCs w:val="21"/>
              </w:rPr>
              <w:t>14.进水/出肥口径：≥DN25</w:t>
            </w:r>
          </w:p>
          <w:p w14:paraId="4C32E71D">
            <w:pPr>
              <w:rPr>
                <w:rFonts w:hint="eastAsia" w:ascii="宋体" w:hAnsi="宋体" w:eastAsia="宋体" w:cs="宋体"/>
                <w:sz w:val="21"/>
                <w:szCs w:val="21"/>
              </w:rPr>
            </w:pPr>
            <w:r>
              <w:rPr>
                <w:rFonts w:hint="eastAsia" w:ascii="宋体" w:hAnsi="宋体" w:eastAsia="宋体" w:cs="宋体"/>
                <w:sz w:val="21"/>
                <w:szCs w:val="21"/>
              </w:rPr>
              <w:t>▲15.采用不锈钢卧式离心泵，水泵功率：≥1.1KW，≥扬程71m</w:t>
            </w:r>
          </w:p>
          <w:p w14:paraId="07A9863C">
            <w:pPr>
              <w:rPr>
                <w:rFonts w:hint="eastAsia" w:ascii="宋体" w:hAnsi="宋体" w:eastAsia="宋体" w:cs="宋体"/>
                <w:sz w:val="21"/>
                <w:szCs w:val="21"/>
              </w:rPr>
            </w:pPr>
            <w:r>
              <w:rPr>
                <w:rFonts w:hint="eastAsia" w:ascii="宋体" w:hAnsi="宋体" w:eastAsia="宋体" w:cs="宋体"/>
                <w:sz w:val="21"/>
                <w:szCs w:val="21"/>
              </w:rPr>
              <w:t>▲16.注肥泵流量≥4m³/H，单通道可调节吸肥流量 0-600L/H，总吸肥量 0-2400L/H，可搭配使用水质PH和水质EC实时查看，根据作物所</w:t>
            </w:r>
            <w:r>
              <w:rPr>
                <w:rFonts w:hint="eastAsia" w:ascii="宋体" w:hAnsi="宋体" w:cs="宋体"/>
                <w:sz w:val="21"/>
                <w:szCs w:val="21"/>
                <w:lang w:eastAsia="zh-CN"/>
              </w:rPr>
              <w:t>需</w:t>
            </w:r>
            <w:r>
              <w:rPr>
                <w:rFonts w:hint="eastAsia" w:ascii="宋体" w:hAnsi="宋体" w:eastAsia="宋体" w:cs="宋体"/>
                <w:sz w:val="21"/>
                <w:szCs w:val="21"/>
              </w:rPr>
              <w:t>可设置每个吸肥阀门对应的流量</w:t>
            </w:r>
          </w:p>
          <w:p w14:paraId="0AF53438">
            <w:pPr>
              <w:rPr>
                <w:rFonts w:hint="eastAsia" w:ascii="宋体" w:hAnsi="宋体" w:eastAsia="宋体" w:cs="宋体"/>
                <w:sz w:val="21"/>
                <w:szCs w:val="21"/>
              </w:rPr>
            </w:pPr>
            <w:r>
              <w:rPr>
                <w:rFonts w:hint="eastAsia" w:ascii="宋体" w:hAnsi="宋体" w:eastAsia="宋体" w:cs="宋体"/>
                <w:sz w:val="21"/>
                <w:szCs w:val="21"/>
              </w:rPr>
              <w:t>17.具备取样阀可随时提取样本液</w:t>
            </w:r>
          </w:p>
          <w:p w14:paraId="1A5635C5">
            <w:pPr>
              <w:rPr>
                <w:rFonts w:hint="eastAsia" w:ascii="宋体" w:hAnsi="宋体" w:eastAsia="宋体" w:cs="宋体"/>
                <w:sz w:val="21"/>
                <w:szCs w:val="21"/>
              </w:rPr>
            </w:pPr>
            <w:r>
              <w:rPr>
                <w:rFonts w:hint="eastAsia" w:ascii="宋体" w:hAnsi="宋体" w:eastAsia="宋体" w:cs="宋体"/>
                <w:sz w:val="21"/>
                <w:szCs w:val="21"/>
              </w:rPr>
              <w:t>▲18.灌溉模式：支持滴灌和喷灌的方式进行灌溉，以满足不同作物的需求和种植环境的变化</w:t>
            </w:r>
          </w:p>
          <w:p w14:paraId="7B16B2E9">
            <w:pPr>
              <w:rPr>
                <w:rFonts w:hint="eastAsia" w:ascii="宋体" w:hAnsi="宋体" w:eastAsia="宋体" w:cs="宋体"/>
                <w:sz w:val="21"/>
                <w:szCs w:val="21"/>
              </w:rPr>
            </w:pPr>
            <w:r>
              <w:rPr>
                <w:rFonts w:hint="eastAsia" w:ascii="宋体" w:hAnsi="宋体" w:eastAsia="宋体" w:cs="宋体"/>
                <w:sz w:val="21"/>
                <w:szCs w:val="21"/>
              </w:rPr>
              <w:t>19.整机尺寸：</w:t>
            </w:r>
            <w:r>
              <w:rPr>
                <w:rFonts w:hint="eastAsia" w:ascii="宋体" w:hAnsi="宋体" w:eastAsia="宋体" w:cs="宋体"/>
                <w:sz w:val="21"/>
                <w:szCs w:val="21"/>
                <w:lang w:eastAsia="zh-CN"/>
              </w:rPr>
              <w:t>≥</w:t>
            </w:r>
            <w:r>
              <w:rPr>
                <w:rFonts w:hint="eastAsia" w:ascii="宋体" w:hAnsi="宋体" w:eastAsia="宋体" w:cs="宋体"/>
                <w:sz w:val="21"/>
                <w:szCs w:val="21"/>
              </w:rPr>
              <w:t>1080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450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1165</w:t>
            </w:r>
            <w:r>
              <w:rPr>
                <w:rFonts w:hint="eastAsia" w:ascii="宋体" w:hAnsi="宋体" w:cs="宋体"/>
                <w:sz w:val="21"/>
                <w:szCs w:val="21"/>
                <w:lang w:eastAsia="zh-CN"/>
              </w:rPr>
              <w:t>（</w:t>
            </w:r>
            <w:r>
              <w:rPr>
                <w:rFonts w:hint="eastAsia" w:ascii="宋体" w:hAnsi="宋体" w:eastAsia="宋体" w:cs="宋体"/>
                <w:sz w:val="21"/>
                <w:szCs w:val="21"/>
              </w:rPr>
              <w:t>mm</w:t>
            </w:r>
            <w:r>
              <w:rPr>
                <w:rFonts w:hint="eastAsia" w:ascii="宋体" w:hAnsi="宋体" w:cs="宋体"/>
                <w:sz w:val="21"/>
                <w:szCs w:val="21"/>
                <w:lang w:eastAsia="zh-CN"/>
              </w:rPr>
              <w:t>）</w:t>
            </w:r>
          </w:p>
          <w:p w14:paraId="268A403C">
            <w:pPr>
              <w:keepNext w:val="0"/>
              <w:keepLines w:val="0"/>
              <w:widowControl/>
              <w:suppressLineNumbers w:val="0"/>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sz w:val="21"/>
                <w:szCs w:val="21"/>
              </w:rPr>
              <w:t>2</w:t>
            </w:r>
            <w:r>
              <w:rPr>
                <w:rFonts w:hint="eastAsia" w:ascii="宋体" w:hAnsi="宋体" w:eastAsia="宋体" w:cs="宋体"/>
                <w:sz w:val="21"/>
                <w:szCs w:val="21"/>
                <w:lang w:val="en-US" w:eastAsia="zh-CN"/>
              </w:rPr>
              <w:t>0</w:t>
            </w:r>
            <w:r>
              <w:rPr>
                <w:rFonts w:hint="eastAsia" w:ascii="宋体" w:hAnsi="宋体" w:eastAsia="宋体" w:cs="宋体"/>
                <w:sz w:val="21"/>
                <w:szCs w:val="21"/>
              </w:rPr>
              <w:t>.上下双门设计，方便部件单独维护，节约空间</w:t>
            </w:r>
          </w:p>
        </w:tc>
      </w:tr>
      <w:tr w14:paraId="7DD8E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shd w:val="clear" w:color="auto" w:fill="auto"/>
            <w:vAlign w:val="center"/>
          </w:tcPr>
          <w:p w14:paraId="06EB8137">
            <w:pPr>
              <w:bidi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3</w:t>
            </w:r>
          </w:p>
        </w:tc>
        <w:tc>
          <w:tcPr>
            <w:tcW w:w="1303" w:type="dxa"/>
            <w:tcBorders>
              <w:top w:val="single" w:color="auto" w:sz="4" w:space="0"/>
              <w:left w:val="nil"/>
              <w:bottom w:val="single" w:color="auto" w:sz="4" w:space="0"/>
              <w:right w:val="single" w:color="000000" w:sz="4" w:space="0"/>
            </w:tcBorders>
            <w:vAlign w:val="center"/>
          </w:tcPr>
          <w:p w14:paraId="72C7A9BD">
            <w:pPr>
              <w:bidi w:val="0"/>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大型粉碎机</w:t>
            </w:r>
          </w:p>
        </w:tc>
        <w:tc>
          <w:tcPr>
            <w:tcW w:w="690" w:type="dxa"/>
            <w:tcBorders>
              <w:top w:val="single" w:color="auto" w:sz="4" w:space="0"/>
              <w:left w:val="nil"/>
              <w:bottom w:val="single" w:color="auto" w:sz="4" w:space="0"/>
              <w:right w:val="single" w:color="000000" w:sz="4" w:space="0"/>
            </w:tcBorders>
            <w:vAlign w:val="center"/>
          </w:tcPr>
          <w:p w14:paraId="54F90237">
            <w:pPr>
              <w:bidi w:val="0"/>
              <w:spacing w:line="24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sz w:val="21"/>
                <w:szCs w:val="21"/>
                <w:lang w:val="en-US" w:eastAsia="zh-CN"/>
              </w:rPr>
              <w:t>台</w:t>
            </w:r>
          </w:p>
        </w:tc>
        <w:tc>
          <w:tcPr>
            <w:tcW w:w="1140" w:type="dxa"/>
            <w:tcBorders>
              <w:top w:val="single" w:color="auto" w:sz="4" w:space="0"/>
              <w:left w:val="nil"/>
              <w:bottom w:val="single" w:color="auto" w:sz="4" w:space="0"/>
              <w:right w:val="single" w:color="000000" w:sz="4" w:space="0"/>
            </w:tcBorders>
            <w:vAlign w:val="center"/>
          </w:tcPr>
          <w:p w14:paraId="3508D7E7">
            <w:pPr>
              <w:wordWrap/>
              <w:adjustRightInd/>
              <w:snapToGrid/>
              <w:spacing w:before="0" w:after="0" w:line="240" w:lineRule="auto"/>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5894" w:type="dxa"/>
            <w:tcBorders>
              <w:top w:val="single" w:color="auto" w:sz="4" w:space="0"/>
              <w:left w:val="nil"/>
              <w:bottom w:val="single" w:color="auto" w:sz="4" w:space="0"/>
              <w:right w:val="single" w:color="000000" w:sz="4" w:space="0"/>
            </w:tcBorders>
            <w:vAlign w:val="center"/>
          </w:tcPr>
          <w:p w14:paraId="17AD41A3">
            <w:pPr>
              <w:numPr>
                <w:ilvl w:val="0"/>
                <w:numId w:val="7"/>
              </w:numPr>
              <w:spacing w:line="240" w:lineRule="auto"/>
              <w:rPr>
                <w:rFonts w:hint="eastAsia" w:ascii="宋体" w:hAnsi="宋体" w:eastAsia="宋体" w:cs="宋体"/>
                <w:sz w:val="21"/>
                <w:szCs w:val="21"/>
              </w:rPr>
            </w:pPr>
            <w:r>
              <w:rPr>
                <w:rFonts w:hint="eastAsia" w:ascii="宋体" w:hAnsi="宋体" w:eastAsia="宋体" w:cs="宋体"/>
                <w:sz w:val="21"/>
                <w:szCs w:val="21"/>
              </w:rPr>
              <w:t>适用于各种绿化修剪下来的树枝，</w:t>
            </w:r>
            <w:r>
              <w:rPr>
                <w:rFonts w:hint="eastAsia" w:ascii="宋体" w:hAnsi="宋体" w:cs="宋体"/>
                <w:sz w:val="21"/>
                <w:szCs w:val="21"/>
                <w:lang w:eastAsia="zh-CN"/>
              </w:rPr>
              <w:t>树杈</w:t>
            </w:r>
            <w:r>
              <w:rPr>
                <w:rFonts w:hint="eastAsia" w:ascii="宋体" w:hAnsi="宋体" w:eastAsia="宋体" w:cs="宋体"/>
                <w:sz w:val="21"/>
                <w:szCs w:val="21"/>
              </w:rPr>
              <w:t>的粉碎处理。也可用于竹子的粉碎，用于食用菌的生产。全焊接车架，坚固耐用，可牵引作业。液压自动进料系统，进料台两侧3位手动控制杆</w:t>
            </w:r>
            <w:r>
              <w:rPr>
                <w:rFonts w:hint="eastAsia" w:ascii="宋体" w:hAnsi="宋体" w:eastAsia="宋体" w:cs="宋体"/>
                <w:sz w:val="21"/>
                <w:szCs w:val="21"/>
                <w:lang w:eastAsia="zh-CN"/>
              </w:rPr>
              <w:t>。</w:t>
            </w:r>
            <w:r>
              <w:rPr>
                <w:rFonts w:hint="eastAsia" w:ascii="宋体" w:hAnsi="宋体" w:eastAsia="宋体" w:cs="宋体"/>
                <w:sz w:val="21"/>
                <w:szCs w:val="21"/>
              </w:rPr>
              <w:t>热处理合金刀片</w:t>
            </w:r>
            <w:r>
              <w:rPr>
                <w:rFonts w:hint="eastAsia" w:ascii="宋体" w:hAnsi="宋体" w:eastAsia="宋体" w:cs="宋体"/>
                <w:sz w:val="21"/>
                <w:szCs w:val="21"/>
                <w:lang w:eastAsia="zh-CN"/>
              </w:rPr>
              <w:t>：</w:t>
            </w:r>
            <w:r>
              <w:rPr>
                <w:rFonts w:hint="eastAsia" w:ascii="宋体" w:hAnsi="宋体" w:eastAsia="宋体" w:cs="宋体"/>
                <w:sz w:val="21"/>
                <w:szCs w:val="21"/>
              </w:rPr>
              <w:t>切削刀4片，双面使用</w:t>
            </w:r>
            <w:r>
              <w:rPr>
                <w:rFonts w:hint="eastAsia" w:ascii="宋体" w:hAnsi="宋体" w:eastAsia="宋体" w:cs="宋体"/>
                <w:sz w:val="21"/>
                <w:szCs w:val="21"/>
                <w:lang w:eastAsia="zh-CN"/>
              </w:rPr>
              <w:t>。</w:t>
            </w:r>
            <w:r>
              <w:rPr>
                <w:rFonts w:hint="eastAsia" w:ascii="宋体" w:hAnsi="宋体" w:eastAsia="宋体" w:cs="宋体"/>
                <w:sz w:val="21"/>
                <w:szCs w:val="21"/>
              </w:rPr>
              <w:t>可折叠进料平台，宽大进料口</w:t>
            </w:r>
          </w:p>
          <w:p w14:paraId="7DBAA04E">
            <w:pPr>
              <w:numPr>
                <w:ilvl w:val="0"/>
                <w:numId w:val="7"/>
              </w:numPr>
              <w:spacing w:line="240" w:lineRule="auto"/>
              <w:rPr>
                <w:rFonts w:hint="eastAsia" w:ascii="宋体" w:hAnsi="宋体" w:eastAsia="宋体" w:cs="宋体"/>
                <w:sz w:val="21"/>
                <w:szCs w:val="21"/>
              </w:rPr>
            </w:pPr>
            <w:r>
              <w:rPr>
                <w:rFonts w:hint="eastAsia" w:ascii="宋体" w:hAnsi="宋体" w:eastAsia="宋体" w:cs="宋体"/>
                <w:sz w:val="21"/>
                <w:szCs w:val="21"/>
                <w:lang w:eastAsia="zh-CN"/>
              </w:rPr>
              <w:t>技术参数</w:t>
            </w:r>
          </w:p>
          <w:p w14:paraId="41AD81DF">
            <w:pPr>
              <w:spacing w:line="240" w:lineRule="auto"/>
              <w:rPr>
                <w:rFonts w:hint="eastAsia" w:ascii="宋体" w:hAnsi="宋体" w:eastAsia="宋体" w:cs="宋体"/>
                <w:sz w:val="21"/>
                <w:szCs w:val="21"/>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w:t>
            </w:r>
            <w:r>
              <w:rPr>
                <w:rFonts w:hint="eastAsia" w:ascii="宋体" w:hAnsi="宋体" w:eastAsia="宋体" w:cs="宋体"/>
                <w:sz w:val="21"/>
                <w:szCs w:val="21"/>
              </w:rPr>
              <w:t>动力</w:t>
            </w:r>
            <w:r>
              <w:rPr>
                <w:rFonts w:hint="eastAsia" w:ascii="宋体" w:hAnsi="宋体" w:eastAsia="宋体" w:cs="宋体"/>
                <w:sz w:val="21"/>
                <w:szCs w:val="21"/>
                <w:lang w:eastAsia="zh-CN"/>
              </w:rPr>
              <w:t>：</w:t>
            </w:r>
            <w:r>
              <w:rPr>
                <w:rFonts w:hint="eastAsia" w:ascii="宋体" w:hAnsi="宋体" w:eastAsia="宋体" w:cs="宋体"/>
                <w:sz w:val="21"/>
                <w:szCs w:val="21"/>
              </w:rPr>
              <w:t>25马力汽油</w:t>
            </w:r>
            <w:r>
              <w:rPr>
                <w:rFonts w:hint="eastAsia" w:ascii="宋体" w:hAnsi="宋体" w:eastAsia="宋体" w:cs="宋体"/>
                <w:sz w:val="21"/>
                <w:szCs w:val="21"/>
                <w:lang w:eastAsia="zh-CN"/>
              </w:rPr>
              <w:t>发动</w:t>
            </w:r>
            <w:r>
              <w:rPr>
                <w:rFonts w:hint="eastAsia" w:ascii="宋体" w:hAnsi="宋体" w:eastAsia="宋体" w:cs="宋体"/>
                <w:sz w:val="21"/>
                <w:szCs w:val="21"/>
              </w:rPr>
              <w:t>机</w:t>
            </w:r>
            <w:r>
              <w:rPr>
                <w:rFonts w:hint="eastAsia" w:ascii="宋体" w:hAnsi="宋体" w:eastAsia="宋体" w:cs="宋体"/>
                <w:sz w:val="21"/>
                <w:szCs w:val="21"/>
                <w:lang w:eastAsia="zh-CN"/>
              </w:rPr>
              <w:t>或柴油发动机</w:t>
            </w:r>
          </w:p>
          <w:p w14:paraId="0F33F7BA">
            <w:pPr>
              <w:spacing w:line="24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驱动方式</w:t>
            </w:r>
            <w:r>
              <w:rPr>
                <w:rFonts w:hint="eastAsia" w:ascii="宋体" w:hAnsi="宋体" w:eastAsia="宋体" w:cs="宋体"/>
                <w:sz w:val="21"/>
                <w:szCs w:val="21"/>
                <w:lang w:eastAsia="zh-CN"/>
              </w:rPr>
              <w:t>：</w:t>
            </w:r>
            <w:r>
              <w:rPr>
                <w:rFonts w:hint="eastAsia" w:ascii="宋体" w:hAnsi="宋体" w:eastAsia="宋体" w:cs="宋体"/>
                <w:sz w:val="21"/>
                <w:szCs w:val="21"/>
              </w:rPr>
              <w:t>皮带</w:t>
            </w:r>
          </w:p>
          <w:p w14:paraId="1690EA4D">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燃油箱容积</w:t>
            </w:r>
            <w:r>
              <w:rPr>
                <w:rFonts w:hint="eastAsia" w:ascii="宋体" w:hAnsi="宋体" w:eastAsia="宋体" w:cs="宋体"/>
                <w:sz w:val="21"/>
                <w:szCs w:val="21"/>
                <w:lang w:eastAsia="zh-CN"/>
              </w:rPr>
              <w:t>：≥</w:t>
            </w:r>
            <w:r>
              <w:rPr>
                <w:rFonts w:hint="eastAsia" w:ascii="宋体" w:hAnsi="宋体" w:eastAsia="宋体" w:cs="宋体"/>
                <w:sz w:val="21"/>
                <w:szCs w:val="21"/>
              </w:rPr>
              <w:t>40L</w:t>
            </w:r>
          </w:p>
          <w:p w14:paraId="668FF72B">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液压油箱</w:t>
            </w:r>
            <w:r>
              <w:rPr>
                <w:rFonts w:hint="eastAsia" w:ascii="宋体" w:hAnsi="宋体" w:eastAsia="宋体" w:cs="宋体"/>
                <w:sz w:val="21"/>
                <w:szCs w:val="21"/>
                <w:lang w:eastAsia="zh-CN"/>
              </w:rPr>
              <w:t>：≥</w:t>
            </w:r>
            <w:r>
              <w:rPr>
                <w:rFonts w:hint="eastAsia" w:ascii="宋体" w:hAnsi="宋体" w:eastAsia="宋体" w:cs="宋体"/>
                <w:sz w:val="21"/>
                <w:szCs w:val="21"/>
              </w:rPr>
              <w:t>31L</w:t>
            </w:r>
          </w:p>
          <w:p w14:paraId="30FD3F9F">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切片刀</w:t>
            </w:r>
            <w:r>
              <w:rPr>
                <w:rFonts w:hint="eastAsia" w:ascii="宋体" w:hAnsi="宋体" w:eastAsia="宋体" w:cs="宋体"/>
                <w:sz w:val="21"/>
                <w:szCs w:val="21"/>
                <w:lang w:eastAsia="zh-CN"/>
              </w:rPr>
              <w:t>：</w:t>
            </w:r>
            <w:r>
              <w:rPr>
                <w:rFonts w:hint="eastAsia" w:ascii="宋体" w:hAnsi="宋体" w:eastAsia="宋体" w:cs="宋体"/>
                <w:sz w:val="21"/>
                <w:szCs w:val="21"/>
              </w:rPr>
              <w:t>4 片双刃</w:t>
            </w:r>
            <w:r>
              <w:rPr>
                <w:rFonts w:hint="eastAsia" w:ascii="宋体" w:hAnsi="宋体" w:eastAsia="宋体" w:cs="宋体"/>
                <w:sz w:val="21"/>
                <w:szCs w:val="21"/>
                <w:lang w:eastAsia="zh-CN"/>
              </w:rPr>
              <w:t>，尺寸</w:t>
            </w:r>
            <w:r>
              <w:rPr>
                <w:rFonts w:hint="eastAsia" w:ascii="宋体" w:hAnsi="宋体" w:cs="宋体"/>
                <w:sz w:val="21"/>
                <w:szCs w:val="21"/>
                <w:lang w:eastAsia="zh-CN"/>
              </w:rPr>
              <w:t>：</w:t>
            </w:r>
            <w:r>
              <w:rPr>
                <w:rFonts w:hint="eastAsia" w:ascii="宋体" w:hAnsi="宋体" w:cs="宋体"/>
                <w:sz w:val="21"/>
                <w:szCs w:val="21"/>
                <w:lang w:val="en-US" w:eastAsia="zh-CN"/>
              </w:rPr>
              <w:t>（偏差</w:t>
            </w:r>
            <w:r>
              <w:rPr>
                <w:rFonts w:hint="eastAsia" w:ascii="仿宋" w:hAnsi="仿宋" w:eastAsia="仿宋" w:cs="仿宋"/>
                <w:sz w:val="21"/>
                <w:szCs w:val="21"/>
                <w:lang w:val="en-US" w:eastAsia="zh-CN"/>
              </w:rPr>
              <w:t>±</w:t>
            </w:r>
            <w:r>
              <w:rPr>
                <w:rFonts w:hint="eastAsia" w:ascii="宋体" w:hAnsi="宋体" w:cs="宋体"/>
                <w:sz w:val="21"/>
                <w:szCs w:val="21"/>
                <w:lang w:val="en-US" w:eastAsia="zh-CN"/>
              </w:rPr>
              <w:t>5%）</w:t>
            </w:r>
            <w:r>
              <w:rPr>
                <w:rFonts w:hint="eastAsia" w:ascii="宋体" w:hAnsi="宋体" w:eastAsia="宋体" w:cs="宋体"/>
                <w:sz w:val="21"/>
                <w:szCs w:val="21"/>
              </w:rPr>
              <w:t>130</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102</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13</w:t>
            </w:r>
            <w:r>
              <w:rPr>
                <w:rFonts w:hint="eastAsia" w:ascii="宋体" w:hAnsi="宋体" w:cs="宋体"/>
                <w:sz w:val="21"/>
                <w:szCs w:val="21"/>
                <w:lang w:val="en-US" w:eastAsia="zh-CN"/>
              </w:rPr>
              <w:t>(</w:t>
            </w:r>
            <w:r>
              <w:rPr>
                <w:rFonts w:hint="eastAsia" w:ascii="宋体" w:hAnsi="宋体" w:eastAsia="宋体" w:cs="宋体"/>
                <w:sz w:val="21"/>
                <w:szCs w:val="21"/>
              </w:rPr>
              <w:t>mm</w:t>
            </w:r>
            <w:r>
              <w:rPr>
                <w:rFonts w:hint="eastAsia" w:ascii="宋体" w:hAnsi="宋体" w:cs="宋体"/>
                <w:sz w:val="21"/>
                <w:szCs w:val="21"/>
                <w:lang w:val="en-US" w:eastAsia="zh-CN"/>
              </w:rPr>
              <w:t>)</w:t>
            </w:r>
          </w:p>
          <w:p w14:paraId="5FF08E70">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刀盘</w:t>
            </w:r>
            <w:r>
              <w:rPr>
                <w:rFonts w:hint="eastAsia" w:ascii="宋体" w:hAnsi="宋体" w:eastAsia="宋体" w:cs="宋体"/>
                <w:sz w:val="21"/>
                <w:szCs w:val="21"/>
                <w:lang w:eastAsia="zh-CN"/>
              </w:rPr>
              <w:t>：</w:t>
            </w:r>
            <w:r>
              <w:rPr>
                <w:rFonts w:hint="eastAsia" w:ascii="宋体" w:hAnsi="宋体" w:eastAsia="宋体" w:cs="宋体"/>
                <w:sz w:val="21"/>
                <w:szCs w:val="21"/>
              </w:rPr>
              <w:t>直径</w:t>
            </w:r>
            <w:r>
              <w:rPr>
                <w:rFonts w:hint="eastAsia" w:ascii="宋体" w:hAnsi="宋体" w:eastAsia="宋体" w:cs="宋体"/>
                <w:sz w:val="21"/>
                <w:szCs w:val="21"/>
                <w:lang w:eastAsia="zh-CN"/>
              </w:rPr>
              <w:t>约</w:t>
            </w:r>
            <w:r>
              <w:rPr>
                <w:rFonts w:hint="eastAsia" w:ascii="宋体" w:hAnsi="宋体" w:eastAsia="宋体" w:cs="宋体"/>
                <w:sz w:val="21"/>
                <w:szCs w:val="21"/>
              </w:rPr>
              <w:t>668mm，重量</w:t>
            </w:r>
            <w:r>
              <w:rPr>
                <w:rFonts w:hint="eastAsia" w:ascii="宋体" w:hAnsi="宋体" w:eastAsia="宋体" w:cs="宋体"/>
                <w:sz w:val="21"/>
                <w:szCs w:val="21"/>
                <w:lang w:eastAsia="zh-CN"/>
              </w:rPr>
              <w:t>约</w:t>
            </w:r>
            <w:r>
              <w:rPr>
                <w:rFonts w:hint="eastAsia" w:ascii="宋体" w:hAnsi="宋体" w:eastAsia="宋体" w:cs="宋体"/>
                <w:sz w:val="21"/>
                <w:szCs w:val="21"/>
              </w:rPr>
              <w:t>75kg</w:t>
            </w:r>
          </w:p>
          <w:p w14:paraId="48B0C153">
            <w:pPr>
              <w:spacing w:line="240" w:lineRule="auto"/>
              <w:rPr>
                <w:rFonts w:hint="eastAsia" w:ascii="宋体" w:hAnsi="宋体" w:eastAsia="宋体" w:cs="宋体"/>
                <w:sz w:val="21"/>
                <w:szCs w:val="21"/>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7.</w:t>
            </w:r>
            <w:r>
              <w:rPr>
                <w:rFonts w:hint="eastAsia" w:ascii="宋体" w:hAnsi="宋体" w:eastAsia="宋体" w:cs="宋体"/>
                <w:sz w:val="21"/>
                <w:szCs w:val="21"/>
              </w:rPr>
              <w:t>刀盘转速</w:t>
            </w:r>
            <w:r>
              <w:rPr>
                <w:rFonts w:hint="eastAsia" w:ascii="宋体" w:hAnsi="宋体" w:eastAsia="宋体" w:cs="宋体"/>
                <w:sz w:val="21"/>
                <w:szCs w:val="21"/>
                <w:lang w:eastAsia="zh-CN"/>
              </w:rPr>
              <w:t>：≥</w:t>
            </w:r>
            <w:r>
              <w:rPr>
                <w:rFonts w:hint="eastAsia" w:ascii="宋体" w:hAnsi="宋体" w:eastAsia="宋体" w:cs="宋体"/>
                <w:sz w:val="21"/>
                <w:szCs w:val="21"/>
              </w:rPr>
              <w:t>1</w:t>
            </w:r>
            <w:r>
              <w:rPr>
                <w:rFonts w:hint="eastAsia" w:ascii="宋体" w:hAnsi="宋体" w:eastAsia="宋体" w:cs="宋体"/>
                <w:sz w:val="21"/>
                <w:szCs w:val="21"/>
                <w:lang w:val="en-US" w:eastAsia="zh-CN"/>
              </w:rPr>
              <w:t>7</w:t>
            </w:r>
            <w:r>
              <w:rPr>
                <w:rFonts w:hint="eastAsia" w:ascii="宋体" w:hAnsi="宋体" w:eastAsia="宋体" w:cs="宋体"/>
                <w:sz w:val="21"/>
                <w:szCs w:val="21"/>
              </w:rPr>
              <w:t>00(r/min)</w:t>
            </w:r>
          </w:p>
          <w:p w14:paraId="34DDD9A2">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进料辊直径</w:t>
            </w:r>
            <w:r>
              <w:rPr>
                <w:rFonts w:hint="eastAsia" w:ascii="宋体" w:hAnsi="宋体" w:eastAsia="宋体" w:cs="宋体"/>
                <w:sz w:val="21"/>
                <w:szCs w:val="21"/>
                <w:lang w:eastAsia="zh-CN"/>
              </w:rPr>
              <w:t>：≥</w:t>
            </w:r>
            <w:r>
              <w:rPr>
                <w:rFonts w:hint="eastAsia" w:ascii="宋体" w:hAnsi="宋体" w:eastAsia="宋体" w:cs="宋体"/>
                <w:sz w:val="21"/>
                <w:szCs w:val="21"/>
              </w:rPr>
              <w:t>385mm，单一水平</w:t>
            </w:r>
          </w:p>
          <w:p w14:paraId="115D1EC8">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进料喉</w:t>
            </w:r>
            <w:r>
              <w:rPr>
                <w:rFonts w:hint="eastAsia" w:ascii="宋体" w:hAnsi="宋体" w:eastAsia="宋体" w:cs="宋体"/>
                <w:sz w:val="21"/>
                <w:szCs w:val="21"/>
                <w:lang w:eastAsia="zh-CN"/>
              </w:rPr>
              <w:t>尺寸：≥</w:t>
            </w:r>
            <w:r>
              <w:rPr>
                <w:rFonts w:hint="eastAsia" w:ascii="宋体" w:hAnsi="宋体" w:eastAsia="宋体" w:cs="宋体"/>
                <w:sz w:val="21"/>
                <w:szCs w:val="21"/>
              </w:rPr>
              <w:t>宽320mm</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rPr>
              <w:t>高160mm</w:t>
            </w:r>
          </w:p>
          <w:p w14:paraId="2BBB6A4D">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进料台</w:t>
            </w:r>
            <w:r>
              <w:rPr>
                <w:rFonts w:hint="eastAsia" w:ascii="宋体" w:hAnsi="宋体" w:eastAsia="宋体" w:cs="宋体"/>
                <w:sz w:val="21"/>
                <w:szCs w:val="21"/>
                <w:lang w:eastAsia="zh-CN"/>
              </w:rPr>
              <w:t>：≥</w:t>
            </w:r>
            <w:r>
              <w:rPr>
                <w:rFonts w:hint="eastAsia" w:ascii="宋体" w:hAnsi="宋体" w:eastAsia="宋体" w:cs="宋体"/>
                <w:sz w:val="21"/>
                <w:szCs w:val="21"/>
              </w:rPr>
              <w:t>156cm</w:t>
            </w:r>
            <w:r>
              <w:rPr>
                <w:rFonts w:hint="eastAsia" w:ascii="宋体" w:hAnsi="宋体" w:cs="宋体"/>
                <w:sz w:val="21"/>
                <w:szCs w:val="21"/>
                <w:lang w:eastAsia="zh-CN"/>
              </w:rPr>
              <w:t>，</w:t>
            </w:r>
            <w:r>
              <w:rPr>
                <w:rFonts w:hint="eastAsia" w:ascii="宋体" w:hAnsi="宋体" w:eastAsia="宋体" w:cs="宋体"/>
                <w:sz w:val="21"/>
                <w:szCs w:val="21"/>
              </w:rPr>
              <w:t>可折叠</w:t>
            </w:r>
          </w:p>
          <w:p w14:paraId="0D85384D">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排料管</w:t>
            </w:r>
            <w:r>
              <w:rPr>
                <w:rFonts w:hint="eastAsia" w:ascii="宋体" w:hAnsi="宋体" w:eastAsia="宋体" w:cs="宋体"/>
                <w:sz w:val="21"/>
                <w:szCs w:val="21"/>
                <w:lang w:eastAsia="zh-CN"/>
              </w:rPr>
              <w:t>：</w:t>
            </w:r>
            <w:r>
              <w:rPr>
                <w:rFonts w:hint="eastAsia" w:ascii="宋体" w:hAnsi="宋体" w:eastAsia="宋体" w:cs="宋体"/>
                <w:sz w:val="21"/>
                <w:szCs w:val="21"/>
              </w:rPr>
              <w:t>360°可旋转</w:t>
            </w:r>
          </w:p>
          <w:p w14:paraId="22307AE7">
            <w:pPr>
              <w:keepNext w:val="0"/>
              <w:keepLines w:val="0"/>
              <w:widowControl/>
              <w:suppressLineNumbers w:val="0"/>
              <w:spacing w:line="240" w:lineRule="auto"/>
              <w:jc w:val="left"/>
              <w:textAlignment w:val="center"/>
              <w:rPr>
                <w:rFonts w:hint="eastAsia" w:ascii="宋体" w:hAnsi="宋体" w:eastAsia="宋体" w:cs="宋体"/>
                <w:sz w:val="21"/>
                <w:szCs w:val="21"/>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12.</w:t>
            </w:r>
            <w:r>
              <w:rPr>
                <w:rFonts w:hint="eastAsia" w:ascii="宋体" w:hAnsi="宋体" w:eastAsia="宋体" w:cs="宋体"/>
                <w:sz w:val="21"/>
                <w:szCs w:val="21"/>
              </w:rPr>
              <w:t>安全设计</w:t>
            </w:r>
            <w:r>
              <w:rPr>
                <w:rFonts w:hint="eastAsia" w:ascii="宋体" w:hAnsi="宋体" w:eastAsia="宋体" w:cs="宋体"/>
                <w:sz w:val="21"/>
                <w:szCs w:val="21"/>
                <w:lang w:eastAsia="zh-CN"/>
              </w:rPr>
              <w:t>：</w:t>
            </w:r>
            <w:r>
              <w:rPr>
                <w:rFonts w:hint="eastAsia" w:ascii="宋体" w:hAnsi="宋体" w:cs="宋体"/>
                <w:sz w:val="21"/>
                <w:szCs w:val="21"/>
                <w:lang w:val="en-US" w:eastAsia="zh-CN"/>
              </w:rPr>
              <w:t>具</w:t>
            </w:r>
            <w:r>
              <w:rPr>
                <w:rFonts w:hint="eastAsia" w:ascii="宋体" w:hAnsi="宋体" w:cs="宋体"/>
                <w:sz w:val="21"/>
                <w:szCs w:val="21"/>
                <w:lang w:eastAsia="zh-CN"/>
              </w:rPr>
              <w:t>有</w:t>
            </w:r>
            <w:r>
              <w:rPr>
                <w:rFonts w:hint="eastAsia" w:ascii="宋体" w:hAnsi="宋体" w:eastAsia="宋体" w:cs="宋体"/>
                <w:sz w:val="21"/>
                <w:szCs w:val="21"/>
              </w:rPr>
              <w:t>紧急停止按钮</w:t>
            </w:r>
          </w:p>
        </w:tc>
      </w:tr>
      <w:tr w14:paraId="5E8D8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000000" w:sz="4" w:space="0"/>
              <w:right w:val="single" w:color="000000" w:sz="4" w:space="0"/>
            </w:tcBorders>
            <w:shd w:val="clear" w:color="auto" w:fill="auto"/>
            <w:vAlign w:val="center"/>
          </w:tcPr>
          <w:p w14:paraId="21C8D404">
            <w:pPr>
              <w:bidi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4</w:t>
            </w:r>
          </w:p>
        </w:tc>
        <w:tc>
          <w:tcPr>
            <w:tcW w:w="1303" w:type="dxa"/>
            <w:tcBorders>
              <w:top w:val="single" w:color="auto" w:sz="4" w:space="0"/>
              <w:left w:val="nil"/>
              <w:bottom w:val="single" w:color="auto" w:sz="4" w:space="0"/>
              <w:right w:val="single" w:color="000000" w:sz="4" w:space="0"/>
            </w:tcBorders>
            <w:vAlign w:val="center"/>
          </w:tcPr>
          <w:p w14:paraId="5C3558EB">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防虫灯</w:t>
            </w:r>
          </w:p>
        </w:tc>
        <w:tc>
          <w:tcPr>
            <w:tcW w:w="690" w:type="dxa"/>
            <w:tcBorders>
              <w:top w:val="single" w:color="auto" w:sz="4" w:space="0"/>
              <w:left w:val="nil"/>
              <w:bottom w:val="single" w:color="auto" w:sz="4" w:space="0"/>
              <w:right w:val="single" w:color="000000" w:sz="4" w:space="0"/>
            </w:tcBorders>
            <w:vAlign w:val="center"/>
          </w:tcPr>
          <w:p w14:paraId="719362D1">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套</w:t>
            </w:r>
          </w:p>
        </w:tc>
        <w:tc>
          <w:tcPr>
            <w:tcW w:w="1140" w:type="dxa"/>
            <w:tcBorders>
              <w:top w:val="single" w:color="000000" w:sz="4" w:space="0"/>
              <w:left w:val="nil"/>
              <w:bottom w:val="single" w:color="auto" w:sz="4" w:space="0"/>
              <w:right w:val="single" w:color="000000" w:sz="4" w:space="0"/>
            </w:tcBorders>
            <w:vAlign w:val="center"/>
          </w:tcPr>
          <w:p w14:paraId="121FEFB9">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10</w:t>
            </w:r>
          </w:p>
        </w:tc>
        <w:tc>
          <w:tcPr>
            <w:tcW w:w="5894" w:type="dxa"/>
            <w:tcBorders>
              <w:top w:val="single" w:color="000000" w:sz="4" w:space="0"/>
              <w:left w:val="nil"/>
              <w:bottom w:val="single" w:color="auto" w:sz="4" w:space="0"/>
              <w:right w:val="single" w:color="000000" w:sz="4" w:space="0"/>
            </w:tcBorders>
            <w:vAlign w:val="center"/>
          </w:tcPr>
          <w:p w14:paraId="1437831F">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1.立杆式防虫灯</w:t>
            </w:r>
          </w:p>
          <w:p w14:paraId="737E60A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2.立杆高度：</w:t>
            </w:r>
            <w:r>
              <w:rPr>
                <w:rFonts w:hint="eastAsia" w:ascii="宋体" w:hAnsi="宋体" w:eastAsia="宋体" w:cs="宋体"/>
                <w:sz w:val="21"/>
                <w:szCs w:val="21"/>
              </w:rPr>
              <w:t>≥</w:t>
            </w:r>
            <w:r>
              <w:rPr>
                <w:rFonts w:hint="eastAsia" w:ascii="宋体" w:hAnsi="宋体" w:eastAsia="宋体" w:cs="宋体"/>
                <w:sz w:val="21"/>
                <w:szCs w:val="21"/>
                <w:lang w:val="en-US" w:eastAsia="zh-CN"/>
              </w:rPr>
              <w:t>2.5m；太阳能光伏板电源：</w:t>
            </w:r>
            <w:r>
              <w:rPr>
                <w:rFonts w:hint="eastAsia" w:ascii="宋体" w:hAnsi="宋体" w:eastAsia="宋体" w:cs="宋体"/>
                <w:sz w:val="21"/>
                <w:szCs w:val="21"/>
              </w:rPr>
              <w:t>≥</w:t>
            </w:r>
            <w:r>
              <w:rPr>
                <w:rFonts w:hint="eastAsia" w:ascii="宋体" w:hAnsi="宋体" w:eastAsia="宋体" w:cs="宋体"/>
                <w:sz w:val="21"/>
                <w:szCs w:val="21"/>
                <w:lang w:val="en-US" w:eastAsia="zh-CN"/>
              </w:rPr>
              <w:t>30W18V</w:t>
            </w:r>
            <w:r>
              <w:rPr>
                <w:rFonts w:hint="eastAsia"/>
                <w:lang w:eastAsia="zh-CN"/>
              </w:rPr>
              <w:t>，配备蓄电池</w:t>
            </w:r>
          </w:p>
          <w:p w14:paraId="5A11F12B">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3.混凝土基础：</w:t>
            </w:r>
            <w:r>
              <w:rPr>
                <w:rFonts w:hint="eastAsia" w:ascii="宋体" w:hAnsi="宋体" w:eastAsia="宋体" w:cs="宋体"/>
                <w:sz w:val="21"/>
                <w:szCs w:val="21"/>
              </w:rPr>
              <w:t>≥</w:t>
            </w:r>
            <w:r>
              <w:rPr>
                <w:rFonts w:hint="eastAsia" w:ascii="宋体" w:hAnsi="宋体" w:eastAsia="宋体" w:cs="宋体"/>
                <w:sz w:val="21"/>
                <w:szCs w:val="21"/>
                <w:lang w:val="en-US" w:eastAsia="zh-CN"/>
              </w:rPr>
              <w:t>0.5m</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lang w:val="en-US" w:eastAsia="zh-CN"/>
              </w:rPr>
              <w:t>0.5m</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lang w:val="en-US" w:eastAsia="zh-CN"/>
              </w:rPr>
              <w:t>1.0m</w:t>
            </w:r>
          </w:p>
          <w:p w14:paraId="4832308B">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4.覆盖范围：</w:t>
            </w:r>
            <w:r>
              <w:rPr>
                <w:rFonts w:hint="eastAsia" w:ascii="宋体" w:hAnsi="宋体" w:eastAsia="宋体" w:cs="宋体"/>
                <w:sz w:val="21"/>
                <w:szCs w:val="21"/>
              </w:rPr>
              <w:t>≥</w:t>
            </w:r>
            <w:r>
              <w:rPr>
                <w:rFonts w:hint="eastAsia" w:ascii="宋体" w:hAnsi="宋体" w:eastAsia="宋体" w:cs="宋体"/>
                <w:sz w:val="21"/>
                <w:szCs w:val="21"/>
                <w:lang w:val="en-US" w:eastAsia="zh-CN"/>
              </w:rPr>
              <w:t>10亩</w:t>
            </w:r>
          </w:p>
          <w:p w14:paraId="61829264">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5.工作时间：</w:t>
            </w:r>
            <w:r>
              <w:rPr>
                <w:rFonts w:hint="eastAsia" w:ascii="宋体" w:hAnsi="宋体" w:eastAsia="宋体" w:cs="宋体"/>
                <w:sz w:val="21"/>
                <w:szCs w:val="21"/>
              </w:rPr>
              <w:t>≥</w:t>
            </w:r>
            <w:r>
              <w:rPr>
                <w:rFonts w:hint="eastAsia" w:ascii="宋体" w:hAnsi="宋体" w:eastAsia="宋体" w:cs="宋体"/>
                <w:sz w:val="21"/>
                <w:szCs w:val="21"/>
                <w:lang w:val="en-US" w:eastAsia="zh-CN"/>
              </w:rPr>
              <w:t>6小时</w:t>
            </w:r>
          </w:p>
          <w:p w14:paraId="2DBA64A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控制方式：光控、雨控、时控</w:t>
            </w:r>
          </w:p>
        </w:tc>
      </w:tr>
      <w:tr w14:paraId="0379E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restart"/>
            <w:tcBorders>
              <w:top w:val="single" w:color="000000" w:sz="4" w:space="0"/>
              <w:left w:val="single" w:color="000000" w:sz="4" w:space="0"/>
              <w:right w:val="single" w:color="000000" w:sz="4" w:space="0"/>
            </w:tcBorders>
            <w:vAlign w:val="center"/>
          </w:tcPr>
          <w:p w14:paraId="0B24BEDD">
            <w:pPr>
              <w:bidi w:val="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w:t>
            </w:r>
          </w:p>
        </w:tc>
        <w:tc>
          <w:tcPr>
            <w:tcW w:w="1303" w:type="dxa"/>
            <w:vMerge w:val="restart"/>
            <w:tcBorders>
              <w:top w:val="single" w:color="auto" w:sz="4" w:space="0"/>
              <w:left w:val="nil"/>
              <w:right w:val="single" w:color="000000" w:sz="4" w:space="0"/>
            </w:tcBorders>
            <w:vAlign w:val="center"/>
          </w:tcPr>
          <w:p w14:paraId="0D31AB78">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电源线路</w:t>
            </w:r>
          </w:p>
        </w:tc>
        <w:tc>
          <w:tcPr>
            <w:tcW w:w="690" w:type="dxa"/>
            <w:tcBorders>
              <w:top w:val="single" w:color="auto" w:sz="4" w:space="0"/>
              <w:left w:val="nil"/>
              <w:bottom w:val="single" w:color="auto" w:sz="4" w:space="0"/>
              <w:right w:val="single" w:color="000000" w:sz="4" w:space="0"/>
            </w:tcBorders>
            <w:vAlign w:val="center"/>
          </w:tcPr>
          <w:p w14:paraId="3BDD21BB">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台</w:t>
            </w:r>
          </w:p>
        </w:tc>
        <w:tc>
          <w:tcPr>
            <w:tcW w:w="1140" w:type="dxa"/>
            <w:tcBorders>
              <w:top w:val="single" w:color="000000" w:sz="4" w:space="0"/>
              <w:left w:val="nil"/>
              <w:bottom w:val="single" w:color="auto" w:sz="4" w:space="0"/>
              <w:right w:val="single" w:color="000000" w:sz="4" w:space="0"/>
            </w:tcBorders>
            <w:vAlign w:val="center"/>
          </w:tcPr>
          <w:p w14:paraId="0A013BC7">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w:t>
            </w:r>
          </w:p>
        </w:tc>
        <w:tc>
          <w:tcPr>
            <w:tcW w:w="5894" w:type="dxa"/>
            <w:tcBorders>
              <w:top w:val="single" w:color="000000" w:sz="4" w:space="0"/>
              <w:left w:val="nil"/>
              <w:bottom w:val="single" w:color="auto" w:sz="4" w:space="0"/>
              <w:right w:val="single" w:color="000000" w:sz="4" w:space="0"/>
            </w:tcBorders>
            <w:vAlign w:val="center"/>
          </w:tcPr>
          <w:p w14:paraId="7FDF7923">
            <w:pPr>
              <w:rPr>
                <w:rFonts w:hint="eastAsia" w:ascii="宋体" w:hAnsi="宋体" w:eastAsia="宋体" w:cs="宋体"/>
                <w:sz w:val="21"/>
                <w:szCs w:val="21"/>
              </w:rPr>
            </w:pPr>
            <w:r>
              <w:rPr>
                <w:rFonts w:hint="eastAsia" w:ascii="宋体" w:hAnsi="宋体" w:eastAsia="宋体" w:cs="宋体"/>
                <w:sz w:val="21"/>
                <w:szCs w:val="21"/>
              </w:rPr>
              <w:t>配电箱</w:t>
            </w:r>
          </w:p>
          <w:p w14:paraId="2FA0F32E">
            <w:pPr>
              <w:rPr>
                <w:rFonts w:hint="eastAsia" w:ascii="宋体" w:hAnsi="宋体" w:eastAsia="宋体" w:cs="宋体"/>
                <w:sz w:val="21"/>
                <w:szCs w:val="21"/>
              </w:rPr>
            </w:pPr>
            <w:r>
              <w:rPr>
                <w:rFonts w:hint="eastAsia" w:ascii="宋体" w:hAnsi="宋体" w:eastAsia="宋体" w:cs="宋体"/>
                <w:sz w:val="21"/>
                <w:szCs w:val="21"/>
              </w:rPr>
              <w:t>箱体：304不锈钢制作</w:t>
            </w:r>
          </w:p>
          <w:p w14:paraId="2521CE07">
            <w:pPr>
              <w:rPr>
                <w:rFonts w:hint="eastAsia" w:ascii="宋体" w:hAnsi="宋体" w:eastAsia="宋体" w:cs="宋体"/>
                <w:sz w:val="21"/>
                <w:szCs w:val="21"/>
              </w:rPr>
            </w:pPr>
            <w:r>
              <w:rPr>
                <w:rFonts w:hint="eastAsia" w:ascii="宋体" w:hAnsi="宋体" w:eastAsia="宋体" w:cs="宋体"/>
                <w:sz w:val="21"/>
                <w:szCs w:val="21"/>
              </w:rPr>
              <w:t>配断路器60A/4P 1个、空开30A/2P 2个、时控器1个</w:t>
            </w:r>
          </w:p>
          <w:p w14:paraId="46247F34">
            <w:pPr>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包含安装</w:t>
            </w:r>
          </w:p>
        </w:tc>
      </w:tr>
      <w:tr w14:paraId="7B09B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3FE86D62">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61739744">
            <w:pPr>
              <w:bidi w:val="0"/>
              <w:jc w:val="center"/>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auto" w:sz="4" w:space="0"/>
              <w:right w:val="single" w:color="000000" w:sz="4" w:space="0"/>
            </w:tcBorders>
            <w:vAlign w:val="center"/>
          </w:tcPr>
          <w:p w14:paraId="0861C7D4">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m</w:t>
            </w:r>
          </w:p>
        </w:tc>
        <w:tc>
          <w:tcPr>
            <w:tcW w:w="1140" w:type="dxa"/>
            <w:tcBorders>
              <w:top w:val="single" w:color="000000" w:sz="4" w:space="0"/>
              <w:left w:val="nil"/>
              <w:bottom w:val="single" w:color="auto" w:sz="4" w:space="0"/>
              <w:right w:val="single" w:color="000000" w:sz="4" w:space="0"/>
            </w:tcBorders>
            <w:vAlign w:val="center"/>
          </w:tcPr>
          <w:p w14:paraId="739E5956">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220.00</w:t>
            </w:r>
          </w:p>
        </w:tc>
        <w:tc>
          <w:tcPr>
            <w:tcW w:w="5894" w:type="dxa"/>
            <w:tcBorders>
              <w:top w:val="single" w:color="000000" w:sz="4" w:space="0"/>
              <w:left w:val="nil"/>
              <w:bottom w:val="single" w:color="auto" w:sz="4" w:space="0"/>
              <w:right w:val="single" w:color="000000" w:sz="4" w:space="0"/>
            </w:tcBorders>
            <w:vAlign w:val="center"/>
          </w:tcPr>
          <w:p w14:paraId="53C86586">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PVC电线管Dn32</w:t>
            </w:r>
          </w:p>
          <w:p w14:paraId="6C175258">
            <w:pPr>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包含挖沟槽埋地铺设</w:t>
            </w:r>
          </w:p>
        </w:tc>
      </w:tr>
      <w:tr w14:paraId="75B6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5D6A536D">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0F3E01E8">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1F265678">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m</w:t>
            </w:r>
          </w:p>
        </w:tc>
        <w:tc>
          <w:tcPr>
            <w:tcW w:w="1140" w:type="dxa"/>
            <w:tcBorders>
              <w:top w:val="single" w:color="000000" w:sz="4" w:space="0"/>
              <w:left w:val="nil"/>
              <w:bottom w:val="single" w:color="auto" w:sz="4" w:space="0"/>
              <w:right w:val="single" w:color="000000" w:sz="4" w:space="0"/>
            </w:tcBorders>
            <w:vAlign w:val="center"/>
          </w:tcPr>
          <w:p w14:paraId="165A753B">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380.00</w:t>
            </w:r>
          </w:p>
        </w:tc>
        <w:tc>
          <w:tcPr>
            <w:tcW w:w="5894" w:type="dxa"/>
            <w:tcBorders>
              <w:top w:val="single" w:color="000000" w:sz="4" w:space="0"/>
              <w:left w:val="nil"/>
              <w:bottom w:val="single" w:color="auto" w:sz="4" w:space="0"/>
              <w:right w:val="single" w:color="000000" w:sz="4" w:space="0"/>
            </w:tcBorders>
            <w:vAlign w:val="center"/>
          </w:tcPr>
          <w:p w14:paraId="71F24E44">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PVC电线管Dn20</w:t>
            </w:r>
          </w:p>
          <w:p w14:paraId="072FA49B">
            <w:pPr>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包含挖沟槽埋地铺设</w:t>
            </w:r>
          </w:p>
        </w:tc>
      </w:tr>
      <w:tr w14:paraId="3F8D2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475360FE">
            <w:pPr>
              <w:bidi w:val="0"/>
              <w:jc w:val="center"/>
              <w:rPr>
                <w:rFonts w:hint="eastAsia" w:ascii="宋体" w:hAnsi="宋体" w:eastAsia="宋体" w:cs="宋体"/>
                <w:color w:val="auto"/>
                <w:kern w:val="0"/>
                <w:sz w:val="21"/>
                <w:szCs w:val="21"/>
                <w:highlight w:val="none"/>
              </w:rPr>
            </w:pPr>
          </w:p>
        </w:tc>
        <w:tc>
          <w:tcPr>
            <w:tcW w:w="1303" w:type="dxa"/>
            <w:vMerge w:val="continue"/>
            <w:tcBorders>
              <w:left w:val="nil"/>
              <w:right w:val="single" w:color="000000" w:sz="4" w:space="0"/>
            </w:tcBorders>
            <w:vAlign w:val="center"/>
          </w:tcPr>
          <w:p w14:paraId="68D84B35">
            <w:pPr>
              <w:bidi w:val="0"/>
              <w:jc w:val="center"/>
              <w:rPr>
                <w:rFonts w:hint="eastAsia" w:ascii="宋体" w:hAnsi="宋体" w:eastAsia="宋体" w:cs="宋体"/>
                <w:color w:val="auto"/>
                <w:kern w:val="0"/>
                <w:sz w:val="21"/>
                <w:szCs w:val="21"/>
                <w:highlight w:val="none"/>
              </w:rPr>
            </w:pPr>
          </w:p>
        </w:tc>
        <w:tc>
          <w:tcPr>
            <w:tcW w:w="690" w:type="dxa"/>
            <w:tcBorders>
              <w:top w:val="single" w:color="000000" w:sz="4" w:space="0"/>
              <w:left w:val="nil"/>
              <w:bottom w:val="single" w:color="auto" w:sz="4" w:space="0"/>
              <w:right w:val="single" w:color="000000" w:sz="4" w:space="0"/>
            </w:tcBorders>
            <w:vAlign w:val="center"/>
          </w:tcPr>
          <w:p w14:paraId="59A45082">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m</w:t>
            </w:r>
          </w:p>
        </w:tc>
        <w:tc>
          <w:tcPr>
            <w:tcW w:w="1140" w:type="dxa"/>
            <w:tcBorders>
              <w:top w:val="single" w:color="000000" w:sz="4" w:space="0"/>
              <w:left w:val="nil"/>
              <w:bottom w:val="single" w:color="auto" w:sz="4" w:space="0"/>
              <w:right w:val="single" w:color="000000" w:sz="4" w:space="0"/>
            </w:tcBorders>
            <w:vAlign w:val="center"/>
          </w:tcPr>
          <w:p w14:paraId="6E30842A">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1100.00</w:t>
            </w:r>
          </w:p>
        </w:tc>
        <w:tc>
          <w:tcPr>
            <w:tcW w:w="5894" w:type="dxa"/>
            <w:tcBorders>
              <w:top w:val="single" w:color="000000" w:sz="4" w:space="0"/>
              <w:left w:val="nil"/>
              <w:bottom w:val="single" w:color="auto" w:sz="4" w:space="0"/>
              <w:right w:val="single" w:color="000000" w:sz="4" w:space="0"/>
            </w:tcBorders>
            <w:vAlign w:val="center"/>
          </w:tcPr>
          <w:p w14:paraId="44AEB922">
            <w:pPr>
              <w:rPr>
                <w:rFonts w:hint="eastAsia" w:ascii="宋体" w:hAnsi="宋体" w:eastAsia="宋体" w:cs="宋体"/>
                <w:sz w:val="21"/>
                <w:szCs w:val="21"/>
              </w:rPr>
            </w:pPr>
            <w:r>
              <w:rPr>
                <w:rFonts w:hint="eastAsia" w:ascii="宋体" w:hAnsi="宋体" w:eastAsia="宋体" w:cs="宋体"/>
                <w:sz w:val="21"/>
                <w:szCs w:val="21"/>
              </w:rPr>
              <w:t>铜芯绝缘导线BV-6</w:t>
            </w:r>
            <w:r>
              <w:rPr>
                <w:rFonts w:hint="eastAsia" w:ascii="宋体" w:hAnsi="宋体" w:cs="宋体"/>
                <w:sz w:val="21"/>
                <w:szCs w:val="21"/>
                <w:lang w:val="en-US" w:eastAsia="zh-CN"/>
              </w:rPr>
              <w:t>mm</w:t>
            </w:r>
            <w:r>
              <w:rPr>
                <w:rFonts w:hint="eastAsia" w:ascii="宋体" w:hAnsi="宋体" w:cs="宋体"/>
                <w:sz w:val="21"/>
                <w:szCs w:val="21"/>
                <w:vertAlign w:val="superscript"/>
                <w:lang w:val="en-US" w:eastAsia="zh-CN"/>
              </w:rPr>
              <w:t>2</w:t>
            </w:r>
          </w:p>
          <w:p w14:paraId="2A3B668E">
            <w:pPr>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sz w:val="21"/>
                <w:szCs w:val="21"/>
              </w:rPr>
              <w:t>包含穿管铺设</w:t>
            </w:r>
          </w:p>
        </w:tc>
      </w:tr>
      <w:tr w14:paraId="21A3B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vMerge w:val="continue"/>
            <w:tcBorders>
              <w:left w:val="single" w:color="000000" w:sz="4" w:space="0"/>
              <w:right w:val="single" w:color="000000" w:sz="4" w:space="0"/>
            </w:tcBorders>
            <w:vAlign w:val="center"/>
          </w:tcPr>
          <w:p w14:paraId="7803AB28">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p>
        </w:tc>
        <w:tc>
          <w:tcPr>
            <w:tcW w:w="1303" w:type="dxa"/>
            <w:vMerge w:val="continue"/>
            <w:tcBorders>
              <w:left w:val="nil"/>
              <w:right w:val="single" w:color="000000" w:sz="4" w:space="0"/>
            </w:tcBorders>
            <w:vAlign w:val="center"/>
          </w:tcPr>
          <w:p w14:paraId="30E2C737">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p>
        </w:tc>
        <w:tc>
          <w:tcPr>
            <w:tcW w:w="690" w:type="dxa"/>
            <w:tcBorders>
              <w:top w:val="single" w:color="auto" w:sz="4" w:space="0"/>
              <w:left w:val="nil"/>
              <w:bottom w:val="single" w:color="auto" w:sz="4" w:space="0"/>
              <w:right w:val="single" w:color="000000" w:sz="4" w:space="0"/>
            </w:tcBorders>
            <w:vAlign w:val="center"/>
          </w:tcPr>
          <w:p w14:paraId="0B199A11">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m</w:t>
            </w:r>
          </w:p>
        </w:tc>
        <w:tc>
          <w:tcPr>
            <w:tcW w:w="1140" w:type="dxa"/>
            <w:tcBorders>
              <w:top w:val="single" w:color="auto" w:sz="4" w:space="0"/>
              <w:left w:val="nil"/>
              <w:bottom w:val="single" w:color="auto" w:sz="4" w:space="0"/>
              <w:right w:val="single" w:color="000000" w:sz="4" w:space="0"/>
            </w:tcBorders>
            <w:vAlign w:val="center"/>
          </w:tcPr>
          <w:p w14:paraId="4560BA42">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400.00</w:t>
            </w:r>
          </w:p>
        </w:tc>
        <w:tc>
          <w:tcPr>
            <w:tcW w:w="5894" w:type="dxa"/>
            <w:tcBorders>
              <w:top w:val="single" w:color="auto" w:sz="4" w:space="0"/>
              <w:left w:val="nil"/>
              <w:bottom w:val="single" w:color="auto" w:sz="4" w:space="0"/>
              <w:right w:val="single" w:color="000000" w:sz="4" w:space="0"/>
            </w:tcBorders>
            <w:vAlign w:val="center"/>
          </w:tcPr>
          <w:p w14:paraId="41F85FB8">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铜芯交联电力电缆YJV-3</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sz w:val="21"/>
                <w:szCs w:val="21"/>
                <w:lang w:val="en-US" w:eastAsia="zh-CN"/>
              </w:rPr>
              <w:t>4</w:t>
            </w:r>
            <w:r>
              <w:rPr>
                <w:rFonts w:hint="eastAsia" w:ascii="宋体" w:hAnsi="宋体" w:cs="宋体"/>
                <w:sz w:val="21"/>
                <w:szCs w:val="21"/>
                <w:lang w:val="en-US" w:eastAsia="zh-CN"/>
              </w:rPr>
              <w:t>mm</w:t>
            </w:r>
            <w:r>
              <w:rPr>
                <w:rFonts w:hint="eastAsia" w:ascii="宋体" w:hAnsi="宋体" w:cs="宋体"/>
                <w:sz w:val="21"/>
                <w:szCs w:val="21"/>
                <w:vertAlign w:val="superscript"/>
                <w:lang w:val="en-US" w:eastAsia="zh-CN"/>
              </w:rPr>
              <w:t>2</w:t>
            </w:r>
          </w:p>
          <w:p w14:paraId="05269972">
            <w:pPr>
              <w:numPr>
                <w:ilvl w:val="0"/>
                <w:numId w:val="0"/>
              </w:numPr>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包含穿管铺设</w:t>
            </w:r>
          </w:p>
        </w:tc>
      </w:tr>
      <w:tr w14:paraId="328F4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trPr>
        <w:tc>
          <w:tcPr>
            <w:tcW w:w="9775" w:type="dxa"/>
            <w:gridSpan w:val="5"/>
            <w:tcBorders>
              <w:left w:val="single" w:color="000000" w:sz="4" w:space="0"/>
              <w:right w:val="single" w:color="000000" w:sz="4" w:space="0"/>
            </w:tcBorders>
            <w:vAlign w:val="center"/>
          </w:tcPr>
          <w:p w14:paraId="1800D118">
            <w:pPr>
              <w:numPr>
                <w:ilvl w:val="0"/>
                <w:numId w:val="0"/>
              </w:numPr>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b/>
                <w:bCs/>
                <w:sz w:val="24"/>
                <w:szCs w:val="24"/>
                <w:lang w:val="en-US" w:eastAsia="zh-CN"/>
              </w:rPr>
              <w:t>二、商务要求</w:t>
            </w:r>
          </w:p>
        </w:tc>
      </w:tr>
      <w:tr w14:paraId="35E22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left w:val="single" w:color="000000" w:sz="4" w:space="0"/>
              <w:right w:val="single" w:color="000000" w:sz="4" w:space="0"/>
            </w:tcBorders>
            <w:vAlign w:val="center"/>
          </w:tcPr>
          <w:p w14:paraId="112207B8">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1</w:t>
            </w:r>
          </w:p>
        </w:tc>
        <w:tc>
          <w:tcPr>
            <w:tcW w:w="1993" w:type="dxa"/>
            <w:gridSpan w:val="2"/>
            <w:tcBorders>
              <w:left w:val="nil"/>
              <w:right w:val="single" w:color="000000" w:sz="4" w:space="0"/>
            </w:tcBorders>
            <w:vAlign w:val="center"/>
          </w:tcPr>
          <w:p w14:paraId="487C904F">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质保期</w:t>
            </w:r>
          </w:p>
        </w:tc>
        <w:tc>
          <w:tcPr>
            <w:tcW w:w="7034" w:type="dxa"/>
            <w:gridSpan w:val="2"/>
            <w:tcBorders>
              <w:top w:val="single" w:color="auto" w:sz="4" w:space="0"/>
              <w:left w:val="nil"/>
              <w:bottom w:val="single" w:color="auto" w:sz="4" w:space="0"/>
              <w:right w:val="single" w:color="000000" w:sz="4" w:space="0"/>
            </w:tcBorders>
            <w:vAlign w:val="top"/>
          </w:tcPr>
          <w:p w14:paraId="66CE5E5E">
            <w:pPr>
              <w:pStyle w:val="14"/>
              <w:snapToGrid w:val="0"/>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en-US" w:eastAsia="zh-CN"/>
              </w:rPr>
              <w:t>按国家有关产品“三包”规定执行“三包”，所有设备自验收合格之日起质保期≥1年（质保期承诺如优于招标文件规定的，按中标人实际承诺质保期执行。），</w:t>
            </w:r>
            <w:r>
              <w:rPr>
                <w:rFonts w:hint="eastAsia" w:ascii="宋体" w:hAnsi="宋体" w:eastAsia="宋体" w:cs="宋体"/>
                <w:sz w:val="21"/>
                <w:szCs w:val="21"/>
                <w:lang w:val="en-US" w:eastAsia="zh-CN"/>
              </w:rPr>
              <w:t>提供终身有偿维护。</w:t>
            </w:r>
          </w:p>
          <w:p w14:paraId="106A572C">
            <w:pPr>
              <w:bidi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2.质保期所更换的零配件必须是同品牌同型号全新的零配件，满足设备运行要求。</w:t>
            </w:r>
          </w:p>
        </w:tc>
      </w:tr>
      <w:tr w14:paraId="341E1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left w:val="single" w:color="000000" w:sz="4" w:space="0"/>
              <w:right w:val="single" w:color="000000" w:sz="4" w:space="0"/>
            </w:tcBorders>
            <w:vAlign w:val="center"/>
          </w:tcPr>
          <w:p w14:paraId="6A768380">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2</w:t>
            </w:r>
          </w:p>
        </w:tc>
        <w:tc>
          <w:tcPr>
            <w:tcW w:w="1993" w:type="dxa"/>
            <w:gridSpan w:val="2"/>
            <w:tcBorders>
              <w:left w:val="nil"/>
              <w:right w:val="single" w:color="000000" w:sz="4" w:space="0"/>
            </w:tcBorders>
            <w:vAlign w:val="center"/>
          </w:tcPr>
          <w:p w14:paraId="0F9C1751">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w:t>
            </w:r>
          </w:p>
        </w:tc>
        <w:tc>
          <w:tcPr>
            <w:tcW w:w="7034" w:type="dxa"/>
            <w:gridSpan w:val="2"/>
            <w:tcBorders>
              <w:top w:val="single" w:color="auto" w:sz="4" w:space="0"/>
              <w:left w:val="nil"/>
              <w:bottom w:val="single" w:color="auto" w:sz="4" w:space="0"/>
              <w:right w:val="single" w:color="000000" w:sz="4" w:space="0"/>
            </w:tcBorders>
            <w:vAlign w:val="top"/>
          </w:tcPr>
          <w:p w14:paraId="4E978578">
            <w:pPr>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lang w:eastAsia="zh-CN"/>
              </w:rPr>
              <w:t>投标</w:t>
            </w:r>
            <w:r>
              <w:rPr>
                <w:rFonts w:hint="eastAsia" w:ascii="宋体" w:hAnsi="宋体" w:eastAsia="宋体" w:cs="宋体"/>
                <w:sz w:val="21"/>
                <w:szCs w:val="21"/>
              </w:rPr>
              <w:t>报价包括货物的所有费用，包括货物采购、运输、安装调试、保险、培训、售后服务、</w:t>
            </w:r>
            <w:r>
              <w:rPr>
                <w:rFonts w:hint="eastAsia" w:ascii="宋体" w:hAnsi="宋体" w:eastAsia="宋体" w:cs="宋体"/>
                <w:sz w:val="21"/>
                <w:szCs w:val="21"/>
                <w:lang w:eastAsia="zh-CN"/>
              </w:rPr>
              <w:t>备品备件、</w:t>
            </w:r>
            <w:r>
              <w:rPr>
                <w:rFonts w:hint="eastAsia" w:ascii="宋体" w:hAnsi="宋体" w:eastAsia="宋体" w:cs="宋体"/>
                <w:sz w:val="21"/>
                <w:szCs w:val="21"/>
              </w:rPr>
              <w:t>必要检测、利润、税金以及所有的不</w:t>
            </w:r>
            <w:r>
              <w:rPr>
                <w:rFonts w:hint="eastAsia" w:ascii="宋体" w:hAnsi="宋体" w:eastAsia="宋体" w:cs="宋体"/>
                <w:sz w:val="21"/>
                <w:szCs w:val="21"/>
                <w:lang w:eastAsia="zh-CN"/>
              </w:rPr>
              <w:t>确</w:t>
            </w:r>
            <w:r>
              <w:rPr>
                <w:rFonts w:hint="eastAsia" w:ascii="宋体" w:hAnsi="宋体" w:eastAsia="宋体" w:cs="宋体"/>
                <w:sz w:val="21"/>
                <w:szCs w:val="21"/>
              </w:rPr>
              <w:t>定因素的风险等</w:t>
            </w:r>
            <w:r>
              <w:rPr>
                <w:rFonts w:hint="eastAsia" w:ascii="宋体" w:hAnsi="宋体" w:eastAsia="宋体" w:cs="宋体"/>
                <w:sz w:val="21"/>
                <w:szCs w:val="21"/>
                <w:lang w:eastAsia="zh-CN"/>
              </w:rPr>
              <w:t>。</w:t>
            </w:r>
          </w:p>
        </w:tc>
      </w:tr>
      <w:tr w14:paraId="4637E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left w:val="single" w:color="000000" w:sz="4" w:space="0"/>
              <w:right w:val="single" w:color="000000" w:sz="4" w:space="0"/>
            </w:tcBorders>
            <w:vAlign w:val="center"/>
          </w:tcPr>
          <w:p w14:paraId="6068B7AF">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3</w:t>
            </w:r>
          </w:p>
        </w:tc>
        <w:tc>
          <w:tcPr>
            <w:tcW w:w="1993" w:type="dxa"/>
            <w:gridSpan w:val="2"/>
            <w:tcBorders>
              <w:left w:val="nil"/>
              <w:right w:val="single" w:color="000000" w:sz="4" w:space="0"/>
            </w:tcBorders>
            <w:vAlign w:val="center"/>
          </w:tcPr>
          <w:p w14:paraId="0A870361">
            <w:pPr>
              <w:snapToGrid w:val="0"/>
              <w:spacing w:line="400" w:lineRule="exact"/>
              <w:jc w:val="center"/>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bCs/>
                <w:kern w:val="0"/>
                <w:sz w:val="21"/>
                <w:szCs w:val="21"/>
              </w:rPr>
              <w:t>交货时间及地点</w:t>
            </w:r>
          </w:p>
        </w:tc>
        <w:tc>
          <w:tcPr>
            <w:tcW w:w="7034" w:type="dxa"/>
            <w:gridSpan w:val="2"/>
            <w:tcBorders>
              <w:top w:val="single" w:color="auto" w:sz="4" w:space="0"/>
              <w:left w:val="nil"/>
              <w:bottom w:val="single" w:color="auto" w:sz="4" w:space="0"/>
              <w:right w:val="single" w:color="000000" w:sz="4" w:space="0"/>
            </w:tcBorders>
            <w:vAlign w:val="top"/>
          </w:tcPr>
          <w:p w14:paraId="7171F4E9">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1</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交货时间：自签订合同</w:t>
            </w:r>
            <w:r>
              <w:rPr>
                <w:rFonts w:hint="eastAsia" w:ascii="宋体" w:hAnsi="宋体" w:eastAsia="宋体" w:cs="宋体"/>
                <w:bCs/>
                <w:kern w:val="0"/>
                <w:sz w:val="21"/>
                <w:szCs w:val="21"/>
                <w:highlight w:val="none"/>
              </w:rPr>
              <w:t>之日起</w:t>
            </w:r>
            <w:r>
              <w:rPr>
                <w:rFonts w:hint="eastAsia" w:ascii="宋体" w:hAnsi="宋体" w:eastAsia="宋体" w:cs="宋体"/>
                <w:bCs/>
                <w:kern w:val="0"/>
                <w:sz w:val="21"/>
                <w:szCs w:val="21"/>
                <w:highlight w:val="none"/>
                <w:lang w:val="en-US" w:eastAsia="zh-CN"/>
              </w:rPr>
              <w:t>30天内按采购</w:t>
            </w:r>
            <w:r>
              <w:rPr>
                <w:rFonts w:hint="eastAsia" w:ascii="宋体" w:hAnsi="宋体" w:eastAsia="宋体" w:cs="宋体"/>
                <w:bCs/>
                <w:kern w:val="0"/>
                <w:sz w:val="21"/>
                <w:szCs w:val="21"/>
                <w:lang w:val="en-US" w:eastAsia="zh-CN"/>
              </w:rPr>
              <w:t>人要求</w:t>
            </w:r>
            <w:r>
              <w:rPr>
                <w:rFonts w:hint="eastAsia" w:ascii="宋体" w:hAnsi="宋体" w:eastAsia="宋体" w:cs="宋体"/>
                <w:bCs/>
                <w:kern w:val="0"/>
                <w:sz w:val="21"/>
                <w:szCs w:val="21"/>
              </w:rPr>
              <w:t>安装完毕并交付使用。</w:t>
            </w:r>
          </w:p>
          <w:p w14:paraId="332FA78F">
            <w:pPr>
              <w:numPr>
                <w:ilvl w:val="0"/>
                <w:numId w:val="0"/>
              </w:num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2</w:t>
            </w:r>
            <w:r>
              <w:rPr>
                <w:rFonts w:hint="eastAsia" w:ascii="宋体" w:hAnsi="宋体" w:eastAsia="宋体" w:cs="宋体"/>
                <w:bCs/>
                <w:kern w:val="0"/>
                <w:sz w:val="21"/>
                <w:szCs w:val="21"/>
                <w:lang w:val="en-US" w:eastAsia="zh-CN"/>
              </w:rPr>
              <w:t>.</w:t>
            </w:r>
            <w:r>
              <w:rPr>
                <w:rFonts w:hint="eastAsia" w:ascii="宋体" w:hAnsi="宋体" w:eastAsia="宋体" w:cs="宋体"/>
                <w:bCs/>
                <w:kern w:val="0"/>
                <w:sz w:val="21"/>
                <w:szCs w:val="21"/>
              </w:rPr>
              <w:t>交货内容包括：</w:t>
            </w:r>
          </w:p>
          <w:p w14:paraId="3A6952BA">
            <w:pPr>
              <w:numPr>
                <w:ilvl w:val="0"/>
                <w:numId w:val="0"/>
              </w:num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（1）设备整机、配件、出厂随配耗材等。</w:t>
            </w:r>
          </w:p>
          <w:p w14:paraId="5C3738A2">
            <w:pPr>
              <w:numPr>
                <w:ilvl w:val="0"/>
                <w:numId w:val="0"/>
              </w:num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（2）说明书、产品合格证或质量证书、保修单、保险单（如有）。</w:t>
            </w:r>
          </w:p>
          <w:p w14:paraId="4A33122A">
            <w:pPr>
              <w:numPr>
                <w:ilvl w:val="0"/>
                <w:numId w:val="0"/>
              </w:numPr>
              <w:snapToGrid w:val="0"/>
              <w:spacing w:line="400" w:lineRule="exact"/>
              <w:outlineLvl w:val="0"/>
              <w:rPr>
                <w:rFonts w:hint="eastAsia" w:ascii="宋体" w:hAnsi="宋体" w:eastAsia="宋体" w:cs="宋体"/>
                <w:sz w:val="21"/>
                <w:szCs w:val="21"/>
              </w:rPr>
            </w:pPr>
            <w:r>
              <w:rPr>
                <w:rFonts w:hint="eastAsia" w:ascii="宋体" w:hAnsi="宋体" w:eastAsia="宋体" w:cs="宋体"/>
                <w:bCs/>
                <w:kern w:val="0"/>
                <w:sz w:val="21"/>
                <w:szCs w:val="21"/>
              </w:rPr>
              <w:t>（3）上述文件资料应随货物一并提供。</w:t>
            </w:r>
          </w:p>
          <w:p w14:paraId="2D2D09A7">
            <w:pPr>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交货地点：</w:t>
            </w:r>
            <w:r>
              <w:rPr>
                <w:rFonts w:hint="eastAsia" w:ascii="宋体" w:hAnsi="宋体" w:eastAsia="宋体" w:cs="宋体"/>
                <w:sz w:val="21"/>
                <w:szCs w:val="21"/>
                <w:lang w:eastAsia="zh-CN"/>
              </w:rPr>
              <w:t>海南省乐东县九所镇广西南繁基地</w:t>
            </w:r>
            <w:r>
              <w:rPr>
                <w:rFonts w:hint="eastAsia" w:ascii="宋体" w:hAnsi="宋体" w:eastAsia="宋体" w:cs="宋体"/>
                <w:sz w:val="21"/>
                <w:szCs w:val="21"/>
              </w:rPr>
              <w:t>。</w:t>
            </w:r>
          </w:p>
        </w:tc>
      </w:tr>
      <w:tr w14:paraId="7E217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left w:val="single" w:color="000000" w:sz="4" w:space="0"/>
              <w:right w:val="single" w:color="000000" w:sz="4" w:space="0"/>
            </w:tcBorders>
            <w:vAlign w:val="center"/>
          </w:tcPr>
          <w:p w14:paraId="49C86897">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4</w:t>
            </w:r>
          </w:p>
        </w:tc>
        <w:tc>
          <w:tcPr>
            <w:tcW w:w="1993" w:type="dxa"/>
            <w:gridSpan w:val="2"/>
            <w:tcBorders>
              <w:left w:val="nil"/>
              <w:right w:val="single" w:color="000000" w:sz="4" w:space="0"/>
            </w:tcBorders>
            <w:vAlign w:val="center"/>
          </w:tcPr>
          <w:p w14:paraId="25D1F0F2">
            <w:pPr>
              <w:snapToGrid w:val="0"/>
              <w:spacing w:line="400" w:lineRule="exact"/>
              <w:jc w:val="center"/>
              <w:outlineLvl w:val="0"/>
              <w:rPr>
                <w:rFonts w:hint="eastAsia" w:ascii="宋体" w:hAnsi="宋体" w:eastAsia="宋体" w:cs="宋体"/>
                <w:sz w:val="21"/>
                <w:szCs w:val="21"/>
                <w:lang w:val="en-US" w:eastAsia="zh-CN"/>
              </w:rPr>
            </w:pPr>
            <w:r>
              <w:rPr>
                <w:rFonts w:hint="eastAsia" w:ascii="宋体" w:hAnsi="宋体" w:eastAsia="宋体" w:cs="宋体"/>
                <w:bCs/>
                <w:kern w:val="0"/>
                <w:sz w:val="21"/>
                <w:szCs w:val="21"/>
              </w:rPr>
              <w:t>验收</w:t>
            </w:r>
            <w:r>
              <w:rPr>
                <w:rFonts w:hint="eastAsia" w:ascii="宋体" w:hAnsi="宋体" w:eastAsia="宋体" w:cs="宋体"/>
                <w:bCs/>
                <w:kern w:val="0"/>
                <w:sz w:val="21"/>
                <w:szCs w:val="21"/>
                <w:lang w:eastAsia="zh-CN"/>
              </w:rPr>
              <w:t>依据、标准、验收程序</w:t>
            </w:r>
          </w:p>
        </w:tc>
        <w:tc>
          <w:tcPr>
            <w:tcW w:w="7034" w:type="dxa"/>
            <w:gridSpan w:val="2"/>
            <w:tcBorders>
              <w:top w:val="single" w:color="auto" w:sz="4" w:space="0"/>
              <w:left w:val="nil"/>
              <w:bottom w:val="single" w:color="auto" w:sz="4" w:space="0"/>
              <w:right w:val="single" w:color="000000" w:sz="4" w:space="0"/>
            </w:tcBorders>
            <w:vAlign w:val="top"/>
          </w:tcPr>
          <w:p w14:paraId="0B6FFAA8">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验收主体：采购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w:t>
            </w:r>
          </w:p>
          <w:p w14:paraId="7A97DF9B">
            <w:pPr>
              <w:spacing w:line="5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自仪器设备到货</w:t>
            </w:r>
            <w:r>
              <w:rPr>
                <w:rFonts w:hint="eastAsia" w:ascii="宋体" w:hAnsi="宋体" w:eastAsia="宋体" w:cs="宋体"/>
                <w:color w:val="auto"/>
                <w:sz w:val="21"/>
                <w:szCs w:val="21"/>
                <w:lang w:eastAsia="zh-CN"/>
              </w:rPr>
              <w:t>、安装调试完成</w:t>
            </w:r>
            <w:r>
              <w:rPr>
                <w:rFonts w:hint="eastAsia" w:ascii="宋体" w:hAnsi="宋体" w:eastAsia="宋体" w:cs="宋体"/>
                <w:color w:val="auto"/>
                <w:sz w:val="21"/>
                <w:szCs w:val="21"/>
              </w:rPr>
              <w:t>之日起</w:t>
            </w:r>
            <w:r>
              <w:rPr>
                <w:rFonts w:hint="eastAsia" w:ascii="宋体" w:hAnsi="宋体" w:eastAsia="宋体" w:cs="宋体"/>
                <w:color w:val="auto"/>
                <w:sz w:val="21"/>
                <w:szCs w:val="21"/>
                <w:lang w:val="en-US" w:eastAsia="zh-CN"/>
              </w:rPr>
              <w:t>30天内完成验收</w:t>
            </w:r>
            <w:r>
              <w:rPr>
                <w:rFonts w:hint="eastAsia" w:ascii="宋体" w:hAnsi="宋体" w:eastAsia="宋体" w:cs="宋体"/>
                <w:color w:val="auto"/>
                <w:sz w:val="21"/>
                <w:szCs w:val="21"/>
              </w:rPr>
              <w:t>。</w:t>
            </w:r>
          </w:p>
          <w:p w14:paraId="60DC78F1">
            <w:pPr>
              <w:spacing w:line="46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依据及标准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国家、行业标准、招标文件采购需求、投标文件承诺</w:t>
            </w:r>
          </w:p>
          <w:p w14:paraId="2392DF4B">
            <w:pPr>
              <w:spacing w:line="46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履约验收程序</w:t>
            </w:r>
            <w:r>
              <w:rPr>
                <w:rFonts w:hint="eastAsia" w:ascii="宋体" w:hAnsi="宋体" w:eastAsia="宋体" w:cs="宋体"/>
                <w:color w:val="auto"/>
                <w:sz w:val="21"/>
                <w:szCs w:val="21"/>
                <w:highlight w:val="none"/>
                <w:lang w:eastAsia="zh-CN"/>
              </w:rPr>
              <w:t>：</w:t>
            </w:r>
          </w:p>
          <w:p w14:paraId="50916619">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A.成立验收小组：采购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代表成立验收小组。</w:t>
            </w:r>
          </w:p>
          <w:p w14:paraId="0DED5B36">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B.开箱验收：</w:t>
            </w:r>
          </w:p>
          <w:p w14:paraId="37D57E29">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中标人代表双方当场</w:t>
            </w:r>
            <w:r>
              <w:rPr>
                <w:rFonts w:hint="eastAsia" w:ascii="宋体" w:hAnsi="宋体" w:eastAsia="宋体" w:cs="宋体"/>
                <w:color w:val="auto"/>
                <w:sz w:val="21"/>
                <w:szCs w:val="21"/>
                <w:highlight w:val="none"/>
              </w:rPr>
              <w:t>进行开箱验收。检查其外包装是否完好无损，并对设备数量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eastAsia="zh-CN"/>
              </w:rPr>
              <w:t>初步</w:t>
            </w:r>
            <w:r>
              <w:rPr>
                <w:rFonts w:hint="eastAsia" w:ascii="宋体" w:hAnsi="宋体" w:eastAsia="宋体" w:cs="宋体"/>
                <w:color w:val="auto"/>
                <w:sz w:val="21"/>
                <w:szCs w:val="21"/>
                <w:highlight w:val="none"/>
              </w:rPr>
              <w:t>核对，检查是否与合同一致，文档材料是否齐全。</w:t>
            </w:r>
          </w:p>
          <w:p w14:paraId="46913166">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)如发现设备短缺、损坏或其他与合同约定不符的情况，由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采取补齐、更换及其他补救措施，以确保仪器设备的正常安装调试。</w:t>
            </w:r>
          </w:p>
          <w:p w14:paraId="60A08EA7">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)开箱检验合格后，由采购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w:t>
            </w:r>
            <w:r>
              <w:rPr>
                <w:rFonts w:hint="eastAsia" w:ascii="宋体" w:hAnsi="宋体" w:eastAsia="宋体" w:cs="宋体"/>
                <w:color w:val="auto"/>
                <w:sz w:val="21"/>
                <w:szCs w:val="21"/>
                <w:highlight w:val="none"/>
              </w:rPr>
              <w:t>签署开箱检验验收书，开箱检验验收书应列明合同设备数量、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文档资料等验收情况及评价意见。</w:t>
            </w:r>
          </w:p>
          <w:p w14:paraId="320725CF">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C.安装、调试</w:t>
            </w:r>
          </w:p>
          <w:p w14:paraId="010CE759">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进行仪器设备的安装、调试。</w:t>
            </w:r>
          </w:p>
          <w:p w14:paraId="04259D72">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w:t>
            </w:r>
            <w:r>
              <w:rPr>
                <w:rFonts w:hint="eastAsia" w:ascii="宋体" w:hAnsi="宋体" w:eastAsia="宋体" w:cs="宋体"/>
                <w:color w:val="auto"/>
                <w:sz w:val="21"/>
                <w:szCs w:val="21"/>
                <w:highlight w:val="none"/>
                <w:lang w:eastAsia="zh-CN"/>
              </w:rPr>
              <w:t>、中标人代表进行设备试运行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试运行情况</w:t>
            </w:r>
            <w:r>
              <w:rPr>
                <w:rFonts w:hint="eastAsia" w:ascii="宋体" w:hAnsi="宋体" w:eastAsia="宋体" w:cs="宋体"/>
                <w:color w:val="auto"/>
                <w:sz w:val="21"/>
                <w:szCs w:val="21"/>
                <w:highlight w:val="none"/>
              </w:rPr>
              <w:t>进行评价。</w:t>
            </w:r>
          </w:p>
          <w:p w14:paraId="6968C50D">
            <w:pPr>
              <w:spacing w:line="46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试运行时由采购人对照招标文件的功能目标及技术指标要求、投标文件响应的功能、参数全面核对检验，所提供设备的性能应与投标时提供的证明文件及响应的功能、参数完全一致，</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共同对安装、调试情况进行记录。</w:t>
            </w:r>
            <w:r>
              <w:rPr>
                <w:rFonts w:hint="eastAsia" w:ascii="宋体" w:hAnsi="宋体" w:eastAsia="宋体" w:cs="宋体"/>
                <w:color w:val="auto"/>
                <w:sz w:val="21"/>
                <w:szCs w:val="21"/>
                <w:highlight w:val="none"/>
                <w:lang w:eastAsia="zh-CN"/>
              </w:rPr>
              <w:t>如不符合招标文件的技术需求及要求以及提供虚假承诺的，按相关规定做退货处理及违约处理，中标人承担所有责任和费用，采购人保留进一步追究责任的权利。</w:t>
            </w:r>
          </w:p>
          <w:p w14:paraId="06EEF32A">
            <w:pPr>
              <w:spacing w:line="46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采购项目进行验收时，采购人可以邀请参加本项目的其他投标人、技术专家或者第三方机构参与验收。参与验收的投标人、技术专家或者第三方机构的意见作为验收书的参考资料一并存档。验收所产生的一切费用由中标人承担。</w:t>
            </w:r>
          </w:p>
          <w:p w14:paraId="7FE5B43E">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D</w:t>
            </w:r>
            <w:r>
              <w:rPr>
                <w:rFonts w:hint="eastAsia" w:ascii="宋体" w:hAnsi="宋体" w:eastAsia="宋体" w:cs="宋体"/>
                <w:color w:val="auto"/>
                <w:sz w:val="21"/>
                <w:szCs w:val="21"/>
                <w:highlight w:val="none"/>
              </w:rPr>
              <w:t>.履约验收其他事项：</w:t>
            </w:r>
          </w:p>
          <w:p w14:paraId="78EA06C2">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验收资料归档，采购合同项目完成验收后，将验收原始记录、验收书等资料作为该采购项目档案妥善保管，不得伪造、变造、隐匿或者销毁，验收资料保存期为采购结束之日起至少保存15年。</w:t>
            </w:r>
          </w:p>
          <w:p w14:paraId="1915B003">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原因造成不按时完成验收、造成逾期供货事实的，由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承担相关合同责任。</w:t>
            </w:r>
          </w:p>
          <w:p w14:paraId="79693657">
            <w:pP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)验收合格后视为设备交接，在验收合格前设备属于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，所有运输、仓储、装卸、保管、搬运等相关责任由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负责。</w:t>
            </w:r>
          </w:p>
          <w:p w14:paraId="5993E7B2">
            <w:pPr>
              <w:spacing w:line="4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5.验收内容：包括每个采购标的每一项技术参数和商务要求全部内容的履约情况。</w:t>
            </w:r>
          </w:p>
        </w:tc>
      </w:tr>
      <w:tr w14:paraId="400B9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left w:val="single" w:color="000000" w:sz="4" w:space="0"/>
              <w:right w:val="single" w:color="000000" w:sz="4" w:space="0"/>
            </w:tcBorders>
            <w:vAlign w:val="center"/>
          </w:tcPr>
          <w:p w14:paraId="495F3DC2">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5</w:t>
            </w:r>
          </w:p>
        </w:tc>
        <w:tc>
          <w:tcPr>
            <w:tcW w:w="1993" w:type="dxa"/>
            <w:gridSpan w:val="2"/>
            <w:tcBorders>
              <w:left w:val="nil"/>
              <w:right w:val="single" w:color="000000" w:sz="4" w:space="0"/>
            </w:tcBorders>
            <w:vAlign w:val="center"/>
          </w:tcPr>
          <w:p w14:paraId="7D23587E">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rPr>
              <w:t>付款条件</w:t>
            </w:r>
          </w:p>
        </w:tc>
        <w:tc>
          <w:tcPr>
            <w:tcW w:w="7034" w:type="dxa"/>
            <w:gridSpan w:val="2"/>
            <w:tcBorders>
              <w:top w:val="single" w:color="auto" w:sz="4" w:space="0"/>
              <w:left w:val="nil"/>
              <w:bottom w:val="single" w:color="auto" w:sz="4" w:space="0"/>
              <w:right w:val="single" w:color="000000" w:sz="4" w:space="0"/>
            </w:tcBorders>
            <w:vAlign w:val="top"/>
          </w:tcPr>
          <w:p w14:paraId="6D69F363">
            <w:pPr>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.签订合同后10个工作日内，支付合同合计金额的30%作为预付款；全部货物到货后支付合同款的5</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%，安装调试</w:t>
            </w:r>
            <w:r>
              <w:rPr>
                <w:rFonts w:hint="eastAsia" w:ascii="宋体" w:hAnsi="宋体" w:cs="宋体"/>
                <w:color w:val="auto"/>
                <w:sz w:val="21"/>
                <w:szCs w:val="21"/>
                <w:lang w:val="en-US" w:eastAsia="zh-CN"/>
              </w:rPr>
              <w:t>并</w:t>
            </w:r>
            <w:r>
              <w:rPr>
                <w:rFonts w:hint="eastAsia" w:ascii="宋体" w:hAnsi="宋体" w:eastAsia="宋体" w:cs="宋体"/>
                <w:color w:val="auto"/>
                <w:sz w:val="21"/>
                <w:szCs w:val="21"/>
                <w:lang w:val="en-US" w:eastAsia="zh-CN"/>
              </w:rPr>
              <w:t>经采购人验收合格后，支付剩余合同款。</w:t>
            </w:r>
          </w:p>
          <w:p w14:paraId="5FFE8A9B">
            <w:pPr>
              <w:spacing w:line="400" w:lineRule="exact"/>
              <w:jc w:val="left"/>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每次付款前供应商应提供请款函和</w:t>
            </w:r>
            <w:r>
              <w:rPr>
                <w:rFonts w:hint="eastAsia" w:ascii="宋体" w:hAnsi="宋体" w:eastAsia="宋体" w:cs="宋体"/>
                <w:color w:val="auto"/>
                <w:sz w:val="21"/>
                <w:szCs w:val="21"/>
                <w:lang w:eastAsia="zh-CN"/>
              </w:rPr>
              <w:t>合法</w:t>
            </w:r>
            <w:r>
              <w:rPr>
                <w:rFonts w:hint="eastAsia" w:ascii="宋体" w:hAnsi="宋体" w:eastAsia="宋体" w:cs="宋体"/>
                <w:color w:val="auto"/>
                <w:sz w:val="21"/>
                <w:szCs w:val="21"/>
              </w:rPr>
              <w:t>发票。</w:t>
            </w:r>
          </w:p>
        </w:tc>
      </w:tr>
      <w:tr w14:paraId="577B6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left w:val="single" w:color="000000" w:sz="4" w:space="0"/>
              <w:right w:val="single" w:color="000000" w:sz="4" w:space="0"/>
            </w:tcBorders>
            <w:vAlign w:val="center"/>
          </w:tcPr>
          <w:p w14:paraId="77008A42">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6</w:t>
            </w:r>
          </w:p>
        </w:tc>
        <w:tc>
          <w:tcPr>
            <w:tcW w:w="1993" w:type="dxa"/>
            <w:gridSpan w:val="2"/>
            <w:tcBorders>
              <w:left w:val="nil"/>
              <w:right w:val="single" w:color="000000" w:sz="4" w:space="0"/>
            </w:tcBorders>
            <w:vAlign w:val="center"/>
          </w:tcPr>
          <w:p w14:paraId="5BAE6060">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售后服务要求</w:t>
            </w:r>
          </w:p>
        </w:tc>
        <w:tc>
          <w:tcPr>
            <w:tcW w:w="7034" w:type="dxa"/>
            <w:gridSpan w:val="2"/>
            <w:tcBorders>
              <w:top w:val="single" w:color="auto" w:sz="4" w:space="0"/>
              <w:left w:val="nil"/>
              <w:bottom w:val="single" w:color="auto" w:sz="4" w:space="0"/>
              <w:right w:val="single" w:color="000000" w:sz="4" w:space="0"/>
            </w:tcBorders>
            <w:vAlign w:val="top"/>
          </w:tcPr>
          <w:p w14:paraId="63338BBC">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供货：送货上门、安装、调试，采购人不再额外支付费用。</w:t>
            </w:r>
          </w:p>
          <w:p w14:paraId="14363C9C">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现场安装、调试：由采购人提供安装调试环境条件，技术人员到达现场，并在进场一周内完成设备安装、调试，所需工具器材、交通食宿应包含在报价内，采购人不再额外支付费用。</w:t>
            </w:r>
          </w:p>
          <w:p w14:paraId="5D3BC569">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现场培训：在安装调试合格后，</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厂家技术人员对采购人至少2名操作人员现场进行</w:t>
            </w:r>
            <w:r>
              <w:rPr>
                <w:rFonts w:hint="eastAsia" w:ascii="宋体" w:hAnsi="宋体" w:eastAsia="宋体" w:cs="宋体"/>
                <w:sz w:val="21"/>
                <w:szCs w:val="21"/>
                <w:lang w:eastAsia="zh-CN"/>
              </w:rPr>
              <w:t>设备</w:t>
            </w:r>
            <w:r>
              <w:rPr>
                <w:rFonts w:hint="eastAsia" w:ascii="宋体" w:hAnsi="宋体" w:eastAsia="宋体" w:cs="宋体"/>
                <w:sz w:val="21"/>
                <w:szCs w:val="21"/>
              </w:rPr>
              <w:t>使用及维护培训，能够独立操作</w:t>
            </w:r>
            <w:r>
              <w:rPr>
                <w:rFonts w:hint="eastAsia" w:ascii="宋体" w:hAnsi="宋体" w:eastAsia="宋体" w:cs="宋体"/>
                <w:sz w:val="21"/>
                <w:szCs w:val="21"/>
                <w:lang w:eastAsia="zh-CN"/>
              </w:rPr>
              <w:t>设备</w:t>
            </w:r>
            <w:r>
              <w:rPr>
                <w:rFonts w:hint="eastAsia" w:ascii="宋体" w:hAnsi="宋体" w:eastAsia="宋体" w:cs="宋体"/>
                <w:sz w:val="21"/>
                <w:szCs w:val="21"/>
              </w:rPr>
              <w:t>。</w:t>
            </w:r>
          </w:p>
          <w:p w14:paraId="52BB8557">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w:t>
            </w:r>
            <w:r>
              <w:rPr>
                <w:rFonts w:hint="eastAsia" w:ascii="宋体" w:hAnsi="宋体" w:eastAsia="宋体" w:cs="宋体"/>
                <w:sz w:val="21"/>
                <w:szCs w:val="21"/>
              </w:rPr>
              <w:t>后期回访：质保期内进行</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次/年回访，回访期间对</w:t>
            </w:r>
            <w:r>
              <w:rPr>
                <w:rFonts w:hint="eastAsia" w:ascii="宋体" w:hAnsi="宋体" w:eastAsia="宋体" w:cs="宋体"/>
                <w:sz w:val="21"/>
                <w:szCs w:val="21"/>
                <w:lang w:eastAsia="zh-CN"/>
              </w:rPr>
              <w:t>设备</w:t>
            </w:r>
            <w:r>
              <w:rPr>
                <w:rFonts w:hint="eastAsia" w:ascii="宋体" w:hAnsi="宋体" w:eastAsia="宋体" w:cs="宋体"/>
                <w:sz w:val="21"/>
                <w:szCs w:val="21"/>
              </w:rPr>
              <w:t>进行维护和培训等，采购人不再额外支付费用。</w:t>
            </w:r>
          </w:p>
          <w:p w14:paraId="299CA339">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接到采购人故障通知后</w:t>
            </w:r>
            <w:r>
              <w:rPr>
                <w:rFonts w:hint="eastAsia" w:ascii="宋体" w:hAnsi="宋体" w:eastAsia="宋体" w:cs="宋体"/>
                <w:sz w:val="21"/>
                <w:szCs w:val="21"/>
                <w:lang w:val="en-US" w:eastAsia="zh-CN"/>
              </w:rPr>
              <w:t>1</w:t>
            </w:r>
            <w:r>
              <w:rPr>
                <w:rFonts w:hint="eastAsia" w:ascii="宋体" w:hAnsi="宋体" w:eastAsia="宋体" w:cs="宋体"/>
                <w:sz w:val="21"/>
                <w:szCs w:val="21"/>
              </w:rPr>
              <w:t>小时内响应，如不能解决问题将派人</w:t>
            </w:r>
            <w:r>
              <w:rPr>
                <w:rFonts w:hint="eastAsia" w:ascii="宋体" w:hAnsi="宋体" w:eastAsia="宋体" w:cs="宋体"/>
                <w:sz w:val="21"/>
                <w:szCs w:val="21"/>
                <w:lang w:val="en-US" w:eastAsia="zh-CN"/>
              </w:rPr>
              <w:t>24小时内到达</w:t>
            </w:r>
            <w:r>
              <w:rPr>
                <w:rFonts w:hint="eastAsia" w:ascii="宋体" w:hAnsi="宋体" w:eastAsia="宋体" w:cs="宋体"/>
                <w:sz w:val="21"/>
                <w:szCs w:val="21"/>
              </w:rPr>
              <w:t>现场排除故障。</w:t>
            </w:r>
          </w:p>
          <w:p w14:paraId="30CDF1A9">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备件、技术及维修服务及其它：</w:t>
            </w:r>
          </w:p>
          <w:p w14:paraId="20A9364F">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（1）备件要求：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厂家应在</w:t>
            </w:r>
            <w:r>
              <w:rPr>
                <w:rFonts w:hint="eastAsia" w:ascii="宋体" w:hAnsi="宋体" w:eastAsia="宋体" w:cs="宋体"/>
                <w:sz w:val="21"/>
                <w:szCs w:val="21"/>
                <w:lang w:eastAsia="zh-CN"/>
              </w:rPr>
              <w:t>交货地点所在</w:t>
            </w:r>
            <w:r>
              <w:rPr>
                <w:rFonts w:hint="eastAsia" w:ascii="宋体" w:hAnsi="宋体" w:eastAsia="宋体" w:cs="宋体"/>
                <w:sz w:val="21"/>
                <w:szCs w:val="21"/>
              </w:rPr>
              <w:t>省会中心城市设置备件库，存入</w:t>
            </w:r>
            <w:r>
              <w:rPr>
                <w:rFonts w:hint="eastAsia" w:ascii="宋体" w:hAnsi="宋体" w:eastAsia="宋体" w:cs="宋体"/>
                <w:sz w:val="21"/>
                <w:szCs w:val="21"/>
                <w:lang w:eastAsia="zh-CN"/>
              </w:rPr>
              <w:t>必要</w:t>
            </w:r>
            <w:r>
              <w:rPr>
                <w:rFonts w:hint="eastAsia" w:ascii="宋体" w:hAnsi="宋体" w:eastAsia="宋体" w:cs="宋体"/>
                <w:sz w:val="21"/>
                <w:szCs w:val="21"/>
              </w:rPr>
              <w:t>的</w:t>
            </w:r>
            <w:r>
              <w:rPr>
                <w:rFonts w:hint="eastAsia" w:ascii="宋体" w:hAnsi="宋体" w:eastAsia="宋体" w:cs="宋体"/>
                <w:sz w:val="21"/>
                <w:szCs w:val="21"/>
                <w:lang w:eastAsia="zh-CN"/>
              </w:rPr>
              <w:t>备品</w:t>
            </w:r>
            <w:r>
              <w:rPr>
                <w:rFonts w:hint="eastAsia" w:ascii="宋体" w:hAnsi="宋体" w:eastAsia="宋体" w:cs="宋体"/>
                <w:sz w:val="21"/>
                <w:szCs w:val="21"/>
              </w:rPr>
              <w:t>备件，保证必要时可以及时供应。</w:t>
            </w:r>
          </w:p>
          <w:p w14:paraId="13CCCFD2">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（2）技术及维修服务：在用户当地或省会中心城市，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厂家应配置工程技术人员，随时提供开箱验货、安装、调试或维修等服务。</w:t>
            </w:r>
          </w:p>
          <w:p w14:paraId="1FAD258D">
            <w:pPr>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sz w:val="21"/>
                <w:szCs w:val="21"/>
              </w:rPr>
              <w:t>（3）质保期内设备发生故障时，响应时间1小时以内，特殊情况无法到达须提前与采购人沟通。当配件等待周期大于7个工作日时，对应延长质保期。</w:t>
            </w:r>
          </w:p>
        </w:tc>
      </w:tr>
      <w:tr w14:paraId="7646B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left w:val="single" w:color="000000" w:sz="4" w:space="0"/>
              <w:bottom w:val="single" w:color="000000" w:sz="4" w:space="0"/>
              <w:right w:val="single" w:color="000000" w:sz="4" w:space="0"/>
            </w:tcBorders>
            <w:vAlign w:val="center"/>
          </w:tcPr>
          <w:p w14:paraId="5A96307F">
            <w:pPr>
              <w:bidi w:val="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1"/>
                <w:szCs w:val="21"/>
                <w:lang w:val="en-US" w:eastAsia="zh-CN"/>
              </w:rPr>
              <w:t>7</w:t>
            </w:r>
          </w:p>
        </w:tc>
        <w:tc>
          <w:tcPr>
            <w:tcW w:w="1993" w:type="dxa"/>
            <w:gridSpan w:val="2"/>
            <w:tcBorders>
              <w:left w:val="nil"/>
              <w:bottom w:val="single" w:color="000000" w:sz="4" w:space="0"/>
              <w:right w:val="single" w:color="000000" w:sz="4" w:space="0"/>
            </w:tcBorders>
            <w:vAlign w:val="center"/>
          </w:tcPr>
          <w:p w14:paraId="3EB95DCF">
            <w:pPr>
              <w:snapToGrid w:val="0"/>
              <w:spacing w:line="4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其它要求</w:t>
            </w:r>
          </w:p>
        </w:tc>
        <w:tc>
          <w:tcPr>
            <w:tcW w:w="7034" w:type="dxa"/>
            <w:gridSpan w:val="2"/>
            <w:tcBorders>
              <w:top w:val="single" w:color="auto" w:sz="4" w:space="0"/>
              <w:left w:val="nil"/>
              <w:bottom w:val="single" w:color="000000" w:sz="4" w:space="0"/>
              <w:right w:val="single" w:color="000000" w:sz="4" w:space="0"/>
            </w:tcBorders>
            <w:vAlign w:val="top"/>
          </w:tcPr>
          <w:p w14:paraId="0AB93C29">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1、核心产品：本项目的核心产品为</w:t>
            </w:r>
            <w:r>
              <w:rPr>
                <w:rFonts w:hint="eastAsia" w:hAnsi="宋体" w:cs="宋体"/>
                <w:sz w:val="21"/>
                <w:szCs w:val="21"/>
                <w:lang w:val="en-US" w:eastAsia="zh-CN"/>
              </w:rPr>
              <w:t>“</w:t>
            </w:r>
            <w:r>
              <w:rPr>
                <w:rFonts w:hint="eastAsia" w:ascii="宋体" w:hAnsi="宋体" w:eastAsia="宋体" w:cs="宋体"/>
                <w:b/>
                <w:bCs/>
                <w:sz w:val="21"/>
                <w:szCs w:val="21"/>
              </w:rPr>
              <w:t>水肥一体灌溉机</w:t>
            </w:r>
            <w:r>
              <w:rPr>
                <w:rFonts w:hint="eastAsia"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b/>
                <w:bCs/>
                <w:color w:val="auto"/>
                <w:kern w:val="2"/>
                <w:sz w:val="21"/>
                <w:szCs w:val="21"/>
                <w:highlight w:val="none"/>
                <w:lang w:val="en-US" w:eastAsia="zh-CN" w:bidi="ar"/>
              </w:rPr>
              <w:t>核心产品品牌相同的，视为提供同品牌产品。核心产品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692B07BD">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2、进口产品：本包采购标的不接受进口产品（即通过中国海关报关验放进入中国境内且产自关境外的产品）参与投标，如有此类产品参与投标的做无效投标处理。</w:t>
            </w:r>
          </w:p>
          <w:p w14:paraId="2D476301">
            <w:pPr>
              <w:pStyle w:val="14"/>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3、投标人保证向采购人提供的货物是全新、完整、未使用过的</w:t>
            </w:r>
            <w:r>
              <w:rPr>
                <w:rFonts w:hint="eastAsia" w:ascii="宋体" w:hAnsi="宋体" w:eastAsia="宋体" w:cs="宋体"/>
                <w:bCs/>
                <w:kern w:val="0"/>
                <w:sz w:val="21"/>
                <w:szCs w:val="21"/>
                <w:lang w:val="en-US" w:eastAsia="zh-CN"/>
              </w:rPr>
              <w:t>。</w:t>
            </w:r>
          </w:p>
          <w:p w14:paraId="2715E0D0">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4、投标时可提供投标产品彩色图片或说明书或检测报告等产品技术参数佐证材料。</w:t>
            </w:r>
          </w:p>
          <w:p w14:paraId="0DC6FCAE">
            <w:pPr>
              <w:pStyle w:val="14"/>
              <w:snapToGrid w:val="0"/>
              <w:spacing w:line="400" w:lineRule="exact"/>
              <w:outlineLvl w:val="0"/>
              <w:rPr>
                <w:rFonts w:hint="default" w:ascii="宋体" w:hAnsi="宋体" w:eastAsia="宋体" w:cs="宋体"/>
                <w:sz w:val="21"/>
                <w:szCs w:val="21"/>
                <w:lang w:val="en-US" w:eastAsia="zh-CN"/>
              </w:rPr>
            </w:pPr>
            <w:r>
              <w:rPr>
                <w:rFonts w:hint="eastAsia" w:hAnsi="宋体" w:cs="宋体"/>
                <w:sz w:val="21"/>
                <w:szCs w:val="21"/>
                <w:lang w:val="en-US" w:eastAsia="zh-CN"/>
              </w:rPr>
              <w:t>5、</w:t>
            </w:r>
            <w:r>
              <w:rPr>
                <w:rFonts w:hint="eastAsia" w:ascii="宋体" w:hAnsi="宋体" w:eastAsia="宋体" w:cs="宋体"/>
                <w:color w:val="auto"/>
                <w:kern w:val="0"/>
                <w:sz w:val="21"/>
                <w:szCs w:val="21"/>
                <w:highlight w:val="none"/>
                <w:lang w:eastAsia="zh-CN"/>
              </w:rPr>
              <w:t>灌溉系统</w:t>
            </w:r>
            <w:r>
              <w:rPr>
                <w:rFonts w:hint="eastAsia" w:hAnsi="宋体" w:cs="宋体"/>
                <w:color w:val="auto"/>
                <w:kern w:val="0"/>
                <w:sz w:val="21"/>
                <w:szCs w:val="21"/>
                <w:highlight w:val="none"/>
                <w:lang w:eastAsia="zh-CN"/>
              </w:rPr>
              <w:t>平面布置图详见附件。</w:t>
            </w:r>
          </w:p>
        </w:tc>
      </w:tr>
    </w:tbl>
    <w:p w14:paraId="29964187">
      <w:pPr>
        <w:spacing w:line="460" w:lineRule="exact"/>
        <w:jc w:val="left"/>
        <w:rPr>
          <w:rFonts w:hint="eastAsia" w:ascii="仿宋" w:hAnsi="仿宋" w:eastAsia="仿宋" w:cs="仿宋"/>
          <w:color w:val="auto"/>
          <w:sz w:val="30"/>
          <w:szCs w:val="30"/>
          <w:highlight w:val="none"/>
          <w:lang w:eastAsia="zh-CN"/>
        </w:rPr>
      </w:pPr>
    </w:p>
    <w:p w14:paraId="55F76237">
      <w:pPr>
        <w:spacing w:line="460" w:lineRule="exact"/>
        <w:jc w:val="left"/>
        <w:rPr>
          <w:rFonts w:hint="eastAsia" w:ascii="仿宋" w:hAnsi="仿宋" w:eastAsia="仿宋" w:cs="仿宋"/>
          <w:color w:val="auto"/>
          <w:sz w:val="30"/>
          <w:szCs w:val="30"/>
          <w:highlight w:val="none"/>
          <w:lang w:eastAsia="zh-CN"/>
        </w:rPr>
      </w:pPr>
    </w:p>
    <w:p w14:paraId="068C0B58">
      <w:pPr>
        <w:spacing w:line="460" w:lineRule="exact"/>
        <w:jc w:val="left"/>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附件：</w:t>
      </w:r>
    </w:p>
    <w:p w14:paraId="1A215FE2">
      <w:pPr>
        <w:spacing w:line="460" w:lineRule="exact"/>
        <w:ind w:firstLine="560" w:firstLineChars="200"/>
        <w:jc w:val="center"/>
        <w:rPr>
          <w:rFonts w:hint="eastAsia" w:ascii="仿宋" w:hAnsi="仿宋" w:eastAsia="仿宋" w:cs="仿宋"/>
          <w:color w:val="auto"/>
          <w:sz w:val="28"/>
          <w:szCs w:val="28"/>
          <w:highlight w:val="none"/>
          <w:lang w:val="en-US" w:eastAsia="zh-CN"/>
        </w:rPr>
      </w:pPr>
      <w:r>
        <w:rPr>
          <w:rFonts w:hint="eastAsia" w:ascii="宋体" w:hAnsi="宋体" w:eastAsia="宋体" w:cs="宋体"/>
          <w:color w:val="auto"/>
          <w:kern w:val="0"/>
          <w:sz w:val="28"/>
          <w:szCs w:val="28"/>
          <w:highlight w:val="none"/>
          <w:lang w:eastAsia="zh-CN"/>
        </w:rPr>
        <w:t>灌溉系统</w:t>
      </w:r>
      <w:r>
        <w:rPr>
          <w:rFonts w:hint="eastAsia" w:hAnsi="宋体" w:cs="宋体"/>
          <w:color w:val="auto"/>
          <w:kern w:val="0"/>
          <w:sz w:val="28"/>
          <w:szCs w:val="28"/>
          <w:highlight w:val="none"/>
          <w:lang w:eastAsia="zh-CN"/>
        </w:rPr>
        <w:t>平面布置图</w:t>
      </w:r>
    </w:p>
    <w:p w14:paraId="5A45420A">
      <w:pPr>
        <w:spacing w:line="460" w:lineRule="exact"/>
        <w:ind w:firstLine="600" w:firstLineChars="200"/>
        <w:jc w:val="left"/>
        <w:rPr>
          <w:rFonts w:hint="eastAsia" w:ascii="仿宋" w:hAnsi="仿宋" w:eastAsia="仿宋" w:cs="仿宋"/>
          <w:color w:val="auto"/>
          <w:sz w:val="30"/>
          <w:szCs w:val="30"/>
          <w:highlight w:val="none"/>
          <w:lang w:val="en-US" w:eastAsia="zh-CN"/>
        </w:rPr>
      </w:pPr>
      <w:r>
        <w:rPr>
          <w:rFonts w:hint="eastAsia" w:ascii="仿宋" w:hAnsi="仿宋" w:eastAsia="仿宋" w:cs="仿宋"/>
          <w:sz w:val="30"/>
          <w:szCs w:val="30"/>
          <w:lang w:eastAsia="zh-CN"/>
        </w:rPr>
        <w:drawing>
          <wp:anchor distT="0" distB="0" distL="114300" distR="114300" simplePos="0" relativeHeight="251659264" behindDoc="0" locked="0" layoutInCell="1" allowOverlap="1">
            <wp:simplePos x="0" y="0"/>
            <wp:positionH relativeFrom="column">
              <wp:posOffset>300355</wp:posOffset>
            </wp:positionH>
            <wp:positionV relativeFrom="paragraph">
              <wp:posOffset>245110</wp:posOffset>
            </wp:positionV>
            <wp:extent cx="5543550" cy="4999355"/>
            <wp:effectExtent l="0" t="0" r="0" b="10795"/>
            <wp:wrapNone/>
            <wp:docPr id="7" name="图片 2" descr="173071372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730713729512"/>
                    <pic:cNvPicPr>
                      <a:picLocks noChangeAspect="1"/>
                    </pic:cNvPicPr>
                  </pic:nvPicPr>
                  <pic:blipFill>
                    <a:blip r:embed="rId9"/>
                    <a:stretch>
                      <a:fillRect/>
                    </a:stretch>
                  </pic:blipFill>
                  <pic:spPr>
                    <a:xfrm>
                      <a:off x="0" y="0"/>
                      <a:ext cx="5543550" cy="4999355"/>
                    </a:xfrm>
                    <a:prstGeom prst="rect">
                      <a:avLst/>
                    </a:prstGeom>
                    <a:noFill/>
                    <a:ln>
                      <a:noFill/>
                    </a:ln>
                  </pic:spPr>
                </pic:pic>
              </a:graphicData>
            </a:graphic>
          </wp:anchor>
        </w:drawing>
      </w:r>
    </w:p>
    <w:p w14:paraId="0568CD5F">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5E8861CB">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25FA884">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8685B8B">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CAA6D5A">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6825D59A">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6224A858">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9B4CD4F">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37F9F297">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1991694E">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2310B63">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3888E7AB">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3698F485">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58A7EC29">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02383B1E">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21E3FFC6">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118D690">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54F12387">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7567CBAF">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16E2D556">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17538F3F">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052CF8E0">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35D1CE8D">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2F77D302">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275C4C99">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260EBD53">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F481F91">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487C65D1">
      <w:pPr>
        <w:spacing w:line="460" w:lineRule="exact"/>
        <w:ind w:firstLine="600" w:firstLineChars="200"/>
        <w:jc w:val="left"/>
        <w:rPr>
          <w:rFonts w:hint="eastAsia" w:ascii="仿宋" w:hAnsi="仿宋" w:eastAsia="仿宋" w:cs="仿宋"/>
          <w:color w:val="auto"/>
          <w:sz w:val="30"/>
          <w:szCs w:val="30"/>
          <w:highlight w:val="none"/>
          <w:lang w:val="en-US" w:eastAsia="zh-CN"/>
        </w:rPr>
      </w:pPr>
    </w:p>
    <w:p w14:paraId="2062B8E4">
      <w:pPr>
        <w:spacing w:line="460" w:lineRule="exact"/>
        <w:ind w:left="0" w:leftChars="0" w:firstLine="0" w:firstLineChars="0"/>
        <w:jc w:val="center"/>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val="en-US" w:eastAsia="zh-CN"/>
        </w:rPr>
        <w:t>5分标</w:t>
      </w:r>
      <w:r>
        <w:rPr>
          <w:rFonts w:hint="eastAsia" w:ascii="宋体" w:hAnsi="宋体" w:cs="宋体"/>
          <w:b/>
          <w:bCs/>
          <w:color w:val="auto"/>
          <w:sz w:val="30"/>
          <w:szCs w:val="30"/>
          <w:highlight w:val="none"/>
          <w:lang w:val="en-US" w:eastAsia="zh-CN"/>
        </w:rPr>
        <w:t>（水产繁育区配套设施设备及基地智能化管理系统设备）</w:t>
      </w:r>
    </w:p>
    <w:tbl>
      <w:tblPr>
        <w:tblStyle w:val="28"/>
        <w:tblW w:w="979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4"/>
        <w:gridCol w:w="1487"/>
        <w:gridCol w:w="750"/>
        <w:gridCol w:w="735"/>
        <w:gridCol w:w="6254"/>
      </w:tblGrid>
      <w:tr w14:paraId="42FEE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9790" w:type="dxa"/>
            <w:gridSpan w:val="5"/>
            <w:tcBorders>
              <w:top w:val="single" w:color="000000" w:sz="4" w:space="0"/>
              <w:left w:val="single" w:color="000000" w:sz="4" w:space="0"/>
              <w:bottom w:val="single" w:color="000000" w:sz="4" w:space="0"/>
              <w:right w:val="single" w:color="000000" w:sz="4" w:space="0"/>
            </w:tcBorders>
            <w:vAlign w:val="center"/>
          </w:tcPr>
          <w:p w14:paraId="264EC9D5">
            <w:pPr>
              <w:wordWrap/>
              <w:adjustRightInd/>
              <w:snapToGrid/>
              <w:spacing w:before="0" w:after="0" w:line="240" w:lineRule="auto"/>
              <w:ind w:left="0" w:leftChars="0" w:right="0"/>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一、技术要求</w:t>
            </w:r>
          </w:p>
        </w:tc>
      </w:tr>
      <w:tr w14:paraId="2F01F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0ADE">
            <w:pPr>
              <w:wordWrap/>
              <w:adjustRightInd/>
              <w:snapToGrid/>
              <w:spacing w:before="0" w:after="0" w:line="240" w:lineRule="auto"/>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序号</w:t>
            </w:r>
          </w:p>
        </w:tc>
        <w:tc>
          <w:tcPr>
            <w:tcW w:w="1487" w:type="dxa"/>
            <w:tcBorders>
              <w:top w:val="single" w:color="000000" w:sz="4" w:space="0"/>
              <w:left w:val="nil"/>
              <w:bottom w:val="single" w:color="000000" w:sz="4" w:space="0"/>
              <w:right w:val="single" w:color="000000" w:sz="4" w:space="0"/>
            </w:tcBorders>
            <w:shd w:val="clear" w:color="auto" w:fill="auto"/>
            <w:vAlign w:val="center"/>
          </w:tcPr>
          <w:p w14:paraId="42F025EA">
            <w:pPr>
              <w:wordWrap/>
              <w:adjustRightInd/>
              <w:snapToGrid/>
              <w:spacing w:before="0" w:after="0" w:line="240" w:lineRule="auto"/>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eastAsia="zh-CN"/>
              </w:rPr>
              <w:t>标的</w:t>
            </w:r>
            <w:r>
              <w:rPr>
                <w:rFonts w:hint="eastAsia" w:ascii="宋体" w:hAnsi="宋体" w:eastAsia="宋体" w:cs="宋体"/>
                <w:b/>
                <w:bCs/>
                <w:color w:val="auto"/>
                <w:sz w:val="21"/>
                <w:szCs w:val="21"/>
                <w:highlight w:val="none"/>
              </w:rPr>
              <w:t>名称</w:t>
            </w:r>
          </w:p>
        </w:tc>
        <w:tc>
          <w:tcPr>
            <w:tcW w:w="750" w:type="dxa"/>
            <w:tcBorders>
              <w:top w:val="single" w:color="000000" w:sz="4" w:space="0"/>
              <w:left w:val="nil"/>
              <w:bottom w:val="single" w:color="000000" w:sz="4" w:space="0"/>
              <w:right w:val="single" w:color="auto" w:sz="4" w:space="0"/>
            </w:tcBorders>
            <w:shd w:val="clear" w:color="auto" w:fill="auto"/>
            <w:vAlign w:val="center"/>
          </w:tcPr>
          <w:p w14:paraId="3C2783D8">
            <w:pPr>
              <w:wordWrap/>
              <w:adjustRightInd/>
              <w:snapToGrid/>
              <w:spacing w:before="0" w:after="0" w:line="240" w:lineRule="auto"/>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单位</w:t>
            </w:r>
          </w:p>
        </w:tc>
        <w:tc>
          <w:tcPr>
            <w:tcW w:w="735" w:type="dxa"/>
            <w:tcBorders>
              <w:top w:val="single" w:color="000000" w:sz="4" w:space="0"/>
              <w:left w:val="single" w:color="auto" w:sz="4" w:space="0"/>
              <w:bottom w:val="single" w:color="000000" w:sz="4" w:space="0"/>
              <w:right w:val="single" w:color="auto" w:sz="4" w:space="0"/>
            </w:tcBorders>
            <w:shd w:val="clear" w:color="auto" w:fill="auto"/>
            <w:vAlign w:val="center"/>
          </w:tcPr>
          <w:p w14:paraId="3D09BEE9">
            <w:pPr>
              <w:wordWrap/>
              <w:adjustRightInd/>
              <w:snapToGrid/>
              <w:spacing w:before="0" w:after="0" w:line="240" w:lineRule="auto"/>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数量</w:t>
            </w:r>
          </w:p>
        </w:tc>
        <w:tc>
          <w:tcPr>
            <w:tcW w:w="6254" w:type="dxa"/>
            <w:tcBorders>
              <w:top w:val="single" w:color="000000" w:sz="4" w:space="0"/>
              <w:left w:val="single" w:color="auto" w:sz="4" w:space="0"/>
              <w:bottom w:val="single" w:color="000000" w:sz="4" w:space="0"/>
              <w:right w:val="single" w:color="000000" w:sz="4" w:space="0"/>
            </w:tcBorders>
            <w:shd w:val="clear" w:color="auto" w:fill="auto"/>
            <w:vAlign w:val="center"/>
          </w:tcPr>
          <w:p w14:paraId="4775CE29">
            <w:pPr>
              <w:wordWrap/>
              <w:adjustRightInd/>
              <w:snapToGrid/>
              <w:spacing w:before="0" w:after="0" w:line="240" w:lineRule="auto"/>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技术性能、参数及有关要求</w:t>
            </w:r>
          </w:p>
        </w:tc>
      </w:tr>
      <w:tr w14:paraId="5E2C4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9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0E3E17">
            <w:pPr>
              <w:wordWrap/>
              <w:adjustRightInd/>
              <w:snapToGrid/>
              <w:spacing w:before="0" w:after="0" w:line="240" w:lineRule="auto"/>
              <w:ind w:left="0" w:leftChars="0" w:right="0" w:rightChars="0"/>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（一）水产繁育区配套设施设备</w:t>
            </w:r>
          </w:p>
        </w:tc>
      </w:tr>
      <w:tr w14:paraId="1A640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9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673F9A">
            <w:pPr>
              <w:wordWrap/>
              <w:adjustRightInd/>
              <w:snapToGrid/>
              <w:spacing w:before="0" w:after="0" w:line="240" w:lineRule="auto"/>
              <w:ind w:left="0" w:leftChars="0" w:right="0" w:rightChars="0"/>
              <w:jc w:val="left"/>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发电机组：</w:t>
            </w:r>
          </w:p>
        </w:tc>
      </w:tr>
      <w:tr w14:paraId="13DFC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564" w:type="dxa"/>
            <w:tcBorders>
              <w:top w:val="single" w:color="000000" w:sz="4" w:space="0"/>
              <w:left w:val="single" w:color="000000" w:sz="4" w:space="0"/>
              <w:bottom w:val="single" w:color="auto" w:sz="4" w:space="0"/>
              <w:right w:val="single" w:color="000000" w:sz="4" w:space="0"/>
            </w:tcBorders>
            <w:shd w:val="clear" w:color="auto" w:fill="auto"/>
            <w:vAlign w:val="center"/>
          </w:tcPr>
          <w:p w14:paraId="5CDE8116">
            <w:pPr>
              <w:bidi w:val="0"/>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lang w:val="en-US" w:eastAsia="zh-CN"/>
              </w:rPr>
              <w:t>1</w:t>
            </w:r>
          </w:p>
        </w:tc>
        <w:tc>
          <w:tcPr>
            <w:tcW w:w="1487" w:type="dxa"/>
            <w:tcBorders>
              <w:top w:val="single" w:color="000000" w:sz="4" w:space="0"/>
              <w:left w:val="nil"/>
              <w:bottom w:val="single" w:color="auto" w:sz="4" w:space="0"/>
              <w:right w:val="single" w:color="000000" w:sz="4" w:space="0"/>
            </w:tcBorders>
            <w:shd w:val="clear" w:color="auto" w:fill="auto"/>
            <w:vAlign w:val="center"/>
          </w:tcPr>
          <w:p w14:paraId="71422347">
            <w:pPr>
              <w:bidi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后备电源设备（柴油发电机组）</w:t>
            </w:r>
          </w:p>
        </w:tc>
        <w:tc>
          <w:tcPr>
            <w:tcW w:w="750" w:type="dxa"/>
            <w:tcBorders>
              <w:top w:val="single" w:color="000000" w:sz="4" w:space="0"/>
              <w:left w:val="nil"/>
              <w:bottom w:val="single" w:color="auto" w:sz="4" w:space="0"/>
              <w:right w:val="single" w:color="auto" w:sz="4" w:space="0"/>
            </w:tcBorders>
            <w:shd w:val="clear" w:color="auto" w:fill="auto"/>
            <w:vAlign w:val="center"/>
          </w:tcPr>
          <w:p w14:paraId="2D4007FB">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套</w:t>
            </w:r>
          </w:p>
        </w:tc>
        <w:tc>
          <w:tcPr>
            <w:tcW w:w="735" w:type="dxa"/>
            <w:tcBorders>
              <w:top w:val="single" w:color="000000" w:sz="4" w:space="0"/>
              <w:left w:val="single" w:color="auto" w:sz="4" w:space="0"/>
              <w:bottom w:val="single" w:color="auto" w:sz="4" w:space="0"/>
              <w:right w:val="single" w:color="auto" w:sz="4" w:space="0"/>
            </w:tcBorders>
            <w:shd w:val="clear" w:color="auto" w:fill="auto"/>
            <w:vAlign w:val="center"/>
          </w:tcPr>
          <w:p w14:paraId="02D2A9FD">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6254" w:type="dxa"/>
            <w:tcBorders>
              <w:top w:val="single" w:color="000000" w:sz="4" w:space="0"/>
              <w:left w:val="single" w:color="auto" w:sz="4" w:space="0"/>
              <w:bottom w:val="single" w:color="000000" w:sz="4" w:space="0"/>
              <w:right w:val="single" w:color="000000" w:sz="4" w:space="0"/>
            </w:tcBorders>
            <w:shd w:val="clear" w:color="auto" w:fill="auto"/>
            <w:vAlign w:val="center"/>
          </w:tcPr>
          <w:p w14:paraId="66974619">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▲1.发动机功率</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160KW</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排量</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8L</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立式、直列、水冷、四冲程柴油发动机</w:t>
            </w:r>
          </w:p>
          <w:p w14:paraId="7D08E896">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▲2.发电机功率</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150KW,无刷，自励磁，AVR 自动调压</w:t>
            </w:r>
          </w:p>
          <w:p w14:paraId="341C5F7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3.稳态电压调整率≤±0.5%，瞬态电压调整率≤+20%～-15%，电压波动率≤±0.5%，稳态频率调整率≤±0.5%，瞬态频率调整率≤+10%～-7%，频率波动率≤±0.5%</w:t>
            </w:r>
          </w:p>
          <w:p w14:paraId="30AD32C6">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4.静音箱采用黄色涂装，距离7米噪音</w:t>
            </w:r>
            <w:r>
              <w:rPr>
                <w:rFonts w:hint="eastAsia" w:ascii="宋体" w:hAnsi="宋体" w:cs="宋体"/>
                <w:color w:val="auto"/>
                <w:kern w:val="0"/>
                <w:sz w:val="21"/>
                <w:szCs w:val="21"/>
                <w:highlight w:val="none"/>
                <w:lang w:eastAsia="zh-CN"/>
              </w:rPr>
              <w:t>：</w:t>
            </w:r>
            <w:r>
              <w:rPr>
                <w:rStyle w:val="33"/>
                <w:rFonts w:ascii="Arial" w:hAnsi="Arial" w:eastAsia="宋体" w:cs="Arial"/>
                <w:i w:val="0"/>
                <w:iCs w:val="0"/>
                <w:caps w:val="0"/>
                <w:color w:val="F73131"/>
                <w:spacing w:val="0"/>
                <w:sz w:val="19"/>
                <w:szCs w:val="19"/>
                <w:shd w:val="clear" w:fill="FFFFFF"/>
              </w:rPr>
              <w:t>&lt;</w:t>
            </w:r>
            <w:r>
              <w:rPr>
                <w:rFonts w:hint="eastAsia" w:ascii="宋体" w:hAnsi="宋体" w:eastAsia="宋体" w:cs="宋体"/>
                <w:color w:val="auto"/>
                <w:kern w:val="0"/>
                <w:sz w:val="21"/>
                <w:szCs w:val="21"/>
                <w:highlight w:val="none"/>
              </w:rPr>
              <w:t>75分贝</w:t>
            </w:r>
          </w:p>
          <w:p w14:paraId="175906B4">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5.设备整体尺寸≤2.8</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1.05</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1.7（米）</w:t>
            </w:r>
          </w:p>
        </w:tc>
      </w:tr>
      <w:tr w14:paraId="74880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D5982C2">
            <w:pPr>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487" w:type="dxa"/>
            <w:tcBorders>
              <w:top w:val="single" w:color="auto" w:sz="4" w:space="0"/>
              <w:left w:val="nil"/>
              <w:bottom w:val="single" w:color="auto" w:sz="4" w:space="0"/>
              <w:right w:val="single" w:color="000000" w:sz="4" w:space="0"/>
            </w:tcBorders>
            <w:vAlign w:val="center"/>
          </w:tcPr>
          <w:p w14:paraId="2E619D72">
            <w:pPr>
              <w:bidi w:val="0"/>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rPr>
              <w:t>配套电缆</w:t>
            </w:r>
          </w:p>
        </w:tc>
        <w:tc>
          <w:tcPr>
            <w:tcW w:w="750" w:type="dxa"/>
            <w:tcBorders>
              <w:top w:val="single" w:color="auto" w:sz="4" w:space="0"/>
              <w:left w:val="nil"/>
              <w:bottom w:val="single" w:color="auto" w:sz="4" w:space="0"/>
              <w:right w:val="single" w:color="000000" w:sz="4" w:space="0"/>
            </w:tcBorders>
            <w:vAlign w:val="center"/>
          </w:tcPr>
          <w:p w14:paraId="4864D185">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套</w:t>
            </w:r>
          </w:p>
        </w:tc>
        <w:tc>
          <w:tcPr>
            <w:tcW w:w="735" w:type="dxa"/>
            <w:tcBorders>
              <w:top w:val="single" w:color="auto" w:sz="4" w:space="0"/>
              <w:left w:val="nil"/>
              <w:bottom w:val="single" w:color="auto" w:sz="4" w:space="0"/>
              <w:right w:val="single" w:color="000000" w:sz="4" w:space="0"/>
            </w:tcBorders>
            <w:vAlign w:val="center"/>
          </w:tcPr>
          <w:p w14:paraId="1C2E44D7">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6254" w:type="dxa"/>
            <w:tcBorders>
              <w:top w:val="single" w:color="000000" w:sz="4" w:space="0"/>
              <w:left w:val="nil"/>
              <w:bottom w:val="single" w:color="000000" w:sz="4" w:space="0"/>
              <w:right w:val="single" w:color="000000" w:sz="4" w:space="0"/>
            </w:tcBorders>
            <w:vAlign w:val="center"/>
          </w:tcPr>
          <w:p w14:paraId="325AA83E">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
              </w:rPr>
              <w:t>▲1.所有配套电缆必须采用阻燃铠装或者阻燃电缆加金属护套，防止鼠害</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▲2.动力电缆应采用纯铜电缆，符合国标GB/T 12706.1-2020要求</w:t>
            </w:r>
          </w:p>
        </w:tc>
      </w:tr>
      <w:tr w14:paraId="47A2E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072B434">
            <w:pPr>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487" w:type="dxa"/>
            <w:tcBorders>
              <w:top w:val="single" w:color="auto" w:sz="4" w:space="0"/>
              <w:left w:val="nil"/>
              <w:right w:val="single" w:color="000000" w:sz="4" w:space="0"/>
            </w:tcBorders>
            <w:vAlign w:val="center"/>
          </w:tcPr>
          <w:p w14:paraId="64E44162">
            <w:pPr>
              <w:bidi w:val="0"/>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rPr>
              <w:t>后备电源设备（总配电柜）</w:t>
            </w:r>
          </w:p>
        </w:tc>
        <w:tc>
          <w:tcPr>
            <w:tcW w:w="750" w:type="dxa"/>
            <w:tcBorders>
              <w:top w:val="single" w:color="auto" w:sz="4" w:space="0"/>
              <w:left w:val="nil"/>
              <w:bottom w:val="single" w:color="auto" w:sz="4" w:space="0"/>
              <w:right w:val="single" w:color="000000" w:sz="4" w:space="0"/>
            </w:tcBorders>
            <w:vAlign w:val="center"/>
          </w:tcPr>
          <w:p w14:paraId="7B283824">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套</w:t>
            </w:r>
          </w:p>
        </w:tc>
        <w:tc>
          <w:tcPr>
            <w:tcW w:w="735" w:type="dxa"/>
            <w:tcBorders>
              <w:top w:val="single" w:color="000000" w:sz="4" w:space="0"/>
              <w:left w:val="nil"/>
              <w:bottom w:val="single" w:color="auto" w:sz="4" w:space="0"/>
              <w:right w:val="single" w:color="000000" w:sz="4" w:space="0"/>
            </w:tcBorders>
            <w:vAlign w:val="center"/>
          </w:tcPr>
          <w:p w14:paraId="5D68E5A2">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6254" w:type="dxa"/>
            <w:tcBorders>
              <w:top w:val="single" w:color="000000" w:sz="4" w:space="0"/>
              <w:left w:val="nil"/>
              <w:bottom w:val="single" w:color="000000" w:sz="4" w:space="0"/>
              <w:right w:val="single" w:color="000000" w:sz="4" w:space="0"/>
            </w:tcBorders>
            <w:vAlign w:val="center"/>
          </w:tcPr>
          <w:p w14:paraId="1857583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▲1.ATS配电柜，输入：300A/3P×2路，机械互锁，可手动转换</w:t>
            </w:r>
          </w:p>
          <w:p w14:paraId="6420D426">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▲2.旁路：300A/3P×1加安全锁，输出：200A/3P×3路，100A/3P×3路</w:t>
            </w:r>
          </w:p>
          <w:p w14:paraId="48747DBB">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3.配置II级防雷器×1，监控仪表×1</w:t>
            </w:r>
          </w:p>
          <w:p w14:paraId="3C7E4F49">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4.电气特性：额定绝缘电压：630V，额定工作电压：380V，额定频率：50Hz，相数：三相五线，母线额定电流：300A， 配电柜要求满足CLASSII/C级防雷</w:t>
            </w:r>
          </w:p>
          <w:p w14:paraId="0DAC7299">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5.配电柜外形要求外形尺寸（宽度W×深度D×高度H）</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偏差</w:t>
            </w:r>
            <w:r>
              <w:rPr>
                <w:rFonts w:hint="eastAsia" w:ascii="仿宋" w:hAnsi="仿宋" w:eastAsia="仿宋" w:cs="仿宋"/>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5%内）</w:t>
            </w:r>
            <w:r>
              <w:rPr>
                <w:rFonts w:hint="eastAsia" w:ascii="宋体" w:hAnsi="宋体" w:eastAsia="宋体" w:cs="宋体"/>
                <w:color w:val="auto"/>
                <w:kern w:val="0"/>
                <w:sz w:val="21"/>
                <w:szCs w:val="21"/>
                <w:highlight w:val="none"/>
              </w:rPr>
              <w:t>：800mm×600mm×2000mm，前门为双开门，后门为塑料卡扣易拆卸结构</w:t>
            </w:r>
          </w:p>
          <w:p w14:paraId="5C5D53D6">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配电柜采用三相五线制，母线应采用TMY铜排，使用材质为T1电解铜，表面镀锡。配电柜内中性线应与相线具有同样截面积，PE线不小于1/2相线截面。母线连接面应镀锡，连接螺栓有防松螺母和垫片，搭接长宽符合要求。母线非螺母连接处全部绝缘热缩套管包裹，母排搭接处的链接螺母和螺钉必须绝缘帽覆盖，确保维护人员的人身安全</w:t>
            </w:r>
          </w:p>
        </w:tc>
      </w:tr>
      <w:tr w14:paraId="01437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151892C7">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b/>
                <w:bCs/>
                <w:sz w:val="21"/>
                <w:szCs w:val="21"/>
              </w:rPr>
              <w:t>变压器扩容</w:t>
            </w:r>
            <w:r>
              <w:rPr>
                <w:rFonts w:hint="eastAsia" w:ascii="宋体" w:hAnsi="宋体" w:eastAsia="宋体" w:cs="宋体"/>
                <w:b/>
                <w:bCs/>
                <w:sz w:val="21"/>
                <w:szCs w:val="21"/>
                <w:lang w:eastAsia="zh-CN"/>
              </w:rPr>
              <w:t>：</w:t>
            </w:r>
          </w:p>
        </w:tc>
      </w:tr>
      <w:tr w14:paraId="0FCAD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37B753AF">
            <w:pPr>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487" w:type="dxa"/>
            <w:tcBorders>
              <w:top w:val="single" w:color="auto" w:sz="4" w:space="0"/>
              <w:left w:val="nil"/>
              <w:bottom w:val="single" w:color="auto" w:sz="4" w:space="0"/>
              <w:right w:val="single" w:color="000000" w:sz="4" w:space="0"/>
            </w:tcBorders>
            <w:vAlign w:val="center"/>
          </w:tcPr>
          <w:p w14:paraId="544E4186">
            <w:pPr>
              <w:bidi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变压器设备</w:t>
            </w:r>
          </w:p>
        </w:tc>
        <w:tc>
          <w:tcPr>
            <w:tcW w:w="750" w:type="dxa"/>
            <w:tcBorders>
              <w:top w:val="single" w:color="auto" w:sz="4" w:space="0"/>
              <w:left w:val="nil"/>
              <w:bottom w:val="single" w:color="auto" w:sz="4" w:space="0"/>
              <w:right w:val="single" w:color="000000" w:sz="4" w:space="0"/>
            </w:tcBorders>
            <w:shd w:val="clear" w:color="auto" w:fill="auto"/>
            <w:vAlign w:val="center"/>
          </w:tcPr>
          <w:p w14:paraId="16E120BE">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eastAsia="zh-CN"/>
              </w:rPr>
              <w:t>台</w:t>
            </w:r>
          </w:p>
        </w:tc>
        <w:tc>
          <w:tcPr>
            <w:tcW w:w="735" w:type="dxa"/>
            <w:tcBorders>
              <w:top w:val="single" w:color="auto" w:sz="4" w:space="0"/>
              <w:left w:val="nil"/>
              <w:bottom w:val="single" w:color="auto" w:sz="4" w:space="0"/>
              <w:right w:val="single" w:color="000000" w:sz="4" w:space="0"/>
            </w:tcBorders>
            <w:shd w:val="clear" w:color="auto" w:fill="auto"/>
            <w:vAlign w:val="center"/>
          </w:tcPr>
          <w:p w14:paraId="061D09A8">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6254" w:type="dxa"/>
            <w:tcBorders>
              <w:top w:val="single" w:color="000000" w:sz="4" w:space="0"/>
              <w:left w:val="nil"/>
              <w:bottom w:val="single" w:color="000000" w:sz="4" w:space="0"/>
              <w:right w:val="single" w:color="000000" w:sz="4" w:space="0"/>
            </w:tcBorders>
            <w:shd w:val="clear" w:color="auto" w:fill="auto"/>
            <w:vAlign w:val="center"/>
          </w:tcPr>
          <w:p w14:paraId="736E4939">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▲1.S13全铜油浸式变压器，符合南方电网入网标准</w:t>
            </w:r>
          </w:p>
          <w:p w14:paraId="382C3F4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▲2.额定容量</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250kVA</w:t>
            </w:r>
          </w:p>
          <w:p w14:paraId="21BCD63C">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3.损耗空载≤0.4kW，75摄氏度负载≤3.6kW，空载电流≤1.7%</w:t>
            </w:r>
          </w:p>
          <w:p w14:paraId="77684370">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4.总重量≤1200kg</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尺寸≤1250mm</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800mm</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1350mm</w:t>
            </w:r>
          </w:p>
          <w:p w14:paraId="034DB98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5.调压方式：无载调压 6</w:t>
            </w:r>
          </w:p>
          <w:p w14:paraId="3FEEBF08">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6.调压范围（kV）10±2x2.5%（共5档）</w:t>
            </w:r>
          </w:p>
        </w:tc>
      </w:tr>
      <w:tr w14:paraId="72D55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58A9115">
            <w:pPr>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487" w:type="dxa"/>
            <w:tcBorders>
              <w:top w:val="single" w:color="auto" w:sz="4" w:space="0"/>
              <w:left w:val="nil"/>
              <w:right w:val="single" w:color="000000" w:sz="4" w:space="0"/>
            </w:tcBorders>
            <w:vAlign w:val="center"/>
          </w:tcPr>
          <w:p w14:paraId="2E43C7C9">
            <w:pPr>
              <w:bidi w:val="0"/>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rPr>
              <w:t>变压器安装扩容</w:t>
            </w:r>
          </w:p>
        </w:tc>
        <w:tc>
          <w:tcPr>
            <w:tcW w:w="750" w:type="dxa"/>
            <w:tcBorders>
              <w:top w:val="single" w:color="auto" w:sz="4" w:space="0"/>
              <w:left w:val="nil"/>
              <w:bottom w:val="single" w:color="auto" w:sz="4" w:space="0"/>
              <w:right w:val="single" w:color="000000" w:sz="4" w:space="0"/>
            </w:tcBorders>
            <w:vAlign w:val="center"/>
          </w:tcPr>
          <w:p w14:paraId="6DEF0D72">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台</w:t>
            </w:r>
          </w:p>
        </w:tc>
        <w:tc>
          <w:tcPr>
            <w:tcW w:w="735" w:type="dxa"/>
            <w:tcBorders>
              <w:top w:val="single" w:color="000000" w:sz="4" w:space="0"/>
              <w:left w:val="nil"/>
              <w:bottom w:val="single" w:color="auto" w:sz="4" w:space="0"/>
              <w:right w:val="single" w:color="000000" w:sz="4" w:space="0"/>
            </w:tcBorders>
            <w:vAlign w:val="center"/>
          </w:tcPr>
          <w:p w14:paraId="2C2F23A5">
            <w:pPr>
              <w:numPr>
                <w:ilvl w:val="0"/>
                <w:numId w:val="0"/>
              </w:numPr>
              <w:tabs>
                <w:tab w:val="left" w:pos="1626"/>
              </w:tabs>
              <w:bidi w:val="0"/>
              <w:spacing w:line="240" w:lineRule="auto"/>
              <w:ind w:left="0" w:leftChars="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6254" w:type="dxa"/>
            <w:tcBorders>
              <w:top w:val="single" w:color="000000" w:sz="4" w:space="0"/>
              <w:left w:val="nil"/>
              <w:bottom w:val="single" w:color="000000" w:sz="4" w:space="0"/>
              <w:right w:val="single" w:color="000000" w:sz="4" w:space="0"/>
            </w:tcBorders>
            <w:vAlign w:val="center"/>
          </w:tcPr>
          <w:p w14:paraId="6C35E2DF">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1.按原变压器地点安装替换，确保安装安全稳固</w:t>
            </w:r>
          </w:p>
          <w:p w14:paraId="59F04D89">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2.所有连接线缆符合电力相关标准，连接可靠</w:t>
            </w:r>
          </w:p>
          <w:p w14:paraId="3498FA11">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3.接地防雷良好，变压器周围清理，确保无安全隐患</w:t>
            </w:r>
          </w:p>
          <w:p w14:paraId="448F0C62">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4.计量仪表安全良好，计量信息准确易读</w:t>
            </w:r>
          </w:p>
          <w:p w14:paraId="0CBD3EF3">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5.所有施工人员必须经过正规培训，具备相应的电工操作资质，持证上岗</w:t>
            </w:r>
          </w:p>
          <w:p w14:paraId="37AD0F89">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6.此项目为交钥匙工程，中标人负责</w:t>
            </w:r>
            <w:r>
              <w:rPr>
                <w:rFonts w:hint="eastAsia" w:ascii="宋体" w:hAnsi="宋体" w:eastAsia="宋体" w:cs="宋体"/>
                <w:color w:val="auto"/>
                <w:kern w:val="0"/>
                <w:sz w:val="21"/>
                <w:szCs w:val="21"/>
                <w:highlight w:val="none"/>
                <w:lang w:eastAsia="zh-CN"/>
              </w:rPr>
              <w:t>到</w:t>
            </w:r>
            <w:r>
              <w:rPr>
                <w:rFonts w:hint="eastAsia" w:ascii="宋体" w:hAnsi="宋体" w:eastAsia="宋体" w:cs="宋体"/>
                <w:color w:val="auto"/>
                <w:kern w:val="0"/>
                <w:sz w:val="21"/>
                <w:szCs w:val="21"/>
                <w:highlight w:val="none"/>
              </w:rPr>
              <w:t>相应的供电局联络及扩容，直至扩容完成，正常供电，采购人只负责提供相关授权及盖章申请</w:t>
            </w:r>
          </w:p>
        </w:tc>
      </w:tr>
      <w:tr w14:paraId="575DE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7F4AAAD4">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b/>
                <w:bCs/>
                <w:sz w:val="21"/>
                <w:szCs w:val="21"/>
              </w:rPr>
              <w:t>安防视频监控</w:t>
            </w:r>
            <w:r>
              <w:rPr>
                <w:rFonts w:hint="eastAsia" w:ascii="宋体" w:hAnsi="宋体" w:eastAsia="宋体" w:cs="宋体"/>
                <w:b/>
                <w:bCs/>
                <w:sz w:val="21"/>
                <w:szCs w:val="21"/>
                <w:lang w:eastAsia="zh-CN"/>
              </w:rPr>
              <w:t>：</w:t>
            </w:r>
          </w:p>
        </w:tc>
      </w:tr>
      <w:tr w14:paraId="6585A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27D6170B">
            <w:pPr>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487" w:type="dxa"/>
            <w:tcBorders>
              <w:top w:val="single" w:color="auto" w:sz="4" w:space="0"/>
              <w:left w:val="nil"/>
              <w:bottom w:val="single" w:color="auto" w:sz="4" w:space="0"/>
              <w:right w:val="single" w:color="000000" w:sz="4" w:space="0"/>
            </w:tcBorders>
            <w:vAlign w:val="center"/>
          </w:tcPr>
          <w:p w14:paraId="699D6323">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视频硬盘存储设备</w:t>
            </w:r>
          </w:p>
        </w:tc>
        <w:tc>
          <w:tcPr>
            <w:tcW w:w="750" w:type="dxa"/>
            <w:tcBorders>
              <w:top w:val="single" w:color="000000" w:sz="4" w:space="0"/>
              <w:left w:val="nil"/>
              <w:bottom w:val="single" w:color="auto" w:sz="4" w:space="0"/>
              <w:right w:val="single" w:color="000000" w:sz="4" w:space="0"/>
            </w:tcBorders>
            <w:vAlign w:val="center"/>
          </w:tcPr>
          <w:p w14:paraId="1B4008B8">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000000" w:sz="4" w:space="0"/>
              <w:left w:val="nil"/>
              <w:bottom w:val="single" w:color="auto" w:sz="4" w:space="0"/>
              <w:right w:val="single" w:color="000000" w:sz="4" w:space="0"/>
            </w:tcBorders>
            <w:vAlign w:val="center"/>
          </w:tcPr>
          <w:p w14:paraId="7E32117A">
            <w:pPr>
              <w:wordWrap/>
              <w:adjustRightInd/>
              <w:snapToGrid/>
              <w:spacing w:before="0" w:after="0" w:line="240" w:lineRule="auto"/>
              <w:ind w:left="0" w:leftChars="0" w:right="0" w:right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000000" w:sz="4" w:space="0"/>
              <w:left w:val="nil"/>
              <w:bottom w:val="single" w:color="000000" w:sz="4" w:space="0"/>
              <w:right w:val="single" w:color="000000" w:sz="4" w:space="0"/>
            </w:tcBorders>
            <w:vAlign w:val="center"/>
          </w:tcPr>
          <w:p w14:paraId="2663666F">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▲1.支持WEB、本地GUI界面操作，支持</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64路网络视频接入，网络性能</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384Mbps</w:t>
            </w:r>
          </w:p>
          <w:p w14:paraId="47E1D872">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2.不少于16个存储盘位，整体配置存储空间不少于100T，具备云端远程访问能力</w:t>
            </w:r>
          </w:p>
          <w:p w14:paraId="500C5BB8">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不少</w:t>
            </w:r>
            <w:r>
              <w:rPr>
                <w:rFonts w:hint="eastAsia" w:ascii="宋体" w:hAnsi="宋体" w:eastAsia="宋体" w:cs="宋体"/>
                <w:color w:val="auto"/>
                <w:kern w:val="0"/>
                <w:sz w:val="21"/>
                <w:szCs w:val="21"/>
                <w:highlight w:val="none"/>
              </w:rPr>
              <w:t>于</w:t>
            </w:r>
            <w:r>
              <w:rPr>
                <w:rFonts w:hint="eastAsia" w:ascii="宋体" w:hAnsi="宋体" w:eastAsia="宋体" w:cs="宋体"/>
                <w:color w:val="auto"/>
                <w:kern w:val="0"/>
                <w:sz w:val="21"/>
                <w:szCs w:val="21"/>
                <w:highlight w:val="none"/>
                <w:lang w:eastAsia="zh-CN"/>
              </w:rPr>
              <w:t>一个HDMI接口、2个VGA接口、2个RJ45网络接口、1个USB2.0接口、2个USB3.0接口、1个RS232接口、1个RS485接口、1个eSata接口；具有1路音频输入接口、2路音频输出接口，9个SATA接口，16个报警输入接口、6个报警输出接口、2个DV12V输出接口</w:t>
            </w:r>
            <w:r>
              <w:rPr>
                <w:rFonts w:hint="eastAsia" w:ascii="宋体" w:hAnsi="宋体" w:eastAsia="宋体" w:cs="宋体"/>
                <w:color w:val="auto"/>
                <w:kern w:val="0"/>
                <w:sz w:val="21"/>
                <w:szCs w:val="21"/>
                <w:highlight w:val="none"/>
                <w:lang w:eastAsia="zh-CN"/>
              </w:rPr>
              <w:br w:type="textWrapping"/>
            </w:r>
            <w:r>
              <w:rPr>
                <w:rFonts w:hint="eastAsia" w:ascii="宋体" w:hAnsi="宋体" w:eastAsia="宋体" w:cs="宋体"/>
                <w:color w:val="auto"/>
                <w:kern w:val="0"/>
                <w:sz w:val="21"/>
                <w:szCs w:val="21"/>
                <w:highlight w:val="none"/>
                <w:lang w:eastAsia="zh-CN"/>
              </w:rPr>
              <w:t>4.可同时正放或倒放16路H.265或H.264编码1920X1080P分辨率的视频图像；或者16路H.265或H.264编码、2560×1440分辨率的视频图像；或8路H.265或H.264编码、4096×2160分辨率的视频图像；或2路H.265或H.264编码、8192×3840分辨率的视频图像（投标文件提供产品生产厂家官方网站对应产品参数的功能截图或具备检测资质的第三方检测机构出具的检测报告或其它产品技术材料扫描件进行佐证）</w:t>
            </w:r>
            <w:r>
              <w:rPr>
                <w:rFonts w:hint="eastAsia" w:ascii="宋体" w:hAnsi="宋体" w:eastAsia="宋体" w:cs="宋体"/>
                <w:color w:val="auto"/>
                <w:kern w:val="0"/>
                <w:sz w:val="21"/>
                <w:szCs w:val="21"/>
                <w:highlight w:val="none"/>
                <w:lang w:eastAsia="zh-CN"/>
              </w:rPr>
              <w:br w:type="textWrapping"/>
            </w:r>
            <w:r>
              <w:rPr>
                <w:rFonts w:hint="eastAsia" w:ascii="宋体" w:hAnsi="宋体" w:eastAsia="宋体" w:cs="宋体"/>
                <w:color w:val="auto"/>
                <w:kern w:val="0"/>
                <w:sz w:val="21"/>
                <w:szCs w:val="21"/>
                <w:highlight w:val="none"/>
                <w:lang w:eastAsia="zh-CN"/>
              </w:rPr>
              <w:t>5.支持接入带有火情检测、冷点检测、热点检测、温度/温差检测、打电话检测、吸烟检测、烟雾检测报警功能的网络摄像机，当触发报警时，可联动录像、抓拍并保存图片、弹出报警画面、声音警告、上传中心、发送邮件、触发报警输出，并按通道、时间、类型检5、索报警图片，录像搜索结果支持图片和列表2种展现形式。（投标文件提供产品生产厂家官方网站对应产品参数的功能截图或具备检测资质的第三方检测机构出具的检测报告或其它产品技术材料扫描件进行佐证）</w:t>
            </w:r>
            <w:r>
              <w:rPr>
                <w:rFonts w:hint="eastAsia" w:ascii="宋体" w:hAnsi="宋体" w:eastAsia="宋体" w:cs="宋体"/>
                <w:color w:val="auto"/>
                <w:kern w:val="0"/>
                <w:sz w:val="21"/>
                <w:szCs w:val="21"/>
                <w:highlight w:val="none"/>
                <w:lang w:eastAsia="zh-CN"/>
              </w:rPr>
              <w:br w:type="textWrapping"/>
            </w:r>
            <w:r>
              <w:rPr>
                <w:rFonts w:hint="eastAsia" w:ascii="宋体" w:hAnsi="宋体" w:eastAsia="宋体" w:cs="宋体"/>
                <w:color w:val="auto"/>
                <w:kern w:val="0"/>
                <w:sz w:val="21"/>
                <w:szCs w:val="21"/>
                <w:highlight w:val="none"/>
                <w:lang w:eastAsia="zh-CN"/>
              </w:rPr>
              <w:t>6.可自适应接入H.265、H.264、MPEG4、MJPE、SmartH.264、SmartH.265、SVAC编码格式的网络视频并解码支持2路分辨率为8192×3840、帧率为25fps或5路分辨率为4000×3000、帧率为25fps或8路分辨率为4096×2160、帧率为25fps或16路分辨率为2560×1440、帧率为30fps或32路分辨率为1920*1080、帧率为30fps的视频。（投标文件提供产品生产厂家官方网站对应产品参数的功能截图或具备检测资质的第三方检测机构出具的检测报告或其它产品技术材料扫描件进行佐证）</w:t>
            </w:r>
          </w:p>
        </w:tc>
      </w:tr>
      <w:tr w14:paraId="46EE1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3"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6774AB8">
            <w:pPr>
              <w:bidi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487" w:type="dxa"/>
            <w:tcBorders>
              <w:top w:val="single" w:color="auto" w:sz="4" w:space="0"/>
              <w:left w:val="nil"/>
              <w:bottom w:val="single" w:color="auto" w:sz="4" w:space="0"/>
              <w:right w:val="single" w:color="000000" w:sz="4" w:space="0"/>
            </w:tcBorders>
            <w:vAlign w:val="center"/>
          </w:tcPr>
          <w:p w14:paraId="21E32085">
            <w:pPr>
              <w:bidi w:val="0"/>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rPr>
              <w:t>固定摄像头</w:t>
            </w:r>
          </w:p>
        </w:tc>
        <w:tc>
          <w:tcPr>
            <w:tcW w:w="750" w:type="dxa"/>
            <w:tcBorders>
              <w:top w:val="single" w:color="auto" w:sz="4" w:space="0"/>
              <w:left w:val="nil"/>
              <w:bottom w:val="single" w:color="auto" w:sz="4" w:space="0"/>
              <w:right w:val="single" w:color="000000" w:sz="4" w:space="0"/>
            </w:tcBorders>
            <w:vAlign w:val="center"/>
          </w:tcPr>
          <w:p w14:paraId="0C98ACD3">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7DCE67A0">
            <w:pPr>
              <w:wordWrap/>
              <w:adjustRightInd/>
              <w:snapToGrid/>
              <w:spacing w:before="0" w:after="0" w:line="240" w:lineRule="auto"/>
              <w:ind w:left="0" w:leftChars="0" w:right="0" w:rightChars="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snapToGrid w:val="0"/>
                <w:color w:val="000000"/>
                <w:kern w:val="0"/>
                <w:sz w:val="21"/>
                <w:szCs w:val="21"/>
                <w:u w:val="none"/>
                <w:lang w:val="en-US" w:eastAsia="en-US" w:bidi="ar-SA"/>
              </w:rPr>
              <w:t>39</w:t>
            </w:r>
          </w:p>
        </w:tc>
        <w:tc>
          <w:tcPr>
            <w:tcW w:w="6254" w:type="dxa"/>
            <w:tcBorders>
              <w:top w:val="single" w:color="000000" w:sz="4" w:space="0"/>
              <w:left w:val="nil"/>
              <w:bottom w:val="single" w:color="auto" w:sz="4" w:space="0"/>
              <w:right w:val="single" w:color="000000" w:sz="4" w:space="0"/>
            </w:tcBorders>
            <w:vAlign w:val="center"/>
          </w:tcPr>
          <w:p w14:paraId="5C5957D5">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▲1.传感器：</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1/2.7英寸CMOS，≥400万像素；最大分辨率2688×1520，最低照度：0.002lux（彩色模式）；0.0002lux（黑白模式）；0lux（补光灯开启），最大补光距离：50m（红外视频监控距离）20m（暖光视频监控距离）2m（暖光人脸检测距离）。</w:t>
            </w:r>
          </w:p>
          <w:p w14:paraId="0C762D47">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2.智能编码：H.264:支持；H.265:支持；AI编码：H.264:支持（压缩率≥25%）；H.265:支持（压缩率≥25%）。视场角：水平：≥102°；垂直：≥54°；对角：≥121°，通用行为分析：物品遗留；物品搬移、支持热度图</w:t>
            </w:r>
          </w:p>
          <w:p w14:paraId="2127EAE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设备角落亮度均匀性（corners）：≥85%，四边亮度均匀性（sides）：≥90%（投标文件提供产品生产厂家官方网站对应产品参数的功能截图或具备检测资质的第三方检测机构出具的检测报告或其它产品技术材料扫描件进行佐证）</w:t>
            </w:r>
          </w:p>
          <w:p w14:paraId="33466A91">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4.设备支持自动防闪烁功能，开启该功能后,可以消除闪烁条纹。设备具有精准搜索功能，开启后可检测分析画面中人体各类特征后形成结构化数据上传后端</w:t>
            </w:r>
          </w:p>
          <w:p w14:paraId="77B7987C">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5.支持在web界面中设置车牌指定位号匹配规则，当检测到的号牌匹配该规则时</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联动报警事件，设备支持一键诊断网络工况、运行工况；支持网络抓包、运行日志导出</w:t>
            </w:r>
          </w:p>
          <w:p w14:paraId="76A6DB5D">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可通过IE浏览器在视频图像上叠加最多32行字符，字符可选择项包括通道名称、时间、地理位置；可设置字体颜色、背景和设置字符大小为64×64、48×48、32×32、16×16、自适应5档，字体边缘部分可根据字体颜色进行反色，支持文字左右对齐，可设置叠加位置，字符叠加字库支持矢量类型。（投标文件提供产品生产厂家官方网站对应产品参数的功能截图或具备检测资质的第三方检测机构出具的检测报告或其它产品技术材料扫描件进行佐证）</w:t>
            </w:r>
          </w:p>
        </w:tc>
      </w:tr>
      <w:tr w14:paraId="123A4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AE01183">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487" w:type="dxa"/>
            <w:tcBorders>
              <w:top w:val="single" w:color="auto" w:sz="4" w:space="0"/>
              <w:left w:val="nil"/>
              <w:bottom w:val="single" w:color="auto" w:sz="4" w:space="0"/>
              <w:right w:val="single" w:color="000000" w:sz="4" w:space="0"/>
            </w:tcBorders>
            <w:vAlign w:val="center"/>
          </w:tcPr>
          <w:p w14:paraId="27223D15">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云台摄像头</w:t>
            </w:r>
          </w:p>
        </w:tc>
        <w:tc>
          <w:tcPr>
            <w:tcW w:w="750" w:type="dxa"/>
            <w:tcBorders>
              <w:top w:val="single" w:color="auto" w:sz="4" w:space="0"/>
              <w:left w:val="nil"/>
              <w:bottom w:val="single" w:color="auto" w:sz="4" w:space="0"/>
              <w:right w:val="single" w:color="000000" w:sz="4" w:space="0"/>
            </w:tcBorders>
            <w:vAlign w:val="center"/>
          </w:tcPr>
          <w:p w14:paraId="7EA501E6">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19A9B6DA">
            <w:pPr>
              <w:wordWrap/>
              <w:adjustRightInd/>
              <w:snapToGrid/>
              <w:spacing w:before="0" w:after="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6028A5A7">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▲1.同时具备全景和细节摄像头，基本：</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400万像素1/1.8英寸CMOS 传感器，内置GPU芯片，支持深度学习算法，有效提升检测准确率，细节相机支持25倍光学变倍，16倍数字变倍</w:t>
            </w:r>
          </w:p>
          <w:p w14:paraId="337FE056">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支持对镜头前盖玻璃加热，当环境温度达到预设值时，可自动开启镜头前盖玻璃加热功能，去除玻璃上的冰状和水状附着物（投标文件提供产品生产厂家官方网站对应产品参数的功能截图或具备检测资质的第三方检测机构出具的检测报告或其它产品技术材料扫描件进行佐证）</w:t>
            </w:r>
          </w:p>
          <w:p w14:paraId="5196F087">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3.设备支持全景摄像机与细节摄像机互为180°夹角监控</w:t>
            </w:r>
          </w:p>
          <w:p w14:paraId="53BFD2D2">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联动态：开启联动跟踪和视频结构化功能后，细节摄像机可对全景摄像机监控范围内出现的行人、机动车、非机动车进行检测和抓拍，并在IE浏览器上显示行人、机动车、非机动车属性；独立态：开启视频结构化功能后，全景摄像机和细节摄像机可分别对监控画面中出现的行人、机动车、非机动车进行检测和抓拍；并在IE浏览器上显示行人、机动车、非机动车属性</w:t>
            </w:r>
          </w:p>
          <w:p w14:paraId="6D891B00">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5.智能切换检验：支持快速智能切换，当更换智能模式时设备不重启，新智能</w:t>
            </w:r>
            <w:r>
              <w:rPr>
                <w:rFonts w:hint="eastAsia" w:ascii="宋体" w:hAnsi="宋体" w:cs="宋体"/>
                <w:color w:val="auto"/>
                <w:kern w:val="0"/>
                <w:sz w:val="21"/>
                <w:szCs w:val="21"/>
                <w:highlight w:val="none"/>
                <w:lang w:eastAsia="zh-CN"/>
              </w:rPr>
              <w:t>使用后</w:t>
            </w:r>
            <w:r>
              <w:rPr>
                <w:rFonts w:hint="eastAsia" w:ascii="宋体" w:hAnsi="宋体" w:eastAsia="宋体" w:cs="宋体"/>
                <w:color w:val="auto"/>
                <w:kern w:val="0"/>
                <w:sz w:val="21"/>
                <w:szCs w:val="21"/>
                <w:highlight w:val="none"/>
              </w:rPr>
              <w:t>即可生效</w:t>
            </w:r>
          </w:p>
          <w:p w14:paraId="73F678D3">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6.水平范围：0°～320°垂直范围：-20°～90°</w:t>
            </w:r>
          </w:p>
          <w:p w14:paraId="682812D8">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7.全景通道可进行周界检测并联动细节通道跟踪目标。</w:t>
            </w:r>
          </w:p>
          <w:p w14:paraId="0238CC63">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8.全景摄像机内置不少于4颗白光灯，细节摄像机内置不少于6颗补光灯，分别是4颗红外灯和2颗白光灯</w:t>
            </w:r>
          </w:p>
          <w:p w14:paraId="753571E3">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9.支持人脸识别，全景摄像机和细节摄像机可分别对监控画面中出现的人脸进行检测和抓拍；并在IE浏览器上显示人脸抓拍图像、人脸属性和人脸比对百分比结果</w:t>
            </w:r>
          </w:p>
        </w:tc>
      </w:tr>
      <w:tr w14:paraId="22AD5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4" w:hRule="atLeast"/>
        </w:trPr>
        <w:tc>
          <w:tcPr>
            <w:tcW w:w="564" w:type="dxa"/>
            <w:tcBorders>
              <w:top w:val="single" w:color="auto" w:sz="4" w:space="0"/>
              <w:left w:val="single" w:color="000000" w:sz="4" w:space="0"/>
              <w:right w:val="single" w:color="000000" w:sz="4" w:space="0"/>
            </w:tcBorders>
            <w:vAlign w:val="center"/>
          </w:tcPr>
          <w:p w14:paraId="47065B15">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487" w:type="dxa"/>
            <w:tcBorders>
              <w:top w:val="single" w:color="auto" w:sz="4" w:space="0"/>
              <w:left w:val="nil"/>
              <w:bottom w:val="single" w:color="auto" w:sz="4" w:space="0"/>
              <w:right w:val="single" w:color="000000" w:sz="4" w:space="0"/>
            </w:tcBorders>
            <w:vAlign w:val="center"/>
          </w:tcPr>
          <w:p w14:paraId="71F4733B">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4DDA5182">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zh-CN" w:bidi="ar-SA"/>
              </w:rPr>
              <w:t>根</w:t>
            </w:r>
          </w:p>
        </w:tc>
        <w:tc>
          <w:tcPr>
            <w:tcW w:w="735" w:type="dxa"/>
            <w:tcBorders>
              <w:top w:val="single" w:color="auto" w:sz="4" w:space="0"/>
              <w:left w:val="nil"/>
              <w:bottom w:val="single" w:color="auto" w:sz="4" w:space="0"/>
              <w:right w:val="single" w:color="000000" w:sz="4" w:space="0"/>
            </w:tcBorders>
            <w:vAlign w:val="center"/>
          </w:tcPr>
          <w:p w14:paraId="2D108241">
            <w:pPr>
              <w:wordWrap/>
              <w:adjustRightInd/>
              <w:snapToGrid/>
              <w:spacing w:before="0" w:after="0" w:line="240" w:lineRule="auto"/>
              <w:ind w:left="0" w:leftChars="0" w:right="0" w:rightChars="0"/>
              <w:jc w:val="center"/>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1AC3DF94">
            <w:pPr>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1.室外立杆1处，高度</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2.5m，采用地笼水泥浇灌，配备防雷针</w:t>
            </w:r>
          </w:p>
          <w:p w14:paraId="661A4212">
            <w:pPr>
              <w:spacing w:line="240" w:lineRule="auto"/>
              <w:rPr>
                <w:rFonts w:hint="eastAsia" w:ascii="宋体" w:hAnsi="宋体" w:eastAsia="宋体" w:cs="宋体"/>
                <w:i w:val="0"/>
                <w:iCs w:val="0"/>
                <w:snapToGrid w:val="0"/>
                <w:color w:val="000000"/>
                <w:kern w:val="0"/>
                <w:sz w:val="21"/>
                <w:szCs w:val="21"/>
                <w:u w:val="none"/>
                <w:lang w:val="en-US" w:eastAsia="zh-CN" w:bidi="ar"/>
              </w:rPr>
            </w:pPr>
          </w:p>
        </w:tc>
      </w:tr>
      <w:tr w14:paraId="2C235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EBBC7B9">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1487" w:type="dxa"/>
            <w:tcBorders>
              <w:top w:val="single" w:color="auto" w:sz="4" w:space="0"/>
              <w:left w:val="nil"/>
              <w:bottom w:val="single" w:color="auto" w:sz="4" w:space="0"/>
              <w:right w:val="single" w:color="000000" w:sz="4" w:space="0"/>
            </w:tcBorders>
            <w:vAlign w:val="center"/>
          </w:tcPr>
          <w:p w14:paraId="2F1540BD">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6A54D017">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对</w:t>
            </w:r>
          </w:p>
        </w:tc>
        <w:tc>
          <w:tcPr>
            <w:tcW w:w="735" w:type="dxa"/>
            <w:tcBorders>
              <w:top w:val="single" w:color="auto" w:sz="4" w:space="0"/>
              <w:left w:val="nil"/>
              <w:bottom w:val="single" w:color="auto" w:sz="4" w:space="0"/>
              <w:right w:val="single" w:color="000000" w:sz="4" w:space="0"/>
            </w:tcBorders>
            <w:vAlign w:val="center"/>
          </w:tcPr>
          <w:p w14:paraId="2F120C74">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10</w:t>
            </w:r>
          </w:p>
        </w:tc>
        <w:tc>
          <w:tcPr>
            <w:tcW w:w="6254" w:type="dxa"/>
            <w:tcBorders>
              <w:top w:val="single" w:color="auto" w:sz="4" w:space="0"/>
              <w:left w:val="nil"/>
              <w:bottom w:val="single" w:color="auto" w:sz="4" w:space="0"/>
              <w:right w:val="single" w:color="000000" w:sz="4" w:space="0"/>
            </w:tcBorders>
            <w:vAlign w:val="center"/>
          </w:tcPr>
          <w:p w14:paraId="70B62EE5">
            <w:pPr>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1.光收发</w:t>
            </w:r>
            <w:r>
              <w:rPr>
                <w:rFonts w:hint="eastAsia" w:ascii="宋体" w:hAnsi="宋体" w:cs="宋体"/>
                <w:i w:val="0"/>
                <w:iCs w:val="0"/>
                <w:snapToGrid w:val="0"/>
                <w:color w:val="000000"/>
                <w:kern w:val="0"/>
                <w:sz w:val="21"/>
                <w:szCs w:val="21"/>
                <w:u w:val="none"/>
                <w:lang w:val="en-US" w:eastAsia="zh-CN" w:bidi="ar"/>
              </w:rPr>
              <w:t>器</w:t>
            </w:r>
            <w:r>
              <w:rPr>
                <w:rFonts w:hint="eastAsia" w:ascii="宋体" w:hAnsi="宋体" w:eastAsia="宋体" w:cs="宋体"/>
                <w:i w:val="0"/>
                <w:iCs w:val="0"/>
                <w:snapToGrid w:val="0"/>
                <w:color w:val="000000"/>
                <w:kern w:val="0"/>
                <w:sz w:val="21"/>
                <w:szCs w:val="21"/>
                <w:u w:val="none"/>
                <w:lang w:val="en-US" w:eastAsia="zh-CN" w:bidi="ar"/>
              </w:rPr>
              <w:t>10对，机房端机架式安装，设备端不少于4*1000m电口，单模1310波长距离不小于15km</w:t>
            </w:r>
          </w:p>
          <w:p w14:paraId="7CA800AF">
            <w:pPr>
              <w:spacing w:line="240" w:lineRule="auto"/>
              <w:rPr>
                <w:rFonts w:hint="eastAsia" w:ascii="宋体" w:hAnsi="宋体" w:eastAsia="宋体" w:cs="宋体"/>
                <w:i w:val="0"/>
                <w:iCs w:val="0"/>
                <w:snapToGrid w:val="0"/>
                <w:color w:val="000000"/>
                <w:kern w:val="0"/>
                <w:sz w:val="21"/>
                <w:szCs w:val="21"/>
                <w:u w:val="none"/>
                <w:lang w:val="en-US" w:eastAsia="zh-CN" w:bidi="ar"/>
              </w:rPr>
            </w:pPr>
          </w:p>
        </w:tc>
      </w:tr>
      <w:tr w14:paraId="2B8CA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2A34666">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1487" w:type="dxa"/>
            <w:tcBorders>
              <w:top w:val="single" w:color="auto" w:sz="4" w:space="0"/>
              <w:left w:val="nil"/>
              <w:bottom w:val="single" w:color="auto" w:sz="4" w:space="0"/>
              <w:right w:val="single" w:color="000000" w:sz="4" w:space="0"/>
            </w:tcBorders>
            <w:vAlign w:val="center"/>
          </w:tcPr>
          <w:p w14:paraId="65424423">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49106128">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米</w:t>
            </w:r>
          </w:p>
        </w:tc>
        <w:tc>
          <w:tcPr>
            <w:tcW w:w="735" w:type="dxa"/>
            <w:tcBorders>
              <w:top w:val="single" w:color="auto" w:sz="4" w:space="0"/>
              <w:left w:val="nil"/>
              <w:bottom w:val="single" w:color="auto" w:sz="4" w:space="0"/>
              <w:right w:val="single" w:color="000000" w:sz="4" w:space="0"/>
            </w:tcBorders>
            <w:vAlign w:val="center"/>
          </w:tcPr>
          <w:p w14:paraId="2BB61962">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400</w:t>
            </w:r>
          </w:p>
        </w:tc>
        <w:tc>
          <w:tcPr>
            <w:tcW w:w="6254" w:type="dxa"/>
            <w:tcBorders>
              <w:top w:val="single" w:color="auto" w:sz="4" w:space="0"/>
              <w:left w:val="nil"/>
              <w:bottom w:val="single" w:color="auto" w:sz="4" w:space="0"/>
              <w:right w:val="single" w:color="000000" w:sz="4" w:space="0"/>
            </w:tcBorders>
            <w:vAlign w:val="center"/>
          </w:tcPr>
          <w:p w14:paraId="08186182">
            <w:pPr>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1.监控光缆线路</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400m，加铠室外光缆，</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4芯，含挂空安装或挂墙安装，挂墙时需外套护管保护；光缆需要成端并熔接SC尾纤</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2.提供安装40个摄像头所需要的网线、电源线等附属设备，网线、电源线均必须满足国标要求</w:t>
            </w:r>
          </w:p>
        </w:tc>
      </w:tr>
      <w:tr w14:paraId="6787E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2127B1A9">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1487" w:type="dxa"/>
            <w:tcBorders>
              <w:top w:val="single" w:color="auto" w:sz="4" w:space="0"/>
              <w:left w:val="nil"/>
              <w:bottom w:val="single" w:color="auto" w:sz="4" w:space="0"/>
              <w:right w:val="single" w:color="000000" w:sz="4" w:space="0"/>
            </w:tcBorders>
            <w:vAlign w:val="center"/>
          </w:tcPr>
          <w:p w14:paraId="1C499A98">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安全接入交换机</w:t>
            </w:r>
          </w:p>
        </w:tc>
        <w:tc>
          <w:tcPr>
            <w:tcW w:w="750" w:type="dxa"/>
            <w:tcBorders>
              <w:top w:val="single" w:color="auto" w:sz="4" w:space="0"/>
              <w:left w:val="nil"/>
              <w:bottom w:val="single" w:color="auto" w:sz="4" w:space="0"/>
              <w:right w:val="single" w:color="000000" w:sz="4" w:space="0"/>
            </w:tcBorders>
            <w:vAlign w:val="center"/>
          </w:tcPr>
          <w:p w14:paraId="126FC263">
            <w:pPr>
              <w:spacing w:line="240" w:lineRule="auto"/>
              <w:jc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0BA0E565">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1</w:t>
            </w:r>
          </w:p>
        </w:tc>
        <w:tc>
          <w:tcPr>
            <w:tcW w:w="6254" w:type="dxa"/>
            <w:tcBorders>
              <w:top w:val="single" w:color="auto" w:sz="4" w:space="0"/>
              <w:left w:val="nil"/>
              <w:bottom w:val="single" w:color="auto" w:sz="4" w:space="0"/>
              <w:right w:val="single" w:color="000000" w:sz="4" w:space="0"/>
            </w:tcBorders>
            <w:vAlign w:val="center"/>
          </w:tcPr>
          <w:p w14:paraId="46379F2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▲1.交流供电，不少于24口，千兆交换机，</w:t>
            </w:r>
            <w:r>
              <w:rPr>
                <w:rFonts w:hint="eastAsia" w:ascii="宋体" w:hAnsi="宋体" w:cs="宋体"/>
                <w:color w:val="auto"/>
                <w:kern w:val="0"/>
                <w:sz w:val="21"/>
                <w:szCs w:val="21"/>
                <w:highlight w:val="none"/>
                <w:lang w:eastAsia="zh-CN"/>
              </w:rPr>
              <w:t>交换</w:t>
            </w:r>
            <w:r>
              <w:rPr>
                <w:rFonts w:hint="eastAsia" w:ascii="宋体" w:hAnsi="宋体" w:eastAsia="宋体" w:cs="宋体"/>
                <w:color w:val="auto"/>
                <w:kern w:val="0"/>
                <w:sz w:val="21"/>
                <w:szCs w:val="21"/>
                <w:highlight w:val="none"/>
              </w:rPr>
              <w:t>转发率不小于126Mpps ，交换容量不小于：336Gbps/3.36Tbps</w:t>
            </w:r>
          </w:p>
          <w:p w14:paraId="1546DEFB">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2.为保障设备环境适应能力，要求设备支持-10-55℃宽温工作</w:t>
            </w:r>
          </w:p>
          <w:p w14:paraId="4F775D86">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3.支持终端类型识别功能，如接入IP、MAC、终端类型等信息（投标文件提供具备检测资质的第三方检测机构出具的检测报告扫描件进行佐证）</w:t>
            </w:r>
          </w:p>
          <w:p w14:paraId="292AED9F">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4.支持防蠕虫病毒传播功能，对病毒的网络层传播行为进行溯源及阻断，防止内网病毒扩散（投标文件提供</w:t>
            </w:r>
            <w:r>
              <w:rPr>
                <w:rFonts w:hint="eastAsia" w:ascii="宋体" w:hAnsi="宋体" w:cs="宋体"/>
                <w:color w:val="auto"/>
                <w:kern w:val="0"/>
                <w:sz w:val="21"/>
                <w:szCs w:val="21"/>
                <w:highlight w:val="none"/>
                <w:lang w:eastAsia="zh-CN"/>
              </w:rPr>
              <w:t>具</w:t>
            </w:r>
            <w:r>
              <w:rPr>
                <w:rFonts w:hint="eastAsia" w:ascii="宋体" w:hAnsi="宋体" w:eastAsia="宋体" w:cs="宋体"/>
                <w:color w:val="auto"/>
                <w:kern w:val="0"/>
                <w:sz w:val="21"/>
                <w:szCs w:val="21"/>
                <w:highlight w:val="none"/>
              </w:rPr>
              <w:t>备检测资质的第三方检测机构出具的检测报告扫描件进行佐证）</w:t>
            </w:r>
          </w:p>
          <w:p w14:paraId="1CD9460F">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5.支持IP扫描防护、UDP端口扫描防护、TCP端口扫描防护功能（投标文件提供具备检测资质的第三方检测机构出具的检测报告扫描件进行佐证）</w:t>
            </w:r>
          </w:p>
          <w:p w14:paraId="66D1D1D7">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6.支持“肉鸡”防护功能，能对DDos攻击进行溯源及阻断（投标文件提供具备检测资质的第三方检测机构出具的检测报告扫描件进行佐证）</w:t>
            </w:r>
          </w:p>
          <w:p w14:paraId="5993E950">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7.支持仿冒终端识别功能，如IP仿冒、MAC仿冒等（投标文件提供具备检测资质的第三方检测机构出具的检测报告扫描件进行佐证）</w:t>
            </w:r>
          </w:p>
          <w:p w14:paraId="2AB34C1F">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8.支持终端安全防护功能，只允许特定类型的设备接入网络（投标文件提供具备检测资质的第三方检测机构出具的检测报告扫描件进行佐证）</w:t>
            </w:r>
          </w:p>
          <w:p w14:paraId="5FB041F0">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9.保障设备稳定性，要求采用无风扇设计</w:t>
            </w:r>
          </w:p>
        </w:tc>
      </w:tr>
      <w:tr w14:paraId="01F9D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3D70E09F">
            <w:pPr>
              <w:bidi w:val="0"/>
              <w:spacing w:line="240" w:lineRule="auto"/>
              <w:jc w:val="both"/>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sz w:val="21"/>
                <w:szCs w:val="21"/>
              </w:rPr>
              <w:t>会议系统</w:t>
            </w:r>
            <w:r>
              <w:rPr>
                <w:rFonts w:hint="eastAsia" w:ascii="宋体" w:hAnsi="宋体" w:eastAsia="宋体" w:cs="宋体"/>
                <w:b/>
                <w:bCs/>
                <w:sz w:val="21"/>
                <w:szCs w:val="21"/>
                <w:lang w:eastAsia="zh-CN"/>
              </w:rPr>
              <w:t>：</w:t>
            </w:r>
          </w:p>
        </w:tc>
      </w:tr>
      <w:tr w14:paraId="19A95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A2CFE23">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1487" w:type="dxa"/>
            <w:tcBorders>
              <w:top w:val="single" w:color="auto" w:sz="4" w:space="0"/>
              <w:left w:val="nil"/>
              <w:bottom w:val="single" w:color="auto" w:sz="4" w:space="0"/>
              <w:right w:val="single" w:color="000000" w:sz="4" w:space="0"/>
            </w:tcBorders>
            <w:vAlign w:val="center"/>
          </w:tcPr>
          <w:p w14:paraId="5DF308E9">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无线话筒</w:t>
            </w:r>
          </w:p>
        </w:tc>
        <w:tc>
          <w:tcPr>
            <w:tcW w:w="750" w:type="dxa"/>
            <w:tcBorders>
              <w:top w:val="single" w:color="auto" w:sz="4" w:space="0"/>
              <w:left w:val="nil"/>
              <w:bottom w:val="single" w:color="auto" w:sz="4" w:space="0"/>
              <w:right w:val="single" w:color="000000" w:sz="4" w:space="0"/>
            </w:tcBorders>
            <w:vAlign w:val="center"/>
          </w:tcPr>
          <w:p w14:paraId="2AD774F6">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套</w:t>
            </w:r>
          </w:p>
        </w:tc>
        <w:tc>
          <w:tcPr>
            <w:tcW w:w="735" w:type="dxa"/>
            <w:tcBorders>
              <w:top w:val="single" w:color="auto" w:sz="4" w:space="0"/>
              <w:left w:val="nil"/>
              <w:bottom w:val="single" w:color="auto" w:sz="4" w:space="0"/>
              <w:right w:val="single" w:color="000000" w:sz="4" w:space="0"/>
            </w:tcBorders>
            <w:vAlign w:val="center"/>
          </w:tcPr>
          <w:p w14:paraId="4E12B77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71383613">
            <w:pPr>
              <w:keepNext w:val="0"/>
              <w:keepLines w:val="0"/>
              <w:widowControl/>
              <w:suppressLineNumbers w:val="0"/>
              <w:spacing w:line="240" w:lineRule="auto"/>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SA"/>
              </w:rPr>
              <w:t>1.1拖4无线话筒，真分集，调频无线话筒</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2.含发言键及发言指示灯，控制及显示开启/关闭</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3.发射机：调制方式：宽带FM；信道数目等于或大于：50，频率稳定度等于或优于：±0.005%，动态范围等于或优于：100dB，偏移等于或小于：±45kHz，音频频率响应等于或大于：60Hz-16kHz（±3dB），综合信噪比：＞95dB，综合失真：≤0.5%</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4.接收机：S/N信噪比：≥95dB； T.H.D失真：＜0.5%； 频率响应：60Hz -16kHz</w:t>
            </w:r>
          </w:p>
        </w:tc>
      </w:tr>
      <w:tr w14:paraId="7CB87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1DEFD90">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1487" w:type="dxa"/>
            <w:tcBorders>
              <w:top w:val="single" w:color="auto" w:sz="4" w:space="0"/>
              <w:left w:val="nil"/>
              <w:bottom w:val="single" w:color="auto" w:sz="4" w:space="0"/>
              <w:right w:val="single" w:color="000000" w:sz="4" w:space="0"/>
            </w:tcBorders>
            <w:vAlign w:val="center"/>
          </w:tcPr>
          <w:p w14:paraId="401BB6FA">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专业功放</w:t>
            </w:r>
          </w:p>
        </w:tc>
        <w:tc>
          <w:tcPr>
            <w:tcW w:w="750" w:type="dxa"/>
            <w:tcBorders>
              <w:top w:val="single" w:color="auto" w:sz="4" w:space="0"/>
              <w:left w:val="nil"/>
              <w:bottom w:val="single" w:color="auto" w:sz="4" w:space="0"/>
              <w:right w:val="single" w:color="000000" w:sz="4" w:space="0"/>
            </w:tcBorders>
            <w:vAlign w:val="center"/>
          </w:tcPr>
          <w:p w14:paraId="6E65DB3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套</w:t>
            </w:r>
          </w:p>
        </w:tc>
        <w:tc>
          <w:tcPr>
            <w:tcW w:w="735" w:type="dxa"/>
            <w:tcBorders>
              <w:top w:val="single" w:color="auto" w:sz="4" w:space="0"/>
              <w:left w:val="nil"/>
              <w:bottom w:val="single" w:color="auto" w:sz="4" w:space="0"/>
              <w:right w:val="single" w:color="000000" w:sz="4" w:space="0"/>
            </w:tcBorders>
            <w:vAlign w:val="center"/>
          </w:tcPr>
          <w:p w14:paraId="2C8B1B4E">
            <w:pPr>
              <w:spacing w:line="240" w:lineRule="auto"/>
              <w:jc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1EE6D50C">
            <w:pPr>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SA"/>
              </w:rPr>
              <w:t>1.采用智能控制强制散热设计，具有风机噪音小，散热效率高等特点；具有完善可靠的安全保护措施和工作状态指示（短路、过载、直流和过热保护，变压器过热保护）</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2.具有完善的软启动、消波限幅、过温、过压、过流保护功能</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3.具有立体声、并联、桥接三种模式选择，输入灵敏度选择</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4.采用标准XLR+TRS1/4” 复合多功能输入接口，更加方便不同用户需求,智能削峰限幅器，控制功率模块及扬声器系统在安全范围内工作</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5.输出功率：立体声8Ω≥2×300W；立体声4Ω≥2×450W；桥接单声道8Ω≥700W</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6.信噪比：≥103db</w:t>
            </w:r>
            <w:r>
              <w:rPr>
                <w:rFonts w:hint="eastAsia" w:ascii="宋体" w:hAnsi="宋体" w:eastAsia="宋体" w:cs="宋体"/>
                <w:i w:val="0"/>
                <w:iCs w:val="0"/>
                <w:snapToGrid w:val="0"/>
                <w:color w:val="000000"/>
                <w:kern w:val="0"/>
                <w:sz w:val="21"/>
                <w:szCs w:val="21"/>
                <w:u w:val="none"/>
                <w:lang w:val="en-US" w:eastAsia="zh-CN" w:bidi="ar-SA"/>
              </w:rPr>
              <w:br w:type="textWrapping"/>
            </w:r>
            <w:r>
              <w:rPr>
                <w:rFonts w:hint="eastAsia" w:ascii="宋体" w:hAnsi="宋体" w:eastAsia="宋体" w:cs="宋体"/>
                <w:i w:val="0"/>
                <w:iCs w:val="0"/>
                <w:snapToGrid w:val="0"/>
                <w:color w:val="000000"/>
                <w:kern w:val="0"/>
                <w:sz w:val="21"/>
                <w:szCs w:val="21"/>
                <w:u w:val="none"/>
                <w:lang w:val="en-US" w:eastAsia="zh-CN" w:bidi="ar-SA"/>
              </w:rPr>
              <w:t>7.转换速率：≥ 60V/us</w:t>
            </w:r>
          </w:p>
        </w:tc>
      </w:tr>
      <w:tr w14:paraId="7814A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B578619">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1487" w:type="dxa"/>
            <w:tcBorders>
              <w:top w:val="single" w:color="auto" w:sz="4" w:space="0"/>
              <w:left w:val="nil"/>
              <w:bottom w:val="single" w:color="auto" w:sz="4" w:space="0"/>
              <w:right w:val="single" w:color="000000" w:sz="4" w:space="0"/>
            </w:tcBorders>
            <w:vAlign w:val="center"/>
          </w:tcPr>
          <w:p w14:paraId="2B20F921">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反馈抑制器</w:t>
            </w:r>
          </w:p>
        </w:tc>
        <w:tc>
          <w:tcPr>
            <w:tcW w:w="750" w:type="dxa"/>
            <w:tcBorders>
              <w:top w:val="single" w:color="auto" w:sz="4" w:space="0"/>
              <w:left w:val="nil"/>
              <w:bottom w:val="single" w:color="auto" w:sz="4" w:space="0"/>
              <w:right w:val="single" w:color="000000" w:sz="4" w:space="0"/>
            </w:tcBorders>
            <w:vAlign w:val="center"/>
          </w:tcPr>
          <w:p w14:paraId="090D612C">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套</w:t>
            </w:r>
          </w:p>
        </w:tc>
        <w:tc>
          <w:tcPr>
            <w:tcW w:w="735" w:type="dxa"/>
            <w:tcBorders>
              <w:top w:val="single" w:color="auto" w:sz="4" w:space="0"/>
              <w:left w:val="nil"/>
              <w:bottom w:val="single" w:color="auto" w:sz="4" w:space="0"/>
              <w:right w:val="single" w:color="000000" w:sz="4" w:space="0"/>
            </w:tcBorders>
            <w:vAlign w:val="center"/>
          </w:tcPr>
          <w:p w14:paraId="18B71BE8">
            <w:pPr>
              <w:spacing w:line="240" w:lineRule="auto"/>
              <w:jc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5115F8FC">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1.防啸叫系统设备，要求结构简单、安装方便、一键式控制，无需调试；超宽频电路技术，声音保真，无金属尾音，无发飘和发干等现象。数字移频技术，超强防啸叫，可以将话筒有效拾音距离增强到60-80cm</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2.话筒和线路输入移频效果切换开关选择，LCD显示屏显示功能模式切换</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3.线路输入阻抗≥5KΩ；线路输出阻抗≤600Ω</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4.频率响应优于或等于：非移频状态20Hz-20KHz，移频状态100Hz-15KHz</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5.传声增益提升量5-14dB</w:t>
            </w:r>
          </w:p>
        </w:tc>
      </w:tr>
      <w:tr w14:paraId="3C8EA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A0D0891">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1487" w:type="dxa"/>
            <w:tcBorders>
              <w:top w:val="single" w:color="auto" w:sz="4" w:space="0"/>
              <w:left w:val="nil"/>
              <w:bottom w:val="single" w:color="auto" w:sz="4" w:space="0"/>
              <w:right w:val="single" w:color="000000" w:sz="4" w:space="0"/>
            </w:tcBorders>
            <w:vAlign w:val="center"/>
          </w:tcPr>
          <w:p w14:paraId="55E089B6">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数字音频处理器</w:t>
            </w:r>
          </w:p>
        </w:tc>
        <w:tc>
          <w:tcPr>
            <w:tcW w:w="750" w:type="dxa"/>
            <w:tcBorders>
              <w:top w:val="single" w:color="auto" w:sz="4" w:space="0"/>
              <w:left w:val="nil"/>
              <w:bottom w:val="single" w:color="auto" w:sz="4" w:space="0"/>
              <w:right w:val="single" w:color="000000" w:sz="4" w:space="0"/>
            </w:tcBorders>
            <w:vAlign w:val="center"/>
          </w:tcPr>
          <w:p w14:paraId="301454A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套</w:t>
            </w:r>
          </w:p>
        </w:tc>
        <w:tc>
          <w:tcPr>
            <w:tcW w:w="735" w:type="dxa"/>
            <w:tcBorders>
              <w:top w:val="single" w:color="auto" w:sz="4" w:space="0"/>
              <w:left w:val="nil"/>
              <w:bottom w:val="single" w:color="auto" w:sz="4" w:space="0"/>
              <w:right w:val="single" w:color="000000" w:sz="4" w:space="0"/>
            </w:tcBorders>
            <w:vAlign w:val="center"/>
          </w:tcPr>
          <w:p w14:paraId="61C02E01">
            <w:pPr>
              <w:spacing w:line="240" w:lineRule="auto"/>
              <w:jc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39271947">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包含1套中控主机，可定制软件，1套视频音频矩阵及DSP设备</w:t>
            </w:r>
          </w:p>
          <w:p w14:paraId="6175F62B">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3进6出DSP音箱处理器、AD&amp;DA转换器：24bit - 48kHZ</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可提供信号分配、增益控制，均衡、延时和限幅，48kHz采样频率，独立的输入输出指示</w:t>
            </w:r>
          </w:p>
          <w:p w14:paraId="77A547B0">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3.输入增益范围不小于： -40dB to +12dB</w:t>
            </w:r>
          </w:p>
          <w:p w14:paraId="4E9CFB57">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4.四个输入接口-八个输出接口,输出可以分配给任何一个输入、每个输出配有限幅器通过前面板、个人电脑或者MIDI可以进行编程</w:t>
            </w:r>
          </w:p>
          <w:p w14:paraId="04E9883E">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5.失真： &lt;0.01 @ 1KHz，+20dBu、动态范围： &gt;110dB 20Hz - 20KHz 未加权、输出噪音： &lt;-90dBu 未加权</w:t>
            </w:r>
          </w:p>
        </w:tc>
      </w:tr>
      <w:tr w14:paraId="795BE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221FF76">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1487" w:type="dxa"/>
            <w:tcBorders>
              <w:top w:val="single" w:color="auto" w:sz="4" w:space="0"/>
              <w:left w:val="nil"/>
              <w:bottom w:val="single" w:color="auto" w:sz="4" w:space="0"/>
              <w:right w:val="single" w:color="000000" w:sz="4" w:space="0"/>
            </w:tcBorders>
            <w:vAlign w:val="center"/>
          </w:tcPr>
          <w:p w14:paraId="244ACA70">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电源时序器</w:t>
            </w:r>
          </w:p>
        </w:tc>
        <w:tc>
          <w:tcPr>
            <w:tcW w:w="750" w:type="dxa"/>
            <w:tcBorders>
              <w:top w:val="single" w:color="auto" w:sz="4" w:space="0"/>
              <w:left w:val="nil"/>
              <w:bottom w:val="single" w:color="auto" w:sz="4" w:space="0"/>
              <w:right w:val="single" w:color="000000" w:sz="4" w:space="0"/>
            </w:tcBorders>
            <w:vAlign w:val="center"/>
          </w:tcPr>
          <w:p w14:paraId="2BF02D6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套</w:t>
            </w:r>
          </w:p>
        </w:tc>
        <w:tc>
          <w:tcPr>
            <w:tcW w:w="735" w:type="dxa"/>
            <w:tcBorders>
              <w:top w:val="single" w:color="auto" w:sz="4" w:space="0"/>
              <w:left w:val="nil"/>
              <w:bottom w:val="single" w:color="auto" w:sz="4" w:space="0"/>
              <w:right w:val="single" w:color="000000" w:sz="4" w:space="0"/>
            </w:tcBorders>
            <w:vAlign w:val="center"/>
          </w:tcPr>
          <w:p w14:paraId="0C870865">
            <w:pPr>
              <w:spacing w:line="240" w:lineRule="auto"/>
              <w:jc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79E5E10C">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1.8路大功率电源输出，一键控制电源时序动作</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2.可选通电即启和手动功能，适合于音响工程，电视广播系统，电脑网络系统及电力设施等需要按秩序电源分配系统的场合</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3.额定功率</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：3000W</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总容量10A，输出功率：每路插座最大输出电流</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10A，打开时由前级到后级逐个顺序启动</w:t>
            </w:r>
          </w:p>
        </w:tc>
      </w:tr>
      <w:tr w14:paraId="6D8A3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E93099F">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1487" w:type="dxa"/>
            <w:tcBorders>
              <w:top w:val="single" w:color="auto" w:sz="4" w:space="0"/>
              <w:left w:val="nil"/>
              <w:bottom w:val="single" w:color="auto" w:sz="4" w:space="0"/>
              <w:right w:val="single" w:color="000000" w:sz="4" w:space="0"/>
            </w:tcBorders>
            <w:vAlign w:val="center"/>
          </w:tcPr>
          <w:p w14:paraId="46A76AF0">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调音台</w:t>
            </w:r>
          </w:p>
        </w:tc>
        <w:tc>
          <w:tcPr>
            <w:tcW w:w="750" w:type="dxa"/>
            <w:tcBorders>
              <w:top w:val="single" w:color="auto" w:sz="4" w:space="0"/>
              <w:left w:val="nil"/>
              <w:bottom w:val="single" w:color="auto" w:sz="4" w:space="0"/>
              <w:right w:val="single" w:color="000000" w:sz="4" w:space="0"/>
            </w:tcBorders>
            <w:vAlign w:val="center"/>
          </w:tcPr>
          <w:p w14:paraId="6A97F03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套</w:t>
            </w:r>
          </w:p>
        </w:tc>
        <w:tc>
          <w:tcPr>
            <w:tcW w:w="735" w:type="dxa"/>
            <w:tcBorders>
              <w:top w:val="single" w:color="auto" w:sz="4" w:space="0"/>
              <w:left w:val="nil"/>
              <w:bottom w:val="single" w:color="auto" w:sz="4" w:space="0"/>
              <w:right w:val="single" w:color="000000" w:sz="4" w:space="0"/>
            </w:tcBorders>
            <w:vAlign w:val="center"/>
          </w:tcPr>
          <w:p w14:paraId="094434A0">
            <w:pPr>
              <w:spacing w:line="240" w:lineRule="auto"/>
              <w:jc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en-US" w:bidi="ar-SA"/>
              </w:rPr>
              <w:t>1</w:t>
            </w:r>
          </w:p>
        </w:tc>
        <w:tc>
          <w:tcPr>
            <w:tcW w:w="6254" w:type="dxa"/>
            <w:tcBorders>
              <w:top w:val="single" w:color="auto" w:sz="4" w:space="0"/>
              <w:left w:val="nil"/>
              <w:bottom w:val="single" w:color="auto" w:sz="4" w:space="0"/>
              <w:right w:val="single" w:color="000000" w:sz="4" w:space="0"/>
            </w:tcBorders>
            <w:vAlign w:val="center"/>
          </w:tcPr>
          <w:p w14:paraId="60D4C0BF">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▲1.8通道调音台：输入方式：4路话筒卡龙母带USB蓝牙调音台</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2.高中低音调节，话筒48V供电选择，录音输出，2编组输出，2路辅助输出，数码混响</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USB录音放音，每通道有高、中、低3段参量均衡器</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3.备有录音输入输出功能，最大输出电平:</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19dBm(1KHz,THD=0.5%)，剩余噪声：≤-75dB,信噪比：</w:t>
            </w:r>
            <w:r>
              <w:rPr>
                <w:rFonts w:ascii="Arial" w:hAnsi="Arial" w:eastAsia="Arial" w:cs="Arial"/>
                <w:i w:val="0"/>
                <w:iCs w:val="0"/>
                <w:caps w:val="0"/>
                <w:color w:val="333333"/>
                <w:spacing w:val="0"/>
                <w:sz w:val="21"/>
                <w:szCs w:val="21"/>
                <w:shd w:val="clear" w:fill="FFFFFF"/>
              </w:rPr>
              <w:t>&gt;</w:t>
            </w:r>
            <w:r>
              <w:rPr>
                <w:rFonts w:hint="eastAsia" w:ascii="宋体" w:hAnsi="宋体" w:eastAsia="宋体" w:cs="宋体"/>
                <w:i w:val="0"/>
                <w:iCs w:val="0"/>
                <w:snapToGrid w:val="0"/>
                <w:color w:val="000000"/>
                <w:kern w:val="0"/>
                <w:sz w:val="21"/>
                <w:szCs w:val="21"/>
                <w:u w:val="none"/>
                <w:lang w:val="en-US" w:eastAsia="zh-CN" w:bidi="ar"/>
              </w:rPr>
              <w:t>71dB</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耳机输出功率：</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40mw(1KHz,THD=0.5%</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200Ω)</w:t>
            </w:r>
          </w:p>
        </w:tc>
      </w:tr>
      <w:tr w14:paraId="34747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5C045204">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1487" w:type="dxa"/>
            <w:tcBorders>
              <w:top w:val="single" w:color="auto" w:sz="4" w:space="0"/>
              <w:left w:val="nil"/>
              <w:bottom w:val="single" w:color="auto" w:sz="4" w:space="0"/>
              <w:right w:val="single" w:color="000000" w:sz="4" w:space="0"/>
            </w:tcBorders>
            <w:vAlign w:val="center"/>
          </w:tcPr>
          <w:p w14:paraId="6DBBA7E4">
            <w:pPr>
              <w:widowControl w:val="0"/>
              <w:wordWrap/>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显示设备</w:t>
            </w:r>
          </w:p>
        </w:tc>
        <w:tc>
          <w:tcPr>
            <w:tcW w:w="750" w:type="dxa"/>
            <w:tcBorders>
              <w:top w:val="single" w:color="auto" w:sz="4" w:space="0"/>
              <w:left w:val="nil"/>
              <w:bottom w:val="single" w:color="auto" w:sz="4" w:space="0"/>
              <w:right w:val="single" w:color="000000" w:sz="4" w:space="0"/>
            </w:tcBorders>
            <w:vAlign w:val="center"/>
          </w:tcPr>
          <w:p w14:paraId="406635B6">
            <w:pPr>
              <w:bidi w:val="0"/>
              <w:spacing w:line="240" w:lineRule="auto"/>
              <w:jc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sz w:val="21"/>
                <w:szCs w:val="21"/>
                <w:lang w:val="en-US" w:eastAsia="zh-CN"/>
              </w:rPr>
              <w:t>台</w:t>
            </w:r>
          </w:p>
        </w:tc>
        <w:tc>
          <w:tcPr>
            <w:tcW w:w="735" w:type="dxa"/>
            <w:tcBorders>
              <w:top w:val="single" w:color="auto" w:sz="4" w:space="0"/>
              <w:left w:val="nil"/>
              <w:bottom w:val="single" w:color="auto" w:sz="4" w:space="0"/>
              <w:right w:val="single" w:color="000000" w:sz="4" w:space="0"/>
            </w:tcBorders>
            <w:vAlign w:val="center"/>
          </w:tcPr>
          <w:p w14:paraId="62AFFB53">
            <w:pPr>
              <w:widowControl w:val="0"/>
              <w:wordWrap/>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color w:val="auto"/>
                <w:kern w:val="0"/>
                <w:sz w:val="21"/>
                <w:szCs w:val="21"/>
                <w:highlight w:val="none"/>
              </w:rPr>
              <w:t>1</w:t>
            </w:r>
          </w:p>
        </w:tc>
        <w:tc>
          <w:tcPr>
            <w:tcW w:w="6254" w:type="dxa"/>
            <w:tcBorders>
              <w:top w:val="single" w:color="auto" w:sz="4" w:space="0"/>
              <w:left w:val="nil"/>
              <w:bottom w:val="single" w:color="auto" w:sz="4" w:space="0"/>
              <w:right w:val="single" w:color="000000" w:sz="4" w:space="0"/>
            </w:tcBorders>
            <w:vAlign w:val="center"/>
          </w:tcPr>
          <w:p w14:paraId="3503CD18">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▲1.尺寸</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85寸，可挂墙或立放</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2.色域值</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95%，屏幕比例</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16：9</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3.亮度</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400尼特，</w:t>
            </w:r>
            <w:r>
              <w:rPr>
                <w:rFonts w:hint="eastAsia" w:ascii="宋体" w:hAnsi="宋体" w:cs="宋体"/>
                <w:i w:val="0"/>
                <w:iCs w:val="0"/>
                <w:snapToGrid w:val="0"/>
                <w:color w:val="000000"/>
                <w:kern w:val="0"/>
                <w:sz w:val="21"/>
                <w:szCs w:val="21"/>
                <w:u w:val="none"/>
                <w:lang w:val="en-US" w:eastAsia="zh-CN" w:bidi="ar"/>
              </w:rPr>
              <w:t>响应</w:t>
            </w:r>
            <w:r>
              <w:rPr>
                <w:rFonts w:hint="eastAsia" w:ascii="宋体" w:hAnsi="宋体" w:eastAsia="宋体" w:cs="宋体"/>
                <w:i w:val="0"/>
                <w:iCs w:val="0"/>
                <w:snapToGrid w:val="0"/>
                <w:color w:val="000000"/>
                <w:kern w:val="0"/>
                <w:sz w:val="21"/>
                <w:szCs w:val="21"/>
                <w:u w:val="none"/>
                <w:lang w:val="en-US" w:eastAsia="zh-CN" w:bidi="ar"/>
              </w:rPr>
              <w:t>时间</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8.5ms</w:t>
            </w:r>
          </w:p>
        </w:tc>
      </w:tr>
      <w:tr w14:paraId="1D28D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1196CAF">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1487" w:type="dxa"/>
            <w:tcBorders>
              <w:top w:val="single" w:color="auto" w:sz="4" w:space="0"/>
              <w:left w:val="nil"/>
              <w:bottom w:val="single" w:color="auto" w:sz="4" w:space="0"/>
              <w:right w:val="single" w:color="000000" w:sz="4" w:space="0"/>
            </w:tcBorders>
            <w:vAlign w:val="center"/>
          </w:tcPr>
          <w:p w14:paraId="20446D51">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无源扬声器</w:t>
            </w:r>
          </w:p>
        </w:tc>
        <w:tc>
          <w:tcPr>
            <w:tcW w:w="750" w:type="dxa"/>
            <w:tcBorders>
              <w:top w:val="single" w:color="auto" w:sz="4" w:space="0"/>
              <w:left w:val="nil"/>
              <w:bottom w:val="single" w:color="auto" w:sz="4" w:space="0"/>
              <w:right w:val="single" w:color="000000" w:sz="4" w:space="0"/>
            </w:tcBorders>
            <w:vAlign w:val="center"/>
          </w:tcPr>
          <w:p w14:paraId="6F067BB4">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套</w:t>
            </w:r>
          </w:p>
        </w:tc>
        <w:tc>
          <w:tcPr>
            <w:tcW w:w="735" w:type="dxa"/>
            <w:tcBorders>
              <w:top w:val="single" w:color="auto" w:sz="4" w:space="0"/>
              <w:left w:val="nil"/>
              <w:bottom w:val="single" w:color="auto" w:sz="4" w:space="0"/>
              <w:right w:val="single" w:color="000000" w:sz="4" w:space="0"/>
            </w:tcBorders>
            <w:vAlign w:val="center"/>
          </w:tcPr>
          <w:p w14:paraId="1C652C69">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4</w:t>
            </w:r>
          </w:p>
        </w:tc>
        <w:tc>
          <w:tcPr>
            <w:tcW w:w="6254" w:type="dxa"/>
            <w:tcBorders>
              <w:top w:val="single" w:color="auto" w:sz="4" w:space="0"/>
              <w:left w:val="nil"/>
              <w:bottom w:val="single" w:color="auto" w:sz="4" w:space="0"/>
              <w:right w:val="single" w:color="000000" w:sz="4" w:space="0"/>
            </w:tcBorders>
            <w:vAlign w:val="center"/>
          </w:tcPr>
          <w:p w14:paraId="78D9942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▲1.系统类型：</w:t>
            </w:r>
            <w:r>
              <w:rPr>
                <w:rFonts w:hint="eastAsia" w:ascii="宋体" w:hAnsi="宋体" w:eastAsia="宋体" w:cs="宋体"/>
                <w:sz w:val="21"/>
                <w:szCs w:val="21"/>
              </w:rPr>
              <w:t>≥</w:t>
            </w:r>
            <w:r>
              <w:rPr>
                <w:rFonts w:hint="eastAsia" w:ascii="宋体" w:hAnsi="宋体" w:eastAsia="宋体" w:cs="宋体"/>
                <w:i w:val="0"/>
                <w:iCs w:val="0"/>
                <w:snapToGrid w:val="0"/>
                <w:color w:val="000000"/>
                <w:kern w:val="0"/>
                <w:sz w:val="21"/>
                <w:szCs w:val="21"/>
                <w:u w:val="none"/>
                <w:lang w:val="en-US" w:eastAsia="zh-CN" w:bidi="ar"/>
              </w:rPr>
              <w:t>8</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3寸线阵列组合音箱</w:t>
            </w:r>
          </w:p>
          <w:p w14:paraId="52C394B4">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▲2.额定功率</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≥240W</w:t>
            </w:r>
          </w:p>
          <w:p w14:paraId="0D0C7827">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3.峰值功率</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≥960W</w:t>
            </w:r>
          </w:p>
          <w:p w14:paraId="6C947B78">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4.频率范围（－10dB）：60Hz-20KHz</w:t>
            </w:r>
          </w:p>
          <w:p w14:paraId="3E23BFE0">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频5 率响应（±6dB）：75Hz-19KHz</w:t>
            </w:r>
          </w:p>
          <w:p w14:paraId="1D2CE40F">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6.分频模式</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被动分频</w:t>
            </w:r>
          </w:p>
          <w:p w14:paraId="38CC367B">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7.灵敏度（1W/1m）</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93dB</w:t>
            </w:r>
          </w:p>
          <w:p w14:paraId="3AF5BC44">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8.最大声压级（1m）：123dB</w:t>
            </w:r>
          </w:p>
          <w:p w14:paraId="071EEF12">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9.阻抗：4Ω</w:t>
            </w:r>
          </w:p>
          <w:p w14:paraId="3058C6FA">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10.指向角度(H×V）：近场：90°×90°远场：140°×40°</w:t>
            </w:r>
          </w:p>
          <w:p w14:paraId="54C40EC7">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11.低音单元：8×3寸加大钕磁全频单元</w:t>
            </w:r>
          </w:p>
          <w:p w14:paraId="2DD5EABB">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 xml:space="preserve">12.高音单元：1×25芯专业压缩驱动单元 </w:t>
            </w:r>
          </w:p>
          <w:p w14:paraId="0EC3D227">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13.箱体材料/表面处理：多层夹板/</w:t>
            </w:r>
            <w:r>
              <w:rPr>
                <w:rFonts w:hint="eastAsia" w:ascii="宋体" w:hAnsi="宋体" w:cs="宋体"/>
                <w:i w:val="0"/>
                <w:iCs w:val="0"/>
                <w:snapToGrid w:val="0"/>
                <w:color w:val="000000"/>
                <w:kern w:val="0"/>
                <w:sz w:val="21"/>
                <w:szCs w:val="21"/>
                <w:u w:val="none"/>
                <w:lang w:val="en-US" w:eastAsia="zh-CN" w:bidi="ar"/>
              </w:rPr>
              <w:t>哑</w:t>
            </w:r>
            <w:r>
              <w:rPr>
                <w:rFonts w:hint="eastAsia" w:ascii="宋体" w:hAnsi="宋体" w:eastAsia="宋体" w:cs="宋体"/>
                <w:i w:val="0"/>
                <w:iCs w:val="0"/>
                <w:snapToGrid w:val="0"/>
                <w:color w:val="000000"/>
                <w:kern w:val="0"/>
                <w:sz w:val="21"/>
                <w:szCs w:val="21"/>
                <w:u w:val="none"/>
                <w:lang w:val="en-US" w:eastAsia="zh-CN" w:bidi="ar"/>
              </w:rPr>
              <w:t>光黑色点漆</w:t>
            </w:r>
          </w:p>
          <w:p w14:paraId="749A8997">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14.接口：2 x NL4 Speakon，箱体尺寸不大于：（W</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H</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D)：108</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1196</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143</w:t>
            </w:r>
            <w:r>
              <w:rPr>
                <w:rFonts w:hint="eastAsia" w:ascii="宋体" w:hAnsi="宋体" w:cs="宋体"/>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mm</w:t>
            </w:r>
            <w:r>
              <w:rPr>
                <w:rFonts w:hint="eastAsia" w:ascii="宋体" w:hAnsi="宋体" w:cs="宋体"/>
                <w:i w:val="0"/>
                <w:iCs w:val="0"/>
                <w:snapToGrid w:val="0"/>
                <w:color w:val="000000"/>
                <w:kern w:val="0"/>
                <w:sz w:val="21"/>
                <w:szCs w:val="21"/>
                <w:u w:val="none"/>
                <w:lang w:val="en-US" w:eastAsia="zh-CN" w:bidi="ar"/>
              </w:rPr>
              <w:t>）</w:t>
            </w:r>
          </w:p>
        </w:tc>
      </w:tr>
      <w:tr w14:paraId="70A8B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BF60FBF">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1487" w:type="dxa"/>
            <w:tcBorders>
              <w:top w:val="single" w:color="auto" w:sz="4" w:space="0"/>
              <w:left w:val="nil"/>
              <w:bottom w:val="single" w:color="auto" w:sz="4" w:space="0"/>
              <w:right w:val="single" w:color="000000" w:sz="4" w:space="0"/>
            </w:tcBorders>
            <w:vAlign w:val="center"/>
          </w:tcPr>
          <w:p w14:paraId="6E2AA94F">
            <w:pPr>
              <w:widowControl w:val="0"/>
              <w:wordWrap/>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监控屏幕</w:t>
            </w:r>
          </w:p>
        </w:tc>
        <w:tc>
          <w:tcPr>
            <w:tcW w:w="750" w:type="dxa"/>
            <w:tcBorders>
              <w:top w:val="single" w:color="auto" w:sz="4" w:space="0"/>
              <w:left w:val="nil"/>
              <w:bottom w:val="single" w:color="auto" w:sz="4" w:space="0"/>
              <w:right w:val="single" w:color="000000" w:sz="4" w:space="0"/>
            </w:tcBorders>
            <w:vAlign w:val="center"/>
          </w:tcPr>
          <w:p w14:paraId="437F4B2B">
            <w:pPr>
              <w:bidi w:val="0"/>
              <w:spacing w:line="240" w:lineRule="auto"/>
              <w:jc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sz w:val="21"/>
                <w:szCs w:val="21"/>
                <w:lang w:val="en-US" w:eastAsia="zh-CN"/>
              </w:rPr>
              <w:t>台</w:t>
            </w:r>
          </w:p>
        </w:tc>
        <w:tc>
          <w:tcPr>
            <w:tcW w:w="735" w:type="dxa"/>
            <w:tcBorders>
              <w:top w:val="single" w:color="auto" w:sz="4" w:space="0"/>
              <w:left w:val="nil"/>
              <w:bottom w:val="single" w:color="auto" w:sz="4" w:space="0"/>
              <w:right w:val="single" w:color="000000" w:sz="4" w:space="0"/>
            </w:tcBorders>
            <w:vAlign w:val="center"/>
          </w:tcPr>
          <w:p w14:paraId="45A6D734">
            <w:pPr>
              <w:widowControl w:val="0"/>
              <w:wordWrap/>
              <w:adjustRightInd/>
              <w:snapToGrid/>
              <w:spacing w:before="0" w:after="0" w:line="240" w:lineRule="auto"/>
              <w:ind w:left="0" w:leftChars="0" w:right="0" w:rightChars="0" w:firstLine="0" w:firstLine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color w:val="auto"/>
                <w:sz w:val="21"/>
                <w:szCs w:val="21"/>
                <w:highlight w:val="none"/>
                <w:lang w:val="en-US" w:eastAsia="zh-CN"/>
              </w:rPr>
              <w:t>20</w:t>
            </w:r>
          </w:p>
        </w:tc>
        <w:tc>
          <w:tcPr>
            <w:tcW w:w="6254" w:type="dxa"/>
            <w:tcBorders>
              <w:top w:val="single" w:color="auto" w:sz="4" w:space="0"/>
              <w:left w:val="nil"/>
              <w:bottom w:val="single" w:color="auto" w:sz="4" w:space="0"/>
              <w:right w:val="single" w:color="000000" w:sz="4" w:space="0"/>
            </w:tcBorders>
            <w:vAlign w:val="center"/>
          </w:tcPr>
          <w:p w14:paraId="5160F837">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尺寸</w:t>
            </w:r>
            <w:r>
              <w:rPr>
                <w:rFonts w:hint="eastAsia" w:ascii="宋体" w:hAnsi="宋体" w:eastAsia="宋体" w:cs="宋体"/>
                <w:sz w:val="21"/>
                <w:szCs w:val="21"/>
              </w:rPr>
              <w:t>≥</w:t>
            </w:r>
            <w:r>
              <w:rPr>
                <w:rFonts w:hint="eastAsia" w:ascii="宋体" w:hAnsi="宋体" w:eastAsia="宋体" w:cs="宋体"/>
                <w:color w:val="auto"/>
                <w:kern w:val="0"/>
                <w:sz w:val="21"/>
                <w:szCs w:val="21"/>
                <w:highlight w:val="none"/>
              </w:rPr>
              <w:t>70寸，可挂墙或立放</w:t>
            </w:r>
          </w:p>
          <w:p w14:paraId="2015D53C">
            <w:pPr>
              <w:spacing w:line="24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色域值不低于95%，屏幕比例16</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9</w:t>
            </w:r>
          </w:p>
          <w:p w14:paraId="3F415A3B">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亮度不低于400尼特，</w:t>
            </w:r>
            <w:r>
              <w:rPr>
                <w:rFonts w:hint="eastAsia" w:ascii="宋体" w:hAnsi="宋体" w:cs="宋体"/>
                <w:color w:val="auto"/>
                <w:kern w:val="0"/>
                <w:sz w:val="21"/>
                <w:szCs w:val="21"/>
                <w:highlight w:val="none"/>
                <w:lang w:eastAsia="zh-CN"/>
              </w:rPr>
              <w:t>响应</w:t>
            </w:r>
            <w:r>
              <w:rPr>
                <w:rFonts w:hint="eastAsia" w:ascii="宋体" w:hAnsi="宋体" w:eastAsia="宋体" w:cs="宋体"/>
                <w:color w:val="auto"/>
                <w:kern w:val="0"/>
                <w:sz w:val="21"/>
                <w:szCs w:val="21"/>
                <w:highlight w:val="none"/>
              </w:rPr>
              <w:t>时间不低于8.5ms</w:t>
            </w:r>
          </w:p>
        </w:tc>
      </w:tr>
      <w:tr w14:paraId="23808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2CAC3BA6">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1487" w:type="dxa"/>
            <w:tcBorders>
              <w:top w:val="single" w:color="auto" w:sz="4" w:space="0"/>
              <w:left w:val="nil"/>
              <w:bottom w:val="single" w:color="auto" w:sz="4" w:space="0"/>
              <w:right w:val="single" w:color="000000" w:sz="4" w:space="0"/>
            </w:tcBorders>
            <w:vAlign w:val="center"/>
          </w:tcPr>
          <w:p w14:paraId="04C69BB6">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鼓风机</w:t>
            </w:r>
          </w:p>
        </w:tc>
        <w:tc>
          <w:tcPr>
            <w:tcW w:w="750" w:type="dxa"/>
            <w:tcBorders>
              <w:top w:val="single" w:color="auto" w:sz="4" w:space="0"/>
              <w:left w:val="nil"/>
              <w:bottom w:val="single" w:color="auto" w:sz="4" w:space="0"/>
              <w:right w:val="single" w:color="000000" w:sz="4" w:space="0"/>
            </w:tcBorders>
            <w:vAlign w:val="center"/>
          </w:tcPr>
          <w:p w14:paraId="22ED6A74">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26110E75">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en-US" w:bidi="ar-SA"/>
              </w:rPr>
              <w:t>30</w:t>
            </w:r>
          </w:p>
        </w:tc>
        <w:tc>
          <w:tcPr>
            <w:tcW w:w="6254" w:type="dxa"/>
            <w:tcBorders>
              <w:top w:val="single" w:color="auto" w:sz="4" w:space="0"/>
              <w:left w:val="nil"/>
              <w:bottom w:val="single" w:color="auto" w:sz="4" w:space="0"/>
              <w:right w:val="single" w:color="000000" w:sz="4" w:space="0"/>
            </w:tcBorders>
            <w:vAlign w:val="center"/>
          </w:tcPr>
          <w:p w14:paraId="2AABC3A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▲1.外壳材质铝合金，纯铜机芯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2.电压380V，额定功率</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3KW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3.风量</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25m³/min，风压</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2.5KPa</w:t>
            </w:r>
          </w:p>
        </w:tc>
      </w:tr>
      <w:tr w14:paraId="38568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BD56391">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1487" w:type="dxa"/>
            <w:tcBorders>
              <w:top w:val="single" w:color="auto" w:sz="4" w:space="0"/>
              <w:left w:val="nil"/>
              <w:bottom w:val="single" w:color="auto" w:sz="4" w:space="0"/>
              <w:right w:val="single" w:color="000000" w:sz="4" w:space="0"/>
            </w:tcBorders>
            <w:vAlign w:val="center"/>
          </w:tcPr>
          <w:p w14:paraId="4049A0A9">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增氧机</w:t>
            </w:r>
          </w:p>
        </w:tc>
        <w:tc>
          <w:tcPr>
            <w:tcW w:w="750" w:type="dxa"/>
            <w:tcBorders>
              <w:top w:val="single" w:color="auto" w:sz="4" w:space="0"/>
              <w:left w:val="nil"/>
              <w:bottom w:val="single" w:color="auto" w:sz="4" w:space="0"/>
              <w:right w:val="single" w:color="000000" w:sz="4" w:space="0"/>
            </w:tcBorders>
            <w:vAlign w:val="center"/>
          </w:tcPr>
          <w:p w14:paraId="478242D3">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2CEC95C7">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60</w:t>
            </w:r>
          </w:p>
        </w:tc>
        <w:tc>
          <w:tcPr>
            <w:tcW w:w="6254" w:type="dxa"/>
            <w:tcBorders>
              <w:top w:val="single" w:color="auto" w:sz="4" w:space="0"/>
              <w:left w:val="nil"/>
              <w:bottom w:val="single" w:color="auto" w:sz="4" w:space="0"/>
              <w:right w:val="single" w:color="000000" w:sz="4" w:space="0"/>
            </w:tcBorders>
            <w:vAlign w:val="center"/>
          </w:tcPr>
          <w:p w14:paraId="430B1D3F">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▲1.额定功率</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2200W，配30米线，全铜电机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2.免加油、免维护、大浪花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3.转速</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1600r/min</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溶氧量</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3.2-3.6kg/hr</w:t>
            </w:r>
          </w:p>
        </w:tc>
      </w:tr>
      <w:tr w14:paraId="19E38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38921FDD">
            <w:pPr>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潜水泵：</w:t>
            </w:r>
          </w:p>
        </w:tc>
      </w:tr>
      <w:tr w14:paraId="2E4C7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95BFDEE">
            <w:pPr>
              <w:bidi w:val="0"/>
              <w:spacing w:line="240" w:lineRule="auto"/>
              <w:jc w:val="center"/>
              <w:rPr>
                <w:rFonts w:hint="eastAsia" w:ascii="宋体" w:hAnsi="宋体" w:eastAsia="宋体" w:cs="宋体"/>
                <w:color w:val="auto"/>
                <w:kern w:val="0"/>
                <w:sz w:val="21"/>
                <w:szCs w:val="21"/>
                <w:highlight w:val="none"/>
                <w:lang w:val="en-US" w:eastAsia="zh-CN"/>
              </w:rPr>
            </w:pPr>
          </w:p>
          <w:p w14:paraId="65C83B91">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c>
          <w:tcPr>
            <w:tcW w:w="1487" w:type="dxa"/>
            <w:tcBorders>
              <w:top w:val="single" w:color="auto" w:sz="4" w:space="0"/>
              <w:left w:val="nil"/>
              <w:bottom w:val="single" w:color="auto" w:sz="4" w:space="0"/>
              <w:right w:val="single" w:color="000000" w:sz="4" w:space="0"/>
            </w:tcBorders>
            <w:vAlign w:val="center"/>
          </w:tcPr>
          <w:p w14:paraId="1E5CA144">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潜水泵（3寸）</w:t>
            </w:r>
          </w:p>
        </w:tc>
        <w:tc>
          <w:tcPr>
            <w:tcW w:w="750" w:type="dxa"/>
            <w:tcBorders>
              <w:top w:val="single" w:color="auto" w:sz="4" w:space="0"/>
              <w:left w:val="nil"/>
              <w:bottom w:val="single" w:color="auto" w:sz="4" w:space="0"/>
              <w:right w:val="single" w:color="000000" w:sz="4" w:space="0"/>
            </w:tcBorders>
            <w:vAlign w:val="center"/>
          </w:tcPr>
          <w:p w14:paraId="644525F1">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2969BBBA">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20</w:t>
            </w:r>
          </w:p>
        </w:tc>
        <w:tc>
          <w:tcPr>
            <w:tcW w:w="6254" w:type="dxa"/>
            <w:tcBorders>
              <w:top w:val="single" w:color="auto" w:sz="4" w:space="0"/>
              <w:left w:val="nil"/>
              <w:bottom w:val="single" w:color="auto" w:sz="4" w:space="0"/>
              <w:right w:val="single" w:color="000000" w:sz="4" w:space="0"/>
            </w:tcBorders>
            <w:vAlign w:val="center"/>
          </w:tcPr>
          <w:p w14:paraId="1D29D182">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▲1.3寸潜水泵，电压220V/380V，纯铜电机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2.功率</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2200W，流量</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50m³/h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3.转速</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3000r/min，扬程</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12m</w:t>
            </w:r>
          </w:p>
        </w:tc>
      </w:tr>
      <w:tr w14:paraId="2483B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681E853">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w:t>
            </w:r>
          </w:p>
        </w:tc>
        <w:tc>
          <w:tcPr>
            <w:tcW w:w="1487" w:type="dxa"/>
            <w:tcBorders>
              <w:top w:val="single" w:color="auto" w:sz="4" w:space="0"/>
              <w:left w:val="nil"/>
              <w:bottom w:val="single" w:color="auto" w:sz="4" w:space="0"/>
              <w:right w:val="single" w:color="000000" w:sz="4" w:space="0"/>
            </w:tcBorders>
            <w:vAlign w:val="center"/>
          </w:tcPr>
          <w:p w14:paraId="6233FCE1">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潜水泵（4寸）</w:t>
            </w:r>
          </w:p>
        </w:tc>
        <w:tc>
          <w:tcPr>
            <w:tcW w:w="750" w:type="dxa"/>
            <w:tcBorders>
              <w:top w:val="single" w:color="auto" w:sz="4" w:space="0"/>
              <w:left w:val="nil"/>
              <w:bottom w:val="single" w:color="auto" w:sz="4" w:space="0"/>
              <w:right w:val="single" w:color="000000" w:sz="4" w:space="0"/>
            </w:tcBorders>
            <w:vAlign w:val="center"/>
          </w:tcPr>
          <w:p w14:paraId="3093CF1D">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4383E503">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20</w:t>
            </w:r>
          </w:p>
        </w:tc>
        <w:tc>
          <w:tcPr>
            <w:tcW w:w="6254" w:type="dxa"/>
            <w:tcBorders>
              <w:top w:val="single" w:color="auto" w:sz="4" w:space="0"/>
              <w:left w:val="nil"/>
              <w:bottom w:val="single" w:color="auto" w:sz="4" w:space="0"/>
              <w:right w:val="single" w:color="000000" w:sz="4" w:space="0"/>
            </w:tcBorders>
            <w:vAlign w:val="center"/>
          </w:tcPr>
          <w:p w14:paraId="080929E8">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▲1.4寸潜水泵，电压220V/380V，纯铜电机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2.功率</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2200W，流量</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65m³/h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3.转速</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3000r/min，扬程</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8m</w:t>
            </w:r>
          </w:p>
        </w:tc>
      </w:tr>
      <w:tr w14:paraId="35C4B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913D65E">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26</w:t>
            </w:r>
          </w:p>
        </w:tc>
        <w:tc>
          <w:tcPr>
            <w:tcW w:w="1487" w:type="dxa"/>
            <w:tcBorders>
              <w:top w:val="single" w:color="auto" w:sz="4" w:space="0"/>
              <w:left w:val="nil"/>
              <w:bottom w:val="single" w:color="auto" w:sz="4" w:space="0"/>
              <w:right w:val="single" w:color="000000" w:sz="4" w:space="0"/>
            </w:tcBorders>
            <w:vAlign w:val="center"/>
          </w:tcPr>
          <w:p w14:paraId="74DF8C86">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潜水泵（6寸）</w:t>
            </w:r>
          </w:p>
        </w:tc>
        <w:tc>
          <w:tcPr>
            <w:tcW w:w="750" w:type="dxa"/>
            <w:tcBorders>
              <w:top w:val="single" w:color="auto" w:sz="4" w:space="0"/>
              <w:left w:val="nil"/>
              <w:bottom w:val="single" w:color="auto" w:sz="4" w:space="0"/>
              <w:right w:val="single" w:color="000000" w:sz="4" w:space="0"/>
            </w:tcBorders>
            <w:vAlign w:val="center"/>
          </w:tcPr>
          <w:p w14:paraId="3E6B0950">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SA"/>
              </w:rPr>
              <w:t>台</w:t>
            </w:r>
          </w:p>
        </w:tc>
        <w:tc>
          <w:tcPr>
            <w:tcW w:w="735" w:type="dxa"/>
            <w:tcBorders>
              <w:top w:val="single" w:color="auto" w:sz="4" w:space="0"/>
              <w:left w:val="nil"/>
              <w:bottom w:val="single" w:color="auto" w:sz="4" w:space="0"/>
              <w:right w:val="single" w:color="000000" w:sz="4" w:space="0"/>
            </w:tcBorders>
            <w:vAlign w:val="center"/>
          </w:tcPr>
          <w:p w14:paraId="1CF95415">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SA"/>
              </w:rPr>
              <w:t>10</w:t>
            </w:r>
          </w:p>
        </w:tc>
        <w:tc>
          <w:tcPr>
            <w:tcW w:w="6254" w:type="dxa"/>
            <w:tcBorders>
              <w:top w:val="single" w:color="auto" w:sz="4" w:space="0"/>
              <w:left w:val="nil"/>
              <w:bottom w:val="single" w:color="auto" w:sz="4" w:space="0"/>
              <w:right w:val="single" w:color="000000" w:sz="4" w:space="0"/>
            </w:tcBorders>
            <w:vAlign w:val="center"/>
          </w:tcPr>
          <w:p w14:paraId="66B33AF3">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▲1.6寸潜水泵，电压220V/380V，纯铜电机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2.功率</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3000W，流量</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130m³/h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3.转速</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3000r/min，扬程</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11m</w:t>
            </w:r>
          </w:p>
        </w:tc>
      </w:tr>
      <w:tr w14:paraId="1B4C0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52426F95">
            <w:pPr>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抽水软管：</w:t>
            </w:r>
          </w:p>
        </w:tc>
      </w:tr>
      <w:tr w14:paraId="361F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09B30FEC">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27</w:t>
            </w:r>
          </w:p>
        </w:tc>
        <w:tc>
          <w:tcPr>
            <w:tcW w:w="1487" w:type="dxa"/>
            <w:tcBorders>
              <w:top w:val="single" w:color="auto" w:sz="4" w:space="0"/>
              <w:left w:val="nil"/>
              <w:bottom w:val="single" w:color="auto" w:sz="4" w:space="0"/>
              <w:right w:val="single" w:color="000000" w:sz="4" w:space="0"/>
            </w:tcBorders>
            <w:vAlign w:val="center"/>
          </w:tcPr>
          <w:p w14:paraId="08D5E75F">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抽水软管（3寸）</w:t>
            </w:r>
          </w:p>
        </w:tc>
        <w:tc>
          <w:tcPr>
            <w:tcW w:w="750" w:type="dxa"/>
            <w:tcBorders>
              <w:top w:val="single" w:color="auto" w:sz="4" w:space="0"/>
              <w:left w:val="nil"/>
              <w:bottom w:val="single" w:color="auto" w:sz="4" w:space="0"/>
              <w:right w:val="single" w:color="000000" w:sz="4" w:space="0"/>
            </w:tcBorders>
            <w:vAlign w:val="center"/>
          </w:tcPr>
          <w:p w14:paraId="0DB3505B">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捆</w:t>
            </w:r>
          </w:p>
        </w:tc>
        <w:tc>
          <w:tcPr>
            <w:tcW w:w="735" w:type="dxa"/>
            <w:tcBorders>
              <w:top w:val="single" w:color="auto" w:sz="4" w:space="0"/>
              <w:left w:val="nil"/>
              <w:bottom w:val="single" w:color="auto" w:sz="4" w:space="0"/>
              <w:right w:val="single" w:color="000000" w:sz="4" w:space="0"/>
            </w:tcBorders>
            <w:vAlign w:val="center"/>
          </w:tcPr>
          <w:p w14:paraId="376520C6">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15</w:t>
            </w:r>
          </w:p>
        </w:tc>
        <w:tc>
          <w:tcPr>
            <w:tcW w:w="6254" w:type="dxa"/>
            <w:tcBorders>
              <w:top w:val="single" w:color="auto" w:sz="4" w:space="0"/>
              <w:left w:val="nil"/>
              <w:bottom w:val="single" w:color="auto" w:sz="4" w:space="0"/>
              <w:right w:val="single" w:color="000000" w:sz="4" w:space="0"/>
            </w:tcBorders>
            <w:vAlign w:val="center"/>
          </w:tcPr>
          <w:p w14:paraId="0B08CC6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1.3寸编织高压水管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2.长度50米，带接头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3.聚氨酯材料，耐折耐磨</w:t>
            </w:r>
          </w:p>
        </w:tc>
      </w:tr>
      <w:tr w14:paraId="1CC8D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4729F5C">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1487" w:type="dxa"/>
            <w:tcBorders>
              <w:top w:val="single" w:color="auto" w:sz="4" w:space="0"/>
              <w:left w:val="nil"/>
              <w:bottom w:val="single" w:color="auto" w:sz="4" w:space="0"/>
              <w:right w:val="single" w:color="000000" w:sz="4" w:space="0"/>
            </w:tcBorders>
            <w:vAlign w:val="center"/>
          </w:tcPr>
          <w:p w14:paraId="66C6B027">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抽水软管（4寸）</w:t>
            </w:r>
          </w:p>
        </w:tc>
        <w:tc>
          <w:tcPr>
            <w:tcW w:w="750" w:type="dxa"/>
            <w:tcBorders>
              <w:top w:val="single" w:color="auto" w:sz="4" w:space="0"/>
              <w:left w:val="nil"/>
              <w:bottom w:val="single" w:color="auto" w:sz="4" w:space="0"/>
              <w:right w:val="single" w:color="000000" w:sz="4" w:space="0"/>
            </w:tcBorders>
            <w:vAlign w:val="center"/>
          </w:tcPr>
          <w:p w14:paraId="5F781377">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捆</w:t>
            </w:r>
          </w:p>
        </w:tc>
        <w:tc>
          <w:tcPr>
            <w:tcW w:w="735" w:type="dxa"/>
            <w:tcBorders>
              <w:top w:val="single" w:color="auto" w:sz="4" w:space="0"/>
              <w:left w:val="nil"/>
              <w:bottom w:val="single" w:color="auto" w:sz="4" w:space="0"/>
              <w:right w:val="single" w:color="000000" w:sz="4" w:space="0"/>
            </w:tcBorders>
            <w:vAlign w:val="center"/>
          </w:tcPr>
          <w:p w14:paraId="66E3C0D9">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20</w:t>
            </w:r>
          </w:p>
        </w:tc>
        <w:tc>
          <w:tcPr>
            <w:tcW w:w="6254" w:type="dxa"/>
            <w:tcBorders>
              <w:top w:val="single" w:color="auto" w:sz="4" w:space="0"/>
              <w:left w:val="nil"/>
              <w:bottom w:val="single" w:color="auto" w:sz="4" w:space="0"/>
              <w:right w:val="single" w:color="000000" w:sz="4" w:space="0"/>
            </w:tcBorders>
            <w:vAlign w:val="center"/>
          </w:tcPr>
          <w:p w14:paraId="162FFB19">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1.4寸编织高压水管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2.长度50米，带接头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3.聚氨酯材料，耐折耐磨</w:t>
            </w:r>
          </w:p>
        </w:tc>
      </w:tr>
      <w:tr w14:paraId="34F33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CA626A3">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29</w:t>
            </w:r>
          </w:p>
        </w:tc>
        <w:tc>
          <w:tcPr>
            <w:tcW w:w="1487" w:type="dxa"/>
            <w:tcBorders>
              <w:top w:val="single" w:color="auto" w:sz="4" w:space="0"/>
              <w:left w:val="nil"/>
              <w:bottom w:val="single" w:color="auto" w:sz="4" w:space="0"/>
              <w:right w:val="single" w:color="000000" w:sz="4" w:space="0"/>
            </w:tcBorders>
            <w:vAlign w:val="center"/>
          </w:tcPr>
          <w:p w14:paraId="33BA6EC1">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抽水软管（6寸）</w:t>
            </w:r>
          </w:p>
        </w:tc>
        <w:tc>
          <w:tcPr>
            <w:tcW w:w="750" w:type="dxa"/>
            <w:tcBorders>
              <w:top w:val="single" w:color="auto" w:sz="4" w:space="0"/>
              <w:left w:val="nil"/>
              <w:bottom w:val="single" w:color="auto" w:sz="4" w:space="0"/>
              <w:right w:val="single" w:color="000000" w:sz="4" w:space="0"/>
            </w:tcBorders>
            <w:vAlign w:val="center"/>
          </w:tcPr>
          <w:p w14:paraId="3B39C59D">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捆</w:t>
            </w:r>
          </w:p>
        </w:tc>
        <w:tc>
          <w:tcPr>
            <w:tcW w:w="735" w:type="dxa"/>
            <w:tcBorders>
              <w:top w:val="single" w:color="auto" w:sz="4" w:space="0"/>
              <w:left w:val="nil"/>
              <w:bottom w:val="single" w:color="auto" w:sz="4" w:space="0"/>
              <w:right w:val="single" w:color="000000" w:sz="4" w:space="0"/>
            </w:tcBorders>
            <w:vAlign w:val="center"/>
          </w:tcPr>
          <w:p w14:paraId="452A92CF">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15</w:t>
            </w:r>
          </w:p>
        </w:tc>
        <w:tc>
          <w:tcPr>
            <w:tcW w:w="6254" w:type="dxa"/>
            <w:tcBorders>
              <w:top w:val="single" w:color="auto" w:sz="4" w:space="0"/>
              <w:left w:val="nil"/>
              <w:bottom w:val="single" w:color="auto" w:sz="4" w:space="0"/>
              <w:right w:val="single" w:color="000000" w:sz="4" w:space="0"/>
            </w:tcBorders>
            <w:vAlign w:val="center"/>
          </w:tcPr>
          <w:p w14:paraId="6E84E440">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1.6寸编织高压水管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2.长度50米，带接头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3.聚氨酯材料，耐折耐磨</w:t>
            </w:r>
          </w:p>
        </w:tc>
      </w:tr>
      <w:tr w14:paraId="08F29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13E56DD8">
            <w:pPr>
              <w:spacing w:line="240" w:lineRule="auto"/>
              <w:jc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（二）基地智能化管理系统设备</w:t>
            </w:r>
          </w:p>
        </w:tc>
      </w:tr>
      <w:tr w14:paraId="2BC34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46199969">
            <w:pPr>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color w:val="auto"/>
                <w:kern w:val="0"/>
                <w:sz w:val="21"/>
                <w:szCs w:val="21"/>
                <w:highlight w:val="none"/>
                <w:lang w:eastAsia="zh-CN"/>
              </w:rPr>
              <w:t>物联网精准监测和控制系统：</w:t>
            </w:r>
          </w:p>
        </w:tc>
      </w:tr>
      <w:tr w14:paraId="7A2B0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6"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54108F30">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1487" w:type="dxa"/>
            <w:tcBorders>
              <w:top w:val="single" w:color="auto" w:sz="4" w:space="0"/>
              <w:left w:val="nil"/>
              <w:bottom w:val="single" w:color="auto" w:sz="4" w:space="0"/>
              <w:right w:val="single" w:color="000000" w:sz="4" w:space="0"/>
            </w:tcBorders>
            <w:vAlign w:val="center"/>
          </w:tcPr>
          <w:p w14:paraId="2A1D08CE">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物联网精准控制监测系统平台基础软件</w:t>
            </w:r>
          </w:p>
        </w:tc>
        <w:tc>
          <w:tcPr>
            <w:tcW w:w="750" w:type="dxa"/>
            <w:tcBorders>
              <w:top w:val="single" w:color="auto" w:sz="4" w:space="0"/>
              <w:left w:val="nil"/>
              <w:bottom w:val="single" w:color="auto" w:sz="4" w:space="0"/>
              <w:right w:val="single" w:color="000000" w:sz="4" w:space="0"/>
            </w:tcBorders>
            <w:vAlign w:val="center"/>
          </w:tcPr>
          <w:p w14:paraId="56CB1507">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38685EC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6690A4C2">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支持本地平台、云平台双平台访问，可私有化部署（投标文件提供产品生产厂家官方网站对应产品参数的功能截图或软件功能截图或产品其它技术证明材料进行佐证）</w:t>
            </w:r>
          </w:p>
          <w:p w14:paraId="7B1B85D7">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具备多种采集处理能力，平台为可扩展模块，方便后期加入数据采集及处理信息（投标文件提供产品生产厂家官方网站对应产品参数的功能截图或软件功能截图或其它技术证明材料进行佐证）</w:t>
            </w:r>
          </w:p>
          <w:p w14:paraId="4E39EDCF">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具备后期扩展各类处置行为能力，可控制各类开关阀门等</w:t>
            </w:r>
          </w:p>
          <w:p w14:paraId="05B54908">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4</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具备视频接入处置能力，包含局部及全局农作物视频识别、处理、存储</w:t>
            </w:r>
          </w:p>
          <w:p w14:paraId="5AF45039">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5</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具备开放性接口，方便第三方信息接入处理，并能标准输出平台的视频、图像等信息</w:t>
            </w:r>
          </w:p>
        </w:tc>
      </w:tr>
      <w:tr w14:paraId="77A11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4"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A181597">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31</w:t>
            </w:r>
          </w:p>
          <w:p w14:paraId="2CB0697B">
            <w:pPr>
              <w:bidi w:val="0"/>
              <w:spacing w:line="240" w:lineRule="auto"/>
              <w:jc w:val="center"/>
              <w:rPr>
                <w:rFonts w:hint="eastAsia" w:ascii="宋体" w:hAnsi="宋体" w:eastAsia="宋体" w:cs="宋体"/>
                <w:color w:val="auto"/>
                <w:kern w:val="0"/>
                <w:sz w:val="21"/>
                <w:szCs w:val="21"/>
                <w:highlight w:val="none"/>
                <w:lang w:val="en-US" w:eastAsia="zh-CN"/>
              </w:rPr>
            </w:pPr>
          </w:p>
        </w:tc>
        <w:tc>
          <w:tcPr>
            <w:tcW w:w="1487" w:type="dxa"/>
            <w:tcBorders>
              <w:top w:val="single" w:color="auto" w:sz="4" w:space="0"/>
              <w:left w:val="nil"/>
              <w:bottom w:val="single" w:color="auto" w:sz="4" w:space="0"/>
              <w:right w:val="single" w:color="000000" w:sz="4" w:space="0"/>
            </w:tcBorders>
            <w:vAlign w:val="center"/>
          </w:tcPr>
          <w:p w14:paraId="533F61B3">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物联网精准控制监测系统平台功能软件</w:t>
            </w:r>
          </w:p>
        </w:tc>
        <w:tc>
          <w:tcPr>
            <w:tcW w:w="750" w:type="dxa"/>
            <w:tcBorders>
              <w:top w:val="single" w:color="auto" w:sz="4" w:space="0"/>
              <w:left w:val="nil"/>
              <w:bottom w:val="single" w:color="auto" w:sz="4" w:space="0"/>
              <w:right w:val="single" w:color="000000" w:sz="4" w:space="0"/>
            </w:tcBorders>
            <w:vAlign w:val="center"/>
          </w:tcPr>
          <w:p w14:paraId="6F46279F">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2191A92C">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10598E01">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农情采集处理能力（墒情、苗情、虫情、气候灾情等），平台为可扩展模块，方便后期加入数据采集及处理信息（投标文件提供产品生产厂家官方网站对应产品参数的功能截图或软件功能截图或其它技术证明材料进行佐证）</w:t>
            </w:r>
          </w:p>
          <w:p w14:paraId="0BB63123">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农情出处理处置能力，包含农情预警、水肥预约处理、自动处理、人工干预等功能，并具备后期扩展各类处置行为能力（投标文件提供产品生产厂家官方网站对应产品参数的功能截图或软件功能截图或其它技术证明材料进行佐证）</w:t>
            </w:r>
          </w:p>
          <w:p w14:paraId="2725A549">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具备视频接入处置能力，包含局部及全局农作物视频识别、处理、存储</w:t>
            </w:r>
          </w:p>
          <w:p w14:paraId="7032F85E">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4</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大数据处理分析能力，农作物产品库不少于1000种、农作物病虫害库不少于7000种、农业知识不少于70万条（投标文件提供产品生产厂家官方网站对应产品参数的功能截图或软件功能截图或其它技术证明材料进行佐证）</w:t>
            </w:r>
          </w:p>
        </w:tc>
      </w:tr>
      <w:tr w14:paraId="74889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8"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7CBDC77">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32</w:t>
            </w:r>
          </w:p>
        </w:tc>
        <w:tc>
          <w:tcPr>
            <w:tcW w:w="1487" w:type="dxa"/>
            <w:vMerge w:val="restart"/>
            <w:tcBorders>
              <w:top w:val="single" w:color="auto" w:sz="4" w:space="0"/>
              <w:left w:val="nil"/>
              <w:bottom w:val="single" w:color="auto" w:sz="4" w:space="0"/>
              <w:right w:val="single" w:color="000000" w:sz="4" w:space="0"/>
            </w:tcBorders>
            <w:vAlign w:val="center"/>
          </w:tcPr>
          <w:p w14:paraId="51639ABE">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物联网精准监测系统</w:t>
            </w:r>
          </w:p>
        </w:tc>
        <w:tc>
          <w:tcPr>
            <w:tcW w:w="750" w:type="dxa"/>
            <w:tcBorders>
              <w:top w:val="single" w:color="auto" w:sz="4" w:space="0"/>
              <w:left w:val="nil"/>
              <w:bottom w:val="single" w:color="auto" w:sz="4" w:space="0"/>
              <w:right w:val="single" w:color="000000" w:sz="4" w:space="0"/>
            </w:tcBorders>
            <w:vAlign w:val="center"/>
          </w:tcPr>
          <w:p w14:paraId="1DFE1158">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21A06954">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7</w:t>
            </w:r>
          </w:p>
        </w:tc>
        <w:tc>
          <w:tcPr>
            <w:tcW w:w="6254" w:type="dxa"/>
            <w:tcBorders>
              <w:top w:val="single" w:color="auto" w:sz="4" w:space="0"/>
              <w:left w:val="nil"/>
              <w:bottom w:val="single" w:color="auto" w:sz="4" w:space="0"/>
              <w:right w:val="single" w:color="000000" w:sz="4" w:space="0"/>
            </w:tcBorders>
            <w:vAlign w:val="center"/>
          </w:tcPr>
          <w:p w14:paraId="5F66A8FC">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植物生长记录终端：</w:t>
            </w:r>
          </w:p>
          <w:p w14:paraId="76B64345">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CPU ：四核1GDDR3，镜头参数：摄像头不小于500万像素，补光灯：出光角度：90°，功率：不小于12W（投标文件提供产品生产厂家官方网站对应产品参数的功能截图或具备检测资质的第三方检测机构出具的检测报告或其它产品技术证明材料进行佐证）</w:t>
            </w:r>
          </w:p>
          <w:p w14:paraId="3F64E112">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孢子扑捉分析：不锈钢材质，可放玻片365片，显示屏等于或大于10寸超大高清电容触摸屏，拍摄系统不小于500万像素，300倍放大显微成像系统，工作方式：时控、光控、雨控采用安卓7.1操作系统，具有良好的人机交互界面，运行内存2G，整机内存8G（投标文件提供产品生产厂家官方网站对应产品参数的功能截图或具备检测资质的第三方检测机构出具的检测报告或其它产品技术证明材料进行佐证）</w:t>
            </w:r>
          </w:p>
          <w:p w14:paraId="1C405A27">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3.能够实现从载玻片自动加载、载玻片精确定位、粘附介质自定滴定、粘附介质高温融化，病菌孢子采集捕捉、滴定培养液、恒温培养、显微成像、已使用载玻片回收全过程自动化运行</w:t>
            </w:r>
          </w:p>
          <w:p w14:paraId="49E6391B">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4.工作模式可调：自动，手动，定时，断续</w:t>
            </w:r>
          </w:p>
          <w:p w14:paraId="4C767202">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5.设备具有环境温湿度检测功能，散热功能，夜光功能，GPS定位功能，可在地图上查看当前设备参数</w:t>
            </w:r>
          </w:p>
        </w:tc>
      </w:tr>
      <w:tr w14:paraId="0D4A2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3"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504D7EB6">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w:t>
            </w:r>
          </w:p>
        </w:tc>
        <w:tc>
          <w:tcPr>
            <w:tcW w:w="1487" w:type="dxa"/>
            <w:vMerge w:val="continue"/>
            <w:tcBorders>
              <w:top w:val="single" w:color="auto" w:sz="4" w:space="0"/>
              <w:left w:val="nil"/>
              <w:bottom w:val="single" w:color="auto" w:sz="4" w:space="0"/>
              <w:right w:val="single" w:color="000000" w:sz="4" w:space="0"/>
            </w:tcBorders>
            <w:vAlign w:val="center"/>
          </w:tcPr>
          <w:p w14:paraId="793957A7">
            <w:pPr>
              <w:keepNext w:val="0"/>
              <w:keepLines w:val="0"/>
              <w:widowControl/>
              <w:suppressLineNumbers w:val="0"/>
              <w:spacing w:line="240" w:lineRule="auto"/>
              <w:jc w:val="center"/>
              <w:textAlignment w:val="center"/>
              <w:rPr>
                <w:rFonts w:hint="eastAsia" w:ascii="宋体" w:hAnsi="宋体" w:eastAsia="宋体" w:cs="宋体"/>
                <w:sz w:val="21"/>
                <w:szCs w:val="21"/>
              </w:rPr>
            </w:pPr>
          </w:p>
        </w:tc>
        <w:tc>
          <w:tcPr>
            <w:tcW w:w="750" w:type="dxa"/>
            <w:tcBorders>
              <w:top w:val="single" w:color="auto" w:sz="4" w:space="0"/>
              <w:left w:val="nil"/>
              <w:bottom w:val="single" w:color="auto" w:sz="4" w:space="0"/>
              <w:right w:val="single" w:color="000000" w:sz="4" w:space="0"/>
            </w:tcBorders>
            <w:vAlign w:val="center"/>
          </w:tcPr>
          <w:p w14:paraId="5017B76C">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14EDA38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7</w:t>
            </w:r>
          </w:p>
        </w:tc>
        <w:tc>
          <w:tcPr>
            <w:tcW w:w="6254" w:type="dxa"/>
            <w:tcBorders>
              <w:top w:val="single" w:color="auto" w:sz="4" w:space="0"/>
              <w:left w:val="nil"/>
              <w:bottom w:val="single" w:color="auto" w:sz="4" w:space="0"/>
              <w:right w:val="single" w:color="000000" w:sz="4" w:space="0"/>
            </w:tcBorders>
            <w:vAlign w:val="center"/>
          </w:tcPr>
          <w:p w14:paraId="17C59986">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▲土壤墒情监测站，可监测</w:t>
            </w:r>
            <w:r>
              <w:rPr>
                <w:rFonts w:hint="eastAsia" w:ascii="宋体" w:hAnsi="宋体" w:cs="宋体"/>
                <w:i w:val="0"/>
                <w:iCs w:val="0"/>
                <w:color w:val="000000"/>
                <w:kern w:val="0"/>
                <w:sz w:val="21"/>
                <w:szCs w:val="21"/>
                <w:u w:val="none"/>
                <w:lang w:val="en-US" w:eastAsia="zh-CN" w:bidi="ar"/>
              </w:rPr>
              <w:t>土壤</w:t>
            </w:r>
            <w:r>
              <w:rPr>
                <w:rFonts w:hint="eastAsia" w:ascii="宋体" w:hAnsi="宋体" w:eastAsia="宋体" w:cs="宋体"/>
                <w:i w:val="0"/>
                <w:iCs w:val="0"/>
                <w:color w:val="000000"/>
                <w:kern w:val="0"/>
                <w:sz w:val="21"/>
                <w:szCs w:val="21"/>
                <w:u w:val="none"/>
                <w:lang w:val="en-US" w:eastAsia="zh-CN" w:bidi="ar"/>
              </w:rPr>
              <w:t>水分：0~100%；土壤温度：-20~100℃，准确度土壤水分：±3%；土壤温度：±0.4℃，采集间隔1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240分钟之间可设定</w:t>
            </w:r>
          </w:p>
        </w:tc>
      </w:tr>
      <w:tr w14:paraId="777E0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4"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5FB9F57C">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w:t>
            </w:r>
          </w:p>
        </w:tc>
        <w:tc>
          <w:tcPr>
            <w:tcW w:w="1487" w:type="dxa"/>
            <w:vMerge w:val="continue"/>
            <w:tcBorders>
              <w:top w:val="single" w:color="auto" w:sz="4" w:space="0"/>
              <w:left w:val="nil"/>
              <w:bottom w:val="single" w:color="auto" w:sz="4" w:space="0"/>
              <w:right w:val="single" w:color="000000" w:sz="4" w:space="0"/>
            </w:tcBorders>
            <w:vAlign w:val="center"/>
          </w:tcPr>
          <w:p w14:paraId="19DDE3A6">
            <w:pPr>
              <w:bidi w:val="0"/>
              <w:spacing w:line="240" w:lineRule="auto"/>
              <w:jc w:val="center"/>
              <w:rPr>
                <w:rFonts w:hint="eastAsia" w:ascii="宋体" w:hAnsi="宋体" w:eastAsia="宋体" w:cs="宋体"/>
                <w:sz w:val="21"/>
                <w:szCs w:val="21"/>
              </w:rPr>
            </w:pPr>
          </w:p>
        </w:tc>
        <w:tc>
          <w:tcPr>
            <w:tcW w:w="750" w:type="dxa"/>
            <w:tcBorders>
              <w:top w:val="single" w:color="auto" w:sz="4" w:space="0"/>
              <w:left w:val="nil"/>
              <w:bottom w:val="single" w:color="auto" w:sz="4" w:space="0"/>
              <w:right w:val="single" w:color="000000" w:sz="4" w:space="0"/>
            </w:tcBorders>
            <w:vAlign w:val="center"/>
          </w:tcPr>
          <w:p w14:paraId="6277051E">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2916606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7</w:t>
            </w:r>
          </w:p>
        </w:tc>
        <w:tc>
          <w:tcPr>
            <w:tcW w:w="6254" w:type="dxa"/>
            <w:tcBorders>
              <w:top w:val="single" w:color="auto" w:sz="4" w:space="0"/>
              <w:left w:val="nil"/>
              <w:bottom w:val="single" w:color="auto" w:sz="4" w:space="0"/>
              <w:right w:val="single" w:color="000000" w:sz="4" w:space="0"/>
            </w:tcBorders>
            <w:vAlign w:val="center"/>
          </w:tcPr>
          <w:p w14:paraId="19A891D8">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▲虫情监测：诱虫光源20W， 黑色灯管（主波长 365nm），整灯小时功耗≤20W，采用远红外杀虫技术杀，虫通道尺寸不小于68×68mm，工作15分钟内到达85±5℃，工作方式可采用时控、光控、雨控</w:t>
            </w:r>
          </w:p>
        </w:tc>
      </w:tr>
      <w:tr w14:paraId="17412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3"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85D5B72">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w:t>
            </w:r>
          </w:p>
        </w:tc>
        <w:tc>
          <w:tcPr>
            <w:tcW w:w="1487" w:type="dxa"/>
            <w:vMerge w:val="continue"/>
            <w:tcBorders>
              <w:top w:val="single" w:color="auto" w:sz="4" w:space="0"/>
              <w:left w:val="nil"/>
              <w:bottom w:val="single" w:color="auto" w:sz="4" w:space="0"/>
              <w:right w:val="single" w:color="000000" w:sz="4" w:space="0"/>
            </w:tcBorders>
            <w:vAlign w:val="center"/>
          </w:tcPr>
          <w:p w14:paraId="5766037C">
            <w:pPr>
              <w:bidi w:val="0"/>
              <w:spacing w:line="240" w:lineRule="auto"/>
              <w:jc w:val="center"/>
              <w:rPr>
                <w:rFonts w:hint="eastAsia" w:ascii="宋体" w:hAnsi="宋体" w:eastAsia="宋体" w:cs="宋体"/>
                <w:sz w:val="21"/>
                <w:szCs w:val="21"/>
              </w:rPr>
            </w:pPr>
          </w:p>
        </w:tc>
        <w:tc>
          <w:tcPr>
            <w:tcW w:w="750" w:type="dxa"/>
            <w:tcBorders>
              <w:top w:val="single" w:color="auto" w:sz="4" w:space="0"/>
              <w:left w:val="nil"/>
              <w:bottom w:val="single" w:color="auto" w:sz="4" w:space="0"/>
              <w:right w:val="single" w:color="000000" w:sz="4" w:space="0"/>
            </w:tcBorders>
            <w:vAlign w:val="center"/>
          </w:tcPr>
          <w:p w14:paraId="3D33E88F">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3FE9A929">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7</w:t>
            </w:r>
          </w:p>
        </w:tc>
        <w:tc>
          <w:tcPr>
            <w:tcW w:w="6254" w:type="dxa"/>
            <w:tcBorders>
              <w:top w:val="single" w:color="auto" w:sz="4" w:space="0"/>
              <w:left w:val="nil"/>
              <w:bottom w:val="single" w:color="auto" w:sz="4" w:space="0"/>
              <w:right w:val="single" w:color="000000" w:sz="4" w:space="0"/>
            </w:tcBorders>
            <w:vAlign w:val="center"/>
          </w:tcPr>
          <w:p w14:paraId="21DB5348">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▲1.病虫害智慧识别终端：智能识别≥100种病害，智能标注自动抓取病害图片，并标注病害所在位置，内置麦克风，内置Micro SD/Micro SDHC/Micro SDXC插槽；最大支持256GB4</w:t>
            </w:r>
          </w:p>
        </w:tc>
      </w:tr>
      <w:tr w14:paraId="55086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054BD0C">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36</w:t>
            </w:r>
          </w:p>
        </w:tc>
        <w:tc>
          <w:tcPr>
            <w:tcW w:w="1487" w:type="dxa"/>
            <w:tcBorders>
              <w:top w:val="single" w:color="auto" w:sz="4" w:space="0"/>
              <w:left w:val="nil"/>
              <w:bottom w:val="single" w:color="auto" w:sz="4" w:space="0"/>
              <w:right w:val="single" w:color="000000" w:sz="4" w:space="0"/>
            </w:tcBorders>
            <w:vAlign w:val="center"/>
          </w:tcPr>
          <w:p w14:paraId="6254D30B">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物联网精准控制系统</w:t>
            </w:r>
          </w:p>
        </w:tc>
        <w:tc>
          <w:tcPr>
            <w:tcW w:w="750" w:type="dxa"/>
            <w:tcBorders>
              <w:top w:val="single" w:color="auto" w:sz="4" w:space="0"/>
              <w:left w:val="nil"/>
              <w:bottom w:val="single" w:color="auto" w:sz="4" w:space="0"/>
              <w:right w:val="single" w:color="000000" w:sz="4" w:space="0"/>
            </w:tcBorders>
            <w:vAlign w:val="center"/>
          </w:tcPr>
          <w:p w14:paraId="11ED95AB">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0D741F8B">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7</w:t>
            </w:r>
          </w:p>
        </w:tc>
        <w:tc>
          <w:tcPr>
            <w:tcW w:w="6254" w:type="dxa"/>
            <w:tcBorders>
              <w:top w:val="single" w:color="auto" w:sz="4" w:space="0"/>
              <w:left w:val="nil"/>
              <w:bottom w:val="single" w:color="auto" w:sz="4" w:space="0"/>
              <w:right w:val="single" w:color="000000" w:sz="4" w:space="0"/>
            </w:tcBorders>
            <w:vAlign w:val="center"/>
          </w:tcPr>
          <w:p w14:paraId="5FFCDE66">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频振式杀虫灯，诱虫：采用新型的LED诱虫灯，采用365nm波段灯光提高诱虫效果。杀虫：采用风吸设备，最高转速2600RPM，风量可达87CFM提高害虫的灭杀率。电池：使用高功率的12V12AH锂电池，续航能力强。太阳能：使用高转化率18V30W多晶硅太阳能板；太阳能和杀虫灯一体式安装。适应多种安装环境：可以使用配套立杆进行安装，可以搭配箱体后部支架进行壁挂式安装，还可以搭配支架顶部挂钩进行吊顶安装（投标文件提供产品生产厂家官方网站对应产品参数的功能截图或具备检测资质的第三方检测机构出具的检测报告或其它产品技术证明材料进行佐证）</w:t>
            </w:r>
          </w:p>
          <w:p w14:paraId="66B4A458">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灌溉控制系统，控制通道不小四通道</w:t>
            </w:r>
          </w:p>
          <w:p w14:paraId="63C5FA0F">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防晒棚自动控制系统：面积不小于100平方米，开合时间小于等于10分钟，驱动电机</w:t>
            </w:r>
            <w:r>
              <w:rPr>
                <w:rFonts w:hint="eastAsia" w:ascii="宋体" w:hAnsi="宋体" w:cs="宋体"/>
                <w:sz w:val="21"/>
                <w:szCs w:val="21"/>
                <w:lang w:eastAsia="zh-CN"/>
              </w:rPr>
              <w:t>大于或</w:t>
            </w:r>
            <w:r>
              <w:rPr>
                <w:rFonts w:hint="eastAsia" w:ascii="宋体" w:hAnsi="宋体" w:eastAsia="宋体" w:cs="宋体"/>
                <w:sz w:val="21"/>
                <w:szCs w:val="21"/>
                <w:lang w:eastAsia="zh-CN"/>
              </w:rPr>
              <w:t>等于20W</w:t>
            </w:r>
          </w:p>
          <w:p w14:paraId="462A2E82">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4</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智能喷淋浇水控制：不少于20个喷淋头，单头喷淋面积不少于20平方米，不小于3级水量调节，可选用定时、条件控制、人工控制等</w:t>
            </w:r>
          </w:p>
        </w:tc>
      </w:tr>
      <w:tr w14:paraId="63DFD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7"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D0E914F">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37</w:t>
            </w:r>
          </w:p>
        </w:tc>
        <w:tc>
          <w:tcPr>
            <w:tcW w:w="1487" w:type="dxa"/>
            <w:tcBorders>
              <w:top w:val="single" w:color="auto" w:sz="4" w:space="0"/>
              <w:left w:val="nil"/>
              <w:bottom w:val="single" w:color="auto" w:sz="4" w:space="0"/>
              <w:right w:val="single" w:color="000000" w:sz="4" w:space="0"/>
            </w:tcBorders>
            <w:vAlign w:val="center"/>
          </w:tcPr>
          <w:p w14:paraId="244AFC5A">
            <w:pPr>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物联网精准控制机房</w:t>
            </w:r>
          </w:p>
        </w:tc>
        <w:tc>
          <w:tcPr>
            <w:tcW w:w="750" w:type="dxa"/>
            <w:tcBorders>
              <w:top w:val="single" w:color="auto" w:sz="4" w:space="0"/>
              <w:left w:val="nil"/>
              <w:bottom w:val="single" w:color="auto" w:sz="4" w:space="0"/>
              <w:right w:val="single" w:color="000000" w:sz="4" w:space="0"/>
            </w:tcBorders>
            <w:vAlign w:val="center"/>
          </w:tcPr>
          <w:p w14:paraId="76E38EFD">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7FA6EEBD">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FF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02C47B3D">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一体化综合柜，配备精密空调1台：不小于12.5KW，后备能源1套：不小于10KVA，配电模块不小于12路，具备动环监控系统，可采用平板电脑PAD控制</w:t>
            </w:r>
          </w:p>
          <w:p w14:paraId="43F96FC9">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所投一体化综合柜里精密空调应具备低负载除湿能力，可以实现最低10%的IT负载下的稳定除湿功能，降低高湿环境下数据中心低载运行的IT设备结露风险</w:t>
            </w:r>
          </w:p>
          <w:p w14:paraId="61BF28C8">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所投一体化综合柜里带加热加湿功能的精密空调应采用PTC电加热器，作低温热补偿用，提高系统可靠性，加热器功率不小于3kW</w:t>
            </w:r>
          </w:p>
          <w:p w14:paraId="6809771A">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动环系统不少于1个水浸传感器12个温度传感器、1个烟感传感器，1套视频监控POE/SD卡-存储时间不小于7天</w:t>
            </w:r>
          </w:p>
          <w:p w14:paraId="550C946F">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整个模块机房系统不少于</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个机柜，颜色黑色，具备冷通道设计，前面板为玻璃面板，可方便观察设备运行情况</w:t>
            </w:r>
          </w:p>
        </w:tc>
      </w:tr>
      <w:tr w14:paraId="38843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44DE2B73">
            <w:pPr>
              <w:bidi w:val="0"/>
              <w:spacing w:line="240" w:lineRule="auto"/>
              <w:jc w:val="left"/>
              <w:rPr>
                <w:rFonts w:hint="eastAsia" w:ascii="宋体" w:hAnsi="宋体" w:eastAsia="宋体" w:cs="宋体"/>
                <w:b/>
                <w:bCs/>
                <w:i w:val="0"/>
                <w:iCs w:val="0"/>
                <w:snapToGrid w:val="0"/>
                <w:color w:val="000000"/>
                <w:kern w:val="0"/>
                <w:sz w:val="21"/>
                <w:szCs w:val="21"/>
                <w:u w:val="none"/>
                <w:lang w:val="en-US" w:eastAsia="zh-CN" w:bidi="ar"/>
              </w:rPr>
            </w:pPr>
            <w:r>
              <w:rPr>
                <w:rFonts w:hint="eastAsia" w:ascii="宋体" w:hAnsi="宋体" w:eastAsia="宋体" w:cs="宋体"/>
                <w:b/>
                <w:bCs/>
                <w:color w:val="auto"/>
                <w:kern w:val="0"/>
                <w:sz w:val="21"/>
                <w:szCs w:val="21"/>
                <w:highlight w:val="none"/>
              </w:rPr>
              <w:t>视频监控系统</w:t>
            </w:r>
            <w:r>
              <w:rPr>
                <w:rFonts w:hint="eastAsia" w:ascii="宋体" w:hAnsi="宋体" w:eastAsia="宋体" w:cs="宋体"/>
                <w:b/>
                <w:bCs/>
                <w:color w:val="auto"/>
                <w:kern w:val="0"/>
                <w:sz w:val="21"/>
                <w:szCs w:val="21"/>
                <w:highlight w:val="none"/>
                <w:lang w:eastAsia="zh-CN"/>
              </w:rPr>
              <w:t>：</w:t>
            </w:r>
          </w:p>
        </w:tc>
      </w:tr>
      <w:tr w14:paraId="7069C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52C228E">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38</w:t>
            </w:r>
          </w:p>
        </w:tc>
        <w:tc>
          <w:tcPr>
            <w:tcW w:w="1487" w:type="dxa"/>
            <w:tcBorders>
              <w:top w:val="single" w:color="auto" w:sz="4" w:space="0"/>
              <w:left w:val="nil"/>
              <w:bottom w:val="single" w:color="auto" w:sz="4" w:space="0"/>
              <w:right w:val="single" w:color="000000" w:sz="4" w:space="0"/>
            </w:tcBorders>
            <w:vAlign w:val="center"/>
          </w:tcPr>
          <w:p w14:paraId="6783E71B">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视频硬盘存储设备</w:t>
            </w:r>
          </w:p>
        </w:tc>
        <w:tc>
          <w:tcPr>
            <w:tcW w:w="750" w:type="dxa"/>
            <w:tcBorders>
              <w:top w:val="single" w:color="auto" w:sz="4" w:space="0"/>
              <w:left w:val="nil"/>
              <w:bottom w:val="single" w:color="auto" w:sz="4" w:space="0"/>
              <w:right w:val="single" w:color="000000" w:sz="4" w:space="0"/>
            </w:tcBorders>
            <w:vAlign w:val="center"/>
          </w:tcPr>
          <w:p w14:paraId="2DED4BE1">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4AE9165E">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4F63DDA0">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▲1.支持WEB、本地GUI界面操作，支持不小于128路网络视频接入，网络性能</w:t>
            </w:r>
            <w:r>
              <w:rPr>
                <w:rFonts w:hint="eastAsia" w:ascii="宋体" w:hAnsi="宋体" w:eastAsia="宋体" w:cs="宋体"/>
                <w:sz w:val="21"/>
                <w:szCs w:val="21"/>
              </w:rPr>
              <w:t>≥</w:t>
            </w:r>
            <w:r>
              <w:rPr>
                <w:rFonts w:hint="eastAsia" w:ascii="宋体" w:hAnsi="宋体" w:eastAsia="宋体" w:cs="宋体"/>
                <w:sz w:val="21"/>
                <w:szCs w:val="21"/>
                <w:lang w:eastAsia="zh-CN"/>
              </w:rPr>
              <w:t>384Mbps接入、</w:t>
            </w:r>
            <w:r>
              <w:rPr>
                <w:rFonts w:hint="eastAsia" w:ascii="宋体" w:hAnsi="宋体" w:eastAsia="宋体" w:cs="宋体"/>
                <w:sz w:val="21"/>
                <w:szCs w:val="21"/>
              </w:rPr>
              <w:t>≥</w:t>
            </w:r>
            <w:r>
              <w:rPr>
                <w:rFonts w:hint="eastAsia" w:ascii="宋体" w:hAnsi="宋体" w:eastAsia="宋体" w:cs="宋体"/>
                <w:sz w:val="21"/>
                <w:szCs w:val="21"/>
                <w:lang w:eastAsia="zh-CN"/>
              </w:rPr>
              <w:t>384Mbps储存、</w:t>
            </w:r>
            <w:r>
              <w:rPr>
                <w:rFonts w:hint="eastAsia" w:ascii="宋体" w:hAnsi="宋体" w:eastAsia="宋体" w:cs="宋体"/>
                <w:sz w:val="21"/>
                <w:szCs w:val="21"/>
              </w:rPr>
              <w:t>≥</w:t>
            </w:r>
            <w:r>
              <w:rPr>
                <w:rFonts w:hint="eastAsia" w:ascii="宋体" w:hAnsi="宋体" w:eastAsia="宋体" w:cs="宋体"/>
                <w:sz w:val="21"/>
                <w:szCs w:val="21"/>
                <w:lang w:eastAsia="zh-CN"/>
              </w:rPr>
              <w:t>384Mbps转发</w:t>
            </w:r>
          </w:p>
          <w:p w14:paraId="61FAEE1F">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2.不少于24个存储盘位，整体配置存储空间不少于200T，具备云端远程访问能力，支持冗余备份功能。</w:t>
            </w:r>
          </w:p>
          <w:p w14:paraId="5B876106">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3.不少一个HDMI接口、2个VGA接口、2个RJ45网络接口、1个USB2.0接口、2个USB3.0接口、1个RS232接口、1个RS485接口、1个eSata接口；具有1路音频输入接口、2路音频输出接口，9个SATA接口，16个报警输入接口、6个报警输出接口、2个DV12V输出接口</w:t>
            </w:r>
          </w:p>
          <w:p w14:paraId="14128F69">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4.可同时正放或倒放16路H.265或H.264编码1920X1080P分辨率的视频图像；或者16路H.265或H.264编码、2560×1440分辨率的视频图像；或8路H.265或H.264编码、4096×2160分辨率的视频图像；或2路H.265或H.264编码、8192×3840分辨率的视频图像（投标文件提供产品生产厂家官方网站对应产品参数的功能截图或具备检测资质的第三方检测机构出具的检测报告或产品其它技术证明材料进行佐证）</w:t>
            </w:r>
          </w:p>
          <w:p w14:paraId="68775A86">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5.支持接入带有火情检测、冷点检测、热点检测、温度/温差检测、打电话检测、吸烟检测、烟雾检测报警功能的网络摄像机，当触发报警时，可联动录像、抓拍并保存图片、弹出报警画面、声音警告、上传中心、发送邮件、触发报警输出，并按通道、时间、类型检5、索报警图片，录像搜索结果支持图片和列表2种展现形式（投标文件提供产品生产厂家官方网站对应产品参数的功能截图或具备检测资质的第三方检测机构出具的检测报告或产品其它技术证明材料进行佐证）</w:t>
            </w:r>
          </w:p>
          <w:p w14:paraId="2FC19FE7">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6.可自适应接入H.265、H.264、MPEG4、MJPE、SmartH.264、SmartH.265、SVAC编码格式的网络视频并解码支持2路分辨率为8192×3840、帧率为25fps或5路分辨率为4000×3000、帧率为25fps或8路分辨率为4096×2160、帧率为25fps或16路分辨率为2560×1440、帧率为30fps或32路分辨率为1920*1080、帧率为30fps的视频（投标文件提供产品生产厂家官方网站对应产品参数的功能截图或具备检测资质的第三方检测机构出具的检测报告或产品其它技术证明材料进行佐证）</w:t>
            </w:r>
          </w:p>
        </w:tc>
      </w:tr>
      <w:tr w14:paraId="36BB8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3285E013">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39</w:t>
            </w:r>
          </w:p>
        </w:tc>
        <w:tc>
          <w:tcPr>
            <w:tcW w:w="1487" w:type="dxa"/>
            <w:tcBorders>
              <w:top w:val="single" w:color="auto" w:sz="4" w:space="0"/>
              <w:left w:val="nil"/>
              <w:bottom w:val="single" w:color="auto" w:sz="4" w:space="0"/>
              <w:right w:val="single" w:color="000000" w:sz="4" w:space="0"/>
            </w:tcBorders>
            <w:vAlign w:val="center"/>
          </w:tcPr>
          <w:p w14:paraId="215A5AE2">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固定摄像头</w:t>
            </w:r>
          </w:p>
        </w:tc>
        <w:tc>
          <w:tcPr>
            <w:tcW w:w="750" w:type="dxa"/>
            <w:tcBorders>
              <w:top w:val="single" w:color="auto" w:sz="4" w:space="0"/>
              <w:left w:val="nil"/>
              <w:bottom w:val="single" w:color="auto" w:sz="4" w:space="0"/>
              <w:right w:val="single" w:color="000000" w:sz="4" w:space="0"/>
            </w:tcBorders>
            <w:vAlign w:val="center"/>
          </w:tcPr>
          <w:p w14:paraId="79600163">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2EB63E74">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49</w:t>
            </w:r>
          </w:p>
        </w:tc>
        <w:tc>
          <w:tcPr>
            <w:tcW w:w="6254" w:type="dxa"/>
            <w:tcBorders>
              <w:top w:val="single" w:color="auto" w:sz="4" w:space="0"/>
              <w:left w:val="nil"/>
              <w:bottom w:val="single" w:color="auto" w:sz="4" w:space="0"/>
              <w:right w:val="single" w:color="000000" w:sz="4" w:space="0"/>
            </w:tcBorders>
            <w:vAlign w:val="center"/>
          </w:tcPr>
          <w:p w14:paraId="407AEDC8">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▲1.传感器：</w:t>
            </w:r>
            <w:r>
              <w:rPr>
                <w:rFonts w:hint="eastAsia" w:ascii="宋体" w:hAnsi="宋体" w:eastAsia="宋体" w:cs="宋体"/>
                <w:sz w:val="21"/>
                <w:szCs w:val="21"/>
              </w:rPr>
              <w:t>≥</w:t>
            </w:r>
            <w:r>
              <w:rPr>
                <w:rFonts w:hint="eastAsia" w:ascii="宋体" w:hAnsi="宋体" w:eastAsia="宋体" w:cs="宋体"/>
                <w:sz w:val="21"/>
                <w:szCs w:val="21"/>
                <w:lang w:eastAsia="zh-CN"/>
              </w:rPr>
              <w:t>1/2.7英寸CMOS，≥400万像素；最大分辨率2688×1520，最低照度：0.002lux（彩色模式）；0.0002lux（黑白模式）；0lux（补光灯开启），最大补光距离：50m（红外视频监控距离）20m（暖光视频监控距离）2m（暖光人脸检测距离）</w:t>
            </w:r>
          </w:p>
          <w:p w14:paraId="3CF0B0F1">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2.智能编码：H.264:支持；H.265:支持；AI编码：H.264:支持（压缩率≥25%）；H.265:支持（压缩率≥25%）。视场角：水平：≥102°；垂直：≥54°；对角：≥121°，通用行为分析：物品遗留；物品搬移、支持热度图</w:t>
            </w:r>
          </w:p>
          <w:p w14:paraId="40B42C97">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3.设备角落亮度均匀性（corners）：≥85%，四边亮度均匀性（sides）：≥90%</w:t>
            </w:r>
          </w:p>
          <w:p w14:paraId="29ABAFC4">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4.设备支持自动防闪烁功能，开启该功能后,可以消除闪烁条纹。设备具有精准搜索功能，开启后可检测分析画面中人体各类特征后形成结构化数据上传后端</w:t>
            </w:r>
          </w:p>
          <w:p w14:paraId="23DAE909">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5.支持在web界面中设置车牌指定位号匹配规则，当检测到的号牌匹配该规则时,联动报警事件，设备支持一键诊断网络工况、运行工况；支持网络抓包、运行日志导出</w:t>
            </w:r>
          </w:p>
          <w:p w14:paraId="5B90309E">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6.可通过IE浏览器在视频图像上叠加最多32行字符，字符可选择项包括通道名称、时间、地理位置；可设置字体颜色、背景和设置字符大小为64×64、48×48、32×32、16×16、自适应5档，字体边缘部分可根据字体颜色进行反色，支持文字左右对齐，可设置叠加位置，字符叠加字库支持矢量类型（投标文件提供产品生产厂家官方网站对应产品参数的功能截图或具备检测资质的第三方检测机构出具的检测报告或产品其它技术证明材料进行佐证）</w:t>
            </w:r>
          </w:p>
        </w:tc>
      </w:tr>
      <w:tr w14:paraId="64D9E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6E02956">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40</w:t>
            </w:r>
          </w:p>
        </w:tc>
        <w:tc>
          <w:tcPr>
            <w:tcW w:w="1487" w:type="dxa"/>
            <w:tcBorders>
              <w:top w:val="single" w:color="auto" w:sz="4" w:space="0"/>
              <w:left w:val="nil"/>
              <w:bottom w:val="single" w:color="auto" w:sz="4" w:space="0"/>
              <w:right w:val="single" w:color="000000" w:sz="4" w:space="0"/>
            </w:tcBorders>
            <w:vAlign w:val="center"/>
          </w:tcPr>
          <w:p w14:paraId="3BAE99C8">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云台摄像头</w:t>
            </w:r>
          </w:p>
        </w:tc>
        <w:tc>
          <w:tcPr>
            <w:tcW w:w="750" w:type="dxa"/>
            <w:tcBorders>
              <w:top w:val="single" w:color="auto" w:sz="4" w:space="0"/>
              <w:left w:val="nil"/>
              <w:bottom w:val="single" w:color="auto" w:sz="4" w:space="0"/>
              <w:right w:val="single" w:color="000000" w:sz="4" w:space="0"/>
            </w:tcBorders>
            <w:vAlign w:val="center"/>
          </w:tcPr>
          <w:p w14:paraId="36058781">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6CA8587C">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305FCC4D">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▲1.同时具备全景和细节摄像头，</w:t>
            </w:r>
            <w:r>
              <w:rPr>
                <w:rFonts w:hint="eastAsia" w:ascii="宋体" w:hAnsi="宋体" w:eastAsia="宋体" w:cs="宋体"/>
                <w:sz w:val="21"/>
                <w:szCs w:val="21"/>
              </w:rPr>
              <w:t>≥</w:t>
            </w:r>
            <w:r>
              <w:rPr>
                <w:rFonts w:hint="eastAsia" w:ascii="宋体" w:hAnsi="宋体" w:eastAsia="宋体" w:cs="宋体"/>
                <w:sz w:val="21"/>
                <w:szCs w:val="21"/>
                <w:lang w:eastAsia="zh-CN"/>
              </w:rPr>
              <w:t>400万像素1/1.8英寸CMOS 传感器，内置GPU芯片，支持深度学习算法，有效提升检测准确率，细节相机支持25倍光学变倍，16倍数字变倍</w:t>
            </w:r>
          </w:p>
          <w:p w14:paraId="1DC42D88">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2.支持对镜头前盖玻璃加热，当环境温度达到预设值时，可自动开启镜头前盖玻璃加热功能，去除玻璃上的冰状和水状附着物（投标文件提供产品生产厂家官方网站对应产品参数的功能截图或具备检测资质的第三方检测机构出具的检测报告或产品其它技术证明材料进行佐证）</w:t>
            </w:r>
          </w:p>
          <w:p w14:paraId="4FF76353">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3.设备支持全景摄像机与细节摄像机互为180°夹角监控。</w:t>
            </w:r>
          </w:p>
          <w:p w14:paraId="00D51F00">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4.联动态：开启联动跟踪和视频结构化功能后，细节摄像机可对全景摄像机监控范围内出现的行人、机动车、非机动车进行检测和抓拍，并在IE浏览器上显示行人、机动车、非机动车属性；独立态：开启视频结构化功能后，全景摄像机和细节摄像机可分别对监控画面中出现的行人、机动车、非机动车进行检测和抓拍；并在IE浏览器上显示行人、机动车、非机动车属性</w:t>
            </w:r>
          </w:p>
          <w:p w14:paraId="018952A4">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5.智能切换检验：支持快速智能切换，当更换智能模式时设备不重启，新智能使能后即可生效</w:t>
            </w:r>
          </w:p>
          <w:p w14:paraId="6F4620D1">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6.水平范围：0°～320°垂直范围：-20°～90°（投标文件提供产品生产厂家官方网站对应产品参数的功能截图或具备检测资质的第三方检测机构出具的检测报告或产品其它技术证明材料进行佐证）</w:t>
            </w:r>
          </w:p>
          <w:p w14:paraId="116A89CF">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7.全景通道可进行周界检测并联动细节通道跟踪目标。</w:t>
            </w:r>
          </w:p>
          <w:p w14:paraId="0FAB0EE0">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8.全景摄像机内置不少于4颗白光灯，细节摄像机内置不少于6颗补光灯，分别是4颗红外灯和2颗白光灯</w:t>
            </w:r>
          </w:p>
          <w:p w14:paraId="6E071188">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9.支持人脸识别，全景摄像机和细节摄像机可分别对监控画面中出现的人脸进行检测和抓拍；并在IE浏览器上显示人脸抓拍图像、人脸属性和人脸比对百分比结果</w:t>
            </w:r>
          </w:p>
        </w:tc>
      </w:tr>
      <w:tr w14:paraId="28E1A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C052CEA">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r>
              <w:rPr>
                <w:rFonts w:hint="eastAsia" w:ascii="宋体" w:hAnsi="宋体" w:cs="宋体"/>
                <w:color w:val="auto"/>
                <w:kern w:val="0"/>
                <w:sz w:val="21"/>
                <w:szCs w:val="21"/>
                <w:highlight w:val="none"/>
                <w:lang w:val="en-US" w:eastAsia="zh-CN"/>
              </w:rPr>
              <w:t>1</w:t>
            </w:r>
          </w:p>
        </w:tc>
        <w:tc>
          <w:tcPr>
            <w:tcW w:w="1487" w:type="dxa"/>
            <w:tcBorders>
              <w:top w:val="single" w:color="auto" w:sz="4" w:space="0"/>
              <w:left w:val="nil"/>
              <w:bottom w:val="single" w:color="auto" w:sz="4" w:space="0"/>
              <w:right w:val="single" w:color="000000" w:sz="4" w:space="0"/>
            </w:tcBorders>
            <w:vAlign w:val="center"/>
          </w:tcPr>
          <w:p w14:paraId="35FE3D82">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2A153CF0">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根</w:t>
            </w:r>
          </w:p>
        </w:tc>
        <w:tc>
          <w:tcPr>
            <w:tcW w:w="735" w:type="dxa"/>
            <w:tcBorders>
              <w:top w:val="single" w:color="auto" w:sz="4" w:space="0"/>
              <w:left w:val="nil"/>
              <w:bottom w:val="single" w:color="auto" w:sz="4" w:space="0"/>
              <w:right w:val="single" w:color="000000" w:sz="4" w:space="0"/>
            </w:tcBorders>
            <w:vAlign w:val="center"/>
          </w:tcPr>
          <w:p w14:paraId="2C72E257">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10</w:t>
            </w:r>
          </w:p>
        </w:tc>
        <w:tc>
          <w:tcPr>
            <w:tcW w:w="6254" w:type="dxa"/>
            <w:tcBorders>
              <w:top w:val="single" w:color="auto" w:sz="4" w:space="0"/>
              <w:left w:val="nil"/>
              <w:bottom w:val="single" w:color="auto" w:sz="4" w:space="0"/>
              <w:right w:val="single" w:color="000000" w:sz="4" w:space="0"/>
            </w:tcBorders>
            <w:vAlign w:val="center"/>
          </w:tcPr>
          <w:p w14:paraId="7E27DA33">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1</w:t>
            </w:r>
            <w:r>
              <w:rPr>
                <w:rFonts w:hint="eastAsia" w:ascii="宋体" w:hAnsi="宋体" w:cs="宋体"/>
                <w:sz w:val="21"/>
                <w:szCs w:val="21"/>
                <w:lang w:val="en-US" w:eastAsia="zh-CN"/>
              </w:rPr>
              <w:t>.</w:t>
            </w:r>
            <w:r>
              <w:rPr>
                <w:rFonts w:hint="eastAsia" w:ascii="宋体" w:hAnsi="宋体" w:eastAsia="宋体" w:cs="宋体"/>
                <w:sz w:val="21"/>
                <w:szCs w:val="21"/>
                <w:lang w:eastAsia="zh-CN"/>
              </w:rPr>
              <w:t>室外立杆按需求配置，高度大于等于2.5M，采用地笼水泥浇灌，配备防雷针</w:t>
            </w:r>
          </w:p>
        </w:tc>
      </w:tr>
      <w:tr w14:paraId="33482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2B67C3E7">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r>
              <w:rPr>
                <w:rFonts w:hint="eastAsia" w:ascii="宋体" w:hAnsi="宋体" w:cs="宋体"/>
                <w:color w:val="auto"/>
                <w:kern w:val="0"/>
                <w:sz w:val="21"/>
                <w:szCs w:val="21"/>
                <w:highlight w:val="none"/>
                <w:lang w:val="en-US" w:eastAsia="zh-CN"/>
              </w:rPr>
              <w:t>2</w:t>
            </w:r>
          </w:p>
        </w:tc>
        <w:tc>
          <w:tcPr>
            <w:tcW w:w="1487" w:type="dxa"/>
            <w:tcBorders>
              <w:top w:val="single" w:color="auto" w:sz="4" w:space="0"/>
              <w:left w:val="nil"/>
              <w:bottom w:val="single" w:color="auto" w:sz="4" w:space="0"/>
              <w:right w:val="single" w:color="000000" w:sz="4" w:space="0"/>
            </w:tcBorders>
            <w:vAlign w:val="center"/>
          </w:tcPr>
          <w:p w14:paraId="06C1FD98">
            <w:pPr>
              <w:bidi w:val="0"/>
              <w:spacing w:line="240" w:lineRule="auto"/>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75E7910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468C999E">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50</w:t>
            </w:r>
          </w:p>
        </w:tc>
        <w:tc>
          <w:tcPr>
            <w:tcW w:w="6254" w:type="dxa"/>
            <w:tcBorders>
              <w:top w:val="single" w:color="auto" w:sz="4" w:space="0"/>
              <w:left w:val="nil"/>
              <w:bottom w:val="single" w:color="auto" w:sz="4" w:space="0"/>
              <w:right w:val="single" w:color="000000" w:sz="4" w:space="0"/>
            </w:tcBorders>
            <w:vAlign w:val="center"/>
          </w:tcPr>
          <w:p w14:paraId="4C98C99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1.监控室外挂箱：不锈钢材质，可选抱箍或挂墙安装；尺寸不小于20cm*20cm*5cm，内置防雷插线板，按实际需求配置数量</w:t>
            </w:r>
          </w:p>
        </w:tc>
      </w:tr>
      <w:tr w14:paraId="0919C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9DE77CF">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r>
              <w:rPr>
                <w:rFonts w:hint="eastAsia" w:ascii="宋体" w:hAnsi="宋体" w:cs="宋体"/>
                <w:color w:val="auto"/>
                <w:kern w:val="0"/>
                <w:sz w:val="21"/>
                <w:szCs w:val="21"/>
                <w:highlight w:val="none"/>
                <w:lang w:val="en-US" w:eastAsia="zh-CN"/>
              </w:rPr>
              <w:t>3</w:t>
            </w:r>
          </w:p>
        </w:tc>
        <w:tc>
          <w:tcPr>
            <w:tcW w:w="1487" w:type="dxa"/>
            <w:tcBorders>
              <w:top w:val="single" w:color="auto" w:sz="4" w:space="0"/>
              <w:left w:val="nil"/>
              <w:bottom w:val="single" w:color="auto" w:sz="4" w:space="0"/>
              <w:right w:val="single" w:color="000000" w:sz="4" w:space="0"/>
            </w:tcBorders>
            <w:vAlign w:val="center"/>
          </w:tcPr>
          <w:p w14:paraId="43CFDE34">
            <w:pPr>
              <w:bidi w:val="0"/>
              <w:spacing w:line="240" w:lineRule="auto"/>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3D15B1D4">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57B255B8">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20</w:t>
            </w:r>
          </w:p>
        </w:tc>
        <w:tc>
          <w:tcPr>
            <w:tcW w:w="6254" w:type="dxa"/>
            <w:tcBorders>
              <w:top w:val="single" w:color="auto" w:sz="4" w:space="0"/>
              <w:left w:val="nil"/>
              <w:bottom w:val="single" w:color="auto" w:sz="4" w:space="0"/>
              <w:right w:val="single" w:color="000000" w:sz="4" w:space="0"/>
            </w:tcBorders>
            <w:vAlign w:val="center"/>
          </w:tcPr>
          <w:p w14:paraId="617089C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1.光收发器20对，机房端机架式安装，设备端不少于4*1000M电口，单模1310波长距离不小于15KM</w:t>
            </w:r>
          </w:p>
        </w:tc>
      </w:tr>
      <w:tr w14:paraId="5B866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9344E7D">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r>
              <w:rPr>
                <w:rFonts w:hint="eastAsia" w:ascii="宋体" w:hAnsi="宋体" w:cs="宋体"/>
                <w:color w:val="auto"/>
                <w:kern w:val="0"/>
                <w:sz w:val="21"/>
                <w:szCs w:val="21"/>
                <w:highlight w:val="none"/>
                <w:lang w:val="en-US" w:eastAsia="zh-CN"/>
              </w:rPr>
              <w:t>4</w:t>
            </w:r>
          </w:p>
        </w:tc>
        <w:tc>
          <w:tcPr>
            <w:tcW w:w="1487" w:type="dxa"/>
            <w:tcBorders>
              <w:top w:val="single" w:color="auto" w:sz="4" w:space="0"/>
              <w:left w:val="nil"/>
              <w:bottom w:val="single" w:color="auto" w:sz="4" w:space="0"/>
              <w:right w:val="single" w:color="000000" w:sz="4" w:space="0"/>
            </w:tcBorders>
            <w:vAlign w:val="center"/>
          </w:tcPr>
          <w:p w14:paraId="0D6FA63D">
            <w:pPr>
              <w:bidi w:val="0"/>
              <w:spacing w:line="240" w:lineRule="auto"/>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5178CEEF">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米</w:t>
            </w:r>
          </w:p>
        </w:tc>
        <w:tc>
          <w:tcPr>
            <w:tcW w:w="735" w:type="dxa"/>
            <w:tcBorders>
              <w:top w:val="single" w:color="auto" w:sz="4" w:space="0"/>
              <w:left w:val="nil"/>
              <w:bottom w:val="single" w:color="auto" w:sz="4" w:space="0"/>
              <w:right w:val="single" w:color="000000" w:sz="4" w:space="0"/>
            </w:tcBorders>
            <w:vAlign w:val="center"/>
          </w:tcPr>
          <w:p w14:paraId="2C0882FE">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2500</w:t>
            </w:r>
          </w:p>
        </w:tc>
        <w:tc>
          <w:tcPr>
            <w:tcW w:w="6254" w:type="dxa"/>
            <w:tcBorders>
              <w:top w:val="single" w:color="auto" w:sz="4" w:space="0"/>
              <w:left w:val="nil"/>
              <w:bottom w:val="single" w:color="auto" w:sz="4" w:space="0"/>
              <w:right w:val="single" w:color="000000" w:sz="4" w:space="0"/>
            </w:tcBorders>
            <w:vAlign w:val="center"/>
          </w:tcPr>
          <w:p w14:paraId="6CCC563A">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1.监控光缆线路及施工，加铠室外光缆，不小于4芯，含挂空安装或挂墙安装，挂墙时需外套护管保护；光缆需要成端并熔接SC尾纤</w:t>
            </w:r>
          </w:p>
        </w:tc>
      </w:tr>
      <w:tr w14:paraId="48F62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03789C95">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r>
              <w:rPr>
                <w:rFonts w:hint="eastAsia" w:ascii="宋体" w:hAnsi="宋体" w:cs="宋体"/>
                <w:color w:val="auto"/>
                <w:kern w:val="0"/>
                <w:sz w:val="21"/>
                <w:szCs w:val="21"/>
                <w:highlight w:val="none"/>
                <w:lang w:val="en-US" w:eastAsia="zh-CN"/>
              </w:rPr>
              <w:t>4</w:t>
            </w:r>
          </w:p>
        </w:tc>
        <w:tc>
          <w:tcPr>
            <w:tcW w:w="1487" w:type="dxa"/>
            <w:tcBorders>
              <w:top w:val="single" w:color="auto" w:sz="4" w:space="0"/>
              <w:left w:val="nil"/>
              <w:bottom w:val="single" w:color="auto" w:sz="4" w:space="0"/>
              <w:right w:val="single" w:color="000000" w:sz="4" w:space="0"/>
            </w:tcBorders>
            <w:vAlign w:val="center"/>
          </w:tcPr>
          <w:p w14:paraId="2D4A4690">
            <w:pPr>
              <w:bidi w:val="0"/>
              <w:spacing w:line="240" w:lineRule="auto"/>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监控机房、配套光缆及附属设备</w:t>
            </w:r>
          </w:p>
        </w:tc>
        <w:tc>
          <w:tcPr>
            <w:tcW w:w="750" w:type="dxa"/>
            <w:tcBorders>
              <w:top w:val="single" w:color="auto" w:sz="4" w:space="0"/>
              <w:left w:val="nil"/>
              <w:bottom w:val="single" w:color="auto" w:sz="4" w:space="0"/>
              <w:right w:val="single" w:color="000000" w:sz="4" w:space="0"/>
            </w:tcBorders>
            <w:vAlign w:val="center"/>
          </w:tcPr>
          <w:p w14:paraId="40902684">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个</w:t>
            </w:r>
          </w:p>
        </w:tc>
        <w:tc>
          <w:tcPr>
            <w:tcW w:w="735" w:type="dxa"/>
            <w:tcBorders>
              <w:top w:val="single" w:color="auto" w:sz="4" w:space="0"/>
              <w:left w:val="nil"/>
              <w:bottom w:val="single" w:color="auto" w:sz="4" w:space="0"/>
              <w:right w:val="single" w:color="000000" w:sz="4" w:space="0"/>
            </w:tcBorders>
            <w:vAlign w:val="center"/>
          </w:tcPr>
          <w:p w14:paraId="628A53AC">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50</w:t>
            </w:r>
          </w:p>
        </w:tc>
        <w:tc>
          <w:tcPr>
            <w:tcW w:w="6254" w:type="dxa"/>
            <w:tcBorders>
              <w:top w:val="single" w:color="auto" w:sz="4" w:space="0"/>
              <w:left w:val="nil"/>
              <w:bottom w:val="single" w:color="auto" w:sz="4" w:space="0"/>
              <w:right w:val="single" w:color="000000" w:sz="4" w:space="0"/>
            </w:tcBorders>
            <w:vAlign w:val="center"/>
          </w:tcPr>
          <w:p w14:paraId="05ABB124">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1.监控摄像头网线及安装调试，6类网线，防雷安装。</w:t>
            </w:r>
          </w:p>
        </w:tc>
      </w:tr>
      <w:tr w14:paraId="792FC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9D9A720">
            <w:pPr>
              <w:bidi w:val="0"/>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r>
              <w:rPr>
                <w:rFonts w:hint="eastAsia" w:ascii="宋体" w:hAnsi="宋体" w:cs="宋体"/>
                <w:color w:val="auto"/>
                <w:kern w:val="0"/>
                <w:sz w:val="21"/>
                <w:szCs w:val="21"/>
                <w:highlight w:val="none"/>
                <w:lang w:val="en-US" w:eastAsia="zh-CN"/>
              </w:rPr>
              <w:t>5</w:t>
            </w:r>
          </w:p>
        </w:tc>
        <w:tc>
          <w:tcPr>
            <w:tcW w:w="1487" w:type="dxa"/>
            <w:tcBorders>
              <w:top w:val="single" w:color="auto" w:sz="4" w:space="0"/>
              <w:left w:val="nil"/>
              <w:bottom w:val="single" w:color="auto" w:sz="4" w:space="0"/>
              <w:right w:val="single" w:color="000000" w:sz="4" w:space="0"/>
            </w:tcBorders>
            <w:vAlign w:val="center"/>
          </w:tcPr>
          <w:p w14:paraId="2A0A7099">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安全接入交换机</w:t>
            </w:r>
          </w:p>
        </w:tc>
        <w:tc>
          <w:tcPr>
            <w:tcW w:w="750" w:type="dxa"/>
            <w:tcBorders>
              <w:top w:val="single" w:color="auto" w:sz="4" w:space="0"/>
              <w:left w:val="nil"/>
              <w:bottom w:val="single" w:color="auto" w:sz="4" w:space="0"/>
              <w:right w:val="single" w:color="000000" w:sz="4" w:space="0"/>
            </w:tcBorders>
            <w:vAlign w:val="center"/>
          </w:tcPr>
          <w:p w14:paraId="1990CFBC">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5E96CD76">
            <w:pPr>
              <w:wordWrap/>
              <w:adjustRightInd/>
              <w:snapToGrid/>
              <w:spacing w:before="0" w:after="0" w:line="240" w:lineRule="auto"/>
              <w:ind w:left="0" w:leftChars="0" w:right="0" w:rightChars="0"/>
              <w:jc w:val="center"/>
              <w:textAlignment w:val="auto"/>
              <w:outlineLvl w:val="9"/>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3B13BBD7">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▲1.交流供电，不少于24口，千兆交换机，交包转发率不小于126Mpps，交换容量不小于：336Gbps/3.36Tbps</w:t>
            </w:r>
          </w:p>
          <w:p w14:paraId="6DC0462B">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2.为保障设备环境适应能力，要求设备支持-10-55℃宽温工作</w:t>
            </w:r>
          </w:p>
          <w:p w14:paraId="4E4EBCA3">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3.支持终端类型识别功能，如接入IP、MAC、终端类型等信息（投标文件提供具备检测资质的第三方检测机构出具的检测报告扫描件进行佐证）</w:t>
            </w:r>
          </w:p>
          <w:p w14:paraId="086B411E">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4.支持防蠕虫病毒传播功能，对病毒的网络层传播行为进行溯源及阻断，防止内网病毒扩散（投标文件提供产品备检测资质的第三方检测机构出具的检测报告扫描件进行佐证）</w:t>
            </w:r>
          </w:p>
          <w:p w14:paraId="06098E13">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5.支持IP扫描防护、UDP端口扫描防护、TCP端口扫描防护功能（投标文件提供具备检测资质的第三方检测机构出具的检测报告扫描件进行佐证）</w:t>
            </w:r>
          </w:p>
          <w:p w14:paraId="2E782F40">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6.支持“肉鸡”防护功能，能对DDos攻击进行溯源及阻断（投标文件提供具备检测资质的第三方检测机构出具的检测报告扫描件进行佐证）</w:t>
            </w:r>
          </w:p>
          <w:p w14:paraId="41568A41">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7.支持仿冒终端识别功能，如IP仿冒、MAC仿冒等（投标文件提供具备检测资质的第三方检测机构出具的检测报告扫描件进行佐证）</w:t>
            </w:r>
          </w:p>
          <w:p w14:paraId="2DEF5EED">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8.支持终端安全防护功能，只允许特定类型的设备接入网络（投标文件提供具备检测资质的第三方检测机构出具的检测报告扫描件进行佐证）</w:t>
            </w:r>
          </w:p>
          <w:p w14:paraId="5E6EA989">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9.保障设备稳定性，要求采用无风扇设计</w:t>
            </w:r>
          </w:p>
        </w:tc>
      </w:tr>
      <w:tr w14:paraId="4933E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23CF3EFD">
            <w:pPr>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园区信息化管理系统：</w:t>
            </w:r>
          </w:p>
        </w:tc>
      </w:tr>
      <w:tr w14:paraId="512AB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0E0C1E6">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46</w:t>
            </w:r>
          </w:p>
        </w:tc>
        <w:tc>
          <w:tcPr>
            <w:tcW w:w="1487" w:type="dxa"/>
            <w:tcBorders>
              <w:top w:val="single" w:color="auto" w:sz="4" w:space="0"/>
              <w:left w:val="nil"/>
              <w:bottom w:val="single" w:color="auto" w:sz="4" w:space="0"/>
              <w:right w:val="single" w:color="000000" w:sz="4" w:space="0"/>
            </w:tcBorders>
            <w:vAlign w:val="center"/>
          </w:tcPr>
          <w:p w14:paraId="6CC85BA9">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系统核心交换机</w:t>
            </w:r>
          </w:p>
        </w:tc>
        <w:tc>
          <w:tcPr>
            <w:tcW w:w="750" w:type="dxa"/>
            <w:tcBorders>
              <w:top w:val="single" w:color="auto" w:sz="4" w:space="0"/>
              <w:left w:val="nil"/>
              <w:bottom w:val="single" w:color="auto" w:sz="4" w:space="0"/>
              <w:right w:val="single" w:color="000000" w:sz="4" w:space="0"/>
            </w:tcBorders>
            <w:vAlign w:val="center"/>
          </w:tcPr>
          <w:p w14:paraId="2FC2A944">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5A70F89B">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2</w:t>
            </w:r>
          </w:p>
        </w:tc>
        <w:tc>
          <w:tcPr>
            <w:tcW w:w="6254" w:type="dxa"/>
            <w:tcBorders>
              <w:top w:val="single" w:color="auto" w:sz="4" w:space="0"/>
              <w:left w:val="nil"/>
              <w:bottom w:val="single" w:color="auto" w:sz="4" w:space="0"/>
              <w:right w:val="single" w:color="000000" w:sz="4" w:space="0"/>
            </w:tcBorders>
            <w:vAlign w:val="center"/>
          </w:tcPr>
          <w:p w14:paraId="33C95B56">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▲1.交换容量不小于：23.04Tbps/96Tbps，双主控双电源冗余配置，配置不少于24千兆电口，24万兆光口</w:t>
            </w:r>
          </w:p>
          <w:p w14:paraId="5C599A15">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2.包转发率不小于：2160Mpps/18000Mpps，业务槽位不小于3个</w:t>
            </w:r>
          </w:p>
          <w:p w14:paraId="4B2DC5A4">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3.支持统一用户管理，支持PPPoE、802.1X、MAC、Portal认证方式，支持基于流量和时长计费方式，支持分组分域分时授权方式</w:t>
            </w:r>
          </w:p>
          <w:p w14:paraId="3BDD82BC">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4.支持Access、Trunk、Hybrid方式，支持default VLAN，支持VLAN 交换，支持QinQ、增强型灵活QinQ，支持基于MAC的动态VLAN分配</w:t>
            </w:r>
          </w:p>
          <w:p w14:paraId="7CBF39F6">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5.支持MAC地址自动学习和老化，支持静态、动态、黑洞MAC表项，支持源MAC地址过滤，支持基于端口和VLAN的MAC地址学习限制</w:t>
            </w:r>
          </w:p>
          <w:p w14:paraId="38C29448">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6.支持RIP、OSPF、ISIS、BGP等IPv4动态路由协议，支持RIPng、OSPFv3、ISISv6、BGP4+等IPv6动态路由协议</w:t>
            </w:r>
          </w:p>
          <w:p w14:paraId="7606C68C">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7.支持LACP、支持跨设备E-Trunk，支持VRRP、BFD for VRRP，支持 BFD for BGP/IS-IS/OSPF/静态路由，支持 NSR、NSF、GR for BGP/IS-IS/OSPF/LDP，支持TE FRR、IP FRR，支持以太网OAM 802.3ah和802.1ag(硬件级)，支持快速自愈保护技术HSR，支持 ITU-Y.1731，支持DLDP，支持运行中软件升级ISSU</w:t>
            </w:r>
          </w:p>
        </w:tc>
      </w:tr>
      <w:tr w14:paraId="3B1EE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31880F3D">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47</w:t>
            </w:r>
          </w:p>
        </w:tc>
        <w:tc>
          <w:tcPr>
            <w:tcW w:w="1487" w:type="dxa"/>
            <w:tcBorders>
              <w:top w:val="single" w:color="auto" w:sz="4" w:space="0"/>
              <w:left w:val="nil"/>
              <w:bottom w:val="single" w:color="auto" w:sz="4" w:space="0"/>
              <w:right w:val="single" w:color="000000" w:sz="4" w:space="0"/>
            </w:tcBorders>
            <w:vAlign w:val="center"/>
          </w:tcPr>
          <w:p w14:paraId="21A4E5FA">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安全接入交换机</w:t>
            </w:r>
          </w:p>
        </w:tc>
        <w:tc>
          <w:tcPr>
            <w:tcW w:w="750" w:type="dxa"/>
            <w:tcBorders>
              <w:top w:val="single" w:color="auto" w:sz="4" w:space="0"/>
              <w:left w:val="nil"/>
              <w:bottom w:val="single" w:color="auto" w:sz="4" w:space="0"/>
              <w:right w:val="single" w:color="000000" w:sz="4" w:space="0"/>
            </w:tcBorders>
            <w:vAlign w:val="center"/>
          </w:tcPr>
          <w:p w14:paraId="761BD751">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143C9D4F">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10</w:t>
            </w:r>
          </w:p>
        </w:tc>
        <w:tc>
          <w:tcPr>
            <w:tcW w:w="6254" w:type="dxa"/>
            <w:tcBorders>
              <w:top w:val="single" w:color="auto" w:sz="4" w:space="0"/>
              <w:left w:val="nil"/>
              <w:bottom w:val="single" w:color="auto" w:sz="4" w:space="0"/>
              <w:right w:val="single" w:color="000000" w:sz="4" w:space="0"/>
            </w:tcBorders>
            <w:vAlign w:val="center"/>
          </w:tcPr>
          <w:p w14:paraId="4C46E284">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▲1.交流供电，不少于24口，千兆交换机，交包转发率不小于126Mpps ， 交换容量不小于：336Gbps/3.36Tbps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2.为保障设备环境适应能力，要求设备支持-10-55℃宽温工作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3.支持终端类型识别功能，如接入IP、MAC、终端类型等信息（投标文件提供具备检测资质的第三方检测机构出具的检测报告扫描件进行佐证）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4.支持防蠕虫病毒传播功能，对病毒的网络层传播行为进行溯源及阻断，防止内网病毒扩散（投标文件提供具备检测资质的第三方检测机构出具的检测报告扫描件进行佐证）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5.支持IP扫描防护、UDP端口扫描防护、TCP端口扫描防护功能（投标文件提供具备检测资质的第三方检测机构出具的检测报告扫描件进行佐证）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6.支持“肉鸡”防护功能，能对DDos攻击进行溯源及阻断（投标文件提供具备检测资质的第三方检测机构出具的检测报告扫描件进行佐证）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7.支持仿冒终端识别功能，如IP仿冒、MAC仿冒等（投标文件提供具备检测资质的第三方检测机构出具的检测报告扫描件进行佐证）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8.支持终端安全防护功能，只允许特定类型的设备接入网络（投标文件提供具备检测资质的第三方检测机构出具的检测报告扫描件进行佐证）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9.保障设备稳定性，要求采用无风扇设计</w:t>
            </w:r>
          </w:p>
        </w:tc>
      </w:tr>
      <w:tr w14:paraId="41626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9F3C7B1">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48</w:t>
            </w:r>
          </w:p>
        </w:tc>
        <w:tc>
          <w:tcPr>
            <w:tcW w:w="1487" w:type="dxa"/>
            <w:tcBorders>
              <w:top w:val="single" w:color="auto" w:sz="4" w:space="0"/>
              <w:left w:val="nil"/>
              <w:bottom w:val="single" w:color="auto" w:sz="4" w:space="0"/>
              <w:right w:val="single" w:color="000000" w:sz="4" w:space="0"/>
            </w:tcBorders>
            <w:vAlign w:val="center"/>
          </w:tcPr>
          <w:p w14:paraId="064234A8">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防火墙</w:t>
            </w:r>
          </w:p>
        </w:tc>
        <w:tc>
          <w:tcPr>
            <w:tcW w:w="750" w:type="dxa"/>
            <w:tcBorders>
              <w:top w:val="single" w:color="auto" w:sz="4" w:space="0"/>
              <w:left w:val="nil"/>
              <w:bottom w:val="single" w:color="auto" w:sz="4" w:space="0"/>
              <w:right w:val="single" w:color="000000" w:sz="4" w:space="0"/>
            </w:tcBorders>
            <w:vAlign w:val="center"/>
          </w:tcPr>
          <w:p w14:paraId="084005E0">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2D0C00FD">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426D6619">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▲1.配置千兆光口≥2个，千兆电口≥8个,扩展槽≥2个，配置双电源,设备高度≤1U；吞吐量≥1Gbps；并发连接数≥80万，每秒新建连接数≥5万</w:t>
            </w:r>
          </w:p>
          <w:p w14:paraId="5D9BD217">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2.支持基于源/目的IP，源/目的端口，源/目的区域，用户（组），应用/服务类型的细化控制方式</w:t>
            </w:r>
          </w:p>
          <w:p w14:paraId="709827E9">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3. 支持自动生成安全策略。统一管理平台可通过对流量日志的统计整理，自动生成安全策略，并下发给防火墙设备（提供具备检测资质的第三方检测机构出具的检测报告证明）</w:t>
            </w:r>
          </w:p>
          <w:p w14:paraId="2BB874B1">
            <w:pPr>
              <w:keepNext w:val="0"/>
              <w:keepLines w:val="0"/>
              <w:widowControl/>
              <w:suppressLineNumbers w:val="0"/>
              <w:spacing w:line="240" w:lineRule="auto"/>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4.支持通过命令行的方式对设备内部数据流进行分析，可快速定位造成故障的防火墙内部功能模块，便于进行故障排查（提供具备检测资质的第三方检测机构出具的检测报告证明）</w:t>
            </w:r>
          </w:p>
          <w:p w14:paraId="72009952">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5 .支持基于不同安全策略设定会话长连接老化时间（提供具备检测资质的第三方检测机构出具的检测报告证明）</w:t>
            </w:r>
          </w:p>
        </w:tc>
      </w:tr>
      <w:tr w14:paraId="0575F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12F0542">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49</w:t>
            </w:r>
          </w:p>
        </w:tc>
        <w:tc>
          <w:tcPr>
            <w:tcW w:w="1487" w:type="dxa"/>
            <w:tcBorders>
              <w:top w:val="single" w:color="auto" w:sz="4" w:space="0"/>
              <w:left w:val="nil"/>
              <w:bottom w:val="single" w:color="auto" w:sz="4" w:space="0"/>
              <w:right w:val="single" w:color="000000" w:sz="4" w:space="0"/>
            </w:tcBorders>
            <w:vAlign w:val="center"/>
          </w:tcPr>
          <w:p w14:paraId="1DECA29F">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IPS</w:t>
            </w:r>
          </w:p>
        </w:tc>
        <w:tc>
          <w:tcPr>
            <w:tcW w:w="750" w:type="dxa"/>
            <w:tcBorders>
              <w:top w:val="single" w:color="auto" w:sz="4" w:space="0"/>
              <w:left w:val="nil"/>
              <w:bottom w:val="single" w:color="auto" w:sz="4" w:space="0"/>
              <w:right w:val="single" w:color="000000" w:sz="4" w:space="0"/>
            </w:tcBorders>
            <w:vAlign w:val="center"/>
          </w:tcPr>
          <w:p w14:paraId="7897FE58">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4D15744D">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5E8E3283">
            <w:pPr>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▲1.配置千兆光口≥2个，千兆电口≥8个,扩展槽≥2个，配置双电源,设备高度≤1U，含3年IPS、防病毒库升级授权；吞吐量≥2Gbps；并发连接数≥100万，每秒新建连接数≥2万</w:t>
            </w:r>
          </w:p>
          <w:p w14:paraId="6E6ACA05">
            <w:pPr>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2.支持丰富的路由协议，例如静态路由、策略路由、RIP、OSPF等</w:t>
            </w:r>
          </w:p>
          <w:p w14:paraId="3FC4DDFA">
            <w:pPr>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3.内置丰富的IPS特征库，可针对SQL注入、木马后门、漏洞利用等恶意攻击进行检测和阻断，特征规则数量不少于9000条（提供具备检测资质的第三方检测机构出具的检测报告证明）</w:t>
            </w:r>
          </w:p>
          <w:p w14:paraId="2BBAE7E3">
            <w:pPr>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4.内置丰富的病毒特征库，可针对文件感染型、蠕虫、木马等类型病毒进行检测和阻断，特征规则数量不少于250万条（提供具备检测资质的第三方检测机构出具的检测报告证明）</w:t>
            </w:r>
          </w:p>
          <w:p w14:paraId="36FF8DEF">
            <w:pPr>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5.支持隧道报文检测，可以识别并检测VLAN，QINQ，MPLS，GRE，VXLAN，PPPOE等常见协议封装的网络报文（提供具备检测资质的第三方检测机构出具的检测报告证明）</w:t>
            </w:r>
          </w:p>
          <w:p w14:paraId="77ECC98C">
            <w:pPr>
              <w:bidi w:val="0"/>
              <w:spacing w:line="240" w:lineRule="auto"/>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val="en-US" w:eastAsia="zh-CN"/>
              </w:rPr>
              <w:t>6.支持Chunck编码传输逃逸、Unicode编码传输逃逸、UTF编码逃逸、IP分片逃逸、TCP分段传输逃逸、URL多重编码等类型的逃逸检测</w:t>
            </w:r>
          </w:p>
        </w:tc>
      </w:tr>
      <w:tr w14:paraId="0F9BD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C68A1B1">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50</w:t>
            </w:r>
          </w:p>
        </w:tc>
        <w:tc>
          <w:tcPr>
            <w:tcW w:w="1487" w:type="dxa"/>
            <w:tcBorders>
              <w:top w:val="single" w:color="auto" w:sz="4" w:space="0"/>
              <w:left w:val="nil"/>
              <w:bottom w:val="single" w:color="auto" w:sz="4" w:space="0"/>
              <w:right w:val="single" w:color="000000" w:sz="4" w:space="0"/>
            </w:tcBorders>
            <w:vAlign w:val="center"/>
          </w:tcPr>
          <w:p w14:paraId="2218ACB1">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安全汇聚交换机</w:t>
            </w:r>
          </w:p>
        </w:tc>
        <w:tc>
          <w:tcPr>
            <w:tcW w:w="750" w:type="dxa"/>
            <w:tcBorders>
              <w:top w:val="single" w:color="auto" w:sz="4" w:space="0"/>
              <w:left w:val="nil"/>
              <w:bottom w:val="single" w:color="auto" w:sz="4" w:space="0"/>
              <w:right w:val="single" w:color="000000" w:sz="4" w:space="0"/>
            </w:tcBorders>
            <w:vAlign w:val="center"/>
          </w:tcPr>
          <w:p w14:paraId="2AF60A16">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3F68E669">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2</w:t>
            </w:r>
          </w:p>
        </w:tc>
        <w:tc>
          <w:tcPr>
            <w:tcW w:w="6254" w:type="dxa"/>
            <w:tcBorders>
              <w:top w:val="single" w:color="auto" w:sz="4" w:space="0"/>
              <w:left w:val="nil"/>
              <w:bottom w:val="single" w:color="auto" w:sz="4" w:space="0"/>
              <w:right w:val="single" w:color="000000" w:sz="4" w:space="0"/>
            </w:tcBorders>
            <w:vAlign w:val="center"/>
          </w:tcPr>
          <w:p w14:paraId="349E6EBC">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▲交换容量≥598Gbps，整机转发性能≥222Mpps；提供千兆电口≥24个，万兆光口≥4个，配置对应接口数量的模块</w:t>
            </w:r>
          </w:p>
        </w:tc>
      </w:tr>
      <w:tr w14:paraId="5B99C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5EAFA00A">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51</w:t>
            </w:r>
          </w:p>
        </w:tc>
        <w:tc>
          <w:tcPr>
            <w:tcW w:w="1487" w:type="dxa"/>
            <w:tcBorders>
              <w:top w:val="single" w:color="auto" w:sz="4" w:space="0"/>
              <w:left w:val="nil"/>
              <w:bottom w:val="single" w:color="auto" w:sz="4" w:space="0"/>
              <w:right w:val="single" w:color="000000" w:sz="4" w:space="0"/>
            </w:tcBorders>
            <w:vAlign w:val="center"/>
          </w:tcPr>
          <w:p w14:paraId="6BEC6822">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无线覆盖AC</w:t>
            </w:r>
          </w:p>
        </w:tc>
        <w:tc>
          <w:tcPr>
            <w:tcW w:w="750" w:type="dxa"/>
            <w:tcBorders>
              <w:top w:val="single" w:color="auto" w:sz="4" w:space="0"/>
              <w:left w:val="nil"/>
              <w:bottom w:val="single" w:color="auto" w:sz="4" w:space="0"/>
              <w:right w:val="single" w:color="000000" w:sz="4" w:space="0"/>
            </w:tcBorders>
            <w:vAlign w:val="center"/>
          </w:tcPr>
          <w:p w14:paraId="055D0E7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163F6001">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2</w:t>
            </w:r>
          </w:p>
        </w:tc>
        <w:tc>
          <w:tcPr>
            <w:tcW w:w="6254" w:type="dxa"/>
            <w:tcBorders>
              <w:top w:val="single" w:color="auto" w:sz="4" w:space="0"/>
              <w:left w:val="nil"/>
              <w:bottom w:val="single" w:color="auto" w:sz="4" w:space="0"/>
              <w:right w:val="single" w:color="000000" w:sz="4" w:space="0"/>
            </w:tcBorders>
            <w:vAlign w:val="center"/>
          </w:tcPr>
          <w:p w14:paraId="256825C1">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▲无线覆盖AC：不小于 2台，端口不少于4千兆，2万兆，带机量不少于300台。</w:t>
            </w:r>
          </w:p>
        </w:tc>
      </w:tr>
      <w:tr w14:paraId="2CA46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5D9CAC6B">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52</w:t>
            </w:r>
          </w:p>
        </w:tc>
        <w:tc>
          <w:tcPr>
            <w:tcW w:w="1487" w:type="dxa"/>
            <w:tcBorders>
              <w:top w:val="single" w:color="auto" w:sz="4" w:space="0"/>
              <w:left w:val="nil"/>
              <w:bottom w:val="single" w:color="auto" w:sz="4" w:space="0"/>
              <w:right w:val="single" w:color="000000" w:sz="4" w:space="0"/>
            </w:tcBorders>
            <w:vAlign w:val="center"/>
          </w:tcPr>
          <w:p w14:paraId="4DC3033A">
            <w:pPr>
              <w:bidi w:val="0"/>
              <w:spacing w:line="240" w:lineRule="auto"/>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无线AP</w:t>
            </w:r>
          </w:p>
        </w:tc>
        <w:tc>
          <w:tcPr>
            <w:tcW w:w="750" w:type="dxa"/>
            <w:tcBorders>
              <w:top w:val="single" w:color="auto" w:sz="4" w:space="0"/>
              <w:left w:val="nil"/>
              <w:bottom w:val="single" w:color="auto" w:sz="4" w:space="0"/>
              <w:right w:val="single" w:color="000000" w:sz="4" w:space="0"/>
            </w:tcBorders>
            <w:vAlign w:val="center"/>
          </w:tcPr>
          <w:p w14:paraId="3ECA7279">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2F3F5B99">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20</w:t>
            </w:r>
          </w:p>
        </w:tc>
        <w:tc>
          <w:tcPr>
            <w:tcW w:w="6254" w:type="dxa"/>
            <w:tcBorders>
              <w:top w:val="single" w:color="auto" w:sz="4" w:space="0"/>
              <w:left w:val="nil"/>
              <w:bottom w:val="single" w:color="auto" w:sz="4" w:space="0"/>
              <w:right w:val="single" w:color="000000" w:sz="4" w:space="0"/>
            </w:tcBorders>
            <w:vAlign w:val="center"/>
          </w:tcPr>
          <w:p w14:paraId="3A30754F">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▲无线AP：不小于20台，采用双频率（2.4G,5G）POE供电，支持双频并发，无线传输速率可达1900Mbps，千兆电口接口。</w:t>
            </w:r>
          </w:p>
        </w:tc>
      </w:tr>
      <w:tr w14:paraId="2390E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B508B76">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53</w:t>
            </w:r>
          </w:p>
        </w:tc>
        <w:tc>
          <w:tcPr>
            <w:tcW w:w="1487" w:type="dxa"/>
            <w:tcBorders>
              <w:top w:val="single" w:color="auto" w:sz="4" w:space="0"/>
              <w:left w:val="nil"/>
              <w:bottom w:val="single" w:color="auto" w:sz="4" w:space="0"/>
              <w:right w:val="single" w:color="000000" w:sz="4" w:space="0"/>
            </w:tcBorders>
            <w:vAlign w:val="center"/>
          </w:tcPr>
          <w:p w14:paraId="71A5A16A">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信息平台基本架构</w:t>
            </w:r>
          </w:p>
        </w:tc>
        <w:tc>
          <w:tcPr>
            <w:tcW w:w="750" w:type="dxa"/>
            <w:tcBorders>
              <w:top w:val="single" w:color="auto" w:sz="4" w:space="0"/>
              <w:left w:val="nil"/>
              <w:bottom w:val="single" w:color="auto" w:sz="4" w:space="0"/>
              <w:right w:val="single" w:color="000000" w:sz="4" w:space="0"/>
            </w:tcBorders>
            <w:vAlign w:val="center"/>
          </w:tcPr>
          <w:p w14:paraId="1B243D9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50B701E8">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7ABD3AE1">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信息平台基本架构，平台自动备份，具备各类可扩张模块，并且数据自动保护功能，供应商负责根据实际情况开发，调试直至达到交付条件，(投标文件提供产品生产厂家官方网站对应产品的参数功能截图或软件功能截图或其它技术材料进行佐证) </w:t>
            </w:r>
          </w:p>
        </w:tc>
      </w:tr>
      <w:tr w14:paraId="32379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9E01CC3">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54</w:t>
            </w:r>
          </w:p>
        </w:tc>
        <w:tc>
          <w:tcPr>
            <w:tcW w:w="1487" w:type="dxa"/>
            <w:tcBorders>
              <w:top w:val="single" w:color="auto" w:sz="4" w:space="0"/>
              <w:left w:val="nil"/>
              <w:bottom w:val="single" w:color="auto" w:sz="4" w:space="0"/>
              <w:right w:val="single" w:color="000000" w:sz="4" w:space="0"/>
            </w:tcBorders>
            <w:vAlign w:val="center"/>
          </w:tcPr>
          <w:p w14:paraId="0C044718">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前端应用</w:t>
            </w:r>
          </w:p>
        </w:tc>
        <w:tc>
          <w:tcPr>
            <w:tcW w:w="750" w:type="dxa"/>
            <w:tcBorders>
              <w:top w:val="single" w:color="auto" w:sz="4" w:space="0"/>
              <w:left w:val="nil"/>
              <w:bottom w:val="single" w:color="auto" w:sz="4" w:space="0"/>
              <w:right w:val="single" w:color="000000" w:sz="4" w:space="0"/>
            </w:tcBorders>
            <w:vAlign w:val="center"/>
          </w:tcPr>
          <w:p w14:paraId="5F91A96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4D701606">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1CF4293B">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▲前端应用：支持公告大屏、欢迎屏、会议室LED大屏、手机端、PC端,支持开放接入及推送(投标文件提供产品生产厂家官方网站对应产品的参数功能截图或软件功能截图或其它技术材料进行佐证) </w:t>
            </w:r>
          </w:p>
        </w:tc>
      </w:tr>
      <w:tr w14:paraId="45B5A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60999D4C">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55</w:t>
            </w:r>
          </w:p>
        </w:tc>
        <w:tc>
          <w:tcPr>
            <w:tcW w:w="1487" w:type="dxa"/>
            <w:tcBorders>
              <w:top w:val="single" w:color="auto" w:sz="4" w:space="0"/>
              <w:left w:val="nil"/>
              <w:bottom w:val="single" w:color="auto" w:sz="4" w:space="0"/>
              <w:right w:val="single" w:color="000000" w:sz="4" w:space="0"/>
            </w:tcBorders>
            <w:vAlign w:val="center"/>
          </w:tcPr>
          <w:p w14:paraId="39819B0C">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核心业务模块</w:t>
            </w:r>
          </w:p>
        </w:tc>
        <w:tc>
          <w:tcPr>
            <w:tcW w:w="750" w:type="dxa"/>
            <w:tcBorders>
              <w:top w:val="single" w:color="auto" w:sz="4" w:space="0"/>
              <w:left w:val="nil"/>
              <w:bottom w:val="single" w:color="auto" w:sz="4" w:space="0"/>
              <w:right w:val="single" w:color="000000" w:sz="4" w:space="0"/>
            </w:tcBorders>
            <w:vAlign w:val="center"/>
          </w:tcPr>
          <w:p w14:paraId="3F3E0C2D">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2FB9A86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059DDB10">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核心业务包含：园区基础数据管理、繁育生产管理、人员车辆管理、安防管理、应急事务及消防管理、无纸化办公系统，模块可扩充调整修改，可定制开发(投标文件提供产品生产厂家官方网站对应产品的参数功能截图或软件功能截图或其它技术材料进行佐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▲2.构建园区电子化地图，配合整个管理系统，达到设备人员定位管理功能(投标文件提供产品生产厂家官方网站对应产品的参数功能截图或软件功能截图或其它技术材料进行佐证)</w:t>
            </w:r>
          </w:p>
        </w:tc>
      </w:tr>
      <w:tr w14:paraId="4D3F2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485BFEE">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56</w:t>
            </w:r>
          </w:p>
        </w:tc>
        <w:tc>
          <w:tcPr>
            <w:tcW w:w="1487" w:type="dxa"/>
            <w:tcBorders>
              <w:top w:val="single" w:color="auto" w:sz="4" w:space="0"/>
              <w:left w:val="nil"/>
              <w:bottom w:val="single" w:color="auto" w:sz="4" w:space="0"/>
              <w:right w:val="single" w:color="000000" w:sz="4" w:space="0"/>
            </w:tcBorders>
            <w:vAlign w:val="center"/>
          </w:tcPr>
          <w:p w14:paraId="319B118F">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人员管理模块</w:t>
            </w:r>
          </w:p>
        </w:tc>
        <w:tc>
          <w:tcPr>
            <w:tcW w:w="750" w:type="dxa"/>
            <w:tcBorders>
              <w:top w:val="single" w:color="auto" w:sz="4" w:space="0"/>
              <w:left w:val="nil"/>
              <w:bottom w:val="single" w:color="auto" w:sz="4" w:space="0"/>
              <w:right w:val="single" w:color="000000" w:sz="4" w:space="0"/>
            </w:tcBorders>
            <w:vAlign w:val="center"/>
          </w:tcPr>
          <w:p w14:paraId="0A07397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226048C6">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4F119C34">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▲具备人员登录（外网、内网），角色定义，权限管理等功能(投标文件提供产品生产厂家官方网站对应产品的参数功能截图或软件功能截图或其它技术材料进行佐证)</w:t>
            </w:r>
          </w:p>
        </w:tc>
      </w:tr>
      <w:tr w14:paraId="05307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7D4E503">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57</w:t>
            </w:r>
          </w:p>
        </w:tc>
        <w:tc>
          <w:tcPr>
            <w:tcW w:w="1487" w:type="dxa"/>
            <w:tcBorders>
              <w:top w:val="single" w:color="auto" w:sz="4" w:space="0"/>
              <w:left w:val="nil"/>
              <w:bottom w:val="single" w:color="auto" w:sz="4" w:space="0"/>
              <w:right w:val="single" w:color="000000" w:sz="4" w:space="0"/>
            </w:tcBorders>
            <w:vAlign w:val="center"/>
          </w:tcPr>
          <w:p w14:paraId="06C010B6">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消息发送模块</w:t>
            </w:r>
          </w:p>
        </w:tc>
        <w:tc>
          <w:tcPr>
            <w:tcW w:w="750" w:type="dxa"/>
            <w:tcBorders>
              <w:top w:val="single" w:color="auto" w:sz="4" w:space="0"/>
              <w:left w:val="nil"/>
              <w:bottom w:val="single" w:color="auto" w:sz="4" w:space="0"/>
              <w:right w:val="single" w:color="000000" w:sz="4" w:space="0"/>
            </w:tcBorders>
            <w:vAlign w:val="center"/>
          </w:tcPr>
          <w:p w14:paraId="15DC796B">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7FBA8829">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7AD21021">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▲具备消息服务、视频服务、企业邮箱等功能模块，能和其他模块互联互通(投标文件提供产品生产厂家官方网站对应产品的参数功能截图或软件功能截图或其它技术材料进行佐证)</w:t>
            </w:r>
          </w:p>
        </w:tc>
      </w:tr>
      <w:tr w14:paraId="1EA6D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24DC9C9C">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58</w:t>
            </w:r>
          </w:p>
        </w:tc>
        <w:tc>
          <w:tcPr>
            <w:tcW w:w="1487" w:type="dxa"/>
            <w:tcBorders>
              <w:top w:val="single" w:color="auto" w:sz="4" w:space="0"/>
              <w:left w:val="nil"/>
              <w:bottom w:val="single" w:color="auto" w:sz="4" w:space="0"/>
              <w:right w:val="single" w:color="000000" w:sz="4" w:space="0"/>
            </w:tcBorders>
            <w:vAlign w:val="center"/>
          </w:tcPr>
          <w:p w14:paraId="797D37C5">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网站功能</w:t>
            </w:r>
          </w:p>
        </w:tc>
        <w:tc>
          <w:tcPr>
            <w:tcW w:w="750" w:type="dxa"/>
            <w:tcBorders>
              <w:top w:val="single" w:color="auto" w:sz="4" w:space="0"/>
              <w:left w:val="nil"/>
              <w:bottom w:val="single" w:color="auto" w:sz="4" w:space="0"/>
              <w:right w:val="single" w:color="000000" w:sz="4" w:space="0"/>
            </w:tcBorders>
            <w:vAlign w:val="center"/>
          </w:tcPr>
          <w:p w14:paraId="72E0FCEF">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62E0418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7951AE3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▲企业网站功能，包含基地介绍、日常维护、更新互动、预约参观等，包含1年网站维护及升级费用(投标文件提供产品生产厂家官方网站对应产品的参数功能截图或软件功能截图或其它技术材料进行佐证) </w:t>
            </w:r>
          </w:p>
        </w:tc>
      </w:tr>
      <w:tr w14:paraId="116AD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3173317">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59</w:t>
            </w:r>
          </w:p>
        </w:tc>
        <w:tc>
          <w:tcPr>
            <w:tcW w:w="1487" w:type="dxa"/>
            <w:tcBorders>
              <w:top w:val="single" w:color="auto" w:sz="4" w:space="0"/>
              <w:left w:val="nil"/>
              <w:bottom w:val="single" w:color="auto" w:sz="4" w:space="0"/>
              <w:right w:val="single" w:color="000000" w:sz="4" w:space="0"/>
            </w:tcBorders>
            <w:vAlign w:val="center"/>
          </w:tcPr>
          <w:p w14:paraId="18D34A05">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门禁管理模块</w:t>
            </w:r>
          </w:p>
        </w:tc>
        <w:tc>
          <w:tcPr>
            <w:tcW w:w="750" w:type="dxa"/>
            <w:tcBorders>
              <w:top w:val="single" w:color="auto" w:sz="4" w:space="0"/>
              <w:left w:val="nil"/>
              <w:bottom w:val="single" w:color="auto" w:sz="4" w:space="0"/>
              <w:right w:val="single" w:color="000000" w:sz="4" w:space="0"/>
            </w:tcBorders>
            <w:vAlign w:val="center"/>
          </w:tcPr>
          <w:p w14:paraId="1838DA80">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7E376CA7">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1B0F1CA5">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▲1.车辆道闸管理：采用模具规模化制造，表面特殊处理，经久耐用，配置300万像素高清摄像机，车牌识别算法先进，识别率≥99.9%。车牌识别类型  普通蓝牌、单双层黄牌、新能源、单双层警车、新武警、单双层军牌、新使馆、教练车、港澳进出大陆车牌、应急车牌、民航、特殊车牌等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2.车牌防伪：支持异常车牌（手机拍照、打印）告警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3.无牌车触发：支持无牌车视频触发 ，车牌白名单  支持精准、智能模糊匹配白名单车牌规则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4.内嵌智能ISP算法 ，智能优化调光算法，复杂场景智能适应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5.人员道闸管理：适用范围：小区，工厂人行通道，非机动车通道，开门角度  90°-95°，开/关门速度  1-9档可调（对应开门时间1S-2S），开门保持时间  1-99秒，运行环境温度  -30℃～45℃，运行环境湿度  10%～95%（无结露）</w:t>
            </w:r>
          </w:p>
          <w:p w14:paraId="7599DBB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6.人员门禁管理：人员数量：10000个，面部容量 10000张，记录容量 20万条，显示屏 7英寸触摸屏，基础功能 ：口罩检测、多面部识别、高级门禁、IP54防护等级、韦根输入输出 (投标文件提供产品生产厂家官方网站对应产品的参数功能截图或软件功能截图或其它技术材料进行佐证)</w:t>
            </w:r>
          </w:p>
        </w:tc>
      </w:tr>
      <w:tr w14:paraId="11B26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0173AF71">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60</w:t>
            </w:r>
          </w:p>
        </w:tc>
        <w:tc>
          <w:tcPr>
            <w:tcW w:w="1487" w:type="dxa"/>
            <w:tcBorders>
              <w:top w:val="single" w:color="auto" w:sz="4" w:space="0"/>
              <w:left w:val="nil"/>
              <w:bottom w:val="single" w:color="auto" w:sz="4" w:space="0"/>
              <w:right w:val="single" w:color="000000" w:sz="4" w:space="0"/>
            </w:tcBorders>
            <w:vAlign w:val="center"/>
          </w:tcPr>
          <w:p w14:paraId="66E9A7B9">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会议系统模块</w:t>
            </w:r>
          </w:p>
        </w:tc>
        <w:tc>
          <w:tcPr>
            <w:tcW w:w="750" w:type="dxa"/>
            <w:tcBorders>
              <w:top w:val="single" w:color="auto" w:sz="4" w:space="0"/>
              <w:left w:val="nil"/>
              <w:bottom w:val="single" w:color="auto" w:sz="4" w:space="0"/>
              <w:right w:val="single" w:color="000000" w:sz="4" w:space="0"/>
            </w:tcBorders>
            <w:vAlign w:val="center"/>
          </w:tcPr>
          <w:p w14:paraId="5E3301A1">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11AAAD1F">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1DC3F285">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具备内部会议、远程会议等功能，包含一台远程视频会议终端及相关移动端软件，终端、摄像机、触控显示屏、电池、麦克风和扬声器高度集成</w:t>
            </w:r>
          </w:p>
          <w:p w14:paraId="0C28DA43">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具备便携移动应用能力，内置充电电池，可持续通话应用不低于3小时。触控显示屏不低于10</w:t>
            </w:r>
            <w:r>
              <w:rPr>
                <w:rFonts w:hint="eastAsia" w:ascii="宋体" w:hAnsi="宋体" w:eastAsia="宋体" w:cs="宋体"/>
                <w:sz w:val="21"/>
                <w:szCs w:val="21"/>
                <w:lang w:val="en-US" w:eastAsia="zh-CN"/>
              </w:rPr>
              <w:t>英</w:t>
            </w:r>
            <w:r>
              <w:rPr>
                <w:rFonts w:hint="eastAsia" w:ascii="宋体" w:hAnsi="宋体" w:eastAsia="宋体" w:cs="宋体"/>
                <w:sz w:val="21"/>
                <w:szCs w:val="21"/>
                <w:lang w:eastAsia="zh-CN"/>
              </w:rPr>
              <w:t>寸，不大于14英寸</w:t>
            </w:r>
          </w:p>
          <w:p w14:paraId="70BE12F4">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内置SIM卡槽。可以接入中国电信/中国联通/中国移动移动网络进行视频通话（投标文件提供产品生产厂家官方网站对应产品的参数功能截图或具备检测资质的第三方检测机构出具的检测报告或其它产品技术说明材料扫描件进行佐证）</w:t>
            </w:r>
          </w:p>
          <w:p w14:paraId="2CFE1FE2">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4</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终端采用嵌入式操作系统，非PC架构，国产处理芯片（投标文件提供产品生产厂家官方网站对应产品的参数功能截图或具备检测资质的第三方检测机构出具的检测报告或其它产品技术说明材料扫描件进行佐证）</w:t>
            </w:r>
          </w:p>
          <w:p w14:paraId="4288C206">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5</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支持接入WIFI、有线网络</w:t>
            </w:r>
          </w:p>
          <w:p w14:paraId="2C0C6D19">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6</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可以扩展外接PTZ摄像机，终端与摄像</w:t>
            </w:r>
            <w:r>
              <w:rPr>
                <w:rFonts w:hint="eastAsia" w:ascii="宋体" w:hAnsi="宋体" w:cs="宋体"/>
                <w:sz w:val="21"/>
                <w:szCs w:val="21"/>
                <w:lang w:eastAsia="zh-CN"/>
              </w:rPr>
              <w:t>机之</w:t>
            </w:r>
            <w:r>
              <w:rPr>
                <w:rFonts w:hint="eastAsia" w:ascii="宋体" w:hAnsi="宋体" w:eastAsia="宋体" w:cs="宋体"/>
                <w:sz w:val="21"/>
                <w:szCs w:val="21"/>
                <w:lang w:eastAsia="zh-CN"/>
              </w:rPr>
              <w:t>间支持供电、视频传输、控制三合一共线传输（投标文件提供产品生产厂家官方网站对应产品的参数功能截图或具备检测资质的第三方检测机构出具的检测报告或其它产品技术说明材料扫描件进行佐证）。</w:t>
            </w:r>
          </w:p>
          <w:p w14:paraId="7ED6077E">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7</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可以扩展全向数字麦克风，终端与麦克风间支持供电、音频传输、麦克风控制三合一共线传输（投标文件提供产品生产厂家官方网站对应产品的参数功能截图或具备检测资质的第三方检测机构出具的检测报告或其它产品技术说明材料扫描件进行佐证）</w:t>
            </w:r>
          </w:p>
          <w:p w14:paraId="18C71B18">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8</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网络抗丢包能力，在丢包率50%的情况下能保证视频流畅传输(帧率不低于25帧/秒)，语音仍可进行交流（投标文件提供产品生产厂家官方网站对应产品的参数功能截图或生产厂家官方产品技术说明书或具备检测资质的第三方检测机构出具的检测报告扫描件进行佐证）</w:t>
            </w:r>
          </w:p>
          <w:p w14:paraId="6EB9440D">
            <w:pPr>
              <w:bidi w:val="0"/>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9</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内置电子白板功能，支持与其他桌面会商终端、软件终端多方同时标注，实现多方白板互动</w:t>
            </w:r>
          </w:p>
          <w:p w14:paraId="1EFEA2C0">
            <w:pPr>
              <w:bidi w:val="0"/>
              <w:spacing w:line="240" w:lineRule="auto"/>
              <w:jc w:val="left"/>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sz w:val="21"/>
                <w:szCs w:val="21"/>
                <w:lang w:eastAsia="zh-CN"/>
              </w:rPr>
              <w:t>10</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具备会议录制功能，在会中可对正在召开的视频会议进行自主的录制</w:t>
            </w:r>
          </w:p>
        </w:tc>
      </w:tr>
      <w:tr w14:paraId="40FCF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1FA9D1D4">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color w:val="auto"/>
                <w:kern w:val="0"/>
                <w:sz w:val="21"/>
                <w:szCs w:val="21"/>
                <w:highlight w:val="none"/>
              </w:rPr>
              <w:t>园区3D大屏展示系统</w:t>
            </w:r>
            <w:r>
              <w:rPr>
                <w:rFonts w:hint="eastAsia" w:ascii="宋体" w:hAnsi="宋体" w:eastAsia="宋体" w:cs="宋体"/>
                <w:b/>
                <w:bCs/>
                <w:color w:val="auto"/>
                <w:kern w:val="0"/>
                <w:sz w:val="21"/>
                <w:szCs w:val="21"/>
                <w:highlight w:val="none"/>
                <w:lang w:eastAsia="zh-CN"/>
              </w:rPr>
              <w:t>：</w:t>
            </w:r>
          </w:p>
        </w:tc>
      </w:tr>
      <w:tr w14:paraId="71236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61D615E">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61</w:t>
            </w:r>
          </w:p>
        </w:tc>
        <w:tc>
          <w:tcPr>
            <w:tcW w:w="1487" w:type="dxa"/>
            <w:tcBorders>
              <w:top w:val="single" w:color="auto" w:sz="4" w:space="0"/>
              <w:left w:val="nil"/>
              <w:bottom w:val="single" w:color="auto" w:sz="4" w:space="0"/>
              <w:right w:val="single" w:color="000000" w:sz="4" w:space="0"/>
            </w:tcBorders>
            <w:vAlign w:val="center"/>
          </w:tcPr>
          <w:p w14:paraId="3A8AC9C0">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动态视频采集系统</w:t>
            </w:r>
          </w:p>
        </w:tc>
        <w:tc>
          <w:tcPr>
            <w:tcW w:w="750" w:type="dxa"/>
            <w:tcBorders>
              <w:top w:val="single" w:color="auto" w:sz="4" w:space="0"/>
              <w:left w:val="nil"/>
              <w:bottom w:val="single" w:color="auto" w:sz="4" w:space="0"/>
              <w:right w:val="single" w:color="000000" w:sz="4" w:space="0"/>
            </w:tcBorders>
            <w:vAlign w:val="center"/>
          </w:tcPr>
          <w:p w14:paraId="226E2C66">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53132C33">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2</w:t>
            </w:r>
          </w:p>
        </w:tc>
        <w:tc>
          <w:tcPr>
            <w:tcW w:w="6254" w:type="dxa"/>
            <w:tcBorders>
              <w:top w:val="single" w:color="auto" w:sz="4" w:space="0"/>
              <w:left w:val="nil"/>
              <w:bottom w:val="single" w:color="auto" w:sz="4" w:space="0"/>
              <w:right w:val="single" w:color="000000" w:sz="4" w:space="0"/>
            </w:tcBorders>
            <w:vAlign w:val="center"/>
          </w:tcPr>
          <w:p w14:paraId="456D068B">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▲1.最大上升速度6 米/秒（普通挡），8 米/秒（运动挡），最大下降速度6 米/秒（普通挡），6 米/秒（运动挡），最大抗风速度12 米/秒，最大起飞海拔高度6000 米（空载飞行），最长飞行时间（无风环境）45 分钟，最长悬停时间（无风环境）38 分钟，最大可倾斜角度30°（普通挡），35°（运动挡），最大旋转角速度200°/s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2.广角相机影像性能等于或优于：传感器：4/3 CMOS，有效像素2000万，镜头：视角：84°，等效焦距：24 毫米，光圈：f/2.8 至 f/11，对焦点：1 米至无穷远，ISO 范围：100 至 6400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3.相机性能等于或优于：快门速度：电子快门：8 秒至 1/8000 秒,机械快门：8 秒至 1/2000 秒,最大照片尺寸：5280×3956,单张拍摄：2000 万像素，定时拍摄：2000 万像素，JPEG：0.7/1/2/3/5/7/10/15/20/30/60 秒，JPEG + RAW：3/5/7/10/15/20/30/60 秒，低光智能拍照：2000 万像素,全景拍照：2000 万像素（原始素材）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4.摄像性能等于或优于：4K：130Mbps FHD：70Mbps，支持文件系统exFAT，视频格式MP4（MPEG-4 AVC/H.264），长焦相机影像传感器1/2" CMOS，有效像素 1200 万，镜头视角：15°，等效焦距：162 毫米，光圈：f/4.4，对焦点：3 米至无穷远</w:t>
            </w:r>
          </w:p>
        </w:tc>
      </w:tr>
      <w:tr w14:paraId="49E2D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41C2C891">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62</w:t>
            </w:r>
          </w:p>
        </w:tc>
        <w:tc>
          <w:tcPr>
            <w:tcW w:w="1487" w:type="dxa"/>
            <w:tcBorders>
              <w:top w:val="single" w:color="auto" w:sz="4" w:space="0"/>
              <w:left w:val="nil"/>
              <w:bottom w:val="single" w:color="auto" w:sz="4" w:space="0"/>
              <w:right w:val="single" w:color="000000" w:sz="4" w:space="0"/>
            </w:tcBorders>
            <w:vAlign w:val="center"/>
          </w:tcPr>
          <w:p w14:paraId="49A2B10D">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视频融合调度系统</w:t>
            </w:r>
          </w:p>
        </w:tc>
        <w:tc>
          <w:tcPr>
            <w:tcW w:w="750" w:type="dxa"/>
            <w:tcBorders>
              <w:top w:val="single" w:color="auto" w:sz="4" w:space="0"/>
              <w:left w:val="nil"/>
              <w:bottom w:val="single" w:color="auto" w:sz="4" w:space="0"/>
              <w:right w:val="single" w:color="000000" w:sz="4" w:space="0"/>
            </w:tcBorders>
            <w:vAlign w:val="center"/>
          </w:tcPr>
          <w:p w14:paraId="3C5E3B87">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1EA2BFC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5ED778BA">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▲1.能自由拼接，丰富显示，持多窗口多图层显示（投标文件提供产品生产厂家官方网站对应产品的参数功能截图或具备检测资质的第三方检测机构出具的检测报告或其它产品技术说明材料扫描件进行佐证）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窗口漫游、自由拼接支持跨板卡跨接口输出，窗口跨板卡或接口不减图层（投标文件提供产品生产厂家官方网站对应产品的参数功能截图或具备检测资质的第三方检测机构出具的检测报告或其它产品技术说明材料扫描件进行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3.支持输出网口任意交换，控制区域任意设置自定义预置模式，可以存储多个自定义场景，方便场景切换 支持画面调整(色调、对比度、饱和度、亮度补偿)和精确的颜色调节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4.支持每路输入信号独立裁剪缩放和 EDID 管理，不同平台简单控制 支持 USB、RS232、局域网多种方式连接控制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5.支持电脑软件、手机 APP、Web 网页跨平台控制支持前面板查看设备信息和控制，多重备份稳定可靠支持设备自检及在线硬件监测支持双电源备份、输出信号冗余备份、支持温度报警、断线提醒、电源监控等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6.支持轮出画质调整，包括0-100亮度自由调节、对比度、饱和度、色调、亮度补偿、gamma等，测试画面调整，结合现场环境便于测试调节</w:t>
            </w:r>
          </w:p>
        </w:tc>
      </w:tr>
      <w:tr w14:paraId="07536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405624FB">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i w:val="0"/>
                <w:iCs w:val="0"/>
                <w:snapToGrid w:val="0"/>
                <w:color w:val="000000"/>
                <w:kern w:val="0"/>
                <w:sz w:val="21"/>
                <w:szCs w:val="21"/>
                <w:u w:val="none"/>
                <w:lang w:val="en-US" w:eastAsia="zh-CN" w:bidi="ar"/>
              </w:rPr>
              <w:t>网络通信系统：</w:t>
            </w:r>
          </w:p>
        </w:tc>
      </w:tr>
      <w:tr w14:paraId="1D26B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2F0DDF67">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63</w:t>
            </w:r>
          </w:p>
        </w:tc>
        <w:tc>
          <w:tcPr>
            <w:tcW w:w="1487" w:type="dxa"/>
            <w:tcBorders>
              <w:top w:val="single" w:color="auto" w:sz="4" w:space="0"/>
              <w:left w:val="nil"/>
              <w:bottom w:val="single" w:color="auto" w:sz="4" w:space="0"/>
              <w:right w:val="single" w:color="000000" w:sz="4" w:space="0"/>
            </w:tcBorders>
            <w:vAlign w:val="center"/>
          </w:tcPr>
          <w:p w14:paraId="3EB042FD">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通信光缆干线</w:t>
            </w:r>
          </w:p>
        </w:tc>
        <w:tc>
          <w:tcPr>
            <w:tcW w:w="750" w:type="dxa"/>
            <w:tcBorders>
              <w:top w:val="single" w:color="auto" w:sz="4" w:space="0"/>
              <w:left w:val="nil"/>
              <w:bottom w:val="single" w:color="auto" w:sz="4" w:space="0"/>
              <w:right w:val="single" w:color="000000" w:sz="4" w:space="0"/>
            </w:tcBorders>
            <w:vAlign w:val="center"/>
          </w:tcPr>
          <w:p w14:paraId="40ED30DE">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米</w:t>
            </w:r>
          </w:p>
        </w:tc>
        <w:tc>
          <w:tcPr>
            <w:tcW w:w="735" w:type="dxa"/>
            <w:tcBorders>
              <w:top w:val="single" w:color="auto" w:sz="4" w:space="0"/>
              <w:left w:val="nil"/>
              <w:bottom w:val="single" w:color="auto" w:sz="4" w:space="0"/>
              <w:right w:val="single" w:color="000000" w:sz="4" w:space="0"/>
            </w:tcBorders>
            <w:vAlign w:val="center"/>
          </w:tcPr>
          <w:p w14:paraId="69F3E80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3000</w:t>
            </w:r>
          </w:p>
        </w:tc>
        <w:tc>
          <w:tcPr>
            <w:tcW w:w="6254" w:type="dxa"/>
            <w:tcBorders>
              <w:top w:val="single" w:color="auto" w:sz="4" w:space="0"/>
              <w:left w:val="nil"/>
              <w:bottom w:val="single" w:color="auto" w:sz="4" w:space="0"/>
              <w:right w:val="single" w:color="000000" w:sz="4" w:space="0"/>
            </w:tcBorders>
            <w:vAlign w:val="center"/>
          </w:tcPr>
          <w:p w14:paraId="6253DA3C">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1.园区光缆敷设3000M，光缆为室外铠装单膜光缆，采用钢丝吊挂安装，光缆不小于8芯，按需求配置光交箱，箱体做不小于50*80水泥基础，采用防雷设计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2.光缆终端及交接成端，测试综合每公里衰耗低于0.7DB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3.对于重点线路段，如涵洞、马路等应采用下地套管保护敷设</w:t>
            </w:r>
          </w:p>
        </w:tc>
      </w:tr>
      <w:tr w14:paraId="6F53B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10F2D219">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64</w:t>
            </w:r>
          </w:p>
        </w:tc>
        <w:tc>
          <w:tcPr>
            <w:tcW w:w="1487" w:type="dxa"/>
            <w:tcBorders>
              <w:top w:val="single" w:color="auto" w:sz="4" w:space="0"/>
              <w:left w:val="nil"/>
              <w:bottom w:val="single" w:color="auto" w:sz="4" w:space="0"/>
              <w:right w:val="single" w:color="000000" w:sz="4" w:space="0"/>
            </w:tcBorders>
            <w:vAlign w:val="center"/>
          </w:tcPr>
          <w:p w14:paraId="7698F704">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立杆</w:t>
            </w:r>
          </w:p>
        </w:tc>
        <w:tc>
          <w:tcPr>
            <w:tcW w:w="750" w:type="dxa"/>
            <w:tcBorders>
              <w:top w:val="single" w:color="auto" w:sz="4" w:space="0"/>
              <w:left w:val="nil"/>
              <w:bottom w:val="single" w:color="auto" w:sz="4" w:space="0"/>
              <w:right w:val="single" w:color="000000" w:sz="4" w:space="0"/>
            </w:tcBorders>
            <w:vAlign w:val="center"/>
          </w:tcPr>
          <w:p w14:paraId="0E6E3F2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根</w:t>
            </w:r>
          </w:p>
        </w:tc>
        <w:tc>
          <w:tcPr>
            <w:tcW w:w="735" w:type="dxa"/>
            <w:tcBorders>
              <w:top w:val="single" w:color="auto" w:sz="4" w:space="0"/>
              <w:left w:val="nil"/>
              <w:bottom w:val="single" w:color="auto" w:sz="4" w:space="0"/>
              <w:right w:val="single" w:color="000000" w:sz="4" w:space="0"/>
            </w:tcBorders>
            <w:vAlign w:val="center"/>
          </w:tcPr>
          <w:p w14:paraId="10CC1917">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10</w:t>
            </w:r>
          </w:p>
        </w:tc>
        <w:tc>
          <w:tcPr>
            <w:tcW w:w="6254" w:type="dxa"/>
            <w:tcBorders>
              <w:top w:val="single" w:color="auto" w:sz="4" w:space="0"/>
              <w:left w:val="nil"/>
              <w:bottom w:val="single" w:color="auto" w:sz="4" w:space="0"/>
              <w:right w:val="single" w:color="000000" w:sz="4" w:space="0"/>
            </w:tcBorders>
            <w:vAlign w:val="center"/>
          </w:tcPr>
          <w:p w14:paraId="67905E45">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1.园区安装立杆10根，立杆高度不小于2米，采用镀锌钢管，地笼水泥混凝土浇筑，直径不小于76mm,喷塑烤漆工艺</w:t>
            </w:r>
          </w:p>
        </w:tc>
      </w:tr>
      <w:tr w14:paraId="77BB1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3181C71">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65</w:t>
            </w:r>
          </w:p>
        </w:tc>
        <w:tc>
          <w:tcPr>
            <w:tcW w:w="1487" w:type="dxa"/>
            <w:tcBorders>
              <w:top w:val="single" w:color="auto" w:sz="4" w:space="0"/>
              <w:left w:val="nil"/>
              <w:bottom w:val="single" w:color="auto" w:sz="4" w:space="0"/>
              <w:right w:val="single" w:color="000000" w:sz="4" w:space="0"/>
            </w:tcBorders>
            <w:vAlign w:val="center"/>
          </w:tcPr>
          <w:p w14:paraId="20BF5A96">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光收发器</w:t>
            </w:r>
          </w:p>
        </w:tc>
        <w:tc>
          <w:tcPr>
            <w:tcW w:w="750" w:type="dxa"/>
            <w:tcBorders>
              <w:top w:val="single" w:color="auto" w:sz="4" w:space="0"/>
              <w:left w:val="nil"/>
              <w:bottom w:val="single" w:color="auto" w:sz="4" w:space="0"/>
              <w:right w:val="single" w:color="000000" w:sz="4" w:space="0"/>
            </w:tcBorders>
            <w:vAlign w:val="center"/>
          </w:tcPr>
          <w:p w14:paraId="4E4946D1">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对</w:t>
            </w:r>
          </w:p>
        </w:tc>
        <w:tc>
          <w:tcPr>
            <w:tcW w:w="735" w:type="dxa"/>
            <w:tcBorders>
              <w:top w:val="single" w:color="auto" w:sz="4" w:space="0"/>
              <w:left w:val="nil"/>
              <w:bottom w:val="single" w:color="auto" w:sz="4" w:space="0"/>
              <w:right w:val="single" w:color="000000" w:sz="4" w:space="0"/>
            </w:tcBorders>
            <w:vAlign w:val="center"/>
          </w:tcPr>
          <w:p w14:paraId="4D3B7C40">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40</w:t>
            </w:r>
          </w:p>
        </w:tc>
        <w:tc>
          <w:tcPr>
            <w:tcW w:w="6254" w:type="dxa"/>
            <w:tcBorders>
              <w:top w:val="single" w:color="auto" w:sz="4" w:space="0"/>
              <w:left w:val="nil"/>
              <w:bottom w:val="single" w:color="auto" w:sz="4" w:space="0"/>
              <w:right w:val="single" w:color="000000" w:sz="4" w:space="0"/>
            </w:tcBorders>
            <w:vAlign w:val="center"/>
          </w:tcPr>
          <w:p w14:paraId="47C90DE0">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1.机房端机架式安装，19寸标准机柜，每台接口不少于12个，采用可拔插模块化设计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2.机房端双电源冗余设计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3.设备端不少于4*1000m电口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4.单模1310波长传输距离不小于15km</w:t>
            </w:r>
          </w:p>
        </w:tc>
      </w:tr>
      <w:tr w14:paraId="135A9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03D533B">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66</w:t>
            </w:r>
          </w:p>
        </w:tc>
        <w:tc>
          <w:tcPr>
            <w:tcW w:w="1487" w:type="dxa"/>
            <w:tcBorders>
              <w:top w:val="single" w:color="auto" w:sz="4" w:space="0"/>
              <w:left w:val="nil"/>
              <w:bottom w:val="single" w:color="auto" w:sz="4" w:space="0"/>
              <w:right w:val="single" w:color="000000" w:sz="4" w:space="0"/>
            </w:tcBorders>
            <w:vAlign w:val="center"/>
          </w:tcPr>
          <w:p w14:paraId="7752A8B8">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综合配线系统</w:t>
            </w:r>
          </w:p>
        </w:tc>
        <w:tc>
          <w:tcPr>
            <w:tcW w:w="750" w:type="dxa"/>
            <w:tcBorders>
              <w:top w:val="single" w:color="auto" w:sz="4" w:space="0"/>
              <w:left w:val="nil"/>
              <w:bottom w:val="single" w:color="auto" w:sz="4" w:space="0"/>
              <w:right w:val="single" w:color="000000" w:sz="4" w:space="0"/>
            </w:tcBorders>
            <w:vAlign w:val="center"/>
          </w:tcPr>
          <w:p w14:paraId="1C6A7F8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米</w:t>
            </w:r>
          </w:p>
        </w:tc>
        <w:tc>
          <w:tcPr>
            <w:tcW w:w="735" w:type="dxa"/>
            <w:tcBorders>
              <w:top w:val="single" w:color="auto" w:sz="4" w:space="0"/>
              <w:left w:val="nil"/>
              <w:bottom w:val="single" w:color="auto" w:sz="4" w:space="0"/>
              <w:right w:val="single" w:color="000000" w:sz="4" w:space="0"/>
            </w:tcBorders>
            <w:vAlign w:val="center"/>
          </w:tcPr>
          <w:p w14:paraId="55DF165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400</w:t>
            </w:r>
          </w:p>
        </w:tc>
        <w:tc>
          <w:tcPr>
            <w:tcW w:w="6254" w:type="dxa"/>
            <w:tcBorders>
              <w:top w:val="single" w:color="auto" w:sz="4" w:space="0"/>
              <w:left w:val="nil"/>
              <w:bottom w:val="single" w:color="auto" w:sz="4" w:space="0"/>
              <w:right w:val="single" w:color="000000" w:sz="4" w:space="0"/>
            </w:tcBorders>
            <w:vAlign w:val="center"/>
          </w:tcPr>
          <w:p w14:paraId="65BE0D9D">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▲1.网线：6类非屏蔽，符合标准：YD/T1019， ISO/IEC 11801，线缆阻抗：100±15Ω；安装温度：0～+50℃；工作温度：-20～+60℃；护套上印有电缆品牌LOGO和型号（投标文件提供具备检测资质的第三方检测机构出具的六类非屏蔽永久链路检测的合格报告）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2.网线采用CM等级PVC料。CM、CMR、LSZH高阻燃低烟无卤等多种防火要求电缆，满足不同场所防火要求；绝缘层： 3364 HD-PE料；通过标准最高传输频率250MHz测试，单根导体直流电阻：≤9.5Ω/100m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3.投标文件提供具备检测资质的第三方检测机构出具的网线6类非屏蔽14米信道（4节点）</w:t>
            </w:r>
            <w:r>
              <w:rPr>
                <w:rFonts w:hint="eastAsia" w:ascii="宋体" w:hAnsi="宋体" w:cs="宋体"/>
                <w:i w:val="0"/>
                <w:iCs w:val="0"/>
                <w:color w:val="000000"/>
                <w:kern w:val="0"/>
                <w:sz w:val="21"/>
                <w:szCs w:val="21"/>
                <w:u w:val="none"/>
                <w:lang w:val="en-US" w:eastAsia="zh-CN" w:bidi="ar"/>
              </w:rPr>
              <w:t>的</w:t>
            </w:r>
            <w:r>
              <w:rPr>
                <w:rFonts w:hint="eastAsia" w:ascii="宋体" w:hAnsi="宋体" w:eastAsia="宋体" w:cs="宋体"/>
                <w:i w:val="0"/>
                <w:iCs w:val="0"/>
                <w:color w:val="000000"/>
                <w:kern w:val="0"/>
                <w:sz w:val="21"/>
                <w:szCs w:val="21"/>
                <w:u w:val="none"/>
                <w:lang w:val="en-US" w:eastAsia="zh-CN" w:bidi="ar"/>
              </w:rPr>
              <w:t>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4.网线应在直流环阻、传播延时、插入损耗等方面性能完全合格（投标文件提供具备检测资质的第三方检测机构出具的网线CP点链路及6点信道的检测报告）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5.网线应能充分满足项目当地的气候条件，具备良好的抗腐蚀能力（投标文件提供具备检测资质的第三方检测机构出具的满足 GB/T 2423.17-2008标准持续时间72小时盐雾试验的检测报告）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6.19英寸机架式24口角型配线架6台，为张角型网线连接界面，方便网线施工布放，安装时张开角度为133度，高度：1U；工作环境温度：-20℃～+70℃；采用冷轧钢板；背面的可折叠SPCC 金属理线托盘，用于捆扎、管理线缆，避免线缆与模块端接处受力造成连接松动；端口数量：≤24口，采用模块化设计，每个模块都可以单独拆卸，便于安装和维护；正面直观的分组标签区，为书写标签提供方便的管理；1U24口折叠安装背板，便于安装，可卡接24个模块（投标文件提供产品生产厂家官方网站对应产品的参数功能截图或产品其它技术说明材料）</w:t>
            </w:r>
          </w:p>
        </w:tc>
      </w:tr>
      <w:tr w14:paraId="372F2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057373C6">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67</w:t>
            </w:r>
          </w:p>
        </w:tc>
        <w:tc>
          <w:tcPr>
            <w:tcW w:w="1487" w:type="dxa"/>
            <w:tcBorders>
              <w:top w:val="single" w:color="auto" w:sz="4" w:space="0"/>
              <w:left w:val="nil"/>
              <w:bottom w:val="single" w:color="auto" w:sz="4" w:space="0"/>
              <w:right w:val="single" w:color="000000" w:sz="4" w:space="0"/>
            </w:tcBorders>
            <w:vAlign w:val="center"/>
          </w:tcPr>
          <w:p w14:paraId="535A89F9">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网络外接出口</w:t>
            </w:r>
          </w:p>
        </w:tc>
        <w:tc>
          <w:tcPr>
            <w:tcW w:w="750" w:type="dxa"/>
            <w:tcBorders>
              <w:top w:val="single" w:color="auto" w:sz="4" w:space="0"/>
              <w:left w:val="nil"/>
              <w:bottom w:val="single" w:color="auto" w:sz="4" w:space="0"/>
              <w:right w:val="single" w:color="000000" w:sz="4" w:space="0"/>
            </w:tcBorders>
            <w:vAlign w:val="center"/>
          </w:tcPr>
          <w:p w14:paraId="39424F7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端</w:t>
            </w:r>
          </w:p>
        </w:tc>
        <w:tc>
          <w:tcPr>
            <w:tcW w:w="735" w:type="dxa"/>
            <w:tcBorders>
              <w:top w:val="single" w:color="auto" w:sz="4" w:space="0"/>
              <w:left w:val="nil"/>
              <w:bottom w:val="single" w:color="auto" w:sz="4" w:space="0"/>
              <w:right w:val="single" w:color="000000" w:sz="4" w:space="0"/>
            </w:tcBorders>
            <w:vAlign w:val="center"/>
          </w:tcPr>
          <w:p w14:paraId="557056A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2</w:t>
            </w:r>
          </w:p>
        </w:tc>
        <w:tc>
          <w:tcPr>
            <w:tcW w:w="6254" w:type="dxa"/>
            <w:tcBorders>
              <w:top w:val="single" w:color="auto" w:sz="4" w:space="0"/>
              <w:left w:val="nil"/>
              <w:bottom w:val="single" w:color="auto" w:sz="4" w:space="0"/>
              <w:right w:val="single" w:color="000000" w:sz="4" w:space="0"/>
            </w:tcBorders>
            <w:vAlign w:val="center"/>
          </w:tcPr>
          <w:p w14:paraId="5206920F">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1.运营商网络接口，速度不小于100M，服务时间不小于3年。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2.至少采用2家运营商，双出口设置。</w:t>
            </w:r>
          </w:p>
        </w:tc>
      </w:tr>
      <w:tr w14:paraId="516BA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9790" w:type="dxa"/>
            <w:gridSpan w:val="5"/>
            <w:tcBorders>
              <w:top w:val="single" w:color="auto" w:sz="4" w:space="0"/>
              <w:left w:val="single" w:color="000000" w:sz="4" w:space="0"/>
              <w:bottom w:val="single" w:color="auto" w:sz="4" w:space="0"/>
              <w:right w:val="single" w:color="000000" w:sz="4" w:space="0"/>
            </w:tcBorders>
            <w:vAlign w:val="center"/>
          </w:tcPr>
          <w:p w14:paraId="3DF0A7B4">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b/>
                <w:bCs/>
                <w:color w:val="auto"/>
                <w:kern w:val="0"/>
                <w:sz w:val="21"/>
                <w:szCs w:val="21"/>
                <w:highlight w:val="none"/>
              </w:rPr>
              <w:t>气象站</w:t>
            </w:r>
            <w:r>
              <w:rPr>
                <w:rFonts w:hint="eastAsia" w:ascii="宋体" w:hAnsi="宋体" w:eastAsia="宋体" w:cs="宋体"/>
                <w:b/>
                <w:bCs/>
                <w:color w:val="auto"/>
                <w:kern w:val="0"/>
                <w:sz w:val="21"/>
                <w:szCs w:val="21"/>
                <w:highlight w:val="none"/>
                <w:lang w:eastAsia="zh-CN"/>
              </w:rPr>
              <w:t>：</w:t>
            </w:r>
          </w:p>
        </w:tc>
      </w:tr>
      <w:tr w14:paraId="47DAD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394BCFD9">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68</w:t>
            </w:r>
          </w:p>
        </w:tc>
        <w:tc>
          <w:tcPr>
            <w:tcW w:w="1487" w:type="dxa"/>
            <w:tcBorders>
              <w:top w:val="single" w:color="auto" w:sz="4" w:space="0"/>
              <w:left w:val="nil"/>
              <w:bottom w:val="single" w:color="auto" w:sz="4" w:space="0"/>
              <w:right w:val="single" w:color="000000" w:sz="4" w:space="0"/>
            </w:tcBorders>
            <w:vAlign w:val="center"/>
          </w:tcPr>
          <w:p w14:paraId="00F82CE1">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环境气象站主机</w:t>
            </w:r>
          </w:p>
        </w:tc>
        <w:tc>
          <w:tcPr>
            <w:tcW w:w="750" w:type="dxa"/>
            <w:tcBorders>
              <w:top w:val="single" w:color="auto" w:sz="4" w:space="0"/>
              <w:left w:val="nil"/>
              <w:bottom w:val="single" w:color="auto" w:sz="4" w:space="0"/>
              <w:right w:val="single" w:color="000000" w:sz="4" w:space="0"/>
            </w:tcBorders>
            <w:vAlign w:val="center"/>
          </w:tcPr>
          <w:p w14:paraId="0460C0C5">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w:t>
            </w:r>
          </w:p>
        </w:tc>
        <w:tc>
          <w:tcPr>
            <w:tcW w:w="735" w:type="dxa"/>
            <w:tcBorders>
              <w:top w:val="single" w:color="auto" w:sz="4" w:space="0"/>
              <w:left w:val="nil"/>
              <w:bottom w:val="single" w:color="auto" w:sz="4" w:space="0"/>
              <w:right w:val="single" w:color="000000" w:sz="4" w:space="0"/>
            </w:tcBorders>
            <w:vAlign w:val="center"/>
          </w:tcPr>
          <w:p w14:paraId="3B297EF2">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40B363E7">
            <w:pPr>
              <w:keepNext w:val="0"/>
              <w:keepLines w:val="0"/>
              <w:widowControl/>
              <w:suppressLineNumbers w:val="0"/>
              <w:spacing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▲1.220V 市电，通信方式 RS485/4G/WiFi/NBIoT/LORA/ 以太网等多种方式，工作温度-10-60℃，工作湿度 0-95%RH 无凝露，可搭配多种传感器使用，底部方形立杆尺寸：</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100mm</w:t>
            </w:r>
            <w:r>
              <w:rPr>
                <w:rFonts w:hint="eastAsia" w:ascii="宋体" w:hAnsi="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100mm，高度</w:t>
            </w:r>
            <w:r>
              <w:rPr>
                <w:rFonts w:hint="eastAsia" w:ascii="宋体" w:hAnsi="宋体" w:cs="宋体"/>
                <w:i w:val="0"/>
                <w:iCs w:val="0"/>
                <w:color w:val="000000"/>
                <w:kern w:val="0"/>
                <w:sz w:val="21"/>
                <w:szCs w:val="21"/>
                <w:u w:val="none"/>
                <w:lang w:val="en-US" w:eastAsia="zh-CN" w:bidi="ar"/>
              </w:rPr>
              <w:t>（偏差</w:t>
            </w:r>
            <w:r>
              <w:rPr>
                <w:rFonts w:hint="eastAsia" w:ascii="仿宋" w:hAnsi="仿宋" w:eastAsia="仿宋" w:cs="仿宋"/>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2.5米，顶部方形立杆尺寸</w:t>
            </w:r>
            <w:r>
              <w:rPr>
                <w:rFonts w:hint="eastAsia" w:ascii="宋体" w:hAnsi="宋体" w:cs="宋体"/>
                <w:i w:val="0"/>
                <w:iCs w:val="0"/>
                <w:color w:val="000000"/>
                <w:kern w:val="0"/>
                <w:sz w:val="21"/>
                <w:szCs w:val="21"/>
                <w:u w:val="none"/>
                <w:lang w:val="en-US" w:eastAsia="zh-CN" w:bidi="ar"/>
              </w:rPr>
              <w:t>（偏差</w:t>
            </w:r>
            <w:r>
              <w:rPr>
                <w:rFonts w:hint="eastAsia" w:ascii="仿宋" w:hAnsi="仿宋" w:eastAsia="仿宋" w:cs="仿宋"/>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：150mm</w:t>
            </w:r>
            <w:r>
              <w:rPr>
                <w:rFonts w:hint="eastAsia" w:ascii="宋体" w:hAnsi="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150mm，总高度</w:t>
            </w:r>
            <w:r>
              <w:rPr>
                <w:rFonts w:hint="eastAsia" w:ascii="宋体" w:hAnsi="宋体" w:cs="宋体"/>
                <w:i w:val="0"/>
                <w:iCs w:val="0"/>
                <w:color w:val="000000"/>
                <w:kern w:val="0"/>
                <w:sz w:val="21"/>
                <w:szCs w:val="21"/>
                <w:u w:val="none"/>
                <w:lang w:val="en-US" w:eastAsia="zh-CN" w:bidi="ar"/>
              </w:rPr>
              <w:t>（偏差</w:t>
            </w:r>
            <w:r>
              <w:rPr>
                <w:rFonts w:hint="eastAsia" w:ascii="仿宋" w:hAnsi="仿宋" w:eastAsia="仿宋" w:cs="仿宋"/>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3米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2.立杆和底部法兰盘之间的连接方式为用4个梯形加强筋焊接，稳固牢靠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3.立杆配有上下两个接线维护板，上维护板尺寸：</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160mm</w:t>
            </w:r>
            <w:r>
              <w:rPr>
                <w:rFonts w:hint="eastAsia" w:ascii="宋体" w:hAnsi="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100mm；下维护板尺寸：</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130mm</w:t>
            </w:r>
            <w:r>
              <w:rPr>
                <w:rFonts w:hint="eastAsia" w:ascii="宋体" w:hAnsi="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80mm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4.配有四个单独可选横臂，横臂和横臂封板均可以有效防止雨水通过固定孔进入立杆；每个横臂上至少可以安装2种传感器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5.防水箱尺寸为：</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400mm</w:t>
            </w:r>
            <w:r>
              <w:rPr>
                <w:rFonts w:hint="eastAsia" w:ascii="宋体" w:hAnsi="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340mm</w:t>
            </w:r>
            <w:r>
              <w:rPr>
                <w:rFonts w:hint="eastAsia" w:ascii="宋体" w:hAnsi="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230mm；防水箱采用平行与立杆方向的两道加强筋固定，稳固牢靠；防水箱采用全隐藏式底部走线</w:t>
            </w:r>
          </w:p>
        </w:tc>
      </w:tr>
      <w:tr w14:paraId="20C42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2A412A9F">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69</w:t>
            </w:r>
          </w:p>
        </w:tc>
        <w:tc>
          <w:tcPr>
            <w:tcW w:w="1487" w:type="dxa"/>
            <w:tcBorders>
              <w:top w:val="single" w:color="auto" w:sz="4" w:space="0"/>
              <w:left w:val="nil"/>
              <w:bottom w:val="single" w:color="auto" w:sz="4" w:space="0"/>
              <w:right w:val="single" w:color="000000" w:sz="4" w:space="0"/>
            </w:tcBorders>
            <w:vAlign w:val="center"/>
          </w:tcPr>
          <w:p w14:paraId="5585865E">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气象传感器</w:t>
            </w:r>
          </w:p>
        </w:tc>
        <w:tc>
          <w:tcPr>
            <w:tcW w:w="750" w:type="dxa"/>
            <w:tcBorders>
              <w:top w:val="single" w:color="auto" w:sz="4" w:space="0"/>
              <w:left w:val="nil"/>
              <w:bottom w:val="single" w:color="auto" w:sz="4" w:space="0"/>
              <w:right w:val="single" w:color="000000" w:sz="4" w:space="0"/>
            </w:tcBorders>
            <w:vAlign w:val="center"/>
          </w:tcPr>
          <w:p w14:paraId="0DC9885A">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2B17068C">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60CE2906">
            <w:pPr>
              <w:keepNext w:val="0"/>
              <w:keepLines w:val="0"/>
              <w:widowControl/>
              <w:suppressLineNumbers w:val="0"/>
              <w:spacing w:after="240" w:afterAutospacing="0" w:line="240" w:lineRule="auto"/>
              <w:jc w:val="left"/>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▲1.空气温度：测量范围：-20℃～+80℃；分辨率：0.1℃；误差：±3%F.S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▲2.空气湿度：测量范围：0～100%RH；分辨率:0.1%；误差：±3%F.S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▲3.光照强度：测量范围：0～200000lux；分辨率：1Lux；误差：±2%F.S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4.大气压：测量范围：30～120kPa；分辨率：0.1kpa；精度：±5%F.S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5.二氧化碳：测量范围：400～60000ppm；精度：±（50ppm+3%）（25℃）；分辨率：1ppm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6.光合有效辐射：波长范围：400~700nm；测量范围：0~4000umol/m2·s；测量精度：±5%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7.太阳总辐射：波长范围：300~1100nm；测量范围：0~2000W/m²；测量精度：±5%；分辨率：1W/m²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8.风向：测量范围：八方位；分辨率：一个方位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9.风速：测量范围：0-60m/s；分辨率：0.1m/s；误差：±（0.5+0.03×风速）m/s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10.降雨量：翻斗式雨量传感器，防堵疏通设计，大小雨补偿更精准，防堵报警，维护疏通便捷；测量范围：0～4mm/min；分辨率：0.1mm；误差：±0.4mm（≤10mm），±4%（＞10mm）</w:t>
            </w:r>
          </w:p>
        </w:tc>
      </w:tr>
      <w:tr w14:paraId="2046A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564" w:type="dxa"/>
            <w:tcBorders>
              <w:top w:val="single" w:color="auto" w:sz="4" w:space="0"/>
              <w:left w:val="single" w:color="000000" w:sz="4" w:space="0"/>
              <w:bottom w:val="single" w:color="auto" w:sz="4" w:space="0"/>
              <w:right w:val="single" w:color="000000" w:sz="4" w:space="0"/>
            </w:tcBorders>
            <w:vAlign w:val="center"/>
          </w:tcPr>
          <w:p w14:paraId="77848166">
            <w:pPr>
              <w:bidi w:val="0"/>
              <w:spacing w:line="240" w:lineRule="auto"/>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70</w:t>
            </w:r>
          </w:p>
        </w:tc>
        <w:tc>
          <w:tcPr>
            <w:tcW w:w="1487" w:type="dxa"/>
            <w:tcBorders>
              <w:top w:val="single" w:color="auto" w:sz="4" w:space="0"/>
              <w:left w:val="nil"/>
              <w:bottom w:val="single" w:color="auto" w:sz="4" w:space="0"/>
              <w:right w:val="single" w:color="000000" w:sz="4" w:space="0"/>
            </w:tcBorders>
            <w:vAlign w:val="center"/>
          </w:tcPr>
          <w:p w14:paraId="3EA06B4F">
            <w:pPr>
              <w:keepNext w:val="0"/>
              <w:keepLines w:val="0"/>
              <w:widowControl/>
              <w:suppressLineNumbers w:val="0"/>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lang w:eastAsia="zh-CN" w:bidi="ar"/>
              </w:rPr>
              <w:t>采集终端</w:t>
            </w:r>
          </w:p>
        </w:tc>
        <w:tc>
          <w:tcPr>
            <w:tcW w:w="750" w:type="dxa"/>
            <w:tcBorders>
              <w:top w:val="single" w:color="auto" w:sz="4" w:space="0"/>
              <w:left w:val="nil"/>
              <w:bottom w:val="single" w:color="auto" w:sz="4" w:space="0"/>
              <w:right w:val="single" w:color="000000" w:sz="4" w:space="0"/>
            </w:tcBorders>
            <w:vAlign w:val="center"/>
          </w:tcPr>
          <w:p w14:paraId="0C43394B">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735" w:type="dxa"/>
            <w:tcBorders>
              <w:top w:val="single" w:color="auto" w:sz="4" w:space="0"/>
              <w:left w:val="nil"/>
              <w:bottom w:val="single" w:color="auto" w:sz="4" w:space="0"/>
              <w:right w:val="single" w:color="000000" w:sz="4" w:space="0"/>
            </w:tcBorders>
            <w:vAlign w:val="center"/>
          </w:tcPr>
          <w:p w14:paraId="43D93FD6">
            <w:pPr>
              <w:keepNext w:val="0"/>
              <w:keepLines w:val="0"/>
              <w:widowControl/>
              <w:suppressLineNumbers w:val="0"/>
              <w:spacing w:line="240" w:lineRule="auto"/>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color w:val="000000"/>
                <w:kern w:val="0"/>
                <w:sz w:val="21"/>
                <w:szCs w:val="21"/>
                <w:u w:val="none"/>
                <w:lang w:val="en-US" w:eastAsia="zh-CN" w:bidi="ar"/>
              </w:rPr>
              <w:t>1</w:t>
            </w:r>
          </w:p>
        </w:tc>
        <w:tc>
          <w:tcPr>
            <w:tcW w:w="6254" w:type="dxa"/>
            <w:tcBorders>
              <w:top w:val="single" w:color="auto" w:sz="4" w:space="0"/>
              <w:left w:val="nil"/>
              <w:bottom w:val="single" w:color="auto" w:sz="4" w:space="0"/>
              <w:right w:val="single" w:color="000000" w:sz="4" w:space="0"/>
            </w:tcBorders>
            <w:vAlign w:val="center"/>
          </w:tcPr>
          <w:p w14:paraId="35451DD9">
            <w:pPr>
              <w:keepNext w:val="0"/>
              <w:keepLines w:val="0"/>
              <w:widowControl/>
              <w:suppressLineNumbers w:val="0"/>
              <w:spacing w:after="240" w:afterAutospacing="0"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▲1.12V直流供电，响应时间 ≤30s</w:t>
            </w:r>
          </w:p>
          <w:p w14:paraId="434D859C">
            <w:pPr>
              <w:keepNext w:val="0"/>
              <w:keepLines w:val="0"/>
              <w:widowControl/>
              <w:suppressLineNumbers w:val="0"/>
              <w:spacing w:after="240" w:afterAutospacing="0"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2.采集间隔：可随客户需求调整，上报间隔：可随客户需求调整</w:t>
            </w:r>
          </w:p>
        </w:tc>
      </w:tr>
      <w:tr w14:paraId="4ABE6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9790" w:type="dxa"/>
            <w:gridSpan w:val="5"/>
            <w:tcBorders>
              <w:left w:val="single" w:color="000000" w:sz="4" w:space="0"/>
              <w:right w:val="single" w:color="000000" w:sz="4" w:space="0"/>
            </w:tcBorders>
            <w:vAlign w:val="center"/>
          </w:tcPr>
          <w:p w14:paraId="5ED22A10">
            <w:pPr>
              <w:keepNext w:val="0"/>
              <w:keepLines w:val="0"/>
              <w:widowControl/>
              <w:suppressLineNumbers w:val="0"/>
              <w:spacing w:after="240" w:afterAutospacing="0"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二、商务要求</w:t>
            </w:r>
          </w:p>
        </w:tc>
      </w:tr>
      <w:tr w14:paraId="41BDB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left w:val="single" w:color="000000" w:sz="4" w:space="0"/>
              <w:right w:val="single" w:color="000000" w:sz="4" w:space="0"/>
            </w:tcBorders>
            <w:vAlign w:val="center"/>
          </w:tcPr>
          <w:p w14:paraId="1CA835B8">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w:t>
            </w:r>
          </w:p>
        </w:tc>
        <w:tc>
          <w:tcPr>
            <w:tcW w:w="1487" w:type="dxa"/>
            <w:tcBorders>
              <w:left w:val="nil"/>
              <w:right w:val="single" w:color="000000" w:sz="4" w:space="0"/>
            </w:tcBorders>
            <w:vAlign w:val="center"/>
          </w:tcPr>
          <w:p w14:paraId="0A049281">
            <w:pPr>
              <w:snapToGrid w:val="0"/>
              <w:spacing w:line="240"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质保期</w:t>
            </w:r>
          </w:p>
        </w:tc>
        <w:tc>
          <w:tcPr>
            <w:tcW w:w="7739" w:type="dxa"/>
            <w:gridSpan w:val="3"/>
            <w:tcBorders>
              <w:top w:val="single" w:color="auto" w:sz="4" w:space="0"/>
              <w:left w:val="nil"/>
              <w:bottom w:val="single" w:color="auto" w:sz="4" w:space="0"/>
              <w:right w:val="single" w:color="000000" w:sz="4" w:space="0"/>
            </w:tcBorders>
            <w:vAlign w:val="top"/>
          </w:tcPr>
          <w:p w14:paraId="79FE44EE">
            <w:pPr>
              <w:pStyle w:val="14"/>
              <w:snapToGrid w:val="0"/>
              <w:spacing w:line="24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en-US" w:eastAsia="zh-CN"/>
              </w:rPr>
              <w:t>按国家有关产品“三包”规定执行“三包”，所有设备自验收合格之日起质保期≥1年（质保期承诺如优于招标文件规定的，按中标人实际承诺质保期执行。），</w:t>
            </w:r>
            <w:r>
              <w:rPr>
                <w:rFonts w:hint="eastAsia" w:ascii="宋体" w:hAnsi="宋体" w:eastAsia="宋体" w:cs="宋体"/>
                <w:sz w:val="21"/>
                <w:szCs w:val="21"/>
                <w:lang w:val="en-US" w:eastAsia="zh-CN"/>
              </w:rPr>
              <w:t>提供终身有偿维护。</w:t>
            </w:r>
          </w:p>
          <w:p w14:paraId="71BA4664">
            <w:pPr>
              <w:bidi w:val="0"/>
              <w:spacing w:line="240" w:lineRule="auto"/>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2、质保期所更换的零配件必须是同品牌同型号全新的零配件，满足设备运行要求。</w:t>
            </w:r>
          </w:p>
        </w:tc>
      </w:tr>
      <w:tr w14:paraId="75791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left w:val="single" w:color="000000" w:sz="4" w:space="0"/>
              <w:right w:val="single" w:color="000000" w:sz="4" w:space="0"/>
            </w:tcBorders>
            <w:vAlign w:val="center"/>
          </w:tcPr>
          <w:p w14:paraId="68EC40DC">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2</w:t>
            </w:r>
          </w:p>
        </w:tc>
        <w:tc>
          <w:tcPr>
            <w:tcW w:w="1487" w:type="dxa"/>
            <w:tcBorders>
              <w:left w:val="nil"/>
              <w:right w:val="single" w:color="000000" w:sz="4" w:space="0"/>
            </w:tcBorders>
            <w:vAlign w:val="center"/>
          </w:tcPr>
          <w:p w14:paraId="31EE94B3">
            <w:pPr>
              <w:snapToGrid w:val="0"/>
              <w:spacing w:line="240"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报价</w:t>
            </w:r>
          </w:p>
        </w:tc>
        <w:tc>
          <w:tcPr>
            <w:tcW w:w="7739" w:type="dxa"/>
            <w:gridSpan w:val="3"/>
            <w:tcBorders>
              <w:top w:val="single" w:color="auto" w:sz="4" w:space="0"/>
              <w:left w:val="nil"/>
              <w:bottom w:val="single" w:color="auto" w:sz="4" w:space="0"/>
              <w:right w:val="single" w:color="000000" w:sz="4" w:space="0"/>
            </w:tcBorders>
            <w:vAlign w:val="top"/>
          </w:tcPr>
          <w:p w14:paraId="66690D24">
            <w:pPr>
              <w:snapToGrid w:val="0"/>
              <w:spacing w:line="240" w:lineRule="auto"/>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报价包括货物的所有费用，包括货物采购、运输、安装调试、利润、税金、保险、培训、售后服务、</w:t>
            </w:r>
            <w:r>
              <w:rPr>
                <w:rFonts w:hint="eastAsia" w:ascii="宋体" w:hAnsi="宋体" w:eastAsia="宋体" w:cs="宋体"/>
                <w:sz w:val="21"/>
                <w:szCs w:val="21"/>
                <w:lang w:eastAsia="zh-CN"/>
              </w:rPr>
              <w:t>备品备件、</w:t>
            </w:r>
            <w:r>
              <w:rPr>
                <w:rFonts w:hint="eastAsia" w:ascii="宋体" w:hAnsi="宋体" w:eastAsia="宋体" w:cs="宋体"/>
                <w:sz w:val="21"/>
                <w:szCs w:val="21"/>
              </w:rPr>
              <w:t>必要检测以及所有的不</w:t>
            </w:r>
            <w:r>
              <w:rPr>
                <w:rFonts w:hint="eastAsia" w:ascii="宋体" w:hAnsi="宋体" w:eastAsia="宋体" w:cs="宋体"/>
                <w:sz w:val="21"/>
                <w:szCs w:val="21"/>
                <w:lang w:eastAsia="zh-CN"/>
              </w:rPr>
              <w:t>确</w:t>
            </w:r>
            <w:r>
              <w:rPr>
                <w:rFonts w:hint="eastAsia" w:ascii="宋体" w:hAnsi="宋体" w:eastAsia="宋体" w:cs="宋体"/>
                <w:sz w:val="21"/>
                <w:szCs w:val="21"/>
              </w:rPr>
              <w:t>定因素的风险等</w:t>
            </w:r>
            <w:r>
              <w:rPr>
                <w:rFonts w:hint="eastAsia" w:ascii="宋体" w:hAnsi="宋体" w:eastAsia="宋体" w:cs="宋体"/>
                <w:sz w:val="21"/>
                <w:szCs w:val="21"/>
                <w:lang w:eastAsia="zh-CN"/>
              </w:rPr>
              <w:t>。</w:t>
            </w:r>
          </w:p>
        </w:tc>
      </w:tr>
      <w:tr w14:paraId="70E55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left w:val="single" w:color="000000" w:sz="4" w:space="0"/>
              <w:right w:val="single" w:color="000000" w:sz="4" w:space="0"/>
            </w:tcBorders>
            <w:vAlign w:val="center"/>
          </w:tcPr>
          <w:p w14:paraId="4839295F">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3</w:t>
            </w:r>
          </w:p>
        </w:tc>
        <w:tc>
          <w:tcPr>
            <w:tcW w:w="1487" w:type="dxa"/>
            <w:tcBorders>
              <w:left w:val="nil"/>
              <w:right w:val="single" w:color="000000" w:sz="4" w:space="0"/>
            </w:tcBorders>
            <w:vAlign w:val="center"/>
          </w:tcPr>
          <w:p w14:paraId="0425285A">
            <w:pPr>
              <w:snapToGrid w:val="0"/>
              <w:spacing w:line="240" w:lineRule="auto"/>
              <w:jc w:val="center"/>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bCs/>
                <w:kern w:val="0"/>
                <w:sz w:val="21"/>
                <w:szCs w:val="21"/>
              </w:rPr>
              <w:t>交货时间及地点</w:t>
            </w:r>
          </w:p>
        </w:tc>
        <w:tc>
          <w:tcPr>
            <w:tcW w:w="7739" w:type="dxa"/>
            <w:gridSpan w:val="3"/>
            <w:tcBorders>
              <w:top w:val="single" w:color="auto" w:sz="4" w:space="0"/>
              <w:left w:val="nil"/>
              <w:bottom w:val="single" w:color="auto" w:sz="4" w:space="0"/>
              <w:right w:val="single" w:color="000000" w:sz="4" w:space="0"/>
            </w:tcBorders>
            <w:vAlign w:val="top"/>
          </w:tcPr>
          <w:p w14:paraId="58BD0A03">
            <w:pPr>
              <w:snapToGrid w:val="0"/>
              <w:spacing w:line="240" w:lineRule="auto"/>
              <w:outlineLvl w:val="0"/>
              <w:rPr>
                <w:rFonts w:hint="eastAsia" w:ascii="宋体" w:hAnsi="宋体" w:eastAsia="宋体" w:cs="宋体"/>
                <w:bCs/>
                <w:kern w:val="0"/>
                <w:sz w:val="21"/>
                <w:szCs w:val="21"/>
                <w:highlight w:val="none"/>
              </w:rPr>
            </w:pPr>
            <w:r>
              <w:rPr>
                <w:rFonts w:hint="eastAsia" w:ascii="宋体" w:hAnsi="宋体" w:eastAsia="宋体" w:cs="宋体"/>
                <w:bCs/>
                <w:kern w:val="0"/>
                <w:sz w:val="21"/>
                <w:szCs w:val="21"/>
              </w:rPr>
              <w:t>1、交货时间：自签订合同</w:t>
            </w:r>
            <w:r>
              <w:rPr>
                <w:rFonts w:hint="eastAsia" w:ascii="宋体" w:hAnsi="宋体" w:eastAsia="宋体" w:cs="宋体"/>
                <w:bCs/>
                <w:kern w:val="0"/>
                <w:sz w:val="21"/>
                <w:szCs w:val="21"/>
                <w:highlight w:val="none"/>
              </w:rPr>
              <w:t>之日起</w:t>
            </w:r>
            <w:r>
              <w:rPr>
                <w:rFonts w:hint="eastAsia" w:ascii="宋体" w:hAnsi="宋体" w:eastAsia="宋体" w:cs="宋体"/>
                <w:bCs/>
                <w:kern w:val="0"/>
                <w:sz w:val="21"/>
                <w:szCs w:val="21"/>
                <w:highlight w:val="none"/>
                <w:lang w:val="en-US" w:eastAsia="zh-CN"/>
              </w:rPr>
              <w:t>30天内按采购人要求</w:t>
            </w:r>
            <w:r>
              <w:rPr>
                <w:rFonts w:hint="eastAsia" w:ascii="宋体" w:hAnsi="宋体" w:eastAsia="宋体" w:cs="宋体"/>
                <w:bCs/>
                <w:kern w:val="0"/>
                <w:sz w:val="21"/>
                <w:szCs w:val="21"/>
                <w:highlight w:val="none"/>
              </w:rPr>
              <w:t>安装完毕并交付使用。</w:t>
            </w:r>
          </w:p>
          <w:p w14:paraId="5EC720E6">
            <w:pPr>
              <w:snapToGrid w:val="0"/>
              <w:spacing w:line="240" w:lineRule="auto"/>
              <w:outlineLvl w:val="0"/>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2、交货内容包括：</w:t>
            </w:r>
          </w:p>
          <w:p w14:paraId="28E43C64">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（1）设备整机、配件、出厂随配耗材等。</w:t>
            </w:r>
          </w:p>
          <w:p w14:paraId="6E32069E">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（2）说明书、产品合格证或质量证书、保修单、保险单（如有）等。</w:t>
            </w:r>
          </w:p>
          <w:p w14:paraId="23461609">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（3）上述文件资料应随货物一并提供。</w:t>
            </w:r>
          </w:p>
          <w:p w14:paraId="5E218B29">
            <w:pPr>
              <w:snapToGrid w:val="0"/>
              <w:spacing w:line="240" w:lineRule="auto"/>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3、交货地点：</w:t>
            </w:r>
            <w:r>
              <w:rPr>
                <w:rFonts w:hint="eastAsia" w:ascii="宋体" w:hAnsi="宋体" w:eastAsia="宋体" w:cs="宋体"/>
                <w:sz w:val="21"/>
                <w:szCs w:val="21"/>
                <w:lang w:eastAsia="zh-CN"/>
              </w:rPr>
              <w:t>海南省乐东县九所镇广西南繁基地</w:t>
            </w:r>
            <w:r>
              <w:rPr>
                <w:rFonts w:hint="eastAsia" w:ascii="宋体" w:hAnsi="宋体" w:cs="宋体"/>
                <w:sz w:val="21"/>
                <w:szCs w:val="21"/>
                <w:lang w:eastAsia="zh-CN"/>
              </w:rPr>
              <w:t>、</w:t>
            </w:r>
            <w:r>
              <w:rPr>
                <w:rFonts w:hint="eastAsia" w:ascii="宋体" w:hAnsi="宋体" w:eastAsia="宋体" w:cs="宋体"/>
                <w:sz w:val="21"/>
                <w:szCs w:val="21"/>
              </w:rPr>
              <w:t>三亚市崖州区长山村广西南繁基地</w:t>
            </w:r>
            <w:r>
              <w:rPr>
                <w:rFonts w:hint="eastAsia" w:ascii="宋体" w:hAnsi="宋体" w:cs="宋体"/>
                <w:sz w:val="21"/>
                <w:szCs w:val="21"/>
                <w:lang w:eastAsia="zh-CN"/>
              </w:rPr>
              <w:t>，采购人指定地点</w:t>
            </w:r>
            <w:r>
              <w:rPr>
                <w:rFonts w:hint="eastAsia" w:ascii="宋体" w:hAnsi="宋体" w:eastAsia="宋体" w:cs="宋体"/>
                <w:sz w:val="21"/>
                <w:szCs w:val="21"/>
              </w:rPr>
              <w:t>。</w:t>
            </w:r>
          </w:p>
        </w:tc>
      </w:tr>
      <w:tr w14:paraId="621C9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left w:val="single" w:color="000000" w:sz="4" w:space="0"/>
              <w:right w:val="single" w:color="000000" w:sz="4" w:space="0"/>
            </w:tcBorders>
            <w:vAlign w:val="center"/>
          </w:tcPr>
          <w:p w14:paraId="21574488">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4</w:t>
            </w:r>
          </w:p>
        </w:tc>
        <w:tc>
          <w:tcPr>
            <w:tcW w:w="1487" w:type="dxa"/>
            <w:tcBorders>
              <w:left w:val="nil"/>
              <w:right w:val="single" w:color="000000" w:sz="4" w:space="0"/>
            </w:tcBorders>
            <w:vAlign w:val="center"/>
          </w:tcPr>
          <w:p w14:paraId="310B6F5B">
            <w:pPr>
              <w:snapToGrid w:val="0"/>
              <w:spacing w:line="240" w:lineRule="auto"/>
              <w:jc w:val="center"/>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kern w:val="0"/>
                <w:sz w:val="21"/>
                <w:szCs w:val="21"/>
              </w:rPr>
              <w:t>验收</w:t>
            </w:r>
            <w:r>
              <w:rPr>
                <w:rFonts w:hint="eastAsia" w:ascii="宋体" w:hAnsi="宋体" w:eastAsia="宋体" w:cs="宋体"/>
                <w:bCs/>
                <w:kern w:val="0"/>
                <w:sz w:val="21"/>
                <w:szCs w:val="21"/>
                <w:lang w:eastAsia="zh-CN"/>
              </w:rPr>
              <w:t>依据、标准、验收程序</w:t>
            </w:r>
          </w:p>
        </w:tc>
        <w:tc>
          <w:tcPr>
            <w:tcW w:w="7739" w:type="dxa"/>
            <w:gridSpan w:val="3"/>
            <w:tcBorders>
              <w:top w:val="single" w:color="auto" w:sz="4" w:space="0"/>
              <w:left w:val="nil"/>
              <w:bottom w:val="single" w:color="auto" w:sz="4" w:space="0"/>
              <w:right w:val="single" w:color="000000" w:sz="4" w:space="0"/>
            </w:tcBorders>
            <w:vAlign w:val="top"/>
          </w:tcPr>
          <w:p w14:paraId="4CE375D1">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验收主体：采购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w:t>
            </w:r>
          </w:p>
          <w:p w14:paraId="06548C48">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自仪器设备到货</w:t>
            </w:r>
            <w:r>
              <w:rPr>
                <w:rFonts w:hint="eastAsia" w:ascii="宋体" w:hAnsi="宋体" w:eastAsia="宋体" w:cs="宋体"/>
                <w:color w:val="auto"/>
                <w:sz w:val="21"/>
                <w:szCs w:val="21"/>
                <w:lang w:eastAsia="zh-CN"/>
              </w:rPr>
              <w:t>、安装调试完成</w:t>
            </w:r>
            <w:r>
              <w:rPr>
                <w:rFonts w:hint="eastAsia" w:ascii="宋体" w:hAnsi="宋体" w:eastAsia="宋体" w:cs="宋体"/>
                <w:color w:val="auto"/>
                <w:sz w:val="21"/>
                <w:szCs w:val="21"/>
              </w:rPr>
              <w:t>之日起</w:t>
            </w:r>
            <w:r>
              <w:rPr>
                <w:rFonts w:hint="eastAsia" w:ascii="宋体" w:hAnsi="宋体" w:eastAsia="宋体" w:cs="宋体"/>
                <w:color w:val="auto"/>
                <w:sz w:val="21"/>
                <w:szCs w:val="21"/>
                <w:lang w:val="en-US" w:eastAsia="zh-CN"/>
              </w:rPr>
              <w:t>30天内完成验收</w:t>
            </w:r>
            <w:r>
              <w:rPr>
                <w:rFonts w:hint="eastAsia" w:ascii="宋体" w:hAnsi="宋体" w:eastAsia="宋体" w:cs="宋体"/>
                <w:color w:val="auto"/>
                <w:sz w:val="21"/>
                <w:szCs w:val="21"/>
              </w:rPr>
              <w:t>。</w:t>
            </w:r>
          </w:p>
          <w:p w14:paraId="0D81F3A9">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依据及标准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国家、行业标准、招标文件采购需求、投标文件承诺</w:t>
            </w:r>
          </w:p>
          <w:p w14:paraId="7D23809F">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履约验收程序</w:t>
            </w:r>
            <w:r>
              <w:rPr>
                <w:rFonts w:hint="eastAsia" w:ascii="宋体" w:hAnsi="宋体" w:eastAsia="宋体" w:cs="宋体"/>
                <w:color w:val="auto"/>
                <w:sz w:val="21"/>
                <w:szCs w:val="21"/>
                <w:highlight w:val="none"/>
                <w:lang w:eastAsia="zh-CN"/>
              </w:rPr>
              <w:t>：</w:t>
            </w:r>
          </w:p>
          <w:p w14:paraId="7F8462CD">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A.成立验收小组：采购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代表成立验收小组。</w:t>
            </w:r>
          </w:p>
          <w:p w14:paraId="1035BBB0">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B.开箱验收：</w:t>
            </w:r>
          </w:p>
          <w:p w14:paraId="6CFC5D27">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中标人代表双方当场</w:t>
            </w:r>
            <w:r>
              <w:rPr>
                <w:rFonts w:hint="eastAsia" w:ascii="宋体" w:hAnsi="宋体" w:eastAsia="宋体" w:cs="宋体"/>
                <w:color w:val="auto"/>
                <w:sz w:val="21"/>
                <w:szCs w:val="21"/>
                <w:highlight w:val="none"/>
              </w:rPr>
              <w:t>进行开箱验收。检查其外包装是否完好无损，并对设备数量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eastAsia="zh-CN"/>
              </w:rPr>
              <w:t>初步</w:t>
            </w:r>
            <w:r>
              <w:rPr>
                <w:rFonts w:hint="eastAsia" w:ascii="宋体" w:hAnsi="宋体" w:eastAsia="宋体" w:cs="宋体"/>
                <w:color w:val="auto"/>
                <w:sz w:val="21"/>
                <w:szCs w:val="21"/>
                <w:highlight w:val="none"/>
              </w:rPr>
              <w:t>核对，检查是否与合同一致，文档材料是否齐全。</w:t>
            </w:r>
          </w:p>
          <w:p w14:paraId="30988131">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)如发现设备短缺、损坏或其他与合同约定不符的情况，由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采取补齐、更换及其他补救措施，以确保仪器设备的正常安装调试。</w:t>
            </w:r>
          </w:p>
          <w:p w14:paraId="5ECBAE0D">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)开箱检验合格后，由采购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w:t>
            </w:r>
            <w:r>
              <w:rPr>
                <w:rFonts w:hint="eastAsia" w:ascii="宋体" w:hAnsi="宋体" w:eastAsia="宋体" w:cs="宋体"/>
                <w:color w:val="auto"/>
                <w:sz w:val="21"/>
                <w:szCs w:val="21"/>
                <w:highlight w:val="none"/>
              </w:rPr>
              <w:t>签署开箱检验验收书，开箱检验验收书应列明合同设备数量、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文档资料等验收情况及评价意见。</w:t>
            </w:r>
          </w:p>
          <w:p w14:paraId="187A77D3">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C.安装、调试</w:t>
            </w:r>
          </w:p>
          <w:p w14:paraId="4E21FBF4">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进行仪器设备的安装、调试。</w:t>
            </w:r>
          </w:p>
          <w:p w14:paraId="4B2A87DE">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w:t>
            </w:r>
            <w:r>
              <w:rPr>
                <w:rFonts w:hint="eastAsia" w:ascii="宋体" w:hAnsi="宋体" w:eastAsia="宋体" w:cs="宋体"/>
                <w:color w:val="auto"/>
                <w:sz w:val="21"/>
                <w:szCs w:val="21"/>
                <w:highlight w:val="none"/>
                <w:lang w:eastAsia="zh-CN"/>
              </w:rPr>
              <w:t>、中标人代表进行设备试运行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试运行情况</w:t>
            </w:r>
            <w:r>
              <w:rPr>
                <w:rFonts w:hint="eastAsia" w:ascii="宋体" w:hAnsi="宋体" w:eastAsia="宋体" w:cs="宋体"/>
                <w:color w:val="auto"/>
                <w:sz w:val="21"/>
                <w:szCs w:val="21"/>
                <w:highlight w:val="none"/>
              </w:rPr>
              <w:t>进行评价。</w:t>
            </w:r>
          </w:p>
          <w:p w14:paraId="53814649">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试运行时由采购人对照招标文件的功能目标及技术指标要求、投标文件响应的功能、参数全面核对检验，所提供设备的性能应与投标时提供的证明文件及响应的功能、参数完全一致，</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共同对安装、调试情况进行记录。</w:t>
            </w:r>
            <w:r>
              <w:rPr>
                <w:rFonts w:hint="eastAsia" w:ascii="宋体" w:hAnsi="宋体" w:eastAsia="宋体" w:cs="宋体"/>
                <w:color w:val="auto"/>
                <w:sz w:val="21"/>
                <w:szCs w:val="21"/>
                <w:highlight w:val="none"/>
                <w:lang w:eastAsia="zh-CN"/>
              </w:rPr>
              <w:t>如不符合招标文件的技术需求及要求以及提供虚假承诺的，按相关规定做退货处理及违约处理，中标人承担所有责任和费用，采购人保留进一步追究责任的权利。</w:t>
            </w:r>
          </w:p>
          <w:p w14:paraId="44A174D9">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采购项目进行验收时，采购人可以邀请参加本项目的其他投标人、技术专家或者第三方机构参与验收。参与验收的投标人、技术专家或者第三方机构的意见作为验收书的参考资料一并存档。验收所产生的一切费用由中标人承担。</w:t>
            </w:r>
          </w:p>
          <w:p w14:paraId="52C9B06E">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D</w:t>
            </w:r>
            <w:r>
              <w:rPr>
                <w:rFonts w:hint="eastAsia" w:ascii="宋体" w:hAnsi="宋体" w:eastAsia="宋体" w:cs="宋体"/>
                <w:color w:val="auto"/>
                <w:sz w:val="21"/>
                <w:szCs w:val="21"/>
                <w:highlight w:val="none"/>
              </w:rPr>
              <w:t>.履约验收其他事项：</w:t>
            </w:r>
          </w:p>
          <w:p w14:paraId="78399E75">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验收资料归档，采购合同项目完成验收后，将验收原始记录、验收书等资料作为该采购项目档案妥善保管，不得伪造、变造、隐匿或者销毁，验收资料保存期为采购结束之日起至少保存15年。</w:t>
            </w:r>
          </w:p>
          <w:p w14:paraId="2D1B8EA2">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原因造成不按时完成验收、造成逾期供货事实的，由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承担相关合同责任。</w:t>
            </w:r>
          </w:p>
          <w:p w14:paraId="71C99301">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)验收合格后视为设备交接，在验收合格前设备属于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，所有运输、仓储、装卸、保管、搬运等相关责任由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负责。</w:t>
            </w:r>
          </w:p>
          <w:p w14:paraId="1A28CFA6">
            <w:pPr>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5.验收内容：包括每个采购标的每一项技术参数和商务要求全部内容的履约情况。</w:t>
            </w:r>
          </w:p>
        </w:tc>
      </w:tr>
      <w:tr w14:paraId="063F7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left w:val="single" w:color="000000" w:sz="4" w:space="0"/>
              <w:right w:val="single" w:color="000000" w:sz="4" w:space="0"/>
            </w:tcBorders>
            <w:vAlign w:val="center"/>
          </w:tcPr>
          <w:p w14:paraId="6E810770">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5</w:t>
            </w:r>
          </w:p>
        </w:tc>
        <w:tc>
          <w:tcPr>
            <w:tcW w:w="1487" w:type="dxa"/>
            <w:tcBorders>
              <w:left w:val="nil"/>
              <w:right w:val="single" w:color="000000" w:sz="4" w:space="0"/>
            </w:tcBorders>
            <w:vAlign w:val="center"/>
          </w:tcPr>
          <w:p w14:paraId="0E275E1C">
            <w:pPr>
              <w:snapToGrid w:val="0"/>
              <w:spacing w:line="240"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rPr>
              <w:t>付款条件</w:t>
            </w:r>
          </w:p>
        </w:tc>
        <w:tc>
          <w:tcPr>
            <w:tcW w:w="7739" w:type="dxa"/>
            <w:gridSpan w:val="3"/>
            <w:tcBorders>
              <w:top w:val="single" w:color="auto" w:sz="4" w:space="0"/>
              <w:left w:val="nil"/>
              <w:bottom w:val="single" w:color="auto" w:sz="4" w:space="0"/>
              <w:right w:val="single" w:color="000000" w:sz="4" w:space="0"/>
            </w:tcBorders>
            <w:vAlign w:val="top"/>
          </w:tcPr>
          <w:p w14:paraId="2D6148FF">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1、签订合同后10个工作日内，支付合同合计金额的30%作为预付款；全部货物到货后支付合同款的5</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%，安装调试</w:t>
            </w:r>
            <w:r>
              <w:rPr>
                <w:rFonts w:hint="eastAsia" w:ascii="宋体" w:hAnsi="宋体" w:cs="宋体"/>
                <w:color w:val="auto"/>
                <w:sz w:val="21"/>
                <w:szCs w:val="21"/>
                <w:lang w:eastAsia="zh-CN"/>
              </w:rPr>
              <w:t>并</w:t>
            </w:r>
            <w:r>
              <w:rPr>
                <w:rFonts w:hint="eastAsia" w:ascii="宋体" w:hAnsi="宋体" w:eastAsia="宋体" w:cs="宋体"/>
                <w:color w:val="auto"/>
                <w:sz w:val="21"/>
                <w:szCs w:val="21"/>
              </w:rPr>
              <w:t>经采购人验收合格后，支付剩余合同款。</w:t>
            </w:r>
          </w:p>
          <w:p w14:paraId="38C9163D">
            <w:pPr>
              <w:spacing w:line="240" w:lineRule="auto"/>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、每次付款前供应商应提供请款函和</w:t>
            </w:r>
            <w:r>
              <w:rPr>
                <w:rFonts w:hint="eastAsia" w:ascii="宋体" w:hAnsi="宋体" w:eastAsia="宋体" w:cs="宋体"/>
                <w:color w:val="auto"/>
                <w:sz w:val="21"/>
                <w:szCs w:val="21"/>
                <w:lang w:eastAsia="zh-CN"/>
              </w:rPr>
              <w:t>合法</w:t>
            </w:r>
            <w:r>
              <w:rPr>
                <w:rFonts w:hint="eastAsia" w:ascii="宋体" w:hAnsi="宋体" w:eastAsia="宋体" w:cs="宋体"/>
                <w:color w:val="auto"/>
                <w:sz w:val="21"/>
                <w:szCs w:val="21"/>
              </w:rPr>
              <w:t>发票。</w:t>
            </w:r>
          </w:p>
        </w:tc>
      </w:tr>
      <w:tr w14:paraId="72AB2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left w:val="single" w:color="000000" w:sz="4" w:space="0"/>
              <w:right w:val="single" w:color="000000" w:sz="4" w:space="0"/>
            </w:tcBorders>
            <w:vAlign w:val="center"/>
          </w:tcPr>
          <w:p w14:paraId="5B26AA63">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6</w:t>
            </w:r>
          </w:p>
        </w:tc>
        <w:tc>
          <w:tcPr>
            <w:tcW w:w="1487" w:type="dxa"/>
            <w:tcBorders>
              <w:left w:val="nil"/>
              <w:right w:val="single" w:color="000000" w:sz="4" w:space="0"/>
            </w:tcBorders>
            <w:vAlign w:val="center"/>
          </w:tcPr>
          <w:p w14:paraId="00E95BAD">
            <w:pPr>
              <w:snapToGrid w:val="0"/>
              <w:spacing w:line="240"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售后服务要求</w:t>
            </w:r>
          </w:p>
        </w:tc>
        <w:tc>
          <w:tcPr>
            <w:tcW w:w="7739" w:type="dxa"/>
            <w:gridSpan w:val="3"/>
            <w:tcBorders>
              <w:top w:val="single" w:color="auto" w:sz="4" w:space="0"/>
              <w:left w:val="nil"/>
              <w:bottom w:val="single" w:color="auto" w:sz="4" w:space="0"/>
              <w:right w:val="single" w:color="000000" w:sz="4" w:space="0"/>
            </w:tcBorders>
            <w:vAlign w:val="top"/>
          </w:tcPr>
          <w:p w14:paraId="6FDAAF54">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1、供货：送货上门、安装、调试，采购人不再额外支付费用。</w:t>
            </w:r>
          </w:p>
          <w:p w14:paraId="2D9AE194">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2、现场安装、调试：由采购人提供安装调试环境条件，技术人员到达现场，并在进场一周内完成设备安装、调试，所需工具器材、交通食宿应包含在报价内，采购人不再额外支付费用。</w:t>
            </w:r>
          </w:p>
          <w:p w14:paraId="0ADE80E2">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3、现场培训：在安装调试合格后，</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厂家技术人员对采购人至少2名操作人员现场进行仪器使用及维护培训，能够独立操作仪器</w:t>
            </w:r>
            <w:r>
              <w:rPr>
                <w:rFonts w:hint="eastAsia" w:ascii="宋体" w:hAnsi="宋体" w:eastAsia="宋体" w:cs="宋体"/>
                <w:sz w:val="21"/>
                <w:szCs w:val="21"/>
                <w:lang w:eastAsia="zh-CN"/>
              </w:rPr>
              <w:t>、设备</w:t>
            </w:r>
            <w:r>
              <w:rPr>
                <w:rFonts w:hint="eastAsia" w:ascii="宋体" w:hAnsi="宋体" w:eastAsia="宋体" w:cs="宋体"/>
                <w:sz w:val="21"/>
                <w:szCs w:val="21"/>
              </w:rPr>
              <w:t>。</w:t>
            </w:r>
          </w:p>
          <w:p w14:paraId="11CA5791">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4、后期回访：质保期内进行</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次/年回访，回访期间对仪器进行维护和培训等，采购人不再额外支付费用。</w:t>
            </w:r>
          </w:p>
          <w:p w14:paraId="1D0423AB">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eastAsia="zh-CN"/>
              </w:rPr>
              <w:t>接到采购人故障通知后</w:t>
            </w:r>
            <w:r>
              <w:rPr>
                <w:rFonts w:hint="eastAsia" w:ascii="宋体" w:hAnsi="宋体" w:eastAsia="宋体" w:cs="宋体"/>
                <w:sz w:val="21"/>
                <w:szCs w:val="21"/>
                <w:lang w:val="en-US" w:eastAsia="zh-CN"/>
              </w:rPr>
              <w:t>1</w:t>
            </w:r>
            <w:r>
              <w:rPr>
                <w:rFonts w:hint="eastAsia" w:ascii="宋体" w:hAnsi="宋体" w:eastAsia="宋体" w:cs="宋体"/>
                <w:sz w:val="21"/>
                <w:szCs w:val="21"/>
              </w:rPr>
              <w:t>小时内响应，如不能解决问题将派人</w:t>
            </w:r>
            <w:r>
              <w:rPr>
                <w:rFonts w:hint="eastAsia" w:ascii="宋体" w:hAnsi="宋体" w:eastAsia="宋体" w:cs="宋体"/>
                <w:sz w:val="21"/>
                <w:szCs w:val="21"/>
                <w:lang w:val="en-US" w:eastAsia="zh-CN"/>
              </w:rPr>
              <w:t>24小时内到达</w:t>
            </w:r>
            <w:r>
              <w:rPr>
                <w:rFonts w:hint="eastAsia" w:ascii="宋体" w:hAnsi="宋体" w:eastAsia="宋体" w:cs="宋体"/>
                <w:sz w:val="21"/>
                <w:szCs w:val="21"/>
              </w:rPr>
              <w:t>现场排除故障。</w:t>
            </w:r>
          </w:p>
          <w:p w14:paraId="3D6D3747">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、备件、技术及维修服务及其它：</w:t>
            </w:r>
          </w:p>
          <w:p w14:paraId="41AAB70D">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（1）备件要求：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厂家应在</w:t>
            </w:r>
            <w:r>
              <w:rPr>
                <w:rFonts w:hint="eastAsia" w:ascii="宋体" w:hAnsi="宋体" w:eastAsia="宋体" w:cs="宋体"/>
                <w:sz w:val="21"/>
                <w:szCs w:val="21"/>
                <w:lang w:eastAsia="zh-CN"/>
              </w:rPr>
              <w:t>交货地点所在</w:t>
            </w:r>
            <w:r>
              <w:rPr>
                <w:rFonts w:hint="eastAsia" w:ascii="宋体" w:hAnsi="宋体" w:eastAsia="宋体" w:cs="宋体"/>
                <w:sz w:val="21"/>
                <w:szCs w:val="21"/>
              </w:rPr>
              <w:t>省会中心城市设置备件库，存入所有必须的备件，保证必要时可以及时供应。</w:t>
            </w:r>
          </w:p>
          <w:p w14:paraId="79247DC3">
            <w:pPr>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rPr>
              <w:t>（2）技术及维修服务：在用户当地或省会中心城市，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厂家应配置工程技术人员，随时提供开箱验货、安装、调试或维修等服务。</w:t>
            </w:r>
          </w:p>
          <w:p w14:paraId="3C851C77">
            <w:pPr>
              <w:snapToGrid w:val="0"/>
              <w:spacing w:line="240" w:lineRule="auto"/>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（3）质保期内设备发生故障时，响应时间1小时以内，特殊情况无法到达须提前与采购人沟通。当配件等待周期大于7个工作日时，对应延长质保期。</w:t>
            </w:r>
          </w:p>
        </w:tc>
      </w:tr>
      <w:tr w14:paraId="45995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564" w:type="dxa"/>
            <w:tcBorders>
              <w:left w:val="single" w:color="000000" w:sz="4" w:space="0"/>
              <w:right w:val="single" w:color="000000" w:sz="4" w:space="0"/>
            </w:tcBorders>
            <w:vAlign w:val="center"/>
          </w:tcPr>
          <w:p w14:paraId="6C32F85E">
            <w:pPr>
              <w:bidi w:val="0"/>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7</w:t>
            </w:r>
          </w:p>
        </w:tc>
        <w:tc>
          <w:tcPr>
            <w:tcW w:w="1487" w:type="dxa"/>
            <w:tcBorders>
              <w:left w:val="nil"/>
              <w:right w:val="single" w:color="000000" w:sz="4" w:space="0"/>
            </w:tcBorders>
            <w:vAlign w:val="center"/>
          </w:tcPr>
          <w:p w14:paraId="76FB287C">
            <w:pPr>
              <w:snapToGrid w:val="0"/>
              <w:spacing w:line="240" w:lineRule="auto"/>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其它要求</w:t>
            </w:r>
          </w:p>
        </w:tc>
        <w:tc>
          <w:tcPr>
            <w:tcW w:w="7739" w:type="dxa"/>
            <w:gridSpan w:val="3"/>
            <w:tcBorders>
              <w:top w:val="single" w:color="auto" w:sz="4" w:space="0"/>
              <w:left w:val="nil"/>
              <w:bottom w:val="single" w:color="auto" w:sz="4" w:space="0"/>
              <w:right w:val="single" w:color="000000" w:sz="4" w:space="0"/>
            </w:tcBorders>
            <w:vAlign w:val="top"/>
          </w:tcPr>
          <w:p w14:paraId="7595866E">
            <w:pPr>
              <w:pStyle w:val="14"/>
              <w:snapToGrid w:val="0"/>
              <w:spacing w:line="240" w:lineRule="auto"/>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1、核心产品：本</w:t>
            </w:r>
            <w:r>
              <w:rPr>
                <w:rFonts w:hint="eastAsia" w:hAnsi="宋体" w:cs="宋体"/>
                <w:sz w:val="21"/>
                <w:szCs w:val="21"/>
                <w:lang w:val="en-US" w:eastAsia="zh-CN"/>
              </w:rPr>
              <w:t>分标采购</w:t>
            </w:r>
            <w:r>
              <w:rPr>
                <w:rFonts w:hint="eastAsia" w:hAnsi="宋体" w:cs="宋体"/>
                <w:sz w:val="21"/>
                <w:szCs w:val="21"/>
                <w:highlight w:val="none"/>
                <w:lang w:val="en-US" w:eastAsia="zh-CN"/>
              </w:rPr>
              <w:t>标</w:t>
            </w:r>
            <w:r>
              <w:rPr>
                <w:rFonts w:hint="eastAsia" w:ascii="宋体" w:hAnsi="宋体" w:eastAsia="宋体" w:cs="宋体"/>
                <w:sz w:val="21"/>
                <w:szCs w:val="21"/>
                <w:highlight w:val="none"/>
                <w:lang w:val="en-US" w:eastAsia="zh-CN"/>
              </w:rPr>
              <w:t>的核心产品为</w:t>
            </w:r>
            <w:r>
              <w:rPr>
                <w:rFonts w:hint="eastAsia" w:hAnsi="宋体" w:cs="宋体"/>
                <w:sz w:val="21"/>
                <w:szCs w:val="21"/>
                <w:highlight w:val="none"/>
                <w:lang w:val="en-US" w:eastAsia="zh-CN"/>
              </w:rPr>
              <w:t>“</w:t>
            </w:r>
            <w:r>
              <w:rPr>
                <w:rFonts w:hint="eastAsia" w:ascii="宋体" w:hAnsi="宋体" w:eastAsia="宋体" w:cs="宋体"/>
                <w:b/>
                <w:bCs/>
                <w:sz w:val="21"/>
                <w:szCs w:val="21"/>
                <w:highlight w:val="none"/>
              </w:rPr>
              <w:t>物联网精准控制机房</w:t>
            </w:r>
            <w:r>
              <w:rPr>
                <w:rFonts w:hint="eastAsia" w:hAnsi="宋体" w:cs="宋体"/>
                <w:sz w:val="21"/>
                <w:szCs w:val="21"/>
                <w:highlight w:val="none"/>
                <w:lang w:val="en-US" w:eastAsia="zh-CN"/>
              </w:rPr>
              <w:t>”</w:t>
            </w:r>
            <w:r>
              <w:rPr>
                <w:rFonts w:hint="eastAsia" w:ascii="宋体" w:hAnsi="宋体" w:eastAsia="宋体" w:cs="宋体"/>
                <w:sz w:val="21"/>
                <w:szCs w:val="21"/>
                <w:highlight w:val="none"/>
                <w:lang w:val="en-US" w:eastAsia="zh-CN"/>
              </w:rPr>
              <w:t>。</w:t>
            </w:r>
            <w:r>
              <w:rPr>
                <w:rFonts w:hint="eastAsia" w:ascii="宋体" w:hAnsi="宋体" w:eastAsia="宋体" w:cs="宋体"/>
                <w:b/>
                <w:bCs/>
                <w:color w:val="auto"/>
                <w:kern w:val="2"/>
                <w:sz w:val="21"/>
                <w:szCs w:val="21"/>
                <w:highlight w:val="none"/>
                <w:lang w:val="en-US" w:eastAsia="zh-CN" w:bidi="ar"/>
              </w:rPr>
              <w:t>核心产品品牌相同的，视为提供同品牌产品。核心产品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30766209">
            <w:pPr>
              <w:pStyle w:val="14"/>
              <w:snapToGrid w:val="0"/>
              <w:spacing w:line="240" w:lineRule="auto"/>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2、进口产品：本包</w:t>
            </w:r>
            <w:r>
              <w:rPr>
                <w:rFonts w:hint="eastAsia" w:hAnsi="宋体" w:cs="宋体"/>
                <w:sz w:val="21"/>
                <w:szCs w:val="21"/>
                <w:lang w:val="en-US" w:eastAsia="zh-CN"/>
              </w:rPr>
              <w:t>采购</w:t>
            </w:r>
            <w:r>
              <w:rPr>
                <w:rFonts w:hint="eastAsia" w:ascii="宋体" w:hAnsi="宋体" w:eastAsia="宋体" w:cs="宋体"/>
                <w:sz w:val="21"/>
                <w:szCs w:val="21"/>
                <w:lang w:val="en-US" w:eastAsia="zh-CN"/>
              </w:rPr>
              <w:t>标的不接受进口产品（即通过中国海关报关验放进入中国境内且产自关境外的产品）参与投标，如有此类产品参与投标的做无效投标处理。</w:t>
            </w:r>
          </w:p>
          <w:p w14:paraId="4260D6BB">
            <w:pPr>
              <w:pStyle w:val="14"/>
              <w:snapToGrid w:val="0"/>
              <w:spacing w:line="240" w:lineRule="auto"/>
              <w:outlineLvl w:val="0"/>
              <w:rPr>
                <w:rFonts w:hint="eastAsia" w:ascii="宋体" w:hAnsi="宋体" w:eastAsia="宋体" w:cs="宋体"/>
                <w:sz w:val="21"/>
                <w:szCs w:val="21"/>
              </w:rPr>
            </w:pPr>
            <w:r>
              <w:rPr>
                <w:rFonts w:hint="eastAsia" w:ascii="宋体" w:hAnsi="宋体" w:eastAsia="宋体" w:cs="宋体"/>
                <w:sz w:val="21"/>
                <w:szCs w:val="21"/>
                <w:lang w:val="en-US" w:eastAsia="zh-CN"/>
              </w:rPr>
              <w:t>3、投标人保证向采购人提供的货物是全新、完整、未使用过的</w:t>
            </w:r>
            <w:r>
              <w:rPr>
                <w:rFonts w:hint="eastAsia" w:ascii="宋体" w:hAnsi="宋体" w:eastAsia="宋体" w:cs="宋体"/>
                <w:bCs/>
                <w:kern w:val="0"/>
                <w:sz w:val="21"/>
                <w:szCs w:val="21"/>
                <w:lang w:val="en-US" w:eastAsia="zh-CN"/>
              </w:rPr>
              <w:t>。</w:t>
            </w:r>
          </w:p>
          <w:p w14:paraId="3A2381CE">
            <w:pPr>
              <w:pStyle w:val="14"/>
              <w:snapToGrid w:val="0"/>
              <w:spacing w:line="240" w:lineRule="auto"/>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4、投标时</w:t>
            </w:r>
            <w:r>
              <w:rPr>
                <w:rFonts w:hint="eastAsia" w:hAnsi="宋体" w:cs="宋体"/>
                <w:sz w:val="21"/>
                <w:szCs w:val="21"/>
                <w:lang w:val="en-US" w:eastAsia="zh-CN"/>
              </w:rPr>
              <w:t>按要求</w:t>
            </w:r>
            <w:r>
              <w:rPr>
                <w:rFonts w:hint="eastAsia" w:ascii="宋体" w:hAnsi="宋体" w:eastAsia="宋体" w:cs="宋体"/>
                <w:sz w:val="21"/>
                <w:szCs w:val="21"/>
                <w:lang w:val="en-US" w:eastAsia="zh-CN"/>
              </w:rPr>
              <w:t>提供投标产品彩色图片或说明书或检测报告等产品技术参数佐证材料。</w:t>
            </w:r>
          </w:p>
        </w:tc>
      </w:tr>
    </w:tbl>
    <w:p w14:paraId="317A4508">
      <w:pPr>
        <w:spacing w:line="460" w:lineRule="exact"/>
        <w:ind w:firstLine="602" w:firstLineChars="200"/>
        <w:jc w:val="center"/>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val="en-US" w:eastAsia="zh-CN"/>
        </w:rPr>
        <w:t>6分标</w:t>
      </w:r>
      <w:r>
        <w:rPr>
          <w:rFonts w:hint="eastAsia" w:ascii="宋体" w:hAnsi="宋体" w:cs="宋体"/>
          <w:b/>
          <w:bCs/>
          <w:color w:val="auto"/>
          <w:sz w:val="30"/>
          <w:szCs w:val="30"/>
          <w:highlight w:val="none"/>
          <w:lang w:val="en-US" w:eastAsia="zh-CN"/>
        </w:rPr>
        <w:t>（水产繁育区智慧物联网水质监管系统设备）</w:t>
      </w:r>
    </w:p>
    <w:tbl>
      <w:tblPr>
        <w:tblStyle w:val="28"/>
        <w:tblW w:w="971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8"/>
        <w:gridCol w:w="1303"/>
        <w:gridCol w:w="765"/>
        <w:gridCol w:w="810"/>
        <w:gridCol w:w="6089"/>
      </w:tblGrid>
      <w:tr w14:paraId="1339E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trPr>
        <w:tc>
          <w:tcPr>
            <w:tcW w:w="9715" w:type="dxa"/>
            <w:gridSpan w:val="5"/>
            <w:tcBorders>
              <w:top w:val="single" w:color="000000" w:sz="4" w:space="0"/>
              <w:left w:val="single" w:color="000000" w:sz="4" w:space="0"/>
              <w:bottom w:val="single" w:color="000000" w:sz="4" w:space="0"/>
              <w:right w:val="single" w:color="000000" w:sz="4" w:space="0"/>
            </w:tcBorders>
            <w:vAlign w:val="center"/>
          </w:tcPr>
          <w:p w14:paraId="15B1154C">
            <w:pPr>
              <w:wordWrap/>
              <w:adjustRightInd/>
              <w:snapToGrid/>
              <w:spacing w:before="0" w:after="0" w:line="320" w:lineRule="exact"/>
              <w:ind w:left="0" w:leftChars="0" w:right="0"/>
              <w:jc w:val="center"/>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4"/>
                <w:szCs w:val="24"/>
                <w:highlight w:val="none"/>
                <w:lang w:eastAsia="zh-CN"/>
              </w:rPr>
              <w:t>一、技术要求</w:t>
            </w:r>
          </w:p>
        </w:tc>
      </w:tr>
      <w:tr w14:paraId="7AD5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AEDD">
            <w:pPr>
              <w:wordWrap/>
              <w:adjustRightInd/>
              <w:snapToGrid/>
              <w:spacing w:before="0" w:after="0" w:line="320" w:lineRule="exact"/>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序号</w:t>
            </w:r>
          </w:p>
        </w:tc>
        <w:tc>
          <w:tcPr>
            <w:tcW w:w="1303" w:type="dxa"/>
            <w:tcBorders>
              <w:top w:val="single" w:color="000000" w:sz="4" w:space="0"/>
              <w:left w:val="nil"/>
              <w:bottom w:val="single" w:color="000000" w:sz="4" w:space="0"/>
              <w:right w:val="single" w:color="000000" w:sz="4" w:space="0"/>
            </w:tcBorders>
            <w:shd w:val="clear" w:color="auto" w:fill="auto"/>
            <w:vAlign w:val="center"/>
          </w:tcPr>
          <w:p w14:paraId="234DD13E">
            <w:pPr>
              <w:wordWrap/>
              <w:adjustRightInd/>
              <w:snapToGrid/>
              <w:spacing w:before="0" w:after="0" w:line="320" w:lineRule="exact"/>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产品名称</w:t>
            </w:r>
          </w:p>
        </w:tc>
        <w:tc>
          <w:tcPr>
            <w:tcW w:w="765" w:type="dxa"/>
            <w:tcBorders>
              <w:top w:val="single" w:color="000000" w:sz="4" w:space="0"/>
              <w:left w:val="nil"/>
              <w:bottom w:val="single" w:color="000000" w:sz="4" w:space="0"/>
              <w:right w:val="single" w:color="auto" w:sz="4" w:space="0"/>
            </w:tcBorders>
            <w:shd w:val="clear" w:color="auto" w:fill="auto"/>
            <w:vAlign w:val="center"/>
          </w:tcPr>
          <w:p w14:paraId="3BB2475F">
            <w:pPr>
              <w:wordWrap/>
              <w:adjustRightInd/>
              <w:snapToGrid/>
              <w:spacing w:before="0" w:after="0" w:line="320" w:lineRule="exact"/>
              <w:ind w:left="0" w:leftChars="0" w:right="0" w:rightChars="0"/>
              <w:jc w:val="left"/>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单位</w:t>
            </w:r>
          </w:p>
        </w:tc>
        <w:tc>
          <w:tcPr>
            <w:tcW w:w="810" w:type="dxa"/>
            <w:tcBorders>
              <w:top w:val="single" w:color="000000" w:sz="4" w:space="0"/>
              <w:left w:val="single" w:color="auto" w:sz="4" w:space="0"/>
              <w:bottom w:val="single" w:color="000000" w:sz="4" w:space="0"/>
              <w:right w:val="single" w:color="auto" w:sz="4" w:space="0"/>
            </w:tcBorders>
            <w:shd w:val="clear" w:color="auto" w:fill="auto"/>
            <w:vAlign w:val="center"/>
          </w:tcPr>
          <w:p w14:paraId="6CB10EC0">
            <w:pPr>
              <w:wordWrap/>
              <w:adjustRightInd/>
              <w:snapToGrid/>
              <w:spacing w:before="0" w:after="0" w:line="320" w:lineRule="exact"/>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数量</w:t>
            </w:r>
          </w:p>
        </w:tc>
        <w:tc>
          <w:tcPr>
            <w:tcW w:w="6089" w:type="dxa"/>
            <w:tcBorders>
              <w:top w:val="single" w:color="000000" w:sz="4" w:space="0"/>
              <w:left w:val="single" w:color="auto" w:sz="4" w:space="0"/>
              <w:bottom w:val="single" w:color="000000" w:sz="4" w:space="0"/>
              <w:right w:val="single" w:color="000000" w:sz="4" w:space="0"/>
            </w:tcBorders>
            <w:shd w:val="clear" w:color="auto" w:fill="auto"/>
            <w:vAlign w:val="center"/>
          </w:tcPr>
          <w:p w14:paraId="7A1559AA">
            <w:pPr>
              <w:wordWrap/>
              <w:adjustRightInd/>
              <w:snapToGrid/>
              <w:spacing w:before="0" w:after="0" w:line="320" w:lineRule="exact"/>
              <w:ind w:left="0" w:leftChars="0" w:right="0" w:rightChars="0"/>
              <w:jc w:val="center"/>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rPr>
              <w:t>技术性能、参数及有关要求</w:t>
            </w:r>
          </w:p>
        </w:tc>
      </w:tr>
      <w:tr w14:paraId="2EC66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748" w:type="dxa"/>
            <w:tcBorders>
              <w:top w:val="single" w:color="000000" w:sz="4" w:space="0"/>
              <w:left w:val="single" w:color="000000" w:sz="4" w:space="0"/>
              <w:right w:val="single" w:color="000000" w:sz="4" w:space="0"/>
            </w:tcBorders>
            <w:vAlign w:val="center"/>
          </w:tcPr>
          <w:p w14:paraId="221EE9D9">
            <w:pPr>
              <w:bidi w:val="0"/>
              <w:jc w:val="center"/>
              <w:rPr>
                <w:rFonts w:hint="eastAsia" w:ascii="宋体" w:hAnsi="宋体" w:eastAsia="宋体" w:cs="宋体"/>
                <w:color w:val="auto"/>
                <w:kern w:val="0"/>
                <w:sz w:val="21"/>
                <w:szCs w:val="21"/>
                <w:highlight w:val="none"/>
              </w:rPr>
            </w:pPr>
            <w:r>
              <w:rPr>
                <w:rFonts w:hint="eastAsia" w:ascii="宋体" w:hAnsi="宋体" w:eastAsia="宋体" w:cs="宋体"/>
                <w:sz w:val="21"/>
                <w:szCs w:val="21"/>
                <w:lang w:val="en-US" w:eastAsia="zh-CN"/>
              </w:rPr>
              <w:t>1</w:t>
            </w:r>
          </w:p>
        </w:tc>
        <w:tc>
          <w:tcPr>
            <w:tcW w:w="1303" w:type="dxa"/>
            <w:tcBorders>
              <w:top w:val="single" w:color="000000" w:sz="4" w:space="0"/>
              <w:left w:val="nil"/>
              <w:right w:val="single" w:color="000000" w:sz="4" w:space="0"/>
            </w:tcBorders>
            <w:vAlign w:val="center"/>
          </w:tcPr>
          <w:p w14:paraId="59E6BD03">
            <w:pPr>
              <w:bidi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水质监控主机</w:t>
            </w:r>
          </w:p>
        </w:tc>
        <w:tc>
          <w:tcPr>
            <w:tcW w:w="765" w:type="dxa"/>
            <w:tcBorders>
              <w:top w:val="single" w:color="000000" w:sz="4" w:space="0"/>
              <w:left w:val="nil"/>
              <w:right w:val="single" w:color="auto" w:sz="4" w:space="0"/>
            </w:tcBorders>
            <w:vAlign w:val="center"/>
          </w:tcPr>
          <w:p w14:paraId="5F8221C9">
            <w:pPr>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套</w:t>
            </w:r>
          </w:p>
        </w:tc>
        <w:tc>
          <w:tcPr>
            <w:tcW w:w="810" w:type="dxa"/>
            <w:tcBorders>
              <w:top w:val="single" w:color="000000" w:sz="4" w:space="0"/>
              <w:left w:val="single" w:color="auto" w:sz="4" w:space="0"/>
              <w:right w:val="single" w:color="auto" w:sz="4" w:space="0"/>
            </w:tcBorders>
            <w:vAlign w:val="center"/>
          </w:tcPr>
          <w:p w14:paraId="28A335D7">
            <w:pPr>
              <w:wordWrap/>
              <w:adjustRightInd/>
              <w:snapToGrid/>
              <w:spacing w:before="0" w:after="0" w:line="320" w:lineRule="exact"/>
              <w:ind w:left="0" w:leftChars="0" w:right="0"/>
              <w:jc w:val="center"/>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6089" w:type="dxa"/>
            <w:tcBorders>
              <w:top w:val="single" w:color="000000" w:sz="4" w:space="0"/>
              <w:left w:val="single" w:color="auto" w:sz="4" w:space="0"/>
              <w:bottom w:val="single" w:color="auto" w:sz="4" w:space="0"/>
              <w:right w:val="single" w:color="000000" w:sz="4" w:space="0"/>
            </w:tcBorders>
            <w:vAlign w:val="center"/>
          </w:tcPr>
          <w:p w14:paraId="1FF61433">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监控主机由PLC控制器、触摸屏和配套的水质监控物联网系统软件组成</w:t>
            </w:r>
            <w:r>
              <w:rPr>
                <w:rFonts w:hint="eastAsia" w:ascii="宋体" w:hAnsi="宋体" w:eastAsia="宋体" w:cs="宋体"/>
                <w:color w:val="auto"/>
                <w:kern w:val="0"/>
                <w:sz w:val="21"/>
                <w:szCs w:val="21"/>
                <w:highlight w:val="none"/>
                <w:lang w:eastAsia="zh-CN"/>
              </w:rPr>
              <w:t>。</w:t>
            </w:r>
          </w:p>
          <w:p w14:paraId="0F38B94F">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水质监控物联网系统软件</w:t>
            </w:r>
            <w:r>
              <w:rPr>
                <w:rFonts w:hint="eastAsia" w:ascii="宋体" w:hAnsi="宋体" w:eastAsia="宋体" w:cs="宋体"/>
                <w:color w:val="auto"/>
                <w:kern w:val="0"/>
                <w:sz w:val="21"/>
                <w:szCs w:val="21"/>
                <w:highlight w:val="none"/>
                <w:lang w:eastAsia="zh-CN"/>
              </w:rPr>
              <w:t>：</w:t>
            </w:r>
          </w:p>
          <w:p w14:paraId="40A2BFF4">
            <w:pPr>
              <w:keepNext w:val="0"/>
              <w:keepLines w:val="0"/>
              <w:widowControl/>
              <w:suppressLineNumbers w:val="0"/>
              <w:spacing w:line="360" w:lineRule="auto"/>
              <w:ind w:firstLine="420" w:firstLineChars="20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质监控物联网系统软件能使LORA无线网络、触摸屏和PLC控制器有机连接，并将传感器采集到的各项水质指标数据、设备状态、PLC控制器状态数据转发到云平台，再将云平台下发的数据转发到PLC控制器，由PLC控制相应设备的运行，从而实现智能采集与智能控制的智慧物联网系统，可以云端及本地双控制，可以采用移动终端远程访问控制，支持</w:t>
            </w:r>
            <w:r>
              <w:rPr>
                <w:rFonts w:hint="eastAsia" w:ascii="宋体" w:hAnsi="宋体" w:eastAsia="宋体" w:cs="宋体"/>
                <w:color w:val="auto"/>
                <w:kern w:val="0"/>
                <w:sz w:val="21"/>
                <w:szCs w:val="21"/>
                <w:highlight w:val="none"/>
                <w:lang w:eastAsia="zh-CN"/>
              </w:rPr>
              <w:t>不少</w:t>
            </w:r>
            <w:r>
              <w:rPr>
                <w:rFonts w:hint="eastAsia" w:ascii="宋体" w:hAnsi="宋体" w:eastAsia="宋体" w:cs="宋体"/>
                <w:color w:val="auto"/>
                <w:kern w:val="0"/>
                <w:sz w:val="21"/>
                <w:szCs w:val="21"/>
                <w:highlight w:val="none"/>
              </w:rPr>
              <w:t>10万条历史数据下载，支持</w:t>
            </w:r>
            <w:r>
              <w:rPr>
                <w:rFonts w:hint="eastAsia" w:ascii="宋体" w:hAnsi="宋体" w:eastAsia="宋体" w:cs="宋体"/>
                <w:color w:val="auto"/>
                <w:kern w:val="0"/>
                <w:sz w:val="21"/>
                <w:szCs w:val="21"/>
                <w:highlight w:val="none"/>
                <w:lang w:eastAsia="zh-CN"/>
              </w:rPr>
              <w:t>不少</w:t>
            </w:r>
            <w:r>
              <w:rPr>
                <w:rFonts w:hint="eastAsia" w:ascii="宋体" w:hAnsi="宋体" w:eastAsia="宋体" w:cs="宋体"/>
                <w:color w:val="auto"/>
                <w:kern w:val="0"/>
                <w:sz w:val="21"/>
                <w:szCs w:val="21"/>
                <w:highlight w:val="none"/>
              </w:rPr>
              <w:t>10个账号监控。</w:t>
            </w:r>
          </w:p>
          <w:p w14:paraId="40833546">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液晶触摸屏</w:t>
            </w:r>
            <w:r>
              <w:rPr>
                <w:rFonts w:hint="eastAsia" w:ascii="宋体" w:hAnsi="宋体" w:eastAsia="宋体" w:cs="宋体"/>
                <w:color w:val="auto"/>
                <w:kern w:val="0"/>
                <w:sz w:val="21"/>
                <w:szCs w:val="21"/>
                <w:highlight w:val="none"/>
                <w:lang w:eastAsia="zh-CN"/>
              </w:rPr>
              <w:t>：</w:t>
            </w:r>
          </w:p>
          <w:p w14:paraId="02A95E26">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7" TFT</w:t>
            </w:r>
            <w:r>
              <w:rPr>
                <w:rFonts w:hint="eastAsia" w:ascii="宋体" w:hAnsi="宋体" w:eastAsia="宋体" w:cs="宋体"/>
                <w:color w:val="auto"/>
                <w:kern w:val="0"/>
                <w:sz w:val="21"/>
                <w:szCs w:val="21"/>
                <w:highlight w:val="none"/>
                <w:lang w:eastAsia="zh-CN"/>
              </w:rPr>
              <w:t>；</w:t>
            </w:r>
          </w:p>
          <w:p w14:paraId="1137FA6E">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背光类型</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LED</w:t>
            </w:r>
            <w:r>
              <w:rPr>
                <w:rFonts w:hint="eastAsia" w:ascii="宋体" w:hAnsi="宋体" w:eastAsia="宋体" w:cs="宋体"/>
                <w:color w:val="auto"/>
                <w:kern w:val="0"/>
                <w:sz w:val="21"/>
                <w:szCs w:val="21"/>
                <w:highlight w:val="none"/>
                <w:lang w:eastAsia="zh-CN"/>
              </w:rPr>
              <w:t>；</w:t>
            </w:r>
          </w:p>
          <w:p w14:paraId="27BE2B9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显示颜色</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262K</w:t>
            </w:r>
            <w:r>
              <w:rPr>
                <w:rFonts w:hint="eastAsia" w:ascii="宋体" w:hAnsi="宋体" w:eastAsia="宋体" w:cs="宋体"/>
                <w:color w:val="auto"/>
                <w:kern w:val="0"/>
                <w:sz w:val="21"/>
                <w:szCs w:val="21"/>
                <w:highlight w:val="none"/>
                <w:lang w:eastAsia="zh-CN"/>
              </w:rPr>
              <w:t>；</w:t>
            </w:r>
          </w:p>
          <w:p w14:paraId="73494639">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分 辨 率</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800×480</w:t>
            </w:r>
            <w:r>
              <w:rPr>
                <w:rFonts w:hint="eastAsia" w:ascii="宋体" w:hAnsi="宋体" w:eastAsia="宋体" w:cs="宋体"/>
                <w:color w:val="auto"/>
                <w:kern w:val="0"/>
                <w:sz w:val="21"/>
                <w:szCs w:val="21"/>
                <w:highlight w:val="none"/>
                <w:lang w:eastAsia="zh-CN"/>
              </w:rPr>
              <w:t>；</w:t>
            </w:r>
          </w:p>
          <w:p w14:paraId="656F7929">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显示亮度</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250cd/㎡</w:t>
            </w:r>
            <w:r>
              <w:rPr>
                <w:rFonts w:hint="eastAsia" w:ascii="宋体" w:hAnsi="宋体" w:eastAsia="宋体" w:cs="宋体"/>
                <w:color w:val="auto"/>
                <w:kern w:val="0"/>
                <w:sz w:val="21"/>
                <w:szCs w:val="21"/>
                <w:highlight w:val="none"/>
                <w:lang w:eastAsia="zh-CN"/>
              </w:rPr>
              <w:t>；</w:t>
            </w:r>
          </w:p>
          <w:p w14:paraId="520E61C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触 摸 屏</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四线电阻式</w:t>
            </w:r>
            <w:r>
              <w:rPr>
                <w:rFonts w:hint="eastAsia" w:ascii="宋体" w:hAnsi="宋体" w:eastAsia="宋体" w:cs="宋体"/>
                <w:color w:val="auto"/>
                <w:kern w:val="0"/>
                <w:sz w:val="21"/>
                <w:szCs w:val="21"/>
                <w:highlight w:val="none"/>
                <w:lang w:eastAsia="zh-CN"/>
              </w:rPr>
              <w:t>；</w:t>
            </w:r>
          </w:p>
          <w:p w14:paraId="19C9F03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输入电压</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24±20%VDC</w:t>
            </w:r>
            <w:r>
              <w:rPr>
                <w:rFonts w:hint="eastAsia" w:ascii="宋体" w:hAnsi="宋体" w:eastAsia="宋体" w:cs="宋体"/>
                <w:color w:val="auto"/>
                <w:kern w:val="0"/>
                <w:sz w:val="21"/>
                <w:szCs w:val="21"/>
                <w:highlight w:val="none"/>
                <w:lang w:eastAsia="zh-CN"/>
              </w:rPr>
              <w:t>；</w:t>
            </w:r>
          </w:p>
          <w:p w14:paraId="3E0C0E09">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额定功率</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5W</w:t>
            </w:r>
            <w:r>
              <w:rPr>
                <w:rFonts w:hint="eastAsia" w:ascii="宋体" w:hAnsi="宋体" w:eastAsia="宋体" w:cs="宋体"/>
                <w:color w:val="auto"/>
                <w:kern w:val="0"/>
                <w:sz w:val="21"/>
                <w:szCs w:val="21"/>
                <w:highlight w:val="none"/>
                <w:lang w:eastAsia="zh-CN"/>
              </w:rPr>
              <w:t>；</w:t>
            </w:r>
          </w:p>
          <w:p w14:paraId="24A5C8E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处 理 器</w:t>
            </w:r>
            <w:r>
              <w:rPr>
                <w:rFonts w:hint="eastAsia" w:ascii="宋体" w:hAnsi="宋体" w:eastAsia="宋体" w:cs="宋体"/>
                <w:color w:val="auto"/>
                <w:kern w:val="0"/>
                <w:sz w:val="21"/>
                <w:szCs w:val="21"/>
                <w:highlight w:val="none"/>
                <w:lang w:eastAsia="zh-CN"/>
              </w:rPr>
              <w:t>：相当于或优于</w:t>
            </w:r>
            <w:r>
              <w:rPr>
                <w:rFonts w:hint="eastAsia" w:ascii="宋体" w:hAnsi="宋体" w:eastAsia="宋体" w:cs="宋体"/>
                <w:color w:val="auto"/>
                <w:kern w:val="0"/>
                <w:sz w:val="21"/>
                <w:szCs w:val="21"/>
                <w:highlight w:val="none"/>
              </w:rPr>
              <w:t xml:space="preserve"> Cortex-A7 多核 800MHz</w:t>
            </w:r>
            <w:r>
              <w:rPr>
                <w:rFonts w:hint="eastAsia" w:ascii="宋体" w:hAnsi="宋体" w:eastAsia="宋体" w:cs="宋体"/>
                <w:color w:val="auto"/>
                <w:kern w:val="0"/>
                <w:sz w:val="21"/>
                <w:szCs w:val="21"/>
                <w:highlight w:val="none"/>
                <w:lang w:eastAsia="zh-CN"/>
              </w:rPr>
              <w:t>；</w:t>
            </w:r>
          </w:p>
          <w:p w14:paraId="4D8B0F87">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内 存</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128MB</w:t>
            </w:r>
            <w:r>
              <w:rPr>
                <w:rFonts w:hint="eastAsia" w:ascii="宋体" w:hAnsi="宋体" w:eastAsia="宋体" w:cs="宋体"/>
                <w:color w:val="auto"/>
                <w:kern w:val="0"/>
                <w:sz w:val="21"/>
                <w:szCs w:val="21"/>
                <w:highlight w:val="none"/>
                <w:lang w:eastAsia="zh-CN"/>
              </w:rPr>
              <w:t>；</w:t>
            </w:r>
          </w:p>
          <w:p w14:paraId="0FBCB937">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系统存储</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128MB</w:t>
            </w:r>
            <w:r>
              <w:rPr>
                <w:rFonts w:hint="eastAsia" w:ascii="宋体" w:hAnsi="宋体" w:eastAsia="宋体" w:cs="宋体"/>
                <w:color w:val="auto"/>
                <w:kern w:val="0"/>
                <w:sz w:val="21"/>
                <w:szCs w:val="21"/>
                <w:highlight w:val="none"/>
                <w:lang w:eastAsia="zh-CN"/>
              </w:rPr>
              <w:t>；</w:t>
            </w:r>
          </w:p>
          <w:p w14:paraId="074A6B5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存盘空间</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128MB</w:t>
            </w:r>
            <w:r>
              <w:rPr>
                <w:rFonts w:hint="eastAsia" w:ascii="宋体" w:hAnsi="宋体" w:eastAsia="宋体" w:cs="宋体"/>
                <w:color w:val="auto"/>
                <w:kern w:val="0"/>
                <w:sz w:val="21"/>
                <w:szCs w:val="21"/>
                <w:highlight w:val="none"/>
                <w:lang w:eastAsia="zh-CN"/>
              </w:rPr>
              <w:t>；</w:t>
            </w:r>
          </w:p>
          <w:p w14:paraId="610E03CD">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硬件时钟</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内置</w:t>
            </w:r>
            <w:r>
              <w:rPr>
                <w:rFonts w:hint="eastAsia" w:ascii="宋体" w:hAnsi="宋体" w:eastAsia="宋体" w:cs="宋体"/>
                <w:color w:val="auto"/>
                <w:kern w:val="0"/>
                <w:sz w:val="21"/>
                <w:szCs w:val="21"/>
                <w:highlight w:val="none"/>
                <w:lang w:eastAsia="zh-CN"/>
              </w:rPr>
              <w:t>。</w:t>
            </w:r>
          </w:p>
          <w:p w14:paraId="02CC0C0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PLC控制器</w:t>
            </w:r>
          </w:p>
          <w:p w14:paraId="00764146">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电源：AC100-240V</w:t>
            </w:r>
          </w:p>
          <w:p w14:paraId="41106927">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CPU 特征</w:t>
            </w:r>
            <w:r>
              <w:rPr>
                <w:rFonts w:hint="eastAsia" w:ascii="宋体" w:hAnsi="宋体" w:eastAsia="宋体" w:cs="宋体"/>
                <w:color w:val="auto"/>
                <w:kern w:val="0"/>
                <w:sz w:val="21"/>
                <w:szCs w:val="21"/>
                <w:highlight w:val="none"/>
                <w:lang w:eastAsia="zh-CN"/>
              </w:rPr>
              <w:t>：</w:t>
            </w:r>
          </w:p>
          <w:p w14:paraId="343B7430">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rPr>
              <w:t>用户储存器</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12 KB程序存储器/8 KB数据存储器/最大10 KB保持性存储器</w:t>
            </w:r>
            <w:r>
              <w:rPr>
                <w:rFonts w:hint="eastAsia" w:ascii="宋体" w:hAnsi="宋体" w:eastAsia="宋体" w:cs="宋体"/>
                <w:color w:val="auto"/>
                <w:kern w:val="0"/>
                <w:sz w:val="21"/>
                <w:szCs w:val="21"/>
                <w:highlight w:val="none"/>
                <w:lang w:eastAsia="zh-CN"/>
              </w:rPr>
              <w:t>；</w:t>
            </w:r>
          </w:p>
          <w:p w14:paraId="3F70709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板载数字 I/O 12 点输入/8 点输出</w:t>
            </w:r>
            <w:r>
              <w:rPr>
                <w:rFonts w:hint="eastAsia" w:ascii="宋体" w:hAnsi="宋体" w:eastAsia="宋体" w:cs="宋体"/>
                <w:color w:val="auto"/>
                <w:kern w:val="0"/>
                <w:sz w:val="21"/>
                <w:szCs w:val="21"/>
                <w:highlight w:val="none"/>
                <w:lang w:eastAsia="zh-CN"/>
              </w:rPr>
              <w:t>；</w:t>
            </w:r>
          </w:p>
          <w:p w14:paraId="2802244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过程映像大小 256 位输入（I）/ 256 位输出（Q）</w:t>
            </w:r>
            <w:r>
              <w:rPr>
                <w:rFonts w:hint="eastAsia" w:ascii="宋体" w:hAnsi="宋体" w:eastAsia="宋体" w:cs="宋体"/>
                <w:color w:val="auto"/>
                <w:kern w:val="0"/>
                <w:sz w:val="21"/>
                <w:szCs w:val="21"/>
                <w:highlight w:val="none"/>
                <w:lang w:eastAsia="zh-CN"/>
              </w:rPr>
              <w:t>，</w:t>
            </w:r>
          </w:p>
          <w:p w14:paraId="71F3E17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模拟映像 56个字的输入(AI)/56个字的输出(AQ)</w:t>
            </w:r>
            <w:r>
              <w:rPr>
                <w:rFonts w:hint="eastAsia" w:ascii="宋体" w:hAnsi="宋体" w:eastAsia="宋体" w:cs="宋体"/>
                <w:color w:val="auto"/>
                <w:kern w:val="0"/>
                <w:sz w:val="21"/>
                <w:szCs w:val="21"/>
                <w:highlight w:val="none"/>
                <w:lang w:eastAsia="zh-CN"/>
              </w:rPr>
              <w:t>；</w:t>
            </w:r>
          </w:p>
          <w:p w14:paraId="5557EFAE">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位存储器（M）</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256 位</w:t>
            </w:r>
            <w:r>
              <w:rPr>
                <w:rFonts w:hint="eastAsia" w:ascii="宋体" w:hAnsi="宋体" w:eastAsia="宋体" w:cs="宋体"/>
                <w:color w:val="auto"/>
                <w:kern w:val="0"/>
                <w:sz w:val="21"/>
                <w:szCs w:val="21"/>
                <w:highlight w:val="none"/>
                <w:lang w:eastAsia="zh-CN"/>
              </w:rPr>
              <w:t>；</w:t>
            </w:r>
          </w:p>
          <w:p w14:paraId="71165347">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临时（局部）存储</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主程序中 64 字节，每个子程序和中断程序中 64 字节</w:t>
            </w:r>
            <w:r>
              <w:rPr>
                <w:rFonts w:hint="eastAsia" w:ascii="宋体" w:hAnsi="宋体" w:eastAsia="宋体" w:cs="宋体"/>
                <w:color w:val="auto"/>
                <w:kern w:val="0"/>
                <w:sz w:val="21"/>
                <w:szCs w:val="21"/>
                <w:highlight w:val="none"/>
                <w:lang w:eastAsia="zh-CN"/>
              </w:rPr>
              <w:t>；</w:t>
            </w:r>
          </w:p>
          <w:p w14:paraId="7C8EDCA3">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I/O 模块扩展</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6 个扩展模块</w:t>
            </w:r>
            <w:r>
              <w:rPr>
                <w:rFonts w:hint="eastAsia" w:ascii="宋体" w:hAnsi="宋体" w:eastAsia="宋体" w:cs="宋体"/>
                <w:color w:val="auto"/>
                <w:kern w:val="0"/>
                <w:sz w:val="21"/>
                <w:szCs w:val="21"/>
                <w:highlight w:val="none"/>
                <w:lang w:eastAsia="zh-CN"/>
              </w:rPr>
              <w:t>；</w:t>
            </w:r>
          </w:p>
          <w:p w14:paraId="33CF83DF">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信号板扩展</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1 个信号板</w:t>
            </w:r>
            <w:r>
              <w:rPr>
                <w:rFonts w:hint="eastAsia" w:ascii="宋体" w:hAnsi="宋体" w:eastAsia="宋体" w:cs="宋体"/>
                <w:color w:val="auto"/>
                <w:kern w:val="0"/>
                <w:sz w:val="21"/>
                <w:szCs w:val="21"/>
                <w:highlight w:val="none"/>
                <w:lang w:eastAsia="zh-CN"/>
              </w:rPr>
              <w:t>；</w:t>
            </w:r>
          </w:p>
          <w:p w14:paraId="5DA85B0D">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rPr>
              <w:t>高速计数器</w:t>
            </w:r>
            <w:r>
              <w:rPr>
                <w:rFonts w:hint="eastAsia" w:ascii="宋体" w:hAnsi="宋体" w:eastAsia="宋体" w:cs="宋体"/>
                <w:color w:val="auto"/>
                <w:kern w:val="0"/>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color w:val="auto"/>
                <w:kern w:val="0"/>
                <w:sz w:val="21"/>
                <w:szCs w:val="21"/>
                <w:highlight w:val="none"/>
              </w:rPr>
              <w:t>6 个</w:t>
            </w:r>
            <w:r>
              <w:rPr>
                <w:rFonts w:hint="eastAsia" w:ascii="宋体" w:hAnsi="宋体" w:eastAsia="宋体" w:cs="宋体"/>
                <w:color w:val="auto"/>
                <w:kern w:val="0"/>
                <w:sz w:val="21"/>
                <w:szCs w:val="21"/>
                <w:highlight w:val="none"/>
                <w:lang w:eastAsia="zh-CN"/>
              </w:rPr>
              <w:t>；</w:t>
            </w:r>
          </w:p>
          <w:p w14:paraId="7B0D3CAD">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单相：4 个 200 KHz + 2 个 30 KHz</w:t>
            </w:r>
            <w:r>
              <w:rPr>
                <w:rFonts w:hint="eastAsia" w:ascii="宋体" w:hAnsi="宋体" w:eastAsia="宋体" w:cs="宋体"/>
                <w:color w:val="auto"/>
                <w:kern w:val="0"/>
                <w:sz w:val="21"/>
                <w:szCs w:val="21"/>
                <w:highlight w:val="none"/>
                <w:lang w:eastAsia="zh-CN"/>
              </w:rPr>
              <w:t>。</w:t>
            </w:r>
          </w:p>
        </w:tc>
      </w:tr>
      <w:tr w14:paraId="4044D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2C479D9A">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03" w:type="dxa"/>
            <w:tcBorders>
              <w:top w:val="single" w:color="auto" w:sz="4" w:space="0"/>
              <w:left w:val="nil"/>
              <w:bottom w:val="single" w:color="auto" w:sz="4" w:space="0"/>
              <w:right w:val="single" w:color="000000" w:sz="4" w:space="0"/>
            </w:tcBorders>
            <w:vAlign w:val="center"/>
          </w:tcPr>
          <w:p w14:paraId="79B7E624">
            <w:pPr>
              <w:bidi w:val="0"/>
              <w:jc w:val="center"/>
              <w:rPr>
                <w:rFonts w:hint="eastAsia" w:ascii="宋体" w:hAnsi="宋体" w:eastAsia="宋体" w:cs="宋体"/>
                <w:sz w:val="21"/>
                <w:szCs w:val="21"/>
                <w:highlight w:val="none"/>
                <w:lang w:eastAsia="zh-CN"/>
              </w:rPr>
            </w:pPr>
            <w:r>
              <w:rPr>
                <w:rFonts w:hint="eastAsia" w:ascii="宋体" w:hAnsi="宋体" w:eastAsia="宋体" w:cs="宋体"/>
                <w:color w:val="auto"/>
                <w:kern w:val="0"/>
                <w:sz w:val="21"/>
                <w:szCs w:val="21"/>
                <w:highlight w:val="none"/>
                <w:lang w:eastAsia="zh-CN"/>
              </w:rPr>
              <w:t>lora终端</w:t>
            </w:r>
          </w:p>
        </w:tc>
        <w:tc>
          <w:tcPr>
            <w:tcW w:w="765" w:type="dxa"/>
            <w:tcBorders>
              <w:top w:val="single" w:color="auto" w:sz="4" w:space="0"/>
              <w:left w:val="nil"/>
              <w:bottom w:val="single" w:color="auto" w:sz="4" w:space="0"/>
              <w:right w:val="single" w:color="000000" w:sz="4" w:space="0"/>
            </w:tcBorders>
            <w:vAlign w:val="center"/>
          </w:tcPr>
          <w:p w14:paraId="4E299A35">
            <w:pPr>
              <w:keepNext w:val="0"/>
              <w:keepLines w:val="0"/>
              <w:widowControl/>
              <w:suppressLineNumbers w:val="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个</w:t>
            </w:r>
          </w:p>
        </w:tc>
        <w:tc>
          <w:tcPr>
            <w:tcW w:w="810" w:type="dxa"/>
            <w:tcBorders>
              <w:top w:val="single" w:color="auto" w:sz="4" w:space="0"/>
              <w:left w:val="nil"/>
              <w:bottom w:val="single" w:color="auto" w:sz="4" w:space="0"/>
              <w:right w:val="single" w:color="000000" w:sz="4" w:space="0"/>
            </w:tcBorders>
            <w:vAlign w:val="center"/>
          </w:tcPr>
          <w:p w14:paraId="0C54C79B">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50</w:t>
            </w:r>
          </w:p>
        </w:tc>
        <w:tc>
          <w:tcPr>
            <w:tcW w:w="6089" w:type="dxa"/>
            <w:tcBorders>
              <w:top w:val="single" w:color="auto" w:sz="4" w:space="0"/>
              <w:left w:val="nil"/>
              <w:bottom w:val="single" w:color="auto" w:sz="4" w:space="0"/>
              <w:right w:val="single" w:color="000000" w:sz="4" w:space="0"/>
            </w:tcBorders>
            <w:vAlign w:val="center"/>
          </w:tcPr>
          <w:p w14:paraId="592FE44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lora终端智能采集器用于连接传感器设备及执行控制单元，可支持6</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10路RS485设备、</w:t>
            </w:r>
          </w:p>
          <w:p w14:paraId="4FB71065">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工作频段 410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525Mhz（默认频率 470Mhz）、</w:t>
            </w:r>
          </w:p>
          <w:p w14:paraId="5819C400">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工作范围 DC 9</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36V；</w:t>
            </w:r>
          </w:p>
          <w:p w14:paraId="58DC2369">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能够支持点对点、搭配 LoRa 网关使用，RS485/232 串口输出，另外还拥有中继组网、信号检测等功能</w:t>
            </w:r>
            <w:r>
              <w:rPr>
                <w:rFonts w:hint="eastAsia" w:ascii="宋体" w:hAnsi="宋体" w:eastAsia="宋体" w:cs="宋体"/>
                <w:color w:val="auto"/>
                <w:kern w:val="0"/>
                <w:sz w:val="21"/>
                <w:szCs w:val="21"/>
                <w:highlight w:val="none"/>
                <w:lang w:eastAsia="zh-CN"/>
              </w:rPr>
              <w:t>；</w:t>
            </w:r>
          </w:p>
          <w:p w14:paraId="213E2483">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支持中继数据传输，能够多模组中继传输进行超远距离无线数传，多设备中继使用</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 </w:t>
            </w:r>
          </w:p>
          <w:p w14:paraId="3C1BE63D">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工作频段 410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525Mhz，远距离传输可达 6000米，发射功率 22±0.5dBm，接收灵敏度可达-140dBm@0.268Kbps</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 </w:t>
            </w:r>
          </w:p>
          <w:p w14:paraId="5B0EA57E">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LORA 信号监测,指示灯显示，能够显示数据传输中的信号质量与使用频段中是否有干扰，保证设备传输稳定性</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 </w:t>
            </w:r>
          </w:p>
          <w:p w14:paraId="2C653896">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LBT功能，发送数据前检测信道环境干扰噪声，检测到噪声延时发送，防止信道冲突，保障设备数据通信成功率</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  </w:t>
            </w:r>
          </w:p>
          <w:p w14:paraId="3B31F98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数据重传，数据传输交互应答机制，无应答进行重发，保证数据传输的可靠性</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  </w:t>
            </w:r>
          </w:p>
          <w:p w14:paraId="57BC7A0C">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数据传输加密处理，提高用户数据保密性</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  </w:t>
            </w:r>
          </w:p>
          <w:p w14:paraId="1A8092E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支持透明传输、广播传输、主从传输、定点传输功能</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 </w:t>
            </w:r>
          </w:p>
          <w:p w14:paraId="1526617A">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设计硬件看门狗功能，防止模组宕机，发生异常，可快速重启恢复。</w:t>
            </w:r>
          </w:p>
        </w:tc>
      </w:tr>
      <w:tr w14:paraId="3D5D5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523B910D">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03" w:type="dxa"/>
            <w:tcBorders>
              <w:top w:val="single" w:color="auto" w:sz="4" w:space="0"/>
              <w:left w:val="nil"/>
              <w:bottom w:val="single" w:color="auto" w:sz="4" w:space="0"/>
              <w:right w:val="single" w:color="000000" w:sz="4" w:space="0"/>
            </w:tcBorders>
            <w:vAlign w:val="center"/>
          </w:tcPr>
          <w:p w14:paraId="1DD8D079">
            <w:pPr>
              <w:keepNext w:val="0"/>
              <w:keepLines w:val="0"/>
              <w:widowControl/>
              <w:suppressLineNumbers w:val="0"/>
              <w:jc w:val="center"/>
              <w:textAlignment w:val="center"/>
              <w:rPr>
                <w:rFonts w:hint="eastAsia" w:ascii="宋体" w:hAnsi="宋体" w:eastAsia="宋体" w:cs="宋体"/>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溶解氧+水温传感器</w:t>
            </w:r>
          </w:p>
        </w:tc>
        <w:tc>
          <w:tcPr>
            <w:tcW w:w="765" w:type="dxa"/>
            <w:tcBorders>
              <w:top w:val="single" w:color="auto" w:sz="4" w:space="0"/>
              <w:left w:val="nil"/>
              <w:bottom w:val="single" w:color="auto" w:sz="4" w:space="0"/>
              <w:right w:val="single" w:color="000000" w:sz="4" w:space="0"/>
            </w:tcBorders>
            <w:vAlign w:val="center"/>
          </w:tcPr>
          <w:p w14:paraId="539C05C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个</w:t>
            </w:r>
          </w:p>
        </w:tc>
        <w:tc>
          <w:tcPr>
            <w:tcW w:w="810" w:type="dxa"/>
            <w:tcBorders>
              <w:top w:val="single" w:color="auto" w:sz="4" w:space="0"/>
              <w:left w:val="nil"/>
              <w:bottom w:val="single" w:color="auto" w:sz="4" w:space="0"/>
              <w:right w:val="single" w:color="000000" w:sz="4" w:space="0"/>
            </w:tcBorders>
            <w:vAlign w:val="center"/>
          </w:tcPr>
          <w:p w14:paraId="42FDBD5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80</w:t>
            </w:r>
          </w:p>
        </w:tc>
        <w:tc>
          <w:tcPr>
            <w:tcW w:w="6089" w:type="dxa"/>
            <w:tcBorders>
              <w:top w:val="single" w:color="auto" w:sz="4" w:space="0"/>
              <w:left w:val="nil"/>
              <w:bottom w:val="single" w:color="auto" w:sz="4" w:space="0"/>
              <w:right w:val="single" w:color="000000" w:sz="4" w:space="0"/>
            </w:tcBorders>
            <w:vAlign w:val="center"/>
          </w:tcPr>
          <w:p w14:paraId="722A45F1">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溶解氧（</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kern w:val="0"/>
                <w:sz w:val="21"/>
                <w:szCs w:val="21"/>
                <w:highlight w:val="none"/>
              </w:rPr>
              <w:t>荧光法）：</w:t>
            </w:r>
          </w:p>
          <w:p w14:paraId="39B1104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5米线，3/4管螺纹</w:t>
            </w:r>
          </w:p>
          <w:p w14:paraId="2E602CB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测量范围：0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 xml:space="preserve">20mg/L </w:t>
            </w:r>
          </w:p>
          <w:p w14:paraId="3CFDB840">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测量精度;±2%FS </w:t>
            </w:r>
          </w:p>
          <w:p w14:paraId="6DC64A35">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工作温度：0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60℃</w:t>
            </w:r>
          </w:p>
          <w:p w14:paraId="38610409">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工作压力：0</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 xml:space="preserve">0.6MPa </w:t>
            </w:r>
          </w:p>
          <w:p w14:paraId="326C4D3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 xml:space="preserve">输出信号：RS-485 </w:t>
            </w:r>
          </w:p>
          <w:p w14:paraId="07F59CB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供电方式：DC12</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color w:val="auto"/>
                <w:kern w:val="0"/>
                <w:sz w:val="21"/>
                <w:szCs w:val="21"/>
                <w:highlight w:val="none"/>
              </w:rPr>
              <w:t xml:space="preserve">24V </w:t>
            </w:r>
          </w:p>
          <w:p w14:paraId="324407F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防护等级：IP6</w:t>
            </w:r>
          </w:p>
          <w:p w14:paraId="1A76448C">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水温监测：</w:t>
            </w:r>
          </w:p>
          <w:p w14:paraId="2EB15FC6">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供电电源：DC 12V</w:t>
            </w:r>
          </w:p>
          <w:p w14:paraId="3C4DE22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测量范围：-50～100℃</w:t>
            </w:r>
          </w:p>
          <w:p w14:paraId="598F778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测量精度：±0.5%</w:t>
            </w:r>
          </w:p>
          <w:p w14:paraId="630C72F0">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输出形式：RS-485</w:t>
            </w:r>
          </w:p>
          <w:p w14:paraId="5490A227">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工作环境：温度 -40～85℃</w:t>
            </w:r>
          </w:p>
        </w:tc>
      </w:tr>
      <w:tr w14:paraId="475DE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3B05E1C6">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303" w:type="dxa"/>
            <w:tcBorders>
              <w:top w:val="single" w:color="auto" w:sz="4" w:space="0"/>
              <w:left w:val="nil"/>
              <w:bottom w:val="single" w:color="auto" w:sz="4" w:space="0"/>
              <w:right w:val="single" w:color="000000" w:sz="4" w:space="0"/>
            </w:tcBorders>
            <w:vAlign w:val="center"/>
          </w:tcPr>
          <w:p w14:paraId="364784F7">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PH传感器</w:t>
            </w:r>
          </w:p>
        </w:tc>
        <w:tc>
          <w:tcPr>
            <w:tcW w:w="765" w:type="dxa"/>
            <w:tcBorders>
              <w:top w:val="single" w:color="auto" w:sz="4" w:space="0"/>
              <w:left w:val="nil"/>
              <w:bottom w:val="single" w:color="auto" w:sz="4" w:space="0"/>
              <w:right w:val="single" w:color="000000" w:sz="4" w:space="0"/>
            </w:tcBorders>
            <w:vAlign w:val="center"/>
          </w:tcPr>
          <w:p w14:paraId="1069DDEB">
            <w:pPr>
              <w:keepNext w:val="0"/>
              <w:keepLines w:val="0"/>
              <w:widowControl/>
              <w:suppressLineNumbers w:val="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个</w:t>
            </w:r>
          </w:p>
        </w:tc>
        <w:tc>
          <w:tcPr>
            <w:tcW w:w="810" w:type="dxa"/>
            <w:tcBorders>
              <w:top w:val="single" w:color="auto" w:sz="4" w:space="0"/>
              <w:left w:val="nil"/>
              <w:bottom w:val="single" w:color="auto" w:sz="4" w:space="0"/>
              <w:right w:val="single" w:color="000000" w:sz="4" w:space="0"/>
            </w:tcBorders>
            <w:vAlign w:val="center"/>
          </w:tcPr>
          <w:p w14:paraId="02D9D1DC">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6089" w:type="dxa"/>
            <w:tcBorders>
              <w:top w:val="single" w:color="auto" w:sz="4" w:space="0"/>
              <w:left w:val="nil"/>
              <w:bottom w:val="single" w:color="auto" w:sz="4" w:space="0"/>
              <w:right w:val="single" w:color="000000" w:sz="4" w:space="0"/>
            </w:tcBorders>
            <w:vAlign w:val="center"/>
          </w:tcPr>
          <w:p w14:paraId="22EA1F0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 xml:space="preserve">5米线，3/4管螺纹 </w:t>
            </w:r>
          </w:p>
          <w:p w14:paraId="179037A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测量范围：0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 xml:space="preserve">14PH </w:t>
            </w:r>
          </w:p>
          <w:p w14:paraId="150EFD2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测量精度：±0.02PH</w:t>
            </w:r>
          </w:p>
          <w:p w14:paraId="09C00B21">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工作温度：0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60℃</w:t>
            </w:r>
          </w:p>
          <w:p w14:paraId="3008E65D">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工作压力：0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 xml:space="preserve">0.6MPa </w:t>
            </w:r>
          </w:p>
          <w:p w14:paraId="366A8063">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输出信号：RS-485、4</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 xml:space="preserve">20mA </w:t>
            </w:r>
          </w:p>
          <w:p w14:paraId="10D9E8A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 xml:space="preserve">供电方式：DC12-24V </w:t>
            </w:r>
          </w:p>
          <w:p w14:paraId="5C4A35FF">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防护等级：IP68</w:t>
            </w:r>
            <w:r>
              <w:rPr>
                <w:rFonts w:hint="eastAsia" w:ascii="宋体" w:hAnsi="宋体" w:eastAsia="宋体" w:cs="宋体"/>
                <w:color w:val="auto"/>
                <w:kern w:val="0"/>
                <w:sz w:val="21"/>
                <w:szCs w:val="21"/>
                <w:highlight w:val="none"/>
                <w:lang w:eastAsia="zh-CN"/>
              </w:rPr>
              <w:t>及以上</w:t>
            </w:r>
          </w:p>
        </w:tc>
      </w:tr>
      <w:tr w14:paraId="17D6E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4B759AF8">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303" w:type="dxa"/>
            <w:tcBorders>
              <w:top w:val="single" w:color="auto" w:sz="4" w:space="0"/>
              <w:left w:val="nil"/>
              <w:bottom w:val="single" w:color="auto" w:sz="4" w:space="0"/>
              <w:right w:val="single" w:color="000000" w:sz="4" w:space="0"/>
            </w:tcBorders>
            <w:vAlign w:val="center"/>
          </w:tcPr>
          <w:p w14:paraId="25322574">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盐度传感器</w:t>
            </w:r>
          </w:p>
        </w:tc>
        <w:tc>
          <w:tcPr>
            <w:tcW w:w="765" w:type="dxa"/>
            <w:tcBorders>
              <w:top w:val="single" w:color="auto" w:sz="4" w:space="0"/>
              <w:left w:val="nil"/>
              <w:bottom w:val="single" w:color="auto" w:sz="4" w:space="0"/>
              <w:right w:val="single" w:color="000000" w:sz="4" w:space="0"/>
            </w:tcBorders>
            <w:vAlign w:val="center"/>
          </w:tcPr>
          <w:p w14:paraId="4E2315B0">
            <w:pPr>
              <w:keepNext w:val="0"/>
              <w:keepLines w:val="0"/>
              <w:widowControl/>
              <w:suppressLineNumbers w:val="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个</w:t>
            </w:r>
          </w:p>
        </w:tc>
        <w:tc>
          <w:tcPr>
            <w:tcW w:w="810" w:type="dxa"/>
            <w:tcBorders>
              <w:top w:val="single" w:color="auto" w:sz="4" w:space="0"/>
              <w:left w:val="nil"/>
              <w:bottom w:val="single" w:color="auto" w:sz="4" w:space="0"/>
              <w:right w:val="single" w:color="000000" w:sz="4" w:space="0"/>
            </w:tcBorders>
            <w:vAlign w:val="center"/>
          </w:tcPr>
          <w:p w14:paraId="1ED7F74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6089" w:type="dxa"/>
            <w:tcBorders>
              <w:top w:val="single" w:color="auto" w:sz="4" w:space="0"/>
              <w:left w:val="nil"/>
              <w:bottom w:val="single" w:color="auto" w:sz="4" w:space="0"/>
              <w:right w:val="single" w:color="000000" w:sz="4" w:space="0"/>
            </w:tcBorders>
            <w:vAlign w:val="center"/>
          </w:tcPr>
          <w:p w14:paraId="3EA2A00B">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5米线</w:t>
            </w:r>
          </w:p>
          <w:p w14:paraId="098B061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测量范围：0~8000mg/L</w:t>
            </w:r>
          </w:p>
          <w:p w14:paraId="2ED6C4BD">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测量精度：＜+3%</w:t>
            </w:r>
          </w:p>
          <w:p w14:paraId="7BD19D64">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测量材质：石墨</w:t>
            </w:r>
          </w:p>
          <w:p w14:paraId="1298E76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分辨率：1mg/L</w:t>
            </w:r>
          </w:p>
          <w:p w14:paraId="2A74625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工作温度：-40℃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50℃</w:t>
            </w:r>
          </w:p>
          <w:p w14:paraId="60A5F222">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输出信号：RS-485、4</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color w:val="auto"/>
                <w:kern w:val="0"/>
                <w:sz w:val="21"/>
                <w:szCs w:val="21"/>
                <w:highlight w:val="none"/>
              </w:rPr>
              <w:t xml:space="preserve">20mA </w:t>
            </w:r>
          </w:p>
          <w:p w14:paraId="0FB19627">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 xml:space="preserve">供电方式：DC12-24V </w:t>
            </w:r>
          </w:p>
          <w:p w14:paraId="0E7DC381">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防护等级：IP68</w:t>
            </w:r>
            <w:r>
              <w:rPr>
                <w:rFonts w:hint="eastAsia" w:ascii="宋体" w:hAnsi="宋体" w:eastAsia="宋体" w:cs="宋体"/>
                <w:color w:val="auto"/>
                <w:kern w:val="0"/>
                <w:sz w:val="21"/>
                <w:szCs w:val="21"/>
                <w:highlight w:val="none"/>
                <w:lang w:eastAsia="zh-CN"/>
              </w:rPr>
              <w:t>及以上</w:t>
            </w:r>
          </w:p>
          <w:p w14:paraId="35376C38">
            <w:pPr>
              <w:keepNext w:val="0"/>
              <w:keepLines w:val="0"/>
              <w:widowControl/>
              <w:suppressLineNumbers w:val="0"/>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应用范围：海水监测</w:t>
            </w:r>
          </w:p>
        </w:tc>
      </w:tr>
      <w:tr w14:paraId="55EAC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353E48FC">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303" w:type="dxa"/>
            <w:tcBorders>
              <w:top w:val="single" w:color="auto" w:sz="4" w:space="0"/>
              <w:left w:val="nil"/>
              <w:bottom w:val="single" w:color="auto" w:sz="4" w:space="0"/>
              <w:right w:val="single" w:color="000000" w:sz="4" w:space="0"/>
            </w:tcBorders>
            <w:vAlign w:val="center"/>
          </w:tcPr>
          <w:p w14:paraId="2594B9D9">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氨氮传感器</w:t>
            </w:r>
          </w:p>
        </w:tc>
        <w:tc>
          <w:tcPr>
            <w:tcW w:w="765" w:type="dxa"/>
            <w:tcBorders>
              <w:top w:val="single" w:color="auto" w:sz="4" w:space="0"/>
              <w:left w:val="nil"/>
              <w:bottom w:val="single" w:color="auto" w:sz="4" w:space="0"/>
              <w:right w:val="single" w:color="000000" w:sz="4" w:space="0"/>
            </w:tcBorders>
            <w:vAlign w:val="center"/>
          </w:tcPr>
          <w:p w14:paraId="157A3494">
            <w:pPr>
              <w:keepNext w:val="0"/>
              <w:keepLines w:val="0"/>
              <w:widowControl/>
              <w:suppressLineNumbers w:val="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个</w:t>
            </w:r>
          </w:p>
        </w:tc>
        <w:tc>
          <w:tcPr>
            <w:tcW w:w="810" w:type="dxa"/>
            <w:tcBorders>
              <w:top w:val="single" w:color="auto" w:sz="4" w:space="0"/>
              <w:left w:val="nil"/>
              <w:bottom w:val="single" w:color="auto" w:sz="4" w:space="0"/>
              <w:right w:val="single" w:color="000000" w:sz="4" w:space="0"/>
            </w:tcBorders>
            <w:vAlign w:val="center"/>
          </w:tcPr>
          <w:p w14:paraId="0A77B849">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80</w:t>
            </w:r>
          </w:p>
        </w:tc>
        <w:tc>
          <w:tcPr>
            <w:tcW w:w="6089" w:type="dxa"/>
            <w:tcBorders>
              <w:top w:val="single" w:color="auto" w:sz="4" w:space="0"/>
              <w:left w:val="nil"/>
              <w:bottom w:val="single" w:color="auto" w:sz="4" w:space="0"/>
              <w:right w:val="single" w:color="000000" w:sz="4" w:space="0"/>
            </w:tcBorders>
            <w:vAlign w:val="center"/>
          </w:tcPr>
          <w:p w14:paraId="46621D7E">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1.5米线，3/4管螺纹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2.测量范围：0～1000.0mg/L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3.测量精度;±5%FS </w:t>
            </w:r>
            <w:r>
              <w:rPr>
                <w:rStyle w:val="79"/>
                <w:rFonts w:hint="eastAsia" w:ascii="宋体" w:hAnsi="宋体" w:eastAsia="宋体" w:cs="宋体"/>
                <w:sz w:val="21"/>
                <w:szCs w:val="21"/>
                <w:lang w:val="en-US" w:eastAsia="zh-CN" w:bidi="ar"/>
              </w:rPr>
              <w:br w:type="textWrapping"/>
            </w:r>
            <w:r>
              <w:rPr>
                <w:rStyle w:val="79"/>
                <w:rFonts w:hint="eastAsia" w:ascii="宋体" w:hAnsi="宋体" w:eastAsia="宋体" w:cs="宋体"/>
                <w:sz w:val="21"/>
                <w:szCs w:val="21"/>
                <w:lang w:val="en-US" w:eastAsia="zh-CN" w:bidi="ar"/>
              </w:rPr>
              <w:t>4.工作温度：0</w:t>
            </w:r>
            <w:r>
              <w:rPr>
                <w:rFonts w:hint="eastAsia" w:ascii="宋体" w:hAnsi="宋体" w:eastAsia="宋体" w:cs="宋体"/>
                <w:i w:val="0"/>
                <w:iCs w:val="0"/>
                <w:color w:val="000000"/>
                <w:kern w:val="0"/>
                <w:sz w:val="21"/>
                <w:szCs w:val="21"/>
                <w:u w:val="none"/>
                <w:lang w:val="en-US" w:eastAsia="zh-CN" w:bidi="ar"/>
              </w:rPr>
              <w:t>～</w:t>
            </w:r>
            <w:r>
              <w:rPr>
                <w:rStyle w:val="79"/>
                <w:rFonts w:hint="eastAsia" w:ascii="宋体" w:hAnsi="宋体" w:eastAsia="宋体" w:cs="宋体"/>
                <w:sz w:val="21"/>
                <w:szCs w:val="21"/>
                <w:lang w:val="en-US" w:eastAsia="zh-CN" w:bidi="ar"/>
              </w:rPr>
              <w:t>60℃</w:t>
            </w:r>
            <w:r>
              <w:rPr>
                <w:rStyle w:val="79"/>
                <w:rFonts w:hint="eastAsia" w:ascii="宋体" w:hAnsi="宋体" w:eastAsia="宋体" w:cs="宋体"/>
                <w:sz w:val="21"/>
                <w:szCs w:val="21"/>
                <w:lang w:val="en-US" w:eastAsia="zh-CN" w:bidi="ar"/>
              </w:rPr>
              <w:br w:type="textWrapping"/>
            </w:r>
            <w:r>
              <w:rPr>
                <w:rStyle w:val="79"/>
                <w:rFonts w:hint="eastAsia" w:ascii="宋体" w:hAnsi="宋体" w:eastAsia="宋体" w:cs="宋体"/>
                <w:sz w:val="21"/>
                <w:szCs w:val="21"/>
                <w:lang w:val="en-US" w:eastAsia="zh-CN" w:bidi="ar"/>
              </w:rPr>
              <w:t>5.工作压力：0</w:t>
            </w:r>
            <w:r>
              <w:rPr>
                <w:rFonts w:hint="eastAsia" w:ascii="宋体" w:hAnsi="宋体" w:eastAsia="宋体" w:cs="宋体"/>
                <w:i w:val="0"/>
                <w:iCs w:val="0"/>
                <w:color w:val="000000"/>
                <w:kern w:val="0"/>
                <w:sz w:val="21"/>
                <w:szCs w:val="21"/>
                <w:u w:val="none"/>
                <w:lang w:val="en-US" w:eastAsia="zh-CN" w:bidi="ar"/>
              </w:rPr>
              <w:t>～</w:t>
            </w:r>
            <w:r>
              <w:rPr>
                <w:rStyle w:val="79"/>
                <w:rFonts w:hint="eastAsia" w:ascii="宋体" w:hAnsi="宋体" w:eastAsia="宋体" w:cs="宋体"/>
                <w:sz w:val="21"/>
                <w:szCs w:val="21"/>
                <w:lang w:val="en-US" w:eastAsia="zh-CN" w:bidi="ar"/>
              </w:rPr>
              <w:t xml:space="preserve">0.6MPa </w:t>
            </w:r>
            <w:r>
              <w:rPr>
                <w:rStyle w:val="79"/>
                <w:rFonts w:hint="eastAsia" w:ascii="宋体" w:hAnsi="宋体" w:eastAsia="宋体" w:cs="宋体"/>
                <w:sz w:val="21"/>
                <w:szCs w:val="21"/>
                <w:lang w:val="en-US" w:eastAsia="zh-CN" w:bidi="ar"/>
              </w:rPr>
              <w:br w:type="textWrapping"/>
            </w:r>
            <w:r>
              <w:rPr>
                <w:rStyle w:val="79"/>
                <w:rFonts w:hint="eastAsia" w:ascii="宋体" w:hAnsi="宋体" w:eastAsia="宋体" w:cs="宋体"/>
                <w:sz w:val="21"/>
                <w:szCs w:val="21"/>
                <w:lang w:val="en-US" w:eastAsia="zh-CN" w:bidi="ar"/>
              </w:rPr>
              <w:t xml:space="preserve">6.输出信号：RS-485 </w:t>
            </w:r>
            <w:r>
              <w:rPr>
                <w:rStyle w:val="79"/>
                <w:rFonts w:hint="eastAsia" w:ascii="宋体" w:hAnsi="宋体" w:eastAsia="宋体" w:cs="宋体"/>
                <w:sz w:val="21"/>
                <w:szCs w:val="21"/>
                <w:lang w:val="en-US" w:eastAsia="zh-CN" w:bidi="ar"/>
              </w:rPr>
              <w:br w:type="textWrapping"/>
            </w:r>
            <w:r>
              <w:rPr>
                <w:rStyle w:val="79"/>
                <w:rFonts w:hint="eastAsia" w:ascii="宋体" w:hAnsi="宋体" w:eastAsia="宋体" w:cs="宋体"/>
                <w:sz w:val="21"/>
                <w:szCs w:val="21"/>
                <w:lang w:val="en-US" w:eastAsia="zh-CN" w:bidi="ar"/>
              </w:rPr>
              <w:t>7.供电方式：DC12-24V</w:t>
            </w:r>
            <w:r>
              <w:rPr>
                <w:rStyle w:val="79"/>
                <w:rFonts w:hint="eastAsia" w:ascii="宋体" w:hAnsi="宋体" w:eastAsia="宋体" w:cs="宋体"/>
                <w:sz w:val="21"/>
                <w:szCs w:val="21"/>
                <w:lang w:val="en-US" w:eastAsia="zh-CN" w:bidi="ar"/>
              </w:rPr>
              <w:br w:type="textWrapping"/>
            </w:r>
            <w:r>
              <w:rPr>
                <w:rStyle w:val="79"/>
                <w:rFonts w:hint="eastAsia" w:ascii="宋体" w:hAnsi="宋体" w:eastAsia="宋体" w:cs="宋体"/>
                <w:sz w:val="21"/>
                <w:szCs w:val="21"/>
                <w:lang w:val="en-US" w:eastAsia="zh-CN" w:bidi="ar"/>
              </w:rPr>
              <w:t>8.防护等级：IP68</w:t>
            </w:r>
            <w:r>
              <w:rPr>
                <w:rFonts w:hint="eastAsia" w:ascii="宋体" w:hAnsi="宋体" w:eastAsia="宋体" w:cs="宋体"/>
                <w:color w:val="auto"/>
                <w:kern w:val="0"/>
                <w:sz w:val="21"/>
                <w:szCs w:val="21"/>
                <w:highlight w:val="none"/>
                <w:lang w:eastAsia="zh-CN"/>
              </w:rPr>
              <w:t>及以上</w:t>
            </w:r>
          </w:p>
        </w:tc>
      </w:tr>
      <w:tr w14:paraId="4F6D2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71F42158">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303" w:type="dxa"/>
            <w:tcBorders>
              <w:top w:val="single" w:color="auto" w:sz="4" w:space="0"/>
              <w:left w:val="nil"/>
              <w:bottom w:val="single" w:color="auto" w:sz="4" w:space="0"/>
              <w:right w:val="single" w:color="000000" w:sz="4" w:space="0"/>
            </w:tcBorders>
            <w:vAlign w:val="center"/>
          </w:tcPr>
          <w:p w14:paraId="7F4F140A">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亚硝酸盐传感器</w:t>
            </w:r>
          </w:p>
        </w:tc>
        <w:tc>
          <w:tcPr>
            <w:tcW w:w="765" w:type="dxa"/>
            <w:tcBorders>
              <w:top w:val="single" w:color="auto" w:sz="4" w:space="0"/>
              <w:left w:val="nil"/>
              <w:bottom w:val="single" w:color="auto" w:sz="4" w:space="0"/>
              <w:right w:val="single" w:color="000000" w:sz="4" w:space="0"/>
            </w:tcBorders>
            <w:vAlign w:val="center"/>
          </w:tcPr>
          <w:p w14:paraId="7C864476">
            <w:pPr>
              <w:keepNext w:val="0"/>
              <w:keepLines w:val="0"/>
              <w:widowControl/>
              <w:suppressLineNumbers w:val="0"/>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个</w:t>
            </w:r>
          </w:p>
        </w:tc>
        <w:tc>
          <w:tcPr>
            <w:tcW w:w="810" w:type="dxa"/>
            <w:tcBorders>
              <w:top w:val="single" w:color="auto" w:sz="4" w:space="0"/>
              <w:left w:val="nil"/>
              <w:bottom w:val="single" w:color="auto" w:sz="4" w:space="0"/>
              <w:right w:val="single" w:color="000000" w:sz="4" w:space="0"/>
            </w:tcBorders>
            <w:vAlign w:val="center"/>
          </w:tcPr>
          <w:p w14:paraId="582D6CC6">
            <w:pPr>
              <w:keepNext w:val="0"/>
              <w:keepLines w:val="0"/>
              <w:widowControl/>
              <w:suppressLineNumbers w:val="0"/>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6089" w:type="dxa"/>
            <w:tcBorders>
              <w:top w:val="single" w:color="auto" w:sz="4" w:space="0"/>
              <w:left w:val="nil"/>
              <w:bottom w:val="single" w:color="auto" w:sz="4" w:space="0"/>
              <w:right w:val="single" w:color="000000" w:sz="4" w:space="0"/>
            </w:tcBorders>
            <w:vAlign w:val="center"/>
          </w:tcPr>
          <w:p w14:paraId="24EBF3CD">
            <w:pPr>
              <w:keepNext w:val="0"/>
              <w:keepLines w:val="0"/>
              <w:widowControl/>
              <w:suppressLineNumbers w:val="0"/>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000000"/>
                <w:kern w:val="0"/>
                <w:sz w:val="21"/>
                <w:szCs w:val="21"/>
                <w:u w:val="none"/>
                <w:lang w:val="en-US" w:eastAsia="zh-CN" w:bidi="ar"/>
              </w:rPr>
              <w:t>1.覆膜离子选择法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2.5米线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3.测量范围：0～1000mg/L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4.测量精度：±5%FS或±3mg/L以大者为准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5.分辨率：0.1mg/L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6.工作温度：0～40℃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7.输出信号：RS-485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8.供电方式：DC12-24V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9.防护等级：IP68</w:t>
            </w:r>
            <w:r>
              <w:rPr>
                <w:rFonts w:hint="eastAsia" w:ascii="宋体" w:hAnsi="宋体" w:eastAsia="宋体" w:cs="宋体"/>
                <w:color w:val="auto"/>
                <w:kern w:val="0"/>
                <w:sz w:val="21"/>
                <w:szCs w:val="21"/>
                <w:highlight w:val="none"/>
                <w:lang w:eastAsia="zh-CN"/>
              </w:rPr>
              <w:t>及以上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10.使用寿命：传感器1年及以上、膜头6个月更换。</w:t>
            </w:r>
          </w:p>
        </w:tc>
      </w:tr>
      <w:tr w14:paraId="34B1B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65E379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303" w:type="dxa"/>
            <w:tcBorders>
              <w:top w:val="single" w:color="auto" w:sz="4" w:space="0"/>
              <w:left w:val="nil"/>
              <w:bottom w:val="single" w:color="auto" w:sz="4" w:space="0"/>
              <w:right w:val="single" w:color="000000" w:sz="4" w:space="0"/>
            </w:tcBorders>
            <w:vAlign w:val="center"/>
          </w:tcPr>
          <w:p w14:paraId="47A2E6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传感器配件</w:t>
            </w:r>
          </w:p>
        </w:tc>
        <w:tc>
          <w:tcPr>
            <w:tcW w:w="765" w:type="dxa"/>
            <w:tcBorders>
              <w:top w:val="single" w:color="auto" w:sz="4" w:space="0"/>
              <w:left w:val="nil"/>
              <w:bottom w:val="single" w:color="auto" w:sz="4" w:space="0"/>
              <w:right w:val="single" w:color="000000" w:sz="4" w:space="0"/>
            </w:tcBorders>
            <w:vAlign w:val="center"/>
          </w:tcPr>
          <w:p w14:paraId="1CE9567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810" w:type="dxa"/>
            <w:tcBorders>
              <w:top w:val="single" w:color="auto" w:sz="4" w:space="0"/>
              <w:left w:val="nil"/>
              <w:bottom w:val="single" w:color="auto" w:sz="4" w:space="0"/>
              <w:right w:val="single" w:color="000000" w:sz="4" w:space="0"/>
            </w:tcBorders>
            <w:vAlign w:val="center"/>
          </w:tcPr>
          <w:p w14:paraId="568D3B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w:t>
            </w:r>
          </w:p>
        </w:tc>
        <w:tc>
          <w:tcPr>
            <w:tcW w:w="6089" w:type="dxa"/>
            <w:tcBorders>
              <w:top w:val="single" w:color="auto" w:sz="4" w:space="0"/>
              <w:left w:val="nil"/>
              <w:bottom w:val="single" w:color="auto" w:sz="4" w:space="0"/>
              <w:right w:val="single" w:color="000000" w:sz="4" w:space="0"/>
            </w:tcBorders>
            <w:vAlign w:val="center"/>
          </w:tcPr>
          <w:p w14:paraId="36F696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浮球</w:t>
            </w:r>
          </w:p>
        </w:tc>
      </w:tr>
      <w:tr w14:paraId="224F6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3E636A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303" w:type="dxa"/>
            <w:tcBorders>
              <w:top w:val="single" w:color="auto" w:sz="4" w:space="0"/>
              <w:left w:val="nil"/>
              <w:bottom w:val="single" w:color="auto" w:sz="4" w:space="0"/>
              <w:right w:val="single" w:color="000000" w:sz="4" w:space="0"/>
            </w:tcBorders>
            <w:vAlign w:val="center"/>
          </w:tcPr>
          <w:p w14:paraId="3A777A3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主机立杆配件</w:t>
            </w:r>
          </w:p>
        </w:tc>
        <w:tc>
          <w:tcPr>
            <w:tcW w:w="765" w:type="dxa"/>
            <w:tcBorders>
              <w:top w:val="single" w:color="auto" w:sz="4" w:space="0"/>
              <w:left w:val="nil"/>
              <w:bottom w:val="single" w:color="auto" w:sz="4" w:space="0"/>
              <w:right w:val="single" w:color="000000" w:sz="4" w:space="0"/>
            </w:tcBorders>
            <w:vAlign w:val="center"/>
          </w:tcPr>
          <w:p w14:paraId="215D58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810" w:type="dxa"/>
            <w:tcBorders>
              <w:top w:val="single" w:color="auto" w:sz="4" w:space="0"/>
              <w:left w:val="nil"/>
              <w:bottom w:val="single" w:color="auto" w:sz="4" w:space="0"/>
              <w:right w:val="single" w:color="000000" w:sz="4" w:space="0"/>
            </w:tcBorders>
            <w:vAlign w:val="center"/>
          </w:tcPr>
          <w:p w14:paraId="0DFEBE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6089" w:type="dxa"/>
            <w:tcBorders>
              <w:top w:val="single" w:color="auto" w:sz="4" w:space="0"/>
              <w:left w:val="nil"/>
              <w:bottom w:val="single" w:color="auto" w:sz="4" w:space="0"/>
              <w:right w:val="single" w:color="000000" w:sz="4" w:space="0"/>
            </w:tcBorders>
            <w:vAlign w:val="center"/>
          </w:tcPr>
          <w:p w14:paraId="7BFC685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2.5米镀锌钢管、防水箱</w:t>
            </w:r>
          </w:p>
        </w:tc>
      </w:tr>
      <w:tr w14:paraId="29BCA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7B75EFC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303" w:type="dxa"/>
            <w:tcBorders>
              <w:top w:val="single" w:color="auto" w:sz="4" w:space="0"/>
              <w:left w:val="nil"/>
              <w:bottom w:val="single" w:color="auto" w:sz="4" w:space="0"/>
              <w:right w:val="single" w:color="000000" w:sz="4" w:space="0"/>
            </w:tcBorders>
            <w:vAlign w:val="center"/>
          </w:tcPr>
          <w:p w14:paraId="02EACD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物联网智能管理终端</w:t>
            </w:r>
          </w:p>
        </w:tc>
        <w:tc>
          <w:tcPr>
            <w:tcW w:w="765" w:type="dxa"/>
            <w:tcBorders>
              <w:top w:val="single" w:color="auto" w:sz="4" w:space="0"/>
              <w:left w:val="nil"/>
              <w:bottom w:val="single" w:color="auto" w:sz="4" w:space="0"/>
              <w:right w:val="single" w:color="000000" w:sz="4" w:space="0"/>
            </w:tcBorders>
            <w:vAlign w:val="center"/>
          </w:tcPr>
          <w:p w14:paraId="30D71F3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810" w:type="dxa"/>
            <w:tcBorders>
              <w:top w:val="single" w:color="auto" w:sz="4" w:space="0"/>
              <w:left w:val="nil"/>
              <w:bottom w:val="single" w:color="auto" w:sz="4" w:space="0"/>
              <w:right w:val="single" w:color="000000" w:sz="4" w:space="0"/>
            </w:tcBorders>
            <w:vAlign w:val="center"/>
          </w:tcPr>
          <w:p w14:paraId="030C21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6089" w:type="dxa"/>
            <w:tcBorders>
              <w:top w:val="single" w:color="auto" w:sz="4" w:space="0"/>
              <w:left w:val="nil"/>
              <w:bottom w:val="single" w:color="auto" w:sz="4" w:space="0"/>
              <w:right w:val="single" w:color="000000" w:sz="4" w:space="0"/>
            </w:tcBorders>
            <w:vAlign w:val="center"/>
          </w:tcPr>
          <w:p w14:paraId="45AD02B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一、物联网智能管理终端由水产养殖多参数水质在线监控数据库软件及配套硬件组成。</w:t>
            </w:r>
          </w:p>
          <w:p w14:paraId="5310A22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▲二、水产养殖多参数水质在线监控数据库软件：</w:t>
            </w:r>
          </w:p>
          <w:p w14:paraId="0660C6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现数据的导入导出，监测数据的管理应用。支持多用户同时访问和修改数据，能通过事务机制保证数据正确性和可靠性，提供用户认证、权限控制、数据加密等措施，防止未经授权的访问和修改，支持复杂的数据查询、聚合和统计分析。</w:t>
            </w:r>
          </w:p>
          <w:p w14:paraId="06D0D2C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三、硬件技术参数：</w:t>
            </w:r>
          </w:p>
          <w:p w14:paraId="162DD9D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1.处理器(CPU)：相当于或优于英特尔第14代酷睿i9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2.内存容量：</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32GB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3.固态硬盘（SSD）：</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1TB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4.屏幕尺寸：</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16英寸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5.屏幕刷新率：</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240Hz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6.显卡类型：</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独立显卡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7.屏幕比例：</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16:10</w:t>
            </w:r>
          </w:p>
        </w:tc>
      </w:tr>
      <w:tr w14:paraId="2C7D7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5621ED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303" w:type="dxa"/>
            <w:tcBorders>
              <w:top w:val="single" w:color="auto" w:sz="4" w:space="0"/>
              <w:left w:val="nil"/>
              <w:bottom w:val="single" w:color="auto" w:sz="4" w:space="0"/>
              <w:right w:val="single" w:color="000000" w:sz="4" w:space="0"/>
            </w:tcBorders>
            <w:vAlign w:val="center"/>
          </w:tcPr>
          <w:p w14:paraId="7BF6A5F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手机移动端</w:t>
            </w:r>
          </w:p>
        </w:tc>
        <w:tc>
          <w:tcPr>
            <w:tcW w:w="765" w:type="dxa"/>
            <w:tcBorders>
              <w:top w:val="single" w:color="auto" w:sz="4" w:space="0"/>
              <w:left w:val="nil"/>
              <w:bottom w:val="single" w:color="auto" w:sz="4" w:space="0"/>
              <w:right w:val="single" w:color="000000" w:sz="4" w:space="0"/>
            </w:tcBorders>
            <w:vAlign w:val="center"/>
          </w:tcPr>
          <w:p w14:paraId="3371BA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810" w:type="dxa"/>
            <w:tcBorders>
              <w:top w:val="single" w:color="auto" w:sz="4" w:space="0"/>
              <w:left w:val="nil"/>
              <w:bottom w:val="single" w:color="auto" w:sz="4" w:space="0"/>
              <w:right w:val="single" w:color="000000" w:sz="4" w:space="0"/>
            </w:tcBorders>
            <w:vAlign w:val="center"/>
          </w:tcPr>
          <w:p w14:paraId="6299FB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6089" w:type="dxa"/>
            <w:tcBorders>
              <w:top w:val="single" w:color="auto" w:sz="4" w:space="0"/>
              <w:left w:val="nil"/>
              <w:bottom w:val="single" w:color="auto" w:sz="4" w:space="0"/>
              <w:right w:val="single" w:color="000000" w:sz="4" w:space="0"/>
            </w:tcBorders>
            <w:vAlign w:val="center"/>
          </w:tcPr>
          <w:p w14:paraId="7F1248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一、物联网智能管理手机移动端由水产养殖多参数水质在线监控数据库软件(移动端)及配套硬件组成。</w:t>
            </w:r>
          </w:p>
          <w:p w14:paraId="22F8B90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▲二、水产养殖多参数水质在线监控数据库软件(移动端)：</w:t>
            </w:r>
          </w:p>
          <w:p w14:paraId="13EA13C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在移动端实现数据的导入导出，监测数据的管理应用。支持多用户同时访问和修改数据，能通过事务机制保证数据正确性和可靠性，提供用户认证、权限控制、数据加密等措施，防止未经授权的访问和修改，支持复杂的数据查询、聚合和统计分析。</w:t>
            </w:r>
          </w:p>
          <w:p w14:paraId="7B00CD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三、硬件技术参数：</w:t>
            </w:r>
          </w:p>
          <w:p w14:paraId="5B14274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1.CPU型号：相当于或优于第二代骁龙8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2.运行内存：</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24GB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3.机身内存：</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4.后摄主像素：</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5000万像素；后摄2-超广角像素：</w:t>
            </w:r>
            <w:r>
              <w:rPr>
                <w:rFonts w:hint="eastAsia" w:ascii="宋体" w:hAnsi="宋体" w:eastAsia="宋体" w:cs="宋体"/>
                <w:sz w:val="21"/>
                <w:szCs w:val="21"/>
              </w:rPr>
              <w:t>≥</w:t>
            </w:r>
            <w:r>
              <w:rPr>
                <w:rFonts w:hint="eastAsia" w:ascii="宋体" w:hAnsi="宋体" w:eastAsia="宋体" w:cs="宋体"/>
                <w:i w:val="0"/>
                <w:iCs w:val="0"/>
                <w:color w:val="000000"/>
                <w:kern w:val="0"/>
                <w:sz w:val="21"/>
                <w:szCs w:val="21"/>
                <w:u w:val="none"/>
                <w:lang w:val="en-US" w:eastAsia="zh-CN" w:bidi="ar"/>
              </w:rPr>
              <w:t>1200万像素</w:t>
            </w:r>
          </w:p>
        </w:tc>
      </w:tr>
      <w:tr w14:paraId="51F8D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trPr>
        <w:tc>
          <w:tcPr>
            <w:tcW w:w="9715" w:type="dxa"/>
            <w:gridSpan w:val="5"/>
            <w:tcBorders>
              <w:top w:val="single" w:color="auto" w:sz="4" w:space="0"/>
              <w:left w:val="single" w:color="000000" w:sz="4" w:space="0"/>
              <w:bottom w:val="single" w:color="auto" w:sz="4" w:space="0"/>
              <w:right w:val="single" w:color="000000" w:sz="4" w:space="0"/>
            </w:tcBorders>
            <w:vAlign w:val="center"/>
          </w:tcPr>
          <w:p w14:paraId="5786105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二、商务要求</w:t>
            </w:r>
          </w:p>
        </w:tc>
      </w:tr>
      <w:tr w14:paraId="170CF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4DF248F5">
            <w:pPr>
              <w:bidi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1</w:t>
            </w:r>
          </w:p>
        </w:tc>
        <w:tc>
          <w:tcPr>
            <w:tcW w:w="2068" w:type="dxa"/>
            <w:gridSpan w:val="2"/>
            <w:tcBorders>
              <w:top w:val="single" w:color="auto" w:sz="4" w:space="0"/>
              <w:left w:val="nil"/>
              <w:bottom w:val="single" w:color="auto" w:sz="4" w:space="0"/>
              <w:right w:val="single" w:color="000000" w:sz="4" w:space="0"/>
            </w:tcBorders>
            <w:vAlign w:val="center"/>
          </w:tcPr>
          <w:p w14:paraId="6E149673">
            <w:pPr>
              <w:snapToGrid w:val="0"/>
              <w:spacing w:line="400" w:lineRule="exact"/>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质保期</w:t>
            </w:r>
          </w:p>
        </w:tc>
        <w:tc>
          <w:tcPr>
            <w:tcW w:w="6899" w:type="dxa"/>
            <w:gridSpan w:val="2"/>
            <w:tcBorders>
              <w:top w:val="single" w:color="auto" w:sz="4" w:space="0"/>
              <w:left w:val="nil"/>
              <w:bottom w:val="single" w:color="auto" w:sz="4" w:space="0"/>
              <w:right w:val="single" w:color="000000" w:sz="4" w:space="0"/>
            </w:tcBorders>
            <w:vAlign w:val="top"/>
          </w:tcPr>
          <w:p w14:paraId="38A597D2">
            <w:pPr>
              <w:pStyle w:val="14"/>
              <w:snapToGrid w:val="0"/>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en-US" w:eastAsia="zh-CN"/>
              </w:rPr>
              <w:t>按国家有关产品“三包”规定执行“三包”，所有设备自验收合格之日起质保期≥1年（质保期承诺如优于招标文件规定的，按中标人实际承诺质保期执行。），</w:t>
            </w:r>
            <w:r>
              <w:rPr>
                <w:rFonts w:hint="eastAsia" w:ascii="宋体" w:hAnsi="宋体" w:eastAsia="宋体" w:cs="宋体"/>
                <w:sz w:val="21"/>
                <w:szCs w:val="21"/>
                <w:lang w:val="en-US" w:eastAsia="zh-CN"/>
              </w:rPr>
              <w:t>提供终身有偿维护。</w:t>
            </w:r>
          </w:p>
          <w:p w14:paraId="3157CC59">
            <w:pPr>
              <w:bidi w:val="0"/>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2、质保期所更换的零配件必须是同品牌同型号全新的零配件，满足设备运行要求。</w:t>
            </w:r>
          </w:p>
        </w:tc>
      </w:tr>
      <w:tr w14:paraId="43E8A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7C3B962A">
            <w:pPr>
              <w:bidi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2</w:t>
            </w:r>
          </w:p>
        </w:tc>
        <w:tc>
          <w:tcPr>
            <w:tcW w:w="2068" w:type="dxa"/>
            <w:gridSpan w:val="2"/>
            <w:tcBorders>
              <w:top w:val="single" w:color="auto" w:sz="4" w:space="0"/>
              <w:left w:val="nil"/>
              <w:bottom w:val="single" w:color="auto" w:sz="4" w:space="0"/>
              <w:right w:val="single" w:color="000000" w:sz="4" w:space="0"/>
            </w:tcBorders>
            <w:vAlign w:val="center"/>
          </w:tcPr>
          <w:p w14:paraId="09938A6C">
            <w:pPr>
              <w:snapToGrid w:val="0"/>
              <w:spacing w:line="400" w:lineRule="exact"/>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rPr>
              <w:t>报价</w:t>
            </w:r>
          </w:p>
        </w:tc>
        <w:tc>
          <w:tcPr>
            <w:tcW w:w="6899" w:type="dxa"/>
            <w:gridSpan w:val="2"/>
            <w:tcBorders>
              <w:top w:val="single" w:color="auto" w:sz="4" w:space="0"/>
              <w:left w:val="nil"/>
              <w:bottom w:val="single" w:color="auto" w:sz="4" w:space="0"/>
              <w:right w:val="single" w:color="000000" w:sz="4" w:space="0"/>
            </w:tcBorders>
            <w:vAlign w:val="top"/>
          </w:tcPr>
          <w:p w14:paraId="56FBA34F">
            <w:pPr>
              <w:snapToGrid w:val="0"/>
              <w:spacing w:line="400" w:lineRule="exact"/>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报价包括货物的所有费用，包括货物采购、运输、安装调试、利润、税金、保险、培训、售后服务、</w:t>
            </w:r>
            <w:r>
              <w:rPr>
                <w:rFonts w:hint="eastAsia" w:ascii="宋体" w:hAnsi="宋体" w:eastAsia="宋体" w:cs="宋体"/>
                <w:sz w:val="21"/>
                <w:szCs w:val="21"/>
                <w:lang w:eastAsia="zh-CN"/>
              </w:rPr>
              <w:t>备品备件、</w:t>
            </w:r>
            <w:r>
              <w:rPr>
                <w:rFonts w:hint="eastAsia" w:ascii="宋体" w:hAnsi="宋体" w:eastAsia="宋体" w:cs="宋体"/>
                <w:sz w:val="21"/>
                <w:szCs w:val="21"/>
              </w:rPr>
              <w:t>必要检测以及所有的不</w:t>
            </w:r>
            <w:r>
              <w:rPr>
                <w:rFonts w:hint="eastAsia" w:ascii="宋体" w:hAnsi="宋体" w:eastAsia="宋体" w:cs="宋体"/>
                <w:sz w:val="21"/>
                <w:szCs w:val="21"/>
                <w:lang w:eastAsia="zh-CN"/>
              </w:rPr>
              <w:t>确</w:t>
            </w:r>
            <w:r>
              <w:rPr>
                <w:rFonts w:hint="eastAsia" w:ascii="宋体" w:hAnsi="宋体" w:eastAsia="宋体" w:cs="宋体"/>
                <w:sz w:val="21"/>
                <w:szCs w:val="21"/>
              </w:rPr>
              <w:t>定因素的风险等</w:t>
            </w:r>
            <w:r>
              <w:rPr>
                <w:rFonts w:hint="eastAsia" w:ascii="宋体" w:hAnsi="宋体" w:eastAsia="宋体" w:cs="宋体"/>
                <w:sz w:val="21"/>
                <w:szCs w:val="21"/>
                <w:lang w:eastAsia="zh-CN"/>
              </w:rPr>
              <w:t>。</w:t>
            </w:r>
          </w:p>
        </w:tc>
      </w:tr>
      <w:tr w14:paraId="44D7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52585195">
            <w:pPr>
              <w:bidi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3</w:t>
            </w:r>
          </w:p>
        </w:tc>
        <w:tc>
          <w:tcPr>
            <w:tcW w:w="2068" w:type="dxa"/>
            <w:gridSpan w:val="2"/>
            <w:tcBorders>
              <w:top w:val="single" w:color="auto" w:sz="4" w:space="0"/>
              <w:left w:val="nil"/>
              <w:bottom w:val="single" w:color="auto" w:sz="4" w:space="0"/>
              <w:right w:val="single" w:color="000000" w:sz="4" w:space="0"/>
            </w:tcBorders>
            <w:vAlign w:val="center"/>
          </w:tcPr>
          <w:p w14:paraId="73EC27B9">
            <w:pPr>
              <w:snapToGrid w:val="0"/>
              <w:spacing w:line="400" w:lineRule="exact"/>
              <w:jc w:val="center"/>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bCs/>
                <w:kern w:val="0"/>
                <w:sz w:val="21"/>
                <w:szCs w:val="21"/>
              </w:rPr>
              <w:t>交货时间及地点</w:t>
            </w:r>
          </w:p>
        </w:tc>
        <w:tc>
          <w:tcPr>
            <w:tcW w:w="6899" w:type="dxa"/>
            <w:gridSpan w:val="2"/>
            <w:tcBorders>
              <w:top w:val="single" w:color="auto" w:sz="4" w:space="0"/>
              <w:left w:val="nil"/>
              <w:bottom w:val="single" w:color="auto" w:sz="4" w:space="0"/>
              <w:right w:val="single" w:color="000000" w:sz="4" w:space="0"/>
            </w:tcBorders>
            <w:vAlign w:val="top"/>
          </w:tcPr>
          <w:p w14:paraId="29229B1B">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1、交货时间：</w:t>
            </w:r>
            <w:r>
              <w:rPr>
                <w:rFonts w:hint="eastAsia" w:ascii="宋体" w:hAnsi="宋体" w:eastAsia="宋体" w:cs="宋体"/>
                <w:bCs/>
                <w:kern w:val="0"/>
                <w:sz w:val="21"/>
                <w:szCs w:val="21"/>
                <w:highlight w:val="none"/>
              </w:rPr>
              <w:t>自签订合同之日起</w:t>
            </w:r>
            <w:r>
              <w:rPr>
                <w:rFonts w:hint="eastAsia" w:ascii="宋体" w:hAnsi="宋体" w:eastAsia="宋体" w:cs="宋体"/>
                <w:bCs/>
                <w:kern w:val="0"/>
                <w:sz w:val="21"/>
                <w:szCs w:val="21"/>
                <w:highlight w:val="none"/>
                <w:lang w:val="en-US" w:eastAsia="zh-CN"/>
              </w:rPr>
              <w:t>30天内按采购人要</w:t>
            </w:r>
            <w:r>
              <w:rPr>
                <w:rFonts w:hint="eastAsia" w:ascii="宋体" w:hAnsi="宋体" w:eastAsia="宋体" w:cs="宋体"/>
                <w:bCs/>
                <w:kern w:val="0"/>
                <w:sz w:val="21"/>
                <w:szCs w:val="21"/>
                <w:lang w:val="en-US" w:eastAsia="zh-CN"/>
              </w:rPr>
              <w:t>求</w:t>
            </w:r>
            <w:r>
              <w:rPr>
                <w:rFonts w:hint="eastAsia" w:ascii="宋体" w:hAnsi="宋体" w:eastAsia="宋体" w:cs="宋体"/>
                <w:bCs/>
                <w:kern w:val="0"/>
                <w:sz w:val="21"/>
                <w:szCs w:val="21"/>
              </w:rPr>
              <w:t>安装完毕并交付使用。</w:t>
            </w:r>
          </w:p>
          <w:p w14:paraId="63E85C70">
            <w:pPr>
              <w:snapToGrid w:val="0"/>
              <w:spacing w:line="400" w:lineRule="exact"/>
              <w:outlineLvl w:val="0"/>
              <w:rPr>
                <w:rFonts w:hint="eastAsia" w:ascii="宋体" w:hAnsi="宋体" w:eastAsia="宋体" w:cs="宋体"/>
                <w:bCs/>
                <w:kern w:val="0"/>
                <w:sz w:val="21"/>
                <w:szCs w:val="21"/>
              </w:rPr>
            </w:pPr>
            <w:r>
              <w:rPr>
                <w:rFonts w:hint="eastAsia" w:ascii="宋体" w:hAnsi="宋体" w:eastAsia="宋体" w:cs="宋体"/>
                <w:bCs/>
                <w:kern w:val="0"/>
                <w:sz w:val="21"/>
                <w:szCs w:val="21"/>
              </w:rPr>
              <w:t>2、交货内容包括：</w:t>
            </w:r>
          </w:p>
          <w:p w14:paraId="0E5758DD">
            <w:pPr>
              <w:numPr>
                <w:ilvl w:val="0"/>
                <w:numId w:val="8"/>
              </w:numPr>
              <w:snapToGrid w:val="0"/>
              <w:spacing w:line="400" w:lineRule="exact"/>
              <w:outlineLvl w:val="0"/>
              <w:rPr>
                <w:rFonts w:hint="eastAsia" w:ascii="宋体" w:hAnsi="宋体" w:eastAsia="宋体" w:cs="宋体"/>
                <w:sz w:val="21"/>
                <w:szCs w:val="21"/>
              </w:rPr>
            </w:pPr>
            <w:r>
              <w:rPr>
                <w:rFonts w:hint="eastAsia" w:ascii="宋体" w:hAnsi="宋体" w:eastAsia="宋体" w:cs="宋体"/>
                <w:bCs/>
                <w:kern w:val="0"/>
                <w:sz w:val="21"/>
                <w:szCs w:val="21"/>
              </w:rPr>
              <w:t>设备整机、配件等。</w:t>
            </w:r>
          </w:p>
          <w:p w14:paraId="2FF32DF7">
            <w:pPr>
              <w:numPr>
                <w:ilvl w:val="0"/>
                <w:numId w:val="8"/>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说明书、产品合格证</w:t>
            </w:r>
            <w:r>
              <w:rPr>
                <w:rFonts w:hint="eastAsia" w:ascii="宋体" w:hAnsi="宋体" w:eastAsia="宋体" w:cs="宋体"/>
                <w:sz w:val="21"/>
                <w:szCs w:val="21"/>
                <w:lang w:eastAsia="zh-CN"/>
              </w:rPr>
              <w:t>或质量证书</w:t>
            </w:r>
            <w:r>
              <w:rPr>
                <w:rFonts w:hint="eastAsia" w:ascii="宋体" w:hAnsi="宋体" w:eastAsia="宋体" w:cs="宋体"/>
                <w:sz w:val="21"/>
                <w:szCs w:val="21"/>
              </w:rPr>
              <w:t>、保修单、保险单（如有）</w:t>
            </w:r>
            <w:r>
              <w:rPr>
                <w:rFonts w:hint="eastAsia" w:ascii="宋体" w:hAnsi="宋体" w:eastAsia="宋体" w:cs="宋体"/>
                <w:sz w:val="21"/>
                <w:szCs w:val="21"/>
                <w:lang w:eastAsia="zh-CN"/>
              </w:rPr>
              <w:t>等</w:t>
            </w:r>
            <w:r>
              <w:rPr>
                <w:rFonts w:hint="eastAsia" w:ascii="宋体" w:hAnsi="宋体" w:eastAsia="宋体" w:cs="宋体"/>
                <w:sz w:val="21"/>
                <w:szCs w:val="21"/>
              </w:rPr>
              <w:t>。</w:t>
            </w:r>
          </w:p>
          <w:p w14:paraId="6ECE6CDB">
            <w:pPr>
              <w:numPr>
                <w:ilvl w:val="0"/>
                <w:numId w:val="8"/>
              </w:num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上述文件资料应随货物一并提供。</w:t>
            </w:r>
          </w:p>
          <w:p w14:paraId="7524309B">
            <w:pPr>
              <w:snapToGrid w:val="0"/>
              <w:spacing w:line="400" w:lineRule="exact"/>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3、交货地点：海南省乐东县九所镇广西南繁基地，</w:t>
            </w:r>
            <w:r>
              <w:rPr>
                <w:rFonts w:hint="eastAsia" w:ascii="宋体" w:hAnsi="宋体" w:eastAsia="宋体" w:cs="宋体"/>
                <w:sz w:val="21"/>
                <w:szCs w:val="21"/>
                <w:lang w:eastAsia="zh-CN"/>
              </w:rPr>
              <w:t>采购人指定地点</w:t>
            </w:r>
            <w:r>
              <w:rPr>
                <w:rFonts w:hint="eastAsia" w:ascii="宋体" w:hAnsi="宋体" w:eastAsia="宋体" w:cs="宋体"/>
                <w:sz w:val="21"/>
                <w:szCs w:val="21"/>
              </w:rPr>
              <w:t>。</w:t>
            </w:r>
          </w:p>
        </w:tc>
      </w:tr>
      <w:tr w14:paraId="26F79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0A286AFE">
            <w:pPr>
              <w:bidi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w:t>
            </w:r>
          </w:p>
        </w:tc>
        <w:tc>
          <w:tcPr>
            <w:tcW w:w="2068" w:type="dxa"/>
            <w:gridSpan w:val="2"/>
            <w:tcBorders>
              <w:top w:val="single" w:color="auto" w:sz="4" w:space="0"/>
              <w:left w:val="nil"/>
              <w:bottom w:val="single" w:color="auto" w:sz="4" w:space="0"/>
              <w:right w:val="single" w:color="000000" w:sz="4" w:space="0"/>
            </w:tcBorders>
            <w:vAlign w:val="center"/>
          </w:tcPr>
          <w:p w14:paraId="0D57A4A4">
            <w:pPr>
              <w:snapToGrid w:val="0"/>
              <w:spacing w:line="240" w:lineRule="auto"/>
              <w:jc w:val="center"/>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kern w:val="0"/>
                <w:sz w:val="21"/>
                <w:szCs w:val="21"/>
              </w:rPr>
              <w:t>验收</w:t>
            </w:r>
            <w:r>
              <w:rPr>
                <w:rFonts w:hint="eastAsia" w:ascii="宋体" w:hAnsi="宋体" w:eastAsia="宋体" w:cs="宋体"/>
                <w:bCs/>
                <w:kern w:val="0"/>
                <w:sz w:val="21"/>
                <w:szCs w:val="21"/>
                <w:lang w:eastAsia="zh-CN"/>
              </w:rPr>
              <w:t>依据、标准、验收程序</w:t>
            </w:r>
          </w:p>
        </w:tc>
        <w:tc>
          <w:tcPr>
            <w:tcW w:w="6899" w:type="dxa"/>
            <w:gridSpan w:val="2"/>
            <w:tcBorders>
              <w:top w:val="single" w:color="auto" w:sz="4" w:space="0"/>
              <w:left w:val="nil"/>
              <w:bottom w:val="single" w:color="auto" w:sz="4" w:space="0"/>
              <w:right w:val="single" w:color="000000" w:sz="4" w:space="0"/>
            </w:tcBorders>
            <w:vAlign w:val="top"/>
          </w:tcPr>
          <w:p w14:paraId="493E851B">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验收主体：采购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w:t>
            </w:r>
          </w:p>
          <w:p w14:paraId="55DB3C56">
            <w:pPr>
              <w:spacing w:line="24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验收时间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rPr>
              <w:t>自仪器设备到货</w:t>
            </w:r>
            <w:r>
              <w:rPr>
                <w:rFonts w:hint="eastAsia" w:ascii="宋体" w:hAnsi="宋体" w:eastAsia="宋体" w:cs="宋体"/>
                <w:color w:val="auto"/>
                <w:sz w:val="21"/>
                <w:szCs w:val="21"/>
                <w:lang w:eastAsia="zh-CN"/>
              </w:rPr>
              <w:t>、安装调试完成</w:t>
            </w:r>
            <w:r>
              <w:rPr>
                <w:rFonts w:hint="eastAsia" w:ascii="宋体" w:hAnsi="宋体" w:eastAsia="宋体" w:cs="宋体"/>
                <w:color w:val="auto"/>
                <w:sz w:val="21"/>
                <w:szCs w:val="21"/>
              </w:rPr>
              <w:t>之日起</w:t>
            </w:r>
            <w:r>
              <w:rPr>
                <w:rFonts w:hint="eastAsia" w:ascii="宋体" w:hAnsi="宋体" w:eastAsia="宋体" w:cs="宋体"/>
                <w:color w:val="auto"/>
                <w:sz w:val="21"/>
                <w:szCs w:val="21"/>
                <w:lang w:val="en-US" w:eastAsia="zh-CN"/>
              </w:rPr>
              <w:t>30天内完成验收</w:t>
            </w:r>
            <w:r>
              <w:rPr>
                <w:rFonts w:hint="eastAsia" w:ascii="宋体" w:hAnsi="宋体" w:eastAsia="宋体" w:cs="宋体"/>
                <w:color w:val="auto"/>
                <w:sz w:val="21"/>
                <w:szCs w:val="21"/>
              </w:rPr>
              <w:t>。</w:t>
            </w:r>
          </w:p>
          <w:p w14:paraId="502FEB22">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w:t>
            </w:r>
            <w:r>
              <w:rPr>
                <w:rFonts w:hint="eastAsia" w:ascii="宋体" w:hAnsi="宋体" w:eastAsia="宋体" w:cs="宋体"/>
                <w:color w:val="auto"/>
                <w:sz w:val="21"/>
                <w:szCs w:val="21"/>
                <w:highlight w:val="none"/>
                <w:lang w:eastAsia="zh-CN"/>
              </w:rPr>
              <w:t>依据及标准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国家、行业标准、招标文件采购需求、投标文件承诺</w:t>
            </w:r>
            <w:r>
              <w:rPr>
                <w:rFonts w:hint="eastAsia" w:ascii="宋体" w:hAnsi="宋体" w:cs="宋体"/>
                <w:color w:val="auto"/>
                <w:sz w:val="21"/>
                <w:szCs w:val="21"/>
                <w:highlight w:val="none"/>
                <w:lang w:eastAsia="zh-CN"/>
              </w:rPr>
              <w:t>。</w:t>
            </w:r>
          </w:p>
          <w:p w14:paraId="68B55D72">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履约验收程序</w:t>
            </w:r>
            <w:r>
              <w:rPr>
                <w:rFonts w:hint="eastAsia" w:ascii="宋体" w:hAnsi="宋体" w:eastAsia="宋体" w:cs="宋体"/>
                <w:color w:val="auto"/>
                <w:sz w:val="21"/>
                <w:szCs w:val="21"/>
                <w:highlight w:val="none"/>
                <w:lang w:eastAsia="zh-CN"/>
              </w:rPr>
              <w:t>：</w:t>
            </w:r>
          </w:p>
          <w:p w14:paraId="73755529">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A.成立验收小组：采购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代表成立验收小组。</w:t>
            </w:r>
          </w:p>
          <w:p w14:paraId="16AA5FEE">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B.开箱验收：</w:t>
            </w:r>
          </w:p>
          <w:p w14:paraId="3C4BEE36">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中标人代表双方当场</w:t>
            </w:r>
            <w:r>
              <w:rPr>
                <w:rFonts w:hint="eastAsia" w:ascii="宋体" w:hAnsi="宋体" w:eastAsia="宋体" w:cs="宋体"/>
                <w:color w:val="auto"/>
                <w:sz w:val="21"/>
                <w:szCs w:val="21"/>
                <w:highlight w:val="none"/>
              </w:rPr>
              <w:t>进行开箱验收。检查其外包装是否完好无损，并对设备数量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eastAsia="zh-CN"/>
              </w:rPr>
              <w:t>初步</w:t>
            </w:r>
            <w:r>
              <w:rPr>
                <w:rFonts w:hint="eastAsia" w:ascii="宋体" w:hAnsi="宋体" w:eastAsia="宋体" w:cs="宋体"/>
                <w:color w:val="auto"/>
                <w:sz w:val="21"/>
                <w:szCs w:val="21"/>
                <w:highlight w:val="none"/>
              </w:rPr>
              <w:t>核对，检查是否与合同一致，文档材料是否齐全。</w:t>
            </w:r>
          </w:p>
          <w:p w14:paraId="4F980250">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)如发现设备短缺、损坏或其他与合同约定不符的情况，由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采取补齐、更换及其他补救措施，以确保仪器设备的正常安装调试。</w:t>
            </w:r>
          </w:p>
          <w:p w14:paraId="00FFC3D1">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)开箱检验合格后，由采购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中标人代表双方</w:t>
            </w:r>
            <w:r>
              <w:rPr>
                <w:rFonts w:hint="eastAsia" w:ascii="宋体" w:hAnsi="宋体" w:eastAsia="宋体" w:cs="宋体"/>
                <w:color w:val="auto"/>
                <w:sz w:val="21"/>
                <w:szCs w:val="21"/>
                <w:highlight w:val="none"/>
              </w:rPr>
              <w:t>签署开箱检验验收书，开箱检验验收书应列明合同设备数量、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文档资料等验收情况及评价意见。</w:t>
            </w:r>
          </w:p>
          <w:p w14:paraId="10BD0ECC">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C.安装、调试</w:t>
            </w:r>
          </w:p>
          <w:p w14:paraId="7D1A541D">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进行仪器设备的安装、调试。</w:t>
            </w:r>
          </w:p>
          <w:p w14:paraId="2BAF44E5">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w:t>
            </w:r>
            <w:r>
              <w:rPr>
                <w:rFonts w:hint="eastAsia" w:ascii="宋体" w:hAnsi="宋体" w:eastAsia="宋体" w:cs="宋体"/>
                <w:color w:val="auto"/>
                <w:sz w:val="21"/>
                <w:szCs w:val="21"/>
                <w:highlight w:val="none"/>
                <w:lang w:eastAsia="zh-CN"/>
              </w:rPr>
              <w:t>、中标人代表进行设备试运行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试运行情况</w:t>
            </w:r>
            <w:r>
              <w:rPr>
                <w:rFonts w:hint="eastAsia" w:ascii="宋体" w:hAnsi="宋体" w:eastAsia="宋体" w:cs="宋体"/>
                <w:color w:val="auto"/>
                <w:sz w:val="21"/>
                <w:szCs w:val="21"/>
                <w:highlight w:val="none"/>
              </w:rPr>
              <w:t>进行评价。</w:t>
            </w:r>
          </w:p>
          <w:p w14:paraId="77B36A5D">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试运行时由采购人对照招标文件的功能目标及技术指标要求、投标文件响应的功能、参数全面核对检验，所提供设备的性能应与投标时提供的证明文件及响应的功能、参数完全一致，</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rPr>
              <w:t>，由采购</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中标人代表</w:t>
            </w:r>
            <w:r>
              <w:rPr>
                <w:rFonts w:hint="eastAsia" w:ascii="宋体" w:hAnsi="宋体" w:eastAsia="宋体" w:cs="宋体"/>
                <w:color w:val="auto"/>
                <w:sz w:val="21"/>
                <w:szCs w:val="21"/>
                <w:highlight w:val="none"/>
              </w:rPr>
              <w:t>共同对安装、调试情况进行记录。</w:t>
            </w:r>
            <w:r>
              <w:rPr>
                <w:rFonts w:hint="eastAsia" w:ascii="宋体" w:hAnsi="宋体" w:eastAsia="宋体" w:cs="宋体"/>
                <w:color w:val="auto"/>
                <w:sz w:val="21"/>
                <w:szCs w:val="21"/>
                <w:highlight w:val="none"/>
                <w:lang w:eastAsia="zh-CN"/>
              </w:rPr>
              <w:t>如不符合招标文件的技术需求及要求以及提供虚假承诺的，按相关规定做退货处理及违约处理，中标人承担所有责任和费用，采购人保留进一步追究责任的权利。</w:t>
            </w:r>
          </w:p>
          <w:p w14:paraId="3FDD97ED">
            <w:pPr>
              <w:spacing w:line="24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采购项目进行验收时，采购人可以邀请参加本项目的其他投标人、技术专家或者第三方机构参与验收。参与验收的投标人、技术专家或者第三方机构的意见作为验收书的参考资料一并存档。验收所产生的一切费用由中标人承担。</w:t>
            </w:r>
          </w:p>
          <w:p w14:paraId="31ADCC2C">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D</w:t>
            </w:r>
            <w:r>
              <w:rPr>
                <w:rFonts w:hint="eastAsia" w:ascii="宋体" w:hAnsi="宋体" w:eastAsia="宋体" w:cs="宋体"/>
                <w:color w:val="auto"/>
                <w:sz w:val="21"/>
                <w:szCs w:val="21"/>
                <w:highlight w:val="none"/>
              </w:rPr>
              <w:t>.履约验收其他事项：</w:t>
            </w:r>
          </w:p>
          <w:p w14:paraId="4308C486">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验收资料归档，采购合同项目完成验收后，将验收原始记录、验收书等资料作为该采购项目档案妥善保管，不得伪造、变造、隐匿或者销毁，验收资料保存期为采购结束之日起至少保存15年。</w:t>
            </w:r>
          </w:p>
          <w:p w14:paraId="18193C9C">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)由于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原因造成不按时完成验收、造成逾期供货事实的，由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承担相关合同责任。</w:t>
            </w:r>
          </w:p>
          <w:p w14:paraId="40EAEE95">
            <w:pPr>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)验收合格后视为设备交接，在验收合格前设备属于</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，所有运输、仓储、装卸、保管、搬运等相关责任由</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负责。</w:t>
            </w:r>
          </w:p>
        </w:tc>
      </w:tr>
      <w:tr w14:paraId="2DF5E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4EF32939">
            <w:pPr>
              <w:bidi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5</w:t>
            </w:r>
          </w:p>
        </w:tc>
        <w:tc>
          <w:tcPr>
            <w:tcW w:w="2068" w:type="dxa"/>
            <w:gridSpan w:val="2"/>
            <w:tcBorders>
              <w:top w:val="single" w:color="auto" w:sz="4" w:space="0"/>
              <w:left w:val="nil"/>
              <w:bottom w:val="single" w:color="auto" w:sz="4" w:space="0"/>
              <w:right w:val="single" w:color="000000" w:sz="4" w:space="0"/>
            </w:tcBorders>
            <w:vAlign w:val="center"/>
          </w:tcPr>
          <w:p w14:paraId="47D75478">
            <w:pPr>
              <w:snapToGrid w:val="0"/>
              <w:spacing w:line="400" w:lineRule="exact"/>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rPr>
              <w:t>付款条件</w:t>
            </w:r>
          </w:p>
        </w:tc>
        <w:tc>
          <w:tcPr>
            <w:tcW w:w="6899" w:type="dxa"/>
            <w:gridSpan w:val="2"/>
            <w:tcBorders>
              <w:top w:val="single" w:color="auto" w:sz="4" w:space="0"/>
              <w:left w:val="nil"/>
              <w:bottom w:val="single" w:color="auto" w:sz="4" w:space="0"/>
              <w:right w:val="single" w:color="000000" w:sz="4" w:space="0"/>
            </w:tcBorders>
            <w:vAlign w:val="top"/>
          </w:tcPr>
          <w:p w14:paraId="0BBC90E7">
            <w:pPr>
              <w:spacing w:line="40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1、签订合同后10个工作日内，支付合同合计金额的30%作为预付款；全部货物到货后支付合同款的5</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%，安装调试</w:t>
            </w:r>
            <w:r>
              <w:rPr>
                <w:rFonts w:hint="eastAsia" w:ascii="宋体" w:hAnsi="宋体" w:cs="宋体"/>
                <w:color w:val="auto"/>
                <w:sz w:val="21"/>
                <w:szCs w:val="21"/>
                <w:lang w:eastAsia="zh-CN"/>
              </w:rPr>
              <w:t>并</w:t>
            </w:r>
            <w:r>
              <w:rPr>
                <w:rFonts w:hint="eastAsia" w:ascii="宋体" w:hAnsi="宋体" w:eastAsia="宋体" w:cs="宋体"/>
                <w:color w:val="auto"/>
                <w:sz w:val="21"/>
                <w:szCs w:val="21"/>
              </w:rPr>
              <w:t>经采购人验收合格后，支付剩余合同款。</w:t>
            </w:r>
          </w:p>
          <w:p w14:paraId="5A0BBAAD">
            <w:pPr>
              <w:spacing w:line="400" w:lineRule="exact"/>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、每次付款前供应商应提供请款函和</w:t>
            </w:r>
            <w:r>
              <w:rPr>
                <w:rFonts w:hint="eastAsia" w:ascii="宋体" w:hAnsi="宋体" w:eastAsia="宋体" w:cs="宋体"/>
                <w:color w:val="auto"/>
                <w:sz w:val="21"/>
                <w:szCs w:val="21"/>
                <w:lang w:eastAsia="zh-CN"/>
              </w:rPr>
              <w:t>合法</w:t>
            </w:r>
            <w:r>
              <w:rPr>
                <w:rFonts w:hint="eastAsia" w:ascii="宋体" w:hAnsi="宋体" w:eastAsia="宋体" w:cs="宋体"/>
                <w:color w:val="auto"/>
                <w:sz w:val="21"/>
                <w:szCs w:val="21"/>
              </w:rPr>
              <w:t>发票。</w:t>
            </w:r>
          </w:p>
        </w:tc>
      </w:tr>
      <w:tr w14:paraId="023C4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07EBA5A1">
            <w:pPr>
              <w:bidi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6</w:t>
            </w:r>
          </w:p>
        </w:tc>
        <w:tc>
          <w:tcPr>
            <w:tcW w:w="2068" w:type="dxa"/>
            <w:gridSpan w:val="2"/>
            <w:tcBorders>
              <w:top w:val="single" w:color="auto" w:sz="4" w:space="0"/>
              <w:left w:val="nil"/>
              <w:bottom w:val="single" w:color="auto" w:sz="4" w:space="0"/>
              <w:right w:val="single" w:color="000000" w:sz="4" w:space="0"/>
            </w:tcBorders>
            <w:vAlign w:val="center"/>
          </w:tcPr>
          <w:p w14:paraId="0AF02F5C">
            <w:pPr>
              <w:snapToGrid w:val="0"/>
              <w:spacing w:line="400" w:lineRule="exact"/>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售后服务要求</w:t>
            </w:r>
          </w:p>
        </w:tc>
        <w:tc>
          <w:tcPr>
            <w:tcW w:w="6899" w:type="dxa"/>
            <w:gridSpan w:val="2"/>
            <w:tcBorders>
              <w:top w:val="single" w:color="auto" w:sz="4" w:space="0"/>
              <w:left w:val="nil"/>
              <w:bottom w:val="single" w:color="auto" w:sz="4" w:space="0"/>
              <w:right w:val="single" w:color="000000" w:sz="4" w:space="0"/>
            </w:tcBorders>
            <w:vAlign w:val="top"/>
          </w:tcPr>
          <w:p w14:paraId="53D3A334">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1、供货：送货上门、安装、调试，采购人不再额外支付费用。</w:t>
            </w:r>
          </w:p>
          <w:p w14:paraId="7C0B4B85">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2、现场安装、调试：由采购人提供安装调试环境条件，技术人员到达现场，并在进场一周内完成设备安装、调试，所需工具器材、交通食宿应包含在报价内，采购人不再额外支付费用。</w:t>
            </w:r>
          </w:p>
          <w:p w14:paraId="16799E12">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3、现场培训：在安装调试合格后，</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厂家技术人员对采购人至少2名操作人员现场进行仪器使用及维护培训，能够独立操作仪器</w:t>
            </w:r>
            <w:r>
              <w:rPr>
                <w:rFonts w:hint="eastAsia" w:ascii="宋体" w:hAnsi="宋体" w:eastAsia="宋体" w:cs="宋体"/>
                <w:sz w:val="21"/>
                <w:szCs w:val="21"/>
                <w:lang w:eastAsia="zh-CN"/>
              </w:rPr>
              <w:t>、设备</w:t>
            </w:r>
            <w:r>
              <w:rPr>
                <w:rFonts w:hint="eastAsia" w:ascii="宋体" w:hAnsi="宋体" w:eastAsia="宋体" w:cs="宋体"/>
                <w:sz w:val="21"/>
                <w:szCs w:val="21"/>
              </w:rPr>
              <w:t>。</w:t>
            </w:r>
          </w:p>
          <w:p w14:paraId="305CD131">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4、后期回访：质保期内进行</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次/年回访，回访期间对仪器进行维护和培训等，采购人不再额外支付费用。</w:t>
            </w:r>
          </w:p>
          <w:p w14:paraId="7C22E27E">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eastAsia="zh-CN"/>
              </w:rPr>
              <w:t>接到采购人故障通知后</w:t>
            </w:r>
            <w:r>
              <w:rPr>
                <w:rFonts w:hint="eastAsia" w:ascii="宋体" w:hAnsi="宋体" w:eastAsia="宋体" w:cs="宋体"/>
                <w:sz w:val="21"/>
                <w:szCs w:val="21"/>
                <w:lang w:val="en-US" w:eastAsia="zh-CN"/>
              </w:rPr>
              <w:t>1</w:t>
            </w:r>
            <w:r>
              <w:rPr>
                <w:rFonts w:hint="eastAsia" w:ascii="宋体" w:hAnsi="宋体" w:eastAsia="宋体" w:cs="宋体"/>
                <w:sz w:val="21"/>
                <w:szCs w:val="21"/>
              </w:rPr>
              <w:t>小时内响应，如不能解决问题将派人</w:t>
            </w:r>
            <w:r>
              <w:rPr>
                <w:rFonts w:hint="eastAsia" w:ascii="宋体" w:hAnsi="宋体" w:eastAsia="宋体" w:cs="宋体"/>
                <w:sz w:val="21"/>
                <w:szCs w:val="21"/>
                <w:lang w:val="en-US" w:eastAsia="zh-CN"/>
              </w:rPr>
              <w:t>24小时内到达</w:t>
            </w:r>
            <w:r>
              <w:rPr>
                <w:rFonts w:hint="eastAsia" w:ascii="宋体" w:hAnsi="宋体" w:eastAsia="宋体" w:cs="宋体"/>
                <w:sz w:val="21"/>
                <w:szCs w:val="21"/>
              </w:rPr>
              <w:t>现场排除故障。</w:t>
            </w:r>
          </w:p>
          <w:p w14:paraId="71E035C9">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、备件、技术及维修服务及其它：</w:t>
            </w:r>
          </w:p>
          <w:p w14:paraId="0C5B7118">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（1）备件要求：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厂家应在</w:t>
            </w:r>
            <w:r>
              <w:rPr>
                <w:rFonts w:hint="eastAsia" w:ascii="宋体" w:hAnsi="宋体" w:eastAsia="宋体" w:cs="宋体"/>
                <w:sz w:val="21"/>
                <w:szCs w:val="21"/>
                <w:lang w:eastAsia="zh-CN"/>
              </w:rPr>
              <w:t>交货地点所在</w:t>
            </w:r>
            <w:r>
              <w:rPr>
                <w:rFonts w:hint="eastAsia" w:ascii="宋体" w:hAnsi="宋体" w:eastAsia="宋体" w:cs="宋体"/>
                <w:sz w:val="21"/>
                <w:szCs w:val="21"/>
              </w:rPr>
              <w:t>省会中心城市设置备件库，存入所有必须的备件，保证必要时可以及时供应。</w:t>
            </w:r>
          </w:p>
          <w:p w14:paraId="157C96DD">
            <w:pPr>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rPr>
              <w:t>（2）技术及维修服务：在用户当地或省会中心城市，</w:t>
            </w:r>
            <w:r>
              <w:rPr>
                <w:rFonts w:hint="eastAsia" w:ascii="宋体" w:hAnsi="宋体" w:eastAsia="宋体" w:cs="宋体"/>
                <w:sz w:val="21"/>
                <w:szCs w:val="21"/>
                <w:lang w:eastAsia="zh-CN"/>
              </w:rPr>
              <w:t>投标</w:t>
            </w:r>
            <w:r>
              <w:rPr>
                <w:rFonts w:hint="eastAsia" w:ascii="宋体" w:hAnsi="宋体" w:eastAsia="宋体" w:cs="宋体"/>
                <w:sz w:val="21"/>
                <w:szCs w:val="21"/>
              </w:rPr>
              <w:t>人或</w:t>
            </w:r>
            <w:r>
              <w:rPr>
                <w:rFonts w:hint="eastAsia" w:ascii="宋体" w:hAnsi="宋体" w:eastAsia="宋体" w:cs="宋体"/>
                <w:sz w:val="21"/>
                <w:szCs w:val="21"/>
                <w:lang w:eastAsia="zh-CN"/>
              </w:rPr>
              <w:t>投标产品生产</w:t>
            </w:r>
            <w:r>
              <w:rPr>
                <w:rFonts w:hint="eastAsia" w:ascii="宋体" w:hAnsi="宋体" w:eastAsia="宋体" w:cs="宋体"/>
                <w:sz w:val="21"/>
                <w:szCs w:val="21"/>
              </w:rPr>
              <w:t>厂家应配置工程技术人员，随时提供开箱验货、安装、调试或维修等服务。</w:t>
            </w:r>
          </w:p>
          <w:p w14:paraId="3983A613">
            <w:pPr>
              <w:snapToGrid w:val="0"/>
              <w:spacing w:line="400" w:lineRule="exact"/>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（3）质保期内设备发生故障时，响应时间1小时以内，特殊情况无法到达须提前与采购人沟通。当配件等待周期大于7个工作日时，对应延长质保期。</w:t>
            </w:r>
          </w:p>
        </w:tc>
      </w:tr>
      <w:tr w14:paraId="2687C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748" w:type="dxa"/>
            <w:tcBorders>
              <w:top w:val="single" w:color="auto" w:sz="4" w:space="0"/>
              <w:left w:val="single" w:color="000000" w:sz="4" w:space="0"/>
              <w:bottom w:val="single" w:color="auto" w:sz="4" w:space="0"/>
              <w:right w:val="single" w:color="000000" w:sz="4" w:space="0"/>
            </w:tcBorders>
            <w:vAlign w:val="center"/>
          </w:tcPr>
          <w:p w14:paraId="27F1D56B">
            <w:pPr>
              <w:bidi w:val="0"/>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7</w:t>
            </w:r>
          </w:p>
        </w:tc>
        <w:tc>
          <w:tcPr>
            <w:tcW w:w="2068" w:type="dxa"/>
            <w:gridSpan w:val="2"/>
            <w:tcBorders>
              <w:top w:val="single" w:color="auto" w:sz="4" w:space="0"/>
              <w:left w:val="nil"/>
              <w:bottom w:val="single" w:color="auto" w:sz="4" w:space="0"/>
              <w:right w:val="single" w:color="000000" w:sz="4" w:space="0"/>
            </w:tcBorders>
            <w:vAlign w:val="center"/>
          </w:tcPr>
          <w:p w14:paraId="3FD7CC75">
            <w:pPr>
              <w:snapToGrid w:val="0"/>
              <w:spacing w:line="400" w:lineRule="exact"/>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rPr>
              <w:t>其它要求</w:t>
            </w:r>
          </w:p>
        </w:tc>
        <w:tc>
          <w:tcPr>
            <w:tcW w:w="6899" w:type="dxa"/>
            <w:gridSpan w:val="2"/>
            <w:tcBorders>
              <w:top w:val="single" w:color="auto" w:sz="4" w:space="0"/>
              <w:left w:val="nil"/>
              <w:bottom w:val="single" w:color="auto" w:sz="4" w:space="0"/>
              <w:right w:val="single" w:color="000000" w:sz="4" w:space="0"/>
            </w:tcBorders>
            <w:vAlign w:val="top"/>
          </w:tcPr>
          <w:p w14:paraId="1E303F43">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1、核心产品：本项目的核心产品为</w:t>
            </w:r>
            <w:r>
              <w:rPr>
                <w:rFonts w:hint="eastAsia" w:hAnsi="宋体" w:cs="宋体"/>
                <w:sz w:val="21"/>
                <w:szCs w:val="21"/>
                <w:lang w:val="en-US" w:eastAsia="zh-CN"/>
              </w:rPr>
              <w:t>“</w:t>
            </w:r>
            <w:r>
              <w:rPr>
                <w:rFonts w:hint="eastAsia" w:ascii="宋体" w:hAnsi="宋体" w:eastAsia="宋体" w:cs="宋体"/>
                <w:b/>
                <w:bCs/>
                <w:sz w:val="21"/>
                <w:szCs w:val="21"/>
                <w:lang w:val="en-US" w:eastAsia="zh-CN"/>
              </w:rPr>
              <w:t>水质监控主机</w:t>
            </w:r>
            <w:r>
              <w:rPr>
                <w:rFonts w:hint="eastAsia"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b/>
                <w:bCs/>
                <w:color w:val="auto"/>
                <w:kern w:val="2"/>
                <w:sz w:val="21"/>
                <w:szCs w:val="21"/>
                <w:highlight w:val="none"/>
                <w:lang w:val="en-US" w:eastAsia="zh-CN" w:bidi="ar"/>
              </w:rPr>
              <w:t>核心产品品牌相同的，视为提供同品牌产品。核心产品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68A8C204">
            <w:pPr>
              <w:pStyle w:val="14"/>
              <w:snapToGrid w:val="0"/>
              <w:spacing w:line="400" w:lineRule="exact"/>
              <w:outlineLvl w:val="0"/>
              <w:rPr>
                <w:rFonts w:hint="eastAsia" w:ascii="宋体" w:hAnsi="宋体" w:eastAsia="宋体" w:cs="宋体"/>
                <w:sz w:val="21"/>
                <w:szCs w:val="21"/>
                <w:lang w:val="en-US" w:eastAsia="zh-CN"/>
              </w:rPr>
            </w:pPr>
            <w:r>
              <w:rPr>
                <w:rFonts w:hint="eastAsia" w:ascii="宋体" w:hAnsi="宋体" w:eastAsia="宋体" w:cs="宋体"/>
                <w:color w:val="auto"/>
                <w:kern w:val="0"/>
                <w:sz w:val="21"/>
                <w:szCs w:val="21"/>
                <w:highlight w:val="none"/>
              </w:rPr>
              <w:t>▲</w:t>
            </w:r>
            <w:r>
              <w:rPr>
                <w:rFonts w:hint="eastAsia" w:ascii="宋体" w:hAnsi="宋体" w:eastAsia="宋体" w:cs="宋体"/>
                <w:sz w:val="21"/>
                <w:szCs w:val="21"/>
                <w:lang w:val="en-US" w:eastAsia="zh-CN"/>
              </w:rPr>
              <w:t>2、进口产品：本包标的不接受进口产品（即通过中国海关报关验放进入中国境内且产自关境外的产品）参与投标，如有此类产品参与投标的做无效投标处理。</w:t>
            </w:r>
          </w:p>
          <w:p w14:paraId="0029F9E3">
            <w:pPr>
              <w:pStyle w:val="14"/>
              <w:snapToGrid w:val="0"/>
              <w:spacing w:line="400" w:lineRule="exact"/>
              <w:outlineLvl w:val="0"/>
              <w:rPr>
                <w:rFonts w:hint="eastAsia" w:ascii="宋体" w:hAnsi="宋体" w:eastAsia="宋体" w:cs="宋体"/>
                <w:sz w:val="21"/>
                <w:szCs w:val="21"/>
              </w:rPr>
            </w:pPr>
            <w:r>
              <w:rPr>
                <w:rFonts w:hint="eastAsia" w:ascii="宋体" w:hAnsi="宋体" w:eastAsia="宋体" w:cs="宋体"/>
                <w:sz w:val="21"/>
                <w:szCs w:val="21"/>
                <w:lang w:val="en-US" w:eastAsia="zh-CN"/>
              </w:rPr>
              <w:t>3、投标人保证向采购人提供的货物是全新、完整、未使用过的</w:t>
            </w:r>
            <w:r>
              <w:rPr>
                <w:rFonts w:hint="eastAsia" w:ascii="宋体" w:hAnsi="宋体" w:eastAsia="宋体" w:cs="宋体"/>
                <w:bCs/>
                <w:kern w:val="0"/>
                <w:sz w:val="21"/>
                <w:szCs w:val="21"/>
                <w:lang w:val="en-US" w:eastAsia="zh-CN"/>
              </w:rPr>
              <w:t>。</w:t>
            </w:r>
          </w:p>
          <w:p w14:paraId="31E7B891">
            <w:pPr>
              <w:pStyle w:val="14"/>
              <w:snapToGrid w:val="0"/>
              <w:spacing w:line="400" w:lineRule="exact"/>
              <w:outlineLvl w:val="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4、投标时按要求提供投标产品彩色图片或说明书或检测报告等产品技术参数佐证材料。</w:t>
            </w:r>
          </w:p>
        </w:tc>
      </w:tr>
      <w:bookmarkEnd w:id="64"/>
      <w:bookmarkEnd w:id="65"/>
    </w:tbl>
    <w:p w14:paraId="36A40840">
      <w:pPr>
        <w:ind w:left="119"/>
        <w:rPr>
          <w:rFonts w:hint="eastAsia" w:ascii="宋体" w:hAnsi="宋体" w:cs="宋体"/>
          <w:sz w:val="32"/>
          <w:szCs w:val="32"/>
          <w:highlight w:val="none"/>
        </w:rPr>
      </w:pPr>
    </w:p>
    <w:p w14:paraId="20C238EA">
      <w:pPr>
        <w:ind w:left="119"/>
        <w:rPr>
          <w:rFonts w:hint="eastAsia" w:ascii="宋体" w:hAnsi="宋体" w:cs="宋体"/>
          <w:sz w:val="32"/>
          <w:szCs w:val="32"/>
          <w:highlight w:val="none"/>
        </w:rPr>
      </w:pPr>
    </w:p>
    <w:p w14:paraId="11DE345F">
      <w:pPr>
        <w:ind w:left="119"/>
        <w:rPr>
          <w:rFonts w:hint="eastAsia" w:ascii="宋体" w:hAnsi="宋体" w:cs="宋体"/>
          <w:sz w:val="32"/>
          <w:szCs w:val="32"/>
          <w:highlight w:val="none"/>
        </w:rPr>
      </w:pPr>
    </w:p>
    <w:p w14:paraId="727721AD">
      <w:pPr>
        <w:ind w:left="119"/>
        <w:rPr>
          <w:rFonts w:hint="eastAsia" w:ascii="宋体" w:hAnsi="宋体" w:cs="宋体"/>
          <w:sz w:val="32"/>
          <w:szCs w:val="32"/>
          <w:highlight w:val="none"/>
        </w:rPr>
      </w:pPr>
    </w:p>
    <w:p w14:paraId="284BFD1B">
      <w:pPr>
        <w:ind w:left="119"/>
        <w:rPr>
          <w:rFonts w:hint="eastAsia" w:ascii="宋体" w:hAnsi="宋体" w:cs="宋体"/>
          <w:sz w:val="32"/>
          <w:szCs w:val="32"/>
          <w:highlight w:val="none"/>
        </w:rPr>
      </w:pPr>
    </w:p>
    <w:p w14:paraId="59FAD6A6">
      <w:pPr>
        <w:ind w:left="119"/>
        <w:rPr>
          <w:rFonts w:ascii="宋体" w:hAnsi="宋体" w:cs="宋体"/>
          <w:sz w:val="32"/>
          <w:szCs w:val="32"/>
          <w:highlight w:val="none"/>
        </w:rPr>
      </w:pPr>
      <w:r>
        <w:rPr>
          <w:rFonts w:hint="eastAsia" w:ascii="宋体" w:hAnsi="宋体" w:cs="宋体"/>
          <w:sz w:val="32"/>
          <w:szCs w:val="32"/>
          <w:highlight w:val="none"/>
        </w:rPr>
        <w:t>附件1：</w:t>
      </w:r>
    </w:p>
    <w:p w14:paraId="5D84D197">
      <w:pPr>
        <w:widowControl/>
        <w:spacing w:beforeLines="50" w:afterLines="50" w:line="280" w:lineRule="exact"/>
        <w:ind w:firstLine="452"/>
        <w:jc w:val="center"/>
        <w:rPr>
          <w:rFonts w:ascii="宋体" w:hAnsi="宋体" w:cs="宋体"/>
          <w:b/>
          <w:bCs/>
          <w:kern w:val="0"/>
          <w:sz w:val="30"/>
          <w:szCs w:val="30"/>
          <w:highlight w:val="none"/>
        </w:rPr>
      </w:pPr>
      <w:bookmarkStart w:id="66" w:name="_Toc28361_WPSOffice_Level2"/>
      <w:r>
        <w:rPr>
          <w:rFonts w:hint="eastAsia" w:ascii="宋体" w:hAnsi="宋体" w:cs="宋体"/>
          <w:b/>
          <w:bCs/>
          <w:kern w:val="0"/>
          <w:sz w:val="30"/>
          <w:szCs w:val="30"/>
          <w:highlight w:val="none"/>
        </w:rPr>
        <w:t>统计上大中小微型企业划分标准</w:t>
      </w:r>
      <w:bookmarkEnd w:id="66"/>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4BA1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093C8AE8">
            <w:pPr>
              <w:widowControl/>
              <w:spacing w:line="280" w:lineRule="exact"/>
              <w:jc w:val="center"/>
              <w:rPr>
                <w:rFonts w:ascii="宋体" w:hAnsi="宋体" w:cs="宋体"/>
                <w:b/>
                <w:bCs/>
                <w:kern w:val="0"/>
                <w:sz w:val="18"/>
                <w:szCs w:val="21"/>
                <w:highlight w:val="none"/>
              </w:rPr>
            </w:pPr>
            <w:r>
              <w:rPr>
                <w:rFonts w:hint="eastAsia" w:ascii="宋体" w:hAnsi="宋体" w:cs="宋体"/>
                <w:b/>
                <w:bCs/>
                <w:kern w:val="0"/>
                <w:sz w:val="18"/>
                <w:szCs w:val="21"/>
                <w:highlight w:val="none"/>
              </w:rPr>
              <w:t>行业名称</w:t>
            </w:r>
          </w:p>
        </w:tc>
        <w:tc>
          <w:tcPr>
            <w:tcW w:w="1369" w:type="dxa"/>
            <w:shd w:val="clear" w:color="auto" w:fill="8DB3E2"/>
            <w:vAlign w:val="center"/>
          </w:tcPr>
          <w:p w14:paraId="57D0AC26">
            <w:pPr>
              <w:widowControl/>
              <w:spacing w:line="280" w:lineRule="exact"/>
              <w:jc w:val="center"/>
              <w:rPr>
                <w:rFonts w:ascii="宋体" w:hAnsi="宋体" w:cs="宋体"/>
                <w:b/>
                <w:bCs/>
                <w:kern w:val="0"/>
                <w:sz w:val="18"/>
                <w:szCs w:val="18"/>
                <w:highlight w:val="none"/>
              </w:rPr>
            </w:pPr>
            <w:r>
              <w:rPr>
                <w:rFonts w:hint="eastAsia" w:ascii="宋体" w:hAnsi="宋体" w:cs="宋体"/>
                <w:b/>
                <w:bCs/>
                <w:kern w:val="0"/>
                <w:sz w:val="18"/>
                <w:szCs w:val="18"/>
                <w:highlight w:val="none"/>
              </w:rPr>
              <w:t>指标名称</w:t>
            </w:r>
          </w:p>
        </w:tc>
        <w:tc>
          <w:tcPr>
            <w:tcW w:w="709" w:type="dxa"/>
            <w:shd w:val="clear" w:color="auto" w:fill="8DB3E2"/>
            <w:vAlign w:val="center"/>
          </w:tcPr>
          <w:p w14:paraId="2B35827F">
            <w:pPr>
              <w:widowControl/>
              <w:spacing w:line="280" w:lineRule="exact"/>
              <w:jc w:val="center"/>
              <w:rPr>
                <w:rFonts w:ascii="宋体" w:hAnsi="宋体" w:cs="宋体"/>
                <w:b/>
                <w:bCs/>
                <w:kern w:val="0"/>
                <w:sz w:val="18"/>
                <w:szCs w:val="18"/>
                <w:highlight w:val="none"/>
              </w:rPr>
            </w:pPr>
            <w:r>
              <w:rPr>
                <w:rFonts w:hint="eastAsia" w:ascii="宋体" w:hAnsi="宋体" w:cs="宋体"/>
                <w:b/>
                <w:bCs/>
                <w:kern w:val="0"/>
                <w:sz w:val="18"/>
                <w:szCs w:val="18"/>
                <w:highlight w:val="none"/>
              </w:rPr>
              <w:t>计量</w:t>
            </w:r>
          </w:p>
          <w:p w14:paraId="148345CF">
            <w:pPr>
              <w:widowControl/>
              <w:spacing w:line="280" w:lineRule="exact"/>
              <w:jc w:val="center"/>
              <w:rPr>
                <w:rFonts w:ascii="宋体" w:hAnsi="宋体" w:cs="宋体"/>
                <w:b/>
                <w:bCs/>
                <w:kern w:val="0"/>
                <w:sz w:val="18"/>
                <w:szCs w:val="18"/>
                <w:highlight w:val="none"/>
              </w:rPr>
            </w:pPr>
            <w:r>
              <w:rPr>
                <w:rFonts w:hint="eastAsia" w:ascii="宋体" w:hAnsi="宋体" w:cs="宋体"/>
                <w:b/>
                <w:bCs/>
                <w:kern w:val="0"/>
                <w:sz w:val="18"/>
                <w:szCs w:val="18"/>
                <w:highlight w:val="none"/>
              </w:rPr>
              <w:t>单位</w:t>
            </w:r>
          </w:p>
        </w:tc>
        <w:tc>
          <w:tcPr>
            <w:tcW w:w="1125" w:type="dxa"/>
            <w:shd w:val="clear" w:color="auto" w:fill="8DB3E2"/>
            <w:vAlign w:val="center"/>
          </w:tcPr>
          <w:p w14:paraId="620CBAAC">
            <w:pPr>
              <w:widowControl/>
              <w:spacing w:line="280" w:lineRule="exact"/>
              <w:jc w:val="center"/>
              <w:rPr>
                <w:rFonts w:ascii="宋体" w:hAnsi="宋体" w:cs="宋体"/>
                <w:b/>
                <w:bCs/>
                <w:kern w:val="0"/>
                <w:sz w:val="18"/>
                <w:szCs w:val="18"/>
                <w:highlight w:val="none"/>
              </w:rPr>
            </w:pPr>
            <w:r>
              <w:rPr>
                <w:rFonts w:hint="eastAsia" w:ascii="宋体" w:hAnsi="宋体" w:cs="宋体"/>
                <w:b/>
                <w:bCs/>
                <w:kern w:val="0"/>
                <w:sz w:val="18"/>
                <w:szCs w:val="18"/>
                <w:highlight w:val="none"/>
              </w:rPr>
              <w:t>大型</w:t>
            </w:r>
          </w:p>
        </w:tc>
        <w:tc>
          <w:tcPr>
            <w:tcW w:w="1701" w:type="dxa"/>
            <w:shd w:val="clear" w:color="auto" w:fill="8DB3E2"/>
            <w:vAlign w:val="center"/>
          </w:tcPr>
          <w:p w14:paraId="17B2D6CF">
            <w:pPr>
              <w:widowControl/>
              <w:spacing w:line="280" w:lineRule="exact"/>
              <w:jc w:val="center"/>
              <w:rPr>
                <w:rFonts w:ascii="宋体" w:hAnsi="宋体" w:cs="宋体"/>
                <w:b/>
                <w:bCs/>
                <w:kern w:val="0"/>
                <w:sz w:val="18"/>
                <w:szCs w:val="18"/>
                <w:highlight w:val="none"/>
              </w:rPr>
            </w:pPr>
            <w:r>
              <w:rPr>
                <w:rFonts w:hint="eastAsia" w:ascii="宋体" w:hAnsi="宋体" w:cs="宋体"/>
                <w:b/>
                <w:bCs/>
                <w:kern w:val="0"/>
                <w:sz w:val="18"/>
                <w:szCs w:val="18"/>
                <w:highlight w:val="none"/>
              </w:rPr>
              <w:t>中型</w:t>
            </w:r>
          </w:p>
        </w:tc>
        <w:tc>
          <w:tcPr>
            <w:tcW w:w="1426" w:type="dxa"/>
            <w:shd w:val="clear" w:color="auto" w:fill="8DB3E2"/>
            <w:vAlign w:val="center"/>
          </w:tcPr>
          <w:p w14:paraId="2EB72CAD">
            <w:pPr>
              <w:widowControl/>
              <w:spacing w:line="280" w:lineRule="exact"/>
              <w:jc w:val="center"/>
              <w:rPr>
                <w:rFonts w:ascii="宋体" w:hAnsi="宋体" w:cs="宋体"/>
                <w:b/>
                <w:bCs/>
                <w:kern w:val="0"/>
                <w:sz w:val="18"/>
                <w:szCs w:val="18"/>
                <w:highlight w:val="none"/>
              </w:rPr>
            </w:pPr>
            <w:r>
              <w:rPr>
                <w:rFonts w:hint="eastAsia" w:ascii="宋体" w:hAnsi="宋体" w:cs="宋体"/>
                <w:b/>
                <w:bCs/>
                <w:kern w:val="0"/>
                <w:sz w:val="18"/>
                <w:szCs w:val="18"/>
                <w:highlight w:val="none"/>
              </w:rPr>
              <w:t>小型</w:t>
            </w:r>
          </w:p>
        </w:tc>
        <w:tc>
          <w:tcPr>
            <w:tcW w:w="992" w:type="dxa"/>
            <w:shd w:val="clear" w:color="auto" w:fill="8DB3E2"/>
            <w:vAlign w:val="center"/>
          </w:tcPr>
          <w:p w14:paraId="70B19A5D">
            <w:pPr>
              <w:widowControl/>
              <w:spacing w:line="280" w:lineRule="exact"/>
              <w:jc w:val="center"/>
              <w:rPr>
                <w:rFonts w:ascii="宋体" w:hAnsi="宋体" w:cs="宋体"/>
                <w:b/>
                <w:bCs/>
                <w:kern w:val="0"/>
                <w:sz w:val="18"/>
                <w:szCs w:val="18"/>
                <w:highlight w:val="none"/>
              </w:rPr>
            </w:pPr>
            <w:r>
              <w:rPr>
                <w:rFonts w:hint="eastAsia" w:ascii="宋体" w:hAnsi="宋体" w:cs="宋体"/>
                <w:b/>
                <w:bCs/>
                <w:kern w:val="0"/>
                <w:sz w:val="18"/>
                <w:szCs w:val="18"/>
                <w:highlight w:val="none"/>
              </w:rPr>
              <w:t>微型</w:t>
            </w:r>
          </w:p>
        </w:tc>
      </w:tr>
      <w:tr w14:paraId="4055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26E022A">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农、林、牧、渔业</w:t>
            </w:r>
          </w:p>
        </w:tc>
        <w:tc>
          <w:tcPr>
            <w:tcW w:w="1369" w:type="dxa"/>
            <w:vAlign w:val="center"/>
          </w:tcPr>
          <w:p w14:paraId="74D9E31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3292067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28A56D1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Y≥20000</w:t>
            </w:r>
          </w:p>
        </w:tc>
        <w:tc>
          <w:tcPr>
            <w:tcW w:w="1701" w:type="dxa"/>
            <w:vAlign w:val="center"/>
          </w:tcPr>
          <w:p w14:paraId="3D8C490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500≤Y＜20000</w:t>
            </w:r>
          </w:p>
        </w:tc>
        <w:tc>
          <w:tcPr>
            <w:tcW w:w="1426" w:type="dxa"/>
            <w:vAlign w:val="center"/>
          </w:tcPr>
          <w:p w14:paraId="1178A1F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50≤Y＜500</w:t>
            </w:r>
          </w:p>
        </w:tc>
        <w:tc>
          <w:tcPr>
            <w:tcW w:w="992" w:type="dxa"/>
            <w:vAlign w:val="center"/>
          </w:tcPr>
          <w:p w14:paraId="6DDA249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Y＜50</w:t>
            </w:r>
          </w:p>
        </w:tc>
      </w:tr>
      <w:tr w14:paraId="7C8C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90BD76D">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工业 *</w:t>
            </w:r>
          </w:p>
        </w:tc>
        <w:tc>
          <w:tcPr>
            <w:tcW w:w="1369" w:type="dxa"/>
            <w:vAlign w:val="center"/>
          </w:tcPr>
          <w:p w14:paraId="61A0B9E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0D0289B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3141FF8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X≥1000</w:t>
            </w:r>
          </w:p>
        </w:tc>
        <w:tc>
          <w:tcPr>
            <w:tcW w:w="1701" w:type="dxa"/>
            <w:vAlign w:val="center"/>
          </w:tcPr>
          <w:p w14:paraId="140CED9D">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26" w:type="dxa"/>
            <w:vAlign w:val="center"/>
          </w:tcPr>
          <w:p w14:paraId="5F40837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20≤X＜300</w:t>
            </w:r>
          </w:p>
        </w:tc>
        <w:tc>
          <w:tcPr>
            <w:tcW w:w="992" w:type="dxa"/>
            <w:vAlign w:val="center"/>
          </w:tcPr>
          <w:p w14:paraId="19BFE97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X＜20</w:t>
            </w:r>
          </w:p>
        </w:tc>
      </w:tr>
      <w:tr w14:paraId="2E0E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26CA4C4">
            <w:pPr>
              <w:widowControl/>
              <w:spacing w:line="280" w:lineRule="exact"/>
              <w:jc w:val="left"/>
              <w:rPr>
                <w:rFonts w:ascii="宋体" w:hAnsi="宋体" w:cs="宋体"/>
                <w:kern w:val="0"/>
                <w:sz w:val="18"/>
                <w:szCs w:val="18"/>
                <w:highlight w:val="none"/>
              </w:rPr>
            </w:pPr>
          </w:p>
        </w:tc>
        <w:tc>
          <w:tcPr>
            <w:tcW w:w="1369" w:type="dxa"/>
            <w:vAlign w:val="center"/>
          </w:tcPr>
          <w:p w14:paraId="42ECFDC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16BDC75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11E815A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Y≥40000</w:t>
            </w:r>
          </w:p>
        </w:tc>
        <w:tc>
          <w:tcPr>
            <w:tcW w:w="1701" w:type="dxa"/>
            <w:vAlign w:val="center"/>
          </w:tcPr>
          <w:p w14:paraId="01BF49B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2000≤Y＜40000</w:t>
            </w:r>
          </w:p>
        </w:tc>
        <w:tc>
          <w:tcPr>
            <w:tcW w:w="1426" w:type="dxa"/>
            <w:vAlign w:val="center"/>
          </w:tcPr>
          <w:p w14:paraId="525EDF9D">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300≤Y＜2000</w:t>
            </w:r>
          </w:p>
        </w:tc>
        <w:tc>
          <w:tcPr>
            <w:tcW w:w="992" w:type="dxa"/>
            <w:vAlign w:val="center"/>
          </w:tcPr>
          <w:p w14:paraId="4A74B06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Y＜300</w:t>
            </w:r>
          </w:p>
        </w:tc>
      </w:tr>
      <w:tr w14:paraId="103E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15824EB">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建筑业</w:t>
            </w:r>
          </w:p>
        </w:tc>
        <w:tc>
          <w:tcPr>
            <w:tcW w:w="1369" w:type="dxa"/>
            <w:vAlign w:val="center"/>
          </w:tcPr>
          <w:p w14:paraId="52B054C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2CC2281D">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7A01DF4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Y≥80000</w:t>
            </w:r>
          </w:p>
        </w:tc>
        <w:tc>
          <w:tcPr>
            <w:tcW w:w="1701" w:type="dxa"/>
            <w:vAlign w:val="center"/>
          </w:tcPr>
          <w:p w14:paraId="41EC614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6000≤Y＜80000</w:t>
            </w:r>
          </w:p>
        </w:tc>
        <w:tc>
          <w:tcPr>
            <w:tcW w:w="1426" w:type="dxa"/>
            <w:vAlign w:val="center"/>
          </w:tcPr>
          <w:p w14:paraId="0A07B32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300≤Y＜6000</w:t>
            </w:r>
          </w:p>
        </w:tc>
        <w:tc>
          <w:tcPr>
            <w:tcW w:w="992" w:type="dxa"/>
            <w:vAlign w:val="center"/>
          </w:tcPr>
          <w:p w14:paraId="6CAA240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Y＜300</w:t>
            </w:r>
          </w:p>
        </w:tc>
      </w:tr>
      <w:tr w14:paraId="1E1D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A42AAD9">
            <w:pPr>
              <w:widowControl/>
              <w:spacing w:line="280" w:lineRule="exact"/>
              <w:jc w:val="left"/>
              <w:rPr>
                <w:rFonts w:ascii="宋体" w:hAnsi="宋体" w:cs="宋体"/>
                <w:kern w:val="0"/>
                <w:sz w:val="18"/>
                <w:szCs w:val="18"/>
                <w:highlight w:val="none"/>
              </w:rPr>
            </w:pPr>
          </w:p>
        </w:tc>
        <w:tc>
          <w:tcPr>
            <w:tcW w:w="1369" w:type="dxa"/>
            <w:vAlign w:val="center"/>
          </w:tcPr>
          <w:p w14:paraId="0D05C50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资产总额(Z)</w:t>
            </w:r>
          </w:p>
        </w:tc>
        <w:tc>
          <w:tcPr>
            <w:tcW w:w="709" w:type="dxa"/>
            <w:vAlign w:val="center"/>
          </w:tcPr>
          <w:p w14:paraId="129350C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179FAD7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Z≥80000</w:t>
            </w:r>
          </w:p>
        </w:tc>
        <w:tc>
          <w:tcPr>
            <w:tcW w:w="1701" w:type="dxa"/>
            <w:vAlign w:val="center"/>
          </w:tcPr>
          <w:p w14:paraId="52D0957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5000≤Z＜80000</w:t>
            </w:r>
          </w:p>
        </w:tc>
        <w:tc>
          <w:tcPr>
            <w:tcW w:w="1426" w:type="dxa"/>
            <w:vAlign w:val="center"/>
          </w:tcPr>
          <w:p w14:paraId="0889845E">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300≤Z＜5000</w:t>
            </w:r>
          </w:p>
        </w:tc>
        <w:tc>
          <w:tcPr>
            <w:tcW w:w="992" w:type="dxa"/>
            <w:vAlign w:val="center"/>
          </w:tcPr>
          <w:p w14:paraId="4A3EC70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Z＜300</w:t>
            </w:r>
          </w:p>
        </w:tc>
      </w:tr>
      <w:tr w14:paraId="3836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072FD69">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批发业</w:t>
            </w:r>
          </w:p>
        </w:tc>
        <w:tc>
          <w:tcPr>
            <w:tcW w:w="1369" w:type="dxa"/>
            <w:vAlign w:val="center"/>
          </w:tcPr>
          <w:p w14:paraId="39CAF57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62AE9B0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378B572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X≥200</w:t>
            </w:r>
          </w:p>
        </w:tc>
        <w:tc>
          <w:tcPr>
            <w:tcW w:w="1701" w:type="dxa"/>
            <w:vAlign w:val="center"/>
          </w:tcPr>
          <w:p w14:paraId="2391E38D">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20≤X＜200</w:t>
            </w:r>
          </w:p>
        </w:tc>
        <w:tc>
          <w:tcPr>
            <w:tcW w:w="1426" w:type="dxa"/>
            <w:vAlign w:val="center"/>
          </w:tcPr>
          <w:p w14:paraId="3459B48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5≤X＜20</w:t>
            </w:r>
          </w:p>
        </w:tc>
        <w:tc>
          <w:tcPr>
            <w:tcW w:w="992" w:type="dxa"/>
            <w:vAlign w:val="center"/>
          </w:tcPr>
          <w:p w14:paraId="7390EEC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X＜5</w:t>
            </w:r>
          </w:p>
        </w:tc>
      </w:tr>
      <w:tr w14:paraId="1660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BF1278F">
            <w:pPr>
              <w:widowControl/>
              <w:spacing w:line="280" w:lineRule="exact"/>
              <w:jc w:val="left"/>
              <w:rPr>
                <w:rFonts w:ascii="宋体" w:hAnsi="宋体" w:cs="宋体"/>
                <w:kern w:val="0"/>
                <w:sz w:val="18"/>
                <w:szCs w:val="18"/>
                <w:highlight w:val="none"/>
              </w:rPr>
            </w:pPr>
          </w:p>
        </w:tc>
        <w:tc>
          <w:tcPr>
            <w:tcW w:w="1369" w:type="dxa"/>
            <w:vAlign w:val="center"/>
          </w:tcPr>
          <w:p w14:paraId="21268B6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271CFE1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3B7417A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Y≥40000</w:t>
            </w:r>
          </w:p>
        </w:tc>
        <w:tc>
          <w:tcPr>
            <w:tcW w:w="1701" w:type="dxa"/>
            <w:vAlign w:val="center"/>
          </w:tcPr>
          <w:p w14:paraId="66BF969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5000≤Y＜40000</w:t>
            </w:r>
          </w:p>
        </w:tc>
        <w:tc>
          <w:tcPr>
            <w:tcW w:w="1426" w:type="dxa"/>
            <w:vAlign w:val="center"/>
          </w:tcPr>
          <w:p w14:paraId="7CE96647">
            <w:pPr>
              <w:widowControl/>
              <w:spacing w:line="280" w:lineRule="exact"/>
              <w:ind w:left="-2" w:leftChars="-1"/>
              <w:jc w:val="center"/>
              <w:rPr>
                <w:rFonts w:ascii="宋体" w:hAnsi="宋体" w:cs="宋体"/>
                <w:kern w:val="0"/>
                <w:sz w:val="18"/>
                <w:szCs w:val="18"/>
                <w:highlight w:val="none"/>
              </w:rPr>
            </w:pPr>
            <w:r>
              <w:rPr>
                <w:rFonts w:hint="eastAsia" w:ascii="宋体" w:hAnsi="宋体" w:cs="宋体"/>
                <w:kern w:val="0"/>
                <w:sz w:val="18"/>
                <w:szCs w:val="18"/>
                <w:highlight w:val="none"/>
              </w:rPr>
              <w:t>1000≤Y＜5000</w:t>
            </w:r>
          </w:p>
        </w:tc>
        <w:tc>
          <w:tcPr>
            <w:tcW w:w="992" w:type="dxa"/>
            <w:vAlign w:val="center"/>
          </w:tcPr>
          <w:p w14:paraId="712E9BB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Y＜1000</w:t>
            </w:r>
          </w:p>
        </w:tc>
      </w:tr>
      <w:tr w14:paraId="7DC7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8ED55ED">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零售业</w:t>
            </w:r>
          </w:p>
        </w:tc>
        <w:tc>
          <w:tcPr>
            <w:tcW w:w="1369" w:type="dxa"/>
            <w:vAlign w:val="center"/>
          </w:tcPr>
          <w:p w14:paraId="7DD68C2D">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20B565A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5347F28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X≥300</w:t>
            </w:r>
          </w:p>
        </w:tc>
        <w:tc>
          <w:tcPr>
            <w:tcW w:w="1701" w:type="dxa"/>
            <w:vAlign w:val="center"/>
          </w:tcPr>
          <w:p w14:paraId="412D2C3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50≤X＜300</w:t>
            </w:r>
          </w:p>
        </w:tc>
        <w:tc>
          <w:tcPr>
            <w:tcW w:w="1426" w:type="dxa"/>
            <w:vAlign w:val="center"/>
          </w:tcPr>
          <w:p w14:paraId="1AF6F56C">
            <w:pPr>
              <w:widowControl/>
              <w:spacing w:line="280" w:lineRule="exact"/>
              <w:ind w:left="-2" w:leftChars="-1"/>
              <w:jc w:val="center"/>
              <w:rPr>
                <w:rFonts w:ascii="宋体" w:hAnsi="宋体" w:cs="宋体"/>
                <w:kern w:val="0"/>
                <w:sz w:val="18"/>
                <w:szCs w:val="18"/>
                <w:highlight w:val="none"/>
              </w:rPr>
            </w:pPr>
            <w:r>
              <w:rPr>
                <w:rFonts w:hint="eastAsia" w:ascii="宋体" w:hAnsi="宋体" w:cs="宋体"/>
                <w:kern w:val="0"/>
                <w:sz w:val="18"/>
                <w:szCs w:val="18"/>
                <w:highlight w:val="none"/>
              </w:rPr>
              <w:t xml:space="preserve">10≤X＜50 </w:t>
            </w:r>
          </w:p>
        </w:tc>
        <w:tc>
          <w:tcPr>
            <w:tcW w:w="992" w:type="dxa"/>
            <w:vAlign w:val="center"/>
          </w:tcPr>
          <w:p w14:paraId="67F36CC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w:t>
            </w:r>
          </w:p>
        </w:tc>
      </w:tr>
      <w:tr w14:paraId="4199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8E35E24">
            <w:pPr>
              <w:widowControl/>
              <w:spacing w:line="280" w:lineRule="exact"/>
              <w:jc w:val="left"/>
              <w:rPr>
                <w:rFonts w:ascii="宋体" w:hAnsi="宋体" w:cs="宋体"/>
                <w:kern w:val="0"/>
                <w:sz w:val="18"/>
                <w:szCs w:val="18"/>
                <w:highlight w:val="none"/>
              </w:rPr>
            </w:pPr>
          </w:p>
        </w:tc>
        <w:tc>
          <w:tcPr>
            <w:tcW w:w="1369" w:type="dxa"/>
            <w:vAlign w:val="center"/>
          </w:tcPr>
          <w:p w14:paraId="217D6BB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367725A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1AE9407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Y≥20000</w:t>
            </w:r>
          </w:p>
        </w:tc>
        <w:tc>
          <w:tcPr>
            <w:tcW w:w="1701" w:type="dxa"/>
            <w:vAlign w:val="center"/>
          </w:tcPr>
          <w:p w14:paraId="06B989A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500≤Y＜20000</w:t>
            </w:r>
          </w:p>
        </w:tc>
        <w:tc>
          <w:tcPr>
            <w:tcW w:w="1426" w:type="dxa"/>
            <w:vAlign w:val="center"/>
          </w:tcPr>
          <w:p w14:paraId="33946C77">
            <w:pPr>
              <w:widowControl/>
              <w:spacing w:line="280" w:lineRule="exact"/>
              <w:ind w:left="-2" w:leftChars="-1"/>
              <w:jc w:val="center"/>
              <w:rPr>
                <w:rFonts w:ascii="宋体" w:hAnsi="宋体" w:cs="宋体"/>
                <w:kern w:val="0"/>
                <w:sz w:val="18"/>
                <w:szCs w:val="18"/>
                <w:highlight w:val="none"/>
              </w:rPr>
            </w:pPr>
            <w:r>
              <w:rPr>
                <w:rFonts w:hint="eastAsia" w:ascii="宋体" w:hAnsi="宋体" w:cs="宋体"/>
                <w:kern w:val="0"/>
                <w:sz w:val="18"/>
                <w:szCs w:val="18"/>
                <w:highlight w:val="none"/>
              </w:rPr>
              <w:t>100≤Y＜500</w:t>
            </w:r>
          </w:p>
        </w:tc>
        <w:tc>
          <w:tcPr>
            <w:tcW w:w="992" w:type="dxa"/>
            <w:vAlign w:val="center"/>
          </w:tcPr>
          <w:p w14:paraId="1F1ABD2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w:t>
            </w:r>
          </w:p>
        </w:tc>
      </w:tr>
      <w:tr w14:paraId="2F00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7CF219A">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交通运输业 *</w:t>
            </w:r>
          </w:p>
        </w:tc>
        <w:tc>
          <w:tcPr>
            <w:tcW w:w="1369" w:type="dxa"/>
            <w:vAlign w:val="center"/>
          </w:tcPr>
          <w:p w14:paraId="63B8AD1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1E17FB1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4A1F7E8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X≥1000</w:t>
            </w:r>
          </w:p>
        </w:tc>
        <w:tc>
          <w:tcPr>
            <w:tcW w:w="1701" w:type="dxa"/>
            <w:vAlign w:val="center"/>
          </w:tcPr>
          <w:p w14:paraId="3FEC09B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26" w:type="dxa"/>
            <w:vAlign w:val="center"/>
          </w:tcPr>
          <w:p w14:paraId="22994BD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20≤X＜300</w:t>
            </w:r>
          </w:p>
        </w:tc>
        <w:tc>
          <w:tcPr>
            <w:tcW w:w="992" w:type="dxa"/>
            <w:vAlign w:val="center"/>
          </w:tcPr>
          <w:p w14:paraId="445398D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X＜20</w:t>
            </w:r>
          </w:p>
        </w:tc>
      </w:tr>
      <w:tr w14:paraId="57D3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5A49560">
            <w:pPr>
              <w:widowControl/>
              <w:spacing w:line="280" w:lineRule="exact"/>
              <w:jc w:val="left"/>
              <w:rPr>
                <w:rFonts w:ascii="宋体" w:hAnsi="宋体" w:cs="宋体"/>
                <w:kern w:val="0"/>
                <w:sz w:val="18"/>
                <w:szCs w:val="18"/>
                <w:highlight w:val="none"/>
              </w:rPr>
            </w:pPr>
          </w:p>
        </w:tc>
        <w:tc>
          <w:tcPr>
            <w:tcW w:w="1369" w:type="dxa"/>
            <w:vAlign w:val="center"/>
          </w:tcPr>
          <w:p w14:paraId="20958D4C">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3F07710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515535F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Y≥30000</w:t>
            </w:r>
          </w:p>
        </w:tc>
        <w:tc>
          <w:tcPr>
            <w:tcW w:w="1701" w:type="dxa"/>
            <w:vAlign w:val="center"/>
          </w:tcPr>
          <w:p w14:paraId="36F3DD3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3000≤Y＜30000</w:t>
            </w:r>
          </w:p>
        </w:tc>
        <w:tc>
          <w:tcPr>
            <w:tcW w:w="1426" w:type="dxa"/>
            <w:vAlign w:val="center"/>
          </w:tcPr>
          <w:p w14:paraId="336F2B5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200≤Y＜3000</w:t>
            </w:r>
          </w:p>
        </w:tc>
        <w:tc>
          <w:tcPr>
            <w:tcW w:w="992" w:type="dxa"/>
            <w:vAlign w:val="center"/>
          </w:tcPr>
          <w:p w14:paraId="0D419A6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Y＜200</w:t>
            </w:r>
          </w:p>
        </w:tc>
      </w:tr>
      <w:tr w14:paraId="4C7F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AC19DB6">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仓储业*</w:t>
            </w:r>
          </w:p>
        </w:tc>
        <w:tc>
          <w:tcPr>
            <w:tcW w:w="1369" w:type="dxa"/>
            <w:vAlign w:val="center"/>
          </w:tcPr>
          <w:p w14:paraId="279B59F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2E4C954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665188C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X≥200</w:t>
            </w:r>
          </w:p>
        </w:tc>
        <w:tc>
          <w:tcPr>
            <w:tcW w:w="1701" w:type="dxa"/>
            <w:vAlign w:val="center"/>
          </w:tcPr>
          <w:p w14:paraId="77521983">
            <w:pPr>
              <w:widowControl/>
              <w:spacing w:line="280" w:lineRule="exact"/>
              <w:ind w:left="-107" w:leftChars="-51"/>
              <w:jc w:val="center"/>
              <w:rPr>
                <w:rFonts w:ascii="宋体" w:hAnsi="宋体" w:cs="宋体"/>
                <w:kern w:val="0"/>
                <w:sz w:val="18"/>
                <w:szCs w:val="18"/>
                <w:highlight w:val="none"/>
              </w:rPr>
            </w:pPr>
            <w:r>
              <w:rPr>
                <w:rFonts w:hint="eastAsia" w:ascii="宋体" w:hAnsi="宋体" w:cs="宋体"/>
                <w:kern w:val="0"/>
                <w:sz w:val="18"/>
                <w:szCs w:val="18"/>
                <w:highlight w:val="none"/>
              </w:rPr>
              <w:t>100≤X＜200</w:t>
            </w:r>
          </w:p>
        </w:tc>
        <w:tc>
          <w:tcPr>
            <w:tcW w:w="1426" w:type="dxa"/>
            <w:vAlign w:val="center"/>
          </w:tcPr>
          <w:p w14:paraId="4725747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20≤X＜100</w:t>
            </w:r>
          </w:p>
        </w:tc>
        <w:tc>
          <w:tcPr>
            <w:tcW w:w="992" w:type="dxa"/>
            <w:vAlign w:val="center"/>
          </w:tcPr>
          <w:p w14:paraId="59969D1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X＜20</w:t>
            </w:r>
          </w:p>
        </w:tc>
      </w:tr>
      <w:tr w14:paraId="526A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06E6602">
            <w:pPr>
              <w:widowControl/>
              <w:spacing w:line="280" w:lineRule="exact"/>
              <w:jc w:val="left"/>
              <w:rPr>
                <w:rFonts w:ascii="宋体" w:hAnsi="宋体" w:cs="宋体"/>
                <w:kern w:val="0"/>
                <w:sz w:val="18"/>
                <w:szCs w:val="18"/>
                <w:highlight w:val="none"/>
              </w:rPr>
            </w:pPr>
          </w:p>
        </w:tc>
        <w:tc>
          <w:tcPr>
            <w:tcW w:w="1369" w:type="dxa"/>
            <w:vAlign w:val="center"/>
          </w:tcPr>
          <w:p w14:paraId="3071936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2F5C3A6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78C4747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Y≥30000</w:t>
            </w:r>
          </w:p>
        </w:tc>
        <w:tc>
          <w:tcPr>
            <w:tcW w:w="1701" w:type="dxa"/>
            <w:vAlign w:val="center"/>
          </w:tcPr>
          <w:p w14:paraId="6DE2D8B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1000≤Y＜30000</w:t>
            </w:r>
          </w:p>
        </w:tc>
        <w:tc>
          <w:tcPr>
            <w:tcW w:w="1426" w:type="dxa"/>
            <w:vAlign w:val="center"/>
          </w:tcPr>
          <w:p w14:paraId="3D501F8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100≤Y＜1000</w:t>
            </w:r>
          </w:p>
        </w:tc>
        <w:tc>
          <w:tcPr>
            <w:tcW w:w="992" w:type="dxa"/>
            <w:vAlign w:val="center"/>
          </w:tcPr>
          <w:p w14:paraId="3BB0C74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w:t>
            </w:r>
          </w:p>
        </w:tc>
      </w:tr>
      <w:tr w14:paraId="5CBE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DDB1BE3">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邮政业</w:t>
            </w:r>
          </w:p>
        </w:tc>
        <w:tc>
          <w:tcPr>
            <w:tcW w:w="1369" w:type="dxa"/>
            <w:vAlign w:val="center"/>
          </w:tcPr>
          <w:p w14:paraId="765203B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2C67284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6515808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X≥1000</w:t>
            </w:r>
          </w:p>
        </w:tc>
        <w:tc>
          <w:tcPr>
            <w:tcW w:w="1701" w:type="dxa"/>
            <w:vAlign w:val="center"/>
          </w:tcPr>
          <w:p w14:paraId="2700F4F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26" w:type="dxa"/>
            <w:vAlign w:val="center"/>
          </w:tcPr>
          <w:p w14:paraId="400FB56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20≤X＜300</w:t>
            </w:r>
          </w:p>
        </w:tc>
        <w:tc>
          <w:tcPr>
            <w:tcW w:w="992" w:type="dxa"/>
            <w:vAlign w:val="center"/>
          </w:tcPr>
          <w:p w14:paraId="5505D7AC">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X＜20</w:t>
            </w:r>
          </w:p>
        </w:tc>
      </w:tr>
      <w:tr w14:paraId="669D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78D435A">
            <w:pPr>
              <w:widowControl/>
              <w:spacing w:line="280" w:lineRule="exact"/>
              <w:jc w:val="left"/>
              <w:rPr>
                <w:rFonts w:ascii="宋体" w:hAnsi="宋体" w:cs="宋体"/>
                <w:kern w:val="0"/>
                <w:sz w:val="18"/>
                <w:szCs w:val="18"/>
                <w:highlight w:val="none"/>
              </w:rPr>
            </w:pPr>
          </w:p>
        </w:tc>
        <w:tc>
          <w:tcPr>
            <w:tcW w:w="1369" w:type="dxa"/>
            <w:vAlign w:val="center"/>
          </w:tcPr>
          <w:p w14:paraId="212A2F8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78DB080E">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1B2A1AD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Y≥30000</w:t>
            </w:r>
          </w:p>
        </w:tc>
        <w:tc>
          <w:tcPr>
            <w:tcW w:w="1701" w:type="dxa"/>
            <w:vAlign w:val="center"/>
          </w:tcPr>
          <w:p w14:paraId="79F3BB3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2000≤Y＜30000</w:t>
            </w:r>
          </w:p>
        </w:tc>
        <w:tc>
          <w:tcPr>
            <w:tcW w:w="1426" w:type="dxa"/>
            <w:vAlign w:val="center"/>
          </w:tcPr>
          <w:p w14:paraId="179249D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100≤Y＜2000</w:t>
            </w:r>
          </w:p>
        </w:tc>
        <w:tc>
          <w:tcPr>
            <w:tcW w:w="992" w:type="dxa"/>
            <w:vAlign w:val="center"/>
          </w:tcPr>
          <w:p w14:paraId="117D12D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w:t>
            </w:r>
          </w:p>
        </w:tc>
      </w:tr>
      <w:tr w14:paraId="14EB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B024054">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住宿业</w:t>
            </w:r>
          </w:p>
        </w:tc>
        <w:tc>
          <w:tcPr>
            <w:tcW w:w="1369" w:type="dxa"/>
            <w:vAlign w:val="center"/>
          </w:tcPr>
          <w:p w14:paraId="464B9FD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06A8CAA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23CEA7B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X≥300</w:t>
            </w:r>
          </w:p>
        </w:tc>
        <w:tc>
          <w:tcPr>
            <w:tcW w:w="1701" w:type="dxa"/>
            <w:vAlign w:val="center"/>
          </w:tcPr>
          <w:p w14:paraId="687A6AFC">
            <w:pPr>
              <w:widowControl/>
              <w:spacing w:line="280" w:lineRule="exact"/>
              <w:ind w:left="-107" w:leftChars="-51"/>
              <w:jc w:val="center"/>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26" w:type="dxa"/>
            <w:vAlign w:val="center"/>
          </w:tcPr>
          <w:p w14:paraId="25973AD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92" w:type="dxa"/>
            <w:vAlign w:val="center"/>
          </w:tcPr>
          <w:p w14:paraId="404896B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w:t>
            </w:r>
          </w:p>
        </w:tc>
      </w:tr>
      <w:tr w14:paraId="56E0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7E1552F">
            <w:pPr>
              <w:widowControl/>
              <w:spacing w:line="280" w:lineRule="exact"/>
              <w:jc w:val="left"/>
              <w:rPr>
                <w:rFonts w:ascii="宋体" w:hAnsi="宋体" w:cs="宋体"/>
                <w:kern w:val="0"/>
                <w:sz w:val="18"/>
                <w:szCs w:val="18"/>
                <w:highlight w:val="none"/>
              </w:rPr>
            </w:pPr>
          </w:p>
        </w:tc>
        <w:tc>
          <w:tcPr>
            <w:tcW w:w="1369" w:type="dxa"/>
            <w:vAlign w:val="center"/>
          </w:tcPr>
          <w:p w14:paraId="594FF64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378B335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3BA9CF7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Y≥10000</w:t>
            </w:r>
          </w:p>
        </w:tc>
        <w:tc>
          <w:tcPr>
            <w:tcW w:w="1701" w:type="dxa"/>
            <w:vAlign w:val="center"/>
          </w:tcPr>
          <w:p w14:paraId="1A609E5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2000≤Y＜10000</w:t>
            </w:r>
          </w:p>
        </w:tc>
        <w:tc>
          <w:tcPr>
            <w:tcW w:w="1426" w:type="dxa"/>
            <w:vAlign w:val="center"/>
          </w:tcPr>
          <w:p w14:paraId="6F6AEA7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100≤Y＜2000</w:t>
            </w:r>
          </w:p>
        </w:tc>
        <w:tc>
          <w:tcPr>
            <w:tcW w:w="992" w:type="dxa"/>
            <w:vAlign w:val="center"/>
          </w:tcPr>
          <w:p w14:paraId="65AFAD9E">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w:t>
            </w:r>
          </w:p>
        </w:tc>
      </w:tr>
      <w:tr w14:paraId="36CF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A4B55B2">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餐饮业</w:t>
            </w:r>
          </w:p>
        </w:tc>
        <w:tc>
          <w:tcPr>
            <w:tcW w:w="1369" w:type="dxa"/>
            <w:vAlign w:val="center"/>
          </w:tcPr>
          <w:p w14:paraId="0A1A938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50123ED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43251D3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X≥300</w:t>
            </w:r>
          </w:p>
        </w:tc>
        <w:tc>
          <w:tcPr>
            <w:tcW w:w="1701" w:type="dxa"/>
            <w:vAlign w:val="center"/>
          </w:tcPr>
          <w:p w14:paraId="4CE43597">
            <w:pPr>
              <w:widowControl/>
              <w:spacing w:line="280" w:lineRule="exact"/>
              <w:ind w:left="-107" w:leftChars="-51"/>
              <w:jc w:val="center"/>
              <w:rPr>
                <w:rFonts w:ascii="宋体" w:hAnsi="宋体" w:cs="宋体"/>
                <w:kern w:val="0"/>
                <w:sz w:val="18"/>
                <w:szCs w:val="18"/>
                <w:highlight w:val="none"/>
              </w:rPr>
            </w:pPr>
            <w:r>
              <w:rPr>
                <w:rFonts w:hint="eastAsia" w:ascii="宋体" w:hAnsi="宋体" w:cs="宋体"/>
                <w:kern w:val="0"/>
                <w:sz w:val="18"/>
                <w:szCs w:val="18"/>
                <w:highlight w:val="none"/>
              </w:rPr>
              <w:t xml:space="preserve">100≤X＜300 </w:t>
            </w:r>
          </w:p>
        </w:tc>
        <w:tc>
          <w:tcPr>
            <w:tcW w:w="1426" w:type="dxa"/>
            <w:vAlign w:val="center"/>
          </w:tcPr>
          <w:p w14:paraId="30EAC3F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92" w:type="dxa"/>
            <w:vAlign w:val="center"/>
          </w:tcPr>
          <w:p w14:paraId="2740460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w:t>
            </w:r>
          </w:p>
        </w:tc>
      </w:tr>
      <w:tr w14:paraId="0142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65E3273">
            <w:pPr>
              <w:widowControl/>
              <w:spacing w:line="280" w:lineRule="exact"/>
              <w:jc w:val="left"/>
              <w:rPr>
                <w:rFonts w:ascii="宋体" w:hAnsi="宋体" w:cs="宋体"/>
                <w:kern w:val="0"/>
                <w:sz w:val="18"/>
                <w:szCs w:val="18"/>
                <w:highlight w:val="none"/>
              </w:rPr>
            </w:pPr>
          </w:p>
        </w:tc>
        <w:tc>
          <w:tcPr>
            <w:tcW w:w="1369" w:type="dxa"/>
            <w:vAlign w:val="center"/>
          </w:tcPr>
          <w:p w14:paraId="41E2343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2110539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1F1DA090">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Y≥10000</w:t>
            </w:r>
          </w:p>
        </w:tc>
        <w:tc>
          <w:tcPr>
            <w:tcW w:w="1701" w:type="dxa"/>
            <w:vAlign w:val="center"/>
          </w:tcPr>
          <w:p w14:paraId="3380D27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2000≤Y＜10000</w:t>
            </w:r>
          </w:p>
        </w:tc>
        <w:tc>
          <w:tcPr>
            <w:tcW w:w="1426" w:type="dxa"/>
            <w:vAlign w:val="center"/>
          </w:tcPr>
          <w:p w14:paraId="6F4DFBD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100≤Y＜2000</w:t>
            </w:r>
          </w:p>
        </w:tc>
        <w:tc>
          <w:tcPr>
            <w:tcW w:w="992" w:type="dxa"/>
            <w:vAlign w:val="center"/>
          </w:tcPr>
          <w:p w14:paraId="49EE2A7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w:t>
            </w:r>
          </w:p>
        </w:tc>
      </w:tr>
      <w:tr w14:paraId="1E46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54CCBC">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信息传输业 *</w:t>
            </w:r>
          </w:p>
        </w:tc>
        <w:tc>
          <w:tcPr>
            <w:tcW w:w="1369" w:type="dxa"/>
            <w:vAlign w:val="center"/>
          </w:tcPr>
          <w:p w14:paraId="495A06B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3CCB42CC">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277E152C">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X≥2000</w:t>
            </w:r>
          </w:p>
        </w:tc>
        <w:tc>
          <w:tcPr>
            <w:tcW w:w="1701" w:type="dxa"/>
            <w:vAlign w:val="center"/>
          </w:tcPr>
          <w:p w14:paraId="0CCAAB2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100≤X＜2000</w:t>
            </w:r>
          </w:p>
        </w:tc>
        <w:tc>
          <w:tcPr>
            <w:tcW w:w="1426" w:type="dxa"/>
            <w:vAlign w:val="center"/>
          </w:tcPr>
          <w:p w14:paraId="2BD4D36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92" w:type="dxa"/>
            <w:vAlign w:val="center"/>
          </w:tcPr>
          <w:p w14:paraId="32B70F1E">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w:t>
            </w:r>
          </w:p>
        </w:tc>
      </w:tr>
      <w:tr w14:paraId="4215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9EB2779">
            <w:pPr>
              <w:widowControl/>
              <w:spacing w:line="280" w:lineRule="exact"/>
              <w:jc w:val="left"/>
              <w:rPr>
                <w:rFonts w:ascii="宋体" w:hAnsi="宋体" w:cs="宋体"/>
                <w:kern w:val="0"/>
                <w:sz w:val="18"/>
                <w:szCs w:val="18"/>
                <w:highlight w:val="none"/>
              </w:rPr>
            </w:pPr>
          </w:p>
        </w:tc>
        <w:tc>
          <w:tcPr>
            <w:tcW w:w="1369" w:type="dxa"/>
            <w:vAlign w:val="center"/>
          </w:tcPr>
          <w:p w14:paraId="04853A7D">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6E518B1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0F1BA01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Y≥100000</w:t>
            </w:r>
          </w:p>
        </w:tc>
        <w:tc>
          <w:tcPr>
            <w:tcW w:w="1701" w:type="dxa"/>
            <w:vAlign w:val="center"/>
          </w:tcPr>
          <w:p w14:paraId="47EB279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1000≤Y＜100000</w:t>
            </w:r>
          </w:p>
        </w:tc>
        <w:tc>
          <w:tcPr>
            <w:tcW w:w="1426" w:type="dxa"/>
            <w:vAlign w:val="center"/>
          </w:tcPr>
          <w:p w14:paraId="66E7965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100≤Y＜1000</w:t>
            </w:r>
          </w:p>
        </w:tc>
        <w:tc>
          <w:tcPr>
            <w:tcW w:w="992" w:type="dxa"/>
            <w:vAlign w:val="center"/>
          </w:tcPr>
          <w:p w14:paraId="51EDE1E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w:t>
            </w:r>
          </w:p>
        </w:tc>
      </w:tr>
      <w:tr w14:paraId="6592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F362667">
            <w:pPr>
              <w:widowControl/>
              <w:spacing w:line="280" w:lineRule="exact"/>
              <w:jc w:val="left"/>
              <w:rPr>
                <w:rFonts w:ascii="宋体" w:hAnsi="宋体" w:cs="宋体"/>
                <w:spacing w:val="-12"/>
                <w:kern w:val="0"/>
                <w:sz w:val="18"/>
                <w:szCs w:val="18"/>
                <w:highlight w:val="none"/>
              </w:rPr>
            </w:pPr>
            <w:r>
              <w:rPr>
                <w:rFonts w:hint="eastAsia" w:ascii="宋体" w:hAnsi="宋体" w:cs="宋体"/>
                <w:spacing w:val="-12"/>
                <w:kern w:val="0"/>
                <w:sz w:val="18"/>
                <w:szCs w:val="18"/>
                <w:highlight w:val="none"/>
              </w:rPr>
              <w:t>软件和信息技术服</w:t>
            </w:r>
            <w:r>
              <w:rPr>
                <w:rFonts w:hint="eastAsia" w:ascii="宋体" w:hAnsi="宋体" w:cs="宋体"/>
                <w:kern w:val="0"/>
                <w:sz w:val="18"/>
                <w:szCs w:val="18"/>
                <w:highlight w:val="none"/>
              </w:rPr>
              <w:t>务业</w:t>
            </w:r>
          </w:p>
        </w:tc>
        <w:tc>
          <w:tcPr>
            <w:tcW w:w="1369" w:type="dxa"/>
            <w:vAlign w:val="center"/>
          </w:tcPr>
          <w:p w14:paraId="2F600C7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101E36AE">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7EA29F8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X≥300</w:t>
            </w:r>
          </w:p>
        </w:tc>
        <w:tc>
          <w:tcPr>
            <w:tcW w:w="1701" w:type="dxa"/>
            <w:vAlign w:val="center"/>
          </w:tcPr>
          <w:p w14:paraId="26CE1753">
            <w:pPr>
              <w:widowControl/>
              <w:spacing w:line="280" w:lineRule="exact"/>
              <w:ind w:left="-107" w:leftChars="-51"/>
              <w:jc w:val="center"/>
              <w:rPr>
                <w:rFonts w:ascii="宋体" w:hAnsi="宋体" w:cs="宋体"/>
                <w:kern w:val="0"/>
                <w:sz w:val="18"/>
                <w:szCs w:val="18"/>
                <w:highlight w:val="none"/>
              </w:rPr>
            </w:pPr>
            <w:r>
              <w:rPr>
                <w:rFonts w:hint="eastAsia" w:ascii="宋体" w:hAnsi="宋体" w:cs="宋体"/>
                <w:kern w:val="0"/>
                <w:sz w:val="18"/>
                <w:szCs w:val="18"/>
                <w:highlight w:val="none"/>
              </w:rPr>
              <w:t xml:space="preserve">100≤X＜300 </w:t>
            </w:r>
          </w:p>
        </w:tc>
        <w:tc>
          <w:tcPr>
            <w:tcW w:w="1426" w:type="dxa"/>
            <w:vAlign w:val="center"/>
          </w:tcPr>
          <w:p w14:paraId="38DBAE0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92" w:type="dxa"/>
            <w:vAlign w:val="center"/>
          </w:tcPr>
          <w:p w14:paraId="0F7DCF5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w:t>
            </w:r>
          </w:p>
        </w:tc>
      </w:tr>
      <w:tr w14:paraId="3AD7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04A88BB">
            <w:pPr>
              <w:widowControl/>
              <w:spacing w:line="280" w:lineRule="exact"/>
              <w:jc w:val="left"/>
              <w:rPr>
                <w:rFonts w:ascii="宋体" w:hAnsi="宋体" w:cs="宋体"/>
                <w:spacing w:val="-12"/>
                <w:kern w:val="0"/>
                <w:sz w:val="18"/>
                <w:szCs w:val="18"/>
                <w:highlight w:val="none"/>
              </w:rPr>
            </w:pPr>
          </w:p>
        </w:tc>
        <w:tc>
          <w:tcPr>
            <w:tcW w:w="1369" w:type="dxa"/>
            <w:vAlign w:val="center"/>
          </w:tcPr>
          <w:p w14:paraId="661FB50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1F47B2D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5F5E9D7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Y≥10000</w:t>
            </w:r>
          </w:p>
        </w:tc>
        <w:tc>
          <w:tcPr>
            <w:tcW w:w="1701" w:type="dxa"/>
            <w:vAlign w:val="center"/>
          </w:tcPr>
          <w:p w14:paraId="2FC34E3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1000≤Y＜10000</w:t>
            </w:r>
          </w:p>
        </w:tc>
        <w:tc>
          <w:tcPr>
            <w:tcW w:w="1426" w:type="dxa"/>
            <w:vAlign w:val="center"/>
          </w:tcPr>
          <w:p w14:paraId="2E94C7E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50≤Y＜1000</w:t>
            </w:r>
          </w:p>
        </w:tc>
        <w:tc>
          <w:tcPr>
            <w:tcW w:w="992" w:type="dxa"/>
            <w:vAlign w:val="center"/>
          </w:tcPr>
          <w:p w14:paraId="0C89551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Y＜50</w:t>
            </w:r>
          </w:p>
        </w:tc>
      </w:tr>
      <w:tr w14:paraId="13D0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ABAAC37">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房地产开发经营</w:t>
            </w:r>
          </w:p>
        </w:tc>
        <w:tc>
          <w:tcPr>
            <w:tcW w:w="1369" w:type="dxa"/>
            <w:vAlign w:val="center"/>
          </w:tcPr>
          <w:p w14:paraId="58B6D26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74427AE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4BB9B75C">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Y≥200000</w:t>
            </w:r>
          </w:p>
        </w:tc>
        <w:tc>
          <w:tcPr>
            <w:tcW w:w="1701" w:type="dxa"/>
            <w:vAlign w:val="center"/>
          </w:tcPr>
          <w:p w14:paraId="16CBC3F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1000≤Y＜200000</w:t>
            </w:r>
          </w:p>
        </w:tc>
        <w:tc>
          <w:tcPr>
            <w:tcW w:w="1426" w:type="dxa"/>
            <w:vAlign w:val="center"/>
          </w:tcPr>
          <w:p w14:paraId="2E06A42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100≤Y＜1000</w:t>
            </w:r>
          </w:p>
        </w:tc>
        <w:tc>
          <w:tcPr>
            <w:tcW w:w="992" w:type="dxa"/>
            <w:vAlign w:val="center"/>
          </w:tcPr>
          <w:p w14:paraId="415FF4B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Y＜100</w:t>
            </w:r>
          </w:p>
        </w:tc>
      </w:tr>
      <w:tr w14:paraId="5B41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51F67C6">
            <w:pPr>
              <w:widowControl/>
              <w:spacing w:line="280" w:lineRule="exact"/>
              <w:jc w:val="left"/>
              <w:rPr>
                <w:rFonts w:ascii="宋体" w:hAnsi="宋体" w:cs="宋体"/>
                <w:kern w:val="0"/>
                <w:sz w:val="18"/>
                <w:szCs w:val="18"/>
                <w:highlight w:val="none"/>
              </w:rPr>
            </w:pPr>
          </w:p>
        </w:tc>
        <w:tc>
          <w:tcPr>
            <w:tcW w:w="1369" w:type="dxa"/>
            <w:vAlign w:val="center"/>
          </w:tcPr>
          <w:p w14:paraId="145785D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资产总额(Z)</w:t>
            </w:r>
          </w:p>
        </w:tc>
        <w:tc>
          <w:tcPr>
            <w:tcW w:w="709" w:type="dxa"/>
            <w:vAlign w:val="center"/>
          </w:tcPr>
          <w:p w14:paraId="3C1B02F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5E82107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Z≥10000</w:t>
            </w:r>
          </w:p>
        </w:tc>
        <w:tc>
          <w:tcPr>
            <w:tcW w:w="1701" w:type="dxa"/>
            <w:vAlign w:val="center"/>
          </w:tcPr>
          <w:p w14:paraId="61E0D1A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5000≤Z＜10000</w:t>
            </w:r>
          </w:p>
        </w:tc>
        <w:tc>
          <w:tcPr>
            <w:tcW w:w="1426" w:type="dxa"/>
            <w:vAlign w:val="center"/>
          </w:tcPr>
          <w:p w14:paraId="74A33F2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2000≤Z＜5000</w:t>
            </w:r>
          </w:p>
        </w:tc>
        <w:tc>
          <w:tcPr>
            <w:tcW w:w="992" w:type="dxa"/>
            <w:vAlign w:val="center"/>
          </w:tcPr>
          <w:p w14:paraId="1775987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Z＜2000</w:t>
            </w:r>
          </w:p>
        </w:tc>
      </w:tr>
      <w:tr w14:paraId="7C5E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94E7C56">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物业管理</w:t>
            </w:r>
          </w:p>
        </w:tc>
        <w:tc>
          <w:tcPr>
            <w:tcW w:w="1369" w:type="dxa"/>
            <w:vAlign w:val="center"/>
          </w:tcPr>
          <w:p w14:paraId="42DD472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0D82B5D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3EE626E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X≥1000</w:t>
            </w:r>
          </w:p>
        </w:tc>
        <w:tc>
          <w:tcPr>
            <w:tcW w:w="1701" w:type="dxa"/>
            <w:vAlign w:val="center"/>
          </w:tcPr>
          <w:p w14:paraId="5F919EF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300≤X＜1000</w:t>
            </w:r>
          </w:p>
        </w:tc>
        <w:tc>
          <w:tcPr>
            <w:tcW w:w="1426" w:type="dxa"/>
            <w:vAlign w:val="center"/>
          </w:tcPr>
          <w:p w14:paraId="7448AB0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992" w:type="dxa"/>
            <w:vAlign w:val="center"/>
          </w:tcPr>
          <w:p w14:paraId="732A9BBE">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X＜100</w:t>
            </w:r>
          </w:p>
        </w:tc>
      </w:tr>
      <w:tr w14:paraId="53C0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6EDEFE3">
            <w:pPr>
              <w:widowControl/>
              <w:spacing w:line="280" w:lineRule="exact"/>
              <w:jc w:val="left"/>
              <w:rPr>
                <w:rFonts w:ascii="宋体" w:hAnsi="宋体" w:cs="宋体"/>
                <w:kern w:val="0"/>
                <w:sz w:val="18"/>
                <w:szCs w:val="18"/>
                <w:highlight w:val="none"/>
              </w:rPr>
            </w:pPr>
          </w:p>
        </w:tc>
        <w:tc>
          <w:tcPr>
            <w:tcW w:w="1369" w:type="dxa"/>
            <w:vAlign w:val="center"/>
          </w:tcPr>
          <w:p w14:paraId="7840DB6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营业收入(Y)</w:t>
            </w:r>
          </w:p>
        </w:tc>
        <w:tc>
          <w:tcPr>
            <w:tcW w:w="709" w:type="dxa"/>
            <w:vAlign w:val="center"/>
          </w:tcPr>
          <w:p w14:paraId="237A86DB">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5A559F06">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Y≥5000</w:t>
            </w:r>
          </w:p>
        </w:tc>
        <w:tc>
          <w:tcPr>
            <w:tcW w:w="1701" w:type="dxa"/>
            <w:vAlign w:val="center"/>
          </w:tcPr>
          <w:p w14:paraId="77C2B831">
            <w:pPr>
              <w:widowControl/>
              <w:spacing w:line="280" w:lineRule="exact"/>
              <w:ind w:left="-107" w:leftChars="-51"/>
              <w:jc w:val="center"/>
              <w:rPr>
                <w:rFonts w:ascii="宋体" w:hAnsi="宋体" w:cs="宋体"/>
                <w:kern w:val="0"/>
                <w:sz w:val="18"/>
                <w:szCs w:val="18"/>
                <w:highlight w:val="none"/>
              </w:rPr>
            </w:pPr>
            <w:r>
              <w:rPr>
                <w:rFonts w:hint="eastAsia" w:ascii="宋体" w:hAnsi="宋体" w:cs="宋体"/>
                <w:kern w:val="0"/>
                <w:sz w:val="18"/>
                <w:szCs w:val="18"/>
                <w:highlight w:val="none"/>
              </w:rPr>
              <w:t>1000≤Y＜5000</w:t>
            </w:r>
          </w:p>
        </w:tc>
        <w:tc>
          <w:tcPr>
            <w:tcW w:w="1426" w:type="dxa"/>
            <w:vAlign w:val="center"/>
          </w:tcPr>
          <w:p w14:paraId="64A6E46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500≤Y＜1000</w:t>
            </w:r>
          </w:p>
        </w:tc>
        <w:tc>
          <w:tcPr>
            <w:tcW w:w="992" w:type="dxa"/>
            <w:vAlign w:val="center"/>
          </w:tcPr>
          <w:p w14:paraId="779A30A3">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Y＜500</w:t>
            </w:r>
          </w:p>
        </w:tc>
      </w:tr>
      <w:tr w14:paraId="07B0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E0D3A08">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租赁和商务服务业</w:t>
            </w:r>
          </w:p>
        </w:tc>
        <w:tc>
          <w:tcPr>
            <w:tcW w:w="1369" w:type="dxa"/>
            <w:vAlign w:val="center"/>
          </w:tcPr>
          <w:p w14:paraId="1866D48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6AD9CD0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34B2EC0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X≥300</w:t>
            </w:r>
          </w:p>
        </w:tc>
        <w:tc>
          <w:tcPr>
            <w:tcW w:w="1701" w:type="dxa"/>
            <w:vAlign w:val="center"/>
          </w:tcPr>
          <w:p w14:paraId="6EA91C26">
            <w:pPr>
              <w:widowControl/>
              <w:spacing w:line="280" w:lineRule="exact"/>
              <w:ind w:left="-107" w:leftChars="-51"/>
              <w:jc w:val="center"/>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26" w:type="dxa"/>
            <w:vAlign w:val="center"/>
          </w:tcPr>
          <w:p w14:paraId="62A00961">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92" w:type="dxa"/>
            <w:vAlign w:val="center"/>
          </w:tcPr>
          <w:p w14:paraId="7F077B1A">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w:t>
            </w:r>
          </w:p>
        </w:tc>
      </w:tr>
      <w:tr w14:paraId="37BD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030F517">
            <w:pPr>
              <w:widowControl/>
              <w:spacing w:line="280" w:lineRule="exact"/>
              <w:jc w:val="left"/>
              <w:rPr>
                <w:rFonts w:ascii="宋体" w:hAnsi="宋体" w:cs="宋体"/>
                <w:kern w:val="0"/>
                <w:sz w:val="18"/>
                <w:szCs w:val="18"/>
                <w:highlight w:val="none"/>
              </w:rPr>
            </w:pPr>
          </w:p>
        </w:tc>
        <w:tc>
          <w:tcPr>
            <w:tcW w:w="1369" w:type="dxa"/>
            <w:vAlign w:val="center"/>
          </w:tcPr>
          <w:p w14:paraId="17ECCFCF">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资产总额(Z)</w:t>
            </w:r>
          </w:p>
        </w:tc>
        <w:tc>
          <w:tcPr>
            <w:tcW w:w="709" w:type="dxa"/>
            <w:vAlign w:val="center"/>
          </w:tcPr>
          <w:p w14:paraId="69933A1C">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万元</w:t>
            </w:r>
          </w:p>
        </w:tc>
        <w:tc>
          <w:tcPr>
            <w:tcW w:w="1125" w:type="dxa"/>
            <w:vAlign w:val="center"/>
          </w:tcPr>
          <w:p w14:paraId="0D30819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Z≥120000</w:t>
            </w:r>
          </w:p>
        </w:tc>
        <w:tc>
          <w:tcPr>
            <w:tcW w:w="1701" w:type="dxa"/>
            <w:vAlign w:val="center"/>
          </w:tcPr>
          <w:p w14:paraId="04A8FE18">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8000≤Z＜120000</w:t>
            </w:r>
          </w:p>
        </w:tc>
        <w:tc>
          <w:tcPr>
            <w:tcW w:w="1426" w:type="dxa"/>
            <w:vAlign w:val="center"/>
          </w:tcPr>
          <w:p w14:paraId="435F94A4">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100≤Z＜8000</w:t>
            </w:r>
          </w:p>
        </w:tc>
        <w:tc>
          <w:tcPr>
            <w:tcW w:w="992" w:type="dxa"/>
            <w:vAlign w:val="center"/>
          </w:tcPr>
          <w:p w14:paraId="0AF1B6C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Z＜100</w:t>
            </w:r>
          </w:p>
        </w:tc>
      </w:tr>
      <w:tr w14:paraId="3C4E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1958418B">
            <w:pPr>
              <w:widowControl/>
              <w:spacing w:line="280" w:lineRule="exact"/>
              <w:jc w:val="left"/>
              <w:rPr>
                <w:rFonts w:ascii="宋体" w:hAnsi="宋体" w:cs="宋体"/>
                <w:kern w:val="0"/>
                <w:sz w:val="18"/>
                <w:szCs w:val="18"/>
                <w:highlight w:val="none"/>
              </w:rPr>
            </w:pPr>
            <w:r>
              <w:rPr>
                <w:rFonts w:hint="eastAsia" w:ascii="宋体" w:hAnsi="宋体" w:cs="宋体"/>
                <w:kern w:val="0"/>
                <w:sz w:val="18"/>
                <w:szCs w:val="18"/>
                <w:highlight w:val="none"/>
              </w:rPr>
              <w:t>其他未列明行业 *</w:t>
            </w:r>
          </w:p>
        </w:tc>
        <w:tc>
          <w:tcPr>
            <w:tcW w:w="1369" w:type="dxa"/>
            <w:vAlign w:val="center"/>
          </w:tcPr>
          <w:p w14:paraId="3B6BB252">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从业人员(X)</w:t>
            </w:r>
          </w:p>
        </w:tc>
        <w:tc>
          <w:tcPr>
            <w:tcW w:w="709" w:type="dxa"/>
            <w:vAlign w:val="center"/>
          </w:tcPr>
          <w:p w14:paraId="412CB40C">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人</w:t>
            </w:r>
          </w:p>
        </w:tc>
        <w:tc>
          <w:tcPr>
            <w:tcW w:w="1125" w:type="dxa"/>
            <w:vAlign w:val="center"/>
          </w:tcPr>
          <w:p w14:paraId="379DD057">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X≥300</w:t>
            </w:r>
          </w:p>
        </w:tc>
        <w:tc>
          <w:tcPr>
            <w:tcW w:w="1701" w:type="dxa"/>
            <w:vAlign w:val="center"/>
          </w:tcPr>
          <w:p w14:paraId="4F52D76B">
            <w:pPr>
              <w:widowControl/>
              <w:spacing w:line="280" w:lineRule="exact"/>
              <w:ind w:left="-107" w:leftChars="-51"/>
              <w:jc w:val="center"/>
              <w:rPr>
                <w:rFonts w:ascii="宋体" w:hAnsi="宋体" w:cs="宋体"/>
                <w:kern w:val="0"/>
                <w:sz w:val="18"/>
                <w:szCs w:val="18"/>
                <w:highlight w:val="none"/>
              </w:rPr>
            </w:pPr>
            <w:r>
              <w:rPr>
                <w:rFonts w:hint="eastAsia" w:ascii="宋体" w:hAnsi="宋体" w:cs="宋体"/>
                <w:kern w:val="0"/>
                <w:sz w:val="18"/>
                <w:szCs w:val="18"/>
                <w:highlight w:val="none"/>
              </w:rPr>
              <w:t>100≤X＜300</w:t>
            </w:r>
          </w:p>
        </w:tc>
        <w:tc>
          <w:tcPr>
            <w:tcW w:w="1426" w:type="dxa"/>
            <w:vAlign w:val="center"/>
          </w:tcPr>
          <w:p w14:paraId="5672E279">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10≤X＜100</w:t>
            </w:r>
          </w:p>
        </w:tc>
        <w:tc>
          <w:tcPr>
            <w:tcW w:w="992" w:type="dxa"/>
            <w:vAlign w:val="center"/>
          </w:tcPr>
          <w:p w14:paraId="6E288AA5">
            <w:pPr>
              <w:widowControl/>
              <w:spacing w:line="280" w:lineRule="exact"/>
              <w:jc w:val="center"/>
              <w:rPr>
                <w:rFonts w:ascii="宋体" w:hAnsi="宋体" w:cs="宋体"/>
                <w:kern w:val="0"/>
                <w:sz w:val="18"/>
                <w:szCs w:val="18"/>
                <w:highlight w:val="none"/>
              </w:rPr>
            </w:pPr>
            <w:r>
              <w:rPr>
                <w:rFonts w:hint="eastAsia" w:ascii="宋体" w:hAnsi="宋体" w:cs="宋体"/>
                <w:kern w:val="0"/>
                <w:sz w:val="18"/>
                <w:szCs w:val="18"/>
                <w:highlight w:val="none"/>
              </w:rPr>
              <w:t>X＜10</w:t>
            </w:r>
          </w:p>
        </w:tc>
      </w:tr>
    </w:tbl>
    <w:p w14:paraId="6F1E8C8A">
      <w:pPr>
        <w:widowControl/>
        <w:spacing w:line="280" w:lineRule="exact"/>
        <w:ind w:firstLine="384"/>
        <w:rPr>
          <w:rFonts w:ascii="宋体" w:hAnsi="宋体" w:cs="宋体"/>
          <w:spacing w:val="8"/>
          <w:kern w:val="0"/>
          <w:sz w:val="24"/>
          <w:highlight w:val="none"/>
        </w:rPr>
      </w:pPr>
    </w:p>
    <w:p w14:paraId="6009CF95">
      <w:pPr>
        <w:widowControl/>
        <w:spacing w:line="360" w:lineRule="auto"/>
        <w:ind w:firstLine="339"/>
        <w:rPr>
          <w:rFonts w:ascii="宋体" w:hAnsi="宋体" w:cs="宋体"/>
          <w:spacing w:val="8"/>
          <w:kern w:val="0"/>
          <w:szCs w:val="21"/>
          <w:highlight w:val="none"/>
        </w:rPr>
      </w:pPr>
      <w:r>
        <w:rPr>
          <w:rFonts w:hint="eastAsia" w:ascii="宋体" w:hAnsi="宋体" w:cs="宋体"/>
          <w:spacing w:val="8"/>
          <w:kern w:val="0"/>
          <w:szCs w:val="21"/>
          <w:highlight w:val="none"/>
        </w:rPr>
        <w:t>说明：</w:t>
      </w:r>
    </w:p>
    <w:p w14:paraId="14BAC7A9">
      <w:pPr>
        <w:adjustRightInd w:val="0"/>
        <w:spacing w:line="360" w:lineRule="auto"/>
        <w:ind w:firstLine="452" w:firstLineChars="200"/>
        <w:contextualSpacing/>
        <w:rPr>
          <w:rFonts w:ascii="宋体" w:hAnsi="宋体" w:cs="宋体"/>
          <w:spacing w:val="8"/>
          <w:kern w:val="0"/>
          <w:szCs w:val="21"/>
          <w:highlight w:val="none"/>
        </w:rPr>
      </w:pPr>
      <w:r>
        <w:rPr>
          <w:rFonts w:hint="eastAsia" w:ascii="宋体" w:hAnsi="宋体" w:cs="宋体"/>
          <w:spacing w:val="8"/>
          <w:kern w:val="0"/>
          <w:szCs w:val="21"/>
          <w:highlight w:val="none"/>
        </w:rPr>
        <w:t>1.大型、中型和小型企业须同时满足所列指标的下限，否则下划一档；微型企业只须满足所列指标中的一项即可。</w:t>
      </w:r>
    </w:p>
    <w:p w14:paraId="01FB8C3D">
      <w:pPr>
        <w:adjustRightInd w:val="0"/>
        <w:spacing w:line="360" w:lineRule="auto"/>
        <w:ind w:firstLine="452" w:firstLineChars="200"/>
        <w:contextualSpacing/>
        <w:rPr>
          <w:rFonts w:ascii="宋体" w:hAnsi="宋体" w:cs="宋体"/>
          <w:spacing w:val="8"/>
          <w:kern w:val="0"/>
          <w:szCs w:val="21"/>
          <w:highlight w:val="none"/>
        </w:rPr>
      </w:pPr>
      <w:r>
        <w:rPr>
          <w:rFonts w:hint="eastAsia" w:ascii="宋体" w:hAnsi="宋体" w:cs="宋体"/>
          <w:spacing w:val="8"/>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5BD8EBC">
      <w:pPr>
        <w:spacing w:line="360" w:lineRule="auto"/>
        <w:ind w:firstLine="452" w:firstLineChars="200"/>
        <w:rPr>
          <w:rFonts w:ascii="宋体" w:hAnsi="宋体" w:cs="宋体"/>
          <w:spacing w:val="8"/>
          <w:kern w:val="0"/>
          <w:sz w:val="24"/>
          <w:highlight w:val="none"/>
        </w:rPr>
      </w:pPr>
      <w:r>
        <w:rPr>
          <w:rFonts w:hint="eastAsia" w:ascii="宋体" w:hAnsi="宋体" w:cs="宋体"/>
          <w:spacing w:val="8"/>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27086236">
      <w:pPr>
        <w:pStyle w:val="14"/>
        <w:jc w:val="center"/>
        <w:outlineLvl w:val="0"/>
        <w:rPr>
          <w:rFonts w:hint="eastAsia" w:hAnsi="宋体" w:cs="宋体"/>
          <w:szCs w:val="21"/>
          <w:highlight w:val="none"/>
        </w:rPr>
      </w:pPr>
      <w:r>
        <w:rPr>
          <w:rFonts w:hint="eastAsia" w:hAnsi="宋体" w:cs="宋体"/>
          <w:szCs w:val="21"/>
          <w:highlight w:val="none"/>
        </w:rPr>
        <w:br w:type="page"/>
      </w:r>
      <w:bookmarkStart w:id="67" w:name="_Toc5815"/>
      <w:bookmarkStart w:id="68" w:name="_Toc15229"/>
      <w:bookmarkStart w:id="69" w:name="_Toc532545044"/>
      <w:bookmarkStart w:id="70" w:name="_Toc5641"/>
      <w:bookmarkStart w:id="71" w:name="_Toc9505"/>
    </w:p>
    <w:p w14:paraId="493537A7">
      <w:pPr>
        <w:ind w:left="119"/>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eastAsia="zh-CN"/>
        </w:rPr>
        <w:t>附件</w:t>
      </w:r>
      <w:r>
        <w:rPr>
          <w:rFonts w:hint="eastAsia" w:ascii="宋体" w:hAnsi="宋体" w:eastAsia="宋体" w:cs="宋体"/>
          <w:sz w:val="32"/>
          <w:szCs w:val="32"/>
          <w:highlight w:val="none"/>
          <w:lang w:val="en-US" w:eastAsia="zh-CN"/>
        </w:rPr>
        <w:t>2</w:t>
      </w:r>
    </w:p>
    <w:p w14:paraId="3620DD19">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8"/>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72580A61">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val="0"/>
            <w:vAlign w:val="top"/>
          </w:tcPr>
          <w:p w14:paraId="68D82018">
            <w:pPr>
              <w:widowControl/>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7425E6D0">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0"/>
            <w:vAlign w:val="center"/>
          </w:tcPr>
          <w:p w14:paraId="4D6F61CE">
            <w:pPr>
              <w:widowControl/>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3FE50DEA">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0"/>
            <w:vAlign w:val="center"/>
          </w:tcPr>
          <w:p w14:paraId="7C153B9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5639BA4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noWrap w:val="0"/>
            <w:vAlign w:val="center"/>
          </w:tcPr>
          <w:p w14:paraId="038E10D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0"/>
            <w:vAlign w:val="center"/>
          </w:tcPr>
          <w:p w14:paraId="11374BC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2D9107A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61E10F9F">
        <w:tblPrEx>
          <w:tblCellMar>
            <w:top w:w="0" w:type="dxa"/>
            <w:left w:w="108" w:type="dxa"/>
            <w:bottom w:w="0" w:type="dxa"/>
            <w:right w:w="108" w:type="dxa"/>
          </w:tblCellMar>
        </w:tblPrEx>
        <w:trPr>
          <w:trHeight w:val="495" w:hRule="atLeast"/>
        </w:trPr>
        <w:tc>
          <w:tcPr>
            <w:tcW w:w="0" w:type="auto"/>
            <w:vMerge w:val="continue"/>
            <w:tcBorders>
              <w:top w:val="single" w:color="000000" w:sz="8" w:space="0"/>
              <w:left w:val="single" w:color="000000" w:sz="8" w:space="0"/>
              <w:bottom w:val="single" w:color="000000" w:sz="8" w:space="0"/>
              <w:right w:val="single" w:color="000000" w:sz="8" w:space="0"/>
            </w:tcBorders>
            <w:noWrap w:val="0"/>
            <w:vAlign w:val="center"/>
          </w:tcPr>
          <w:p w14:paraId="6B8B53ED">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39EB8B7">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6C1F0C8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0"/>
            <w:vAlign w:val="center"/>
          </w:tcPr>
          <w:p w14:paraId="4D1D5E0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947A262">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08385D4C">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noWrap w:val="0"/>
            <w:vAlign w:val="center"/>
          </w:tcPr>
          <w:p w14:paraId="560E71BF">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9154FE5">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69B74D7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0"/>
            <w:vAlign w:val="center"/>
          </w:tcPr>
          <w:p w14:paraId="780C0C9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B1127C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B424E7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64ED30F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1BEA7C4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3B25377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0"/>
            <w:vAlign w:val="center"/>
          </w:tcPr>
          <w:p w14:paraId="403F287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0"/>
            <w:vAlign w:val="center"/>
          </w:tcPr>
          <w:p w14:paraId="07313A4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0DE8415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F259F00">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D98CBAD">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0297B59">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4C69CCB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0"/>
            <w:vAlign w:val="center"/>
          </w:tcPr>
          <w:p w14:paraId="3A89FA4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7D78416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A8BB7D9">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F4806E">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5BA54D1">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2762190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0"/>
            <w:vAlign w:val="center"/>
          </w:tcPr>
          <w:p w14:paraId="35FC504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76F752F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CB9BD34">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89746AD">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2CC5A1B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0"/>
            <w:vAlign w:val="center"/>
          </w:tcPr>
          <w:p w14:paraId="275015B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0"/>
            <w:vAlign w:val="center"/>
          </w:tcPr>
          <w:p w14:paraId="237C650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3F340177">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8978C6D">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DAC5DB">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0502A5E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0"/>
            <w:vAlign w:val="center"/>
          </w:tcPr>
          <w:p w14:paraId="307DDBC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0"/>
            <w:vAlign w:val="center"/>
          </w:tcPr>
          <w:p w14:paraId="1558B44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42BF01C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80FE06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noWrap w:val="0"/>
            <w:vAlign w:val="center"/>
          </w:tcPr>
          <w:p w14:paraId="7D29531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noWrap w:val="0"/>
            <w:vAlign w:val="center"/>
          </w:tcPr>
          <w:p w14:paraId="0BE1DF5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48B6C46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4FEE74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3C46C47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B9D1AF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noWrap w:val="0"/>
            <w:vAlign w:val="center"/>
          </w:tcPr>
          <w:p w14:paraId="772FFE5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noWrap w:val="0"/>
            <w:vAlign w:val="center"/>
          </w:tcPr>
          <w:p w14:paraId="0016CE1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3DC3A19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68B8D35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6D85E64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111E5B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noWrap w:val="0"/>
            <w:vAlign w:val="center"/>
          </w:tcPr>
          <w:p w14:paraId="67C4F44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noWrap w:val="0"/>
            <w:vAlign w:val="center"/>
          </w:tcPr>
          <w:p w14:paraId="0F585DD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0"/>
            <w:vAlign w:val="center"/>
          </w:tcPr>
          <w:p w14:paraId="2AFB46F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7E4107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49997ACB">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34C52B8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59CA43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254524A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0"/>
            <w:vAlign w:val="center"/>
          </w:tcPr>
          <w:p w14:paraId="40CA3E7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0"/>
            <w:vAlign w:val="center"/>
          </w:tcPr>
          <w:p w14:paraId="682D5F7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5899967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66D0369">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7BC312D">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B89B6A">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30B4DE5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0"/>
            <w:vAlign w:val="center"/>
          </w:tcPr>
          <w:p w14:paraId="0A3E123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5361556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CF1AB45">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E40B42">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AA1F27D">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1FBE9FD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noWrap w:val="0"/>
            <w:vAlign w:val="center"/>
          </w:tcPr>
          <w:p w14:paraId="568D9B2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7E967FB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68AB1E8">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86D1DE3">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6FCC4C9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noWrap w:val="0"/>
            <w:vAlign w:val="center"/>
          </w:tcPr>
          <w:p w14:paraId="2E2DEBB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300F32A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0B159878">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8FFD7AD">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81714DF">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3CFF6B8">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7CB007D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4ACAA61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1C577FD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E12B2AB">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5CD372">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2F5075E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0"/>
            <w:vAlign w:val="center"/>
          </w:tcPr>
          <w:p w14:paraId="3862F2E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0"/>
            <w:vAlign w:val="center"/>
          </w:tcPr>
          <w:p w14:paraId="179025D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7790F086">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7EF8CFF">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958D36F">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221A5FE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0"/>
            <w:vAlign w:val="center"/>
          </w:tcPr>
          <w:p w14:paraId="2BCD36A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0"/>
            <w:vAlign w:val="center"/>
          </w:tcPr>
          <w:p w14:paraId="642A2923">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3D2DA40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43427B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noWrap w:val="0"/>
            <w:vAlign w:val="center"/>
          </w:tcPr>
          <w:p w14:paraId="1C6A92A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noWrap w:val="0"/>
            <w:vAlign w:val="center"/>
          </w:tcPr>
          <w:p w14:paraId="281C782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01BD06D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7E606C4A">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69D92CF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37B156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noWrap w:val="0"/>
            <w:vAlign w:val="center"/>
          </w:tcPr>
          <w:p w14:paraId="2862EB4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noWrap w:val="0"/>
            <w:vAlign w:val="center"/>
          </w:tcPr>
          <w:p w14:paraId="1A85F62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0"/>
            <w:vAlign w:val="center"/>
          </w:tcPr>
          <w:p w14:paraId="1C2AB61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03AE4BE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3317B43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DB711A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noWrap w:val="0"/>
            <w:vAlign w:val="center"/>
          </w:tcPr>
          <w:p w14:paraId="577E0D7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noWrap w:val="0"/>
            <w:vAlign w:val="center"/>
          </w:tcPr>
          <w:p w14:paraId="251F98A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0"/>
            <w:vAlign w:val="center"/>
          </w:tcPr>
          <w:p w14:paraId="67B2EA3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2BFB062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5E455053">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89CB2D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74C0AE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noWrap w:val="0"/>
            <w:vAlign w:val="center"/>
          </w:tcPr>
          <w:p w14:paraId="10CE2C4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0"/>
            <w:vAlign w:val="center"/>
          </w:tcPr>
          <w:p w14:paraId="030B9FA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F8CFB0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37B61DDB">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EA4173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64E9CB9">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294BCB6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0"/>
            <w:vAlign w:val="center"/>
          </w:tcPr>
          <w:p w14:paraId="2559DBA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0"/>
            <w:vAlign w:val="center"/>
          </w:tcPr>
          <w:p w14:paraId="09E0131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4906742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2447B2A">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A1EC488">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4CE839E">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6F9E680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45E7F8C2">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1A1F5C6">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467B3BB">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15D8022">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4DCA1BF">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2C8550D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05C81E8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782E98E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E7B4FBF">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FDFA9EB">
            <w:pPr>
              <w:widowControl/>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35D514A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0"/>
            <w:vAlign w:val="center"/>
          </w:tcPr>
          <w:p w14:paraId="205B08A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626C4AC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6BCCF6A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ED65C14">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D5ABAB9">
            <w:pPr>
              <w:widowControl/>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42D4BD3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0"/>
            <w:vAlign w:val="center"/>
          </w:tcPr>
          <w:p w14:paraId="46D7F74D">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0"/>
            <w:vAlign w:val="center"/>
          </w:tcPr>
          <w:p w14:paraId="17B2D92D">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3C82AFC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3E15CFF">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F3D7CB7">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3FDE361">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44834D9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0"/>
            <w:vAlign w:val="center"/>
          </w:tcPr>
          <w:p w14:paraId="169AFCC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14B949C1">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88AA073">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569BADF">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C5CCC7C">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17F733B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0"/>
            <w:vAlign w:val="center"/>
          </w:tcPr>
          <w:p w14:paraId="679FD4D1">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23818E0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33528B1">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24565A2">
            <w:pPr>
              <w:widowControl/>
              <w:jc w:val="left"/>
              <w:rPr>
                <w:rFonts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40068CD">
            <w:pPr>
              <w:widowControl/>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686A117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0"/>
            <w:vAlign w:val="center"/>
          </w:tcPr>
          <w:p w14:paraId="5D9E667F">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7802ACDE">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0"/>
            <w:vAlign w:val="center"/>
          </w:tcPr>
          <w:p w14:paraId="39B169E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auto" w:sz="8" w:space="0"/>
              <w:bottom w:val="single" w:color="auto" w:sz="8" w:space="0"/>
              <w:right w:val="single" w:color="auto" w:sz="8" w:space="0"/>
            </w:tcBorders>
            <w:noWrap w:val="0"/>
            <w:vAlign w:val="center"/>
          </w:tcPr>
          <w:p w14:paraId="21BAD84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auto" w:sz="8" w:space="0"/>
              <w:right w:val="single" w:color="auto" w:sz="8" w:space="0"/>
            </w:tcBorders>
            <w:noWrap w:val="0"/>
            <w:vAlign w:val="center"/>
          </w:tcPr>
          <w:p w14:paraId="1D16CF7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auto" w:sz="8" w:space="0"/>
              <w:right w:val="single" w:color="auto" w:sz="8" w:space="0"/>
            </w:tcBorders>
            <w:noWrap w:val="0"/>
            <w:vAlign w:val="center"/>
          </w:tcPr>
          <w:p w14:paraId="375FF15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3C8212CC">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7BD71522">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5AAB3F6F">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auto" w:sz="8" w:space="0"/>
              <w:right w:val="single" w:color="auto" w:sz="8" w:space="0"/>
            </w:tcBorders>
            <w:noWrap w:val="0"/>
            <w:vAlign w:val="center"/>
          </w:tcPr>
          <w:p w14:paraId="2857587C">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0"/>
            <w:vAlign w:val="center"/>
          </w:tcPr>
          <w:p w14:paraId="2C0B6C9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auto" w:sz="8" w:space="0"/>
              <w:right w:val="single" w:color="auto" w:sz="8" w:space="0"/>
            </w:tcBorders>
            <w:noWrap w:val="0"/>
            <w:vAlign w:val="center"/>
          </w:tcPr>
          <w:p w14:paraId="3EFF253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713C026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51E8478A">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65C36419">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auto" w:sz="8" w:space="0"/>
              <w:right w:val="single" w:color="auto" w:sz="8" w:space="0"/>
            </w:tcBorders>
            <w:noWrap w:val="0"/>
            <w:vAlign w:val="center"/>
          </w:tcPr>
          <w:p w14:paraId="07D40EBD">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0"/>
            <w:vAlign w:val="center"/>
          </w:tcPr>
          <w:p w14:paraId="20A3011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auto" w:sz="8" w:space="0"/>
              <w:right w:val="single" w:color="auto" w:sz="8" w:space="0"/>
            </w:tcBorders>
            <w:noWrap w:val="0"/>
            <w:vAlign w:val="center"/>
          </w:tcPr>
          <w:p w14:paraId="227F7C9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6D5C2EB5">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52AACC6B">
        <w:tblPrEx>
          <w:tblCellMar>
            <w:top w:w="0" w:type="dxa"/>
            <w:left w:w="108" w:type="dxa"/>
            <w:bottom w:w="0" w:type="dxa"/>
            <w:right w:w="108" w:type="dxa"/>
          </w:tblCellMar>
        </w:tblPrEx>
        <w:trPr>
          <w:trHeight w:val="73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354DE199">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auto" w:sz="8" w:space="0"/>
              <w:right w:val="single" w:color="auto" w:sz="8" w:space="0"/>
            </w:tcBorders>
            <w:noWrap w:val="0"/>
            <w:vAlign w:val="center"/>
          </w:tcPr>
          <w:p w14:paraId="1DDAD7F1">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0"/>
            <w:vAlign w:val="center"/>
          </w:tcPr>
          <w:p w14:paraId="0EDD559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auto" w:sz="8" w:space="0"/>
              <w:right w:val="single" w:color="auto" w:sz="8" w:space="0"/>
            </w:tcBorders>
            <w:noWrap w:val="0"/>
            <w:vAlign w:val="center"/>
          </w:tcPr>
          <w:p w14:paraId="0F4FEF3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0EFE401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5467BD21">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0"/>
            <w:vAlign w:val="center"/>
          </w:tcPr>
          <w:p w14:paraId="1439CFB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auto" w:sz="8" w:space="0"/>
              <w:right w:val="single" w:color="auto" w:sz="8" w:space="0"/>
            </w:tcBorders>
            <w:noWrap w:val="0"/>
            <w:vAlign w:val="center"/>
          </w:tcPr>
          <w:p w14:paraId="40FCEAD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auto" w:sz="8" w:space="0"/>
              <w:right w:val="single" w:color="auto" w:sz="8" w:space="0"/>
            </w:tcBorders>
            <w:noWrap w:val="0"/>
            <w:vAlign w:val="center"/>
          </w:tcPr>
          <w:p w14:paraId="50C408C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auto" w:sz="8" w:space="0"/>
              <w:right w:val="single" w:color="auto" w:sz="8" w:space="0"/>
            </w:tcBorders>
            <w:noWrap w:val="0"/>
            <w:vAlign w:val="center"/>
          </w:tcPr>
          <w:p w14:paraId="2B8F102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31F9970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39B2FCD">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0"/>
            <w:vAlign w:val="center"/>
          </w:tcPr>
          <w:p w14:paraId="2C9DD7A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auto" w:sz="8" w:space="0"/>
              <w:right w:val="single" w:color="auto" w:sz="8" w:space="0"/>
            </w:tcBorders>
            <w:noWrap w:val="0"/>
            <w:vAlign w:val="center"/>
          </w:tcPr>
          <w:p w14:paraId="2C8D5AB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auto" w:sz="8" w:space="0"/>
              <w:right w:val="single" w:color="auto" w:sz="8" w:space="0"/>
            </w:tcBorders>
            <w:noWrap w:val="0"/>
            <w:vAlign w:val="center"/>
          </w:tcPr>
          <w:p w14:paraId="0E5E72C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auto" w:sz="8" w:space="0"/>
              <w:right w:val="single" w:color="auto" w:sz="8" w:space="0"/>
            </w:tcBorders>
            <w:noWrap w:val="0"/>
            <w:vAlign w:val="center"/>
          </w:tcPr>
          <w:p w14:paraId="159BA42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auto" w:sz="8" w:space="0"/>
              <w:right w:val="single" w:color="auto" w:sz="8" w:space="0"/>
            </w:tcBorders>
            <w:noWrap w:val="0"/>
            <w:vAlign w:val="center"/>
          </w:tcPr>
          <w:p w14:paraId="36603A9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04F27D4D">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0"/>
            <w:vAlign w:val="center"/>
          </w:tcPr>
          <w:p w14:paraId="3C988FD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auto" w:sz="8" w:space="0"/>
              <w:right w:val="single" w:color="auto" w:sz="8" w:space="0"/>
            </w:tcBorders>
            <w:noWrap w:val="0"/>
            <w:vAlign w:val="center"/>
          </w:tcPr>
          <w:p w14:paraId="18AF0137">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auto" w:sz="8" w:space="0"/>
              <w:right w:val="single" w:color="auto" w:sz="8" w:space="0"/>
            </w:tcBorders>
            <w:noWrap w:val="0"/>
            <w:vAlign w:val="center"/>
          </w:tcPr>
          <w:p w14:paraId="1295007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auto" w:sz="8" w:space="0"/>
              <w:right w:val="single" w:color="auto" w:sz="8" w:space="0"/>
            </w:tcBorders>
            <w:noWrap w:val="0"/>
            <w:vAlign w:val="center"/>
          </w:tcPr>
          <w:p w14:paraId="073DB5B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682A110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4AA736A7">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0"/>
            <w:vAlign w:val="center"/>
          </w:tcPr>
          <w:p w14:paraId="347E316E">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auto" w:sz="8" w:space="0"/>
              <w:bottom w:val="single" w:color="000000" w:sz="8" w:space="0"/>
              <w:right w:val="single" w:color="auto" w:sz="8" w:space="0"/>
            </w:tcBorders>
            <w:noWrap w:val="0"/>
            <w:vAlign w:val="center"/>
          </w:tcPr>
          <w:p w14:paraId="220C52A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auto" w:sz="8" w:space="0"/>
              <w:right w:val="single" w:color="auto" w:sz="8" w:space="0"/>
            </w:tcBorders>
            <w:noWrap w:val="0"/>
            <w:vAlign w:val="center"/>
          </w:tcPr>
          <w:p w14:paraId="345D03AA">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auto" w:sz="8" w:space="0"/>
              <w:right w:val="single" w:color="auto" w:sz="8" w:space="0"/>
            </w:tcBorders>
            <w:noWrap w:val="0"/>
            <w:vAlign w:val="center"/>
          </w:tcPr>
          <w:p w14:paraId="2E47B46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56BAF464">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5B4D3567">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3DC013CA">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F3AEB19">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0"/>
            <w:vAlign w:val="center"/>
          </w:tcPr>
          <w:p w14:paraId="7EFE4DAB">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auto" w:sz="8" w:space="0"/>
              <w:right w:val="single" w:color="auto" w:sz="8" w:space="0"/>
            </w:tcBorders>
            <w:noWrap w:val="0"/>
            <w:vAlign w:val="center"/>
          </w:tcPr>
          <w:p w14:paraId="3A20D351">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74706926">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76D508A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noWrap w:val="0"/>
            <w:vAlign w:val="center"/>
          </w:tcPr>
          <w:p w14:paraId="089117D8">
            <w:pPr>
              <w:widowControl/>
              <w:jc w:val="left"/>
              <w:rPr>
                <w:rFonts w:ascii="宋体" w:hAnsi="宋体" w:cs="宋体"/>
                <w:color w:val="auto"/>
                <w:kern w:val="0"/>
                <w:sz w:val="20"/>
                <w:szCs w:val="20"/>
                <w:highlight w:val="none"/>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16569D80">
            <w:pPr>
              <w:widowControl/>
              <w:jc w:val="left"/>
              <w:rPr>
                <w:rFonts w:ascii="宋体" w:hAnsi="宋体" w:cs="宋体"/>
                <w:color w:val="auto"/>
                <w:kern w:val="0"/>
                <w:sz w:val="20"/>
                <w:szCs w:val="20"/>
                <w:highlight w:val="none"/>
              </w:rPr>
            </w:pPr>
          </w:p>
        </w:tc>
        <w:tc>
          <w:tcPr>
            <w:tcW w:w="1320" w:type="dxa"/>
            <w:tcBorders>
              <w:top w:val="nil"/>
              <w:left w:val="nil"/>
              <w:bottom w:val="single" w:color="auto" w:sz="8" w:space="0"/>
              <w:right w:val="single" w:color="auto" w:sz="8" w:space="0"/>
            </w:tcBorders>
            <w:noWrap w:val="0"/>
            <w:vAlign w:val="center"/>
          </w:tcPr>
          <w:p w14:paraId="4D51CBC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auto" w:sz="8" w:space="0"/>
              <w:right w:val="single" w:color="auto" w:sz="8" w:space="0"/>
            </w:tcBorders>
            <w:noWrap w:val="0"/>
            <w:vAlign w:val="center"/>
          </w:tcPr>
          <w:p w14:paraId="789CC0B0">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0"/>
            <w:vAlign w:val="center"/>
          </w:tcPr>
          <w:p w14:paraId="7E1EC61B">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5B88745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ECD438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noWrap w:val="0"/>
            <w:vAlign w:val="center"/>
          </w:tcPr>
          <w:p w14:paraId="5EEA660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noWrap w:val="0"/>
            <w:vAlign w:val="center"/>
          </w:tcPr>
          <w:p w14:paraId="68FAF805">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63C626CC">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256DC78">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787D191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0308FD1F">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noWrap w:val="0"/>
            <w:vAlign w:val="center"/>
          </w:tcPr>
          <w:p w14:paraId="147634F8">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noWrap w:val="0"/>
            <w:vAlign w:val="center"/>
          </w:tcPr>
          <w:p w14:paraId="45B8C6D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7918B3B4">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25B9E56E">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6E47E20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BEFC4C3">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noWrap w:val="0"/>
            <w:vAlign w:val="center"/>
          </w:tcPr>
          <w:p w14:paraId="67897FD9">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noWrap w:val="0"/>
            <w:vAlign w:val="center"/>
          </w:tcPr>
          <w:p w14:paraId="76C7C416">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1AD96EE2">
            <w:pPr>
              <w:widowControl/>
              <w:jc w:val="center"/>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0C0B2B57">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19CA93AB">
      <w:pPr>
        <w:widowControl/>
        <w:rPr>
          <w:rFonts w:hint="eastAsia" w:ascii="宋体" w:hAnsi="宋体" w:cs="宋体"/>
          <w:color w:val="auto"/>
          <w:sz w:val="20"/>
          <w:szCs w:val="20"/>
          <w:highlight w:val="none"/>
        </w:rPr>
      </w:pPr>
    </w:p>
    <w:p w14:paraId="4DCB4EF2">
      <w:pPr>
        <w:pStyle w:val="11"/>
        <w:spacing w:line="360" w:lineRule="auto"/>
        <w:rPr>
          <w:rFonts w:hint="eastAsia"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21844E5D">
      <w:pPr>
        <w:pStyle w:val="11"/>
        <w:spacing w:line="360" w:lineRule="auto"/>
        <w:rPr>
          <w:rFonts w:hint="eastAsia"/>
          <w:b/>
          <w:bCs/>
          <w:color w:val="auto"/>
          <w:szCs w:val="21"/>
          <w:highlight w:val="none"/>
        </w:rPr>
      </w:pPr>
      <w:r>
        <w:rPr>
          <w:rFonts w:hint="eastAsia" w:ascii="宋体" w:hAnsi="宋体"/>
          <w:color w:val="auto"/>
          <w:szCs w:val="21"/>
          <w:highlight w:val="none"/>
        </w:rPr>
        <w:t xml:space="preserve">    </w:t>
      </w:r>
      <w:r>
        <w:rPr>
          <w:color w:val="auto"/>
          <w:szCs w:val="21"/>
          <w:highlight w:val="none"/>
        </w:rPr>
        <w:t>2</w:t>
      </w:r>
      <w:r>
        <w:rPr>
          <w:b/>
          <w:bCs/>
          <w:color w:val="auto"/>
          <w:szCs w:val="21"/>
          <w:highlight w:val="none"/>
        </w:rPr>
        <w:t>.</w:t>
      </w:r>
      <w:r>
        <w:rPr>
          <w:rFonts w:hint="eastAsia"/>
          <w:b/>
          <w:bCs/>
          <w:color w:val="auto"/>
          <w:szCs w:val="21"/>
          <w:highlight w:val="none"/>
        </w:rPr>
        <w:t>以</w:t>
      </w:r>
      <w:r>
        <w:rPr>
          <w:b/>
          <w:bCs/>
          <w:color w:val="auto"/>
          <w:szCs w:val="21"/>
          <w:highlight w:val="none"/>
        </w:rPr>
        <w:t>“</w:t>
      </w:r>
      <w:r>
        <w:rPr>
          <w:rFonts w:hint="eastAsia"/>
          <w:b/>
          <w:bCs/>
          <w:color w:val="auto"/>
          <w:szCs w:val="21"/>
          <w:highlight w:val="none"/>
        </w:rPr>
        <w:t>★</w:t>
      </w:r>
      <w:r>
        <w:rPr>
          <w:b/>
          <w:bCs/>
          <w:color w:val="auto"/>
          <w:szCs w:val="21"/>
          <w:highlight w:val="none"/>
        </w:rPr>
        <w:t>”</w:t>
      </w:r>
      <w:r>
        <w:rPr>
          <w:rFonts w:hint="eastAsia"/>
          <w:b/>
          <w:bCs/>
          <w:color w:val="auto"/>
          <w:szCs w:val="21"/>
          <w:highlight w:val="none"/>
        </w:rPr>
        <w:t>标注的为政府强制采购产品。</w:t>
      </w:r>
    </w:p>
    <w:p w14:paraId="6266BEDA">
      <w:pPr>
        <w:pStyle w:val="14"/>
        <w:jc w:val="center"/>
        <w:outlineLvl w:val="0"/>
        <w:rPr>
          <w:rFonts w:hint="eastAsia" w:hAnsi="宋体" w:cs="宋体"/>
          <w:szCs w:val="21"/>
          <w:highlight w:val="none"/>
        </w:rPr>
      </w:pPr>
    </w:p>
    <w:p w14:paraId="48056C68">
      <w:pPr>
        <w:pStyle w:val="14"/>
        <w:jc w:val="center"/>
        <w:outlineLvl w:val="0"/>
        <w:rPr>
          <w:rFonts w:hint="eastAsia" w:hAnsi="宋体" w:cs="宋体"/>
          <w:szCs w:val="21"/>
          <w:highlight w:val="none"/>
        </w:rPr>
      </w:pPr>
    </w:p>
    <w:p w14:paraId="13F9604E">
      <w:pPr>
        <w:pStyle w:val="14"/>
        <w:jc w:val="center"/>
        <w:outlineLvl w:val="0"/>
        <w:rPr>
          <w:rFonts w:hint="eastAsia" w:hAnsi="宋体" w:cs="宋体"/>
          <w:szCs w:val="21"/>
          <w:highlight w:val="none"/>
        </w:rPr>
      </w:pPr>
    </w:p>
    <w:p w14:paraId="4DAB876D">
      <w:pPr>
        <w:pStyle w:val="14"/>
        <w:jc w:val="center"/>
        <w:outlineLvl w:val="0"/>
        <w:rPr>
          <w:rFonts w:hint="eastAsia" w:hAnsi="宋体" w:cs="宋体"/>
          <w:szCs w:val="21"/>
          <w:highlight w:val="none"/>
        </w:rPr>
      </w:pPr>
    </w:p>
    <w:p w14:paraId="6DD72C0C">
      <w:pPr>
        <w:pStyle w:val="14"/>
        <w:jc w:val="center"/>
        <w:outlineLvl w:val="0"/>
        <w:rPr>
          <w:rFonts w:hint="eastAsia" w:hAnsi="宋体" w:cs="宋体"/>
          <w:szCs w:val="21"/>
          <w:highlight w:val="none"/>
        </w:rPr>
      </w:pPr>
    </w:p>
    <w:p w14:paraId="1A687937">
      <w:pPr>
        <w:pStyle w:val="14"/>
        <w:jc w:val="center"/>
        <w:outlineLvl w:val="0"/>
        <w:rPr>
          <w:rFonts w:hint="eastAsia" w:hAnsi="宋体" w:cs="宋体"/>
          <w:szCs w:val="21"/>
          <w:highlight w:val="none"/>
        </w:rPr>
      </w:pPr>
    </w:p>
    <w:p w14:paraId="4AA44296">
      <w:pPr>
        <w:pStyle w:val="14"/>
        <w:jc w:val="center"/>
        <w:outlineLvl w:val="0"/>
        <w:rPr>
          <w:rFonts w:hint="eastAsia" w:hAnsi="宋体" w:cs="宋体"/>
          <w:szCs w:val="21"/>
          <w:highlight w:val="none"/>
        </w:rPr>
      </w:pPr>
    </w:p>
    <w:p w14:paraId="7BFF3307">
      <w:pPr>
        <w:pStyle w:val="14"/>
        <w:jc w:val="center"/>
        <w:outlineLvl w:val="0"/>
        <w:rPr>
          <w:rFonts w:hint="eastAsia" w:hAnsi="宋体" w:cs="宋体"/>
          <w:szCs w:val="21"/>
          <w:highlight w:val="none"/>
        </w:rPr>
      </w:pPr>
    </w:p>
    <w:p w14:paraId="32486598">
      <w:pPr>
        <w:pStyle w:val="14"/>
        <w:jc w:val="center"/>
        <w:outlineLvl w:val="0"/>
        <w:rPr>
          <w:rFonts w:hint="eastAsia" w:hAnsi="宋体" w:cs="宋体"/>
          <w:szCs w:val="21"/>
          <w:highlight w:val="none"/>
        </w:rPr>
      </w:pPr>
    </w:p>
    <w:p w14:paraId="7168127E">
      <w:pPr>
        <w:pStyle w:val="14"/>
        <w:jc w:val="center"/>
        <w:outlineLvl w:val="0"/>
        <w:rPr>
          <w:rFonts w:hAnsi="宋体" w:cs="宋体"/>
          <w:b/>
          <w:sz w:val="36"/>
          <w:szCs w:val="36"/>
          <w:highlight w:val="none"/>
        </w:rPr>
      </w:pPr>
      <w:r>
        <w:rPr>
          <w:rFonts w:hint="eastAsia" w:hAnsi="宋体" w:cs="宋体"/>
          <w:b/>
          <w:sz w:val="36"/>
          <w:highlight w:val="none"/>
        </w:rPr>
        <w:t>第三章  投标人须知</w:t>
      </w:r>
      <w:bookmarkEnd w:id="67"/>
      <w:bookmarkEnd w:id="68"/>
      <w:bookmarkEnd w:id="69"/>
      <w:bookmarkEnd w:id="70"/>
      <w:bookmarkEnd w:id="71"/>
    </w:p>
    <w:p w14:paraId="1D8645B9">
      <w:pPr>
        <w:pStyle w:val="14"/>
        <w:spacing w:line="720" w:lineRule="auto"/>
        <w:ind w:firstLine="452"/>
        <w:jc w:val="center"/>
        <w:outlineLvl w:val="1"/>
        <w:rPr>
          <w:rFonts w:hAnsi="宋体" w:cs="宋体"/>
          <w:b/>
          <w:sz w:val="30"/>
          <w:szCs w:val="30"/>
          <w:highlight w:val="none"/>
        </w:rPr>
      </w:pPr>
      <w:bookmarkStart w:id="72" w:name="_Toc2967"/>
      <w:bookmarkStart w:id="73" w:name="_Toc992"/>
      <w:bookmarkStart w:id="74" w:name="_Toc28990"/>
      <w:bookmarkStart w:id="75" w:name="_Toc20955"/>
      <w:r>
        <w:rPr>
          <w:rFonts w:hint="eastAsia" w:hAnsi="宋体" w:cs="宋体"/>
          <w:b/>
          <w:sz w:val="30"/>
          <w:szCs w:val="30"/>
          <w:highlight w:val="none"/>
        </w:rPr>
        <w:t>第一节 投标人须知前附表</w:t>
      </w:r>
      <w:bookmarkEnd w:id="72"/>
      <w:bookmarkEnd w:id="73"/>
      <w:bookmarkEnd w:id="74"/>
      <w:bookmarkEnd w:id="75"/>
    </w:p>
    <w:tbl>
      <w:tblPr>
        <w:tblStyle w:val="28"/>
        <w:tblW w:w="98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0"/>
        <w:gridCol w:w="2083"/>
        <w:gridCol w:w="6872"/>
      </w:tblGrid>
      <w:tr w14:paraId="0FB98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3D03EDCE">
            <w:pPr>
              <w:snapToGrid w:val="0"/>
              <w:spacing w:line="360" w:lineRule="exact"/>
              <w:jc w:val="center"/>
              <w:rPr>
                <w:rFonts w:ascii="宋体" w:hAnsi="宋体" w:cs="宋体"/>
                <w:szCs w:val="21"/>
                <w:highlight w:val="none"/>
              </w:rPr>
            </w:pPr>
            <w:r>
              <w:rPr>
                <w:rFonts w:hint="eastAsia" w:ascii="宋体" w:hAnsi="宋体" w:cs="宋体"/>
                <w:szCs w:val="21"/>
                <w:highlight w:val="none"/>
              </w:rPr>
              <w:t>条款号</w:t>
            </w:r>
          </w:p>
        </w:tc>
        <w:tc>
          <w:tcPr>
            <w:tcW w:w="2083" w:type="dxa"/>
            <w:tcBorders>
              <w:top w:val="single" w:color="auto" w:sz="4" w:space="0"/>
              <w:left w:val="single" w:color="auto" w:sz="4" w:space="0"/>
              <w:bottom w:val="single" w:color="auto" w:sz="4" w:space="0"/>
              <w:right w:val="single" w:color="auto" w:sz="4" w:space="0"/>
            </w:tcBorders>
            <w:noWrap/>
            <w:vAlign w:val="center"/>
          </w:tcPr>
          <w:p w14:paraId="72D3129F">
            <w:pPr>
              <w:snapToGrid w:val="0"/>
              <w:spacing w:line="360" w:lineRule="exact"/>
              <w:jc w:val="center"/>
              <w:rPr>
                <w:rFonts w:ascii="宋体" w:hAnsi="宋体" w:cs="宋体"/>
                <w:szCs w:val="21"/>
                <w:highlight w:val="none"/>
              </w:rPr>
            </w:pPr>
            <w:r>
              <w:rPr>
                <w:rFonts w:hint="eastAsia" w:ascii="宋体" w:hAnsi="宋体" w:cs="宋体"/>
                <w:szCs w:val="21"/>
                <w:highlight w:val="none"/>
              </w:rPr>
              <w:t>项目内容</w:t>
            </w:r>
          </w:p>
        </w:tc>
        <w:tc>
          <w:tcPr>
            <w:tcW w:w="6872" w:type="dxa"/>
            <w:tcBorders>
              <w:top w:val="single" w:color="auto" w:sz="4" w:space="0"/>
              <w:left w:val="single" w:color="auto" w:sz="4" w:space="0"/>
              <w:bottom w:val="single" w:color="auto" w:sz="4" w:space="0"/>
              <w:right w:val="single" w:color="auto" w:sz="4" w:space="0"/>
            </w:tcBorders>
            <w:noWrap/>
            <w:vAlign w:val="center"/>
          </w:tcPr>
          <w:p w14:paraId="575ABADC">
            <w:pPr>
              <w:snapToGrid w:val="0"/>
              <w:spacing w:line="360" w:lineRule="exact"/>
              <w:jc w:val="center"/>
              <w:rPr>
                <w:rFonts w:ascii="宋体" w:hAnsi="宋体" w:cs="宋体"/>
                <w:szCs w:val="21"/>
                <w:highlight w:val="none"/>
              </w:rPr>
            </w:pPr>
            <w:r>
              <w:rPr>
                <w:rFonts w:hint="eastAsia" w:ascii="宋体" w:hAnsi="宋体" w:cs="宋体"/>
                <w:szCs w:val="21"/>
                <w:highlight w:val="none"/>
              </w:rPr>
              <w:t>编列内容</w:t>
            </w:r>
          </w:p>
        </w:tc>
      </w:tr>
      <w:tr w14:paraId="75B748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3FB30DBD">
            <w:pPr>
              <w:spacing w:line="360" w:lineRule="exact"/>
              <w:rPr>
                <w:rFonts w:ascii="宋体" w:hAnsi="宋体" w:cs="宋体"/>
                <w:szCs w:val="21"/>
                <w:highlight w:val="none"/>
              </w:rPr>
            </w:pPr>
            <w:r>
              <w:rPr>
                <w:rFonts w:hint="eastAsia" w:ascii="宋体" w:hAnsi="宋体" w:cs="宋体"/>
                <w:szCs w:val="21"/>
                <w:highlight w:val="none"/>
              </w:rPr>
              <w:t>3</w:t>
            </w:r>
          </w:p>
        </w:tc>
        <w:tc>
          <w:tcPr>
            <w:tcW w:w="2083" w:type="dxa"/>
            <w:tcBorders>
              <w:top w:val="single" w:color="auto" w:sz="4" w:space="0"/>
              <w:left w:val="single" w:color="auto" w:sz="4" w:space="0"/>
              <w:bottom w:val="single" w:color="auto" w:sz="4" w:space="0"/>
              <w:right w:val="single" w:color="auto" w:sz="4" w:space="0"/>
            </w:tcBorders>
            <w:noWrap/>
            <w:vAlign w:val="center"/>
          </w:tcPr>
          <w:p w14:paraId="6A47AD83">
            <w:pPr>
              <w:spacing w:line="360" w:lineRule="exact"/>
              <w:rPr>
                <w:rFonts w:ascii="宋体" w:hAnsi="宋体" w:cs="宋体"/>
                <w:szCs w:val="21"/>
                <w:highlight w:val="none"/>
              </w:rPr>
            </w:pPr>
            <w:r>
              <w:rPr>
                <w:rFonts w:hint="eastAsia" w:ascii="宋体" w:hAnsi="宋体" w:cs="宋体"/>
                <w:szCs w:val="21"/>
                <w:highlight w:val="none"/>
              </w:rPr>
              <w:t>投标人的资格要求</w:t>
            </w:r>
          </w:p>
        </w:tc>
        <w:tc>
          <w:tcPr>
            <w:tcW w:w="6872" w:type="dxa"/>
            <w:tcBorders>
              <w:top w:val="single" w:color="auto" w:sz="4" w:space="0"/>
              <w:left w:val="single" w:color="auto" w:sz="4" w:space="0"/>
              <w:bottom w:val="single" w:color="auto" w:sz="4" w:space="0"/>
              <w:right w:val="single" w:color="auto" w:sz="4" w:space="0"/>
            </w:tcBorders>
            <w:noWrap/>
            <w:vAlign w:val="center"/>
          </w:tcPr>
          <w:p w14:paraId="6462C7AF">
            <w:pPr>
              <w:pStyle w:val="10"/>
              <w:spacing w:line="360" w:lineRule="exact"/>
              <w:jc w:val="both"/>
              <w:rPr>
                <w:rFonts w:ascii="宋体" w:hAnsi="宋体" w:cs="宋体"/>
                <w:szCs w:val="21"/>
                <w:highlight w:val="none"/>
              </w:rPr>
            </w:pPr>
            <w:r>
              <w:rPr>
                <w:rFonts w:hint="eastAsia" w:ascii="宋体" w:hAnsi="宋体" w:cs="宋体"/>
                <w:szCs w:val="21"/>
                <w:highlight w:val="none"/>
              </w:rPr>
              <w:t>详见招标公告。</w:t>
            </w:r>
          </w:p>
        </w:tc>
      </w:tr>
      <w:tr w14:paraId="651173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480AD62A">
            <w:pPr>
              <w:spacing w:line="360" w:lineRule="exact"/>
              <w:rPr>
                <w:rFonts w:ascii="宋体" w:hAnsi="宋体" w:cs="宋体"/>
                <w:szCs w:val="21"/>
                <w:highlight w:val="none"/>
              </w:rPr>
            </w:pPr>
            <w:r>
              <w:rPr>
                <w:rFonts w:hint="eastAsia" w:ascii="宋体" w:hAnsi="宋体" w:cs="宋体"/>
                <w:szCs w:val="21"/>
                <w:highlight w:val="none"/>
              </w:rPr>
              <w:t>6.1</w:t>
            </w:r>
          </w:p>
        </w:tc>
        <w:tc>
          <w:tcPr>
            <w:tcW w:w="2083" w:type="dxa"/>
            <w:tcBorders>
              <w:top w:val="single" w:color="auto" w:sz="4" w:space="0"/>
              <w:left w:val="single" w:color="auto" w:sz="4" w:space="0"/>
              <w:bottom w:val="single" w:color="auto" w:sz="4" w:space="0"/>
              <w:right w:val="single" w:color="auto" w:sz="4" w:space="0"/>
            </w:tcBorders>
            <w:noWrap/>
            <w:vAlign w:val="center"/>
          </w:tcPr>
          <w:p w14:paraId="5657536A">
            <w:pPr>
              <w:spacing w:line="360" w:lineRule="exact"/>
              <w:rPr>
                <w:rFonts w:ascii="宋体" w:hAnsi="宋体" w:cs="宋体"/>
                <w:szCs w:val="21"/>
                <w:highlight w:val="none"/>
              </w:rPr>
            </w:pPr>
            <w:bookmarkStart w:id="76" w:name="_8.1"/>
            <w:bookmarkEnd w:id="76"/>
            <w:bookmarkStart w:id="77" w:name="_9.2"/>
            <w:bookmarkEnd w:id="77"/>
            <w:bookmarkStart w:id="78" w:name="_5"/>
            <w:bookmarkEnd w:id="78"/>
            <w:r>
              <w:rPr>
                <w:rFonts w:hint="eastAsia" w:ascii="宋体" w:hAnsi="宋体" w:cs="宋体"/>
                <w:szCs w:val="21"/>
                <w:highlight w:val="none"/>
              </w:rPr>
              <w:t>是否接受联合体投标</w:t>
            </w:r>
          </w:p>
        </w:tc>
        <w:tc>
          <w:tcPr>
            <w:tcW w:w="6872" w:type="dxa"/>
            <w:tcBorders>
              <w:top w:val="single" w:color="auto" w:sz="4" w:space="0"/>
              <w:left w:val="single" w:color="auto" w:sz="4" w:space="0"/>
              <w:bottom w:val="single" w:color="auto" w:sz="4" w:space="0"/>
              <w:right w:val="single" w:color="auto" w:sz="4" w:space="0"/>
            </w:tcBorders>
            <w:noWrap/>
            <w:vAlign w:val="center"/>
          </w:tcPr>
          <w:p w14:paraId="78A1B90F">
            <w:pPr>
              <w:pStyle w:val="10"/>
              <w:spacing w:line="360" w:lineRule="exact"/>
              <w:jc w:val="both"/>
              <w:rPr>
                <w:rFonts w:ascii="宋体" w:hAnsi="宋体" w:cs="宋体"/>
                <w:szCs w:val="21"/>
                <w:highlight w:val="none"/>
              </w:rPr>
            </w:pPr>
            <w:bookmarkStart w:id="79" w:name="PO_3000001867_PM007_1"/>
            <w:r>
              <w:rPr>
                <w:rFonts w:hint="eastAsia" w:ascii="宋体" w:hAnsi="宋体" w:cs="宋体"/>
                <w:szCs w:val="21"/>
                <w:highlight w:val="none"/>
              </w:rPr>
              <w:t>详见招标公告</w:t>
            </w:r>
            <w:bookmarkEnd w:id="79"/>
            <w:r>
              <w:rPr>
                <w:rFonts w:hint="eastAsia" w:ascii="宋体" w:hAnsi="宋体" w:cs="宋体"/>
                <w:szCs w:val="21"/>
                <w:highlight w:val="none"/>
              </w:rPr>
              <w:t>。</w:t>
            </w:r>
          </w:p>
        </w:tc>
      </w:tr>
      <w:tr w14:paraId="6A4F58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6595DFF">
            <w:pPr>
              <w:spacing w:line="360" w:lineRule="exact"/>
              <w:rPr>
                <w:rFonts w:ascii="宋体" w:hAnsi="宋体" w:cs="宋体"/>
                <w:szCs w:val="21"/>
                <w:highlight w:val="none"/>
              </w:rPr>
            </w:pPr>
            <w:r>
              <w:rPr>
                <w:rFonts w:hint="eastAsia" w:ascii="宋体" w:hAnsi="宋体" w:cs="宋体"/>
                <w:szCs w:val="21"/>
                <w:highlight w:val="none"/>
              </w:rPr>
              <w:t>6.2</w:t>
            </w:r>
          </w:p>
        </w:tc>
        <w:tc>
          <w:tcPr>
            <w:tcW w:w="2083" w:type="dxa"/>
            <w:tcBorders>
              <w:top w:val="single" w:color="auto" w:sz="4" w:space="0"/>
              <w:left w:val="single" w:color="auto" w:sz="4" w:space="0"/>
              <w:bottom w:val="single" w:color="auto" w:sz="4" w:space="0"/>
              <w:right w:val="single" w:color="auto" w:sz="4" w:space="0"/>
            </w:tcBorders>
            <w:noWrap/>
            <w:vAlign w:val="center"/>
          </w:tcPr>
          <w:p w14:paraId="6E32F43F">
            <w:pPr>
              <w:spacing w:line="360" w:lineRule="exact"/>
              <w:rPr>
                <w:rFonts w:ascii="宋体" w:hAnsi="宋体" w:cs="宋体"/>
                <w:szCs w:val="21"/>
                <w:highlight w:val="none"/>
              </w:rPr>
            </w:pPr>
            <w:r>
              <w:rPr>
                <w:rFonts w:hint="eastAsia" w:ascii="宋体" w:hAnsi="宋体" w:cs="宋体"/>
                <w:szCs w:val="21"/>
                <w:highlight w:val="none"/>
              </w:rPr>
              <w:t>联合体投标要求</w:t>
            </w:r>
          </w:p>
        </w:tc>
        <w:tc>
          <w:tcPr>
            <w:tcW w:w="6872" w:type="dxa"/>
            <w:tcBorders>
              <w:top w:val="single" w:color="auto" w:sz="4" w:space="0"/>
              <w:left w:val="single" w:color="auto" w:sz="4" w:space="0"/>
              <w:bottom w:val="single" w:color="auto" w:sz="4" w:space="0"/>
              <w:right w:val="single" w:color="auto" w:sz="4" w:space="0"/>
            </w:tcBorders>
            <w:noWrap/>
            <w:vAlign w:val="center"/>
          </w:tcPr>
          <w:p w14:paraId="64643400">
            <w:pPr>
              <w:rPr>
                <w:rFonts w:ascii="宋体" w:hAnsi="宋体" w:cs="宋体"/>
                <w:szCs w:val="21"/>
                <w:highlight w:val="none"/>
              </w:rPr>
            </w:pPr>
            <w:r>
              <w:rPr>
                <w:rFonts w:hint="eastAsia" w:ascii="宋体" w:hAnsi="宋体" w:cs="Arial"/>
                <w:highlight w:val="none"/>
              </w:rPr>
              <w:t>本项目不接受联合体投标</w:t>
            </w:r>
          </w:p>
        </w:tc>
      </w:tr>
      <w:tr w14:paraId="3B9B6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4986568">
            <w:pPr>
              <w:spacing w:line="360" w:lineRule="exact"/>
              <w:rPr>
                <w:rFonts w:ascii="宋体" w:hAnsi="宋体" w:cs="宋体"/>
                <w:szCs w:val="21"/>
                <w:highlight w:val="none"/>
              </w:rPr>
            </w:pPr>
            <w:r>
              <w:rPr>
                <w:rFonts w:hint="eastAsia" w:ascii="宋体" w:hAnsi="宋体" w:cs="宋体"/>
                <w:szCs w:val="21"/>
                <w:highlight w:val="none"/>
              </w:rPr>
              <w:t>7.2</w:t>
            </w:r>
          </w:p>
        </w:tc>
        <w:tc>
          <w:tcPr>
            <w:tcW w:w="2083" w:type="dxa"/>
            <w:tcBorders>
              <w:top w:val="single" w:color="auto" w:sz="4" w:space="0"/>
              <w:left w:val="single" w:color="auto" w:sz="4" w:space="0"/>
              <w:bottom w:val="single" w:color="auto" w:sz="4" w:space="0"/>
              <w:right w:val="single" w:color="auto" w:sz="4" w:space="0"/>
            </w:tcBorders>
            <w:noWrap/>
            <w:vAlign w:val="center"/>
          </w:tcPr>
          <w:p w14:paraId="24354606">
            <w:pPr>
              <w:spacing w:line="360" w:lineRule="exact"/>
              <w:rPr>
                <w:rFonts w:ascii="宋体" w:hAnsi="宋体" w:cs="宋体"/>
                <w:szCs w:val="21"/>
                <w:highlight w:val="none"/>
              </w:rPr>
            </w:pPr>
            <w:r>
              <w:rPr>
                <w:rFonts w:hint="eastAsia" w:ascii="宋体" w:hAnsi="宋体" w:cs="宋体"/>
                <w:szCs w:val="21"/>
                <w:highlight w:val="none"/>
              </w:rPr>
              <w:t>是否允许分包</w:t>
            </w:r>
          </w:p>
        </w:tc>
        <w:tc>
          <w:tcPr>
            <w:tcW w:w="6872" w:type="dxa"/>
            <w:tcBorders>
              <w:top w:val="single" w:color="auto" w:sz="4" w:space="0"/>
              <w:left w:val="single" w:color="auto" w:sz="4" w:space="0"/>
              <w:bottom w:val="single" w:color="auto" w:sz="4" w:space="0"/>
              <w:right w:val="single" w:color="auto" w:sz="4" w:space="0"/>
            </w:tcBorders>
            <w:noWrap/>
            <w:vAlign w:val="center"/>
          </w:tcPr>
          <w:p w14:paraId="6E3A37BB">
            <w:pPr>
              <w:pStyle w:val="10"/>
              <w:spacing w:line="360" w:lineRule="exact"/>
              <w:rPr>
                <w:rFonts w:ascii="宋体" w:hAnsi="宋体" w:cs="宋体"/>
                <w:szCs w:val="21"/>
                <w:highlight w:val="none"/>
              </w:rPr>
            </w:pPr>
            <w:bookmarkStart w:id="80" w:name="PO_3000001871_PM044"/>
            <w:bookmarkStart w:id="81" w:name="PO_3000001867_PM044"/>
            <w:r>
              <w:rPr>
                <w:rFonts w:hint="eastAsia" w:asciiTheme="minorEastAsia" w:hAnsiTheme="minorEastAsia" w:eastAsiaTheme="minorEastAsia" w:cstheme="minorEastAsia"/>
                <w:szCs w:val="21"/>
                <w:highlight w:val="none"/>
              </w:rPr>
              <w:t>不允许分包</w:t>
            </w:r>
            <w:bookmarkEnd w:id="80"/>
            <w:r>
              <w:rPr>
                <w:rFonts w:hint="eastAsia" w:asciiTheme="minorEastAsia" w:hAnsiTheme="minorEastAsia" w:eastAsiaTheme="minorEastAsia" w:cstheme="minorEastAsia"/>
                <w:szCs w:val="21"/>
                <w:highlight w:val="none"/>
              </w:rPr>
              <w:t>。</w:t>
            </w:r>
            <w:bookmarkEnd w:id="81"/>
          </w:p>
        </w:tc>
      </w:tr>
      <w:tr w14:paraId="29486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F8839C5">
            <w:pPr>
              <w:spacing w:line="360" w:lineRule="exact"/>
              <w:rPr>
                <w:rFonts w:ascii="宋体" w:hAnsi="宋体" w:cs="宋体"/>
                <w:szCs w:val="21"/>
                <w:highlight w:val="none"/>
              </w:rPr>
            </w:pPr>
            <w:r>
              <w:rPr>
                <w:rFonts w:hint="eastAsia" w:ascii="宋体" w:hAnsi="宋体" w:cs="宋体"/>
                <w:szCs w:val="21"/>
                <w:highlight w:val="none"/>
              </w:rPr>
              <w:t>8.4</w:t>
            </w:r>
          </w:p>
        </w:tc>
        <w:tc>
          <w:tcPr>
            <w:tcW w:w="2083" w:type="dxa"/>
            <w:tcBorders>
              <w:top w:val="single" w:color="auto" w:sz="4" w:space="0"/>
              <w:left w:val="single" w:color="auto" w:sz="4" w:space="0"/>
              <w:right w:val="single" w:color="auto" w:sz="4" w:space="0"/>
            </w:tcBorders>
            <w:noWrap/>
            <w:vAlign w:val="center"/>
          </w:tcPr>
          <w:p w14:paraId="5E0DD012">
            <w:pPr>
              <w:spacing w:line="360" w:lineRule="exact"/>
              <w:rPr>
                <w:rFonts w:ascii="宋体" w:hAnsi="宋体" w:cs="宋体"/>
                <w:szCs w:val="21"/>
                <w:highlight w:val="none"/>
              </w:rPr>
            </w:pPr>
            <w:r>
              <w:rPr>
                <w:rFonts w:hint="eastAsia" w:ascii="宋体" w:hAnsi="宋体" w:cs="宋体"/>
                <w:szCs w:val="21"/>
                <w:highlight w:val="none"/>
              </w:rPr>
              <w:t>提供相同品牌产品且通过资格审查、符合性审查的不同投标人参加同一合同项下投标的获得参加评标资格的投标人或获得中标人推荐资格的确定方式</w:t>
            </w:r>
          </w:p>
        </w:tc>
        <w:tc>
          <w:tcPr>
            <w:tcW w:w="6872" w:type="dxa"/>
            <w:tcBorders>
              <w:top w:val="single" w:color="auto" w:sz="4" w:space="0"/>
              <w:left w:val="single" w:color="auto" w:sz="4" w:space="0"/>
              <w:right w:val="single" w:color="auto" w:sz="4" w:space="0"/>
            </w:tcBorders>
            <w:noWrap/>
            <w:vAlign w:val="center"/>
          </w:tcPr>
          <w:p w14:paraId="1B8F500A">
            <w:pPr>
              <w:pStyle w:val="14"/>
              <w:spacing w:line="360" w:lineRule="auto"/>
              <w:ind w:firstLine="316"/>
              <w:rPr>
                <w:rFonts w:hAnsi="宋体" w:cs="宋体"/>
                <w:szCs w:val="21"/>
                <w:highlight w:val="none"/>
              </w:rPr>
            </w:pPr>
            <w:r>
              <w:rPr>
                <w:rFonts w:hint="eastAsia" w:hAnsi="宋体" w:cs="宋体"/>
                <w:b/>
                <w:bCs/>
                <w:szCs w:val="21"/>
                <w:highlight w:val="none"/>
              </w:rPr>
              <w:t>采用综合评分法，</w:t>
            </w:r>
            <w:r>
              <w:rPr>
                <w:rFonts w:hint="eastAsia" w:hAnsi="宋体" w:cs="宋体"/>
                <w:szCs w:val="21"/>
                <w:highlight w:val="none"/>
              </w:rPr>
              <w:t>评审得分相同的，以投标报价由低到高顺序排列。得分相同且投标报价相同的，依次按技术评分高优先、商务评分高优先顺序排列，</w:t>
            </w:r>
            <w:r>
              <w:rPr>
                <w:rFonts w:hint="eastAsia" w:hAnsi="宋体" w:cs="宋体"/>
                <w:highlight w:val="none"/>
              </w:rPr>
              <w:t>均相同时，由采购人随机抽取。</w:t>
            </w:r>
          </w:p>
        </w:tc>
      </w:tr>
      <w:tr w14:paraId="14F31F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20666DF">
            <w:pPr>
              <w:spacing w:line="360" w:lineRule="exact"/>
              <w:rPr>
                <w:rFonts w:ascii="宋体" w:hAnsi="宋体" w:cs="宋体"/>
                <w:szCs w:val="21"/>
                <w:highlight w:val="none"/>
              </w:rPr>
            </w:pPr>
            <w:r>
              <w:rPr>
                <w:rFonts w:hint="eastAsia" w:ascii="宋体" w:hAnsi="宋体" w:cs="宋体"/>
                <w:szCs w:val="21"/>
                <w:highlight w:val="none"/>
              </w:rPr>
              <w:t>11.4</w:t>
            </w:r>
          </w:p>
        </w:tc>
        <w:tc>
          <w:tcPr>
            <w:tcW w:w="2083" w:type="dxa"/>
            <w:tcBorders>
              <w:top w:val="single" w:color="auto" w:sz="4" w:space="0"/>
              <w:left w:val="single" w:color="auto" w:sz="4" w:space="0"/>
              <w:bottom w:val="single" w:color="auto" w:sz="4" w:space="0"/>
              <w:right w:val="single" w:color="auto" w:sz="4" w:space="0"/>
            </w:tcBorders>
            <w:noWrap/>
            <w:vAlign w:val="center"/>
          </w:tcPr>
          <w:p w14:paraId="256ABC64">
            <w:pPr>
              <w:spacing w:line="360" w:lineRule="exact"/>
              <w:rPr>
                <w:rFonts w:ascii="宋体" w:hAnsi="宋体" w:cs="宋体"/>
                <w:szCs w:val="21"/>
                <w:highlight w:val="none"/>
              </w:rPr>
            </w:pPr>
            <w:r>
              <w:rPr>
                <w:rFonts w:hint="eastAsia" w:ascii="宋体" w:hAnsi="宋体" w:cs="宋体"/>
                <w:szCs w:val="21"/>
                <w:highlight w:val="none"/>
              </w:rPr>
              <w:t>媒体发布渠道</w:t>
            </w:r>
          </w:p>
        </w:tc>
        <w:tc>
          <w:tcPr>
            <w:tcW w:w="6872" w:type="dxa"/>
            <w:tcBorders>
              <w:top w:val="single" w:color="auto" w:sz="4" w:space="0"/>
              <w:left w:val="single" w:color="auto" w:sz="4" w:space="0"/>
              <w:bottom w:val="single" w:color="auto" w:sz="4" w:space="0"/>
              <w:right w:val="single" w:color="auto" w:sz="4" w:space="0"/>
            </w:tcBorders>
            <w:noWrap/>
            <w:vAlign w:val="center"/>
          </w:tcPr>
          <w:p w14:paraId="2C185C65">
            <w:pPr>
              <w:spacing w:line="360" w:lineRule="exact"/>
              <w:rPr>
                <w:rFonts w:ascii="宋体" w:hAnsi="宋体" w:cs="宋体"/>
                <w:szCs w:val="21"/>
                <w:highlight w:val="none"/>
              </w:rPr>
            </w:pPr>
            <w:r>
              <w:rPr>
                <w:rFonts w:hint="eastAsia" w:ascii="宋体" w:hAnsi="宋体" w:cs="宋体"/>
                <w:szCs w:val="21"/>
                <w:highlight w:val="none"/>
              </w:rPr>
              <w:t>与本项目相关的政府采购业务澄清、更正及与之相关的事项将在招标公告中“六、其他补充事宜”中网上查询地址上发布</w:t>
            </w:r>
            <w:r>
              <w:rPr>
                <w:rFonts w:hint="eastAsia" w:ascii="宋体" w:hAnsi="宋体" w:cs="宋体"/>
                <w:kern w:val="0"/>
                <w:szCs w:val="21"/>
                <w:highlight w:val="none"/>
              </w:rPr>
              <w:t>。</w:t>
            </w:r>
          </w:p>
        </w:tc>
      </w:tr>
      <w:tr w14:paraId="68E01A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007C220A">
            <w:pPr>
              <w:spacing w:line="360" w:lineRule="exact"/>
              <w:rPr>
                <w:rFonts w:ascii="宋体" w:hAnsi="宋体" w:cs="宋体"/>
                <w:szCs w:val="21"/>
                <w:highlight w:val="none"/>
              </w:rPr>
            </w:pPr>
            <w:r>
              <w:rPr>
                <w:rFonts w:hint="eastAsia" w:ascii="宋体" w:hAnsi="宋体" w:cs="宋体"/>
                <w:szCs w:val="21"/>
                <w:highlight w:val="none"/>
              </w:rPr>
              <w:t>11.5</w:t>
            </w:r>
          </w:p>
        </w:tc>
        <w:tc>
          <w:tcPr>
            <w:tcW w:w="2083" w:type="dxa"/>
            <w:tcBorders>
              <w:top w:val="single" w:color="auto" w:sz="4" w:space="0"/>
              <w:left w:val="single" w:color="auto" w:sz="4" w:space="0"/>
              <w:bottom w:val="single" w:color="auto" w:sz="4" w:space="0"/>
              <w:right w:val="single" w:color="auto" w:sz="4" w:space="0"/>
            </w:tcBorders>
            <w:noWrap/>
            <w:vAlign w:val="center"/>
          </w:tcPr>
          <w:p w14:paraId="477FBD56">
            <w:pPr>
              <w:spacing w:line="360" w:lineRule="exact"/>
              <w:rPr>
                <w:rFonts w:ascii="宋体" w:hAnsi="宋体" w:cs="宋体"/>
                <w:szCs w:val="21"/>
                <w:highlight w:val="none"/>
              </w:rPr>
            </w:pPr>
            <w:r>
              <w:rPr>
                <w:rFonts w:hint="eastAsia" w:ascii="宋体" w:hAnsi="宋体" w:cs="宋体"/>
                <w:szCs w:val="21"/>
                <w:highlight w:val="none"/>
              </w:rPr>
              <w:t>是否组织标前答疑会</w:t>
            </w:r>
          </w:p>
        </w:tc>
        <w:tc>
          <w:tcPr>
            <w:tcW w:w="6872" w:type="dxa"/>
            <w:tcBorders>
              <w:top w:val="single" w:color="auto" w:sz="4" w:space="0"/>
              <w:left w:val="single" w:color="auto" w:sz="4" w:space="0"/>
              <w:bottom w:val="single" w:color="auto" w:sz="4" w:space="0"/>
              <w:right w:val="single" w:color="auto" w:sz="4" w:space="0"/>
            </w:tcBorders>
            <w:noWrap/>
            <w:vAlign w:val="center"/>
          </w:tcPr>
          <w:p w14:paraId="45DCC706">
            <w:pPr>
              <w:snapToGrid w:val="0"/>
              <w:spacing w:line="360" w:lineRule="exact"/>
              <w:rPr>
                <w:rFonts w:ascii="宋体" w:hAnsi="宋体" w:cs="宋体"/>
                <w:szCs w:val="21"/>
                <w:highlight w:val="none"/>
                <w:u w:val="single"/>
              </w:rPr>
            </w:pPr>
            <w:r>
              <w:rPr>
                <w:rFonts w:hint="eastAsia" w:ascii="宋体" w:hAnsi="宋体" w:cs="宋体"/>
                <w:szCs w:val="21"/>
                <w:highlight w:val="none"/>
              </w:rPr>
              <w:t>不组织召开开标前答疑会</w:t>
            </w:r>
          </w:p>
        </w:tc>
      </w:tr>
      <w:tr w14:paraId="62142B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nil"/>
              <w:left w:val="single" w:color="auto" w:sz="4" w:space="0"/>
              <w:bottom w:val="nil"/>
              <w:right w:val="single" w:color="auto" w:sz="4" w:space="0"/>
            </w:tcBorders>
            <w:noWrap/>
            <w:vAlign w:val="center"/>
          </w:tcPr>
          <w:p w14:paraId="7A225CDF">
            <w:pPr>
              <w:spacing w:line="360" w:lineRule="exact"/>
              <w:rPr>
                <w:rFonts w:ascii="宋体" w:hAnsi="宋体" w:cs="宋体"/>
                <w:szCs w:val="21"/>
                <w:highlight w:val="none"/>
              </w:rPr>
            </w:pPr>
            <w:r>
              <w:rPr>
                <w:rFonts w:hint="eastAsia" w:ascii="宋体" w:hAnsi="宋体" w:cs="宋体"/>
                <w:szCs w:val="21"/>
                <w:highlight w:val="none"/>
              </w:rPr>
              <w:t>13.1</w:t>
            </w:r>
          </w:p>
        </w:tc>
        <w:tc>
          <w:tcPr>
            <w:tcW w:w="2083" w:type="dxa"/>
            <w:tcBorders>
              <w:top w:val="single" w:color="auto" w:sz="4" w:space="0"/>
              <w:left w:val="single" w:color="auto" w:sz="4" w:space="0"/>
              <w:bottom w:val="single" w:color="auto" w:sz="4" w:space="0"/>
              <w:right w:val="single" w:color="auto" w:sz="4" w:space="0"/>
            </w:tcBorders>
            <w:noWrap/>
            <w:vAlign w:val="center"/>
          </w:tcPr>
          <w:p w14:paraId="0F96D9AF">
            <w:pPr>
              <w:snapToGrid w:val="0"/>
              <w:spacing w:line="360" w:lineRule="exact"/>
              <w:jc w:val="left"/>
              <w:rPr>
                <w:rFonts w:ascii="宋体" w:hAnsi="宋体" w:cs="宋体"/>
                <w:szCs w:val="21"/>
                <w:highlight w:val="none"/>
              </w:rPr>
            </w:pPr>
            <w:bookmarkStart w:id="82" w:name="_13.2"/>
            <w:bookmarkEnd w:id="82"/>
            <w:r>
              <w:rPr>
                <w:rFonts w:hint="eastAsia" w:ascii="宋体" w:hAnsi="宋体" w:cs="宋体"/>
                <w:szCs w:val="21"/>
                <w:highlight w:val="none"/>
              </w:rPr>
              <w:t>资格证明文件组成</w:t>
            </w:r>
          </w:p>
        </w:tc>
        <w:tc>
          <w:tcPr>
            <w:tcW w:w="6872" w:type="dxa"/>
            <w:tcBorders>
              <w:top w:val="single" w:color="auto" w:sz="4" w:space="0"/>
              <w:left w:val="single" w:color="auto" w:sz="4" w:space="0"/>
              <w:bottom w:val="single" w:color="auto" w:sz="4" w:space="0"/>
              <w:right w:val="single" w:color="auto" w:sz="4" w:space="0"/>
            </w:tcBorders>
            <w:noWrap/>
            <w:vAlign w:val="center"/>
          </w:tcPr>
          <w:p w14:paraId="4DF2F6CD">
            <w:pPr>
              <w:snapToGrid w:val="0"/>
              <w:spacing w:line="360" w:lineRule="auto"/>
              <w:jc w:val="left"/>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w:t>
            </w:r>
            <w:r>
              <w:rPr>
                <w:rFonts w:hint="eastAsia" w:ascii="宋体" w:hAnsi="宋体" w:cs="宋体"/>
                <w:szCs w:val="21"/>
                <w:highlight w:val="none"/>
              </w:rPr>
              <w:t>投标人为法人或者其他组织的，提供营业执照等证明文件复印件（如营业执照或者事业单位法人证书或者执业许可证等），投标人为自然人的，提供有效身份证正反面复印件。（</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47624353">
            <w:pPr>
              <w:snapToGrid w:val="0"/>
              <w:spacing w:line="360" w:lineRule="auto"/>
              <w:jc w:val="left"/>
              <w:rPr>
                <w:rFonts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rPr>
              <w:t>投标人依法缴纳税收的相关材料（提供税款所属时期为2024年</w:t>
            </w:r>
            <w:r>
              <w:rPr>
                <w:rFonts w:hint="eastAsia" w:ascii="宋体" w:hAnsi="宋体" w:cs="宋体"/>
                <w:szCs w:val="21"/>
                <w:highlight w:val="none"/>
                <w:lang w:val="en-US" w:eastAsia="zh-CN"/>
              </w:rPr>
              <w:t>6</w:t>
            </w:r>
            <w:r>
              <w:rPr>
                <w:rFonts w:hint="eastAsia" w:ascii="宋体" w:hAnsi="宋体" w:cs="宋体"/>
                <w:szCs w:val="21"/>
                <w:highlight w:val="none"/>
              </w:rPr>
              <w:t>月至投标文件提交截止时间止的任意</w:t>
            </w:r>
            <w:r>
              <w:rPr>
                <w:rFonts w:hint="eastAsia" w:ascii="宋体" w:hAnsi="宋体" w:cs="宋体"/>
                <w:szCs w:val="21"/>
                <w:highlight w:val="none"/>
                <w:lang w:eastAsia="zh-CN"/>
              </w:rPr>
              <w:t>连续</w:t>
            </w:r>
            <w:r>
              <w:rPr>
                <w:rFonts w:hint="eastAsia" w:ascii="宋体" w:hAnsi="宋体" w:cs="宋体"/>
                <w:szCs w:val="21"/>
                <w:highlight w:val="none"/>
                <w:lang w:val="en-US" w:eastAsia="zh-CN"/>
              </w:rPr>
              <w:t>3</w:t>
            </w:r>
            <w:r>
              <w:rPr>
                <w:rFonts w:hint="eastAsia" w:ascii="宋体" w:hAnsi="宋体" w:cs="宋体"/>
                <w:szCs w:val="21"/>
                <w:highlight w:val="none"/>
              </w:rPr>
              <w:t>个月的依法缴纳税收的凭据复印件。依法免税的投标人，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0C9C579E">
            <w:pPr>
              <w:snapToGrid w:val="0"/>
              <w:spacing w:line="360" w:lineRule="auto"/>
              <w:jc w:val="left"/>
              <w:rPr>
                <w:rFonts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lang w:eastAsia="zh-CN"/>
              </w:rPr>
              <w:t>.</w:t>
            </w:r>
            <w:r>
              <w:rPr>
                <w:rFonts w:hint="eastAsia" w:ascii="宋体" w:hAnsi="宋体" w:cs="宋体"/>
                <w:szCs w:val="21"/>
                <w:highlight w:val="none"/>
              </w:rPr>
              <w:t>投标人依法缴纳社会保障资金的相关材料（提供税款所属时期或缴费起始时间为2024年</w:t>
            </w:r>
            <w:r>
              <w:rPr>
                <w:rFonts w:hint="eastAsia" w:ascii="宋体" w:hAnsi="宋体" w:cs="宋体"/>
                <w:szCs w:val="21"/>
                <w:highlight w:val="none"/>
                <w:lang w:val="en-US" w:eastAsia="zh-CN"/>
              </w:rPr>
              <w:t>6</w:t>
            </w:r>
            <w:r>
              <w:rPr>
                <w:rFonts w:hint="eastAsia" w:ascii="宋体" w:hAnsi="宋体" w:cs="宋体"/>
                <w:szCs w:val="21"/>
                <w:highlight w:val="none"/>
              </w:rPr>
              <w:t>月至投标文件提交截止时间止的任意</w:t>
            </w:r>
            <w:r>
              <w:rPr>
                <w:rFonts w:hint="eastAsia" w:ascii="宋体" w:hAnsi="宋体" w:cs="宋体"/>
                <w:szCs w:val="21"/>
                <w:highlight w:val="none"/>
                <w:lang w:eastAsia="zh-CN"/>
              </w:rPr>
              <w:t>连续</w:t>
            </w:r>
            <w:r>
              <w:rPr>
                <w:rFonts w:hint="eastAsia" w:ascii="宋体" w:hAnsi="宋体" w:cs="宋体"/>
                <w:szCs w:val="21"/>
                <w:highlight w:val="none"/>
                <w:lang w:val="en-US" w:eastAsia="zh-CN"/>
              </w:rPr>
              <w:t>3</w:t>
            </w:r>
            <w:r>
              <w:rPr>
                <w:rFonts w:hint="eastAsia" w:ascii="宋体" w:hAnsi="宋体" w:cs="宋体"/>
                <w:szCs w:val="21"/>
                <w:highlight w:val="none"/>
              </w:rPr>
              <w:t>个月的依法缴纳社会保障资金的缴费凭证复印件；依法不需要缴纳社会保障资金的投标人，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389B48EA">
            <w:pPr>
              <w:snapToGrid w:val="0"/>
              <w:spacing w:line="360" w:lineRule="auto"/>
              <w:jc w:val="left"/>
              <w:rPr>
                <w:rFonts w:ascii="宋体" w:hAnsi="宋体" w:cs="宋体"/>
                <w:szCs w:val="21"/>
                <w:highlight w:val="none"/>
              </w:rPr>
            </w:pPr>
            <w:r>
              <w:rPr>
                <w:rFonts w:hint="eastAsia" w:ascii="宋体" w:hAnsi="宋体" w:cs="宋体"/>
                <w:szCs w:val="21"/>
                <w:highlight w:val="none"/>
              </w:rPr>
              <w:t>4</w:t>
            </w:r>
            <w:r>
              <w:rPr>
                <w:rFonts w:hint="eastAsia" w:ascii="宋体" w:hAnsi="宋体" w:cs="宋体"/>
                <w:szCs w:val="21"/>
                <w:highlight w:val="none"/>
                <w:lang w:eastAsia="zh-CN"/>
              </w:rPr>
              <w:t>.</w:t>
            </w:r>
            <w:r>
              <w:rPr>
                <w:rFonts w:hint="eastAsia" w:ascii="宋体" w:hAnsi="宋体" w:cs="宋体"/>
                <w:szCs w:val="21"/>
                <w:highlight w:val="none"/>
              </w:rPr>
              <w:t>投标人财务状况报告（提供2023年度财务报告复印件或者投标文件提交截止时间前半年内至少一个月能反映财务状况的报表或者投标人自拟的截标时间前半年内至少一个月的财务情况说明）。（</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1B094751">
            <w:pPr>
              <w:snapToGrid w:val="0"/>
              <w:spacing w:line="360" w:lineRule="auto"/>
              <w:jc w:val="left"/>
              <w:rPr>
                <w:rFonts w:ascii="宋体" w:hAnsi="宋体" w:cs="宋体"/>
                <w:szCs w:val="21"/>
                <w:highlight w:val="none"/>
              </w:rPr>
            </w:pPr>
            <w:r>
              <w:rPr>
                <w:rFonts w:hint="eastAsia" w:ascii="宋体" w:hAnsi="宋体" w:cs="宋体"/>
                <w:szCs w:val="21"/>
                <w:highlight w:val="none"/>
              </w:rPr>
              <w:t>5</w:t>
            </w:r>
            <w:r>
              <w:rPr>
                <w:rFonts w:hint="eastAsia" w:ascii="宋体" w:hAnsi="宋体" w:cs="宋体"/>
                <w:szCs w:val="21"/>
                <w:highlight w:val="none"/>
                <w:lang w:eastAsia="zh-CN"/>
              </w:rPr>
              <w:t>.</w:t>
            </w:r>
            <w:r>
              <w:rPr>
                <w:rFonts w:hint="eastAsia" w:ascii="宋体" w:hAnsi="宋体" w:cs="宋体"/>
                <w:szCs w:val="21"/>
                <w:highlight w:val="none"/>
              </w:rPr>
              <w:t>声明函（格式后附）。（</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1AB6B52A">
            <w:pPr>
              <w:snapToGrid w:val="0"/>
              <w:spacing w:line="360" w:lineRule="auto"/>
              <w:jc w:val="left"/>
              <w:rPr>
                <w:rFonts w:ascii="宋体" w:hAnsi="宋体" w:cs="宋体"/>
                <w:szCs w:val="21"/>
                <w:highlight w:val="none"/>
              </w:rPr>
            </w:pPr>
            <w:r>
              <w:rPr>
                <w:rFonts w:hint="eastAsia" w:ascii="宋体" w:hAnsi="宋体" w:cs="宋体"/>
                <w:szCs w:val="21"/>
                <w:highlight w:val="none"/>
              </w:rPr>
              <w:t>6</w:t>
            </w:r>
            <w:r>
              <w:rPr>
                <w:rFonts w:hint="eastAsia" w:ascii="宋体" w:hAnsi="宋体" w:cs="宋体"/>
                <w:szCs w:val="21"/>
                <w:highlight w:val="none"/>
                <w:lang w:eastAsia="zh-CN"/>
              </w:rPr>
              <w:t>.</w:t>
            </w:r>
            <w:r>
              <w:rPr>
                <w:rFonts w:hint="eastAsia" w:ascii="宋体" w:hAnsi="宋体" w:cs="宋体"/>
                <w:szCs w:val="21"/>
                <w:highlight w:val="none"/>
              </w:rPr>
              <w:t>投标人直接控股股东信息表（格式后附）。（</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00FEE93B">
            <w:pPr>
              <w:snapToGrid w:val="0"/>
              <w:spacing w:line="360" w:lineRule="auto"/>
              <w:jc w:val="left"/>
              <w:rPr>
                <w:rFonts w:ascii="宋体" w:hAnsi="宋体" w:cs="宋体"/>
                <w:szCs w:val="21"/>
                <w:highlight w:val="none"/>
              </w:rPr>
            </w:pPr>
            <w:r>
              <w:rPr>
                <w:rFonts w:hint="eastAsia" w:ascii="宋体" w:hAnsi="宋体" w:cs="宋体"/>
                <w:szCs w:val="21"/>
                <w:highlight w:val="none"/>
              </w:rPr>
              <w:t>7</w:t>
            </w:r>
            <w:bookmarkStart w:id="83" w:name="OLE_LINK92"/>
            <w:r>
              <w:rPr>
                <w:rFonts w:hint="eastAsia" w:ascii="宋体" w:hAnsi="宋体" w:cs="宋体"/>
                <w:szCs w:val="21"/>
                <w:highlight w:val="none"/>
                <w:lang w:eastAsia="zh-CN"/>
              </w:rPr>
              <w:t>.</w:t>
            </w:r>
            <w:r>
              <w:rPr>
                <w:rFonts w:hint="eastAsia" w:ascii="宋体" w:hAnsi="宋体" w:cs="宋体"/>
                <w:szCs w:val="21"/>
                <w:highlight w:val="none"/>
              </w:rPr>
              <w:t>投标人直接管理关系信息表</w:t>
            </w:r>
            <w:bookmarkEnd w:id="83"/>
            <w:r>
              <w:rPr>
                <w:rFonts w:hint="eastAsia" w:ascii="宋体" w:hAnsi="宋体" w:cs="宋体"/>
                <w:szCs w:val="21"/>
                <w:highlight w:val="none"/>
              </w:rPr>
              <w:t>（格式后附）。（</w:t>
            </w:r>
            <w:r>
              <w:rPr>
                <w:rFonts w:hint="eastAsia" w:ascii="宋体" w:hAnsi="宋体" w:cs="宋体"/>
                <w:b/>
                <w:szCs w:val="21"/>
                <w:highlight w:val="none"/>
              </w:rPr>
              <w:t>必须提供，</w:t>
            </w:r>
            <w:bookmarkStart w:id="84" w:name="OLE_LINK190"/>
            <w:r>
              <w:rPr>
                <w:rFonts w:hint="eastAsia" w:ascii="宋体" w:hAnsi="宋体" w:cs="宋体"/>
                <w:b/>
                <w:szCs w:val="21"/>
                <w:highlight w:val="none"/>
              </w:rPr>
              <w:t>否则作无效投标处理</w:t>
            </w:r>
            <w:r>
              <w:rPr>
                <w:rFonts w:hint="eastAsia" w:ascii="宋体" w:hAnsi="宋体" w:cs="宋体"/>
                <w:szCs w:val="21"/>
                <w:highlight w:val="none"/>
              </w:rPr>
              <w:t>）</w:t>
            </w:r>
          </w:p>
          <w:bookmarkEnd w:id="84"/>
          <w:p w14:paraId="7744EA16">
            <w:pPr>
              <w:snapToGrid w:val="0"/>
              <w:spacing w:line="360" w:lineRule="auto"/>
              <w:jc w:val="left"/>
              <w:rPr>
                <w:rFonts w:hint="eastAsia" w:ascii="宋体" w:hAnsi="宋体" w:cs="宋体"/>
                <w:b/>
                <w:bCs/>
                <w:szCs w:val="21"/>
                <w:highlight w:val="none"/>
              </w:rPr>
            </w:pPr>
            <w:r>
              <w:rPr>
                <w:rFonts w:hint="eastAsia" w:ascii="宋体" w:hAnsi="宋体" w:cs="宋体"/>
                <w:szCs w:val="21"/>
                <w:highlight w:val="none"/>
              </w:rPr>
              <w:t>8</w:t>
            </w:r>
            <w:r>
              <w:rPr>
                <w:rFonts w:hint="eastAsia" w:ascii="宋体" w:hAnsi="宋体" w:cs="宋体"/>
                <w:szCs w:val="21"/>
                <w:highlight w:val="none"/>
                <w:lang w:eastAsia="zh-CN"/>
              </w:rPr>
              <w:t>.</w:t>
            </w:r>
            <w:r>
              <w:rPr>
                <w:rFonts w:hint="eastAsia" w:ascii="宋体" w:hAnsi="宋体" w:cs="宋体"/>
                <w:szCs w:val="21"/>
                <w:highlight w:val="none"/>
              </w:rPr>
              <w:t>本项目的特定资格要求材料</w:t>
            </w:r>
            <w:r>
              <w:rPr>
                <w:rFonts w:hint="eastAsia" w:ascii="宋体" w:hAnsi="宋体" w:cs="宋体"/>
                <w:szCs w:val="21"/>
                <w:highlight w:val="none"/>
                <w:lang w:eastAsia="zh-CN"/>
              </w:rPr>
              <w:t>：</w:t>
            </w:r>
            <w:r>
              <w:rPr>
                <w:rFonts w:hint="eastAsia" w:ascii="宋体" w:hAnsi="宋体" w:cs="宋体"/>
                <w:szCs w:val="21"/>
                <w:highlight w:val="none"/>
              </w:rPr>
              <w:t>无 ；</w:t>
            </w:r>
            <w:bookmarkStart w:id="85" w:name="OLE_LINK212"/>
            <w:r>
              <w:rPr>
                <w:rFonts w:hint="eastAsia" w:ascii="宋体" w:hAnsi="宋体" w:cs="宋体"/>
                <w:b/>
                <w:bCs/>
                <w:szCs w:val="21"/>
                <w:highlight w:val="none"/>
              </w:rPr>
              <w:t>（如有要求，则必须提供，否则作无效投标处理）</w:t>
            </w:r>
          </w:p>
          <w:bookmarkEnd w:id="85"/>
          <w:p w14:paraId="39746644">
            <w:pPr>
              <w:snapToGrid w:val="0"/>
              <w:spacing w:line="360" w:lineRule="auto"/>
              <w:jc w:val="left"/>
              <w:rPr>
                <w:rFonts w:ascii="宋体" w:hAnsi="宋体" w:cs="宋体"/>
                <w:szCs w:val="21"/>
                <w:highlight w:val="none"/>
              </w:rPr>
            </w:pPr>
            <w:r>
              <w:rPr>
                <w:rFonts w:hint="eastAsia" w:ascii="宋体" w:hAnsi="宋体" w:cs="宋体"/>
                <w:szCs w:val="21"/>
                <w:highlight w:val="none"/>
              </w:rPr>
              <w:t>9</w:t>
            </w:r>
            <w:r>
              <w:rPr>
                <w:rFonts w:hint="eastAsia" w:ascii="宋体" w:hAnsi="宋体" w:cs="宋体"/>
                <w:szCs w:val="21"/>
                <w:highlight w:val="none"/>
                <w:lang w:eastAsia="zh-CN"/>
              </w:rPr>
              <w:t>.</w:t>
            </w:r>
            <w:r>
              <w:rPr>
                <w:rFonts w:hint="eastAsia" w:ascii="宋体" w:hAnsi="宋体" w:cs="宋体"/>
                <w:szCs w:val="21"/>
                <w:highlight w:val="none"/>
              </w:rPr>
              <w:t>联合体投标协议书（格式后附）。（</w:t>
            </w:r>
            <w:r>
              <w:rPr>
                <w:rFonts w:hint="eastAsia" w:ascii="宋体" w:hAnsi="宋体" w:cs="宋体"/>
                <w:b/>
                <w:szCs w:val="21"/>
                <w:highlight w:val="none"/>
              </w:rPr>
              <w:t>联合体投标时必须提供，否则作无效投标处理</w:t>
            </w:r>
            <w:r>
              <w:rPr>
                <w:rFonts w:hint="eastAsia" w:ascii="宋体" w:hAnsi="宋体" w:cs="宋体"/>
                <w:szCs w:val="21"/>
                <w:highlight w:val="none"/>
              </w:rPr>
              <w:t>）</w:t>
            </w:r>
          </w:p>
          <w:p w14:paraId="25EB9FF6">
            <w:pPr>
              <w:snapToGrid w:val="0"/>
              <w:spacing w:line="360" w:lineRule="auto"/>
              <w:jc w:val="left"/>
              <w:rPr>
                <w:rFonts w:ascii="宋体" w:hAnsi="宋体" w:cs="宋体"/>
                <w:szCs w:val="21"/>
                <w:highlight w:val="none"/>
              </w:rPr>
            </w:pPr>
            <w:r>
              <w:rPr>
                <w:rFonts w:hint="eastAsia" w:ascii="宋体" w:hAnsi="宋体" w:cs="宋体"/>
                <w:szCs w:val="21"/>
                <w:highlight w:val="none"/>
              </w:rPr>
              <w:t>10</w:t>
            </w:r>
            <w:r>
              <w:rPr>
                <w:rFonts w:hint="eastAsia" w:ascii="宋体" w:hAnsi="宋体" w:cs="宋体"/>
                <w:szCs w:val="21"/>
                <w:highlight w:val="none"/>
                <w:lang w:eastAsia="zh-CN"/>
              </w:rPr>
              <w:t>.</w:t>
            </w:r>
            <w:r>
              <w:rPr>
                <w:rFonts w:hint="eastAsia" w:ascii="宋体" w:hAnsi="宋体" w:cs="宋体"/>
                <w:szCs w:val="21"/>
                <w:highlight w:val="none"/>
              </w:rPr>
              <w:t>除招标文件规定必须提供以外，投标人认为需要提供的其他证明材料（格式自拟）。</w:t>
            </w:r>
          </w:p>
          <w:p w14:paraId="24A3F477">
            <w:pPr>
              <w:snapToGrid w:val="0"/>
              <w:spacing w:line="360" w:lineRule="auto"/>
              <w:ind w:firstLine="316"/>
              <w:jc w:val="left"/>
              <w:rPr>
                <w:rFonts w:ascii="宋体" w:hAnsi="宋体" w:cs="宋体"/>
                <w:b/>
                <w:bCs/>
                <w:szCs w:val="21"/>
                <w:highlight w:val="none"/>
              </w:rPr>
            </w:pPr>
            <w:r>
              <w:rPr>
                <w:rFonts w:hint="eastAsia" w:ascii="宋体" w:hAnsi="宋体" w:cs="宋体"/>
                <w:b/>
                <w:bCs/>
                <w:szCs w:val="21"/>
                <w:highlight w:val="none"/>
              </w:rPr>
              <w:t>注：以上标明“必须提供”的材料</w:t>
            </w:r>
            <w:r>
              <w:rPr>
                <w:rFonts w:hint="eastAsia" w:ascii="宋体" w:hAnsi="宋体" w:cs="宋体"/>
                <w:b/>
                <w:szCs w:val="21"/>
                <w:highlight w:val="none"/>
              </w:rPr>
              <w:t>属于</w:t>
            </w:r>
            <w:r>
              <w:rPr>
                <w:rFonts w:hint="eastAsia" w:ascii="宋体" w:hAnsi="宋体" w:cs="宋体"/>
                <w:b/>
                <w:szCs w:val="21"/>
                <w:highlight w:val="none"/>
                <w:lang w:val="en-US" w:eastAsia="zh-CN"/>
              </w:rPr>
              <w:t>原件或</w:t>
            </w:r>
            <w:r>
              <w:rPr>
                <w:rFonts w:hint="eastAsia" w:ascii="宋体" w:hAnsi="宋体" w:cs="宋体"/>
                <w:b/>
                <w:szCs w:val="21"/>
                <w:highlight w:val="none"/>
              </w:rPr>
              <w:t>复印件的扫描件的</w:t>
            </w:r>
            <w:r>
              <w:rPr>
                <w:rFonts w:hint="eastAsia" w:ascii="宋体" w:hAnsi="宋体" w:cs="宋体"/>
                <w:b/>
                <w:bCs/>
                <w:szCs w:val="21"/>
                <w:highlight w:val="none"/>
              </w:rPr>
              <w:t>，必须加盖投标人公章，否则</w:t>
            </w:r>
            <w:r>
              <w:rPr>
                <w:rFonts w:hint="eastAsia" w:ascii="宋体" w:hAnsi="宋体" w:cs="宋体"/>
                <w:b/>
                <w:szCs w:val="21"/>
                <w:highlight w:val="none"/>
              </w:rPr>
              <w:t>作无效投标处理。</w:t>
            </w:r>
          </w:p>
        </w:tc>
      </w:tr>
      <w:tr w14:paraId="2729BC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nil"/>
              <w:left w:val="single" w:color="auto" w:sz="4" w:space="0"/>
              <w:bottom w:val="nil"/>
              <w:right w:val="single" w:color="auto" w:sz="4" w:space="0"/>
            </w:tcBorders>
            <w:noWrap/>
            <w:vAlign w:val="center"/>
          </w:tcPr>
          <w:p w14:paraId="06743A64">
            <w:pPr>
              <w:spacing w:line="360" w:lineRule="exac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04E9B62E">
            <w:pPr>
              <w:snapToGrid w:val="0"/>
              <w:spacing w:line="360" w:lineRule="exact"/>
              <w:jc w:val="left"/>
              <w:rPr>
                <w:rFonts w:ascii="宋体" w:hAnsi="宋体" w:cs="宋体"/>
                <w:szCs w:val="21"/>
                <w:highlight w:val="none"/>
              </w:rPr>
            </w:pPr>
            <w:bookmarkStart w:id="86" w:name="_13.3"/>
            <w:bookmarkEnd w:id="86"/>
            <w:r>
              <w:rPr>
                <w:rFonts w:hint="eastAsia" w:ascii="宋体" w:hAnsi="宋体" w:cs="宋体"/>
                <w:szCs w:val="21"/>
                <w:highlight w:val="none"/>
              </w:rPr>
              <w:t>商务文件组成</w:t>
            </w:r>
          </w:p>
        </w:tc>
        <w:tc>
          <w:tcPr>
            <w:tcW w:w="6872" w:type="dxa"/>
            <w:tcBorders>
              <w:top w:val="single" w:color="auto" w:sz="4" w:space="0"/>
              <w:left w:val="single" w:color="auto" w:sz="4" w:space="0"/>
              <w:bottom w:val="single" w:color="auto" w:sz="4" w:space="0"/>
              <w:right w:val="single" w:color="auto" w:sz="4" w:space="0"/>
            </w:tcBorders>
            <w:noWrap/>
            <w:vAlign w:val="center"/>
          </w:tcPr>
          <w:p w14:paraId="75FD2980">
            <w:pPr>
              <w:snapToGrid w:val="0"/>
              <w:spacing w:line="360" w:lineRule="auto"/>
              <w:jc w:val="left"/>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w:t>
            </w:r>
            <w:r>
              <w:rPr>
                <w:rFonts w:hint="eastAsia" w:ascii="宋体" w:hAnsi="宋体" w:cs="宋体"/>
                <w:szCs w:val="21"/>
                <w:highlight w:val="none"/>
              </w:rPr>
              <w:t>无串通投标行为的承诺函（格式后附）。（</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4FF66D66">
            <w:pPr>
              <w:snapToGrid w:val="0"/>
              <w:spacing w:line="360" w:lineRule="auto"/>
              <w:jc w:val="left"/>
              <w:rPr>
                <w:rFonts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rPr>
              <w:t>法定代表人身份证明及法定代表人有效身份证正反面复印件（格式后附）。（</w:t>
            </w:r>
            <w:r>
              <w:rPr>
                <w:rFonts w:hint="eastAsia" w:ascii="宋体" w:hAnsi="宋体" w:cs="宋体"/>
                <w:b/>
                <w:bCs/>
                <w:szCs w:val="21"/>
                <w:highlight w:val="none"/>
              </w:rPr>
              <w:t>除自然人投标外</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04EBE89D">
            <w:pPr>
              <w:snapToGrid w:val="0"/>
              <w:spacing w:line="360" w:lineRule="auto"/>
              <w:jc w:val="left"/>
              <w:rPr>
                <w:rFonts w:ascii="宋体" w:hAnsi="宋体" w:cs="宋体"/>
                <w:szCs w:val="21"/>
                <w:highlight w:val="none"/>
              </w:rPr>
            </w:pPr>
            <w:r>
              <w:rPr>
                <w:rFonts w:hint="eastAsia" w:ascii="宋体" w:hAnsi="宋体" w:cs="宋体"/>
                <w:szCs w:val="21"/>
                <w:highlight w:val="none"/>
              </w:rPr>
              <w:t>3</w:t>
            </w:r>
            <w:r>
              <w:rPr>
                <w:rFonts w:hint="eastAsia" w:ascii="宋体" w:hAnsi="宋体" w:cs="宋体"/>
                <w:szCs w:val="21"/>
                <w:highlight w:val="none"/>
                <w:lang w:eastAsia="zh-CN"/>
              </w:rPr>
              <w:t>.</w:t>
            </w:r>
            <w:r>
              <w:rPr>
                <w:rFonts w:hint="eastAsia" w:ascii="宋体" w:hAnsi="宋体" w:cs="宋体"/>
                <w:szCs w:val="21"/>
                <w:highlight w:val="none"/>
              </w:rPr>
              <w:t>法定代表人授权委托书及委托代理人有效身份证正反面复印件（格式后附）。（</w:t>
            </w:r>
            <w:r>
              <w:rPr>
                <w:rFonts w:hint="eastAsia" w:ascii="宋体" w:hAnsi="宋体" w:cs="宋体"/>
                <w:b/>
                <w:szCs w:val="21"/>
                <w:highlight w:val="none"/>
              </w:rPr>
              <w:t>委托时必须提供，否则作无效投标处理</w:t>
            </w:r>
            <w:r>
              <w:rPr>
                <w:rFonts w:hint="eastAsia" w:ascii="宋体" w:hAnsi="宋体" w:cs="宋体"/>
                <w:szCs w:val="21"/>
                <w:highlight w:val="none"/>
              </w:rPr>
              <w:t>）</w:t>
            </w:r>
          </w:p>
          <w:p w14:paraId="47D982DD">
            <w:pPr>
              <w:snapToGrid w:val="0"/>
              <w:spacing w:line="360" w:lineRule="auto"/>
              <w:jc w:val="left"/>
              <w:rPr>
                <w:rFonts w:ascii="宋体" w:hAnsi="宋体" w:cs="宋体"/>
                <w:szCs w:val="21"/>
                <w:highlight w:val="none"/>
              </w:rPr>
            </w:pPr>
            <w:r>
              <w:rPr>
                <w:rFonts w:hint="eastAsia" w:ascii="宋体" w:hAnsi="宋体" w:cs="宋体"/>
                <w:szCs w:val="21"/>
                <w:highlight w:val="none"/>
              </w:rPr>
              <w:t>4</w:t>
            </w:r>
            <w:r>
              <w:rPr>
                <w:rFonts w:hint="eastAsia" w:ascii="宋体" w:hAnsi="宋体" w:cs="宋体"/>
                <w:szCs w:val="21"/>
                <w:highlight w:val="none"/>
                <w:lang w:eastAsia="zh-CN"/>
              </w:rPr>
              <w:t>.</w:t>
            </w:r>
            <w:r>
              <w:rPr>
                <w:rFonts w:hint="eastAsia" w:ascii="宋体" w:hAnsi="宋体" w:cs="宋体"/>
                <w:szCs w:val="21"/>
                <w:highlight w:val="none"/>
              </w:rPr>
              <w:t>商务条款偏离表（格式后附）。（</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42091921">
            <w:pPr>
              <w:snapToGrid w:val="0"/>
              <w:spacing w:line="360" w:lineRule="auto"/>
              <w:jc w:val="left"/>
              <w:rPr>
                <w:rFonts w:ascii="宋体" w:hAnsi="宋体" w:cs="宋体"/>
                <w:szCs w:val="21"/>
                <w:highlight w:val="none"/>
              </w:rPr>
            </w:pPr>
            <w:r>
              <w:rPr>
                <w:rFonts w:hint="eastAsia" w:ascii="宋体" w:hAnsi="宋体" w:cs="宋体"/>
                <w:szCs w:val="21"/>
                <w:highlight w:val="none"/>
              </w:rPr>
              <w:t>5</w:t>
            </w:r>
            <w:r>
              <w:rPr>
                <w:rFonts w:hint="eastAsia" w:ascii="宋体" w:hAnsi="宋体" w:cs="宋体"/>
                <w:szCs w:val="21"/>
                <w:highlight w:val="none"/>
                <w:lang w:eastAsia="zh-CN"/>
              </w:rPr>
              <w:t>.</w:t>
            </w:r>
            <w:r>
              <w:rPr>
                <w:rFonts w:hint="eastAsia" w:ascii="宋体" w:hAnsi="宋体" w:cs="宋体"/>
                <w:szCs w:val="21"/>
                <w:highlight w:val="none"/>
              </w:rPr>
              <w:t>投标保证金的缴纳材料（格式自拟）。（</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64A722E5">
            <w:pPr>
              <w:snapToGrid w:val="0"/>
              <w:spacing w:line="360" w:lineRule="auto"/>
              <w:jc w:val="left"/>
              <w:rPr>
                <w:rFonts w:ascii="宋体" w:hAnsi="宋体" w:cs="宋体"/>
                <w:szCs w:val="21"/>
                <w:highlight w:val="none"/>
              </w:rPr>
            </w:pPr>
            <w:r>
              <w:rPr>
                <w:rFonts w:hint="eastAsia" w:ascii="宋体" w:hAnsi="宋体" w:cs="宋体"/>
                <w:szCs w:val="21"/>
                <w:highlight w:val="none"/>
              </w:rPr>
              <w:t>6</w:t>
            </w:r>
            <w:r>
              <w:rPr>
                <w:rFonts w:hint="eastAsia" w:ascii="宋体" w:hAnsi="宋体" w:cs="宋体"/>
                <w:szCs w:val="21"/>
                <w:highlight w:val="none"/>
                <w:lang w:eastAsia="zh-CN"/>
              </w:rPr>
              <w:t>.</w:t>
            </w:r>
            <w:r>
              <w:rPr>
                <w:rFonts w:hint="eastAsia" w:ascii="宋体" w:hAnsi="宋体" w:cs="宋体"/>
                <w:szCs w:val="21"/>
                <w:highlight w:val="none"/>
              </w:rPr>
              <w:t>投标人情况介绍（格式自拟）。</w:t>
            </w:r>
          </w:p>
          <w:p w14:paraId="498363EB">
            <w:pPr>
              <w:snapToGrid w:val="0"/>
              <w:spacing w:line="360" w:lineRule="auto"/>
              <w:jc w:val="left"/>
              <w:rPr>
                <w:rFonts w:ascii="宋体" w:hAnsi="宋体" w:cs="宋体"/>
                <w:szCs w:val="21"/>
                <w:highlight w:val="none"/>
              </w:rPr>
            </w:pPr>
            <w:r>
              <w:rPr>
                <w:rFonts w:hint="eastAsia" w:ascii="宋体" w:hAnsi="宋体" w:cs="宋体"/>
                <w:szCs w:val="21"/>
                <w:highlight w:val="none"/>
              </w:rPr>
              <w:t>7</w:t>
            </w:r>
            <w:r>
              <w:rPr>
                <w:rFonts w:hint="eastAsia" w:ascii="宋体" w:hAnsi="宋体" w:cs="宋体"/>
                <w:szCs w:val="21"/>
                <w:highlight w:val="none"/>
                <w:lang w:eastAsia="zh-CN"/>
              </w:rPr>
              <w:t>.</w:t>
            </w:r>
            <w:r>
              <w:rPr>
                <w:rFonts w:hint="eastAsia" w:ascii="宋体" w:hAnsi="宋体" w:cs="宋体"/>
                <w:szCs w:val="21"/>
                <w:highlight w:val="none"/>
              </w:rPr>
              <w:t>除招标文件规定必须提供以外，投标人认为需要提供的其他证明材料（格式自拟）。</w:t>
            </w:r>
          </w:p>
          <w:p w14:paraId="1F82ADC7">
            <w:pPr>
              <w:snapToGrid w:val="0"/>
              <w:spacing w:line="360" w:lineRule="auto"/>
              <w:ind w:firstLine="316"/>
              <w:jc w:val="left"/>
              <w:rPr>
                <w:rFonts w:ascii="宋体" w:hAnsi="宋体" w:cs="宋体"/>
                <w:b/>
                <w:bCs/>
                <w:szCs w:val="21"/>
                <w:highlight w:val="none"/>
              </w:rPr>
            </w:pPr>
            <w:r>
              <w:rPr>
                <w:rFonts w:hint="eastAsia" w:ascii="宋体" w:hAnsi="宋体" w:cs="宋体"/>
                <w:b/>
                <w:bCs/>
                <w:szCs w:val="21"/>
                <w:highlight w:val="none"/>
              </w:rPr>
              <w:t>注：</w:t>
            </w:r>
            <w:r>
              <w:rPr>
                <w:rFonts w:hint="eastAsia" w:ascii="宋体" w:hAnsi="宋体" w:cs="宋体"/>
                <w:b/>
                <w:bCs/>
                <w:szCs w:val="21"/>
                <w:highlight w:val="none"/>
                <w:lang w:eastAsia="zh-CN"/>
              </w:rPr>
              <w:t>（</w:t>
            </w:r>
            <w:r>
              <w:rPr>
                <w:rFonts w:hint="eastAsia" w:ascii="宋体" w:hAnsi="宋体" w:cs="宋体"/>
                <w:b/>
                <w:bCs/>
                <w:szCs w:val="21"/>
                <w:highlight w:val="none"/>
              </w:rPr>
              <w:t>1</w:t>
            </w:r>
            <w:r>
              <w:rPr>
                <w:rFonts w:hint="eastAsia" w:ascii="宋体" w:hAnsi="宋体" w:cs="宋体"/>
                <w:b/>
                <w:bCs/>
                <w:szCs w:val="21"/>
                <w:highlight w:val="none"/>
                <w:lang w:eastAsia="zh-CN"/>
              </w:rPr>
              <w:t>）</w:t>
            </w:r>
            <w:r>
              <w:rPr>
                <w:rFonts w:hint="eastAsia" w:ascii="宋体" w:hAnsi="宋体" w:cs="宋体"/>
                <w:b/>
                <w:bCs/>
                <w:szCs w:val="21"/>
                <w:highlight w:val="none"/>
              </w:rPr>
              <w:t>法定代表人授权委托书必须由法定代表人及委托代理人签字，并加盖投标人公章，否则作无效投标处理。</w:t>
            </w:r>
          </w:p>
          <w:p w14:paraId="17D0FCA9">
            <w:pPr>
              <w:snapToGrid w:val="0"/>
              <w:spacing w:line="360" w:lineRule="auto"/>
              <w:ind w:firstLine="422" w:firstLineChars="200"/>
              <w:jc w:val="left"/>
              <w:rPr>
                <w:rFonts w:ascii="宋体" w:hAnsi="宋体" w:cs="宋体"/>
                <w:b/>
                <w:szCs w:val="21"/>
                <w:highlight w:val="none"/>
              </w:rPr>
            </w:pPr>
            <w:r>
              <w:rPr>
                <w:rFonts w:hint="eastAsia" w:ascii="宋体" w:hAnsi="宋体" w:cs="宋体"/>
                <w:b/>
                <w:bCs/>
                <w:szCs w:val="21"/>
                <w:highlight w:val="none"/>
                <w:lang w:eastAsia="zh-CN"/>
              </w:rPr>
              <w:t>（</w:t>
            </w:r>
            <w:r>
              <w:rPr>
                <w:rFonts w:hint="eastAsia" w:ascii="宋体" w:hAnsi="宋体" w:cs="宋体"/>
                <w:b/>
                <w:bCs/>
                <w:szCs w:val="21"/>
                <w:highlight w:val="none"/>
              </w:rPr>
              <w:t>2</w:t>
            </w:r>
            <w:r>
              <w:rPr>
                <w:rFonts w:hint="eastAsia" w:ascii="宋体" w:hAnsi="宋体" w:cs="宋体"/>
                <w:b/>
                <w:bCs/>
                <w:szCs w:val="21"/>
                <w:highlight w:val="none"/>
                <w:lang w:eastAsia="zh-CN"/>
              </w:rPr>
              <w:t>）</w:t>
            </w:r>
            <w:r>
              <w:rPr>
                <w:rFonts w:hint="eastAsia" w:ascii="宋体" w:hAnsi="宋体" w:cs="宋体"/>
                <w:b/>
                <w:bCs/>
                <w:szCs w:val="21"/>
                <w:highlight w:val="none"/>
              </w:rPr>
              <w:t>以上标明“必须提供”的材料</w:t>
            </w:r>
            <w:r>
              <w:rPr>
                <w:rFonts w:hint="eastAsia" w:ascii="宋体" w:hAnsi="宋体" w:cs="宋体"/>
                <w:b/>
                <w:szCs w:val="21"/>
                <w:highlight w:val="none"/>
              </w:rPr>
              <w:t>属于</w:t>
            </w:r>
            <w:r>
              <w:rPr>
                <w:rFonts w:hint="eastAsia" w:ascii="宋体" w:hAnsi="宋体" w:cs="宋体"/>
                <w:b/>
                <w:szCs w:val="21"/>
                <w:highlight w:val="none"/>
                <w:lang w:val="en-US" w:eastAsia="zh-CN"/>
              </w:rPr>
              <w:t>原件或</w:t>
            </w:r>
            <w:r>
              <w:rPr>
                <w:rFonts w:hint="eastAsia" w:ascii="宋体" w:hAnsi="宋体" w:cs="宋体"/>
                <w:b/>
                <w:szCs w:val="21"/>
                <w:highlight w:val="none"/>
              </w:rPr>
              <w:t>复印件的扫描件的</w:t>
            </w:r>
            <w:r>
              <w:rPr>
                <w:rFonts w:hint="eastAsia" w:ascii="宋体" w:hAnsi="宋体" w:cs="宋体"/>
                <w:b/>
                <w:bCs/>
                <w:szCs w:val="21"/>
                <w:highlight w:val="none"/>
              </w:rPr>
              <w:t>，必须加盖投标人公章，否则</w:t>
            </w:r>
            <w:r>
              <w:rPr>
                <w:rFonts w:hint="eastAsia" w:ascii="宋体" w:hAnsi="宋体" w:cs="宋体"/>
                <w:b/>
                <w:szCs w:val="21"/>
                <w:highlight w:val="none"/>
              </w:rPr>
              <w:t>作无效投标处理</w:t>
            </w:r>
            <w:r>
              <w:rPr>
                <w:rFonts w:hint="eastAsia" w:ascii="宋体" w:hAnsi="宋体" w:cs="宋体"/>
                <w:b/>
                <w:bCs/>
                <w:szCs w:val="21"/>
                <w:highlight w:val="none"/>
              </w:rPr>
              <w:t>。</w:t>
            </w:r>
          </w:p>
        </w:tc>
      </w:tr>
      <w:tr w14:paraId="0D8C6F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restart"/>
            <w:tcBorders>
              <w:top w:val="nil"/>
              <w:left w:val="single" w:color="auto" w:sz="4" w:space="0"/>
              <w:bottom w:val="single" w:color="auto" w:sz="4" w:space="0"/>
              <w:right w:val="single" w:color="auto" w:sz="4" w:space="0"/>
            </w:tcBorders>
            <w:noWrap/>
            <w:vAlign w:val="center"/>
          </w:tcPr>
          <w:p w14:paraId="67188D4A">
            <w:pPr>
              <w:spacing w:line="360" w:lineRule="exac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01D0A038">
            <w:pPr>
              <w:snapToGrid w:val="0"/>
              <w:spacing w:line="360" w:lineRule="exact"/>
              <w:jc w:val="left"/>
              <w:rPr>
                <w:rFonts w:ascii="宋体" w:hAnsi="宋体" w:cs="宋体"/>
                <w:szCs w:val="21"/>
                <w:highlight w:val="none"/>
              </w:rPr>
            </w:pPr>
            <w:bookmarkStart w:id="87" w:name="_13.4"/>
            <w:bookmarkEnd w:id="87"/>
            <w:r>
              <w:rPr>
                <w:rFonts w:hint="eastAsia" w:ascii="宋体" w:hAnsi="宋体" w:cs="宋体"/>
                <w:szCs w:val="21"/>
                <w:highlight w:val="none"/>
              </w:rPr>
              <w:t>技术文件组成</w:t>
            </w:r>
          </w:p>
        </w:tc>
        <w:tc>
          <w:tcPr>
            <w:tcW w:w="6872" w:type="dxa"/>
            <w:tcBorders>
              <w:top w:val="single" w:color="auto" w:sz="4" w:space="0"/>
              <w:left w:val="single" w:color="auto" w:sz="4" w:space="0"/>
              <w:bottom w:val="single" w:color="auto" w:sz="4" w:space="0"/>
              <w:right w:val="single" w:color="auto" w:sz="4" w:space="0"/>
            </w:tcBorders>
            <w:noWrap/>
            <w:vAlign w:val="center"/>
          </w:tcPr>
          <w:p w14:paraId="4C76D174">
            <w:pPr>
              <w:snapToGrid w:val="0"/>
              <w:spacing w:line="360" w:lineRule="auto"/>
              <w:jc w:val="left"/>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.技术性能、参数</w:t>
            </w:r>
            <w:r>
              <w:rPr>
                <w:rFonts w:hint="eastAsia" w:ascii="宋体" w:hAnsi="宋体" w:cs="宋体"/>
                <w:szCs w:val="21"/>
                <w:highlight w:val="none"/>
              </w:rPr>
              <w:t>偏离表（格式后附）。（</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54D58A44">
            <w:pPr>
              <w:snapToGrid w:val="0"/>
              <w:spacing w:line="360" w:lineRule="auto"/>
              <w:jc w:val="left"/>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rPr>
              <w:t>售后服务方案（格式后附）。</w:t>
            </w:r>
          </w:p>
          <w:p w14:paraId="73E14180">
            <w:pPr>
              <w:snapToGrid w:val="0"/>
              <w:spacing w:line="360" w:lineRule="auto"/>
              <w:jc w:val="left"/>
              <w:rPr>
                <w:rFonts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lang w:eastAsia="zh-CN"/>
              </w:rPr>
              <w:t>.</w:t>
            </w:r>
            <w:r>
              <w:rPr>
                <w:rFonts w:hint="eastAsia" w:ascii="宋体" w:hAnsi="宋体" w:cs="宋体"/>
                <w:szCs w:val="21"/>
                <w:highlight w:val="none"/>
              </w:rPr>
              <w:t>项目实施方案（格式自拟）。</w:t>
            </w:r>
          </w:p>
          <w:p w14:paraId="75D015EE">
            <w:pPr>
              <w:snapToGrid w:val="0"/>
              <w:spacing w:line="360" w:lineRule="auto"/>
              <w:jc w:val="left"/>
              <w:rPr>
                <w:rFonts w:hint="eastAsia" w:ascii="宋体" w:hAnsi="宋体" w:eastAsia="宋体" w:cs="宋体"/>
                <w:szCs w:val="21"/>
                <w:highlight w:val="none"/>
                <w:lang w:eastAsia="zh-CN"/>
              </w:rPr>
            </w:pPr>
            <w:r>
              <w:rPr>
                <w:rFonts w:hint="eastAsia" w:ascii="宋体" w:hAnsi="宋体" w:cs="宋体"/>
                <w:szCs w:val="21"/>
                <w:highlight w:val="none"/>
                <w:lang w:val="en-US" w:eastAsia="zh-CN"/>
              </w:rPr>
              <w:t>4</w:t>
            </w:r>
            <w:r>
              <w:rPr>
                <w:rFonts w:hint="eastAsia" w:ascii="宋体" w:hAnsi="宋体" w:cs="宋体"/>
                <w:szCs w:val="21"/>
                <w:highlight w:val="none"/>
                <w:lang w:eastAsia="zh-CN"/>
              </w:rPr>
              <w:t>.按招标文件第二章《采购需求》要求提供相关材料（投标产品属于政府强制采购的节能产品的，按要求提供节能产品认证证书复印件；属于</w:t>
            </w:r>
            <w:r>
              <w:rPr>
                <w:rFonts w:hint="eastAsia" w:ascii="宋体" w:hAnsi="宋体" w:cs="宋体"/>
                <w:color w:val="auto"/>
                <w:szCs w:val="21"/>
                <w:highlight w:val="none"/>
                <w:lang w:bidi="ar"/>
              </w:rPr>
              <w:t>网络安全专用产品</w:t>
            </w:r>
            <w:r>
              <w:rPr>
                <w:rFonts w:hint="eastAsia" w:ascii="宋体" w:hAnsi="宋体" w:cs="宋体"/>
                <w:color w:val="auto"/>
                <w:szCs w:val="21"/>
                <w:highlight w:val="none"/>
                <w:lang w:eastAsia="zh-CN" w:bidi="ar"/>
              </w:rPr>
              <w:t>的，</w:t>
            </w:r>
            <w:r>
              <w:rPr>
                <w:rFonts w:hint="eastAsia" w:ascii="宋体" w:hAnsi="宋体" w:cs="宋体"/>
                <w:szCs w:val="21"/>
                <w:highlight w:val="none"/>
                <w:lang w:eastAsia="zh-CN"/>
              </w:rPr>
              <w:t>按要求</w:t>
            </w:r>
            <w:r>
              <w:rPr>
                <w:rFonts w:hint="eastAsia" w:ascii="宋体" w:hAnsi="宋体" w:cs="宋体"/>
                <w:color w:val="auto"/>
                <w:szCs w:val="21"/>
                <w:highlight w:val="none"/>
                <w:lang w:bidi="ar"/>
              </w:rPr>
              <w:t>安全认证合格证书或者安全检测合格的检测报告</w:t>
            </w:r>
            <w:r>
              <w:rPr>
                <w:rFonts w:hint="eastAsia" w:ascii="宋体" w:hAnsi="宋体" w:cs="宋体"/>
                <w:szCs w:val="21"/>
                <w:highlight w:val="none"/>
                <w:lang w:eastAsia="zh-CN"/>
              </w:rPr>
              <w:t>复印件</w:t>
            </w:r>
            <w:r>
              <w:rPr>
                <w:rFonts w:hint="eastAsia" w:ascii="宋体" w:hAnsi="宋体" w:cs="宋体"/>
                <w:color w:val="auto"/>
                <w:szCs w:val="21"/>
                <w:highlight w:val="none"/>
                <w:lang w:eastAsia="zh-CN" w:bidi="ar"/>
              </w:rPr>
              <w:t>；</w:t>
            </w:r>
            <w:r>
              <w:rPr>
                <w:rFonts w:hint="eastAsia" w:ascii="宋体" w:hAnsi="宋体" w:cs="宋体"/>
                <w:highlight w:val="none"/>
              </w:rPr>
              <w:t>带“▲”的条款</w:t>
            </w:r>
            <w:r>
              <w:rPr>
                <w:rFonts w:hint="eastAsia" w:ascii="宋体" w:hAnsi="宋体" w:cs="宋体"/>
                <w:highlight w:val="none"/>
                <w:lang w:eastAsia="zh-CN"/>
              </w:rPr>
              <w:t>要求提供相关佐证材料的，按要求提供相关佐证材料</w:t>
            </w:r>
            <w:r>
              <w:rPr>
                <w:rFonts w:hint="eastAsia" w:ascii="宋体" w:hAnsi="宋体" w:cs="宋体"/>
                <w:szCs w:val="21"/>
                <w:highlight w:val="none"/>
                <w:lang w:eastAsia="zh-CN"/>
              </w:rPr>
              <w:t>复印件）</w:t>
            </w:r>
            <w:r>
              <w:rPr>
                <w:rFonts w:hint="eastAsia" w:ascii="宋体" w:hAnsi="宋体" w:cs="宋体"/>
                <w:szCs w:val="21"/>
                <w:highlight w:val="none"/>
              </w:rPr>
              <w:t>（</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2E949DDC">
            <w:pPr>
              <w:snapToGrid w:val="0"/>
              <w:spacing w:line="360" w:lineRule="auto"/>
              <w:jc w:val="left"/>
              <w:rPr>
                <w:rFonts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除招标文件规定必须提供以外，投标人需要说明的其他文件和说明</w:t>
            </w:r>
            <w:r>
              <w:rPr>
                <w:rFonts w:hint="eastAsia" w:ascii="宋体" w:hAnsi="宋体" w:cs="宋体"/>
                <w:szCs w:val="21"/>
                <w:highlight w:val="none"/>
                <w:lang w:eastAsia="zh-CN"/>
              </w:rPr>
              <w:t>（格</w:t>
            </w:r>
            <w:r>
              <w:rPr>
                <w:rFonts w:hint="eastAsia" w:ascii="宋体" w:hAnsi="宋体" w:cs="宋体"/>
                <w:szCs w:val="21"/>
                <w:highlight w:val="none"/>
              </w:rPr>
              <w:t>式自拟）。</w:t>
            </w:r>
          </w:p>
          <w:p w14:paraId="34E1F3F2">
            <w:pPr>
              <w:snapToGrid w:val="0"/>
              <w:spacing w:line="360" w:lineRule="auto"/>
              <w:ind w:firstLine="316"/>
              <w:jc w:val="left"/>
              <w:rPr>
                <w:rFonts w:ascii="宋体" w:hAnsi="宋体" w:cs="宋体"/>
                <w:b/>
                <w:bCs/>
                <w:szCs w:val="21"/>
                <w:highlight w:val="none"/>
              </w:rPr>
            </w:pPr>
            <w:r>
              <w:rPr>
                <w:rFonts w:hint="eastAsia" w:ascii="宋体" w:hAnsi="宋体" w:cs="宋体"/>
                <w:b/>
                <w:bCs/>
                <w:szCs w:val="21"/>
                <w:highlight w:val="none"/>
              </w:rPr>
              <w:t>注：以上标明“必须提供”的材料</w:t>
            </w:r>
            <w:r>
              <w:rPr>
                <w:rFonts w:hint="eastAsia" w:ascii="宋体" w:hAnsi="宋体" w:cs="宋体"/>
                <w:b/>
                <w:szCs w:val="21"/>
                <w:highlight w:val="none"/>
              </w:rPr>
              <w:t>属于</w:t>
            </w:r>
            <w:r>
              <w:rPr>
                <w:rFonts w:hint="eastAsia" w:ascii="宋体" w:hAnsi="宋体" w:cs="宋体"/>
                <w:b/>
                <w:szCs w:val="21"/>
                <w:highlight w:val="none"/>
                <w:lang w:val="en-US" w:eastAsia="zh-CN"/>
              </w:rPr>
              <w:t>原件或</w:t>
            </w:r>
            <w:r>
              <w:rPr>
                <w:rFonts w:hint="eastAsia" w:ascii="宋体" w:hAnsi="宋体" w:cs="宋体"/>
                <w:b/>
                <w:szCs w:val="21"/>
                <w:highlight w:val="none"/>
              </w:rPr>
              <w:t>复印件的扫描件的</w:t>
            </w:r>
            <w:r>
              <w:rPr>
                <w:rFonts w:hint="eastAsia" w:ascii="宋体" w:hAnsi="宋体" w:cs="宋体"/>
                <w:b/>
                <w:bCs/>
                <w:szCs w:val="21"/>
                <w:highlight w:val="none"/>
              </w:rPr>
              <w:t>，必须加盖投标人公章，否则</w:t>
            </w:r>
            <w:r>
              <w:rPr>
                <w:rFonts w:hint="eastAsia" w:ascii="宋体" w:hAnsi="宋体" w:cs="宋体"/>
                <w:b/>
                <w:szCs w:val="21"/>
                <w:highlight w:val="none"/>
              </w:rPr>
              <w:t>作无效投标处理</w:t>
            </w:r>
            <w:r>
              <w:rPr>
                <w:rFonts w:hint="eastAsia" w:ascii="宋体" w:hAnsi="宋体" w:cs="宋体"/>
                <w:b/>
                <w:bCs/>
                <w:szCs w:val="21"/>
                <w:highlight w:val="none"/>
              </w:rPr>
              <w:t>。</w:t>
            </w:r>
          </w:p>
        </w:tc>
      </w:tr>
      <w:tr w14:paraId="716D3D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nil"/>
              <w:left w:val="single" w:color="auto" w:sz="4" w:space="0"/>
              <w:bottom w:val="single" w:color="auto" w:sz="4" w:space="0"/>
              <w:right w:val="single" w:color="auto" w:sz="4" w:space="0"/>
            </w:tcBorders>
            <w:noWrap/>
            <w:vAlign w:val="center"/>
          </w:tcPr>
          <w:p w14:paraId="3F283E30">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27BD99A3">
            <w:pPr>
              <w:snapToGrid w:val="0"/>
              <w:spacing w:line="360" w:lineRule="exact"/>
              <w:jc w:val="left"/>
              <w:rPr>
                <w:rFonts w:ascii="宋体" w:hAnsi="宋体" w:cs="宋体"/>
                <w:szCs w:val="21"/>
                <w:highlight w:val="none"/>
              </w:rPr>
            </w:pPr>
            <w:r>
              <w:rPr>
                <w:rFonts w:hint="eastAsia" w:ascii="宋体" w:hAnsi="宋体" w:cs="宋体"/>
                <w:szCs w:val="21"/>
                <w:highlight w:val="none"/>
              </w:rPr>
              <w:t>报价文件组成</w:t>
            </w:r>
          </w:p>
        </w:tc>
        <w:tc>
          <w:tcPr>
            <w:tcW w:w="6872" w:type="dxa"/>
            <w:tcBorders>
              <w:top w:val="single" w:color="auto" w:sz="4" w:space="0"/>
              <w:left w:val="single" w:color="auto" w:sz="4" w:space="0"/>
              <w:bottom w:val="single" w:color="auto" w:sz="4" w:space="0"/>
              <w:right w:val="single" w:color="auto" w:sz="4" w:space="0"/>
            </w:tcBorders>
            <w:noWrap/>
            <w:vAlign w:val="center"/>
          </w:tcPr>
          <w:p w14:paraId="119C621A">
            <w:pPr>
              <w:tabs>
                <w:tab w:val="left" w:pos="459"/>
              </w:tabs>
              <w:snapToGrid w:val="0"/>
              <w:spacing w:line="360" w:lineRule="auto"/>
              <w:jc w:val="left"/>
              <w:rPr>
                <w:rFonts w:ascii="宋体" w:hAnsi="宋体" w:cs="宋体"/>
                <w:b/>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w:t>
            </w:r>
            <w:r>
              <w:rPr>
                <w:rFonts w:hint="eastAsia" w:ascii="宋体" w:hAnsi="宋体" w:cs="宋体"/>
                <w:szCs w:val="21"/>
                <w:highlight w:val="none"/>
              </w:rPr>
              <w:t>投标函（格式后附）。</w:t>
            </w:r>
            <w:r>
              <w:rPr>
                <w:rFonts w:hint="eastAsia" w:ascii="宋体" w:hAnsi="宋体" w:cs="宋体"/>
                <w:b/>
                <w:szCs w:val="21"/>
                <w:highlight w:val="none"/>
              </w:rPr>
              <w:t>（必须提供，否则作无效投标处理）</w:t>
            </w:r>
          </w:p>
          <w:p w14:paraId="5E8391EE">
            <w:pPr>
              <w:tabs>
                <w:tab w:val="left" w:pos="459"/>
              </w:tabs>
              <w:snapToGrid w:val="0"/>
              <w:spacing w:line="360" w:lineRule="auto"/>
              <w:jc w:val="left"/>
              <w:rPr>
                <w:rFonts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rPr>
              <w:t>开标一览表（格式后附）。（</w:t>
            </w:r>
            <w:r>
              <w:rPr>
                <w:rFonts w:hint="eastAsia" w:ascii="宋体" w:hAnsi="宋体" w:cs="宋体"/>
                <w:b/>
                <w:szCs w:val="21"/>
                <w:highlight w:val="none"/>
              </w:rPr>
              <w:t>必须提供，否则作无效投标处理</w:t>
            </w:r>
            <w:r>
              <w:rPr>
                <w:rFonts w:hint="eastAsia" w:ascii="宋体" w:hAnsi="宋体" w:cs="宋体"/>
                <w:szCs w:val="21"/>
                <w:highlight w:val="none"/>
              </w:rPr>
              <w:t>）</w:t>
            </w:r>
          </w:p>
          <w:p w14:paraId="60EADD5B">
            <w:pPr>
              <w:tabs>
                <w:tab w:val="left" w:pos="459"/>
              </w:tabs>
              <w:snapToGrid w:val="0"/>
              <w:spacing w:line="360" w:lineRule="auto"/>
              <w:jc w:val="left"/>
              <w:rPr>
                <w:rFonts w:ascii="宋体" w:hAnsi="宋体" w:cs="宋体"/>
                <w:i/>
                <w:iCs/>
                <w:szCs w:val="21"/>
                <w:highlight w:val="none"/>
              </w:rPr>
            </w:pPr>
            <w:r>
              <w:rPr>
                <w:rFonts w:hint="eastAsia" w:ascii="宋体" w:hAnsi="宋体" w:cs="宋体"/>
                <w:szCs w:val="21"/>
                <w:highlight w:val="none"/>
              </w:rPr>
              <w:t>3</w:t>
            </w:r>
            <w:r>
              <w:rPr>
                <w:rFonts w:hint="eastAsia" w:ascii="宋体" w:hAnsi="宋体" w:cs="宋体"/>
                <w:szCs w:val="21"/>
                <w:highlight w:val="none"/>
                <w:lang w:eastAsia="zh-CN"/>
              </w:rPr>
              <w:t>.</w:t>
            </w:r>
            <w:r>
              <w:rPr>
                <w:rFonts w:hint="eastAsia" w:ascii="宋体" w:hAnsi="宋体" w:cs="宋体"/>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szCs w:val="21"/>
                <w:highlight w:val="none"/>
              </w:rPr>
              <w:t>（如有请提供）</w:t>
            </w:r>
          </w:p>
          <w:p w14:paraId="1683A512">
            <w:pPr>
              <w:tabs>
                <w:tab w:val="left" w:pos="459"/>
              </w:tabs>
              <w:snapToGrid w:val="0"/>
              <w:spacing w:line="360" w:lineRule="auto"/>
              <w:jc w:val="left"/>
              <w:rPr>
                <w:rFonts w:hint="eastAsia" w:ascii="宋体" w:hAnsi="宋体" w:cs="宋体"/>
                <w:szCs w:val="21"/>
                <w:highlight w:val="none"/>
              </w:rPr>
            </w:pPr>
            <w:r>
              <w:rPr>
                <w:rFonts w:hint="eastAsia" w:ascii="宋体" w:hAnsi="宋体" w:cs="宋体"/>
                <w:szCs w:val="21"/>
                <w:highlight w:val="none"/>
              </w:rPr>
              <w:t>4</w:t>
            </w:r>
            <w:r>
              <w:rPr>
                <w:rFonts w:hint="eastAsia" w:ascii="宋体" w:hAnsi="宋体" w:cs="宋体"/>
                <w:szCs w:val="21"/>
                <w:highlight w:val="none"/>
                <w:lang w:eastAsia="zh-CN"/>
              </w:rPr>
              <w:t>.</w:t>
            </w:r>
            <w:r>
              <w:rPr>
                <w:rFonts w:hint="eastAsia" w:ascii="宋体" w:hAnsi="宋体" w:cs="宋体"/>
                <w:szCs w:val="21"/>
                <w:highlight w:val="none"/>
              </w:rPr>
              <w:t>投标人针对报价需要说明的其他文件和说明（格式自拟）。</w:t>
            </w:r>
          </w:p>
          <w:p w14:paraId="6AFCB493">
            <w:pPr>
              <w:tabs>
                <w:tab w:val="left" w:pos="459"/>
              </w:tabs>
              <w:snapToGrid w:val="0"/>
              <w:spacing w:line="360" w:lineRule="auto"/>
              <w:jc w:val="left"/>
              <w:rPr>
                <w:rFonts w:hint="eastAsia" w:ascii="宋体" w:hAnsi="宋体" w:cs="宋体"/>
                <w:szCs w:val="21"/>
                <w:highlight w:val="none"/>
              </w:rPr>
            </w:pPr>
            <w:r>
              <w:rPr>
                <w:rFonts w:hint="eastAsia" w:ascii="宋体" w:hAnsi="宋体" w:cs="宋体"/>
                <w:b/>
                <w:bCs/>
                <w:szCs w:val="21"/>
                <w:highlight w:val="none"/>
              </w:rPr>
              <w:t>注：以上标明“必须提供”的材料</w:t>
            </w:r>
            <w:r>
              <w:rPr>
                <w:rFonts w:hint="eastAsia" w:ascii="宋体" w:hAnsi="宋体" w:cs="宋体"/>
                <w:b/>
                <w:szCs w:val="21"/>
                <w:highlight w:val="none"/>
              </w:rPr>
              <w:t>属于</w:t>
            </w:r>
            <w:r>
              <w:rPr>
                <w:rFonts w:hint="eastAsia" w:ascii="宋体" w:hAnsi="宋体" w:cs="宋体"/>
                <w:b/>
                <w:szCs w:val="21"/>
                <w:highlight w:val="none"/>
                <w:lang w:val="en-US" w:eastAsia="zh-CN"/>
              </w:rPr>
              <w:t>原件或</w:t>
            </w:r>
            <w:r>
              <w:rPr>
                <w:rFonts w:hint="eastAsia" w:ascii="宋体" w:hAnsi="宋体" w:cs="宋体"/>
                <w:b/>
                <w:szCs w:val="21"/>
                <w:highlight w:val="none"/>
              </w:rPr>
              <w:t>复印件的扫描件的</w:t>
            </w:r>
            <w:r>
              <w:rPr>
                <w:rFonts w:hint="eastAsia" w:ascii="宋体" w:hAnsi="宋体" w:cs="宋体"/>
                <w:b/>
                <w:bCs/>
                <w:szCs w:val="21"/>
                <w:highlight w:val="none"/>
              </w:rPr>
              <w:t>，必须加盖投标人公章，否则</w:t>
            </w:r>
            <w:r>
              <w:rPr>
                <w:rFonts w:hint="eastAsia" w:ascii="宋体" w:hAnsi="宋体" w:cs="宋体"/>
                <w:b/>
                <w:szCs w:val="21"/>
                <w:highlight w:val="none"/>
              </w:rPr>
              <w:t>作无效投标处理</w:t>
            </w:r>
            <w:r>
              <w:rPr>
                <w:rFonts w:hint="eastAsia" w:ascii="宋体" w:hAnsi="宋体" w:cs="宋体"/>
                <w:b/>
                <w:bCs/>
                <w:szCs w:val="21"/>
                <w:highlight w:val="none"/>
              </w:rPr>
              <w:t>。</w:t>
            </w:r>
          </w:p>
        </w:tc>
      </w:tr>
      <w:tr w14:paraId="0DA9D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0AB970F4">
            <w:pPr>
              <w:spacing w:line="360" w:lineRule="exact"/>
              <w:rPr>
                <w:rFonts w:ascii="宋体" w:hAnsi="宋体" w:cs="宋体"/>
                <w:szCs w:val="21"/>
                <w:highlight w:val="none"/>
              </w:rPr>
            </w:pPr>
            <w:r>
              <w:rPr>
                <w:rFonts w:hint="eastAsia" w:ascii="宋体" w:hAnsi="宋体" w:cs="宋体"/>
                <w:szCs w:val="21"/>
                <w:highlight w:val="none"/>
              </w:rPr>
              <w:t>16.2</w:t>
            </w:r>
          </w:p>
        </w:tc>
        <w:tc>
          <w:tcPr>
            <w:tcW w:w="2083" w:type="dxa"/>
            <w:tcBorders>
              <w:top w:val="single" w:color="auto" w:sz="4" w:space="0"/>
              <w:left w:val="single" w:color="auto" w:sz="4" w:space="0"/>
              <w:bottom w:val="single" w:color="auto" w:sz="4" w:space="0"/>
              <w:right w:val="single" w:color="auto" w:sz="4" w:space="0"/>
            </w:tcBorders>
            <w:noWrap/>
            <w:vAlign w:val="center"/>
          </w:tcPr>
          <w:p w14:paraId="576120DE">
            <w:pPr>
              <w:spacing w:line="360" w:lineRule="exact"/>
              <w:rPr>
                <w:rFonts w:ascii="宋体" w:hAnsi="宋体" w:cs="宋体"/>
                <w:szCs w:val="21"/>
                <w:highlight w:val="none"/>
              </w:rPr>
            </w:pPr>
            <w:bookmarkStart w:id="88" w:name="_16.2"/>
            <w:bookmarkEnd w:id="88"/>
            <w:r>
              <w:rPr>
                <w:rFonts w:hint="eastAsia" w:ascii="宋体" w:hAnsi="宋体" w:cs="宋体"/>
                <w:szCs w:val="21"/>
                <w:highlight w:val="none"/>
              </w:rPr>
              <w:t>投标报价要求</w:t>
            </w:r>
          </w:p>
        </w:tc>
        <w:tc>
          <w:tcPr>
            <w:tcW w:w="6872" w:type="dxa"/>
            <w:tcBorders>
              <w:top w:val="single" w:color="auto" w:sz="4" w:space="0"/>
              <w:left w:val="single" w:color="auto" w:sz="4" w:space="0"/>
              <w:bottom w:val="single" w:color="auto" w:sz="4" w:space="0"/>
              <w:right w:val="single" w:color="auto" w:sz="4" w:space="0"/>
            </w:tcBorders>
            <w:noWrap/>
            <w:vAlign w:val="center"/>
          </w:tcPr>
          <w:p w14:paraId="22E7ADA3">
            <w:pPr>
              <w:widowControl/>
              <w:numPr>
                <w:ilvl w:val="0"/>
                <w:numId w:val="0"/>
              </w:numPr>
              <w:spacing w:line="360" w:lineRule="auto"/>
              <w:jc w:val="left"/>
              <w:rPr>
                <w:rFonts w:hint="eastAsia" w:ascii="Times New Roman" w:hAnsi="Times New Roman" w:eastAsia="宋体" w:cs="Times New Roman"/>
                <w:szCs w:val="21"/>
                <w:highlight w:val="none"/>
                <w:lang w:val="en-US" w:eastAsia="zh-CN"/>
              </w:rPr>
            </w:pPr>
            <w:bookmarkStart w:id="89" w:name="OLE_LINK1"/>
            <w:r>
              <w:rPr>
                <w:rFonts w:hint="eastAsia" w:ascii="Times New Roman" w:hAnsi="Times New Roman" w:eastAsia="宋体" w:cs="Times New Roman"/>
                <w:szCs w:val="21"/>
                <w:highlight w:val="none"/>
                <w:lang w:val="en-US" w:eastAsia="zh-CN"/>
              </w:rPr>
              <w:t>1</w:t>
            </w:r>
            <w:r>
              <w:rPr>
                <w:rFonts w:hint="eastAsia" w:cs="Times New Roman"/>
                <w:szCs w:val="21"/>
                <w:highlight w:val="none"/>
                <w:lang w:val="en-US" w:eastAsia="zh-CN"/>
              </w:rPr>
              <w:t>.</w:t>
            </w:r>
            <w:r>
              <w:rPr>
                <w:rFonts w:hint="eastAsia" w:ascii="Times New Roman" w:hAnsi="Times New Roman" w:eastAsia="宋体" w:cs="Times New Roman"/>
                <w:szCs w:val="21"/>
                <w:highlight w:val="none"/>
                <w:lang w:val="en-US" w:eastAsia="zh-CN"/>
              </w:rPr>
              <w:t xml:space="preserve">投标报价包括货款、随配附件、备品备件、专用工具、包装、运输、装、卸、保险、运抵指定交货地点、送货上门服务、现场安装调试、包装箱清理、保修、售后服务、培训、税金及其他所有成本费用的总和。  </w:t>
            </w:r>
          </w:p>
          <w:p w14:paraId="1602BCBC">
            <w:pPr>
              <w:snapToGrid w:val="0"/>
              <w:spacing w:line="360" w:lineRule="auto"/>
              <w:rPr>
                <w:rFonts w:ascii="宋体" w:hAnsi="宋体" w:cs="宋体"/>
                <w:szCs w:val="21"/>
                <w:highlight w:val="none"/>
              </w:rPr>
            </w:pPr>
            <w:r>
              <w:rPr>
                <w:rFonts w:hint="eastAsia" w:ascii="Times New Roman" w:hAnsi="Times New Roman" w:eastAsia="宋体" w:cs="Times New Roman"/>
                <w:szCs w:val="21"/>
                <w:highlight w:val="none"/>
                <w:lang w:val="en-US" w:eastAsia="zh-CN"/>
              </w:rPr>
              <w:t>2</w:t>
            </w:r>
            <w:r>
              <w:rPr>
                <w:rFonts w:hint="eastAsia" w:cs="Times New Roman"/>
                <w:szCs w:val="21"/>
                <w:highlight w:val="none"/>
                <w:lang w:val="en-US" w:eastAsia="zh-CN"/>
              </w:rPr>
              <w:t>.</w:t>
            </w:r>
            <w:r>
              <w:rPr>
                <w:rFonts w:hint="eastAsia" w:ascii="Times New Roman" w:hAnsi="Times New Roman" w:eastAsia="宋体" w:cs="Times New Roman"/>
                <w:szCs w:val="21"/>
                <w:highlight w:val="none"/>
              </w:rPr>
              <w:t>对于本文件中明确列明必须报价的货物，</w:t>
            </w:r>
            <w:r>
              <w:rPr>
                <w:rFonts w:hint="eastAsia" w:ascii="Times New Roman" w:hAnsi="Times New Roman" w:eastAsia="宋体" w:cs="Times New Roman"/>
                <w:szCs w:val="21"/>
                <w:highlight w:val="none"/>
                <w:lang w:eastAsia="zh-CN"/>
              </w:rPr>
              <w:t>投标人</w:t>
            </w:r>
            <w:r>
              <w:rPr>
                <w:rFonts w:hint="eastAsia" w:ascii="Times New Roman" w:hAnsi="Times New Roman" w:eastAsia="宋体" w:cs="Times New Roman"/>
                <w:szCs w:val="21"/>
                <w:highlight w:val="none"/>
              </w:rPr>
              <w:t>应分别报价。对于本文件中未列明，而</w:t>
            </w:r>
            <w:r>
              <w:rPr>
                <w:rFonts w:hint="eastAsia" w:ascii="Times New Roman" w:hAnsi="Times New Roman" w:eastAsia="宋体" w:cs="Times New Roman"/>
                <w:szCs w:val="21"/>
                <w:highlight w:val="none"/>
                <w:lang w:eastAsia="zh-CN"/>
              </w:rPr>
              <w:t>投标人</w:t>
            </w:r>
            <w:r>
              <w:rPr>
                <w:rFonts w:hint="eastAsia" w:ascii="Times New Roman" w:hAnsi="Times New Roman" w:eastAsia="宋体" w:cs="Times New Roman"/>
                <w:szCs w:val="21"/>
                <w:highlight w:val="none"/>
              </w:rPr>
              <w:t>认为必需的费用也需列入总报价。在合同实施时，采购人将不予支付</w:t>
            </w:r>
            <w:r>
              <w:rPr>
                <w:rFonts w:hint="eastAsia" w:ascii="Times New Roman" w:hAnsi="Times New Roman" w:eastAsia="宋体" w:cs="Times New Roman"/>
                <w:szCs w:val="21"/>
                <w:highlight w:val="none"/>
                <w:lang w:eastAsia="zh-CN"/>
              </w:rPr>
              <w:t>投标人</w:t>
            </w:r>
            <w:r>
              <w:rPr>
                <w:rFonts w:hint="eastAsia" w:ascii="Times New Roman" w:hAnsi="Times New Roman" w:eastAsia="宋体" w:cs="Times New Roman"/>
                <w:szCs w:val="21"/>
                <w:highlight w:val="none"/>
              </w:rPr>
              <w:t>没有列入的项目费用，并认为此项目的费用已包</w:t>
            </w:r>
            <w:r>
              <w:rPr>
                <w:rFonts w:hint="eastAsia" w:cs="Times New Roman"/>
                <w:szCs w:val="21"/>
                <w:highlight w:val="none"/>
                <w:lang w:eastAsia="zh-CN"/>
              </w:rPr>
              <w:t>含</w:t>
            </w:r>
            <w:r>
              <w:rPr>
                <w:rFonts w:hint="eastAsia" w:ascii="Times New Roman" w:hAnsi="Times New Roman" w:eastAsia="宋体" w:cs="Times New Roman"/>
                <w:szCs w:val="21"/>
                <w:highlight w:val="none"/>
              </w:rPr>
              <w:t>在投标总报价中。</w:t>
            </w:r>
            <w:r>
              <w:rPr>
                <w:rFonts w:hint="eastAsia" w:ascii="宋体" w:hAnsi="宋体" w:cs="宋体"/>
                <w:b/>
                <w:szCs w:val="21"/>
                <w:highlight w:val="none"/>
              </w:rPr>
              <w:t>投标报价包含验收费用。</w:t>
            </w:r>
            <w:bookmarkEnd w:id="89"/>
          </w:p>
        </w:tc>
      </w:tr>
      <w:tr w14:paraId="39F8C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3DCDAECA">
            <w:pPr>
              <w:spacing w:line="360" w:lineRule="exact"/>
              <w:rPr>
                <w:rFonts w:ascii="宋体" w:hAnsi="宋体" w:cs="宋体"/>
                <w:szCs w:val="21"/>
                <w:highlight w:val="none"/>
              </w:rPr>
            </w:pPr>
            <w:r>
              <w:rPr>
                <w:rFonts w:hint="eastAsia" w:ascii="宋体" w:hAnsi="宋体" w:cs="宋体"/>
                <w:szCs w:val="21"/>
                <w:highlight w:val="none"/>
              </w:rPr>
              <w:t>17.2</w:t>
            </w:r>
          </w:p>
        </w:tc>
        <w:tc>
          <w:tcPr>
            <w:tcW w:w="2083" w:type="dxa"/>
            <w:tcBorders>
              <w:top w:val="single" w:color="auto" w:sz="4" w:space="0"/>
              <w:left w:val="single" w:color="auto" w:sz="4" w:space="0"/>
              <w:bottom w:val="single" w:color="auto" w:sz="4" w:space="0"/>
              <w:right w:val="single" w:color="auto" w:sz="4" w:space="0"/>
            </w:tcBorders>
            <w:noWrap/>
            <w:vAlign w:val="center"/>
          </w:tcPr>
          <w:p w14:paraId="6D8ADAA6">
            <w:pPr>
              <w:spacing w:line="360" w:lineRule="exact"/>
              <w:rPr>
                <w:rFonts w:ascii="宋体" w:hAnsi="宋体" w:cs="宋体"/>
                <w:szCs w:val="21"/>
                <w:highlight w:val="none"/>
              </w:rPr>
            </w:pPr>
            <w:bookmarkStart w:id="90" w:name="_17.1"/>
            <w:bookmarkEnd w:id="90"/>
            <w:r>
              <w:rPr>
                <w:rFonts w:hint="eastAsia" w:ascii="宋体" w:hAnsi="宋体" w:cs="宋体"/>
                <w:szCs w:val="21"/>
                <w:highlight w:val="none"/>
              </w:rPr>
              <w:t>投标有效期</w:t>
            </w:r>
          </w:p>
        </w:tc>
        <w:tc>
          <w:tcPr>
            <w:tcW w:w="6872" w:type="dxa"/>
            <w:tcBorders>
              <w:top w:val="single" w:color="auto" w:sz="4" w:space="0"/>
              <w:left w:val="single" w:color="auto" w:sz="4" w:space="0"/>
              <w:bottom w:val="single" w:color="auto" w:sz="4" w:space="0"/>
              <w:right w:val="single" w:color="auto" w:sz="4" w:space="0"/>
            </w:tcBorders>
            <w:noWrap/>
            <w:vAlign w:val="center"/>
          </w:tcPr>
          <w:p w14:paraId="0862511C">
            <w:pPr>
              <w:snapToGrid w:val="0"/>
              <w:spacing w:line="360" w:lineRule="exact"/>
              <w:rPr>
                <w:rFonts w:ascii="宋体" w:hAnsi="宋体" w:cs="宋体"/>
                <w:szCs w:val="21"/>
                <w:highlight w:val="none"/>
              </w:rPr>
            </w:pPr>
            <w:r>
              <w:rPr>
                <w:rFonts w:hint="eastAsia" w:ascii="宋体" w:hAnsi="宋体" w:cs="宋体"/>
                <w:szCs w:val="21"/>
                <w:highlight w:val="none"/>
              </w:rPr>
              <w:t>自投标截止之日起</w:t>
            </w:r>
            <w:r>
              <w:rPr>
                <w:rFonts w:hint="eastAsia" w:ascii="宋体" w:hAnsi="宋体" w:cs="宋体"/>
                <w:szCs w:val="21"/>
                <w:highlight w:val="none"/>
                <w:u w:val="single"/>
              </w:rPr>
              <w:t>90</w:t>
            </w:r>
            <w:r>
              <w:rPr>
                <w:rFonts w:hint="eastAsia" w:ascii="宋体" w:hAnsi="宋体" w:cs="宋体"/>
                <w:szCs w:val="21"/>
                <w:highlight w:val="none"/>
              </w:rPr>
              <w:t>日。</w:t>
            </w:r>
          </w:p>
        </w:tc>
      </w:tr>
      <w:tr w14:paraId="54CA2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093D5348">
            <w:pPr>
              <w:spacing w:line="360" w:lineRule="exact"/>
              <w:rPr>
                <w:rFonts w:ascii="宋体" w:hAnsi="宋体" w:cs="宋体"/>
                <w:szCs w:val="21"/>
                <w:highlight w:val="none"/>
              </w:rPr>
            </w:pPr>
            <w:r>
              <w:rPr>
                <w:rFonts w:hint="eastAsia" w:ascii="宋体" w:hAnsi="宋体" w:cs="宋体"/>
                <w:szCs w:val="21"/>
                <w:highlight w:val="none"/>
              </w:rPr>
              <w:t>18</w:t>
            </w:r>
          </w:p>
        </w:tc>
        <w:tc>
          <w:tcPr>
            <w:tcW w:w="2083" w:type="dxa"/>
            <w:tcBorders>
              <w:top w:val="single" w:color="auto" w:sz="4" w:space="0"/>
              <w:left w:val="single" w:color="auto" w:sz="4" w:space="0"/>
              <w:bottom w:val="single" w:color="auto" w:sz="4" w:space="0"/>
              <w:right w:val="single" w:color="auto" w:sz="4" w:space="0"/>
            </w:tcBorders>
            <w:noWrap/>
            <w:vAlign w:val="center"/>
          </w:tcPr>
          <w:p w14:paraId="65910551">
            <w:pPr>
              <w:spacing w:line="360" w:lineRule="exact"/>
              <w:rPr>
                <w:rFonts w:ascii="宋体" w:hAnsi="宋体" w:cs="宋体"/>
                <w:szCs w:val="21"/>
                <w:highlight w:val="none"/>
              </w:rPr>
            </w:pPr>
            <w:bookmarkStart w:id="91" w:name="_18"/>
            <w:bookmarkEnd w:id="91"/>
            <w:r>
              <w:rPr>
                <w:rFonts w:hint="eastAsia" w:ascii="宋体" w:hAnsi="宋体" w:cs="宋体"/>
                <w:szCs w:val="21"/>
                <w:highlight w:val="none"/>
              </w:rPr>
              <w:t>投标保证金金额</w:t>
            </w:r>
          </w:p>
        </w:tc>
        <w:tc>
          <w:tcPr>
            <w:tcW w:w="6872" w:type="dxa"/>
            <w:tcBorders>
              <w:top w:val="single" w:color="auto" w:sz="4" w:space="0"/>
              <w:left w:val="single" w:color="auto" w:sz="4" w:space="0"/>
              <w:bottom w:val="single" w:color="auto" w:sz="4" w:space="0"/>
              <w:right w:val="single" w:color="auto" w:sz="4" w:space="0"/>
            </w:tcBorders>
            <w:noWrap/>
            <w:vAlign w:val="center"/>
          </w:tcPr>
          <w:p w14:paraId="27A9F8B9">
            <w:pPr>
              <w:snapToGrid w:val="0"/>
              <w:spacing w:line="360" w:lineRule="auto"/>
              <w:rPr>
                <w:rFonts w:ascii="宋体" w:hAnsi="宋体" w:cs="宋体"/>
                <w:szCs w:val="21"/>
                <w:highlight w:val="none"/>
              </w:rPr>
            </w:pPr>
            <w:r>
              <w:rPr>
                <w:rFonts w:hint="eastAsia" w:ascii="宋体" w:hAnsi="宋体" w:cs="宋体"/>
                <w:szCs w:val="21"/>
                <w:highlight w:val="none"/>
              </w:rPr>
              <w:t>1.投标保证金的缴纳方式：详见招标公告</w:t>
            </w:r>
          </w:p>
          <w:p w14:paraId="67DFEA43">
            <w:pPr>
              <w:snapToGrid w:val="0"/>
              <w:spacing w:line="360" w:lineRule="auto"/>
              <w:rPr>
                <w:rFonts w:ascii="宋体" w:hAnsi="宋体" w:cs="宋体"/>
                <w:szCs w:val="21"/>
                <w:highlight w:val="none"/>
              </w:rPr>
            </w:pPr>
            <w:r>
              <w:rPr>
                <w:rFonts w:hint="eastAsia" w:ascii="宋体" w:hAnsi="宋体" w:cs="宋体"/>
                <w:szCs w:val="21"/>
                <w:highlight w:val="none"/>
              </w:rPr>
              <w:t>2.投标保证金的金额：详见招标公告</w:t>
            </w:r>
          </w:p>
          <w:p w14:paraId="4B5EE075">
            <w:pPr>
              <w:spacing w:line="360" w:lineRule="auto"/>
              <w:jc w:val="left"/>
              <w:rPr>
                <w:rFonts w:ascii="宋体" w:hAnsi="宋体" w:cs="宋体"/>
                <w:szCs w:val="21"/>
                <w:highlight w:val="none"/>
              </w:rPr>
            </w:pPr>
            <w:r>
              <w:rPr>
                <w:rFonts w:hint="eastAsia" w:ascii="宋体" w:hAnsi="宋体" w:cs="宋体"/>
                <w:szCs w:val="21"/>
                <w:highlight w:val="none"/>
              </w:rPr>
              <w:t>3.投标保证金采用银行转账缴纳方式的，在投标截止时间前交至采购代理机构指定账户并且到账，投标人应将银行转账底单的复印件作为投标保证金提交凭证，放置于商务文件中，</w:t>
            </w:r>
            <w:r>
              <w:rPr>
                <w:rFonts w:hint="eastAsia" w:ascii="宋体" w:hAnsi="宋体" w:cs="宋体"/>
                <w:b/>
                <w:szCs w:val="21"/>
                <w:highlight w:val="none"/>
              </w:rPr>
              <w:t>否则作无效投标处理</w:t>
            </w:r>
            <w:r>
              <w:rPr>
                <w:rFonts w:hint="eastAsia" w:ascii="宋体" w:hAnsi="宋体" w:cs="宋体"/>
                <w:szCs w:val="21"/>
                <w:highlight w:val="none"/>
              </w:rPr>
              <w:t>。</w:t>
            </w:r>
          </w:p>
          <w:p w14:paraId="6BFC54AE">
            <w:pPr>
              <w:snapToGrid w:val="0"/>
              <w:spacing w:line="360" w:lineRule="auto"/>
              <w:rPr>
                <w:rFonts w:ascii="宋体" w:hAnsi="宋体" w:cs="宋体"/>
                <w:szCs w:val="21"/>
                <w:highlight w:val="none"/>
              </w:rPr>
            </w:pPr>
            <w:r>
              <w:rPr>
                <w:rFonts w:hint="eastAsia" w:ascii="宋体" w:hAnsi="宋体" w:cs="宋体"/>
                <w:szCs w:val="21"/>
                <w:highlight w:val="none"/>
              </w:rPr>
              <w:t>4.投标保证金采用支票、汇票、本票或者金融机构、担保机构出具的保函等缴纳方式的，投标人应将支票、汇票、本票或者金融机构、担保机构出具的保函等的复印件或者金融机构、担保机构出具的</w:t>
            </w:r>
            <w:r>
              <w:rPr>
                <w:rFonts w:hint="eastAsia" w:ascii="宋体" w:hAnsi="宋体" w:cs="宋体"/>
                <w:kern w:val="0"/>
                <w:szCs w:val="21"/>
                <w:highlight w:val="none"/>
              </w:rPr>
              <w:t>电子保函</w:t>
            </w:r>
            <w:r>
              <w:rPr>
                <w:rFonts w:hint="eastAsia" w:ascii="宋体" w:hAnsi="宋体" w:cs="宋体"/>
                <w:szCs w:val="21"/>
                <w:highlight w:val="none"/>
              </w:rPr>
              <w:t>作为投标保证金提交凭证，放置于商务文件中，</w:t>
            </w:r>
            <w:r>
              <w:rPr>
                <w:rFonts w:hint="eastAsia" w:ascii="宋体" w:hAnsi="宋体" w:cs="宋体"/>
                <w:b/>
                <w:szCs w:val="21"/>
                <w:highlight w:val="none"/>
              </w:rPr>
              <w:t>否则作无效投标处理</w:t>
            </w:r>
            <w:r>
              <w:rPr>
                <w:rFonts w:hint="eastAsia" w:ascii="宋体" w:hAnsi="宋体" w:cs="宋体"/>
                <w:szCs w:val="21"/>
                <w:highlight w:val="none"/>
              </w:rPr>
              <w:t>。投标人必须</w:t>
            </w:r>
            <w:r>
              <w:rPr>
                <w:rFonts w:hint="eastAsia" w:ascii="宋体" w:hAnsi="宋体" w:cs="宋体"/>
                <w:kern w:val="0"/>
                <w:szCs w:val="21"/>
                <w:highlight w:val="none"/>
              </w:rPr>
              <w:t>在投标截止时间前</w:t>
            </w:r>
            <w:r>
              <w:rPr>
                <w:rFonts w:hint="eastAsia" w:ascii="宋体" w:hAnsi="宋体" w:cs="宋体"/>
                <w:szCs w:val="21"/>
                <w:highlight w:val="none"/>
              </w:rPr>
              <w:t>将支票、汇票、本票或者金融、担保机构出具的保函（</w:t>
            </w:r>
            <w:r>
              <w:rPr>
                <w:rFonts w:hint="eastAsia" w:ascii="宋体" w:hAnsi="宋体" w:cs="宋体"/>
                <w:kern w:val="0"/>
                <w:szCs w:val="21"/>
                <w:highlight w:val="none"/>
              </w:rPr>
              <w:t>电子保函除外</w:t>
            </w:r>
            <w:r>
              <w:rPr>
                <w:rFonts w:hint="eastAsia" w:ascii="宋体" w:hAnsi="宋体" w:cs="宋体"/>
                <w:szCs w:val="21"/>
                <w:highlight w:val="none"/>
              </w:rPr>
              <w:t>）等原件提交给采购代理机构，由采购代理机构向投标人出具回执，并妥善保管。</w:t>
            </w:r>
          </w:p>
          <w:p w14:paraId="13F0BA01">
            <w:pPr>
              <w:snapToGrid w:val="0"/>
              <w:spacing w:line="360" w:lineRule="auto"/>
              <w:rPr>
                <w:rFonts w:ascii="宋体" w:hAnsi="宋体" w:cs="宋体"/>
                <w:szCs w:val="21"/>
                <w:highlight w:val="none"/>
              </w:rPr>
            </w:pPr>
            <w:r>
              <w:rPr>
                <w:rFonts w:hint="eastAsia" w:ascii="宋体" w:hAnsi="宋体" w:cs="宋体"/>
                <w:szCs w:val="21"/>
                <w:highlight w:val="none"/>
              </w:rPr>
              <w:t>5.缴纳投标保证金指定账户：详见招标公告。</w:t>
            </w:r>
          </w:p>
          <w:p w14:paraId="7F006358">
            <w:pPr>
              <w:snapToGrid w:val="0"/>
              <w:spacing w:line="360" w:lineRule="auto"/>
              <w:rPr>
                <w:rFonts w:ascii="宋体" w:hAnsi="宋体" w:cs="宋体"/>
                <w:szCs w:val="21"/>
                <w:highlight w:val="none"/>
              </w:rPr>
            </w:pPr>
            <w:r>
              <w:rPr>
                <w:rFonts w:hint="eastAsia" w:ascii="宋体" w:hAnsi="宋体" w:cs="宋体"/>
                <w:szCs w:val="21"/>
                <w:highlight w:val="none"/>
              </w:rPr>
              <w:t>6.投标人为联合体的，可以由联合体中的一方或者多方共同缴纳投标保证金，其缴纳的投标保证金对联合体各方均具有约束力。</w:t>
            </w:r>
          </w:p>
          <w:p w14:paraId="094CC3F4">
            <w:pPr>
              <w:snapToGrid w:val="0"/>
              <w:spacing w:line="360" w:lineRule="auto"/>
              <w:ind w:firstLine="316"/>
              <w:rPr>
                <w:rFonts w:ascii="宋体" w:hAnsi="宋体" w:cs="宋体"/>
                <w:b/>
                <w:szCs w:val="21"/>
                <w:highlight w:val="none"/>
              </w:rPr>
            </w:pPr>
            <w:r>
              <w:rPr>
                <w:rFonts w:hint="eastAsia" w:ascii="宋体" w:hAnsi="宋体" w:cs="宋体"/>
                <w:b/>
                <w:szCs w:val="21"/>
                <w:highlight w:val="none"/>
              </w:rPr>
              <w:t xml:space="preserve">备注： </w:t>
            </w:r>
          </w:p>
          <w:p w14:paraId="7177597C">
            <w:pPr>
              <w:snapToGrid w:val="0"/>
              <w:spacing w:line="360" w:lineRule="auto"/>
              <w:ind w:firstLine="316"/>
              <w:rPr>
                <w:rFonts w:ascii="宋体" w:hAnsi="宋体" w:cs="宋体"/>
                <w:b/>
                <w:szCs w:val="21"/>
                <w:highlight w:val="none"/>
              </w:rPr>
            </w:pPr>
            <w:r>
              <w:rPr>
                <w:rFonts w:hint="eastAsia" w:ascii="宋体" w:hAnsi="宋体" w:cs="宋体"/>
                <w:b/>
                <w:szCs w:val="21"/>
                <w:highlight w:val="none"/>
                <w:lang w:val="en-US" w:eastAsia="zh-CN"/>
              </w:rPr>
              <w:t>(</w:t>
            </w:r>
            <w:r>
              <w:rPr>
                <w:rFonts w:hint="eastAsia" w:ascii="宋体" w:hAnsi="宋体" w:cs="宋体"/>
                <w:b/>
                <w:szCs w:val="21"/>
                <w:highlight w:val="none"/>
              </w:rPr>
              <w:t>1</w:t>
            </w:r>
            <w:r>
              <w:rPr>
                <w:rFonts w:hint="eastAsia" w:ascii="宋体" w:hAnsi="宋体" w:cs="宋体"/>
                <w:b/>
                <w:szCs w:val="21"/>
                <w:highlight w:val="none"/>
                <w:lang w:val="en-US" w:eastAsia="zh-CN"/>
              </w:rPr>
              <w:t>)</w:t>
            </w:r>
            <w:r>
              <w:rPr>
                <w:rFonts w:hint="eastAsia" w:ascii="宋体" w:hAnsi="宋体" w:cs="宋体"/>
                <w:b/>
                <w:szCs w:val="21"/>
                <w:highlight w:val="none"/>
              </w:rPr>
              <w:t xml:space="preserve"> 投标保证金在投标截止时间后提交的，或者不按规定缴纳方式缴纳的，或者未足额缴纳的（包含保函额度不足的），视为无效投标保证金。</w:t>
            </w:r>
          </w:p>
          <w:p w14:paraId="03F2F482">
            <w:pPr>
              <w:snapToGrid w:val="0"/>
              <w:spacing w:line="360" w:lineRule="auto"/>
              <w:ind w:firstLine="316"/>
              <w:rPr>
                <w:rFonts w:ascii="宋体" w:hAnsi="宋体" w:cs="宋体"/>
                <w:b/>
                <w:szCs w:val="21"/>
                <w:highlight w:val="none"/>
              </w:rPr>
            </w:pPr>
            <w:r>
              <w:rPr>
                <w:rFonts w:hint="eastAsia" w:ascii="宋体" w:hAnsi="宋体" w:cs="宋体"/>
                <w:b/>
                <w:szCs w:val="21"/>
                <w:highlight w:val="none"/>
                <w:lang w:val="en-US" w:eastAsia="zh-CN"/>
              </w:rPr>
              <w:t>(</w:t>
            </w:r>
            <w:r>
              <w:rPr>
                <w:rFonts w:hint="eastAsia" w:ascii="宋体" w:hAnsi="宋体" w:cs="宋体"/>
                <w:b/>
                <w:szCs w:val="21"/>
                <w:highlight w:val="none"/>
              </w:rPr>
              <w:t>2</w:t>
            </w:r>
            <w:r>
              <w:rPr>
                <w:rFonts w:hint="eastAsia" w:ascii="宋体" w:hAnsi="宋体" w:cs="宋体"/>
                <w:b/>
                <w:szCs w:val="21"/>
                <w:highlight w:val="none"/>
                <w:lang w:val="en-US" w:eastAsia="zh-CN"/>
              </w:rPr>
              <w:t>)</w:t>
            </w:r>
            <w:r>
              <w:rPr>
                <w:rFonts w:hint="eastAsia" w:ascii="宋体" w:hAnsi="宋体" w:cs="宋体"/>
                <w:b/>
                <w:szCs w:val="21"/>
                <w:highlight w:val="none"/>
              </w:rPr>
              <w:t>投标人采用现金方式或者从个人账户（自然人投标除外）转出的投标保证金，视为无效投标保证金。</w:t>
            </w:r>
          </w:p>
          <w:p w14:paraId="2FE2EE82">
            <w:pPr>
              <w:snapToGrid w:val="0"/>
              <w:spacing w:line="360" w:lineRule="auto"/>
              <w:ind w:firstLine="316"/>
              <w:rPr>
                <w:rFonts w:ascii="宋体" w:hAnsi="宋体" w:cs="宋体"/>
                <w:b/>
                <w:szCs w:val="21"/>
                <w:highlight w:val="none"/>
              </w:rPr>
            </w:pPr>
            <w:r>
              <w:rPr>
                <w:rFonts w:hint="eastAsia" w:ascii="宋体" w:hAnsi="宋体" w:cs="宋体"/>
                <w:b/>
                <w:szCs w:val="21"/>
                <w:highlight w:val="none"/>
                <w:lang w:val="en-US" w:eastAsia="zh-CN"/>
              </w:rPr>
              <w:t>(</w:t>
            </w:r>
            <w:r>
              <w:rPr>
                <w:rFonts w:hint="eastAsia" w:ascii="宋体" w:hAnsi="宋体" w:cs="宋体"/>
                <w:b/>
                <w:szCs w:val="21"/>
                <w:highlight w:val="none"/>
              </w:rPr>
              <w:t>3</w:t>
            </w:r>
            <w:r>
              <w:rPr>
                <w:rFonts w:hint="eastAsia" w:ascii="宋体" w:hAnsi="宋体" w:cs="宋体"/>
                <w:b/>
                <w:szCs w:val="21"/>
                <w:highlight w:val="none"/>
                <w:lang w:val="en-US" w:eastAsia="zh-CN"/>
              </w:rPr>
              <w:t>)</w:t>
            </w:r>
            <w:r>
              <w:rPr>
                <w:rFonts w:hint="eastAsia" w:ascii="宋体" w:hAnsi="宋体" w:cs="宋体"/>
                <w:b/>
                <w:szCs w:val="21"/>
                <w:highlight w:val="none"/>
              </w:rPr>
              <w:t>支票、汇票或者本票出现无效或者背书情形的，视为无效投标保证金。</w:t>
            </w:r>
          </w:p>
          <w:p w14:paraId="10FD8D16">
            <w:pPr>
              <w:snapToGrid w:val="0"/>
              <w:spacing w:line="360" w:lineRule="auto"/>
              <w:ind w:firstLine="316"/>
              <w:rPr>
                <w:rFonts w:ascii="宋体" w:hAnsi="宋体" w:cs="宋体"/>
                <w:b/>
                <w:szCs w:val="21"/>
                <w:highlight w:val="none"/>
              </w:rPr>
            </w:pPr>
            <w:r>
              <w:rPr>
                <w:rFonts w:hint="eastAsia" w:ascii="宋体" w:hAnsi="宋体" w:cs="宋体"/>
                <w:b/>
                <w:szCs w:val="21"/>
                <w:highlight w:val="none"/>
                <w:lang w:val="en-US" w:eastAsia="zh-CN"/>
              </w:rPr>
              <w:t>(</w:t>
            </w:r>
            <w:r>
              <w:rPr>
                <w:rFonts w:hint="eastAsia" w:ascii="宋体" w:hAnsi="宋体" w:cs="宋体"/>
                <w:b/>
                <w:szCs w:val="21"/>
                <w:highlight w:val="none"/>
              </w:rPr>
              <w:t>4</w:t>
            </w:r>
            <w:r>
              <w:rPr>
                <w:rFonts w:hint="eastAsia" w:ascii="宋体" w:hAnsi="宋体" w:cs="宋体"/>
                <w:b/>
                <w:szCs w:val="21"/>
                <w:highlight w:val="none"/>
                <w:lang w:val="en-US" w:eastAsia="zh-CN"/>
              </w:rPr>
              <w:t>)</w:t>
            </w:r>
            <w:r>
              <w:rPr>
                <w:rFonts w:hint="eastAsia" w:ascii="宋体" w:hAnsi="宋体" w:cs="宋体"/>
                <w:b/>
                <w:szCs w:val="21"/>
                <w:highlight w:val="none"/>
              </w:rPr>
              <w:t>保函有效期低于投标有效期的，视为无效投标保证金。</w:t>
            </w:r>
          </w:p>
          <w:p w14:paraId="56132F9B">
            <w:pPr>
              <w:autoSpaceDE w:val="0"/>
              <w:autoSpaceDN w:val="0"/>
              <w:snapToGrid w:val="0"/>
              <w:spacing w:line="360" w:lineRule="auto"/>
              <w:ind w:firstLine="316"/>
              <w:textAlignment w:val="bottom"/>
              <w:rPr>
                <w:rFonts w:ascii="宋体" w:hAnsi="宋体" w:cs="宋体"/>
                <w:szCs w:val="21"/>
                <w:highlight w:val="none"/>
              </w:rPr>
            </w:pPr>
            <w:r>
              <w:rPr>
                <w:rFonts w:hint="eastAsia" w:ascii="宋体" w:hAnsi="宋体" w:cs="宋体"/>
                <w:b/>
                <w:szCs w:val="21"/>
                <w:highlight w:val="none"/>
                <w:lang w:val="en-US" w:eastAsia="zh-CN"/>
              </w:rPr>
              <w:t>(</w:t>
            </w:r>
            <w:r>
              <w:rPr>
                <w:rFonts w:hint="eastAsia" w:ascii="宋体" w:hAnsi="宋体" w:cs="宋体"/>
                <w:b/>
                <w:szCs w:val="21"/>
                <w:highlight w:val="none"/>
              </w:rPr>
              <w:t>5</w:t>
            </w:r>
            <w:r>
              <w:rPr>
                <w:rFonts w:hint="eastAsia" w:ascii="宋体" w:hAnsi="宋体" w:cs="宋体"/>
                <w:b/>
                <w:szCs w:val="21"/>
                <w:highlight w:val="none"/>
                <w:lang w:val="en-US" w:eastAsia="zh-CN"/>
              </w:rPr>
              <w:t>)</w:t>
            </w:r>
            <w:r>
              <w:rPr>
                <w:rFonts w:hint="eastAsia" w:ascii="宋体" w:hAnsi="宋体" w:cs="宋体"/>
                <w:b/>
                <w:szCs w:val="21"/>
                <w:highlight w:val="none"/>
              </w:rPr>
              <w:t>采用金融、担保机构出具保函的，必须为无条件保函，否则视为无效投标保证金</w:t>
            </w:r>
            <w:r>
              <w:rPr>
                <w:rFonts w:hint="eastAsia" w:ascii="宋体" w:hAnsi="宋体" w:cs="宋体"/>
                <w:b/>
                <w:bCs/>
                <w:szCs w:val="21"/>
                <w:highlight w:val="none"/>
              </w:rPr>
              <w:t>。</w:t>
            </w:r>
          </w:p>
        </w:tc>
      </w:tr>
      <w:tr w14:paraId="3B9F4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494443B5">
            <w:pPr>
              <w:spacing w:line="360" w:lineRule="exact"/>
              <w:rPr>
                <w:rFonts w:ascii="宋体" w:hAnsi="宋体" w:cs="宋体"/>
                <w:szCs w:val="21"/>
                <w:highlight w:val="none"/>
              </w:rPr>
            </w:pPr>
            <w:r>
              <w:rPr>
                <w:rFonts w:hint="eastAsia" w:ascii="宋体" w:hAnsi="宋体" w:cs="宋体"/>
                <w:szCs w:val="21"/>
                <w:highlight w:val="none"/>
              </w:rPr>
              <w:t>19.1</w:t>
            </w:r>
          </w:p>
        </w:tc>
        <w:tc>
          <w:tcPr>
            <w:tcW w:w="2083" w:type="dxa"/>
            <w:tcBorders>
              <w:top w:val="single" w:color="auto" w:sz="4" w:space="0"/>
              <w:left w:val="single" w:color="auto" w:sz="4" w:space="0"/>
              <w:bottom w:val="single" w:color="auto" w:sz="4" w:space="0"/>
              <w:right w:val="single" w:color="auto" w:sz="4" w:space="0"/>
            </w:tcBorders>
            <w:noWrap/>
            <w:vAlign w:val="center"/>
          </w:tcPr>
          <w:p w14:paraId="605877F4">
            <w:pPr>
              <w:spacing w:line="360" w:lineRule="exact"/>
              <w:rPr>
                <w:rFonts w:ascii="宋体" w:hAnsi="宋体" w:cs="宋体"/>
                <w:szCs w:val="21"/>
                <w:highlight w:val="none"/>
              </w:rPr>
            </w:pPr>
            <w:r>
              <w:rPr>
                <w:rFonts w:hint="eastAsia" w:ascii="宋体" w:hAnsi="宋体" w:cs="宋体"/>
                <w:szCs w:val="21"/>
                <w:highlight w:val="none"/>
              </w:rPr>
              <w:t>投标文件编制要求</w:t>
            </w:r>
          </w:p>
        </w:tc>
        <w:tc>
          <w:tcPr>
            <w:tcW w:w="6872" w:type="dxa"/>
            <w:tcBorders>
              <w:top w:val="single" w:color="auto" w:sz="4" w:space="0"/>
              <w:left w:val="single" w:color="auto" w:sz="4" w:space="0"/>
              <w:bottom w:val="single" w:color="auto" w:sz="4" w:space="0"/>
              <w:right w:val="single" w:color="auto" w:sz="4" w:space="0"/>
            </w:tcBorders>
            <w:noWrap/>
            <w:vAlign w:val="center"/>
          </w:tcPr>
          <w:p w14:paraId="0C7DBBAF">
            <w:pPr>
              <w:spacing w:line="360" w:lineRule="auto"/>
              <w:rPr>
                <w:rFonts w:ascii="宋体" w:hAnsi="宋体" w:cs="宋体"/>
                <w:b/>
                <w:szCs w:val="21"/>
                <w:highlight w:val="none"/>
                <w:u w:val="single"/>
              </w:rPr>
            </w:pPr>
            <w:r>
              <w:rPr>
                <w:rFonts w:hint="eastAsia" w:ascii="宋体" w:hAnsi="宋体" w:cs="宋体"/>
                <w:szCs w:val="21"/>
                <w:highlight w:val="none"/>
              </w:rPr>
              <w:t>投标文件应按报价文件、资格证明文件、商务文件、技术文件分别编制，报价文件、资格证明文件分别生成电子文件，商务文件和技术文件按顺序合并生成电子文件。</w:t>
            </w:r>
            <w:r>
              <w:rPr>
                <w:rFonts w:hint="eastAsia" w:ascii="宋体" w:hAnsi="宋体" w:cs="宋体"/>
                <w:b/>
                <w:bCs/>
                <w:szCs w:val="21"/>
                <w:highlight w:val="none"/>
              </w:rPr>
              <w:t>（注：按照本招标文件“第六章 投标文件格式”编写，第六章未附格式的，由投标人自行拟定。）</w:t>
            </w:r>
          </w:p>
        </w:tc>
      </w:tr>
      <w:tr w14:paraId="44C5F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CBB5DFB">
            <w:pPr>
              <w:spacing w:line="360" w:lineRule="exact"/>
              <w:rPr>
                <w:rFonts w:ascii="宋体" w:hAnsi="宋体" w:cs="宋体"/>
                <w:szCs w:val="21"/>
                <w:highlight w:val="none"/>
              </w:rPr>
            </w:pPr>
            <w:r>
              <w:rPr>
                <w:rFonts w:hint="eastAsia" w:ascii="宋体" w:hAnsi="宋体" w:cs="宋体"/>
                <w:szCs w:val="21"/>
                <w:highlight w:val="none"/>
              </w:rPr>
              <w:t>20</w:t>
            </w:r>
          </w:p>
        </w:tc>
        <w:tc>
          <w:tcPr>
            <w:tcW w:w="2083" w:type="dxa"/>
            <w:tcBorders>
              <w:top w:val="single" w:color="auto" w:sz="4" w:space="0"/>
              <w:left w:val="single" w:color="auto" w:sz="4" w:space="0"/>
              <w:bottom w:val="single" w:color="auto" w:sz="4" w:space="0"/>
              <w:right w:val="single" w:color="auto" w:sz="4" w:space="0"/>
            </w:tcBorders>
            <w:noWrap/>
            <w:vAlign w:val="center"/>
          </w:tcPr>
          <w:p w14:paraId="28E0362D">
            <w:pPr>
              <w:spacing w:line="360" w:lineRule="exact"/>
              <w:rPr>
                <w:rFonts w:ascii="宋体" w:hAnsi="宋体" w:cs="宋体"/>
                <w:szCs w:val="21"/>
                <w:highlight w:val="none"/>
              </w:rPr>
            </w:pPr>
            <w:r>
              <w:rPr>
                <w:rFonts w:hint="eastAsia" w:ascii="宋体" w:hAnsi="宋体" w:cs="宋体"/>
                <w:szCs w:val="21"/>
                <w:highlight w:val="none"/>
              </w:rPr>
              <w:t>备份投标文件</w:t>
            </w:r>
          </w:p>
        </w:tc>
        <w:tc>
          <w:tcPr>
            <w:tcW w:w="6872" w:type="dxa"/>
            <w:tcBorders>
              <w:top w:val="single" w:color="auto" w:sz="4" w:space="0"/>
              <w:left w:val="single" w:color="auto" w:sz="4" w:space="0"/>
              <w:bottom w:val="single" w:color="auto" w:sz="4" w:space="0"/>
              <w:right w:val="single" w:color="auto" w:sz="4" w:space="0"/>
            </w:tcBorders>
            <w:noWrap/>
            <w:vAlign w:val="center"/>
          </w:tcPr>
          <w:p w14:paraId="7D1E2BDA">
            <w:pPr>
              <w:autoSpaceDE w:val="0"/>
              <w:autoSpaceDN w:val="0"/>
              <w:snapToGrid w:val="0"/>
              <w:spacing w:line="360" w:lineRule="auto"/>
              <w:textAlignment w:val="bottom"/>
              <w:rPr>
                <w:rFonts w:ascii="宋体" w:hAnsi="宋体" w:cs="宋体"/>
                <w:szCs w:val="21"/>
                <w:highlight w:val="none"/>
              </w:rPr>
            </w:pPr>
            <w:r>
              <w:rPr>
                <w:rFonts w:hint="eastAsia" w:ascii="宋体" w:hAnsi="宋体" w:cs="宋体"/>
                <w:szCs w:val="21"/>
                <w:highlight w:val="none"/>
              </w:rPr>
              <w:t>本项目不接受备份投标文件。</w:t>
            </w:r>
          </w:p>
        </w:tc>
      </w:tr>
      <w:tr w14:paraId="4C535B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restart"/>
            <w:tcBorders>
              <w:top w:val="single" w:color="auto" w:sz="4" w:space="0"/>
              <w:left w:val="single" w:color="auto" w:sz="4" w:space="0"/>
              <w:bottom w:val="nil"/>
              <w:right w:val="single" w:color="auto" w:sz="4" w:space="0"/>
            </w:tcBorders>
            <w:noWrap/>
            <w:vAlign w:val="center"/>
          </w:tcPr>
          <w:p w14:paraId="281DC7AC">
            <w:pPr>
              <w:spacing w:line="360" w:lineRule="exact"/>
              <w:rPr>
                <w:rFonts w:ascii="宋体" w:hAnsi="宋体" w:cs="宋体"/>
                <w:szCs w:val="21"/>
                <w:highlight w:val="none"/>
              </w:rPr>
            </w:pPr>
            <w:r>
              <w:rPr>
                <w:rFonts w:hint="eastAsia" w:ascii="宋体" w:hAnsi="宋体" w:cs="宋体"/>
                <w:szCs w:val="21"/>
                <w:highlight w:val="none"/>
              </w:rPr>
              <w:t>21.1</w:t>
            </w:r>
          </w:p>
        </w:tc>
        <w:tc>
          <w:tcPr>
            <w:tcW w:w="2083" w:type="dxa"/>
            <w:tcBorders>
              <w:top w:val="single" w:color="auto" w:sz="4" w:space="0"/>
              <w:left w:val="single" w:color="auto" w:sz="4" w:space="0"/>
              <w:bottom w:val="single" w:color="auto" w:sz="4" w:space="0"/>
              <w:right w:val="single" w:color="auto" w:sz="4" w:space="0"/>
            </w:tcBorders>
            <w:noWrap/>
            <w:vAlign w:val="center"/>
          </w:tcPr>
          <w:p w14:paraId="38973E28">
            <w:pPr>
              <w:spacing w:line="360" w:lineRule="exact"/>
              <w:rPr>
                <w:rFonts w:ascii="宋体" w:hAnsi="宋体" w:cs="宋体"/>
                <w:szCs w:val="21"/>
                <w:highlight w:val="none"/>
              </w:rPr>
            </w:pPr>
            <w:bookmarkStart w:id="92" w:name="_21.1"/>
            <w:bookmarkEnd w:id="92"/>
            <w:r>
              <w:rPr>
                <w:rFonts w:hint="eastAsia" w:ascii="宋体" w:hAnsi="宋体" w:cs="宋体"/>
                <w:szCs w:val="21"/>
                <w:highlight w:val="none"/>
              </w:rPr>
              <w:t>投标截止时间</w:t>
            </w:r>
          </w:p>
        </w:tc>
        <w:tc>
          <w:tcPr>
            <w:tcW w:w="6872" w:type="dxa"/>
            <w:tcBorders>
              <w:top w:val="single" w:color="auto" w:sz="4" w:space="0"/>
              <w:left w:val="single" w:color="auto" w:sz="4" w:space="0"/>
              <w:bottom w:val="single" w:color="auto" w:sz="4" w:space="0"/>
              <w:right w:val="single" w:color="auto" w:sz="4" w:space="0"/>
            </w:tcBorders>
            <w:noWrap/>
            <w:vAlign w:val="center"/>
          </w:tcPr>
          <w:p w14:paraId="5DE0D457">
            <w:pPr>
              <w:snapToGrid w:val="0"/>
              <w:spacing w:line="360" w:lineRule="auto"/>
              <w:rPr>
                <w:rFonts w:ascii="宋体" w:hAnsi="宋体" w:cs="宋体"/>
                <w:szCs w:val="21"/>
                <w:highlight w:val="none"/>
                <w:u w:val="single"/>
              </w:rPr>
            </w:pPr>
            <w:r>
              <w:rPr>
                <w:rFonts w:hint="eastAsia" w:ascii="宋体" w:hAnsi="宋体" w:cs="宋体"/>
                <w:szCs w:val="21"/>
                <w:highlight w:val="none"/>
              </w:rPr>
              <w:t>详见招标公告</w:t>
            </w:r>
          </w:p>
        </w:tc>
      </w:tr>
      <w:tr w14:paraId="00A9ED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nil"/>
              <w:right w:val="single" w:color="auto" w:sz="4" w:space="0"/>
            </w:tcBorders>
            <w:noWrap/>
            <w:vAlign w:val="center"/>
          </w:tcPr>
          <w:p w14:paraId="590EFBD0">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78351F0A">
            <w:pPr>
              <w:spacing w:line="360" w:lineRule="exact"/>
              <w:rPr>
                <w:rFonts w:ascii="宋体" w:hAnsi="宋体" w:cs="宋体"/>
                <w:szCs w:val="21"/>
                <w:highlight w:val="none"/>
              </w:rPr>
            </w:pPr>
            <w:r>
              <w:rPr>
                <w:rFonts w:hint="eastAsia" w:ascii="宋体" w:hAnsi="宋体" w:cs="宋体"/>
                <w:szCs w:val="21"/>
                <w:highlight w:val="none"/>
              </w:rPr>
              <w:t>投标地点</w:t>
            </w:r>
          </w:p>
        </w:tc>
        <w:tc>
          <w:tcPr>
            <w:tcW w:w="6872" w:type="dxa"/>
            <w:tcBorders>
              <w:top w:val="single" w:color="auto" w:sz="4" w:space="0"/>
              <w:left w:val="single" w:color="auto" w:sz="4" w:space="0"/>
              <w:bottom w:val="single" w:color="auto" w:sz="4" w:space="0"/>
              <w:right w:val="single" w:color="auto" w:sz="4" w:space="0"/>
            </w:tcBorders>
            <w:noWrap/>
            <w:vAlign w:val="center"/>
          </w:tcPr>
          <w:p w14:paraId="12F913E8">
            <w:pPr>
              <w:snapToGrid w:val="0"/>
              <w:spacing w:line="360" w:lineRule="auto"/>
              <w:rPr>
                <w:rFonts w:ascii="宋体" w:hAnsi="宋体" w:cs="宋体"/>
                <w:szCs w:val="21"/>
                <w:highlight w:val="none"/>
              </w:rPr>
            </w:pPr>
            <w:r>
              <w:rPr>
                <w:rFonts w:hint="eastAsia" w:ascii="宋体" w:hAnsi="宋体" w:cs="宋体"/>
                <w:szCs w:val="21"/>
                <w:highlight w:val="none"/>
              </w:rPr>
              <w:t>详见招标公告</w:t>
            </w:r>
          </w:p>
        </w:tc>
      </w:tr>
      <w:tr w14:paraId="1EF3A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nil"/>
              <w:right w:val="single" w:color="auto" w:sz="4" w:space="0"/>
            </w:tcBorders>
            <w:noWrap/>
            <w:vAlign w:val="center"/>
          </w:tcPr>
          <w:p w14:paraId="43315E60">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7CD03B4D">
            <w:pPr>
              <w:spacing w:line="360" w:lineRule="exact"/>
              <w:rPr>
                <w:rFonts w:ascii="宋体" w:hAnsi="宋体" w:cs="宋体"/>
                <w:szCs w:val="21"/>
                <w:highlight w:val="none"/>
              </w:rPr>
            </w:pPr>
            <w:r>
              <w:rPr>
                <w:rFonts w:hint="eastAsia" w:ascii="宋体" w:hAnsi="宋体" w:cs="宋体"/>
                <w:szCs w:val="21"/>
                <w:highlight w:val="none"/>
              </w:rPr>
              <w:t>投标人递交投标样品截止时间及地点</w:t>
            </w:r>
          </w:p>
        </w:tc>
        <w:tc>
          <w:tcPr>
            <w:tcW w:w="6872" w:type="dxa"/>
            <w:tcBorders>
              <w:top w:val="single" w:color="auto" w:sz="4" w:space="0"/>
              <w:left w:val="single" w:color="auto" w:sz="4" w:space="0"/>
              <w:bottom w:val="single" w:color="auto" w:sz="4" w:space="0"/>
              <w:right w:val="single" w:color="auto" w:sz="4" w:space="0"/>
            </w:tcBorders>
            <w:noWrap/>
            <w:vAlign w:val="center"/>
          </w:tcPr>
          <w:p w14:paraId="1A0179C3">
            <w:pPr>
              <w:snapToGrid w:val="0"/>
              <w:spacing w:line="360" w:lineRule="auto"/>
              <w:rPr>
                <w:rFonts w:ascii="宋体" w:hAnsi="宋体" w:cs="宋体"/>
                <w:szCs w:val="21"/>
                <w:highlight w:val="none"/>
              </w:rPr>
            </w:pPr>
            <w:r>
              <w:rPr>
                <w:rFonts w:hint="eastAsia" w:ascii="宋体" w:hAnsi="宋体" w:cs="宋体"/>
                <w:bCs/>
                <w:szCs w:val="21"/>
                <w:highlight w:val="none"/>
              </w:rPr>
              <w:t>无</w:t>
            </w:r>
          </w:p>
        </w:tc>
      </w:tr>
      <w:tr w14:paraId="7C704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03097629">
            <w:pPr>
              <w:spacing w:line="360" w:lineRule="exact"/>
              <w:rPr>
                <w:rFonts w:ascii="宋体" w:hAnsi="宋体" w:cs="宋体"/>
                <w:szCs w:val="21"/>
                <w:highlight w:val="none"/>
              </w:rPr>
            </w:pPr>
            <w:r>
              <w:rPr>
                <w:rFonts w:hint="eastAsia" w:ascii="宋体" w:hAnsi="宋体" w:cs="宋体"/>
                <w:szCs w:val="21"/>
                <w:highlight w:val="none"/>
              </w:rPr>
              <w:t>23</w:t>
            </w:r>
          </w:p>
        </w:tc>
        <w:tc>
          <w:tcPr>
            <w:tcW w:w="2083" w:type="dxa"/>
            <w:tcBorders>
              <w:top w:val="single" w:color="auto" w:sz="4" w:space="0"/>
              <w:left w:val="single" w:color="auto" w:sz="4" w:space="0"/>
              <w:bottom w:val="single" w:color="auto" w:sz="4" w:space="0"/>
              <w:right w:val="single" w:color="auto" w:sz="4" w:space="0"/>
            </w:tcBorders>
            <w:noWrap/>
            <w:vAlign w:val="center"/>
          </w:tcPr>
          <w:p w14:paraId="6A05A6BA">
            <w:pPr>
              <w:spacing w:line="360" w:lineRule="exact"/>
              <w:rPr>
                <w:rFonts w:ascii="宋体" w:hAnsi="宋体" w:cs="宋体"/>
                <w:szCs w:val="21"/>
                <w:highlight w:val="none"/>
              </w:rPr>
            </w:pPr>
            <w:bookmarkStart w:id="93" w:name="_23"/>
            <w:bookmarkEnd w:id="93"/>
            <w:r>
              <w:rPr>
                <w:rFonts w:hint="eastAsia" w:ascii="宋体" w:hAnsi="宋体" w:cs="宋体"/>
                <w:szCs w:val="21"/>
                <w:highlight w:val="none"/>
              </w:rPr>
              <w:t>开标时间、地点</w:t>
            </w:r>
          </w:p>
        </w:tc>
        <w:tc>
          <w:tcPr>
            <w:tcW w:w="6872" w:type="dxa"/>
            <w:tcBorders>
              <w:top w:val="single" w:color="auto" w:sz="4" w:space="0"/>
              <w:left w:val="single" w:color="auto" w:sz="4" w:space="0"/>
              <w:bottom w:val="single" w:color="auto" w:sz="4" w:space="0"/>
              <w:right w:val="single" w:color="auto" w:sz="4" w:space="0"/>
            </w:tcBorders>
            <w:noWrap/>
            <w:vAlign w:val="center"/>
          </w:tcPr>
          <w:p w14:paraId="1EBEE218">
            <w:pPr>
              <w:snapToGrid w:val="0"/>
              <w:spacing w:line="360" w:lineRule="auto"/>
              <w:rPr>
                <w:rFonts w:ascii="宋体" w:hAnsi="宋体" w:cs="宋体"/>
                <w:szCs w:val="21"/>
                <w:highlight w:val="none"/>
              </w:rPr>
            </w:pPr>
            <w:r>
              <w:rPr>
                <w:rFonts w:hint="eastAsia" w:ascii="宋体" w:hAnsi="宋体" w:cs="宋体"/>
                <w:szCs w:val="21"/>
                <w:highlight w:val="none"/>
              </w:rPr>
              <w:t xml:space="preserve">详见招标公告 </w:t>
            </w:r>
          </w:p>
        </w:tc>
      </w:tr>
      <w:tr w14:paraId="3193A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restart"/>
            <w:tcBorders>
              <w:top w:val="single" w:color="auto" w:sz="4" w:space="0"/>
              <w:left w:val="single" w:color="auto" w:sz="4" w:space="0"/>
              <w:bottom w:val="single" w:color="auto" w:sz="4" w:space="0"/>
              <w:right w:val="single" w:color="auto" w:sz="4" w:space="0"/>
            </w:tcBorders>
            <w:noWrap/>
            <w:vAlign w:val="center"/>
          </w:tcPr>
          <w:p w14:paraId="31ED1A63">
            <w:pPr>
              <w:spacing w:line="360" w:lineRule="exact"/>
              <w:rPr>
                <w:rFonts w:ascii="宋体" w:hAnsi="宋体" w:cs="宋体"/>
                <w:szCs w:val="21"/>
                <w:highlight w:val="none"/>
              </w:rPr>
            </w:pPr>
            <w:r>
              <w:rPr>
                <w:rFonts w:hint="eastAsia" w:ascii="宋体" w:hAnsi="宋体" w:cs="宋体"/>
                <w:szCs w:val="21"/>
                <w:highlight w:val="none"/>
              </w:rPr>
              <w:t>25.3（2）</w:t>
            </w:r>
          </w:p>
        </w:tc>
        <w:tc>
          <w:tcPr>
            <w:tcW w:w="2083" w:type="dxa"/>
            <w:tcBorders>
              <w:top w:val="single" w:color="auto" w:sz="4" w:space="0"/>
              <w:left w:val="single" w:color="auto" w:sz="4" w:space="0"/>
              <w:bottom w:val="single" w:color="auto" w:sz="4" w:space="0"/>
              <w:right w:val="single" w:color="auto" w:sz="4" w:space="0"/>
            </w:tcBorders>
            <w:noWrap/>
            <w:vAlign w:val="center"/>
          </w:tcPr>
          <w:p w14:paraId="11C250E7">
            <w:pPr>
              <w:spacing w:line="360" w:lineRule="exact"/>
              <w:rPr>
                <w:rFonts w:ascii="宋体" w:hAnsi="宋体" w:cs="宋体"/>
                <w:szCs w:val="21"/>
                <w:highlight w:val="none"/>
              </w:rPr>
            </w:pPr>
            <w:bookmarkStart w:id="94" w:name="_25.3"/>
            <w:bookmarkEnd w:id="94"/>
            <w:r>
              <w:rPr>
                <w:rFonts w:hint="eastAsia" w:ascii="宋体" w:hAnsi="宋体" w:cs="宋体"/>
                <w:szCs w:val="21"/>
                <w:highlight w:val="none"/>
              </w:rPr>
              <w:t>投标人信用查询渠道</w:t>
            </w:r>
          </w:p>
        </w:tc>
        <w:tc>
          <w:tcPr>
            <w:tcW w:w="6872" w:type="dxa"/>
            <w:tcBorders>
              <w:top w:val="single" w:color="auto" w:sz="4" w:space="0"/>
              <w:left w:val="single" w:color="auto" w:sz="4" w:space="0"/>
              <w:bottom w:val="single" w:color="auto" w:sz="4" w:space="0"/>
              <w:right w:val="single" w:color="auto" w:sz="4" w:space="0"/>
            </w:tcBorders>
            <w:noWrap/>
            <w:vAlign w:val="center"/>
          </w:tcPr>
          <w:p w14:paraId="323023BC">
            <w:pPr>
              <w:snapToGrid w:val="0"/>
              <w:spacing w:line="360" w:lineRule="auto"/>
              <w:rPr>
                <w:rFonts w:ascii="宋体" w:hAnsi="宋体" w:cs="宋体"/>
                <w:szCs w:val="21"/>
                <w:highlight w:val="none"/>
              </w:rPr>
            </w:pPr>
            <w:r>
              <w:rPr>
                <w:rFonts w:hint="eastAsia" w:ascii="宋体" w:hAnsi="宋体" w:cs="宋体"/>
                <w:szCs w:val="21"/>
                <w:highlight w:val="none"/>
              </w:rPr>
              <w:t>采购人或者采购代理机构在资格审查结束前，对投标人进行信用查询。</w:t>
            </w:r>
          </w:p>
          <w:p w14:paraId="58F7A75F">
            <w:pPr>
              <w:snapToGrid w:val="0"/>
              <w:spacing w:line="360" w:lineRule="auto"/>
              <w:rPr>
                <w:rFonts w:ascii="宋体" w:hAnsi="宋体" w:cs="宋体"/>
                <w:szCs w:val="21"/>
                <w:highlight w:val="none"/>
              </w:rPr>
            </w:pPr>
            <w:r>
              <w:rPr>
                <w:rFonts w:hint="eastAsia" w:ascii="宋体" w:hAnsi="宋体" w:cs="宋体"/>
                <w:szCs w:val="21"/>
                <w:highlight w:val="none"/>
              </w:rPr>
              <w:t>查询渠道：“信用中国”网站(www.creditchina.gov.cn) 、中国政府采购网(www.ccgp.gov.cn)。</w:t>
            </w:r>
          </w:p>
        </w:tc>
      </w:tr>
      <w:tr w14:paraId="031AF3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single" w:color="auto" w:sz="4" w:space="0"/>
              <w:right w:val="single" w:color="auto" w:sz="4" w:space="0"/>
            </w:tcBorders>
            <w:noWrap/>
            <w:vAlign w:val="center"/>
          </w:tcPr>
          <w:p w14:paraId="3A1D5840">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56516544">
            <w:pPr>
              <w:spacing w:line="360" w:lineRule="exact"/>
              <w:rPr>
                <w:rFonts w:ascii="宋体" w:hAnsi="宋体" w:cs="宋体"/>
                <w:szCs w:val="21"/>
                <w:highlight w:val="none"/>
              </w:rPr>
            </w:pPr>
            <w:r>
              <w:rPr>
                <w:rFonts w:hint="eastAsia" w:ascii="宋体" w:hAnsi="宋体" w:cs="宋体"/>
                <w:szCs w:val="21"/>
                <w:highlight w:val="none"/>
              </w:rPr>
              <w:t>信用查询截止时点</w:t>
            </w:r>
          </w:p>
        </w:tc>
        <w:tc>
          <w:tcPr>
            <w:tcW w:w="6872" w:type="dxa"/>
            <w:tcBorders>
              <w:top w:val="single" w:color="auto" w:sz="4" w:space="0"/>
              <w:left w:val="single" w:color="auto" w:sz="4" w:space="0"/>
              <w:bottom w:val="single" w:color="auto" w:sz="4" w:space="0"/>
              <w:right w:val="single" w:color="auto" w:sz="4" w:space="0"/>
            </w:tcBorders>
            <w:noWrap/>
            <w:vAlign w:val="center"/>
          </w:tcPr>
          <w:p w14:paraId="442FFF03">
            <w:pPr>
              <w:snapToGrid w:val="0"/>
              <w:spacing w:line="360" w:lineRule="auto"/>
              <w:rPr>
                <w:rFonts w:ascii="宋体" w:hAnsi="宋体" w:cs="宋体"/>
                <w:szCs w:val="21"/>
                <w:highlight w:val="none"/>
              </w:rPr>
            </w:pPr>
            <w:r>
              <w:rPr>
                <w:rFonts w:hint="eastAsia" w:ascii="宋体" w:hAnsi="宋体" w:cs="宋体"/>
                <w:szCs w:val="21"/>
                <w:highlight w:val="none"/>
              </w:rPr>
              <w:t>资格审查结束前</w:t>
            </w:r>
          </w:p>
        </w:tc>
      </w:tr>
      <w:tr w14:paraId="49B4C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single" w:color="auto" w:sz="4" w:space="0"/>
              <w:right w:val="single" w:color="auto" w:sz="4" w:space="0"/>
            </w:tcBorders>
            <w:noWrap/>
            <w:vAlign w:val="center"/>
          </w:tcPr>
          <w:p w14:paraId="238F75F5">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7A3CAAD9">
            <w:pPr>
              <w:spacing w:line="360" w:lineRule="exact"/>
              <w:rPr>
                <w:rFonts w:ascii="宋体" w:hAnsi="宋体" w:cs="宋体"/>
                <w:szCs w:val="21"/>
                <w:highlight w:val="none"/>
              </w:rPr>
            </w:pPr>
            <w:r>
              <w:rPr>
                <w:rFonts w:hint="eastAsia" w:ascii="宋体" w:hAnsi="宋体" w:cs="宋体"/>
                <w:szCs w:val="21"/>
                <w:highlight w:val="none"/>
              </w:rPr>
              <w:t>查询记录和证据留存方式</w:t>
            </w:r>
          </w:p>
        </w:tc>
        <w:tc>
          <w:tcPr>
            <w:tcW w:w="6872" w:type="dxa"/>
            <w:tcBorders>
              <w:top w:val="single" w:color="auto" w:sz="4" w:space="0"/>
              <w:left w:val="single" w:color="auto" w:sz="4" w:space="0"/>
              <w:bottom w:val="single" w:color="auto" w:sz="4" w:space="0"/>
              <w:right w:val="single" w:color="auto" w:sz="4" w:space="0"/>
            </w:tcBorders>
            <w:noWrap/>
            <w:vAlign w:val="center"/>
          </w:tcPr>
          <w:p w14:paraId="3BC7AB69">
            <w:pPr>
              <w:snapToGrid w:val="0"/>
              <w:spacing w:line="360" w:lineRule="auto"/>
              <w:rPr>
                <w:rFonts w:ascii="宋体" w:hAnsi="宋体" w:cs="宋体"/>
                <w:szCs w:val="21"/>
                <w:highlight w:val="none"/>
              </w:rPr>
            </w:pPr>
            <w:r>
              <w:rPr>
                <w:rFonts w:hint="eastAsia" w:ascii="宋体" w:hAnsi="宋体" w:cs="宋体"/>
                <w:szCs w:val="21"/>
                <w:highlight w:val="none"/>
              </w:rPr>
              <w:t>在查询网站中直接截图查询记录，截图留存或在广西政府采购云平台作为附件上传保存。</w:t>
            </w:r>
          </w:p>
        </w:tc>
      </w:tr>
      <w:tr w14:paraId="1074DC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single" w:color="auto" w:sz="4" w:space="0"/>
              <w:right w:val="single" w:color="auto" w:sz="4" w:space="0"/>
            </w:tcBorders>
            <w:noWrap/>
            <w:vAlign w:val="center"/>
          </w:tcPr>
          <w:p w14:paraId="7A25200C">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12069C42">
            <w:pPr>
              <w:spacing w:line="360" w:lineRule="exact"/>
              <w:rPr>
                <w:rFonts w:ascii="宋体" w:hAnsi="宋体" w:cs="宋体"/>
                <w:szCs w:val="21"/>
                <w:highlight w:val="none"/>
              </w:rPr>
            </w:pPr>
            <w:r>
              <w:rPr>
                <w:rFonts w:hint="eastAsia" w:ascii="宋体" w:hAnsi="宋体" w:cs="宋体"/>
                <w:szCs w:val="21"/>
                <w:highlight w:val="none"/>
              </w:rPr>
              <w:t>信用信息使用规则</w:t>
            </w:r>
          </w:p>
        </w:tc>
        <w:tc>
          <w:tcPr>
            <w:tcW w:w="6872" w:type="dxa"/>
            <w:tcBorders>
              <w:top w:val="single" w:color="auto" w:sz="4" w:space="0"/>
              <w:left w:val="single" w:color="auto" w:sz="4" w:space="0"/>
              <w:bottom w:val="single" w:color="auto" w:sz="4" w:space="0"/>
              <w:right w:val="single" w:color="auto" w:sz="4" w:space="0"/>
            </w:tcBorders>
            <w:noWrap/>
            <w:vAlign w:val="center"/>
          </w:tcPr>
          <w:p w14:paraId="3CC1ED7D">
            <w:pPr>
              <w:snapToGrid w:val="0"/>
              <w:spacing w:line="360" w:lineRule="auto"/>
              <w:rPr>
                <w:rFonts w:ascii="宋体" w:hAnsi="宋体" w:cs="宋体"/>
                <w:szCs w:val="21"/>
                <w:highlight w:val="none"/>
              </w:rPr>
            </w:pPr>
            <w:r>
              <w:rPr>
                <w:rFonts w:hint="eastAsia" w:ascii="宋体" w:hAnsi="宋体" w:cs="宋体"/>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46A5D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611617E4">
            <w:pPr>
              <w:spacing w:line="360" w:lineRule="exact"/>
              <w:rPr>
                <w:rFonts w:ascii="宋体" w:hAnsi="宋体" w:cs="宋体"/>
                <w:szCs w:val="21"/>
                <w:highlight w:val="none"/>
              </w:rPr>
            </w:pPr>
            <w:r>
              <w:rPr>
                <w:rFonts w:hint="eastAsia" w:ascii="宋体" w:hAnsi="宋体" w:cs="宋体"/>
                <w:szCs w:val="21"/>
                <w:highlight w:val="none"/>
              </w:rPr>
              <w:t>29.1</w:t>
            </w:r>
          </w:p>
        </w:tc>
        <w:tc>
          <w:tcPr>
            <w:tcW w:w="2083" w:type="dxa"/>
            <w:tcBorders>
              <w:top w:val="single" w:color="auto" w:sz="4" w:space="0"/>
              <w:left w:val="single" w:color="auto" w:sz="4" w:space="0"/>
              <w:bottom w:val="single" w:color="auto" w:sz="4" w:space="0"/>
              <w:right w:val="single" w:color="auto" w:sz="4" w:space="0"/>
            </w:tcBorders>
            <w:noWrap/>
            <w:vAlign w:val="center"/>
          </w:tcPr>
          <w:p w14:paraId="1C4317B2">
            <w:pPr>
              <w:spacing w:line="360" w:lineRule="exact"/>
              <w:rPr>
                <w:rFonts w:ascii="宋体" w:hAnsi="宋体" w:cs="宋体"/>
                <w:szCs w:val="21"/>
                <w:highlight w:val="none"/>
              </w:rPr>
            </w:pPr>
            <w:bookmarkStart w:id="95" w:name="_28.3"/>
            <w:bookmarkEnd w:id="95"/>
            <w:bookmarkStart w:id="96" w:name="_26"/>
            <w:bookmarkEnd w:id="96"/>
            <w:r>
              <w:rPr>
                <w:rFonts w:hint="eastAsia" w:ascii="宋体" w:hAnsi="宋体" w:cs="宋体"/>
                <w:szCs w:val="21"/>
                <w:highlight w:val="none"/>
              </w:rPr>
              <w:t>评标方法</w:t>
            </w:r>
          </w:p>
        </w:tc>
        <w:tc>
          <w:tcPr>
            <w:tcW w:w="6872" w:type="dxa"/>
            <w:tcBorders>
              <w:top w:val="single" w:color="auto" w:sz="4" w:space="0"/>
              <w:left w:val="single" w:color="auto" w:sz="4" w:space="0"/>
              <w:bottom w:val="single" w:color="auto" w:sz="4" w:space="0"/>
              <w:right w:val="single" w:color="auto" w:sz="4" w:space="0"/>
            </w:tcBorders>
            <w:noWrap/>
            <w:vAlign w:val="center"/>
          </w:tcPr>
          <w:p w14:paraId="217C1A81">
            <w:pPr>
              <w:autoSpaceDE w:val="0"/>
              <w:autoSpaceDN w:val="0"/>
              <w:snapToGrid w:val="0"/>
              <w:spacing w:line="360" w:lineRule="exact"/>
              <w:textAlignment w:val="bottom"/>
              <w:rPr>
                <w:rFonts w:ascii="宋体" w:hAnsi="宋体" w:cs="宋体"/>
                <w:szCs w:val="21"/>
                <w:highlight w:val="none"/>
              </w:rPr>
            </w:pPr>
            <w:r>
              <w:rPr>
                <w:rFonts w:hint="eastAsia" w:ascii="宋体" w:hAnsi="宋体" w:cs="宋体"/>
                <w:szCs w:val="21"/>
                <w:highlight w:val="none"/>
              </w:rPr>
              <w:t>综合评分法</w:t>
            </w:r>
          </w:p>
        </w:tc>
      </w:tr>
      <w:tr w14:paraId="77D9B4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0" w:type="dxa"/>
            <w:tcBorders>
              <w:top w:val="single" w:color="auto" w:sz="4" w:space="0"/>
              <w:left w:val="single" w:color="auto" w:sz="4" w:space="0"/>
              <w:bottom w:val="nil"/>
              <w:right w:val="single" w:color="auto" w:sz="4" w:space="0"/>
            </w:tcBorders>
            <w:noWrap/>
            <w:vAlign w:val="center"/>
          </w:tcPr>
          <w:p w14:paraId="0BEF9CB9">
            <w:pPr>
              <w:spacing w:line="360" w:lineRule="exact"/>
              <w:rPr>
                <w:rFonts w:ascii="宋体" w:hAnsi="宋体" w:cs="宋体"/>
                <w:szCs w:val="21"/>
                <w:highlight w:val="none"/>
              </w:rPr>
            </w:pPr>
            <w:r>
              <w:rPr>
                <w:rFonts w:hint="eastAsia" w:ascii="宋体" w:hAnsi="宋体" w:cs="宋体"/>
                <w:szCs w:val="21"/>
                <w:highlight w:val="none"/>
              </w:rPr>
              <w:t>29.2</w:t>
            </w:r>
          </w:p>
        </w:tc>
        <w:tc>
          <w:tcPr>
            <w:tcW w:w="2083" w:type="dxa"/>
            <w:tcBorders>
              <w:top w:val="single" w:color="auto" w:sz="4" w:space="0"/>
              <w:left w:val="single" w:color="auto" w:sz="4" w:space="0"/>
              <w:bottom w:val="nil"/>
              <w:right w:val="single" w:color="auto" w:sz="4" w:space="0"/>
            </w:tcBorders>
            <w:noWrap/>
            <w:vAlign w:val="center"/>
          </w:tcPr>
          <w:p w14:paraId="408A7BB7">
            <w:pPr>
              <w:spacing w:line="360" w:lineRule="exact"/>
              <w:rPr>
                <w:rFonts w:ascii="宋体" w:hAnsi="宋体" w:cs="宋体"/>
                <w:szCs w:val="21"/>
                <w:highlight w:val="none"/>
              </w:rPr>
            </w:pPr>
            <w:bookmarkStart w:id="97" w:name="_29.2.2（2）"/>
            <w:bookmarkEnd w:id="97"/>
            <w:r>
              <w:rPr>
                <w:rFonts w:hint="eastAsia" w:ascii="宋体" w:hAnsi="宋体" w:cs="宋体"/>
                <w:szCs w:val="21"/>
                <w:highlight w:val="none"/>
              </w:rPr>
              <w:t>允许负偏离项</w:t>
            </w:r>
          </w:p>
        </w:tc>
        <w:tc>
          <w:tcPr>
            <w:tcW w:w="6872" w:type="dxa"/>
            <w:tcBorders>
              <w:top w:val="single" w:color="auto" w:sz="4" w:space="0"/>
              <w:left w:val="single" w:color="auto" w:sz="4" w:space="0"/>
              <w:bottom w:val="nil"/>
              <w:right w:val="single" w:color="auto" w:sz="4" w:space="0"/>
            </w:tcBorders>
            <w:noWrap/>
            <w:vAlign w:val="center"/>
          </w:tcPr>
          <w:p w14:paraId="516D2AFF">
            <w:pPr>
              <w:snapToGrid w:val="0"/>
              <w:spacing w:line="360" w:lineRule="auto"/>
              <w:rPr>
                <w:rFonts w:ascii="宋体" w:hAnsi="宋体" w:cs="宋体"/>
                <w:szCs w:val="21"/>
                <w:highlight w:val="none"/>
              </w:rPr>
            </w:pPr>
            <w:r>
              <w:rPr>
                <w:rFonts w:hint="eastAsia" w:ascii="宋体" w:hAnsi="宋体" w:cs="宋体"/>
                <w:szCs w:val="21"/>
                <w:highlight w:val="none"/>
              </w:rPr>
              <w:t>商务条款评审中允许负偏离的条款数为</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2</w:t>
            </w:r>
            <w:r>
              <w:rPr>
                <w:rFonts w:hint="eastAsia" w:ascii="宋体" w:hAnsi="宋体" w:cs="宋体"/>
                <w:szCs w:val="21"/>
                <w:highlight w:val="none"/>
                <w:u w:val="single"/>
              </w:rPr>
              <w:t xml:space="preserve"> </w:t>
            </w:r>
            <w:r>
              <w:rPr>
                <w:rFonts w:hint="eastAsia" w:ascii="宋体" w:hAnsi="宋体" w:cs="宋体"/>
                <w:szCs w:val="21"/>
                <w:highlight w:val="none"/>
              </w:rPr>
              <w:t>项。</w:t>
            </w:r>
          </w:p>
          <w:p w14:paraId="051319E8">
            <w:pPr>
              <w:spacing w:line="360" w:lineRule="auto"/>
              <w:rPr>
                <w:rFonts w:hint="eastAsia" w:ascii="宋体" w:hAnsi="宋体" w:cs="宋体"/>
                <w:szCs w:val="21"/>
                <w:highlight w:val="none"/>
              </w:rPr>
            </w:pPr>
            <w:r>
              <w:rPr>
                <w:rFonts w:hint="eastAsia" w:ascii="宋体" w:hAnsi="宋体" w:cs="宋体"/>
                <w:szCs w:val="21"/>
                <w:highlight w:val="none"/>
              </w:rPr>
              <w:t>技术需求评审中允许负偏离的条款数为</w:t>
            </w:r>
            <w:r>
              <w:rPr>
                <w:rFonts w:hint="eastAsia" w:ascii="宋体" w:hAnsi="宋体" w:cs="宋体"/>
                <w:szCs w:val="21"/>
                <w:highlight w:val="none"/>
                <w:u w:val="single"/>
              </w:rPr>
              <w:t xml:space="preserve"> </w:t>
            </w:r>
            <w:r>
              <w:rPr>
                <w:rFonts w:hint="eastAsia" w:ascii="宋体" w:hAnsi="宋体" w:cs="宋体"/>
                <w:szCs w:val="21"/>
                <w:highlight w:val="none"/>
                <w:u w:val="single"/>
                <w:lang w:eastAsia="zh-CN"/>
              </w:rPr>
              <w:t>不限</w:t>
            </w:r>
            <w:r>
              <w:rPr>
                <w:rFonts w:hint="eastAsia" w:ascii="宋体" w:hAnsi="宋体" w:cs="宋体"/>
                <w:szCs w:val="21"/>
                <w:highlight w:val="none"/>
                <w:u w:val="single"/>
              </w:rPr>
              <w:t xml:space="preserve"> </w:t>
            </w:r>
            <w:r>
              <w:rPr>
                <w:rFonts w:hint="eastAsia" w:ascii="宋体" w:hAnsi="宋体" w:cs="宋体"/>
                <w:szCs w:val="21"/>
                <w:highlight w:val="none"/>
              </w:rPr>
              <w:t>项。</w:t>
            </w:r>
          </w:p>
        </w:tc>
      </w:tr>
      <w:tr w14:paraId="4689C8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4A88CCC3">
            <w:pPr>
              <w:spacing w:line="360" w:lineRule="exact"/>
              <w:rPr>
                <w:rFonts w:ascii="宋体" w:hAnsi="宋体" w:cs="宋体"/>
                <w:szCs w:val="21"/>
                <w:highlight w:val="none"/>
              </w:rPr>
            </w:pPr>
            <w:r>
              <w:rPr>
                <w:rFonts w:hint="eastAsia" w:ascii="宋体" w:hAnsi="宋体" w:cs="宋体"/>
                <w:szCs w:val="21"/>
                <w:highlight w:val="none"/>
              </w:rPr>
              <w:t>30.1</w:t>
            </w:r>
          </w:p>
        </w:tc>
        <w:tc>
          <w:tcPr>
            <w:tcW w:w="2083" w:type="dxa"/>
            <w:tcBorders>
              <w:top w:val="single" w:color="auto" w:sz="4" w:space="0"/>
              <w:left w:val="single" w:color="auto" w:sz="4" w:space="0"/>
              <w:bottom w:val="single" w:color="auto" w:sz="4" w:space="0"/>
              <w:right w:val="single" w:color="auto" w:sz="4" w:space="0"/>
            </w:tcBorders>
            <w:noWrap/>
            <w:vAlign w:val="center"/>
          </w:tcPr>
          <w:p w14:paraId="683C6D6F">
            <w:pPr>
              <w:autoSpaceDE w:val="0"/>
              <w:autoSpaceDN w:val="0"/>
              <w:snapToGrid w:val="0"/>
              <w:spacing w:line="360" w:lineRule="exact"/>
              <w:textAlignment w:val="bottom"/>
              <w:rPr>
                <w:rFonts w:ascii="宋体" w:hAnsi="宋体" w:cs="宋体"/>
                <w:szCs w:val="21"/>
                <w:highlight w:val="none"/>
              </w:rPr>
            </w:pPr>
            <w:r>
              <w:rPr>
                <w:rFonts w:hint="eastAsia" w:ascii="宋体" w:hAnsi="宋体" w:cs="宋体"/>
                <w:szCs w:val="21"/>
                <w:highlight w:val="none"/>
              </w:rPr>
              <w:t xml:space="preserve">确定中标人时，出现中标候选人排名并列的情形，确定中标人方式 </w:t>
            </w:r>
          </w:p>
        </w:tc>
        <w:tc>
          <w:tcPr>
            <w:tcW w:w="6872" w:type="dxa"/>
            <w:tcBorders>
              <w:top w:val="single" w:color="auto" w:sz="4" w:space="0"/>
              <w:left w:val="single" w:color="auto" w:sz="4" w:space="0"/>
              <w:bottom w:val="single" w:color="auto" w:sz="4" w:space="0"/>
              <w:right w:val="single" w:color="auto" w:sz="4" w:space="0"/>
            </w:tcBorders>
            <w:noWrap/>
            <w:vAlign w:val="center"/>
          </w:tcPr>
          <w:p w14:paraId="2BE50469">
            <w:pPr>
              <w:autoSpaceDE w:val="0"/>
              <w:autoSpaceDN w:val="0"/>
              <w:snapToGrid w:val="0"/>
              <w:spacing w:line="360" w:lineRule="auto"/>
              <w:textAlignment w:val="bottom"/>
              <w:rPr>
                <w:b/>
                <w:bCs/>
                <w:highlight w:val="none"/>
              </w:rPr>
            </w:pPr>
            <w:r>
              <w:rPr>
                <w:rFonts w:hint="eastAsia" w:ascii="宋体" w:hAnsi="宋体" w:cs="宋体"/>
                <w:szCs w:val="21"/>
                <w:highlight w:val="none"/>
              </w:rPr>
              <w:t>采购人确定中标人时，出现中标候选人并列的情形，采购人按以下的方式确定中标人：</w:t>
            </w:r>
          </w:p>
          <w:p w14:paraId="503F7A07">
            <w:pPr>
              <w:autoSpaceDE w:val="0"/>
              <w:autoSpaceDN w:val="0"/>
              <w:snapToGrid w:val="0"/>
              <w:spacing w:line="360" w:lineRule="exact"/>
              <w:textAlignment w:val="bottom"/>
              <w:rPr>
                <w:rFonts w:ascii="宋体" w:hAnsi="宋体" w:cs="宋体"/>
                <w:b/>
                <w:szCs w:val="21"/>
                <w:highlight w:val="none"/>
              </w:rPr>
            </w:pPr>
            <w:r>
              <w:rPr>
                <w:rFonts w:hint="eastAsia" w:ascii="宋体" w:hAnsi="宋体" w:cs="宋体"/>
                <w:szCs w:val="21"/>
                <w:highlight w:val="none"/>
              </w:rPr>
              <w:t>技术分得分高的优先、商务分得分高的优先的顺序。</w:t>
            </w:r>
          </w:p>
        </w:tc>
      </w:tr>
      <w:tr w14:paraId="1237F7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07955F4C">
            <w:pPr>
              <w:spacing w:line="360" w:lineRule="exact"/>
              <w:rPr>
                <w:rFonts w:ascii="宋体" w:hAnsi="宋体" w:cs="宋体"/>
                <w:szCs w:val="21"/>
                <w:highlight w:val="none"/>
              </w:rPr>
            </w:pPr>
            <w:r>
              <w:rPr>
                <w:rFonts w:hint="eastAsia" w:ascii="宋体" w:hAnsi="宋体" w:cs="宋体"/>
                <w:szCs w:val="21"/>
                <w:highlight w:val="none"/>
              </w:rPr>
              <w:t>35</w:t>
            </w:r>
          </w:p>
        </w:tc>
        <w:tc>
          <w:tcPr>
            <w:tcW w:w="2083" w:type="dxa"/>
            <w:tcBorders>
              <w:top w:val="single" w:color="auto" w:sz="4" w:space="0"/>
              <w:left w:val="single" w:color="auto" w:sz="4" w:space="0"/>
              <w:bottom w:val="single" w:color="auto" w:sz="4" w:space="0"/>
              <w:right w:val="single" w:color="auto" w:sz="4" w:space="0"/>
            </w:tcBorders>
            <w:noWrap/>
            <w:vAlign w:val="center"/>
          </w:tcPr>
          <w:p w14:paraId="1D80D46B">
            <w:pPr>
              <w:spacing w:line="360" w:lineRule="exact"/>
              <w:rPr>
                <w:rFonts w:ascii="宋体" w:hAnsi="宋体" w:cs="宋体"/>
                <w:szCs w:val="21"/>
                <w:highlight w:val="none"/>
              </w:rPr>
            </w:pPr>
            <w:bookmarkStart w:id="98" w:name="_39.1"/>
            <w:bookmarkEnd w:id="98"/>
            <w:r>
              <w:rPr>
                <w:rFonts w:hint="eastAsia" w:ascii="宋体" w:hAnsi="宋体" w:cs="宋体"/>
                <w:szCs w:val="21"/>
                <w:highlight w:val="none"/>
              </w:rPr>
              <w:t>履约保证金</w:t>
            </w:r>
          </w:p>
        </w:tc>
        <w:tc>
          <w:tcPr>
            <w:tcW w:w="6872" w:type="dxa"/>
            <w:tcBorders>
              <w:top w:val="single" w:color="auto" w:sz="4" w:space="0"/>
              <w:left w:val="single" w:color="auto" w:sz="4" w:space="0"/>
              <w:bottom w:val="single" w:color="auto" w:sz="4" w:space="0"/>
              <w:right w:val="single" w:color="auto" w:sz="4" w:space="0"/>
            </w:tcBorders>
            <w:noWrap/>
            <w:vAlign w:val="bottom"/>
          </w:tcPr>
          <w:p w14:paraId="5D556EB8">
            <w:pPr>
              <w:spacing w:line="360" w:lineRule="exact"/>
              <w:ind w:firstLine="0"/>
              <w:rPr>
                <w:rFonts w:hint="eastAsia" w:ascii="宋体" w:hAnsi="宋体" w:cs="宋体"/>
                <w:b/>
                <w:bCs/>
                <w:szCs w:val="21"/>
                <w:highlight w:val="none"/>
              </w:rPr>
            </w:pPr>
            <w:bookmarkStart w:id="99" w:name="OLE_LINK3"/>
            <w:r>
              <w:rPr>
                <w:rFonts w:hint="eastAsia" w:ascii="宋体" w:hAnsi="宋体" w:cs="宋体"/>
                <w:b/>
                <w:bCs/>
                <w:szCs w:val="21"/>
                <w:highlight w:val="none"/>
              </w:rPr>
              <w:t>本项目需要缴</w:t>
            </w:r>
            <w:r>
              <w:rPr>
                <w:rFonts w:hint="eastAsia" w:ascii="宋体" w:hAnsi="宋体" w:cs="宋体"/>
                <w:b/>
                <w:bCs/>
                <w:kern w:val="0"/>
                <w:szCs w:val="21"/>
                <w:highlight w:val="none"/>
              </w:rPr>
              <w:t>纳</w:t>
            </w:r>
            <w:bookmarkStart w:id="100" w:name="OLE_LINK143"/>
            <w:r>
              <w:rPr>
                <w:rFonts w:hint="eastAsia" w:ascii="宋体" w:hAnsi="宋体" w:cs="宋体"/>
                <w:b/>
                <w:bCs/>
                <w:szCs w:val="21"/>
                <w:highlight w:val="none"/>
              </w:rPr>
              <w:t>履约保证金</w:t>
            </w:r>
            <w:bookmarkEnd w:id="100"/>
            <w:r>
              <w:rPr>
                <w:rFonts w:hint="eastAsia" w:ascii="宋体" w:hAnsi="宋体" w:cs="宋体"/>
                <w:b/>
                <w:bCs/>
                <w:szCs w:val="21"/>
                <w:highlight w:val="none"/>
              </w:rPr>
              <w:t>，相关要求如下：</w:t>
            </w:r>
          </w:p>
          <w:p w14:paraId="04C60E11">
            <w:pPr>
              <w:numPr>
                <w:ilvl w:val="0"/>
                <w:numId w:val="0"/>
              </w:numPr>
              <w:autoSpaceDE w:val="0"/>
              <w:autoSpaceDN w:val="0"/>
              <w:snapToGrid w:val="0"/>
              <w:spacing w:line="360" w:lineRule="auto"/>
              <w:textAlignment w:val="bottom"/>
              <w:rPr>
                <w:rFonts w:hint="eastAsia" w:ascii="宋体" w:hAnsi="宋体" w:eastAsia="宋体" w:cs="宋体"/>
                <w:color w:val="auto"/>
                <w:szCs w:val="21"/>
                <w:highlight w:val="none"/>
              </w:rPr>
            </w:pPr>
            <w:bookmarkStart w:id="101" w:name="OLE_LINK185"/>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履约保证金金额：按每分标</w:t>
            </w:r>
            <w:r>
              <w:rPr>
                <w:rFonts w:hint="eastAsia" w:ascii="宋体" w:hAnsi="宋体" w:cs="宋体"/>
                <w:color w:val="auto"/>
                <w:szCs w:val="21"/>
                <w:highlight w:val="none"/>
                <w:lang w:eastAsia="zh-CN"/>
              </w:rPr>
              <w:t>中标总</w:t>
            </w:r>
            <w:r>
              <w:rPr>
                <w:rFonts w:hint="eastAsia" w:ascii="宋体" w:hAnsi="宋体" w:eastAsia="宋体" w:cs="宋体"/>
                <w:color w:val="auto"/>
                <w:szCs w:val="21"/>
                <w:highlight w:val="none"/>
              </w:rPr>
              <w:t>金额的</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如中标人为中小企业的，则</w:t>
            </w:r>
            <w:r>
              <w:rPr>
                <w:rFonts w:hint="eastAsia" w:ascii="宋体" w:hAnsi="宋体" w:eastAsia="宋体" w:cs="宋体"/>
                <w:color w:val="auto"/>
                <w:szCs w:val="21"/>
                <w:highlight w:val="none"/>
              </w:rPr>
              <w:t>按每分标</w:t>
            </w:r>
            <w:r>
              <w:rPr>
                <w:rFonts w:hint="eastAsia" w:ascii="宋体" w:hAnsi="宋体" w:cs="宋体"/>
                <w:color w:val="auto"/>
                <w:szCs w:val="21"/>
                <w:highlight w:val="none"/>
                <w:lang w:eastAsia="zh-CN"/>
              </w:rPr>
              <w:t>中标总</w:t>
            </w:r>
            <w:r>
              <w:rPr>
                <w:rFonts w:hint="eastAsia" w:ascii="宋体" w:hAnsi="宋体" w:eastAsia="宋体" w:cs="宋体"/>
                <w:color w:val="auto"/>
                <w:szCs w:val="21"/>
                <w:highlight w:val="none"/>
              </w:rPr>
              <w:t>金额的</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2501A232">
            <w:pPr>
              <w:numPr>
                <w:ilvl w:val="0"/>
                <w:numId w:val="0"/>
              </w:numPr>
              <w:autoSpaceDE w:val="0"/>
              <w:autoSpaceDN w:val="0"/>
              <w:snapToGrid w:val="0"/>
              <w:spacing w:line="360" w:lineRule="auto"/>
              <w:textAlignment w:val="bottom"/>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履约保证金递交方式：</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在</w:t>
            </w:r>
            <w:r>
              <w:rPr>
                <w:rFonts w:hint="eastAsia" w:cs="宋体"/>
                <w:color w:val="auto"/>
                <w:kern w:val="0"/>
                <w:szCs w:val="21"/>
                <w:highlight w:val="none"/>
                <w:u w:val="single"/>
              </w:rPr>
              <w:t>签订合同</w:t>
            </w:r>
            <w:r>
              <w:rPr>
                <w:rFonts w:hint="eastAsia" w:ascii="宋体" w:hAnsi="宋体" w:cs="宋体"/>
                <w:color w:val="auto"/>
                <w:szCs w:val="21"/>
                <w:highlight w:val="none"/>
                <w:u w:val="single"/>
              </w:rPr>
              <w:t>前</w:t>
            </w:r>
            <w:r>
              <w:rPr>
                <w:rFonts w:hint="eastAsia" w:ascii="宋体" w:hAnsi="宋体" w:cs="宋体"/>
                <w:color w:val="auto"/>
                <w:szCs w:val="21"/>
                <w:highlight w:val="none"/>
                <w:lang w:eastAsia="zh-CN"/>
              </w:rPr>
              <w:t>以</w:t>
            </w:r>
            <w:r>
              <w:rPr>
                <w:rFonts w:hint="eastAsia" w:ascii="宋体" w:hAnsi="宋体" w:eastAsia="宋体" w:cs="宋体"/>
                <w:color w:val="auto"/>
                <w:szCs w:val="21"/>
                <w:highlight w:val="none"/>
              </w:rPr>
              <w:t>银行转账、支票、汇票、本票或者金融机构、担保机构出具的保函等非现金方式</w:t>
            </w:r>
            <w:r>
              <w:rPr>
                <w:rFonts w:hint="eastAsia" w:ascii="宋体" w:hAnsi="宋体" w:cs="宋体"/>
                <w:color w:val="auto"/>
                <w:szCs w:val="21"/>
                <w:highlight w:val="none"/>
                <w:lang w:eastAsia="zh-CN"/>
              </w:rPr>
              <w:t>向</w:t>
            </w:r>
            <w:r>
              <w:rPr>
                <w:rFonts w:hint="eastAsia" w:ascii="宋体" w:hAnsi="宋体" w:cs="宋体"/>
                <w:color w:val="auto"/>
                <w:szCs w:val="21"/>
                <w:highlight w:val="none"/>
                <w:u w:val="single"/>
                <w:lang w:val="en-US" w:eastAsia="zh-CN"/>
              </w:rPr>
              <w:t>采购人</w:t>
            </w:r>
            <w:r>
              <w:rPr>
                <w:rFonts w:hint="eastAsia" w:ascii="宋体" w:hAnsi="宋体" w:cs="宋体"/>
                <w:color w:val="auto"/>
                <w:szCs w:val="21"/>
                <w:highlight w:val="none"/>
                <w:u w:val="none"/>
                <w:lang w:val="en-US" w:eastAsia="zh-CN"/>
              </w:rPr>
              <w:t>提交</w:t>
            </w:r>
            <w:r>
              <w:rPr>
                <w:rFonts w:hint="eastAsia" w:ascii="宋体" w:hAnsi="宋体" w:cs="宋体"/>
                <w:color w:val="auto"/>
                <w:szCs w:val="21"/>
                <w:highlight w:val="none"/>
                <w:lang w:eastAsia="zh-CN"/>
              </w:rPr>
              <w:t>。</w:t>
            </w:r>
          </w:p>
          <w:p w14:paraId="767AE8F5">
            <w:pPr>
              <w:autoSpaceDE w:val="0"/>
              <w:autoSpaceDN w:val="0"/>
              <w:snapToGrid w:val="0"/>
              <w:spacing w:line="360" w:lineRule="auto"/>
              <w:textAlignment w:val="bottom"/>
              <w:rPr>
                <w:rFonts w:hint="eastAsia" w:ascii="宋体" w:hAnsi="宋体" w:eastAsia="宋体" w:cs="宋体"/>
                <w:color w:val="000000"/>
                <w:szCs w:val="21"/>
                <w:highlight w:val="none"/>
                <w:u w:val="none"/>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履约保证金退付方式、时间及条件：</w:t>
            </w:r>
            <w:r>
              <w:rPr>
                <w:rFonts w:hint="eastAsia" w:ascii="宋体" w:hAnsi="宋体" w:eastAsia="宋体" w:cs="宋体"/>
                <w:color w:val="auto"/>
                <w:szCs w:val="21"/>
                <w:highlight w:val="none"/>
                <w:u w:val="single"/>
              </w:rPr>
              <w:t>项目验收合格后，中标人</w:t>
            </w:r>
            <w:r>
              <w:rPr>
                <w:rFonts w:hint="eastAsia" w:ascii="宋体" w:hAnsi="宋体" w:cs="宋体"/>
                <w:color w:val="auto"/>
                <w:szCs w:val="21"/>
                <w:highlight w:val="none"/>
                <w:u w:val="single"/>
                <w:lang w:eastAsia="zh-CN"/>
              </w:rPr>
              <w:t>向采购人</w:t>
            </w:r>
            <w:r>
              <w:rPr>
                <w:rFonts w:hint="eastAsia" w:ascii="宋体" w:hAnsi="宋体" w:eastAsia="宋体" w:cs="宋体"/>
                <w:color w:val="auto"/>
                <w:szCs w:val="21"/>
                <w:highlight w:val="none"/>
                <w:u w:val="single"/>
              </w:rPr>
              <w:t>提出书面</w:t>
            </w:r>
            <w:r>
              <w:rPr>
                <w:rFonts w:hint="eastAsia" w:ascii="宋体" w:hAnsi="宋体" w:cs="宋体"/>
                <w:color w:val="auto"/>
                <w:szCs w:val="21"/>
                <w:highlight w:val="none"/>
                <w:u w:val="single"/>
                <w:lang w:eastAsia="zh-CN"/>
              </w:rPr>
              <w:t>退款</w:t>
            </w:r>
            <w:r>
              <w:rPr>
                <w:rFonts w:hint="eastAsia" w:ascii="宋体" w:hAnsi="宋体" w:eastAsia="宋体" w:cs="宋体"/>
                <w:color w:val="auto"/>
                <w:szCs w:val="21"/>
                <w:highlight w:val="none"/>
                <w:u w:val="single"/>
              </w:rPr>
              <w:t>申请，采购人在</w:t>
            </w:r>
            <w:r>
              <w:rPr>
                <w:rFonts w:hint="eastAsia" w:ascii="宋体" w:hAnsi="宋体" w:cs="宋体"/>
                <w:color w:val="auto"/>
                <w:szCs w:val="21"/>
                <w:highlight w:val="none"/>
                <w:u w:val="single"/>
                <w:lang w:eastAsia="zh-CN"/>
              </w:rPr>
              <w:t>收到中标人书面退款申请后，</w:t>
            </w:r>
            <w:r>
              <w:rPr>
                <w:rFonts w:hint="eastAsia" w:ascii="宋体" w:hAnsi="宋体" w:eastAsia="宋体" w:cs="宋体"/>
                <w:color w:val="auto"/>
                <w:szCs w:val="21"/>
                <w:highlight w:val="none"/>
                <w:u w:val="single"/>
              </w:rPr>
              <w:t>5个工作日内办理履约保证金退还手续（不计息）</w:t>
            </w:r>
            <w:r>
              <w:rPr>
                <w:rFonts w:hint="eastAsia" w:ascii="宋体" w:hAnsi="宋体" w:eastAsia="宋体" w:cs="宋体"/>
                <w:color w:val="auto"/>
                <w:szCs w:val="21"/>
                <w:highlight w:val="none"/>
                <w:u w:val="none"/>
              </w:rPr>
              <w:t>。</w:t>
            </w:r>
          </w:p>
          <w:p w14:paraId="626F636C">
            <w:pPr>
              <w:autoSpaceDE w:val="0"/>
              <w:autoSpaceDN w:val="0"/>
              <w:snapToGrid w:val="0"/>
              <w:spacing w:line="360" w:lineRule="auto"/>
              <w:jc w:val="left"/>
              <w:textAlignment w:val="bottom"/>
              <w:rPr>
                <w:rFonts w:ascii="宋体" w:hAnsi="宋体" w:cs="宋体"/>
                <w:szCs w:val="21"/>
                <w:highlight w:val="none"/>
              </w:rPr>
            </w:pPr>
            <w:bookmarkStart w:id="102" w:name="OLE_LINK96"/>
            <w:r>
              <w:rPr>
                <w:rFonts w:hint="eastAsia" w:ascii="宋体" w:hAnsi="宋体" w:cs="宋体"/>
                <w:szCs w:val="21"/>
                <w:highlight w:val="none"/>
              </w:rPr>
              <w:t>保证金指定账户：采购人</w:t>
            </w:r>
            <w:r>
              <w:rPr>
                <w:rFonts w:hint="eastAsia" w:ascii="宋体" w:hAnsi="宋体" w:cs="宋体"/>
                <w:szCs w:val="21"/>
                <w:highlight w:val="none"/>
                <w:lang w:val="en-US" w:eastAsia="zh-CN"/>
              </w:rPr>
              <w:t>账</w:t>
            </w:r>
            <w:r>
              <w:rPr>
                <w:rFonts w:hint="eastAsia" w:ascii="宋体" w:hAnsi="宋体" w:cs="宋体"/>
                <w:szCs w:val="21"/>
                <w:highlight w:val="none"/>
              </w:rPr>
              <w:t>户</w:t>
            </w:r>
            <w:bookmarkEnd w:id="102"/>
          </w:p>
          <w:bookmarkEnd w:id="99"/>
          <w:bookmarkEnd w:id="101"/>
          <w:p w14:paraId="40804C41">
            <w:pPr>
              <w:autoSpaceDE w:val="0"/>
              <w:autoSpaceDN w:val="0"/>
              <w:snapToGrid w:val="0"/>
              <w:spacing w:line="360" w:lineRule="auto"/>
              <w:jc w:val="left"/>
              <w:textAlignment w:val="bottom"/>
              <w:rPr>
                <w:rFonts w:hint="default" w:ascii="宋体" w:hAnsi="宋体" w:eastAsia="宋体" w:cs="宋体"/>
                <w:szCs w:val="21"/>
                <w:highlight w:val="none"/>
                <w:lang w:val="en-US" w:eastAsia="zh-CN"/>
              </w:rPr>
            </w:pPr>
            <w:r>
              <w:rPr>
                <w:rFonts w:hint="default" w:ascii="宋体" w:hAnsi="宋体" w:eastAsia="宋体" w:cs="宋体"/>
                <w:szCs w:val="21"/>
                <w:highlight w:val="none"/>
                <w:lang w:val="en-US" w:eastAsia="zh-CN"/>
              </w:rPr>
              <w:t>户名：广西壮族自治区农业科学院</w:t>
            </w:r>
          </w:p>
          <w:p w14:paraId="1E64B4EE">
            <w:pPr>
              <w:autoSpaceDE w:val="0"/>
              <w:autoSpaceDN w:val="0"/>
              <w:snapToGrid w:val="0"/>
              <w:spacing w:line="360" w:lineRule="auto"/>
              <w:jc w:val="left"/>
              <w:textAlignment w:val="bottom"/>
              <w:rPr>
                <w:rFonts w:hint="default" w:ascii="宋体" w:hAnsi="宋体" w:eastAsia="宋体" w:cs="宋体"/>
                <w:szCs w:val="21"/>
                <w:highlight w:val="none"/>
                <w:lang w:val="en-US" w:eastAsia="zh-CN"/>
              </w:rPr>
            </w:pPr>
            <w:r>
              <w:rPr>
                <w:rFonts w:hint="default" w:ascii="宋体" w:hAnsi="宋体" w:eastAsia="宋体" w:cs="宋体"/>
                <w:szCs w:val="21"/>
                <w:highlight w:val="none"/>
                <w:lang w:val="en-US" w:eastAsia="zh-CN"/>
              </w:rPr>
              <w:t>银行账号：45001604851059000666</w:t>
            </w:r>
          </w:p>
          <w:p w14:paraId="6B70803D">
            <w:pPr>
              <w:autoSpaceDE w:val="0"/>
              <w:autoSpaceDN w:val="0"/>
              <w:snapToGrid w:val="0"/>
              <w:spacing w:line="360" w:lineRule="auto"/>
              <w:jc w:val="left"/>
              <w:textAlignment w:val="bottom"/>
              <w:rPr>
                <w:rFonts w:hint="default" w:ascii="宋体" w:hAnsi="宋体" w:eastAsia="宋体" w:cs="宋体"/>
                <w:szCs w:val="21"/>
                <w:highlight w:val="none"/>
                <w:lang w:val="en-US" w:eastAsia="zh-CN"/>
              </w:rPr>
            </w:pPr>
            <w:r>
              <w:rPr>
                <w:rFonts w:hint="default" w:ascii="宋体" w:hAnsi="宋体" w:eastAsia="宋体" w:cs="宋体"/>
                <w:szCs w:val="21"/>
                <w:highlight w:val="none"/>
                <w:lang w:val="en-US" w:eastAsia="zh-CN"/>
              </w:rPr>
              <w:t>开户行：中国建设银行南宁大学路支行</w:t>
            </w:r>
          </w:p>
        </w:tc>
      </w:tr>
      <w:tr w14:paraId="447C14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7D1989C">
            <w:pPr>
              <w:spacing w:line="360" w:lineRule="exact"/>
              <w:rPr>
                <w:rFonts w:ascii="宋体" w:hAnsi="宋体" w:cs="宋体"/>
                <w:szCs w:val="21"/>
                <w:highlight w:val="none"/>
              </w:rPr>
            </w:pPr>
            <w:r>
              <w:rPr>
                <w:rFonts w:hint="eastAsia" w:ascii="宋体" w:hAnsi="宋体" w:cs="宋体"/>
                <w:szCs w:val="21"/>
                <w:highlight w:val="none"/>
              </w:rPr>
              <w:t>36.1</w:t>
            </w:r>
          </w:p>
        </w:tc>
        <w:tc>
          <w:tcPr>
            <w:tcW w:w="2083" w:type="dxa"/>
            <w:tcBorders>
              <w:top w:val="single" w:color="auto" w:sz="4" w:space="0"/>
              <w:left w:val="single" w:color="auto" w:sz="4" w:space="0"/>
              <w:bottom w:val="single" w:color="auto" w:sz="4" w:space="0"/>
              <w:right w:val="single" w:color="auto" w:sz="4" w:space="0"/>
            </w:tcBorders>
            <w:noWrap/>
            <w:vAlign w:val="center"/>
          </w:tcPr>
          <w:p w14:paraId="0ADC05DE">
            <w:pPr>
              <w:spacing w:line="360" w:lineRule="exact"/>
              <w:rPr>
                <w:rFonts w:ascii="宋体" w:hAnsi="宋体" w:cs="宋体"/>
                <w:szCs w:val="21"/>
                <w:highlight w:val="none"/>
              </w:rPr>
            </w:pPr>
            <w:bookmarkStart w:id="103" w:name="_40.1"/>
            <w:bookmarkEnd w:id="103"/>
            <w:r>
              <w:rPr>
                <w:rFonts w:hint="eastAsia" w:ascii="宋体" w:hAnsi="宋体" w:cs="宋体"/>
                <w:szCs w:val="21"/>
                <w:highlight w:val="none"/>
              </w:rPr>
              <w:t>签订合同携带的材料</w:t>
            </w:r>
          </w:p>
        </w:tc>
        <w:tc>
          <w:tcPr>
            <w:tcW w:w="6872" w:type="dxa"/>
            <w:tcBorders>
              <w:top w:val="single" w:color="auto" w:sz="4" w:space="0"/>
              <w:left w:val="single" w:color="auto" w:sz="4" w:space="0"/>
              <w:bottom w:val="single" w:color="auto" w:sz="4" w:space="0"/>
              <w:right w:val="single" w:color="auto" w:sz="4" w:space="0"/>
            </w:tcBorders>
            <w:noWrap/>
            <w:vAlign w:val="center"/>
          </w:tcPr>
          <w:p w14:paraId="0C64CC43">
            <w:pPr>
              <w:snapToGrid w:val="0"/>
              <w:spacing w:line="360" w:lineRule="exact"/>
              <w:rPr>
                <w:rFonts w:ascii="宋体" w:hAnsi="宋体" w:cs="宋体"/>
                <w:szCs w:val="21"/>
                <w:highlight w:val="none"/>
              </w:rPr>
            </w:pPr>
            <w:r>
              <w:rPr>
                <w:rFonts w:hint="eastAsia" w:ascii="宋体" w:hAnsi="宋体" w:cs="宋体"/>
                <w:szCs w:val="21"/>
                <w:highlight w:val="none"/>
              </w:rPr>
              <w:t>电子采购合同需要中标人通过有效CA证书进行电子签名与签章（适用于签订电子合同的情形）</w:t>
            </w:r>
          </w:p>
          <w:p w14:paraId="0199AFCB">
            <w:pPr>
              <w:snapToGrid w:val="0"/>
              <w:spacing w:line="360" w:lineRule="exact"/>
              <w:rPr>
                <w:rFonts w:ascii="宋体" w:hAnsi="宋体" w:cs="宋体"/>
                <w:szCs w:val="21"/>
                <w:highlight w:val="none"/>
              </w:rPr>
            </w:pPr>
            <w:r>
              <w:rPr>
                <w:rFonts w:hint="eastAsia" w:ascii="宋体" w:hAnsi="宋体" w:cs="宋体"/>
                <w:szCs w:val="21"/>
                <w:highlight w:val="none"/>
              </w:rPr>
              <w:t>委托代理人负责签订合同的，须携带有效的法定代表人授权委托书及其委托代理人身份证原件等其他资格证件。</w:t>
            </w:r>
          </w:p>
          <w:p w14:paraId="24D05D79">
            <w:pPr>
              <w:snapToGrid w:val="0"/>
              <w:spacing w:line="360" w:lineRule="exact"/>
              <w:rPr>
                <w:rFonts w:ascii="宋体" w:hAnsi="宋体" w:cs="宋体"/>
                <w:szCs w:val="21"/>
                <w:highlight w:val="none"/>
              </w:rPr>
            </w:pPr>
            <w:r>
              <w:rPr>
                <w:rFonts w:hint="eastAsia" w:ascii="宋体" w:hAnsi="宋体" w:cs="宋体"/>
                <w:szCs w:val="21"/>
                <w:highlight w:val="none"/>
              </w:rPr>
              <w:t>法定代表人负责签订合同的，须携带法定代表人身份证明原件及身份证原件等其他证明材料。（适用于签订纸质合同的情形）</w:t>
            </w:r>
          </w:p>
        </w:tc>
      </w:tr>
      <w:tr w14:paraId="4003A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restart"/>
            <w:tcBorders>
              <w:top w:val="single" w:color="auto" w:sz="4" w:space="0"/>
              <w:left w:val="single" w:color="auto" w:sz="4" w:space="0"/>
              <w:bottom w:val="single" w:color="auto" w:sz="4" w:space="0"/>
              <w:right w:val="single" w:color="auto" w:sz="4" w:space="0"/>
            </w:tcBorders>
            <w:noWrap/>
            <w:vAlign w:val="center"/>
          </w:tcPr>
          <w:p w14:paraId="4049A71F">
            <w:pPr>
              <w:spacing w:line="360" w:lineRule="exact"/>
              <w:rPr>
                <w:rFonts w:ascii="宋体" w:hAnsi="宋体" w:cs="宋体"/>
                <w:szCs w:val="21"/>
                <w:highlight w:val="none"/>
              </w:rPr>
            </w:pPr>
            <w:r>
              <w:rPr>
                <w:rFonts w:hint="eastAsia" w:ascii="宋体" w:hAnsi="宋体" w:cs="宋体"/>
                <w:szCs w:val="21"/>
                <w:highlight w:val="none"/>
              </w:rPr>
              <w:t>38.2.1</w:t>
            </w:r>
          </w:p>
        </w:tc>
        <w:tc>
          <w:tcPr>
            <w:tcW w:w="2083" w:type="dxa"/>
            <w:tcBorders>
              <w:top w:val="single" w:color="auto" w:sz="4" w:space="0"/>
              <w:left w:val="single" w:color="auto" w:sz="4" w:space="0"/>
              <w:bottom w:val="single" w:color="auto" w:sz="4" w:space="0"/>
              <w:right w:val="single" w:color="auto" w:sz="4" w:space="0"/>
            </w:tcBorders>
            <w:noWrap/>
            <w:vAlign w:val="center"/>
          </w:tcPr>
          <w:p w14:paraId="3A6F6FB9">
            <w:pPr>
              <w:spacing w:line="360" w:lineRule="exact"/>
              <w:rPr>
                <w:rFonts w:ascii="宋体" w:hAnsi="宋体" w:cs="宋体"/>
                <w:szCs w:val="21"/>
                <w:highlight w:val="none"/>
              </w:rPr>
            </w:pPr>
            <w:r>
              <w:rPr>
                <w:rFonts w:hint="eastAsia" w:ascii="宋体" w:hAnsi="宋体" w:cs="宋体"/>
                <w:szCs w:val="21"/>
                <w:highlight w:val="none"/>
              </w:rPr>
              <w:t>接收质疑函方式</w:t>
            </w:r>
          </w:p>
        </w:tc>
        <w:tc>
          <w:tcPr>
            <w:tcW w:w="6872" w:type="dxa"/>
            <w:tcBorders>
              <w:top w:val="single" w:color="auto" w:sz="4" w:space="0"/>
              <w:left w:val="single" w:color="auto" w:sz="4" w:space="0"/>
              <w:bottom w:val="single" w:color="auto" w:sz="4" w:space="0"/>
              <w:right w:val="single" w:color="auto" w:sz="4" w:space="0"/>
            </w:tcBorders>
            <w:noWrap/>
            <w:vAlign w:val="center"/>
          </w:tcPr>
          <w:p w14:paraId="6FE64280">
            <w:pPr>
              <w:snapToGrid w:val="0"/>
              <w:spacing w:line="360" w:lineRule="exact"/>
              <w:rPr>
                <w:rFonts w:ascii="宋体" w:hAnsi="宋体" w:cs="宋体"/>
                <w:szCs w:val="21"/>
                <w:highlight w:val="none"/>
              </w:rPr>
            </w:pPr>
            <w:r>
              <w:rPr>
                <w:rFonts w:hint="eastAsia" w:ascii="宋体" w:hAnsi="宋体" w:cs="宋体"/>
                <w:szCs w:val="21"/>
                <w:highlight w:val="none"/>
              </w:rPr>
              <w:t>以书面形式</w:t>
            </w:r>
          </w:p>
        </w:tc>
      </w:tr>
      <w:tr w14:paraId="6E232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single" w:color="auto" w:sz="4" w:space="0"/>
              <w:right w:val="single" w:color="auto" w:sz="4" w:space="0"/>
            </w:tcBorders>
            <w:noWrap/>
            <w:vAlign w:val="center"/>
          </w:tcPr>
          <w:p w14:paraId="08170B05">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29A579EF">
            <w:pPr>
              <w:spacing w:line="360" w:lineRule="exact"/>
              <w:rPr>
                <w:rFonts w:ascii="宋体" w:hAnsi="宋体" w:cs="宋体"/>
                <w:szCs w:val="21"/>
                <w:highlight w:val="none"/>
              </w:rPr>
            </w:pPr>
            <w:r>
              <w:rPr>
                <w:rFonts w:hint="eastAsia" w:ascii="宋体" w:hAnsi="宋体" w:cs="宋体"/>
                <w:szCs w:val="21"/>
                <w:highlight w:val="none"/>
              </w:rPr>
              <w:t>质疑联系部门及联系方式</w:t>
            </w:r>
          </w:p>
        </w:tc>
        <w:tc>
          <w:tcPr>
            <w:tcW w:w="6872" w:type="dxa"/>
            <w:tcBorders>
              <w:top w:val="single" w:color="auto" w:sz="4" w:space="0"/>
              <w:left w:val="single" w:color="auto" w:sz="4" w:space="0"/>
              <w:bottom w:val="single" w:color="auto" w:sz="4" w:space="0"/>
              <w:right w:val="single" w:color="auto" w:sz="4" w:space="0"/>
            </w:tcBorders>
            <w:noWrap/>
            <w:vAlign w:val="center"/>
          </w:tcPr>
          <w:p w14:paraId="1984F9CF">
            <w:pPr>
              <w:snapToGrid w:val="0"/>
              <w:spacing w:line="360" w:lineRule="exact"/>
              <w:rPr>
                <w:rFonts w:hint="eastAsia" w:ascii="宋体" w:hAnsi="宋体" w:eastAsia="宋体" w:cs="宋体"/>
                <w:szCs w:val="21"/>
                <w:highlight w:val="none"/>
                <w:lang w:eastAsia="zh-CN"/>
              </w:rPr>
            </w:pPr>
            <w:r>
              <w:rPr>
                <w:rFonts w:hint="eastAsia" w:ascii="宋体" w:hAnsi="宋体" w:cs="宋体"/>
                <w:szCs w:val="21"/>
                <w:highlight w:val="none"/>
              </w:rPr>
              <w:t>（1）名称：</w:t>
            </w:r>
            <w:r>
              <w:rPr>
                <w:rFonts w:hint="eastAsia" w:ascii="宋体" w:hAnsi="宋体" w:cs="宋体"/>
                <w:szCs w:val="21"/>
                <w:highlight w:val="none"/>
                <w:lang w:eastAsia="zh-CN"/>
              </w:rPr>
              <w:t>广西壮族自治区农业科学院</w:t>
            </w:r>
          </w:p>
          <w:p w14:paraId="42548DDE">
            <w:pPr>
              <w:snapToGrid w:val="0"/>
              <w:spacing w:line="360" w:lineRule="exact"/>
              <w:rPr>
                <w:rFonts w:hint="eastAsia" w:ascii="宋体" w:hAnsi="宋体" w:cs="宋体"/>
                <w:szCs w:val="21"/>
                <w:highlight w:val="none"/>
              </w:rPr>
            </w:pPr>
            <w:r>
              <w:rPr>
                <w:rFonts w:hint="eastAsia" w:ascii="宋体" w:hAnsi="宋体" w:cs="宋体"/>
                <w:szCs w:val="21"/>
                <w:highlight w:val="none"/>
              </w:rPr>
              <w:t>联系电话：</w:t>
            </w:r>
            <w:r>
              <w:rPr>
                <w:rFonts w:hint="eastAsia" w:ascii="宋体" w:hAnsi="宋体" w:cs="宋体"/>
                <w:kern w:val="0"/>
                <w:szCs w:val="21"/>
                <w:highlight w:val="none"/>
                <w:lang w:val="en-US" w:eastAsia="zh-CN"/>
              </w:rPr>
              <w:t>0771-</w:t>
            </w:r>
            <w:r>
              <w:rPr>
                <w:rFonts w:hint="eastAsia" w:ascii="宋体" w:hAnsi="宋体" w:cs="宋体"/>
                <w:kern w:val="0"/>
                <w:szCs w:val="21"/>
                <w:highlight w:val="none"/>
              </w:rPr>
              <w:t>3249302</w:t>
            </w:r>
          </w:p>
          <w:p w14:paraId="213F2B3B">
            <w:pPr>
              <w:snapToGrid w:val="0"/>
              <w:spacing w:line="360" w:lineRule="exact"/>
              <w:rPr>
                <w:rFonts w:hint="eastAsia" w:ascii="宋体" w:hAnsi="宋体" w:cs="宋体"/>
                <w:kern w:val="0"/>
                <w:szCs w:val="21"/>
                <w:highlight w:val="none"/>
              </w:rPr>
            </w:pPr>
            <w:r>
              <w:rPr>
                <w:rFonts w:hint="eastAsia" w:ascii="宋体" w:hAnsi="宋体" w:cs="宋体"/>
                <w:szCs w:val="21"/>
                <w:highlight w:val="none"/>
              </w:rPr>
              <w:t>通讯地址：南宁市西乡塘区大学东路174号</w:t>
            </w:r>
          </w:p>
          <w:p w14:paraId="4D43DBC4">
            <w:pPr>
              <w:snapToGrid w:val="0"/>
              <w:spacing w:line="360" w:lineRule="exact"/>
              <w:rPr>
                <w:rFonts w:hint="eastAsia" w:ascii="宋体" w:hAnsi="宋体" w:eastAsia="宋体" w:cs="宋体"/>
                <w:szCs w:val="21"/>
                <w:highlight w:val="none"/>
                <w:lang w:eastAsia="zh-CN"/>
              </w:rPr>
            </w:pPr>
            <w:r>
              <w:rPr>
                <w:rFonts w:hint="eastAsia" w:ascii="宋体" w:hAnsi="宋体" w:cs="宋体"/>
                <w:szCs w:val="21"/>
                <w:highlight w:val="none"/>
              </w:rPr>
              <w:t>（2）名称：</w:t>
            </w:r>
            <w:r>
              <w:rPr>
                <w:rFonts w:hint="eastAsia" w:ascii="宋体" w:hAnsi="宋体" w:cs="宋体"/>
                <w:szCs w:val="21"/>
                <w:highlight w:val="none"/>
                <w:lang w:eastAsia="zh-CN"/>
              </w:rPr>
              <w:t>广西众联工程项目管理有限公司</w:t>
            </w:r>
          </w:p>
          <w:p w14:paraId="768E3786">
            <w:pPr>
              <w:snapToGrid w:val="0"/>
              <w:spacing w:line="360" w:lineRule="exact"/>
              <w:rPr>
                <w:rFonts w:hint="default" w:ascii="宋体" w:hAnsi="宋体" w:eastAsia="宋体" w:cs="宋体"/>
                <w:szCs w:val="21"/>
                <w:highlight w:val="none"/>
                <w:lang w:val="en-US" w:eastAsia="zh-CN"/>
              </w:rPr>
            </w:pPr>
            <w:r>
              <w:rPr>
                <w:rFonts w:hint="eastAsia" w:ascii="宋体" w:hAnsi="宋体" w:cs="宋体"/>
                <w:szCs w:val="21"/>
                <w:highlight w:val="none"/>
              </w:rPr>
              <w:t>联系电话：0771-</w:t>
            </w:r>
            <w:r>
              <w:rPr>
                <w:rFonts w:hint="eastAsia" w:ascii="宋体" w:hAnsi="宋体" w:cs="宋体"/>
                <w:szCs w:val="21"/>
                <w:highlight w:val="none"/>
                <w:lang w:val="en-US" w:eastAsia="zh-CN"/>
              </w:rPr>
              <w:t>4308370</w:t>
            </w:r>
          </w:p>
          <w:p w14:paraId="1F69A922">
            <w:pPr>
              <w:snapToGrid w:val="0"/>
              <w:spacing w:line="360" w:lineRule="exact"/>
              <w:rPr>
                <w:rFonts w:ascii="宋体" w:hAnsi="宋体" w:cs="宋体"/>
                <w:szCs w:val="21"/>
                <w:highlight w:val="none"/>
              </w:rPr>
            </w:pPr>
            <w:r>
              <w:rPr>
                <w:rFonts w:hint="eastAsia" w:ascii="宋体" w:hAnsi="宋体" w:cs="宋体"/>
                <w:szCs w:val="21"/>
                <w:highlight w:val="none"/>
              </w:rPr>
              <w:t>通讯地址：</w:t>
            </w:r>
            <w:r>
              <w:rPr>
                <w:rFonts w:hint="eastAsia" w:ascii="宋体" w:hAnsi="宋体" w:eastAsia="宋体" w:cs="宋体"/>
                <w:szCs w:val="21"/>
                <w:highlight w:val="none"/>
              </w:rPr>
              <w:t>南宁市江南区白沙大道53号松宇时代14A层</w:t>
            </w:r>
          </w:p>
        </w:tc>
      </w:tr>
      <w:tr w14:paraId="463FC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single" w:color="auto" w:sz="4" w:space="0"/>
              <w:right w:val="single" w:color="auto" w:sz="4" w:space="0"/>
            </w:tcBorders>
            <w:noWrap/>
            <w:vAlign w:val="center"/>
          </w:tcPr>
          <w:p w14:paraId="3E3B11AE">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7CAEF877">
            <w:pPr>
              <w:spacing w:line="360" w:lineRule="exact"/>
              <w:rPr>
                <w:rFonts w:ascii="宋体" w:hAnsi="宋体" w:cs="宋体"/>
                <w:szCs w:val="21"/>
                <w:highlight w:val="none"/>
              </w:rPr>
            </w:pPr>
            <w:r>
              <w:rPr>
                <w:rFonts w:hint="eastAsia" w:ascii="宋体" w:hAnsi="宋体" w:cs="宋体"/>
                <w:szCs w:val="21"/>
                <w:highlight w:val="none"/>
              </w:rPr>
              <w:t>现场提交质疑办理业务时间</w:t>
            </w:r>
          </w:p>
        </w:tc>
        <w:tc>
          <w:tcPr>
            <w:tcW w:w="6872" w:type="dxa"/>
            <w:tcBorders>
              <w:top w:val="single" w:color="auto" w:sz="4" w:space="0"/>
              <w:left w:val="single" w:color="auto" w:sz="4" w:space="0"/>
              <w:bottom w:val="single" w:color="auto" w:sz="4" w:space="0"/>
              <w:right w:val="single" w:color="auto" w:sz="4" w:space="0"/>
            </w:tcBorders>
            <w:noWrap/>
            <w:vAlign w:val="center"/>
          </w:tcPr>
          <w:p w14:paraId="67E32CB4">
            <w:pPr>
              <w:snapToGrid w:val="0"/>
              <w:spacing w:line="360" w:lineRule="exact"/>
              <w:rPr>
                <w:rFonts w:ascii="宋体" w:hAnsi="宋体" w:cs="宋体"/>
                <w:szCs w:val="21"/>
                <w:highlight w:val="none"/>
              </w:rPr>
            </w:pPr>
            <w:r>
              <w:rPr>
                <w:rFonts w:hint="eastAsia" w:ascii="宋体" w:hAnsi="宋体" w:cs="宋体"/>
                <w:szCs w:val="21"/>
                <w:highlight w:val="none"/>
              </w:rPr>
              <w:t>质疑期内每个工作日（北京时间）上午8时00分到12时00分，</w:t>
            </w:r>
            <w:r>
              <w:rPr>
                <w:rFonts w:hint="eastAsia" w:ascii="宋体" w:hAnsi="宋体" w:cs="宋体"/>
                <w:szCs w:val="21"/>
                <w:highlight w:val="none"/>
                <w:lang w:eastAsia="zh-CN"/>
              </w:rPr>
              <w:t>下午3点</w:t>
            </w:r>
            <w:r>
              <w:rPr>
                <w:rFonts w:hint="eastAsia" w:ascii="宋体" w:hAnsi="宋体" w:cs="宋体"/>
                <w:szCs w:val="21"/>
                <w:highlight w:val="none"/>
              </w:rPr>
              <w:t>00分到18时00分。</w:t>
            </w:r>
          </w:p>
        </w:tc>
      </w:tr>
      <w:tr w14:paraId="795B9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nil"/>
              <w:left w:val="single" w:color="auto" w:sz="4" w:space="0"/>
              <w:bottom w:val="single" w:color="auto" w:sz="4" w:space="0"/>
              <w:right w:val="single" w:color="auto" w:sz="4" w:space="0"/>
            </w:tcBorders>
            <w:noWrap/>
            <w:vAlign w:val="center"/>
          </w:tcPr>
          <w:p w14:paraId="5C0B4A77">
            <w:pPr>
              <w:spacing w:line="360" w:lineRule="exact"/>
              <w:rPr>
                <w:rFonts w:ascii="宋体" w:hAnsi="宋体" w:cs="宋体"/>
                <w:szCs w:val="21"/>
                <w:highlight w:val="none"/>
              </w:rPr>
            </w:pPr>
            <w:r>
              <w:rPr>
                <w:rFonts w:hint="eastAsia" w:ascii="宋体" w:hAnsi="宋体" w:cs="宋体"/>
                <w:szCs w:val="21"/>
                <w:highlight w:val="none"/>
              </w:rPr>
              <w:t>38.3.1</w:t>
            </w:r>
          </w:p>
        </w:tc>
        <w:tc>
          <w:tcPr>
            <w:tcW w:w="2083" w:type="dxa"/>
            <w:tcBorders>
              <w:top w:val="single" w:color="auto" w:sz="4" w:space="0"/>
              <w:left w:val="single" w:color="auto" w:sz="4" w:space="0"/>
              <w:bottom w:val="single" w:color="auto" w:sz="4" w:space="0"/>
              <w:right w:val="single" w:color="auto" w:sz="4" w:space="0"/>
            </w:tcBorders>
            <w:noWrap/>
            <w:vAlign w:val="center"/>
          </w:tcPr>
          <w:p w14:paraId="38ECDE61">
            <w:pPr>
              <w:spacing w:line="360" w:lineRule="exact"/>
              <w:rPr>
                <w:rFonts w:ascii="宋体" w:hAnsi="宋体" w:cs="宋体"/>
                <w:szCs w:val="21"/>
                <w:highlight w:val="none"/>
              </w:rPr>
            </w:pPr>
            <w:r>
              <w:rPr>
                <w:rFonts w:hint="eastAsia" w:ascii="宋体" w:hAnsi="宋体" w:cs="宋体"/>
                <w:szCs w:val="21"/>
                <w:highlight w:val="none"/>
              </w:rPr>
              <w:t>投诉受理方式</w:t>
            </w:r>
          </w:p>
        </w:tc>
        <w:tc>
          <w:tcPr>
            <w:tcW w:w="6872" w:type="dxa"/>
            <w:tcBorders>
              <w:top w:val="single" w:color="auto" w:sz="4" w:space="0"/>
              <w:left w:val="single" w:color="auto" w:sz="4" w:space="0"/>
              <w:bottom w:val="single" w:color="auto" w:sz="4" w:space="0"/>
              <w:right w:val="single" w:color="auto" w:sz="4" w:space="0"/>
            </w:tcBorders>
            <w:noWrap/>
            <w:vAlign w:val="center"/>
          </w:tcPr>
          <w:p w14:paraId="49DB6F1C">
            <w:pPr>
              <w:snapToGrid w:val="0"/>
              <w:spacing w:line="360" w:lineRule="exact"/>
              <w:rPr>
                <w:rFonts w:ascii="宋体" w:hAnsi="宋体" w:cs="宋体"/>
                <w:szCs w:val="21"/>
                <w:highlight w:val="none"/>
              </w:rPr>
            </w:pPr>
            <w:r>
              <w:rPr>
                <w:rFonts w:hint="eastAsia" w:ascii="宋体" w:hAnsi="宋体" w:cs="宋体"/>
                <w:szCs w:val="21"/>
                <w:highlight w:val="none"/>
              </w:rPr>
              <w:t>1</w:t>
            </w:r>
            <w:r>
              <w:rPr>
                <w:rFonts w:hint="eastAsia" w:ascii="宋体" w:hAnsi="宋体" w:cs="宋体"/>
                <w:szCs w:val="21"/>
                <w:highlight w:val="none"/>
                <w:lang w:eastAsia="zh-CN"/>
              </w:rPr>
              <w:t>.</w:t>
            </w:r>
            <w:r>
              <w:rPr>
                <w:rFonts w:hint="eastAsia" w:ascii="宋体" w:hAnsi="宋体" w:cs="宋体"/>
                <w:szCs w:val="21"/>
                <w:highlight w:val="none"/>
              </w:rPr>
              <w:t>受理方式：纸质方式受理，投诉书正、副本（经过质疑的事项才可投诉）。</w:t>
            </w:r>
          </w:p>
          <w:p w14:paraId="3CCD4BE2">
            <w:pPr>
              <w:snapToGrid w:val="0"/>
              <w:spacing w:line="360" w:lineRule="exact"/>
              <w:rPr>
                <w:rFonts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w:t>
            </w:r>
            <w:r>
              <w:rPr>
                <w:rFonts w:hint="eastAsia" w:ascii="宋体" w:hAnsi="宋体" w:cs="宋体"/>
                <w:szCs w:val="21"/>
                <w:highlight w:val="none"/>
              </w:rPr>
              <w:t>通讯方式：</w:t>
            </w:r>
          </w:p>
          <w:p w14:paraId="49966F7B">
            <w:pPr>
              <w:snapToGrid w:val="0"/>
              <w:spacing w:line="360" w:lineRule="exact"/>
              <w:rPr>
                <w:rFonts w:ascii="宋体" w:hAnsi="宋体" w:cs="宋体"/>
                <w:szCs w:val="21"/>
                <w:highlight w:val="none"/>
              </w:rPr>
            </w:pPr>
            <w:r>
              <w:rPr>
                <w:rFonts w:hint="eastAsia" w:ascii="宋体" w:hAnsi="宋体" w:cs="宋体"/>
                <w:szCs w:val="21"/>
                <w:highlight w:val="none"/>
              </w:rPr>
              <w:t>名称：</w:t>
            </w:r>
            <w:bookmarkStart w:id="104" w:name="OLE_LINK209"/>
            <w:r>
              <w:rPr>
                <w:rFonts w:hint="eastAsia" w:ascii="宋体" w:hAnsi="宋体" w:cs="宋体"/>
                <w:szCs w:val="21"/>
                <w:highlight w:val="none"/>
              </w:rPr>
              <w:t>广西壮族自治区财政厅政府采购监督管理处</w:t>
            </w:r>
          </w:p>
          <w:bookmarkEnd w:id="104"/>
          <w:p w14:paraId="5643CC7E">
            <w:pPr>
              <w:snapToGrid w:val="0"/>
              <w:spacing w:line="360" w:lineRule="exact"/>
              <w:rPr>
                <w:rFonts w:ascii="宋体" w:hAnsi="宋体" w:cs="宋体"/>
                <w:szCs w:val="21"/>
                <w:highlight w:val="none"/>
              </w:rPr>
            </w:pPr>
            <w:r>
              <w:rPr>
                <w:rFonts w:hint="eastAsia" w:ascii="宋体" w:hAnsi="宋体" w:cs="宋体"/>
                <w:szCs w:val="21"/>
                <w:highlight w:val="none"/>
              </w:rPr>
              <w:t>地址：南宁市桃源路69号广西财政大厦7楼</w:t>
            </w:r>
          </w:p>
          <w:p w14:paraId="1268B8C7">
            <w:pPr>
              <w:snapToGrid w:val="0"/>
              <w:spacing w:line="360" w:lineRule="exact"/>
              <w:rPr>
                <w:rFonts w:ascii="宋体" w:hAnsi="宋体" w:cs="宋体"/>
                <w:szCs w:val="21"/>
                <w:highlight w:val="none"/>
              </w:rPr>
            </w:pPr>
            <w:r>
              <w:rPr>
                <w:rFonts w:hint="eastAsia" w:ascii="宋体" w:hAnsi="宋体" w:cs="宋体"/>
                <w:szCs w:val="21"/>
                <w:highlight w:val="none"/>
              </w:rPr>
              <w:t xml:space="preserve">联系电话：0771-5331544 </w:t>
            </w:r>
          </w:p>
        </w:tc>
      </w:tr>
      <w:tr w14:paraId="4E00D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860" w:type="dxa"/>
            <w:vMerge w:val="restart"/>
            <w:tcBorders>
              <w:top w:val="single" w:color="auto" w:sz="4" w:space="0"/>
              <w:left w:val="single" w:color="auto" w:sz="4" w:space="0"/>
              <w:bottom w:val="single" w:color="auto" w:sz="4" w:space="0"/>
              <w:right w:val="single" w:color="auto" w:sz="4" w:space="0"/>
            </w:tcBorders>
            <w:noWrap/>
            <w:vAlign w:val="center"/>
          </w:tcPr>
          <w:p w14:paraId="0FC6DCBB">
            <w:pPr>
              <w:spacing w:line="360" w:lineRule="exact"/>
              <w:rPr>
                <w:rFonts w:ascii="宋体" w:hAnsi="宋体" w:cs="宋体"/>
                <w:szCs w:val="21"/>
                <w:highlight w:val="none"/>
              </w:rPr>
            </w:pPr>
            <w:r>
              <w:rPr>
                <w:rFonts w:hint="eastAsia" w:ascii="宋体" w:hAnsi="宋体" w:cs="宋体"/>
                <w:szCs w:val="21"/>
                <w:highlight w:val="none"/>
              </w:rPr>
              <w:t>40</w:t>
            </w:r>
          </w:p>
        </w:tc>
        <w:tc>
          <w:tcPr>
            <w:tcW w:w="2083" w:type="dxa"/>
            <w:tcBorders>
              <w:top w:val="single" w:color="auto" w:sz="4" w:space="0"/>
              <w:left w:val="single" w:color="auto" w:sz="4" w:space="0"/>
              <w:bottom w:val="single" w:color="auto" w:sz="4" w:space="0"/>
              <w:right w:val="single" w:color="auto" w:sz="4" w:space="0"/>
            </w:tcBorders>
            <w:noWrap/>
            <w:vAlign w:val="center"/>
          </w:tcPr>
          <w:p w14:paraId="10729CEE">
            <w:pPr>
              <w:spacing w:line="360" w:lineRule="exact"/>
              <w:rPr>
                <w:rFonts w:ascii="宋体" w:hAnsi="宋体" w:cs="宋体"/>
                <w:szCs w:val="21"/>
                <w:highlight w:val="none"/>
              </w:rPr>
            </w:pPr>
            <w:bookmarkStart w:id="105" w:name="_41"/>
            <w:bookmarkEnd w:id="105"/>
            <w:bookmarkStart w:id="106" w:name="_42"/>
            <w:bookmarkEnd w:id="106"/>
            <w:r>
              <w:rPr>
                <w:rFonts w:hint="eastAsia" w:ascii="宋体" w:hAnsi="宋体" w:cs="宋体"/>
                <w:szCs w:val="21"/>
                <w:highlight w:val="none"/>
              </w:rPr>
              <w:t>采购代理服务费支付方式</w:t>
            </w:r>
          </w:p>
        </w:tc>
        <w:tc>
          <w:tcPr>
            <w:tcW w:w="6872" w:type="dxa"/>
            <w:tcBorders>
              <w:top w:val="single" w:color="auto" w:sz="4" w:space="0"/>
              <w:left w:val="single" w:color="auto" w:sz="4" w:space="0"/>
              <w:bottom w:val="single" w:color="auto" w:sz="4" w:space="0"/>
              <w:right w:val="single" w:color="auto" w:sz="4" w:space="0"/>
            </w:tcBorders>
            <w:noWrap/>
            <w:vAlign w:val="center"/>
          </w:tcPr>
          <w:p w14:paraId="56A498A5">
            <w:pPr>
              <w:pStyle w:val="14"/>
              <w:snapToGrid w:val="0"/>
              <w:spacing w:line="380" w:lineRule="exact"/>
              <w:rPr>
                <w:rFonts w:hAnsi="宋体" w:cs="宋体"/>
                <w:szCs w:val="21"/>
                <w:highlight w:val="none"/>
              </w:rPr>
            </w:pPr>
            <w:r>
              <w:rPr>
                <w:rFonts w:hint="eastAsia" w:hAnsi="宋体" w:cs="宋体"/>
                <w:color w:val="auto"/>
                <w:highlight w:val="none"/>
                <w:lang w:eastAsia="zh-CN"/>
              </w:rPr>
              <w:t>☑</w:t>
            </w:r>
            <w:r>
              <w:rPr>
                <w:rFonts w:hint="eastAsia" w:hAnsi="宋体" w:cs="宋体"/>
                <w:color w:val="auto"/>
                <w:highlight w:val="none"/>
              </w:rPr>
              <w:t>本项目</w:t>
            </w:r>
            <w:r>
              <w:rPr>
                <w:rFonts w:hint="eastAsia" w:hAnsi="宋体" w:cs="宋体"/>
                <w:color w:val="auto"/>
                <w:highlight w:val="none"/>
                <w:lang w:eastAsia="zh-CN"/>
              </w:rPr>
              <w:t>采购</w:t>
            </w:r>
            <w:r>
              <w:rPr>
                <w:rFonts w:hint="eastAsia" w:hAnsi="宋体" w:cs="宋体"/>
                <w:color w:val="auto"/>
                <w:highlight w:val="none"/>
              </w:rPr>
              <w:t>代理</w:t>
            </w:r>
            <w:r>
              <w:rPr>
                <w:rFonts w:hint="eastAsia" w:hAnsi="宋体" w:cs="宋体"/>
                <w:color w:val="auto"/>
                <w:highlight w:val="none"/>
                <w:lang w:eastAsia="zh-CN"/>
              </w:rPr>
              <w:t>服务</w:t>
            </w:r>
            <w:r>
              <w:rPr>
                <w:rFonts w:hint="eastAsia" w:hAnsi="宋体" w:cs="宋体"/>
                <w:color w:val="auto"/>
                <w:highlight w:val="none"/>
              </w:rPr>
              <w:t>费由</w:t>
            </w:r>
            <w:r>
              <w:rPr>
                <w:rFonts w:hint="eastAsia" w:hAnsi="宋体" w:cs="宋体"/>
                <w:color w:val="auto"/>
                <w:highlight w:val="none"/>
                <w:u w:val="single"/>
                <w:lang w:eastAsia="zh-CN"/>
              </w:rPr>
              <w:t>中标</w:t>
            </w:r>
            <w:r>
              <w:rPr>
                <w:rFonts w:hint="eastAsia" w:hAnsi="宋体" w:cs="宋体"/>
                <w:color w:val="auto"/>
                <w:highlight w:val="none"/>
                <w:u w:val="single"/>
              </w:rPr>
              <w:t>人</w:t>
            </w:r>
            <w:r>
              <w:rPr>
                <w:rFonts w:hint="eastAsia" w:hAnsi="宋体" w:cs="宋体"/>
                <w:color w:val="auto"/>
                <w:highlight w:val="none"/>
              </w:rPr>
              <w:t>在</w:t>
            </w:r>
            <w:r>
              <w:rPr>
                <w:rFonts w:hint="eastAsia" w:hAnsi="宋体" w:eastAsia="宋体" w:cs="宋体"/>
                <w:color w:val="auto"/>
                <w:sz w:val="21"/>
                <w:highlight w:val="none"/>
                <w:lang w:val="en-US" w:eastAsia="zh-CN"/>
              </w:rPr>
              <w:t>签订合同</w:t>
            </w:r>
            <w:r>
              <w:rPr>
                <w:rFonts w:hint="eastAsia" w:hAnsi="宋体" w:cs="宋体"/>
                <w:color w:val="auto"/>
                <w:highlight w:val="none"/>
              </w:rPr>
              <w:t>前，</w:t>
            </w:r>
            <w:r>
              <w:rPr>
                <w:rFonts w:hint="eastAsia" w:hAnsi="宋体" w:eastAsia="宋体" w:cs="宋体"/>
                <w:color w:val="auto"/>
                <w:sz w:val="21"/>
                <w:highlight w:val="none"/>
                <w:lang w:val="en-US" w:eastAsia="zh-CN"/>
              </w:rPr>
              <w:t>以银行转账、电汇等方式</w:t>
            </w:r>
            <w:r>
              <w:rPr>
                <w:rFonts w:hint="eastAsia" w:hAnsi="宋体" w:cs="宋体"/>
                <w:color w:val="auto"/>
                <w:highlight w:val="none"/>
              </w:rPr>
              <w:t>一次性向采购代理机构支付。</w:t>
            </w:r>
          </w:p>
        </w:tc>
      </w:tr>
      <w:tr w14:paraId="4505E1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860" w:type="dxa"/>
            <w:vMerge w:val="continue"/>
            <w:tcBorders>
              <w:top w:val="single" w:color="auto" w:sz="4" w:space="0"/>
              <w:left w:val="single" w:color="auto" w:sz="4" w:space="0"/>
              <w:bottom w:val="single" w:color="auto" w:sz="4" w:space="0"/>
              <w:right w:val="single" w:color="auto" w:sz="4" w:space="0"/>
            </w:tcBorders>
            <w:noWrap/>
            <w:vAlign w:val="center"/>
          </w:tcPr>
          <w:p w14:paraId="139D7600">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6288A33F">
            <w:pPr>
              <w:spacing w:line="360" w:lineRule="exact"/>
              <w:rPr>
                <w:rFonts w:ascii="宋体" w:hAnsi="宋体" w:cs="宋体"/>
                <w:szCs w:val="21"/>
                <w:highlight w:val="none"/>
              </w:rPr>
            </w:pPr>
            <w:r>
              <w:rPr>
                <w:rFonts w:hint="eastAsia" w:ascii="宋体" w:hAnsi="宋体" w:cs="宋体"/>
                <w:szCs w:val="21"/>
                <w:highlight w:val="none"/>
              </w:rPr>
              <w:t>采购代理服务费收取标准</w:t>
            </w:r>
          </w:p>
        </w:tc>
        <w:tc>
          <w:tcPr>
            <w:tcW w:w="6872" w:type="dxa"/>
            <w:tcBorders>
              <w:top w:val="single" w:color="auto" w:sz="4" w:space="0"/>
              <w:left w:val="single" w:color="auto" w:sz="4" w:space="0"/>
              <w:bottom w:val="single" w:color="auto" w:sz="4" w:space="0"/>
              <w:right w:val="single" w:color="auto" w:sz="4" w:space="0"/>
            </w:tcBorders>
            <w:noWrap/>
            <w:vAlign w:val="center"/>
          </w:tcPr>
          <w:p w14:paraId="2D090E4C">
            <w:pPr>
              <w:pStyle w:val="14"/>
              <w:snapToGrid w:val="0"/>
              <w:spacing w:line="360" w:lineRule="auto"/>
              <w:rPr>
                <w:rFonts w:hAnsi="宋体" w:cs="宋体"/>
                <w:szCs w:val="21"/>
                <w:highlight w:val="none"/>
                <w:u w:val="single"/>
              </w:rPr>
            </w:pPr>
            <w:bookmarkStart w:id="107" w:name="PO_3000001867_PM025"/>
            <w:r>
              <w:rPr>
                <w:rFonts w:hint="eastAsia" w:hAnsi="宋体" w:eastAsia="宋体" w:cs="宋体"/>
                <w:color w:val="auto"/>
                <w:sz w:val="21"/>
                <w:highlight w:val="none"/>
                <w:lang w:val="en-US" w:eastAsia="zh-CN"/>
              </w:rPr>
              <w:t>☑以分标（☑中标金额/□采购预算/□暂定中标金额/□其他</w:t>
            </w:r>
            <w:r>
              <w:rPr>
                <w:rFonts w:hint="eastAsia" w:hAnsi="宋体" w:eastAsia="宋体" w:cs="宋体"/>
                <w:color w:val="auto"/>
                <w:sz w:val="21"/>
                <w:highlight w:val="none"/>
                <w:u w:val="single"/>
                <w:lang w:val="en-US" w:eastAsia="zh-CN"/>
              </w:rPr>
              <w:t xml:space="preserve">   </w:t>
            </w:r>
            <w:r>
              <w:rPr>
                <w:rFonts w:hint="eastAsia" w:hAnsi="宋体" w:eastAsia="宋体" w:cs="宋体"/>
                <w:color w:val="auto"/>
                <w:sz w:val="21"/>
                <w:highlight w:val="none"/>
                <w:lang w:val="en-US" w:eastAsia="zh-CN"/>
              </w:rPr>
              <w:t>）为计费额，按本须知正文第</w:t>
            </w:r>
            <w:r>
              <w:rPr>
                <w:rFonts w:hint="eastAsia" w:hAnsi="宋体" w:cs="宋体"/>
                <w:color w:val="auto"/>
                <w:sz w:val="21"/>
                <w:highlight w:val="none"/>
                <w:lang w:val="en-US" w:eastAsia="zh-CN"/>
              </w:rPr>
              <w:t>40</w:t>
            </w:r>
            <w:r>
              <w:rPr>
                <w:rFonts w:hint="eastAsia" w:hAnsi="宋体" w:eastAsia="宋体" w:cs="宋体"/>
                <w:color w:val="auto"/>
                <w:sz w:val="21"/>
                <w:highlight w:val="none"/>
                <w:lang w:val="en-US" w:eastAsia="zh-CN"/>
              </w:rPr>
              <w:t>.2条规定的收费计算标准</w:t>
            </w:r>
            <w:r>
              <w:rPr>
                <w:rFonts w:hint="eastAsia" w:hAnsi="宋体" w:cs="宋体"/>
                <w:color w:val="auto"/>
                <w:sz w:val="21"/>
                <w:highlight w:val="none"/>
                <w:lang w:val="en-US" w:eastAsia="zh-CN"/>
              </w:rPr>
              <w:t>（</w:t>
            </w:r>
            <w:r>
              <w:rPr>
                <w:rFonts w:hint="eastAsia" w:hAnsi="宋体" w:cs="宋体"/>
                <w:b/>
                <w:bCs/>
                <w:color w:val="auto"/>
                <w:sz w:val="21"/>
                <w:highlight w:val="none"/>
                <w:lang w:val="en-US" w:eastAsia="zh-CN"/>
              </w:rPr>
              <w:t>货物类</w:t>
            </w:r>
            <w:r>
              <w:rPr>
                <w:rFonts w:hint="eastAsia" w:hAnsi="宋体" w:cs="宋体"/>
                <w:color w:val="auto"/>
                <w:sz w:val="21"/>
                <w:highlight w:val="none"/>
                <w:lang w:val="en-US" w:eastAsia="zh-CN"/>
              </w:rPr>
              <w:t>）</w:t>
            </w:r>
            <w:r>
              <w:rPr>
                <w:rFonts w:hint="eastAsia" w:hAnsi="宋体" w:eastAsia="宋体" w:cs="宋体"/>
                <w:color w:val="auto"/>
                <w:sz w:val="21"/>
                <w:highlight w:val="none"/>
                <w:lang w:val="en-US" w:eastAsia="zh-CN"/>
              </w:rPr>
              <w:t>采用差额定率累进法计算出收费基准价格，采购代理收费以（</w:t>
            </w:r>
            <w:r>
              <w:rPr>
                <w:rFonts w:hint="eastAsia" w:hAnsi="宋体" w:cs="宋体"/>
                <w:color w:val="auto"/>
                <w:sz w:val="21"/>
                <w:highlight w:val="none"/>
                <w:lang w:val="en-US" w:eastAsia="zh-CN"/>
              </w:rPr>
              <w:t>☑</w:t>
            </w:r>
            <w:r>
              <w:rPr>
                <w:rFonts w:hint="eastAsia" w:hAnsi="宋体" w:eastAsia="宋体" w:cs="宋体"/>
                <w:color w:val="auto"/>
                <w:sz w:val="21"/>
                <w:highlight w:val="none"/>
                <w:lang w:val="en-US" w:eastAsia="zh-CN"/>
              </w:rPr>
              <w:t>收费基准价格/</w:t>
            </w:r>
            <w:r>
              <w:rPr>
                <w:rFonts w:hint="eastAsia" w:hAnsi="宋体" w:cs="宋体"/>
                <w:color w:val="auto"/>
                <w:sz w:val="21"/>
                <w:highlight w:val="none"/>
                <w:lang w:val="en-US" w:eastAsia="zh-CN"/>
              </w:rPr>
              <w:t>□</w:t>
            </w:r>
            <w:r>
              <w:rPr>
                <w:rFonts w:hint="eastAsia" w:hAnsi="宋体" w:eastAsia="宋体" w:cs="宋体"/>
                <w:color w:val="auto"/>
                <w:sz w:val="21"/>
                <w:highlight w:val="none"/>
                <w:lang w:val="en-US" w:eastAsia="zh-CN"/>
              </w:rPr>
              <w:t>收费基准价格下浮</w:t>
            </w:r>
            <w:r>
              <w:rPr>
                <w:rFonts w:hint="eastAsia" w:hAnsi="宋体" w:eastAsia="宋体" w:cs="宋体"/>
                <w:color w:val="auto"/>
                <w:sz w:val="21"/>
                <w:highlight w:val="none"/>
                <w:u w:val="single"/>
                <w:lang w:val="en-US" w:eastAsia="zh-CN"/>
              </w:rPr>
              <w:t xml:space="preserve">  %</w:t>
            </w:r>
            <w:r>
              <w:rPr>
                <w:rFonts w:hint="eastAsia" w:hAnsi="宋体" w:eastAsia="宋体" w:cs="宋体"/>
                <w:color w:val="auto"/>
                <w:sz w:val="21"/>
                <w:highlight w:val="none"/>
                <w:lang w:val="en-US" w:eastAsia="zh-CN"/>
              </w:rPr>
              <w:t>/□收费基准价格上浮</w:t>
            </w:r>
            <w:r>
              <w:rPr>
                <w:rFonts w:hint="eastAsia" w:hAnsi="宋体" w:eastAsia="宋体" w:cs="宋体"/>
                <w:color w:val="auto"/>
                <w:sz w:val="21"/>
                <w:highlight w:val="none"/>
                <w:u w:val="single"/>
                <w:lang w:val="en-US" w:eastAsia="zh-CN"/>
              </w:rPr>
              <w:t xml:space="preserve">   %</w:t>
            </w:r>
            <w:r>
              <w:rPr>
                <w:rFonts w:hint="eastAsia" w:hAnsi="宋体" w:eastAsia="宋体" w:cs="宋体"/>
                <w:color w:val="auto"/>
                <w:sz w:val="21"/>
                <w:highlight w:val="none"/>
                <w:lang w:val="en-US" w:eastAsia="zh-CN"/>
              </w:rPr>
              <w:t>）收取。</w:t>
            </w:r>
            <w:bookmarkEnd w:id="107"/>
          </w:p>
        </w:tc>
      </w:tr>
      <w:tr w14:paraId="2AB732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vMerge w:val="continue"/>
            <w:tcBorders>
              <w:top w:val="single" w:color="auto" w:sz="4" w:space="0"/>
              <w:left w:val="single" w:color="auto" w:sz="4" w:space="0"/>
              <w:bottom w:val="single" w:color="auto" w:sz="4" w:space="0"/>
              <w:right w:val="single" w:color="auto" w:sz="4" w:space="0"/>
            </w:tcBorders>
            <w:noWrap/>
            <w:vAlign w:val="center"/>
          </w:tcPr>
          <w:p w14:paraId="793F4AEA">
            <w:pPr>
              <w:widowControl/>
              <w:spacing w:line="360" w:lineRule="exact"/>
              <w:jc w:val="left"/>
              <w:rPr>
                <w:rFonts w:ascii="宋体" w:hAnsi="宋体" w:cs="宋体"/>
                <w:szCs w:val="21"/>
                <w:highlight w:val="none"/>
              </w:rPr>
            </w:pPr>
          </w:p>
        </w:tc>
        <w:tc>
          <w:tcPr>
            <w:tcW w:w="2083" w:type="dxa"/>
            <w:tcBorders>
              <w:top w:val="single" w:color="auto" w:sz="4" w:space="0"/>
              <w:left w:val="single" w:color="auto" w:sz="4" w:space="0"/>
              <w:bottom w:val="single" w:color="auto" w:sz="4" w:space="0"/>
              <w:right w:val="single" w:color="auto" w:sz="4" w:space="0"/>
            </w:tcBorders>
            <w:noWrap/>
            <w:vAlign w:val="center"/>
          </w:tcPr>
          <w:p w14:paraId="31497295">
            <w:pPr>
              <w:spacing w:line="360" w:lineRule="exact"/>
              <w:rPr>
                <w:rFonts w:ascii="宋体" w:hAnsi="宋体" w:cs="宋体"/>
                <w:szCs w:val="21"/>
                <w:highlight w:val="none"/>
              </w:rPr>
            </w:pPr>
            <w:r>
              <w:rPr>
                <w:rFonts w:hint="eastAsia" w:ascii="宋体" w:hAnsi="宋体" w:cs="宋体"/>
                <w:szCs w:val="21"/>
                <w:highlight w:val="none"/>
              </w:rPr>
              <w:t>采购代理服务费收款账户信息</w:t>
            </w:r>
          </w:p>
        </w:tc>
        <w:tc>
          <w:tcPr>
            <w:tcW w:w="6872" w:type="dxa"/>
            <w:tcBorders>
              <w:top w:val="single" w:color="auto" w:sz="4" w:space="0"/>
              <w:left w:val="single" w:color="auto" w:sz="4" w:space="0"/>
              <w:bottom w:val="single" w:color="auto" w:sz="4" w:space="0"/>
              <w:right w:val="single" w:color="auto" w:sz="4" w:space="0"/>
            </w:tcBorders>
            <w:noWrap/>
            <w:vAlign w:val="center"/>
          </w:tcPr>
          <w:p w14:paraId="7436A264">
            <w:pPr>
              <w:pStyle w:val="14"/>
              <w:snapToGrid w:val="0"/>
              <w:spacing w:line="360" w:lineRule="exact"/>
              <w:rPr>
                <w:rFonts w:hint="eastAsia" w:hAnsi="宋体" w:cs="宋体"/>
                <w:szCs w:val="21"/>
                <w:highlight w:val="none"/>
              </w:rPr>
            </w:pPr>
            <w:r>
              <w:rPr>
                <w:rFonts w:hint="eastAsia" w:hAnsi="宋体" w:cs="宋体"/>
                <w:szCs w:val="21"/>
                <w:highlight w:val="none"/>
              </w:rPr>
              <w:t xml:space="preserve">账户名称：广西众联工程项目管理有限公司 </w:t>
            </w:r>
          </w:p>
          <w:p w14:paraId="2F415A12">
            <w:pPr>
              <w:pStyle w:val="14"/>
              <w:snapToGrid w:val="0"/>
              <w:spacing w:line="360" w:lineRule="exact"/>
              <w:rPr>
                <w:rFonts w:hint="eastAsia" w:hAnsi="宋体" w:cs="宋体"/>
                <w:szCs w:val="21"/>
                <w:highlight w:val="none"/>
              </w:rPr>
            </w:pPr>
            <w:r>
              <w:rPr>
                <w:rFonts w:hint="eastAsia" w:hAnsi="宋体" w:cs="宋体"/>
                <w:szCs w:val="21"/>
                <w:highlight w:val="none"/>
              </w:rPr>
              <w:t>开户银行：</w:t>
            </w:r>
            <w:r>
              <w:rPr>
                <w:rFonts w:hint="eastAsia" w:ascii="宋体" w:hAnsi="宋体" w:cs="宋体"/>
                <w:color w:val="000000"/>
                <w:kern w:val="0"/>
                <w:szCs w:val="21"/>
                <w:lang w:bidi="ar"/>
              </w:rPr>
              <w:t>中国光大银行股份有限公司南宁民主支行</w:t>
            </w:r>
          </w:p>
          <w:p w14:paraId="3C65934A">
            <w:pPr>
              <w:pStyle w:val="14"/>
              <w:snapToGrid w:val="0"/>
              <w:spacing w:line="360" w:lineRule="exact"/>
              <w:rPr>
                <w:rFonts w:hAnsi="宋体" w:cs="宋体"/>
                <w:szCs w:val="21"/>
                <w:highlight w:val="none"/>
              </w:rPr>
            </w:pPr>
            <w:r>
              <w:rPr>
                <w:rFonts w:hint="eastAsia" w:hAnsi="宋体" w:cs="宋体"/>
                <w:szCs w:val="21"/>
                <w:highlight w:val="none"/>
              </w:rPr>
              <w:t>银行账号：</w:t>
            </w:r>
            <w:r>
              <w:rPr>
                <w:rFonts w:hint="eastAsia" w:ascii="宋体" w:hAnsi="宋体" w:cs="宋体"/>
                <w:color w:val="000000"/>
                <w:kern w:val="0"/>
                <w:szCs w:val="21"/>
                <w:lang w:bidi="ar"/>
              </w:rPr>
              <w:t>78900188000167866</w:t>
            </w:r>
          </w:p>
        </w:tc>
      </w:tr>
      <w:tr w14:paraId="7105B2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259F0F7">
            <w:pPr>
              <w:snapToGrid w:val="0"/>
              <w:spacing w:line="360" w:lineRule="exact"/>
              <w:jc w:val="center"/>
              <w:rPr>
                <w:rFonts w:ascii="宋体" w:hAnsi="宋体" w:cs="宋体"/>
                <w:szCs w:val="21"/>
                <w:highlight w:val="none"/>
              </w:rPr>
            </w:pPr>
            <w:r>
              <w:rPr>
                <w:rFonts w:hint="eastAsia" w:ascii="宋体" w:hAnsi="宋体" w:cs="宋体"/>
                <w:szCs w:val="21"/>
                <w:highlight w:val="none"/>
              </w:rPr>
              <w:t>41.1</w:t>
            </w:r>
          </w:p>
        </w:tc>
        <w:tc>
          <w:tcPr>
            <w:tcW w:w="2083" w:type="dxa"/>
            <w:tcBorders>
              <w:top w:val="single" w:color="auto" w:sz="4" w:space="0"/>
              <w:left w:val="single" w:color="auto" w:sz="4" w:space="0"/>
              <w:bottom w:val="single" w:color="auto" w:sz="4" w:space="0"/>
              <w:right w:val="single" w:color="auto" w:sz="4" w:space="0"/>
            </w:tcBorders>
            <w:noWrap/>
            <w:vAlign w:val="center"/>
          </w:tcPr>
          <w:p w14:paraId="78AA8E65">
            <w:pPr>
              <w:snapToGrid w:val="0"/>
              <w:spacing w:line="360" w:lineRule="exact"/>
              <w:rPr>
                <w:rFonts w:ascii="宋体" w:hAnsi="宋体" w:cs="宋体"/>
                <w:szCs w:val="21"/>
                <w:highlight w:val="none"/>
              </w:rPr>
            </w:pPr>
            <w:r>
              <w:rPr>
                <w:rFonts w:hint="eastAsia" w:ascii="宋体" w:hAnsi="宋体" w:cs="宋体"/>
                <w:szCs w:val="21"/>
                <w:highlight w:val="none"/>
              </w:rPr>
              <w:t>解释</w:t>
            </w:r>
          </w:p>
        </w:tc>
        <w:tc>
          <w:tcPr>
            <w:tcW w:w="6872" w:type="dxa"/>
            <w:tcBorders>
              <w:top w:val="single" w:color="auto" w:sz="4" w:space="0"/>
              <w:left w:val="single" w:color="auto" w:sz="4" w:space="0"/>
              <w:bottom w:val="single" w:color="auto" w:sz="4" w:space="0"/>
              <w:right w:val="single" w:color="auto" w:sz="4" w:space="0"/>
            </w:tcBorders>
            <w:noWrap/>
            <w:vAlign w:val="center"/>
          </w:tcPr>
          <w:p w14:paraId="7D269A7B">
            <w:pPr>
              <w:snapToGrid w:val="0"/>
              <w:spacing w:line="360" w:lineRule="exact"/>
              <w:ind w:firstLine="316"/>
              <w:rPr>
                <w:rFonts w:ascii="宋体" w:hAnsi="宋体" w:cs="宋体"/>
                <w:b/>
                <w:szCs w:val="21"/>
                <w:highlight w:val="none"/>
              </w:rPr>
            </w:pPr>
            <w:r>
              <w:rPr>
                <w:rFonts w:hint="eastAsia" w:ascii="宋体" w:hAnsi="宋体" w:cs="宋体"/>
                <w:b/>
                <w:szCs w:val="21"/>
                <w:highlight w:val="none"/>
              </w:rPr>
              <w:t>解释：</w:t>
            </w:r>
            <w:r>
              <w:rPr>
                <w:rFonts w:hint="eastAsia" w:ascii="宋体" w:hAnsi="宋体" w:cs="宋体"/>
                <w:szCs w:val="21"/>
                <w:highlight w:val="none"/>
              </w:rPr>
              <w:t>构成本招标文件的各个组成文件应互为解释，互为说明。除招标文件中有特别规定外，仅适用于招标投标阶段的规定，按更正公告（澄清公告）、招标公告、采购需求、投标人须知、评标方法和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highlight w:val="none"/>
              </w:rPr>
              <w:t>，由采购人或者采购代理机构负责解释。</w:t>
            </w:r>
          </w:p>
          <w:p w14:paraId="0595EC05">
            <w:pPr>
              <w:snapToGrid w:val="0"/>
              <w:spacing w:line="360" w:lineRule="exact"/>
              <w:ind w:firstLine="316"/>
              <w:rPr>
                <w:rFonts w:ascii="宋体" w:hAnsi="宋体" w:cs="宋体"/>
                <w:b/>
                <w:szCs w:val="21"/>
                <w:highlight w:val="none"/>
              </w:rPr>
            </w:pPr>
            <w:r>
              <w:rPr>
                <w:rFonts w:hint="eastAsia" w:ascii="宋体" w:hAnsi="宋体" w:cs="宋体"/>
                <w:b/>
                <w:szCs w:val="21"/>
                <w:highlight w:val="none"/>
              </w:rPr>
              <w:t>法律责任：</w:t>
            </w:r>
          </w:p>
          <w:p w14:paraId="38E14787">
            <w:pPr>
              <w:snapToGrid w:val="0"/>
              <w:spacing w:line="360" w:lineRule="exact"/>
              <w:rPr>
                <w:rFonts w:ascii="宋体" w:hAnsi="宋体" w:cs="宋体"/>
                <w:szCs w:val="21"/>
                <w:highlight w:val="none"/>
              </w:rPr>
            </w:pPr>
            <w:r>
              <w:rPr>
                <w:rFonts w:hint="eastAsia" w:ascii="宋体" w:hAnsi="宋体" w:cs="宋体"/>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tc>
      </w:tr>
      <w:tr w14:paraId="61558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ign w:val="center"/>
          </w:tcPr>
          <w:p w14:paraId="1FE59CD1">
            <w:pPr>
              <w:snapToGrid w:val="0"/>
              <w:spacing w:line="360" w:lineRule="exact"/>
              <w:jc w:val="center"/>
              <w:rPr>
                <w:rFonts w:ascii="宋体" w:hAnsi="宋体" w:cs="宋体"/>
                <w:szCs w:val="21"/>
                <w:highlight w:val="none"/>
              </w:rPr>
            </w:pPr>
            <w:r>
              <w:rPr>
                <w:rFonts w:hint="eastAsia" w:ascii="宋体" w:hAnsi="宋体" w:cs="宋体"/>
                <w:szCs w:val="21"/>
                <w:highlight w:val="none"/>
              </w:rPr>
              <w:t>41.2</w:t>
            </w:r>
          </w:p>
        </w:tc>
        <w:tc>
          <w:tcPr>
            <w:tcW w:w="2083" w:type="dxa"/>
            <w:tcBorders>
              <w:top w:val="single" w:color="auto" w:sz="4" w:space="0"/>
              <w:left w:val="single" w:color="auto" w:sz="4" w:space="0"/>
              <w:bottom w:val="single" w:color="auto" w:sz="4" w:space="0"/>
              <w:right w:val="single" w:color="auto" w:sz="4" w:space="0"/>
            </w:tcBorders>
            <w:noWrap/>
            <w:vAlign w:val="center"/>
          </w:tcPr>
          <w:p w14:paraId="4AECA56A">
            <w:pPr>
              <w:snapToGrid w:val="0"/>
              <w:spacing w:line="360" w:lineRule="exact"/>
              <w:rPr>
                <w:rFonts w:ascii="宋体" w:hAnsi="宋体" w:cs="宋体"/>
                <w:szCs w:val="21"/>
                <w:highlight w:val="none"/>
              </w:rPr>
            </w:pPr>
            <w:r>
              <w:rPr>
                <w:rFonts w:hint="eastAsia" w:ascii="宋体" w:hAnsi="宋体" w:cs="宋体"/>
                <w:szCs w:val="21"/>
                <w:highlight w:val="none"/>
              </w:rPr>
              <w:t>其他释义</w:t>
            </w:r>
          </w:p>
        </w:tc>
        <w:tc>
          <w:tcPr>
            <w:tcW w:w="6872" w:type="dxa"/>
            <w:tcBorders>
              <w:top w:val="single" w:color="auto" w:sz="4" w:space="0"/>
              <w:left w:val="single" w:color="auto" w:sz="4" w:space="0"/>
              <w:bottom w:val="single" w:color="auto" w:sz="4" w:space="0"/>
              <w:right w:val="single" w:color="auto" w:sz="4" w:space="0"/>
            </w:tcBorders>
            <w:noWrap/>
            <w:vAlign w:val="center"/>
          </w:tcPr>
          <w:p w14:paraId="6140451F">
            <w:pPr>
              <w:pStyle w:val="10"/>
              <w:spacing w:line="360" w:lineRule="exact"/>
              <w:ind w:firstLine="420" w:firstLineChars="200"/>
              <w:rPr>
                <w:rFonts w:ascii="宋体" w:hAnsi="宋体" w:cs="宋体"/>
                <w:szCs w:val="21"/>
                <w:highlight w:val="none"/>
              </w:rPr>
            </w:pPr>
            <w:r>
              <w:rPr>
                <w:rFonts w:hint="eastAsia" w:ascii="宋体" w:hAnsi="宋体" w:cs="宋体"/>
                <w:szCs w:val="21"/>
                <w:highlight w:val="none"/>
              </w:rPr>
              <w:t>1.本招标文件中描述投标人的“公章”是指根据我国对公章的管理规定，用投标人法定主体行为名称制作的实物印章或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5419477C">
            <w:pPr>
              <w:pStyle w:val="10"/>
              <w:spacing w:line="360" w:lineRule="exact"/>
              <w:ind w:firstLine="420" w:firstLineChars="200"/>
              <w:rPr>
                <w:rFonts w:ascii="宋体" w:hAnsi="宋体" w:cs="宋体"/>
                <w:szCs w:val="21"/>
                <w:highlight w:val="none"/>
              </w:rPr>
            </w:pPr>
            <w:r>
              <w:rPr>
                <w:rFonts w:hint="eastAsia" w:ascii="宋体" w:hAnsi="宋体" w:cs="宋体"/>
                <w:szCs w:val="21"/>
                <w:highlight w:val="none"/>
              </w:rPr>
              <w:t>2.本招标文件中描述投标人的“签字”是指投标人通过指定电子化政府采购平台办理数字证书（CA认证）获得的以投标人法定代表人或者委托代理人姓名制作的电子印章或手写签字。</w:t>
            </w:r>
          </w:p>
          <w:p w14:paraId="3B89F75E">
            <w:pPr>
              <w:pStyle w:val="10"/>
              <w:tabs>
                <w:tab w:val="center" w:pos="4153"/>
                <w:tab w:val="right" w:pos="8306"/>
              </w:tabs>
              <w:spacing w:line="360" w:lineRule="exact"/>
              <w:ind w:firstLine="420" w:firstLineChars="200"/>
              <w:rPr>
                <w:rFonts w:ascii="宋体" w:hAnsi="宋体" w:cs="宋体"/>
                <w:szCs w:val="21"/>
                <w:highlight w:val="none"/>
              </w:rPr>
            </w:pPr>
            <w:r>
              <w:rPr>
                <w:rFonts w:hint="eastAsia" w:ascii="宋体" w:hAnsi="宋体" w:cs="宋体"/>
                <w:szCs w:val="21"/>
                <w:highlight w:val="none"/>
              </w:rPr>
              <w:t>3.本招标文件所称的“电子签章”“电子签名”，是指经广西政府采购云平台认可的CA认证的电子签名数据为表现形式的印章，可用于签署电子投标文件，电子印章与实物印章具有同等法律效力，不因其采用电子化表现形式而否定其法律效力。</w:t>
            </w:r>
          </w:p>
          <w:p w14:paraId="36786F9C">
            <w:pPr>
              <w:pStyle w:val="10"/>
              <w:spacing w:line="360" w:lineRule="exact"/>
              <w:ind w:firstLine="420" w:firstLineChars="200"/>
              <w:rPr>
                <w:rFonts w:ascii="宋体" w:hAnsi="宋体" w:cs="宋体"/>
                <w:szCs w:val="21"/>
                <w:highlight w:val="none"/>
              </w:rPr>
            </w:pPr>
            <w:r>
              <w:rPr>
                <w:rFonts w:hint="eastAsia" w:ascii="宋体" w:hAnsi="宋体" w:cs="宋体"/>
                <w:szCs w:val="21"/>
                <w:highlight w:val="none"/>
              </w:rPr>
              <w:t>4.投标人为其他组织或者自然人时，本招标文件规定的法定代表人指负责人或者自然人。本招标文件所称负责人是指参加投标的其他组织营业执照上的负责人，本招标文件所称自然人指参与投标的自然人本人。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0AB58F15">
            <w:pPr>
              <w:pStyle w:val="10"/>
              <w:spacing w:line="360" w:lineRule="exact"/>
              <w:ind w:firstLine="420" w:firstLineChars="200"/>
              <w:rPr>
                <w:rFonts w:ascii="宋体" w:hAnsi="宋体" w:cs="宋体"/>
                <w:szCs w:val="21"/>
                <w:highlight w:val="none"/>
              </w:rPr>
            </w:pPr>
            <w:r>
              <w:rPr>
                <w:rFonts w:hint="eastAsia" w:ascii="宋体" w:hAnsi="宋体" w:cs="宋体"/>
                <w:szCs w:val="21"/>
                <w:highlight w:val="none"/>
              </w:rPr>
              <w:t>5.自然人投标的，招标文件规定盖公章处由自然人摁手指指印。</w:t>
            </w:r>
          </w:p>
          <w:p w14:paraId="2513F7D5">
            <w:pPr>
              <w:pStyle w:val="10"/>
              <w:spacing w:line="360" w:lineRule="exact"/>
              <w:rPr>
                <w:rFonts w:ascii="宋体" w:hAnsi="宋体" w:cs="宋体"/>
                <w:szCs w:val="21"/>
                <w:highlight w:val="none"/>
              </w:rPr>
            </w:pPr>
            <w:r>
              <w:rPr>
                <w:rFonts w:hint="eastAsia" w:ascii="宋体" w:hAnsi="宋体" w:cs="宋体"/>
                <w:szCs w:val="21"/>
                <w:highlight w:val="none"/>
              </w:rPr>
              <w:t xml:space="preserve">    6.本招标文件所称的“以上”“以下”“以内”“届满”，包括本数。所称的“不满”“超过”“以外”，不包括本数。</w:t>
            </w:r>
          </w:p>
        </w:tc>
      </w:tr>
    </w:tbl>
    <w:p w14:paraId="56E80BB2">
      <w:pPr>
        <w:pStyle w:val="3"/>
        <w:ind w:firstLine="482"/>
        <w:jc w:val="center"/>
        <w:rPr>
          <w:rFonts w:ascii="宋体" w:hAnsi="宋体" w:eastAsia="宋体" w:cs="宋体"/>
          <w:highlight w:val="none"/>
        </w:rPr>
      </w:pPr>
      <w:bookmarkStart w:id="108" w:name="_Toc29181"/>
      <w:bookmarkStart w:id="109" w:name="_Toc9224"/>
      <w:bookmarkStart w:id="110" w:name="_Toc21704"/>
      <w:bookmarkStart w:id="111" w:name="_Toc21899"/>
      <w:r>
        <w:rPr>
          <w:rFonts w:hint="eastAsia" w:ascii="宋体" w:hAnsi="宋体" w:eastAsia="宋体" w:cs="宋体"/>
          <w:highlight w:val="none"/>
        </w:rPr>
        <w:br w:type="page"/>
      </w:r>
      <w:r>
        <w:rPr>
          <w:rFonts w:hint="eastAsia" w:ascii="宋体" w:hAnsi="宋体" w:eastAsia="宋体" w:cs="宋体"/>
          <w:highlight w:val="none"/>
        </w:rPr>
        <w:t>第二节 投标人须知正文</w:t>
      </w:r>
      <w:bookmarkEnd w:id="108"/>
      <w:bookmarkEnd w:id="109"/>
      <w:bookmarkEnd w:id="110"/>
      <w:bookmarkEnd w:id="111"/>
    </w:p>
    <w:p w14:paraId="2925016E">
      <w:pPr>
        <w:pStyle w:val="4"/>
        <w:keepNext w:val="0"/>
        <w:keepLines w:val="0"/>
        <w:spacing w:line="400" w:lineRule="exact"/>
        <w:jc w:val="center"/>
        <w:rPr>
          <w:rFonts w:ascii="宋体" w:hAnsi="宋体" w:cs="宋体"/>
          <w:highlight w:val="none"/>
        </w:rPr>
      </w:pPr>
      <w:bookmarkStart w:id="112" w:name="_Toc5656"/>
      <w:bookmarkStart w:id="113" w:name="_Toc2156"/>
      <w:bookmarkStart w:id="114" w:name="_Toc9192"/>
      <w:bookmarkStart w:id="115" w:name="_Toc13703"/>
      <w:r>
        <w:rPr>
          <w:rFonts w:hint="eastAsia" w:ascii="宋体" w:hAnsi="宋体" w:cs="宋体"/>
          <w:highlight w:val="none"/>
        </w:rPr>
        <w:t>一、总  则</w:t>
      </w:r>
      <w:bookmarkEnd w:id="112"/>
      <w:bookmarkEnd w:id="113"/>
      <w:bookmarkEnd w:id="114"/>
      <w:bookmarkEnd w:id="115"/>
    </w:p>
    <w:p w14:paraId="6B2B5FC8">
      <w:pPr>
        <w:spacing w:line="360" w:lineRule="auto"/>
        <w:ind w:firstLine="480" w:firstLineChars="200"/>
        <w:rPr>
          <w:rFonts w:ascii="宋体" w:hAnsi="宋体" w:cs="宋体"/>
          <w:sz w:val="24"/>
          <w:highlight w:val="none"/>
        </w:rPr>
      </w:pPr>
      <w:bookmarkStart w:id="116" w:name="_Toc254970527"/>
      <w:bookmarkStart w:id="117" w:name="_Toc254970668"/>
      <w:r>
        <w:rPr>
          <w:rFonts w:hint="eastAsia" w:ascii="宋体" w:hAnsi="宋体" w:cs="宋体"/>
          <w:sz w:val="24"/>
          <w:highlight w:val="none"/>
        </w:rPr>
        <w:t>1.适用范围</w:t>
      </w:r>
      <w:bookmarkEnd w:id="116"/>
      <w:bookmarkEnd w:id="117"/>
    </w:p>
    <w:p w14:paraId="29549371">
      <w:pPr>
        <w:spacing w:line="360" w:lineRule="auto"/>
        <w:ind w:firstLine="420" w:firstLineChars="200"/>
        <w:rPr>
          <w:rFonts w:ascii="宋体" w:hAnsi="宋体" w:cs="宋体"/>
          <w:szCs w:val="21"/>
          <w:highlight w:val="none"/>
        </w:rPr>
      </w:pPr>
      <w:r>
        <w:rPr>
          <w:rFonts w:hint="eastAsia" w:ascii="宋体" w:hAnsi="宋体" w:cs="宋体"/>
          <w:szCs w:val="21"/>
          <w:highlight w:val="none"/>
        </w:rPr>
        <w:t>1.1适用法律：本项目采购人、采购代理机构、投标人、评标委员会的相关行为均受《中华人民共和国政府采购法》、《中华人民共和国政府采购法实施条例》、《</w:t>
      </w:r>
      <w:r>
        <w:rPr>
          <w:rFonts w:ascii="宋体" w:hAnsi="宋体" w:cs="宋体"/>
          <w:kern w:val="0"/>
          <w:szCs w:val="21"/>
          <w:highlight w:val="none"/>
        </w:rPr>
        <w:t>政府采购货物和服务招标投标管理办法</w:t>
      </w:r>
      <w:r>
        <w:rPr>
          <w:rFonts w:hint="eastAsia" w:ascii="宋体" w:hAnsi="宋体" w:cs="宋体"/>
          <w:szCs w:val="21"/>
          <w:highlight w:val="none"/>
        </w:rPr>
        <w:t>》及本项目本级和上级财政部门政府采购有关规定的约束和保护。</w:t>
      </w:r>
    </w:p>
    <w:p w14:paraId="4C55FD19">
      <w:pPr>
        <w:spacing w:line="360" w:lineRule="auto"/>
        <w:ind w:firstLine="420" w:firstLineChars="200"/>
        <w:rPr>
          <w:rFonts w:ascii="宋体" w:hAnsi="宋体" w:cs="宋体"/>
          <w:szCs w:val="21"/>
          <w:highlight w:val="none"/>
        </w:rPr>
      </w:pPr>
      <w:r>
        <w:rPr>
          <w:rFonts w:hint="eastAsia" w:ascii="宋体" w:hAnsi="宋体" w:cs="宋体"/>
          <w:szCs w:val="21"/>
          <w:highlight w:val="none"/>
        </w:rPr>
        <w:t>1.2本招标文件</w:t>
      </w:r>
      <w:r>
        <w:rPr>
          <w:rFonts w:hint="eastAsia" w:ascii="宋体" w:hAnsi="宋体" w:cs="宋体"/>
          <w:spacing w:val="-6"/>
          <w:szCs w:val="21"/>
          <w:highlight w:val="none"/>
        </w:rPr>
        <w:t>适用于本项目的所有采购程序和环节（法律、法规另有规定的，从其规定）。</w:t>
      </w:r>
    </w:p>
    <w:p w14:paraId="0FD77D2F">
      <w:pPr>
        <w:spacing w:line="360" w:lineRule="auto"/>
        <w:ind w:firstLine="480" w:firstLineChars="200"/>
        <w:rPr>
          <w:rFonts w:ascii="宋体" w:hAnsi="宋体" w:cs="宋体"/>
          <w:sz w:val="24"/>
          <w:highlight w:val="none"/>
        </w:rPr>
      </w:pPr>
      <w:bookmarkStart w:id="118" w:name="_Toc254970669"/>
      <w:bookmarkStart w:id="119" w:name="_Toc254970528"/>
      <w:r>
        <w:rPr>
          <w:rFonts w:hint="eastAsia" w:ascii="宋体" w:hAnsi="宋体" w:cs="宋体"/>
          <w:sz w:val="24"/>
          <w:highlight w:val="none"/>
        </w:rPr>
        <w:t>2.定义</w:t>
      </w:r>
      <w:bookmarkEnd w:id="118"/>
      <w:bookmarkEnd w:id="119"/>
    </w:p>
    <w:p w14:paraId="4CD3EA66">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2.1“采购人”是指依法进行政府采购的国家机关、事业单位、团体组织。</w:t>
      </w:r>
    </w:p>
    <w:p w14:paraId="75326963">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2.2“采购代理机构” 指政府采购集中采购机构和集中采购机构以外的采购代理机构。</w:t>
      </w:r>
    </w:p>
    <w:p w14:paraId="7A6F72EE">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2.3“供应商”是指向采购人提供货物、工程或者服务的法人、其他组织或者自然人。</w:t>
      </w:r>
    </w:p>
    <w:p w14:paraId="50680A79">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2.4“投标人”是指响应招标、参加投标竞争的法人、非法人组织或者自然人。</w:t>
      </w:r>
    </w:p>
    <w:p w14:paraId="0EDCF0DE">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2.5“货物”是指各种形态和种类的物品，包括原材料、燃料、设备、产品等。“服务”是指除货物和工程以外的其他政府采购对象。</w:t>
      </w:r>
    </w:p>
    <w:p w14:paraId="6F18619E">
      <w:pPr>
        <w:pStyle w:val="6"/>
        <w:keepNext w:val="0"/>
        <w:keepLines w:val="0"/>
        <w:spacing w:before="0" w:after="0" w:line="360" w:lineRule="auto"/>
        <w:ind w:firstLine="420" w:firstLineChars="200"/>
        <w:rPr>
          <w:rFonts w:ascii="宋体" w:hAnsi="宋体" w:cs="宋体"/>
          <w:b w:val="0"/>
          <w:sz w:val="21"/>
          <w:szCs w:val="21"/>
          <w:highlight w:val="none"/>
        </w:rPr>
      </w:pPr>
      <w:r>
        <w:rPr>
          <w:rFonts w:hint="eastAsia" w:ascii="宋体" w:hAnsi="宋体" w:cs="宋体"/>
          <w:b w:val="0"/>
          <w:sz w:val="21"/>
          <w:szCs w:val="21"/>
          <w:highlight w:val="none"/>
        </w:rPr>
        <w:t>2.6“售后服务” 是指商品出售以后所提供的各种服务，包含但不限于投标人须承担的备品备件、包装、运输、装卸、保险、货到就位以及安装、调试、培训、保修以及其他各种服务。</w:t>
      </w:r>
    </w:p>
    <w:p w14:paraId="0E506DB0">
      <w:pPr>
        <w:pStyle w:val="6"/>
        <w:keepNext w:val="0"/>
        <w:keepLines w:val="0"/>
        <w:spacing w:before="0" w:after="0" w:line="360" w:lineRule="auto"/>
        <w:rPr>
          <w:rFonts w:ascii="宋体" w:hAnsi="宋体" w:cs="宋体"/>
          <w:b w:val="0"/>
          <w:sz w:val="21"/>
          <w:szCs w:val="21"/>
          <w:highlight w:val="none"/>
        </w:rPr>
      </w:pPr>
      <w:r>
        <w:rPr>
          <w:rFonts w:hint="eastAsia" w:ascii="宋体" w:hAnsi="宋体" w:cs="宋体"/>
          <w:b w:val="0"/>
          <w:sz w:val="21"/>
          <w:szCs w:val="21"/>
          <w:highlight w:val="none"/>
        </w:rPr>
        <w:t xml:space="preserve">    2.7“书面形式”是指合同书、信件和数据电文（包括电报、电传、传真、电子数据交换和电子邮件）等可以有形地表现所载内容的形式。</w:t>
      </w:r>
    </w:p>
    <w:p w14:paraId="12BD7DD9">
      <w:pPr>
        <w:pStyle w:val="6"/>
        <w:keepNext w:val="0"/>
        <w:keepLines w:val="0"/>
        <w:spacing w:before="0" w:after="0" w:line="360" w:lineRule="auto"/>
        <w:ind w:firstLine="420" w:firstLineChars="200"/>
        <w:rPr>
          <w:rFonts w:ascii="宋体" w:hAnsi="宋体" w:cs="宋体"/>
          <w:b w:val="0"/>
          <w:sz w:val="21"/>
          <w:szCs w:val="21"/>
          <w:highlight w:val="none"/>
        </w:rPr>
      </w:pPr>
      <w:r>
        <w:rPr>
          <w:rFonts w:hint="eastAsia" w:ascii="宋体" w:hAnsi="宋体" w:cs="宋体"/>
          <w:b w:val="0"/>
          <w:sz w:val="21"/>
          <w:szCs w:val="21"/>
          <w:highlight w:val="none"/>
        </w:rPr>
        <w:t>2.8“实质性要求”是指招标文件中已经指明不满足则投标无效的条款，或者不能负偏离的条款，或者采购需求中带“▲”或“★”的条款。</w:t>
      </w:r>
    </w:p>
    <w:p w14:paraId="5E8E73AE">
      <w:pPr>
        <w:snapToGri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2.9 “正偏离”，是指投标文件对招标文件“采购需求”中有关条款作出的响应优于条款要求并有利于采购人的情形。</w:t>
      </w:r>
    </w:p>
    <w:p w14:paraId="768D76E9">
      <w:pPr>
        <w:snapToGri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2.10“负偏离”，是指投标文件对招标文件“采购需求”中有关条款作出的响应不满足条款要求，导致采购人要求不能得到满足的情形。</w:t>
      </w:r>
    </w:p>
    <w:p w14:paraId="192588A6">
      <w:pPr>
        <w:snapToGri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2.11“允许负偏离的条款”是指采购需求中的不属于“实质性要求”的条款。</w:t>
      </w:r>
    </w:p>
    <w:p w14:paraId="5EAE35F1">
      <w:pPr>
        <w:spacing w:line="360" w:lineRule="auto"/>
        <w:ind w:firstLine="480" w:firstLineChars="200"/>
        <w:rPr>
          <w:rFonts w:ascii="宋体" w:hAnsi="宋体" w:cs="宋体"/>
          <w:sz w:val="24"/>
          <w:highlight w:val="none"/>
        </w:rPr>
      </w:pPr>
      <w:bookmarkStart w:id="120" w:name="_Toc254970529"/>
      <w:bookmarkStart w:id="121" w:name="_Toc254970670"/>
      <w:r>
        <w:rPr>
          <w:rFonts w:hint="eastAsia" w:ascii="宋体" w:hAnsi="宋体" w:cs="宋体"/>
          <w:sz w:val="24"/>
          <w:highlight w:val="none"/>
        </w:rPr>
        <w:t>3.</w:t>
      </w:r>
      <w:bookmarkEnd w:id="120"/>
      <w:bookmarkEnd w:id="121"/>
      <w:r>
        <w:rPr>
          <w:rFonts w:hint="eastAsia" w:ascii="宋体" w:hAnsi="宋体" w:cs="宋体"/>
          <w:sz w:val="24"/>
          <w:highlight w:val="none"/>
        </w:rPr>
        <w:t>投标人的资格要求</w:t>
      </w:r>
    </w:p>
    <w:p w14:paraId="11597C62">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投标人的资格要求详见“招标公告”。</w:t>
      </w:r>
    </w:p>
    <w:p w14:paraId="1E32D104">
      <w:pPr>
        <w:spacing w:line="360" w:lineRule="auto"/>
        <w:ind w:firstLine="480" w:firstLineChars="200"/>
        <w:rPr>
          <w:rFonts w:ascii="宋体" w:hAnsi="宋体" w:cs="宋体"/>
          <w:sz w:val="24"/>
          <w:highlight w:val="none"/>
        </w:rPr>
      </w:pPr>
      <w:bookmarkStart w:id="122" w:name="_Toc254970530"/>
      <w:bookmarkStart w:id="123" w:name="_Toc254970671"/>
      <w:r>
        <w:rPr>
          <w:rFonts w:hint="eastAsia" w:ascii="宋体" w:hAnsi="宋体" w:cs="宋体"/>
          <w:sz w:val="24"/>
          <w:highlight w:val="none"/>
        </w:rPr>
        <w:t>4.投标委托</w:t>
      </w:r>
      <w:bookmarkEnd w:id="122"/>
      <w:bookmarkEnd w:id="123"/>
    </w:p>
    <w:p w14:paraId="1B263944">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投标人代表参加投标活动过程中必须携带个人有效身份证件。如投标人代表不是法定代表人，须持有法定代表人授权委托书（按第六章要求格式填写）。</w:t>
      </w:r>
    </w:p>
    <w:p w14:paraId="1AAB524A">
      <w:pPr>
        <w:spacing w:line="360" w:lineRule="auto"/>
        <w:ind w:firstLine="480" w:firstLineChars="200"/>
        <w:rPr>
          <w:rFonts w:ascii="宋体" w:hAnsi="宋体" w:cs="宋体"/>
          <w:sz w:val="24"/>
          <w:highlight w:val="none"/>
        </w:rPr>
      </w:pPr>
      <w:bookmarkStart w:id="124" w:name="_5.投标费用"/>
      <w:bookmarkEnd w:id="124"/>
      <w:bookmarkStart w:id="125" w:name="_Toc254970672"/>
      <w:bookmarkStart w:id="126" w:name="_Toc254970531"/>
      <w:r>
        <w:rPr>
          <w:rFonts w:hint="eastAsia" w:ascii="宋体" w:hAnsi="宋体" w:cs="宋体"/>
          <w:sz w:val="24"/>
          <w:highlight w:val="none"/>
        </w:rPr>
        <w:t>5.投标费用</w:t>
      </w:r>
      <w:bookmarkEnd w:id="125"/>
      <w:bookmarkEnd w:id="126"/>
    </w:p>
    <w:p w14:paraId="660A602A">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投标费用：投标人应承担参与本次采购活动有关的所有费用，包括但不限于勘查现场、编制投标文件、参加澄清说明、签订合同等，不论投标结果如何，均应自行承担。</w:t>
      </w:r>
    </w:p>
    <w:p w14:paraId="68C814ED">
      <w:pPr>
        <w:spacing w:line="360" w:lineRule="auto"/>
        <w:ind w:firstLine="480" w:firstLineChars="200"/>
        <w:rPr>
          <w:rFonts w:ascii="宋体" w:hAnsi="宋体" w:cs="宋体"/>
          <w:sz w:val="24"/>
          <w:highlight w:val="none"/>
        </w:rPr>
      </w:pPr>
      <w:r>
        <w:rPr>
          <w:rFonts w:hint="eastAsia" w:ascii="宋体" w:hAnsi="宋体" w:cs="宋体"/>
          <w:sz w:val="24"/>
          <w:highlight w:val="none"/>
        </w:rPr>
        <w:t>6.联合体投标</w:t>
      </w:r>
    </w:p>
    <w:p w14:paraId="444DB358">
      <w:pPr>
        <w:spacing w:line="360" w:lineRule="auto"/>
        <w:ind w:firstLine="420" w:firstLineChars="200"/>
        <w:rPr>
          <w:rFonts w:ascii="宋体" w:hAnsi="宋体" w:cs="宋体"/>
          <w:szCs w:val="21"/>
          <w:highlight w:val="none"/>
        </w:rPr>
      </w:pPr>
      <w:r>
        <w:rPr>
          <w:rFonts w:hint="eastAsia" w:ascii="宋体" w:hAnsi="宋体" w:cs="宋体"/>
          <w:szCs w:val="21"/>
          <w:highlight w:val="none"/>
        </w:rPr>
        <w:t>6.1本项目是否接受联合体投标，详见“投标人须知前附表”。</w:t>
      </w:r>
    </w:p>
    <w:p w14:paraId="598B083B">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6.2如接受联合体投标，联合体投标要求详见“投标人须知前附表”。</w:t>
      </w:r>
    </w:p>
    <w:p w14:paraId="781CF2D6">
      <w:pPr>
        <w:snapToGrid w:val="0"/>
        <w:spacing w:line="360" w:lineRule="auto"/>
        <w:ind w:firstLine="420" w:firstLineChars="200"/>
        <w:jc w:val="left"/>
        <w:rPr>
          <w:rFonts w:ascii="宋体" w:hAnsi="宋体" w:cs="宋体"/>
          <w:sz w:val="24"/>
          <w:highlight w:val="none"/>
          <w:shd w:val="clear" w:color="auto" w:fill="FFFFFF"/>
        </w:rPr>
      </w:pPr>
      <w:r>
        <w:rPr>
          <w:rFonts w:hint="eastAsia" w:ascii="宋体" w:hAnsi="宋体" w:cs="宋体"/>
          <w:bCs/>
          <w:szCs w:val="21"/>
          <w:highlight w:val="none"/>
        </w:rPr>
        <w:t>6.3根据《政府采购促进中小企业发展管理办法》（财库[2020]46号）第九条、《</w:t>
      </w:r>
      <w:r>
        <w:rPr>
          <w:rFonts w:hint="eastAsia"/>
          <w:bCs/>
          <w:highlight w:val="none"/>
        </w:rPr>
        <w:t>广西壮族自治区财政厅关于贯彻落实政府采购支持中小企业发展政策的通知</w:t>
      </w:r>
      <w:r>
        <w:rPr>
          <w:rFonts w:hint="eastAsia" w:ascii="宋体" w:hAnsi="宋体" w:cs="宋体"/>
          <w:bCs/>
          <w:szCs w:val="21"/>
          <w:highlight w:val="none"/>
        </w:rPr>
        <w:t>》（桂财采〔2022〕31号）规定，接受大中型企业与小微企业组成联合体的采购项目，对于联合协议约定小微企业的合同份额占到合同总金额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203E8DBC">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7.转包与分包             </w:t>
      </w:r>
    </w:p>
    <w:p w14:paraId="709398CE">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7.1 本项目不允许转包。</w:t>
      </w:r>
    </w:p>
    <w:p w14:paraId="5045854E">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7.2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32DDD4A2">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7.3根据《政府采购促进中小企业发展管理办法》（财库[2020]46号）第九条及《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111F7507">
      <w:pPr>
        <w:spacing w:line="360" w:lineRule="auto"/>
        <w:ind w:firstLine="480" w:firstLineChars="200"/>
        <w:rPr>
          <w:rFonts w:ascii="宋体" w:hAnsi="宋体" w:cs="宋体"/>
          <w:sz w:val="24"/>
          <w:highlight w:val="none"/>
        </w:rPr>
      </w:pPr>
      <w:bookmarkStart w:id="127" w:name="_Toc254970673"/>
      <w:bookmarkStart w:id="128" w:name="_Toc254970532"/>
      <w:r>
        <w:rPr>
          <w:rFonts w:hint="eastAsia" w:ascii="宋体" w:hAnsi="宋体" w:cs="宋体"/>
          <w:sz w:val="24"/>
          <w:highlight w:val="none"/>
        </w:rPr>
        <w:t>8.特别说明：</w:t>
      </w:r>
      <w:bookmarkEnd w:id="127"/>
      <w:bookmarkEnd w:id="128"/>
      <w:bookmarkStart w:id="129" w:name="_8.1提供相同品牌产品且通过资格审查、符合性审查的不同投标人参加同一合"/>
      <w:bookmarkEnd w:id="129"/>
    </w:p>
    <w:p w14:paraId="38EBF8AF">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8.1如果本招标文件要求投标人提供资格、信誉、荣誉、业绩与企业认证等材料的，则投标人所提供的以上材料必须为该投标人所拥有。</w:t>
      </w:r>
    </w:p>
    <w:p w14:paraId="4FB45194">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8.2投标人应仔细阅读招标文件的所有内容，按照招标文件的要求提交投标文件，并对所提供的全部资料的真实性承担法律责任。</w:t>
      </w:r>
    </w:p>
    <w:p w14:paraId="28B1B5C3">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6508157F">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8.4采用最低评标价法的采购项目，提供相同品牌产品的不同投标人参加同一合同项下投标的，以其中通过资格审查、符合性审查且报价最低的参加评标；报价相同的，由采购人或者采购人委托评标委员会按照招标文件“投标人须知前附表”规定的方式确定一个参加评标的投标人，招标文件未规定的采取随机抽取方式确定，其他投标无效。</w:t>
      </w:r>
    </w:p>
    <w:p w14:paraId="18FC98C2">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投标人须知前附表”规定的方式确定一个投标人获得中标人推荐资格，招标文件未规定的采取随机抽取方式确定，其他同品牌投标人不作为中标候选人。</w:t>
      </w:r>
    </w:p>
    <w:p w14:paraId="1AADBC70">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非单一产品采购项目，采购人应当根据采购项目技术构成、产品价格比重等合理确定核心产品，并在招标文件中载明。多家投标人提供的核心产品品牌相同的，按前两款规定处理。</w:t>
      </w:r>
    </w:p>
    <w:p w14:paraId="17B16F7B">
      <w:pPr>
        <w:spacing w:line="360" w:lineRule="auto"/>
        <w:ind w:firstLine="480" w:firstLineChars="200"/>
        <w:rPr>
          <w:rFonts w:ascii="宋体" w:hAnsi="宋体" w:cs="宋体"/>
          <w:sz w:val="24"/>
          <w:highlight w:val="none"/>
        </w:rPr>
      </w:pPr>
      <w:r>
        <w:rPr>
          <w:rFonts w:hint="eastAsia" w:ascii="宋体" w:hAnsi="宋体" w:cs="宋体"/>
          <w:sz w:val="24"/>
          <w:highlight w:val="none"/>
        </w:rPr>
        <w:t>9.回避与串通投标</w:t>
      </w:r>
    </w:p>
    <w:p w14:paraId="17C53164">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9.1在政府采购活动中，采购人员及相关人员与供应商有下列利害关系之一的，应当回避：</w:t>
      </w:r>
    </w:p>
    <w:p w14:paraId="79F291A0">
      <w:pPr>
        <w:spacing w:line="360" w:lineRule="auto"/>
        <w:ind w:firstLine="422" w:firstLineChars="200"/>
        <w:rPr>
          <w:rFonts w:ascii="宋体" w:hAnsi="宋体" w:cs="宋体"/>
          <w:b/>
          <w:bCs/>
          <w:highlight w:val="none"/>
        </w:rPr>
      </w:pPr>
      <w:r>
        <w:rPr>
          <w:rFonts w:hint="eastAsia" w:ascii="宋体" w:hAnsi="宋体" w:cs="宋体"/>
          <w:b/>
          <w:bCs/>
          <w:highlight w:val="none"/>
        </w:rPr>
        <w:t>（1）参加采购活动前3年内与供应商存在劳动关系。</w:t>
      </w:r>
    </w:p>
    <w:p w14:paraId="2BBB0B0E">
      <w:pPr>
        <w:spacing w:line="360" w:lineRule="auto"/>
        <w:ind w:firstLine="422" w:firstLineChars="200"/>
        <w:rPr>
          <w:rFonts w:ascii="宋体" w:hAnsi="宋体" w:cs="宋体"/>
          <w:b/>
          <w:bCs/>
          <w:highlight w:val="none"/>
        </w:rPr>
      </w:pPr>
      <w:r>
        <w:rPr>
          <w:rFonts w:hint="eastAsia" w:ascii="宋体" w:hAnsi="宋体" w:cs="宋体"/>
          <w:b/>
          <w:bCs/>
          <w:highlight w:val="none"/>
        </w:rPr>
        <w:t>（2）参加采购活动前3年内担任供应商的董事、监事。</w:t>
      </w:r>
    </w:p>
    <w:p w14:paraId="746A71D8">
      <w:pPr>
        <w:spacing w:line="360" w:lineRule="auto"/>
        <w:ind w:firstLine="422" w:firstLineChars="200"/>
        <w:rPr>
          <w:rFonts w:ascii="宋体" w:hAnsi="宋体" w:cs="宋体"/>
          <w:b/>
          <w:bCs/>
          <w:highlight w:val="none"/>
        </w:rPr>
      </w:pPr>
      <w:r>
        <w:rPr>
          <w:rFonts w:hint="eastAsia" w:ascii="宋体" w:hAnsi="宋体" w:cs="宋体"/>
          <w:b/>
          <w:bCs/>
          <w:highlight w:val="none"/>
        </w:rPr>
        <w:t>（3）参加采购活动前3年内是供应商的控股股东或者实际控制人。</w:t>
      </w:r>
    </w:p>
    <w:p w14:paraId="05DAB457">
      <w:pPr>
        <w:spacing w:line="360" w:lineRule="auto"/>
        <w:ind w:firstLine="422" w:firstLineChars="200"/>
        <w:rPr>
          <w:rFonts w:ascii="宋体" w:hAnsi="宋体" w:cs="宋体"/>
          <w:b/>
          <w:bCs/>
          <w:highlight w:val="none"/>
        </w:rPr>
      </w:pPr>
      <w:r>
        <w:rPr>
          <w:rFonts w:hint="eastAsia" w:ascii="宋体" w:hAnsi="宋体" w:cs="宋体"/>
          <w:b/>
          <w:bCs/>
          <w:highlight w:val="none"/>
        </w:rPr>
        <w:t>（4）与供应商的法定代表人或者负责人有夫妻、直系血亲、三代以内旁系血亲或者近姻亲关系。</w:t>
      </w:r>
    </w:p>
    <w:p w14:paraId="4E22CB59">
      <w:pPr>
        <w:spacing w:line="360" w:lineRule="auto"/>
        <w:ind w:firstLine="422" w:firstLineChars="200"/>
        <w:rPr>
          <w:rFonts w:ascii="宋体" w:hAnsi="宋体" w:cs="宋体"/>
          <w:b/>
          <w:bCs/>
          <w:highlight w:val="none"/>
        </w:rPr>
      </w:pPr>
      <w:r>
        <w:rPr>
          <w:rFonts w:hint="eastAsia" w:ascii="宋体" w:hAnsi="宋体" w:cs="宋体"/>
          <w:b/>
          <w:bCs/>
          <w:highlight w:val="none"/>
        </w:rPr>
        <w:t>（5）与供应商有其他可能影响政府采购活动公平、公正进行的关系。</w:t>
      </w:r>
    </w:p>
    <w:p w14:paraId="64EB5987">
      <w:pPr>
        <w:spacing w:line="360" w:lineRule="auto"/>
        <w:ind w:firstLine="422" w:firstLineChars="200"/>
        <w:rPr>
          <w:rFonts w:ascii="宋体" w:hAnsi="宋体" w:cs="宋体"/>
          <w:b/>
          <w:bCs/>
          <w:highlight w:val="none"/>
        </w:rPr>
      </w:pPr>
      <w:r>
        <w:rPr>
          <w:rFonts w:hint="eastAsia" w:ascii="宋体" w:hAnsi="宋体" w:cs="宋体"/>
          <w:b/>
          <w:bCs/>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1ADE40C">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9.2有下列情形之一的视为投标人相互串通投标，投标文件将被视为无效：</w:t>
      </w:r>
    </w:p>
    <w:p w14:paraId="4122F48A">
      <w:pPr>
        <w:tabs>
          <w:tab w:val="center" w:pos="4153"/>
          <w:tab w:val="right" w:pos="8306"/>
        </w:tabs>
        <w:spacing w:line="360" w:lineRule="auto"/>
        <w:ind w:firstLine="422" w:firstLineChars="200"/>
        <w:rPr>
          <w:rFonts w:ascii="宋体" w:hAnsi="宋体" w:cs="宋体"/>
          <w:b/>
          <w:highlight w:val="none"/>
        </w:rPr>
      </w:pPr>
      <w:r>
        <w:rPr>
          <w:rFonts w:hint="eastAsia" w:ascii="宋体" w:hAnsi="宋体" w:cs="宋体"/>
          <w:b/>
          <w:highlight w:val="none"/>
        </w:rPr>
        <w:t>（1）不同投标人的投标文件由同一单位或者个人编制；或不同投标人报名的IP地址一致的。</w:t>
      </w:r>
    </w:p>
    <w:p w14:paraId="01738EB4">
      <w:pPr>
        <w:tabs>
          <w:tab w:val="center" w:pos="4153"/>
          <w:tab w:val="right" w:pos="8306"/>
        </w:tabs>
        <w:spacing w:line="360" w:lineRule="auto"/>
        <w:ind w:firstLine="422" w:firstLineChars="200"/>
        <w:rPr>
          <w:rFonts w:ascii="宋体" w:hAnsi="宋体" w:cs="宋体"/>
          <w:b/>
          <w:highlight w:val="none"/>
        </w:rPr>
      </w:pPr>
      <w:r>
        <w:rPr>
          <w:rFonts w:hint="eastAsia" w:ascii="宋体" w:hAnsi="宋体" w:cs="宋体"/>
          <w:b/>
          <w:highlight w:val="none"/>
        </w:rPr>
        <w:t>（2）不同投标人委托同一单位或者个人办理投标事宜。</w:t>
      </w:r>
    </w:p>
    <w:p w14:paraId="108646C9">
      <w:pPr>
        <w:tabs>
          <w:tab w:val="center" w:pos="4153"/>
          <w:tab w:val="right" w:pos="8306"/>
        </w:tabs>
        <w:spacing w:line="360" w:lineRule="auto"/>
        <w:ind w:firstLine="422" w:firstLineChars="200"/>
        <w:rPr>
          <w:rFonts w:ascii="宋体" w:hAnsi="宋体" w:cs="宋体"/>
          <w:b/>
          <w:highlight w:val="none"/>
        </w:rPr>
      </w:pPr>
      <w:r>
        <w:rPr>
          <w:rFonts w:hint="eastAsia" w:ascii="宋体" w:hAnsi="宋体" w:cs="宋体"/>
          <w:b/>
          <w:highlight w:val="none"/>
        </w:rPr>
        <w:t>（3）不同的投标人的投标文件载明的项目管理员为同一个人。</w:t>
      </w:r>
    </w:p>
    <w:p w14:paraId="4CD7BB60">
      <w:pPr>
        <w:tabs>
          <w:tab w:val="center" w:pos="4153"/>
          <w:tab w:val="right" w:pos="8306"/>
        </w:tabs>
        <w:spacing w:line="360" w:lineRule="auto"/>
        <w:ind w:firstLine="422" w:firstLineChars="200"/>
        <w:rPr>
          <w:rFonts w:ascii="宋体" w:hAnsi="宋体" w:cs="宋体"/>
          <w:b/>
          <w:highlight w:val="none"/>
        </w:rPr>
      </w:pPr>
      <w:r>
        <w:rPr>
          <w:rFonts w:hint="eastAsia" w:ascii="宋体" w:hAnsi="宋体" w:cs="宋体"/>
          <w:b/>
          <w:highlight w:val="none"/>
        </w:rPr>
        <w:t>（4）不同投标人的电子投标文件异常一致或者投标报价呈规律性差异。</w:t>
      </w:r>
    </w:p>
    <w:p w14:paraId="6440E6D9">
      <w:pPr>
        <w:tabs>
          <w:tab w:val="center" w:pos="4153"/>
          <w:tab w:val="right" w:pos="8306"/>
        </w:tabs>
        <w:spacing w:line="360" w:lineRule="auto"/>
        <w:ind w:firstLine="422" w:firstLineChars="200"/>
        <w:rPr>
          <w:rFonts w:ascii="宋体" w:hAnsi="宋体" w:cs="宋体"/>
          <w:b/>
          <w:highlight w:val="none"/>
        </w:rPr>
      </w:pPr>
      <w:r>
        <w:rPr>
          <w:rFonts w:hint="eastAsia" w:ascii="宋体" w:hAnsi="宋体" w:cs="宋体"/>
          <w:b/>
          <w:highlight w:val="none"/>
        </w:rPr>
        <w:t>（5）不同投标人的投标文件相互混装。</w:t>
      </w:r>
    </w:p>
    <w:p w14:paraId="02C0A18A">
      <w:pPr>
        <w:tabs>
          <w:tab w:val="center" w:pos="4153"/>
          <w:tab w:val="right" w:pos="8306"/>
        </w:tabs>
        <w:spacing w:line="360" w:lineRule="auto"/>
        <w:ind w:firstLine="422" w:firstLineChars="200"/>
        <w:rPr>
          <w:rFonts w:ascii="宋体" w:hAnsi="宋体" w:cs="宋体"/>
          <w:b/>
          <w:highlight w:val="none"/>
        </w:rPr>
      </w:pPr>
      <w:r>
        <w:rPr>
          <w:rFonts w:hint="eastAsia" w:ascii="宋体" w:hAnsi="宋体" w:cs="宋体"/>
          <w:b/>
          <w:highlight w:val="none"/>
        </w:rPr>
        <w:t>（6）不同投标人的投标保证金从同一单位或者个人账户转出。</w:t>
      </w:r>
    </w:p>
    <w:p w14:paraId="47E03EDC">
      <w:pPr>
        <w:spacing w:line="360" w:lineRule="auto"/>
        <w:ind w:firstLine="422" w:firstLineChars="200"/>
        <w:rPr>
          <w:rFonts w:ascii="宋体" w:hAnsi="宋体" w:cs="宋体"/>
          <w:b/>
          <w:bCs/>
          <w:szCs w:val="21"/>
          <w:highlight w:val="none"/>
        </w:rPr>
      </w:pPr>
      <w:r>
        <w:rPr>
          <w:rFonts w:hint="eastAsia" w:ascii="宋体" w:hAnsi="宋体" w:cs="宋体"/>
          <w:b/>
          <w:highlight w:val="none"/>
        </w:rPr>
        <w:t>9.3供应商有下列情形之一的，属于恶意串通</w:t>
      </w:r>
      <w:r>
        <w:rPr>
          <w:rFonts w:hint="eastAsia" w:ascii="宋体" w:hAnsi="宋体" w:cs="宋体"/>
          <w:b/>
          <w:bCs/>
          <w:szCs w:val="21"/>
          <w:highlight w:val="none"/>
        </w:rPr>
        <w:t>行为，将报同级监督管理部门：</w:t>
      </w:r>
    </w:p>
    <w:p w14:paraId="2185F713">
      <w:pPr>
        <w:spacing w:line="360" w:lineRule="auto"/>
        <w:ind w:firstLine="422" w:firstLineChars="200"/>
        <w:rPr>
          <w:rFonts w:ascii="宋体" w:hAnsi="宋体" w:cs="宋体"/>
          <w:b/>
          <w:bCs/>
          <w:highlight w:val="none"/>
        </w:rPr>
      </w:pPr>
      <w:r>
        <w:rPr>
          <w:rFonts w:hint="eastAsia" w:ascii="宋体" w:hAnsi="宋体" w:cs="宋体"/>
          <w:b/>
          <w:bCs/>
          <w:highlight w:val="none"/>
        </w:rPr>
        <w:t>（1）供应商直接或者间接从采购人或者采购代理机构处获得其他供应商的相关信息并修改其投标文件。</w:t>
      </w:r>
    </w:p>
    <w:p w14:paraId="6C887C2E">
      <w:pPr>
        <w:spacing w:line="360" w:lineRule="auto"/>
        <w:ind w:firstLine="422" w:firstLineChars="200"/>
        <w:rPr>
          <w:rFonts w:ascii="宋体" w:hAnsi="宋体" w:cs="宋体"/>
          <w:b/>
          <w:bCs/>
          <w:highlight w:val="none"/>
        </w:rPr>
      </w:pPr>
      <w:r>
        <w:rPr>
          <w:rFonts w:hint="eastAsia" w:ascii="宋体" w:hAnsi="宋体" w:cs="宋体"/>
          <w:b/>
          <w:bCs/>
          <w:highlight w:val="none"/>
        </w:rPr>
        <w:t>（2）供应商按照采购人或者采购代理机构的授意撤换、修改投标文件。</w:t>
      </w:r>
    </w:p>
    <w:p w14:paraId="5763FD88">
      <w:pPr>
        <w:spacing w:line="360" w:lineRule="auto"/>
        <w:ind w:firstLine="422" w:firstLineChars="200"/>
        <w:rPr>
          <w:rFonts w:ascii="宋体" w:hAnsi="宋体" w:cs="宋体"/>
          <w:b/>
          <w:bCs/>
          <w:highlight w:val="none"/>
        </w:rPr>
      </w:pPr>
      <w:r>
        <w:rPr>
          <w:rFonts w:hint="eastAsia" w:ascii="宋体" w:hAnsi="宋体" w:cs="宋体"/>
          <w:b/>
          <w:bCs/>
          <w:highlight w:val="none"/>
        </w:rPr>
        <w:t>（3）供应商之间协商报价、技术方案等投标文件的实质性内容。</w:t>
      </w:r>
    </w:p>
    <w:p w14:paraId="25C9E981">
      <w:pPr>
        <w:spacing w:line="360" w:lineRule="auto"/>
        <w:ind w:firstLine="422" w:firstLineChars="200"/>
        <w:rPr>
          <w:rFonts w:ascii="宋体" w:hAnsi="宋体" w:cs="宋体"/>
          <w:b/>
          <w:bCs/>
          <w:highlight w:val="none"/>
        </w:rPr>
      </w:pPr>
      <w:r>
        <w:rPr>
          <w:rFonts w:hint="eastAsia" w:ascii="宋体" w:hAnsi="宋体" w:cs="宋体"/>
          <w:b/>
          <w:bCs/>
          <w:highlight w:val="none"/>
        </w:rPr>
        <w:t>（4）属于同一集团、协会、商会等组织成员的供应商按照该组织要求协同参加政府采购活动。</w:t>
      </w:r>
    </w:p>
    <w:p w14:paraId="2D4F774D">
      <w:pPr>
        <w:spacing w:line="360" w:lineRule="auto"/>
        <w:ind w:firstLine="422" w:firstLineChars="200"/>
        <w:rPr>
          <w:rFonts w:ascii="宋体" w:hAnsi="宋体" w:cs="宋体"/>
          <w:b/>
          <w:bCs/>
          <w:highlight w:val="none"/>
        </w:rPr>
      </w:pPr>
      <w:r>
        <w:rPr>
          <w:rFonts w:hint="eastAsia" w:ascii="宋体" w:hAnsi="宋体" w:cs="宋体"/>
          <w:b/>
          <w:bCs/>
          <w:highlight w:val="none"/>
        </w:rPr>
        <w:t>（5）供应商之间事先约定一致抬高或者压低投标报价，或者在招标项目中事先约定轮流以高价位或者低价位中标，或者事先约定由某一特定供应商中标，然后再参加投标。</w:t>
      </w:r>
    </w:p>
    <w:p w14:paraId="4A38B37A">
      <w:pPr>
        <w:spacing w:line="360" w:lineRule="auto"/>
        <w:ind w:firstLine="422" w:firstLineChars="200"/>
        <w:rPr>
          <w:rFonts w:ascii="宋体" w:hAnsi="宋体" w:cs="宋体"/>
          <w:b/>
          <w:bCs/>
          <w:highlight w:val="none"/>
        </w:rPr>
      </w:pPr>
      <w:r>
        <w:rPr>
          <w:rFonts w:hint="eastAsia" w:ascii="宋体" w:hAnsi="宋体" w:cs="宋体"/>
          <w:b/>
          <w:bCs/>
          <w:highlight w:val="none"/>
        </w:rPr>
        <w:t>（6）供应商之间商定部分供应商放弃参加政府采购活动或者放弃中标。</w:t>
      </w:r>
    </w:p>
    <w:p w14:paraId="327D8F5E">
      <w:pPr>
        <w:spacing w:line="360" w:lineRule="auto"/>
        <w:ind w:firstLine="422" w:firstLineChars="200"/>
        <w:rPr>
          <w:rFonts w:ascii="宋体" w:hAnsi="宋体" w:cs="宋体"/>
          <w:b/>
          <w:bCs/>
          <w:highlight w:val="none"/>
        </w:rPr>
      </w:pPr>
      <w:r>
        <w:rPr>
          <w:rFonts w:hint="eastAsia" w:ascii="宋体" w:hAnsi="宋体" w:cs="宋体"/>
          <w:b/>
          <w:bCs/>
          <w:highlight w:val="none"/>
        </w:rPr>
        <w:t>（7）供应商与采购人或者采购代理机构之间、供应商相互之间，为谋求特定供应商中标或者排斥其他供应商的其他串通行为。</w:t>
      </w:r>
    </w:p>
    <w:p w14:paraId="25FB5C3A">
      <w:pPr>
        <w:pStyle w:val="14"/>
        <w:snapToGrid w:val="0"/>
        <w:spacing w:line="360" w:lineRule="auto"/>
        <w:ind w:left="2" w:leftChars="1" w:firstLine="422" w:firstLineChars="200"/>
        <w:rPr>
          <w:rFonts w:hAnsi="宋体" w:cs="宋体"/>
          <w:b/>
          <w:highlight w:val="none"/>
        </w:rPr>
      </w:pPr>
    </w:p>
    <w:p w14:paraId="10916AC6">
      <w:pPr>
        <w:pStyle w:val="4"/>
        <w:keepNext w:val="0"/>
        <w:keepLines w:val="0"/>
        <w:spacing w:line="400" w:lineRule="exact"/>
        <w:jc w:val="center"/>
        <w:rPr>
          <w:rFonts w:ascii="宋体" w:hAnsi="宋体" w:cs="宋体"/>
          <w:highlight w:val="none"/>
        </w:rPr>
      </w:pPr>
      <w:bookmarkStart w:id="130" w:name="_Toc254970534"/>
      <w:bookmarkStart w:id="131" w:name="_Toc22960"/>
      <w:bookmarkStart w:id="132" w:name="_Toc25441"/>
      <w:bookmarkStart w:id="133" w:name="_Toc254970675"/>
      <w:bookmarkStart w:id="134" w:name="_Toc22070"/>
      <w:bookmarkStart w:id="135" w:name="_Toc4100"/>
      <w:r>
        <w:rPr>
          <w:rFonts w:hint="eastAsia" w:ascii="宋体" w:hAnsi="宋体" w:cs="宋体"/>
          <w:highlight w:val="none"/>
        </w:rPr>
        <w:t>二、招标文件</w:t>
      </w:r>
      <w:bookmarkEnd w:id="130"/>
      <w:bookmarkEnd w:id="131"/>
      <w:bookmarkEnd w:id="132"/>
      <w:bookmarkEnd w:id="133"/>
      <w:bookmarkEnd w:id="134"/>
      <w:bookmarkEnd w:id="135"/>
    </w:p>
    <w:p w14:paraId="2D7CD562">
      <w:pPr>
        <w:spacing w:line="360" w:lineRule="auto"/>
        <w:ind w:firstLine="480" w:firstLineChars="200"/>
        <w:rPr>
          <w:rFonts w:ascii="宋体" w:hAnsi="宋体" w:cs="宋体"/>
          <w:sz w:val="24"/>
          <w:highlight w:val="none"/>
        </w:rPr>
      </w:pPr>
      <w:r>
        <w:rPr>
          <w:rFonts w:hint="eastAsia" w:ascii="宋体" w:hAnsi="宋体" w:cs="宋体"/>
          <w:sz w:val="24"/>
          <w:highlight w:val="none"/>
        </w:rPr>
        <w:t>10.招标文件的组成</w:t>
      </w:r>
    </w:p>
    <w:p w14:paraId="1C8986CA">
      <w:pPr>
        <w:spacing w:line="360" w:lineRule="auto"/>
        <w:ind w:firstLine="420" w:firstLineChars="200"/>
        <w:rPr>
          <w:rFonts w:ascii="宋体" w:hAnsi="宋体" w:cs="宋体"/>
          <w:szCs w:val="21"/>
          <w:highlight w:val="none"/>
        </w:rPr>
      </w:pPr>
      <w:r>
        <w:rPr>
          <w:rFonts w:hint="eastAsia" w:ascii="宋体" w:hAnsi="宋体" w:cs="宋体"/>
          <w:szCs w:val="21"/>
          <w:highlight w:val="none"/>
        </w:rPr>
        <w:t>第一章 招标公告。</w:t>
      </w:r>
    </w:p>
    <w:p w14:paraId="5602612E">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第二章 采购需求。 </w:t>
      </w:r>
    </w:p>
    <w:p w14:paraId="63D5E0C0">
      <w:pPr>
        <w:spacing w:line="360" w:lineRule="auto"/>
        <w:ind w:firstLine="420" w:firstLineChars="200"/>
        <w:rPr>
          <w:rFonts w:ascii="宋体" w:hAnsi="宋体" w:cs="宋体"/>
          <w:szCs w:val="21"/>
          <w:highlight w:val="none"/>
        </w:rPr>
      </w:pPr>
      <w:r>
        <w:rPr>
          <w:rFonts w:hint="eastAsia" w:ascii="宋体" w:hAnsi="宋体" w:cs="宋体"/>
          <w:szCs w:val="21"/>
          <w:highlight w:val="none"/>
        </w:rPr>
        <w:t>第三章 投标人须知。</w:t>
      </w:r>
    </w:p>
    <w:p w14:paraId="1B126A86">
      <w:pPr>
        <w:spacing w:line="360" w:lineRule="auto"/>
        <w:ind w:firstLine="420" w:firstLineChars="200"/>
        <w:rPr>
          <w:rFonts w:ascii="宋体" w:hAnsi="宋体" w:cs="宋体"/>
          <w:szCs w:val="21"/>
          <w:highlight w:val="none"/>
        </w:rPr>
      </w:pPr>
      <w:r>
        <w:rPr>
          <w:rFonts w:hint="eastAsia" w:ascii="宋体" w:hAnsi="宋体" w:cs="宋体"/>
          <w:szCs w:val="21"/>
          <w:highlight w:val="none"/>
        </w:rPr>
        <w:t>第四章 评标方法和评标标准。</w:t>
      </w:r>
    </w:p>
    <w:p w14:paraId="599A6E1D">
      <w:pPr>
        <w:spacing w:line="360" w:lineRule="auto"/>
        <w:ind w:firstLine="420" w:firstLineChars="200"/>
        <w:rPr>
          <w:rFonts w:ascii="宋体" w:hAnsi="宋体" w:cs="宋体"/>
          <w:szCs w:val="21"/>
          <w:highlight w:val="none"/>
        </w:rPr>
      </w:pPr>
      <w:r>
        <w:rPr>
          <w:rFonts w:hint="eastAsia" w:ascii="宋体" w:hAnsi="宋体" w:cs="宋体"/>
          <w:szCs w:val="21"/>
          <w:highlight w:val="none"/>
        </w:rPr>
        <w:t>第五章 拟签订的合同文本。</w:t>
      </w:r>
    </w:p>
    <w:p w14:paraId="1BBF78C4">
      <w:pPr>
        <w:spacing w:line="360" w:lineRule="auto"/>
        <w:ind w:firstLine="420" w:firstLineChars="200"/>
        <w:rPr>
          <w:rFonts w:ascii="宋体" w:hAnsi="宋体" w:cs="宋体"/>
          <w:szCs w:val="21"/>
          <w:highlight w:val="none"/>
        </w:rPr>
      </w:pPr>
      <w:r>
        <w:rPr>
          <w:rFonts w:hint="eastAsia" w:ascii="宋体" w:hAnsi="宋体" w:cs="宋体"/>
          <w:szCs w:val="21"/>
          <w:highlight w:val="none"/>
        </w:rPr>
        <w:t>第六章 投标文件格式。</w:t>
      </w:r>
    </w:p>
    <w:p w14:paraId="5AC5BBC5">
      <w:pPr>
        <w:spacing w:line="360" w:lineRule="auto"/>
        <w:ind w:firstLine="420" w:firstLineChars="200"/>
        <w:rPr>
          <w:rFonts w:ascii="宋体" w:hAnsi="宋体" w:cs="宋体"/>
          <w:szCs w:val="21"/>
          <w:highlight w:val="none"/>
        </w:rPr>
      </w:pPr>
      <w:r>
        <w:rPr>
          <w:rFonts w:hint="eastAsia" w:ascii="宋体" w:hAnsi="宋体" w:cs="宋体"/>
          <w:szCs w:val="21"/>
          <w:highlight w:val="none"/>
        </w:rPr>
        <w:t>第七章 质疑、投诉材料格式</w:t>
      </w:r>
    </w:p>
    <w:p w14:paraId="55EE52D2">
      <w:pPr>
        <w:spacing w:line="360" w:lineRule="auto"/>
        <w:ind w:firstLine="420" w:firstLineChars="200"/>
        <w:rPr>
          <w:rFonts w:ascii="宋体" w:hAnsi="宋体" w:cs="宋体"/>
          <w:highlight w:val="none"/>
        </w:rPr>
      </w:pPr>
      <w:r>
        <w:rPr>
          <w:rFonts w:hint="eastAsia" w:ascii="宋体" w:hAnsi="宋体" w:cs="宋体"/>
          <w:highlight w:val="none"/>
        </w:rPr>
        <w:t>根据本章第11.1项的规定对招标文件所做的澄清、修改，构成招标文件的组成部分。当招标文件与招标文件的澄清和修改就同一内容的表述不一致时，以最后澄清或修改公告为准。</w:t>
      </w:r>
    </w:p>
    <w:p w14:paraId="5AC5D95D">
      <w:pPr>
        <w:spacing w:line="360" w:lineRule="auto"/>
        <w:ind w:firstLine="480" w:firstLineChars="200"/>
        <w:rPr>
          <w:rFonts w:ascii="宋体" w:hAnsi="宋体" w:cs="宋体"/>
          <w:sz w:val="24"/>
          <w:highlight w:val="none"/>
        </w:rPr>
      </w:pPr>
      <w:r>
        <w:rPr>
          <w:rFonts w:hint="eastAsia" w:ascii="宋体" w:hAnsi="宋体" w:cs="宋体"/>
          <w:sz w:val="24"/>
          <w:highlight w:val="none"/>
        </w:rPr>
        <w:t>11.招标文件的澄清、修改 、现场考察和答疑会</w:t>
      </w:r>
    </w:p>
    <w:p w14:paraId="6808C526">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 xml:space="preserve"> 11.1采购人或者采购代理机构可以对已发出的招标文件进行必要的澄清或者修改，但不得改变采购标的和资格条件。澄清或者修改应当在原招标公告发布媒体上发布澄清公告。澄清或者修改的内容为招标文件的组成部分。</w:t>
      </w:r>
    </w:p>
    <w:p w14:paraId="788312F3">
      <w:pPr>
        <w:spacing w:line="360" w:lineRule="auto"/>
        <w:ind w:firstLine="420" w:firstLineChars="200"/>
        <w:rPr>
          <w:rFonts w:ascii="宋体" w:hAnsi="宋体" w:cs="宋体"/>
          <w:highlight w:val="none"/>
        </w:rPr>
      </w:pPr>
      <w:r>
        <w:rPr>
          <w:rFonts w:hint="eastAsia" w:ascii="宋体" w:hAnsi="宋体" w:cs="宋体"/>
          <w:highlight w:val="none"/>
        </w:rPr>
        <w:t>11.2 投标人应认真审阅本招标文件，如有疑问，或发现其中有误或有要求不合理的，应在投标人须知前附表规定的</w:t>
      </w:r>
      <w:r>
        <w:rPr>
          <w:rFonts w:hint="eastAsia" w:ascii="宋体" w:hAnsi="宋体" w:cs="宋体"/>
          <w:kern w:val="0"/>
          <w:szCs w:val="21"/>
          <w:highlight w:val="none"/>
        </w:rPr>
        <w:t>投标截止时间</w:t>
      </w:r>
      <w:r>
        <w:rPr>
          <w:rFonts w:hint="eastAsia" w:ascii="宋体" w:hAnsi="宋体" w:cs="宋体"/>
          <w:highlight w:val="none"/>
        </w:rPr>
        <w:t>前以书面形式要求采购人或采购代理机构对招标文件予以澄清。否则，由此产生的后果由投标人自行负责。</w:t>
      </w:r>
    </w:p>
    <w:p w14:paraId="070A4A9E">
      <w:pPr>
        <w:spacing w:line="360" w:lineRule="auto"/>
        <w:ind w:firstLine="420" w:firstLineChars="200"/>
        <w:rPr>
          <w:rFonts w:ascii="宋体" w:hAnsi="宋体" w:cs="宋体"/>
          <w:highlight w:val="none"/>
        </w:rPr>
      </w:pPr>
      <w:r>
        <w:rPr>
          <w:rFonts w:hint="eastAsia" w:ascii="宋体" w:hAnsi="宋体" w:cs="宋体"/>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highlight w:val="none"/>
        </w:rPr>
        <w:t>投标人须知前附表”</w:t>
      </w:r>
      <w:r>
        <w:rPr>
          <w:rFonts w:hint="eastAsia" w:ascii="宋体" w:hAnsi="宋体" w:cs="宋体"/>
          <w:highlight w:val="none"/>
        </w:rPr>
        <w:t>规定的政府采购信息发布媒体上发布更正公告及平台短信通知)所有获取招标文件的潜在投标人。不足15日的，采购人或者采购代理机构应当顺延提交投标文件的截止时间。澄清或者更正公告在招标公告发布媒体上发布，一经发布，视作已以书面形式通知所有获取招标文件的潜在投标人，不再另行通知，所有潜在投标人应密切关注招标公告发布媒体，因未能及时获知，由此产生的后果均应自行承担。</w:t>
      </w:r>
    </w:p>
    <w:p w14:paraId="119B0C95">
      <w:pPr>
        <w:spacing w:line="360" w:lineRule="auto"/>
        <w:ind w:firstLine="420" w:firstLineChars="200"/>
        <w:rPr>
          <w:rFonts w:ascii="宋体" w:hAnsi="宋体" w:cs="宋体"/>
          <w:highlight w:val="none"/>
        </w:rPr>
      </w:pPr>
      <w:r>
        <w:rPr>
          <w:rFonts w:hint="eastAsia" w:ascii="宋体" w:hAnsi="宋体" w:cs="宋体"/>
          <w:highlight w:val="none"/>
        </w:rPr>
        <w:t>11.4 采购人和采购代理机构可以视采购具体情况，变更投标截止时间和开标时间，将变更时间将在“</w:t>
      </w:r>
      <w:r>
        <w:rPr>
          <w:rFonts w:hint="eastAsia" w:ascii="宋体" w:hAnsi="宋体" w:cs="宋体"/>
          <w:szCs w:val="21"/>
          <w:highlight w:val="none"/>
        </w:rPr>
        <w:t>投标人须知前附表”</w:t>
      </w:r>
      <w:r>
        <w:rPr>
          <w:rFonts w:hint="eastAsia" w:ascii="宋体" w:hAnsi="宋体" w:cs="宋体"/>
          <w:kern w:val="0"/>
          <w:szCs w:val="21"/>
          <w:highlight w:val="none"/>
        </w:rPr>
        <w:t>规定的政府采购信息发布媒体上</w:t>
      </w:r>
      <w:r>
        <w:rPr>
          <w:rFonts w:hint="eastAsia" w:ascii="宋体" w:hAnsi="宋体" w:cs="宋体"/>
          <w:highlight w:val="none"/>
        </w:rPr>
        <w:t>发布更正公告。</w:t>
      </w:r>
    </w:p>
    <w:p w14:paraId="7494D70D">
      <w:pPr>
        <w:spacing w:line="360" w:lineRule="auto"/>
        <w:ind w:firstLine="420" w:firstLineChars="200"/>
        <w:rPr>
          <w:rFonts w:ascii="宋体" w:hAnsi="宋体" w:cs="宋体"/>
          <w:highlight w:val="none"/>
        </w:rPr>
      </w:pPr>
      <w:r>
        <w:rPr>
          <w:rFonts w:hint="eastAsia" w:ascii="宋体" w:hAnsi="宋体" w:cs="宋体"/>
          <w:highlight w:val="none"/>
        </w:rPr>
        <w:t>11.</w:t>
      </w:r>
      <w:bookmarkStart w:id="136" w:name="_Hlk53134511"/>
      <w:r>
        <w:rPr>
          <w:rFonts w:hint="eastAsia" w:ascii="宋体" w:hAnsi="宋体" w:cs="宋体"/>
          <w:highlight w:val="none"/>
        </w:rPr>
        <w:t>5采购人或者采购代理机构可以在招标文件提供期限截止后，组织已获取招标文件的潜在投标人现场考察或者召开开标前答疑会，具体详见“投标人须知前附表”。</w:t>
      </w:r>
    </w:p>
    <w:bookmarkEnd w:id="136"/>
    <w:p w14:paraId="74C6D4DC">
      <w:pPr>
        <w:pStyle w:val="4"/>
        <w:keepNext w:val="0"/>
        <w:keepLines w:val="0"/>
        <w:spacing w:line="400" w:lineRule="exact"/>
        <w:jc w:val="center"/>
        <w:rPr>
          <w:rFonts w:ascii="宋体" w:hAnsi="宋体" w:cs="宋体"/>
          <w:highlight w:val="none"/>
        </w:rPr>
      </w:pPr>
      <w:bookmarkStart w:id="137" w:name="_Toc32490"/>
      <w:bookmarkStart w:id="138" w:name="_Toc23467"/>
      <w:bookmarkStart w:id="139" w:name="_Toc254970676"/>
      <w:bookmarkStart w:id="140" w:name="_Toc254970535"/>
    </w:p>
    <w:p w14:paraId="30CBAD19">
      <w:pPr>
        <w:pStyle w:val="4"/>
        <w:keepNext w:val="0"/>
        <w:keepLines w:val="0"/>
        <w:spacing w:line="400" w:lineRule="exact"/>
        <w:jc w:val="center"/>
        <w:rPr>
          <w:rFonts w:ascii="宋体" w:hAnsi="宋体" w:cs="宋体"/>
          <w:highlight w:val="none"/>
        </w:rPr>
      </w:pPr>
      <w:bookmarkStart w:id="141" w:name="_Toc13166"/>
      <w:bookmarkStart w:id="142" w:name="_Toc7612"/>
      <w:r>
        <w:rPr>
          <w:rFonts w:hint="eastAsia" w:ascii="宋体" w:hAnsi="宋体" w:cs="宋体"/>
          <w:highlight w:val="none"/>
        </w:rPr>
        <w:t>三、投标文件的编制</w:t>
      </w:r>
      <w:bookmarkEnd w:id="137"/>
      <w:bookmarkEnd w:id="138"/>
      <w:bookmarkEnd w:id="139"/>
      <w:bookmarkEnd w:id="140"/>
      <w:bookmarkEnd w:id="141"/>
      <w:bookmarkEnd w:id="142"/>
    </w:p>
    <w:p w14:paraId="20197812">
      <w:pPr>
        <w:spacing w:line="360" w:lineRule="auto"/>
        <w:ind w:firstLine="480" w:firstLineChars="200"/>
        <w:rPr>
          <w:rFonts w:ascii="宋体" w:hAnsi="宋体" w:cs="宋体"/>
          <w:sz w:val="24"/>
          <w:highlight w:val="none"/>
        </w:rPr>
      </w:pPr>
      <w:bookmarkStart w:id="143" w:name="_Toc254970536"/>
      <w:bookmarkStart w:id="144" w:name="_Toc254970677"/>
      <w:r>
        <w:rPr>
          <w:rFonts w:hint="eastAsia" w:ascii="宋体" w:hAnsi="宋体" w:cs="宋体"/>
          <w:sz w:val="24"/>
          <w:highlight w:val="none"/>
        </w:rPr>
        <w:t>12.投标文件的编制原则</w:t>
      </w:r>
    </w:p>
    <w:p w14:paraId="41CE0067">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投标人必须按照招标文件的要求编制投标文件。投标文件必须对招标文件提出的要求和条件作出明确响应。</w:t>
      </w:r>
    </w:p>
    <w:p w14:paraId="3A189703">
      <w:pPr>
        <w:spacing w:line="360" w:lineRule="auto"/>
        <w:ind w:firstLine="480" w:firstLineChars="200"/>
        <w:rPr>
          <w:rFonts w:ascii="宋体" w:hAnsi="宋体" w:cs="宋体"/>
          <w:sz w:val="24"/>
          <w:highlight w:val="none"/>
        </w:rPr>
      </w:pPr>
      <w:r>
        <w:rPr>
          <w:rFonts w:hint="eastAsia" w:ascii="宋体" w:hAnsi="宋体" w:cs="宋体"/>
          <w:sz w:val="24"/>
          <w:highlight w:val="none"/>
        </w:rPr>
        <w:t>13.投标文件的组成</w:t>
      </w:r>
      <w:bookmarkEnd w:id="143"/>
      <w:bookmarkEnd w:id="144"/>
    </w:p>
    <w:p w14:paraId="57C854E3">
      <w:pPr>
        <w:spacing w:line="360" w:lineRule="auto"/>
        <w:ind w:firstLine="420" w:firstLineChars="200"/>
        <w:rPr>
          <w:rFonts w:ascii="宋体" w:hAnsi="宋体" w:cs="宋体"/>
          <w:szCs w:val="21"/>
          <w:highlight w:val="none"/>
        </w:rPr>
      </w:pPr>
      <w:r>
        <w:rPr>
          <w:rFonts w:hint="eastAsia" w:ascii="宋体" w:hAnsi="宋体" w:cs="宋体"/>
          <w:szCs w:val="21"/>
          <w:highlight w:val="none"/>
        </w:rPr>
        <w:t>13.1投标文件由报价文件、资格证明文件、商务文件、技术文件四部分组成。</w:t>
      </w:r>
    </w:p>
    <w:p w14:paraId="2F76101A">
      <w:pPr>
        <w:spacing w:line="360" w:lineRule="auto"/>
        <w:ind w:firstLine="420" w:firstLineChars="200"/>
        <w:rPr>
          <w:rFonts w:ascii="宋体" w:hAnsi="宋体" w:cs="宋体"/>
          <w:bCs/>
          <w:szCs w:val="21"/>
          <w:highlight w:val="none"/>
        </w:rPr>
      </w:pPr>
      <w:bookmarkStart w:id="145" w:name="_13.1报价文件:_具体材料见“投标人须知前附表”。"/>
      <w:bookmarkEnd w:id="145"/>
      <w:bookmarkStart w:id="146" w:name="_13.2资格证明文件：具体材料见“投标人须知前附表”。"/>
      <w:bookmarkEnd w:id="146"/>
      <w:r>
        <w:rPr>
          <w:rFonts w:hint="eastAsia" w:ascii="宋体" w:hAnsi="宋体" w:cs="宋体"/>
          <w:bCs/>
          <w:szCs w:val="21"/>
          <w:highlight w:val="none"/>
        </w:rPr>
        <w:t>（1）资格证明文件：具体材料见“投标人须知前附表”。</w:t>
      </w:r>
    </w:p>
    <w:p w14:paraId="4E380861">
      <w:pPr>
        <w:spacing w:line="360" w:lineRule="auto"/>
        <w:ind w:firstLine="420" w:firstLineChars="200"/>
        <w:rPr>
          <w:rFonts w:ascii="宋体" w:hAnsi="宋体" w:cs="宋体"/>
          <w:bCs/>
          <w:szCs w:val="21"/>
          <w:highlight w:val="none"/>
        </w:rPr>
      </w:pPr>
      <w:bookmarkStart w:id="147" w:name="_13.3商务文件:_具体材料见“投标人须知前附表”。"/>
      <w:bookmarkEnd w:id="147"/>
      <w:r>
        <w:rPr>
          <w:rFonts w:hint="eastAsia" w:ascii="宋体" w:hAnsi="宋体" w:cs="宋体"/>
          <w:bCs/>
          <w:szCs w:val="21"/>
          <w:highlight w:val="none"/>
        </w:rPr>
        <w:t>（2）商务文件：具体材料见“投标人须知前附表”。</w:t>
      </w:r>
    </w:p>
    <w:p w14:paraId="46CDA814">
      <w:pPr>
        <w:spacing w:line="360" w:lineRule="auto"/>
        <w:ind w:firstLine="420" w:firstLineChars="200"/>
        <w:rPr>
          <w:rFonts w:ascii="宋体" w:hAnsi="宋体" w:cs="宋体"/>
          <w:bCs/>
          <w:szCs w:val="21"/>
          <w:highlight w:val="none"/>
        </w:rPr>
      </w:pPr>
      <w:bookmarkStart w:id="148" w:name="_13.4技术文件：具体材料见“投标人须知前附表”。"/>
      <w:bookmarkEnd w:id="148"/>
      <w:r>
        <w:rPr>
          <w:rFonts w:hint="eastAsia" w:ascii="宋体" w:hAnsi="宋体" w:cs="宋体"/>
          <w:bCs/>
          <w:szCs w:val="21"/>
          <w:highlight w:val="none"/>
        </w:rPr>
        <w:t xml:space="preserve">（3）技术文件：具体材料见“投标人须知前附表”。 </w:t>
      </w:r>
    </w:p>
    <w:p w14:paraId="21BB0BA6">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（4）报价文件： 具体材料见“投标人须知前附表”。</w:t>
      </w:r>
    </w:p>
    <w:p w14:paraId="25D750AA">
      <w:pPr>
        <w:spacing w:line="360" w:lineRule="auto"/>
        <w:ind w:firstLine="420" w:firstLineChars="200"/>
        <w:rPr>
          <w:rFonts w:ascii="宋体" w:hAnsi="宋体" w:cs="宋体"/>
          <w:bCs/>
          <w:szCs w:val="21"/>
          <w:highlight w:val="none"/>
        </w:rPr>
      </w:pPr>
      <w:bookmarkStart w:id="149" w:name="_13.5投标文件电子版：具体材料见“投标人须知前附表”。"/>
      <w:bookmarkEnd w:id="149"/>
      <w:r>
        <w:rPr>
          <w:rFonts w:hint="eastAsia" w:ascii="宋体" w:hAnsi="宋体" w:cs="宋体"/>
          <w:bCs/>
          <w:szCs w:val="21"/>
          <w:highlight w:val="none"/>
        </w:rPr>
        <w:t>13.2投标文件电子版：具体要求见本节19.投标文件编制。</w:t>
      </w:r>
    </w:p>
    <w:p w14:paraId="764B5C57">
      <w:pPr>
        <w:spacing w:line="360" w:lineRule="auto"/>
        <w:ind w:firstLine="480" w:firstLineChars="200"/>
        <w:rPr>
          <w:rFonts w:ascii="宋体" w:hAnsi="宋体" w:cs="宋体"/>
          <w:sz w:val="24"/>
          <w:highlight w:val="none"/>
        </w:rPr>
      </w:pPr>
      <w:bookmarkStart w:id="150" w:name="_Toc254970678"/>
      <w:bookmarkStart w:id="151" w:name="_Toc254970537"/>
      <w:r>
        <w:rPr>
          <w:rFonts w:hint="eastAsia" w:ascii="宋体" w:hAnsi="宋体" w:cs="宋体"/>
          <w:sz w:val="24"/>
          <w:highlight w:val="none"/>
        </w:rPr>
        <w:t>14.投标文件的语言及计量</w:t>
      </w:r>
      <w:bookmarkEnd w:id="150"/>
      <w:bookmarkEnd w:id="151"/>
    </w:p>
    <w:p w14:paraId="386EC3B0">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14.1语言文字</w:t>
      </w:r>
    </w:p>
    <w:p w14:paraId="4F336020">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3ED3308">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14.2投标计量单位</w:t>
      </w:r>
    </w:p>
    <w:p w14:paraId="028BE279">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
          <w:szCs w:val="21"/>
          <w:highlight w:val="none"/>
        </w:rPr>
        <w:t>否则视同未响应</w:t>
      </w:r>
      <w:r>
        <w:rPr>
          <w:rFonts w:hint="eastAsia" w:ascii="宋体" w:hAnsi="宋体" w:cs="宋体"/>
          <w:bCs/>
          <w:szCs w:val="21"/>
          <w:highlight w:val="none"/>
        </w:rPr>
        <w:t>。</w:t>
      </w:r>
    </w:p>
    <w:p w14:paraId="6DB846BA">
      <w:pPr>
        <w:spacing w:line="360" w:lineRule="auto"/>
        <w:ind w:firstLine="480" w:firstLineChars="200"/>
        <w:rPr>
          <w:rFonts w:ascii="宋体" w:hAnsi="宋体" w:cs="宋体"/>
          <w:sz w:val="24"/>
          <w:highlight w:val="none"/>
        </w:rPr>
      </w:pPr>
      <w:r>
        <w:rPr>
          <w:rFonts w:hint="eastAsia" w:ascii="宋体" w:hAnsi="宋体" w:cs="宋体"/>
          <w:sz w:val="24"/>
          <w:highlight w:val="none"/>
        </w:rPr>
        <w:t>15.投标的风险</w:t>
      </w:r>
    </w:p>
    <w:p w14:paraId="2B7E52C2">
      <w:pPr>
        <w:pStyle w:val="10"/>
        <w:spacing w:line="360" w:lineRule="auto"/>
        <w:ind w:firstLine="420" w:firstLineChars="200"/>
        <w:rPr>
          <w:rFonts w:ascii="宋体" w:hAnsi="宋体" w:cs="宋体"/>
          <w:bCs/>
          <w:szCs w:val="21"/>
          <w:highlight w:val="none"/>
        </w:rPr>
      </w:pPr>
      <w:r>
        <w:rPr>
          <w:rFonts w:hint="eastAsia" w:ascii="宋体" w:hAnsi="宋体" w:cs="宋体"/>
          <w:bCs/>
          <w:szCs w:val="21"/>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投标人没有按照招标文件要求提供全部资料，或者投标人没有对招标文件作出实质性响应是投标人的风险，可能导致其投标被拒绝。</w:t>
      </w:r>
    </w:p>
    <w:p w14:paraId="7DD567CD">
      <w:pPr>
        <w:spacing w:line="360" w:lineRule="auto"/>
        <w:ind w:firstLine="480" w:firstLineChars="200"/>
        <w:rPr>
          <w:rFonts w:ascii="宋体" w:hAnsi="宋体" w:cs="宋体"/>
          <w:sz w:val="24"/>
          <w:highlight w:val="none"/>
        </w:rPr>
      </w:pPr>
      <w:bookmarkStart w:id="152" w:name="_Toc254970538"/>
      <w:bookmarkStart w:id="153" w:name="_Toc254970679"/>
      <w:r>
        <w:rPr>
          <w:rFonts w:hint="eastAsia" w:ascii="宋体" w:hAnsi="宋体" w:cs="宋体"/>
          <w:sz w:val="24"/>
          <w:highlight w:val="none"/>
        </w:rPr>
        <w:t>16.投标报价</w:t>
      </w:r>
      <w:bookmarkEnd w:id="152"/>
      <w:bookmarkEnd w:id="153"/>
    </w:p>
    <w:p w14:paraId="6C2A8CB6">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16.1投标报价应按“第六章　投标文件格式”中“开标一览表”格式填写。</w:t>
      </w:r>
    </w:p>
    <w:p w14:paraId="23C1FFDC">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16.2投标报价具体包括内容详见“投标人须知前附表”。</w:t>
      </w:r>
    </w:p>
    <w:p w14:paraId="6416DF75">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16.3投标人必须就所投项目/每个分标的全部内容分别作完整唯一总价报价，不得存在漏项报价；投标人必须就所投项目/分标的单项内容作唯一报价。</w:t>
      </w:r>
    </w:p>
    <w:p w14:paraId="3C493306">
      <w:pPr>
        <w:spacing w:line="360" w:lineRule="auto"/>
        <w:ind w:firstLine="480" w:firstLineChars="200"/>
        <w:rPr>
          <w:rFonts w:ascii="宋体" w:hAnsi="宋体" w:cs="宋体"/>
          <w:sz w:val="24"/>
          <w:highlight w:val="none"/>
        </w:rPr>
      </w:pPr>
      <w:r>
        <w:rPr>
          <w:rFonts w:hint="eastAsia" w:ascii="宋体" w:hAnsi="宋体" w:cs="宋体"/>
          <w:sz w:val="24"/>
          <w:highlight w:val="none"/>
        </w:rPr>
        <w:t>17.投标有效期</w:t>
      </w:r>
    </w:p>
    <w:p w14:paraId="4C15E086">
      <w:pPr>
        <w:spacing w:line="360" w:lineRule="auto"/>
        <w:ind w:firstLine="420" w:firstLineChars="200"/>
        <w:rPr>
          <w:rFonts w:ascii="宋体" w:hAnsi="宋体" w:cs="宋体"/>
          <w:bCs/>
          <w:szCs w:val="21"/>
          <w:highlight w:val="none"/>
        </w:rPr>
      </w:pPr>
      <w:bookmarkStart w:id="154" w:name="_17.1投标有效期应按“投标人须知中的前附表”规定的期限。"/>
      <w:bookmarkEnd w:id="154"/>
      <w:r>
        <w:rPr>
          <w:rFonts w:hint="eastAsia" w:ascii="宋体" w:hAnsi="宋体" w:cs="宋体"/>
          <w:bCs/>
          <w:szCs w:val="21"/>
          <w:highlight w:val="none"/>
        </w:rPr>
        <w:t>17.1投标有效期是指为保证采购人有足够的时间在开标后完成评标、定标、合同签订等工作而要求投标人提交的投标文件在一定时间内保持有效的期限。</w:t>
      </w:r>
    </w:p>
    <w:p w14:paraId="521C21D3">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17.2</w:t>
      </w:r>
      <w:bookmarkStart w:id="155" w:name="_Toc254970681"/>
      <w:bookmarkStart w:id="156" w:name="_Toc254970540"/>
      <w:r>
        <w:rPr>
          <w:rFonts w:hint="eastAsia" w:ascii="宋体" w:hAnsi="宋体" w:cs="宋体"/>
          <w:bCs/>
          <w:szCs w:val="21"/>
          <w:highlight w:val="none"/>
        </w:rPr>
        <w:t xml:space="preserve"> 投标有效期应按规定的期限作出承诺，具体详见“投标人须知前附表”。</w:t>
      </w:r>
    </w:p>
    <w:p w14:paraId="6ADE2B4C">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17.3投标人的投标文件在投标有效期内均保持有效。</w:t>
      </w:r>
      <w:bookmarkEnd w:id="155"/>
      <w:bookmarkEnd w:id="156"/>
    </w:p>
    <w:p w14:paraId="0539E76D">
      <w:pPr>
        <w:spacing w:line="360" w:lineRule="auto"/>
        <w:ind w:firstLine="480" w:firstLineChars="200"/>
        <w:rPr>
          <w:rFonts w:ascii="宋体" w:hAnsi="宋体" w:cs="宋体"/>
          <w:sz w:val="24"/>
          <w:highlight w:val="none"/>
        </w:rPr>
      </w:pPr>
      <w:bookmarkStart w:id="157" w:name="_18.投标保证金"/>
      <w:bookmarkEnd w:id="157"/>
      <w:bookmarkStart w:id="158" w:name="_Toc254970682"/>
      <w:bookmarkStart w:id="159" w:name="_Toc254970541"/>
      <w:r>
        <w:rPr>
          <w:rFonts w:hint="eastAsia" w:ascii="宋体" w:hAnsi="宋体" w:cs="宋体"/>
          <w:sz w:val="24"/>
          <w:highlight w:val="none"/>
        </w:rPr>
        <w:t>18.投标保证金</w:t>
      </w:r>
      <w:bookmarkEnd w:id="158"/>
      <w:bookmarkEnd w:id="159"/>
    </w:p>
    <w:p w14:paraId="12BF8823">
      <w:pPr>
        <w:snapToGrid w:val="0"/>
        <w:spacing w:line="360" w:lineRule="auto"/>
        <w:ind w:firstLine="420" w:firstLineChars="200"/>
        <w:rPr>
          <w:rFonts w:ascii="宋体" w:hAnsi="宋体" w:cs="宋体"/>
          <w:szCs w:val="21"/>
          <w:highlight w:val="none"/>
        </w:rPr>
      </w:pPr>
      <w:bookmarkStart w:id="160" w:name="_Toc254970683"/>
      <w:bookmarkStart w:id="161" w:name="_Toc254970542"/>
      <w:r>
        <w:rPr>
          <w:rFonts w:hint="eastAsia" w:ascii="宋体" w:hAnsi="宋体" w:cs="宋体"/>
          <w:szCs w:val="21"/>
          <w:highlight w:val="none"/>
        </w:rPr>
        <w:t>18.1投标人须按“投标人须知前附表” 的规定提交投标保证金。</w:t>
      </w:r>
    </w:p>
    <w:p w14:paraId="43156BD7">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18.2投标保证金的退还</w:t>
      </w:r>
    </w:p>
    <w:p w14:paraId="63719427">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18.2.1未中标人的投标保证金自中标通知书发出之日起5个工作日内退还，退还方式如下：</w:t>
      </w:r>
    </w:p>
    <w:p w14:paraId="7F417D7C">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（1）采用银行转账方式的，以转账方式退回到投标人银行账户。</w:t>
      </w:r>
    </w:p>
    <w:p w14:paraId="636014DD">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（2）采用支票、汇票、本票或者金融机构、担保机构出具的保函等方式的，由投标人代表持相关授权证明材料至采购代理机构办理支票、汇票、本票或者金融机构、担保机构出具的保函等原件退还手续。 </w:t>
      </w:r>
    </w:p>
    <w:p w14:paraId="2B832293">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18.2.2中标人的投标保证金自采购合同签订之日起5个工作日内退还，退还方式同本须知正文第18.2.1，或者转为中标人的履约保证金。 </w:t>
      </w:r>
    </w:p>
    <w:p w14:paraId="788F24D8">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18.3除逾期退还投标保证金和终止招标的情形以外，投标保证金不计息。</w:t>
      </w:r>
    </w:p>
    <w:p w14:paraId="48A00111">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18.4投标人有下列情形之一的，投标保证金将不予退还： </w:t>
      </w:r>
    </w:p>
    <w:p w14:paraId="4B163F27">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（1）投标人在投标有效期内撤销投标文件的；</w:t>
      </w:r>
    </w:p>
    <w:p w14:paraId="50384547">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（2）未按规定提交履约保证金的；</w:t>
      </w:r>
    </w:p>
    <w:p w14:paraId="563F5A2C">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（3）投标人在投标过程中弄虚作假，提供虚假材料的；</w:t>
      </w:r>
    </w:p>
    <w:p w14:paraId="753C77E9">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（4）中标人无正当理由不与采购人签订合同的；</w:t>
      </w:r>
    </w:p>
    <w:p w14:paraId="1C0B5B4C">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（5）投标人出现本章第9.2、9.3情形的；</w:t>
      </w:r>
    </w:p>
    <w:p w14:paraId="71CF80A0">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（6）其他严重扰乱招投标程序的。</w:t>
      </w:r>
    </w:p>
    <w:p w14:paraId="0C640165">
      <w:pPr>
        <w:spacing w:line="360" w:lineRule="auto"/>
        <w:ind w:firstLine="480" w:firstLineChars="200"/>
        <w:rPr>
          <w:rFonts w:ascii="宋体" w:hAnsi="宋体" w:cs="宋体"/>
          <w:sz w:val="24"/>
          <w:highlight w:val="none"/>
        </w:rPr>
      </w:pPr>
      <w:r>
        <w:rPr>
          <w:rFonts w:hint="eastAsia" w:ascii="宋体" w:hAnsi="宋体" w:cs="宋体"/>
          <w:sz w:val="24"/>
          <w:highlight w:val="none"/>
        </w:rPr>
        <w:t>19.投标文件的</w:t>
      </w:r>
      <w:bookmarkEnd w:id="160"/>
      <w:bookmarkEnd w:id="161"/>
      <w:r>
        <w:rPr>
          <w:rFonts w:hint="eastAsia" w:ascii="宋体" w:hAnsi="宋体" w:cs="宋体"/>
          <w:sz w:val="24"/>
          <w:highlight w:val="none"/>
        </w:rPr>
        <w:t>编制</w:t>
      </w:r>
    </w:p>
    <w:p w14:paraId="3226B5B2">
      <w:pPr>
        <w:spacing w:line="360" w:lineRule="auto"/>
        <w:ind w:firstLine="420" w:firstLineChars="200"/>
        <w:rPr>
          <w:rFonts w:ascii="宋体" w:hAnsi="宋体" w:cs="宋体"/>
          <w:szCs w:val="21"/>
          <w:highlight w:val="none"/>
        </w:rPr>
      </w:pPr>
      <w:r>
        <w:rPr>
          <w:rFonts w:hint="eastAsia" w:ascii="宋体" w:hAnsi="宋体" w:cs="宋体"/>
          <w:szCs w:val="21"/>
          <w:highlight w:val="none"/>
        </w:rPr>
        <w:t>19.1投标文件编制要求详见“投标人须知前附表”。投标人应按本招标文件规定的格式和顺序编制投标文件并标注页码，投标文件内容不完整、编排混乱导致投标文件被误读、漏读或者查找不到相关内容的，由此引发的后果由投标人承担。</w:t>
      </w:r>
      <w:bookmarkStart w:id="162" w:name="_19.2投标文件应按报价文件、资格证明文件、商务文件、技术文件分别编制"/>
      <w:bookmarkEnd w:id="162"/>
    </w:p>
    <w:p w14:paraId="3C8CF135">
      <w:pPr>
        <w:pStyle w:val="70"/>
        <w:snapToGrid w:val="0"/>
        <w:spacing w:before="0"/>
        <w:ind w:firstLine="420"/>
        <w:rPr>
          <w:rFonts w:ascii="宋体" w:hAnsi="宋体" w:cs="宋体"/>
          <w:sz w:val="21"/>
          <w:szCs w:val="21"/>
          <w:highlight w:val="none"/>
        </w:rPr>
      </w:pPr>
      <w:r>
        <w:rPr>
          <w:rFonts w:hint="eastAsia" w:ascii="宋体" w:hAnsi="宋体" w:cs="宋体"/>
          <w:sz w:val="21"/>
          <w:szCs w:val="21"/>
          <w:highlight w:val="none"/>
        </w:rPr>
        <w:t>19.2投标文件按照招标文件第六章格式要求进行签署、盖章。投标人的投标文件未按照招标文件要求签署、盖章的，</w:t>
      </w:r>
      <w:r>
        <w:rPr>
          <w:rFonts w:hint="eastAsia" w:ascii="宋体" w:hAnsi="宋体" w:cs="宋体"/>
          <w:b/>
          <w:sz w:val="21"/>
          <w:szCs w:val="21"/>
          <w:highlight w:val="none"/>
        </w:rPr>
        <w:t>其投标无效。</w:t>
      </w:r>
    </w:p>
    <w:p w14:paraId="1E79700E">
      <w:pPr>
        <w:pStyle w:val="70"/>
        <w:snapToGrid w:val="0"/>
        <w:spacing w:before="0"/>
        <w:ind w:firstLine="420"/>
        <w:rPr>
          <w:rFonts w:ascii="宋体" w:hAnsi="宋体" w:cs="宋体"/>
          <w:sz w:val="21"/>
          <w:szCs w:val="21"/>
          <w:highlight w:val="none"/>
        </w:rPr>
      </w:pPr>
      <w:r>
        <w:rPr>
          <w:rFonts w:hint="eastAsia" w:ascii="宋体" w:hAnsi="宋体" w:cs="宋体"/>
          <w:sz w:val="21"/>
          <w:szCs w:val="21"/>
          <w:highlight w:val="none"/>
        </w:rPr>
        <w:t>19.3为确保网上操作合法、有效和安全，投标人应当在投标截止时间前完成在广西政府采购云平台的身份认证，确保在电子投标过程中能够对相关数据电文进行加密和使用电子签名。</w:t>
      </w:r>
    </w:p>
    <w:p w14:paraId="21BEBA44">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19.4投标文件中标注的投标人名称应与主体资格证明（如营业执照、事业单位法人证书、执业许可证、自然人身份证等）及公章一致，</w:t>
      </w:r>
      <w:r>
        <w:rPr>
          <w:rFonts w:hint="eastAsia" w:ascii="宋体" w:hAnsi="宋体" w:cs="宋体"/>
          <w:b/>
          <w:bCs/>
          <w:szCs w:val="21"/>
          <w:highlight w:val="none"/>
        </w:rPr>
        <w:t>否则作无效投标处理</w:t>
      </w:r>
      <w:r>
        <w:rPr>
          <w:rFonts w:hint="eastAsia" w:ascii="宋体" w:hAnsi="宋体" w:cs="宋体"/>
          <w:b/>
          <w:szCs w:val="21"/>
          <w:highlight w:val="none"/>
        </w:rPr>
        <w:t>。</w:t>
      </w:r>
    </w:p>
    <w:p w14:paraId="620CAE88">
      <w:pPr>
        <w:spacing w:line="360" w:lineRule="auto"/>
        <w:ind w:firstLine="420" w:firstLineChars="200"/>
        <w:rPr>
          <w:rFonts w:ascii="宋体" w:hAnsi="宋体" w:cs="宋体"/>
          <w:b/>
          <w:szCs w:val="21"/>
          <w:highlight w:val="none"/>
        </w:rPr>
      </w:pPr>
      <w:r>
        <w:rPr>
          <w:rFonts w:hint="eastAsia" w:ascii="宋体" w:hAnsi="宋体" w:cs="宋体"/>
          <w:szCs w:val="21"/>
          <w:highlight w:val="none"/>
        </w:rPr>
        <w:t xml:space="preserve"> 19.5投标文件应避免涂改、行间插字或者删除</w:t>
      </w:r>
      <w:r>
        <w:rPr>
          <w:rFonts w:hint="eastAsia" w:ascii="宋体" w:hAnsi="宋体" w:cs="宋体"/>
          <w:b/>
          <w:szCs w:val="21"/>
          <w:highlight w:val="none"/>
        </w:rPr>
        <w:t>。</w:t>
      </w:r>
    </w:p>
    <w:p w14:paraId="659D7D46">
      <w:pPr>
        <w:spacing w:line="360" w:lineRule="auto"/>
        <w:ind w:firstLine="520" w:firstLineChars="248"/>
        <w:rPr>
          <w:rFonts w:ascii="宋体" w:hAnsi="宋体" w:cs="宋体"/>
          <w:highlight w:val="none"/>
        </w:rPr>
      </w:pPr>
      <w:r>
        <w:rPr>
          <w:rFonts w:hint="eastAsia" w:ascii="宋体" w:hAnsi="宋体" w:cs="宋体"/>
          <w:highlight w:val="none"/>
        </w:rPr>
        <w:t>19.6 对招标文件的实质性要求和条件作出响应是指投标人必须对招标文件中标注为实质性要求和条件的</w:t>
      </w:r>
      <w:r>
        <w:rPr>
          <w:rFonts w:hint="eastAsia" w:ascii="宋体" w:hAnsi="宋体" w:cs="宋体"/>
          <w:szCs w:val="21"/>
          <w:highlight w:val="none"/>
        </w:rPr>
        <w:t>技术需求和配置</w:t>
      </w:r>
      <w:r>
        <w:rPr>
          <w:rFonts w:hint="eastAsia" w:ascii="宋体" w:hAnsi="宋体" w:cs="宋体"/>
          <w:highlight w:val="none"/>
        </w:rPr>
        <w:t>、商务条款及其它内容</w:t>
      </w:r>
      <w:r>
        <w:rPr>
          <w:rFonts w:hint="eastAsia" w:ascii="宋体" w:hAnsi="宋体" w:cs="宋体"/>
          <w:b/>
          <w:highlight w:val="none"/>
        </w:rPr>
        <w:t>作出满足或者优于原要求和条件的承诺</w:t>
      </w:r>
      <w:r>
        <w:rPr>
          <w:rFonts w:hint="eastAsia" w:ascii="宋体" w:hAnsi="宋体" w:cs="宋体"/>
          <w:highlight w:val="none"/>
        </w:rPr>
        <w:t>。</w:t>
      </w:r>
    </w:p>
    <w:p w14:paraId="5D3EC30A">
      <w:pPr>
        <w:spacing w:line="360" w:lineRule="auto"/>
        <w:ind w:firstLine="422" w:firstLineChars="200"/>
        <w:rPr>
          <w:rFonts w:ascii="宋体" w:hAnsi="宋体" w:cs="宋体"/>
          <w:b/>
          <w:szCs w:val="21"/>
          <w:highlight w:val="none"/>
          <w:u w:val="single"/>
        </w:rPr>
      </w:pPr>
      <w:r>
        <w:rPr>
          <w:rFonts w:hint="eastAsia" w:ascii="宋体" w:hAnsi="宋体" w:cs="宋体"/>
          <w:b/>
          <w:szCs w:val="21"/>
          <w:highlight w:val="none"/>
          <w:u w:val="single"/>
        </w:rPr>
        <w:t>19.7本项目为全流程电子化项目，异常情况见“第二节 投标人须知正文”中“四、24.2开标程序”。</w:t>
      </w:r>
    </w:p>
    <w:p w14:paraId="7B622E0E">
      <w:pPr>
        <w:spacing w:line="360" w:lineRule="auto"/>
        <w:ind w:firstLine="480" w:firstLineChars="200"/>
        <w:rPr>
          <w:rFonts w:ascii="宋体" w:hAnsi="宋体" w:cs="宋体"/>
          <w:sz w:val="24"/>
          <w:highlight w:val="none"/>
        </w:rPr>
      </w:pPr>
      <w:r>
        <w:rPr>
          <w:rFonts w:hint="eastAsia" w:ascii="宋体" w:hAnsi="宋体" w:cs="宋体"/>
          <w:sz w:val="24"/>
          <w:highlight w:val="none"/>
        </w:rPr>
        <w:t>20.备份投标文件</w:t>
      </w:r>
    </w:p>
    <w:p w14:paraId="6C2DCADF">
      <w:pPr>
        <w:spacing w:line="360" w:lineRule="auto"/>
        <w:ind w:firstLine="420" w:firstLineChars="200"/>
        <w:rPr>
          <w:rFonts w:ascii="宋体" w:hAnsi="宋体" w:cs="宋体"/>
          <w:sz w:val="24"/>
          <w:highlight w:val="none"/>
        </w:rPr>
      </w:pPr>
      <w:r>
        <w:rPr>
          <w:rFonts w:hint="eastAsia" w:ascii="宋体" w:hAnsi="宋体" w:cs="宋体"/>
          <w:bCs/>
          <w:szCs w:val="21"/>
          <w:highlight w:val="none"/>
        </w:rPr>
        <w:t>详见“投标人须知前附表”。</w:t>
      </w:r>
    </w:p>
    <w:p w14:paraId="1AEFA578">
      <w:pPr>
        <w:spacing w:line="360" w:lineRule="auto"/>
        <w:ind w:firstLine="480" w:firstLineChars="200"/>
        <w:rPr>
          <w:rFonts w:ascii="宋体" w:hAnsi="宋体" w:cs="宋体"/>
          <w:sz w:val="24"/>
          <w:highlight w:val="none"/>
        </w:rPr>
      </w:pPr>
      <w:r>
        <w:rPr>
          <w:rFonts w:hint="eastAsia" w:ascii="宋体" w:hAnsi="宋体" w:cs="宋体"/>
          <w:sz w:val="24"/>
          <w:highlight w:val="none"/>
        </w:rPr>
        <w:t>21.投标文件的提交</w:t>
      </w:r>
    </w:p>
    <w:p w14:paraId="43E72001">
      <w:pPr>
        <w:spacing w:line="360" w:lineRule="auto"/>
        <w:ind w:firstLine="420" w:firstLineChars="200"/>
        <w:rPr>
          <w:rFonts w:ascii="宋体" w:hAnsi="宋体" w:cs="宋体"/>
          <w:b/>
          <w:highlight w:val="none"/>
        </w:rPr>
      </w:pPr>
      <w:bookmarkStart w:id="163" w:name="_21.1投标人必须在“投标人须知中的前附表”规定的投标文件接收时间和投"/>
      <w:bookmarkEnd w:id="163"/>
      <w:r>
        <w:rPr>
          <w:rFonts w:hint="eastAsia" w:ascii="宋体" w:hAnsi="宋体" w:cs="宋体"/>
          <w:bCs/>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highlight w:val="none"/>
        </w:rPr>
        <w:t>广西政府采购云平台</w:t>
      </w:r>
      <w:r>
        <w:rPr>
          <w:rFonts w:hint="eastAsia" w:ascii="宋体" w:hAnsi="宋体" w:cs="宋体"/>
          <w:bCs/>
          <w:szCs w:val="21"/>
          <w:highlight w:val="none"/>
        </w:rPr>
        <w:t xml:space="preserve">。 </w:t>
      </w:r>
    </w:p>
    <w:p w14:paraId="1A6D5D06">
      <w:pPr>
        <w:spacing w:line="360" w:lineRule="auto"/>
        <w:ind w:firstLine="422" w:firstLineChars="200"/>
        <w:rPr>
          <w:rFonts w:ascii="宋体" w:hAnsi="宋体" w:cs="宋体"/>
          <w:b/>
          <w:szCs w:val="20"/>
          <w:highlight w:val="none"/>
        </w:rPr>
      </w:pPr>
      <w:r>
        <w:rPr>
          <w:rFonts w:hint="eastAsia" w:ascii="宋体" w:hAnsi="宋体" w:cs="宋体"/>
          <w:b/>
          <w:szCs w:val="21"/>
          <w:highlight w:val="none"/>
        </w:rPr>
        <w:t>21.2未在规定时间内提交或者未按照招标文件要求密封或者标记的电子投标文件，广西政府采购云平台将拒收。</w:t>
      </w:r>
    </w:p>
    <w:p w14:paraId="2710588F">
      <w:pPr>
        <w:spacing w:line="360" w:lineRule="auto"/>
        <w:ind w:firstLine="420" w:firstLineChars="200"/>
        <w:rPr>
          <w:rFonts w:ascii="宋体" w:hAnsi="宋体" w:cs="宋体"/>
          <w:szCs w:val="21"/>
          <w:highlight w:val="none"/>
        </w:rPr>
      </w:pPr>
      <w:r>
        <w:rPr>
          <w:rFonts w:hint="eastAsia" w:ascii="宋体" w:hAnsi="宋体" w:cs="宋体"/>
          <w:szCs w:val="21"/>
          <w:highlight w:val="none"/>
        </w:rPr>
        <w:t>21.3电子版投标文件提交方式见“招标公告”</w:t>
      </w:r>
      <w:r>
        <w:rPr>
          <w:rFonts w:hint="eastAsia" w:ascii="宋体" w:hAnsi="宋体" w:cs="宋体"/>
          <w:b/>
          <w:szCs w:val="21"/>
          <w:highlight w:val="none"/>
        </w:rPr>
        <w:t xml:space="preserve"> 。</w:t>
      </w:r>
    </w:p>
    <w:p w14:paraId="5257DAF6">
      <w:pPr>
        <w:spacing w:line="360" w:lineRule="auto"/>
        <w:ind w:firstLine="480" w:firstLineChars="200"/>
        <w:rPr>
          <w:rFonts w:ascii="宋体" w:hAnsi="宋体" w:cs="宋体"/>
          <w:sz w:val="24"/>
          <w:highlight w:val="none"/>
        </w:rPr>
      </w:pPr>
      <w:r>
        <w:rPr>
          <w:rFonts w:hint="eastAsia" w:ascii="宋体" w:hAnsi="宋体" w:cs="宋体"/>
          <w:sz w:val="24"/>
          <w:highlight w:val="none"/>
        </w:rPr>
        <w:t>22. 投标文件的补充、修改、撤回</w:t>
      </w:r>
      <w:bookmarkStart w:id="164" w:name="_Toc254970684"/>
      <w:bookmarkStart w:id="165" w:name="_Toc254970543"/>
    </w:p>
    <w:p w14:paraId="0BCB2719">
      <w:pPr>
        <w:spacing w:line="360" w:lineRule="auto"/>
        <w:ind w:firstLine="420" w:firstLineChars="200"/>
        <w:rPr>
          <w:rFonts w:ascii="宋体" w:hAnsi="宋体" w:cs="宋体"/>
          <w:sz w:val="24"/>
          <w:highlight w:val="none"/>
        </w:rPr>
      </w:pPr>
      <w:r>
        <w:rPr>
          <w:rFonts w:hint="eastAsia" w:ascii="宋体" w:hAnsi="宋体" w:cs="宋体"/>
          <w:szCs w:val="21"/>
          <w:highlight w:val="none"/>
        </w:rPr>
        <w:t>22.1 投标人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提交的投标文件，广西政府采购云平台将拒收。</w:t>
      </w:r>
    </w:p>
    <w:p w14:paraId="3D92FB43">
      <w:pPr>
        <w:pStyle w:val="70"/>
        <w:spacing w:before="0"/>
        <w:ind w:firstLine="420"/>
        <w:rPr>
          <w:rFonts w:ascii="宋体" w:hAnsi="宋体" w:cs="宋体"/>
          <w:sz w:val="21"/>
          <w:szCs w:val="21"/>
          <w:highlight w:val="none"/>
        </w:rPr>
      </w:pPr>
      <w:r>
        <w:rPr>
          <w:rFonts w:hint="eastAsia" w:ascii="宋体" w:hAnsi="宋体" w:cs="宋体"/>
          <w:sz w:val="21"/>
          <w:szCs w:val="21"/>
          <w:highlight w:val="none"/>
        </w:rPr>
        <w:t>22.2广西政府采购云平台收到投标文件，将妥善保存并即时向投标人发出确认回执通知。在投标截止时间前，除投标人补充、修改或者撤回投标文件外，任何单位和个人不得解密或提取投标文件。</w:t>
      </w:r>
    </w:p>
    <w:bookmarkEnd w:id="164"/>
    <w:bookmarkEnd w:id="165"/>
    <w:p w14:paraId="7DC8F0B6">
      <w:pPr>
        <w:pStyle w:val="12"/>
        <w:snapToGrid w:val="0"/>
        <w:spacing w:line="400" w:lineRule="exact"/>
        <w:ind w:firstLine="303"/>
        <w:rPr>
          <w:rFonts w:hAnsi="宋体" w:cs="宋体"/>
          <w:snapToGrid w:val="0"/>
          <w:sz w:val="21"/>
          <w:szCs w:val="21"/>
          <w:highlight w:val="none"/>
        </w:rPr>
      </w:pPr>
    </w:p>
    <w:p w14:paraId="75DCAD91">
      <w:pPr>
        <w:pStyle w:val="4"/>
        <w:keepNext w:val="0"/>
        <w:keepLines w:val="0"/>
        <w:spacing w:line="400" w:lineRule="exact"/>
        <w:jc w:val="center"/>
        <w:rPr>
          <w:rFonts w:ascii="宋体" w:hAnsi="宋体" w:cs="宋体"/>
          <w:highlight w:val="none"/>
        </w:rPr>
      </w:pPr>
      <w:bookmarkStart w:id="166" w:name="_Toc13173"/>
      <w:bookmarkStart w:id="167" w:name="_Toc20871"/>
      <w:bookmarkStart w:id="168" w:name="_Toc254970544"/>
      <w:bookmarkStart w:id="169" w:name="_Toc254970685"/>
      <w:bookmarkStart w:id="170" w:name="_Toc6762"/>
      <w:bookmarkStart w:id="171" w:name="_Toc20620"/>
      <w:r>
        <w:rPr>
          <w:rFonts w:hint="eastAsia" w:ascii="宋体" w:hAnsi="宋体" w:cs="宋体"/>
          <w:highlight w:val="none"/>
        </w:rPr>
        <w:t>四、开    标</w:t>
      </w:r>
      <w:bookmarkEnd w:id="166"/>
      <w:bookmarkEnd w:id="167"/>
      <w:bookmarkEnd w:id="168"/>
      <w:bookmarkEnd w:id="169"/>
      <w:bookmarkEnd w:id="170"/>
      <w:bookmarkEnd w:id="171"/>
    </w:p>
    <w:p w14:paraId="62D5B8E8">
      <w:pPr>
        <w:spacing w:line="360" w:lineRule="auto"/>
        <w:ind w:firstLine="480" w:firstLineChars="200"/>
        <w:rPr>
          <w:rFonts w:ascii="宋体" w:hAnsi="宋体" w:cs="宋体"/>
          <w:sz w:val="24"/>
          <w:highlight w:val="none"/>
        </w:rPr>
      </w:pPr>
      <w:bookmarkStart w:id="172" w:name="_23.开标时间和地点"/>
      <w:bookmarkEnd w:id="172"/>
      <w:r>
        <w:rPr>
          <w:rFonts w:hint="eastAsia" w:ascii="宋体" w:hAnsi="宋体" w:cs="宋体"/>
          <w:sz w:val="24"/>
          <w:highlight w:val="none"/>
        </w:rPr>
        <w:t>23.开标时间和地点</w:t>
      </w:r>
    </w:p>
    <w:p w14:paraId="4FF69EE8">
      <w:pPr>
        <w:spacing w:line="360" w:lineRule="auto"/>
        <w:ind w:firstLine="420" w:firstLineChars="200"/>
        <w:rPr>
          <w:rFonts w:ascii="宋体" w:hAnsi="宋体" w:cs="宋体"/>
          <w:bCs/>
          <w:highlight w:val="none"/>
        </w:rPr>
      </w:pPr>
      <w:r>
        <w:rPr>
          <w:rFonts w:hint="eastAsia" w:ascii="宋体" w:hAnsi="宋体" w:cs="宋体"/>
          <w:bCs/>
          <w:highlight w:val="none"/>
        </w:rPr>
        <w:t>23.1开标时间及地点详见“投标人须知前附表”</w:t>
      </w:r>
    </w:p>
    <w:p w14:paraId="5E180360">
      <w:pPr>
        <w:spacing w:line="360" w:lineRule="auto"/>
        <w:ind w:firstLine="420" w:firstLineChars="200"/>
        <w:rPr>
          <w:rFonts w:ascii="宋体" w:hAnsi="宋体" w:cs="宋体"/>
          <w:highlight w:val="none"/>
        </w:rPr>
      </w:pPr>
      <w:r>
        <w:rPr>
          <w:rFonts w:hint="eastAsia" w:ascii="宋体" w:hAnsi="宋体" w:cs="宋体"/>
          <w:highlight w:val="none"/>
        </w:rPr>
        <w:t>23.2如</w:t>
      </w:r>
      <w:r>
        <w:rPr>
          <w:rFonts w:hint="eastAsia" w:ascii="宋体" w:hAnsi="宋体" w:cs="宋体"/>
          <w:bCs/>
          <w:highlight w:val="none"/>
        </w:rPr>
        <w:t>投标人成功解密投标文件，但未在广西政府采购云平台电子开标大厅参加开标的，视同认可开标过程和结果，</w:t>
      </w:r>
      <w:r>
        <w:rPr>
          <w:rFonts w:hint="eastAsia" w:ascii="宋体" w:hAnsi="宋体" w:cs="宋体"/>
          <w:highlight w:val="none"/>
        </w:rPr>
        <w:t>由此产生的后果由投标人自行负责。 投标人不足3家的，不得开标。</w:t>
      </w:r>
    </w:p>
    <w:p w14:paraId="3B617879">
      <w:pPr>
        <w:spacing w:line="360" w:lineRule="auto"/>
        <w:ind w:firstLine="480" w:firstLineChars="200"/>
        <w:rPr>
          <w:rFonts w:ascii="宋体" w:hAnsi="宋体" w:cs="宋体"/>
          <w:sz w:val="24"/>
          <w:highlight w:val="none"/>
        </w:rPr>
      </w:pPr>
      <w:r>
        <w:rPr>
          <w:rFonts w:hint="eastAsia" w:ascii="宋体" w:hAnsi="宋体" w:cs="宋体"/>
          <w:sz w:val="24"/>
          <w:highlight w:val="none"/>
        </w:rPr>
        <w:t>24.开标程序</w:t>
      </w:r>
    </w:p>
    <w:p w14:paraId="695FA225">
      <w:pPr>
        <w:spacing w:line="360" w:lineRule="auto"/>
        <w:ind w:firstLine="420" w:firstLineChars="200"/>
        <w:rPr>
          <w:rFonts w:ascii="宋体" w:hAnsi="宋体" w:cs="宋体"/>
          <w:highlight w:val="none"/>
        </w:rPr>
      </w:pPr>
      <w:r>
        <w:rPr>
          <w:rFonts w:hint="eastAsia" w:ascii="宋体" w:hAnsi="宋体" w:cs="宋体"/>
          <w:highlight w:val="none"/>
        </w:rPr>
        <w:t>24.1开标形式：</w:t>
      </w:r>
    </w:p>
    <w:p w14:paraId="796D2FF0">
      <w:pPr>
        <w:spacing w:line="360" w:lineRule="auto"/>
        <w:ind w:firstLine="420" w:firstLineChars="200"/>
        <w:rPr>
          <w:rFonts w:ascii="宋体" w:hAnsi="宋体" w:cs="宋体"/>
          <w:highlight w:val="none"/>
        </w:rPr>
      </w:pPr>
      <w:r>
        <w:rPr>
          <w:rFonts w:hint="eastAsia" w:ascii="宋体" w:hAnsi="宋体" w:cs="宋体"/>
          <w:highlight w:val="none"/>
        </w:rPr>
        <w:t>（1）开标的准备工作由采购代理机构负责落实，采购代理机构必须基于广西政府采购云平台依法抽取评审专家，如采购代理机构未按规定抽取专家的，视为本次开评标无效，应当重新采购。</w:t>
      </w:r>
    </w:p>
    <w:p w14:paraId="38BFEC39">
      <w:pPr>
        <w:spacing w:line="360" w:lineRule="auto"/>
        <w:ind w:firstLine="420" w:firstLineChars="200"/>
        <w:rPr>
          <w:rFonts w:ascii="宋体" w:hAnsi="宋体" w:cs="宋体"/>
          <w:highlight w:val="none"/>
        </w:rPr>
      </w:pPr>
      <w:r>
        <w:rPr>
          <w:rFonts w:hint="eastAsia" w:ascii="宋体" w:hAnsi="宋体" w:cs="宋体"/>
          <w:highlight w:val="none"/>
        </w:rPr>
        <w:t>（2）采购代理机构将按照招标文件规定的时间通过广西政府采购云平台组织线上开标活动、开启投标文件，所有投标人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B2DA355">
      <w:pPr>
        <w:spacing w:line="360" w:lineRule="auto"/>
        <w:ind w:firstLine="420" w:firstLineChars="200"/>
        <w:rPr>
          <w:rFonts w:ascii="宋体" w:hAnsi="宋体" w:cs="宋体"/>
          <w:highlight w:val="none"/>
        </w:rPr>
      </w:pPr>
      <w:r>
        <w:rPr>
          <w:rFonts w:hint="eastAsia" w:ascii="宋体" w:hAnsi="宋体" w:cs="宋体"/>
          <w:highlight w:val="none"/>
        </w:rPr>
        <w:t>24.2开标程序：</w:t>
      </w:r>
    </w:p>
    <w:p w14:paraId="14B07887">
      <w:pPr>
        <w:spacing w:line="360" w:lineRule="auto"/>
        <w:ind w:firstLine="420" w:firstLineChars="200"/>
        <w:rPr>
          <w:rFonts w:ascii="宋体" w:hAnsi="宋体" w:cs="宋体"/>
          <w:highlight w:val="none"/>
        </w:rPr>
      </w:pPr>
      <w:r>
        <w:rPr>
          <w:rFonts w:hint="eastAsia" w:ascii="宋体" w:hAnsi="宋体" w:cs="宋体"/>
          <w:highlight w:val="none"/>
        </w:rPr>
        <w:t>（1）解密电子投标文件。广西政府采购云平台按开标时间自动提取所有投标文件。采购代理机构依托广西政府采购云平台向各投标人发出电子加密投标文件【开始解密】通知，由投标人在规定的时间内自行将投标文件在线解密。投标人的法定代表人或其委托代理人须携带加密时所用的CA锁准时登录到广西政府采购云平台电子开标大厅签到并对电子投标文件在线解密。投标文件未按时解密的，均视为无效投标。</w:t>
      </w:r>
    </w:p>
    <w:p w14:paraId="34C805EC">
      <w:pPr>
        <w:spacing w:line="360" w:lineRule="auto"/>
        <w:ind w:firstLine="420" w:firstLineChars="200"/>
        <w:rPr>
          <w:rFonts w:ascii="宋体" w:hAnsi="宋体" w:cs="宋体"/>
          <w:highlight w:val="none"/>
        </w:rPr>
      </w:pPr>
      <w:r>
        <w:rPr>
          <w:rFonts w:hint="eastAsia" w:ascii="宋体" w:hAnsi="宋体" w:cs="宋体"/>
          <w:highlight w:val="none"/>
        </w:rPr>
        <w:t>（解密异常情况处理：详见本章29.3 电子交易活动的中止。）</w:t>
      </w:r>
    </w:p>
    <w:p w14:paraId="28FBDEEB">
      <w:pPr>
        <w:spacing w:line="360" w:lineRule="auto"/>
        <w:ind w:firstLine="420" w:firstLineChars="200"/>
        <w:rPr>
          <w:rFonts w:ascii="宋体" w:hAnsi="宋体" w:cs="宋体"/>
          <w:highlight w:val="none"/>
        </w:rPr>
      </w:pPr>
      <w:r>
        <w:rPr>
          <w:rFonts w:hint="eastAsia" w:ascii="宋体" w:hAnsi="宋体" w:cs="宋体"/>
          <w:highlight w:val="none"/>
        </w:rPr>
        <w:t>（2）电子唱标。投标文件解密结束，各投标人报价均在广西政府采购云平台远程不见面开标大厅展示。</w:t>
      </w:r>
    </w:p>
    <w:p w14:paraId="38A69B58">
      <w:pPr>
        <w:spacing w:line="360" w:lineRule="auto"/>
        <w:ind w:firstLine="420" w:firstLineChars="200"/>
        <w:rPr>
          <w:rFonts w:ascii="宋体" w:hAnsi="宋体" w:cs="宋体"/>
          <w:highlight w:val="none"/>
        </w:rPr>
      </w:pPr>
      <w:r>
        <w:rPr>
          <w:rFonts w:hint="eastAsia" w:ascii="宋体" w:hAnsi="宋体" w:cs="宋体"/>
          <w:highlight w:val="none"/>
        </w:rPr>
        <w:t>（3）开标过程由采购代理机构如实记录，并电子留痕，由参加电子开标的各投标人代表对电子开标记录在开标记录公布后15分钟内进行当场校核及勘误，并线上确认，未确认的视同认可开标结果。</w:t>
      </w:r>
    </w:p>
    <w:p w14:paraId="6FE35F5E">
      <w:pPr>
        <w:spacing w:line="360" w:lineRule="auto"/>
        <w:ind w:firstLine="420" w:firstLineChars="200"/>
        <w:rPr>
          <w:rFonts w:ascii="宋体" w:hAnsi="宋体" w:cs="宋体"/>
          <w:highlight w:val="none"/>
        </w:rPr>
      </w:pPr>
      <w:r>
        <w:rPr>
          <w:rFonts w:hint="eastAsia" w:ascii="宋体" w:hAnsi="宋体" w:cs="宋体"/>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A29E526">
      <w:pPr>
        <w:spacing w:line="360" w:lineRule="auto"/>
        <w:ind w:firstLine="420" w:firstLineChars="200"/>
        <w:rPr>
          <w:rFonts w:ascii="宋体" w:hAnsi="宋体" w:cs="宋体"/>
          <w:highlight w:val="none"/>
        </w:rPr>
      </w:pPr>
      <w:r>
        <w:rPr>
          <w:rFonts w:hint="eastAsia" w:ascii="宋体" w:hAnsi="宋体" w:cs="宋体"/>
          <w:highlight w:val="none"/>
        </w:rPr>
        <w:t>（5）开标结束。</w:t>
      </w:r>
    </w:p>
    <w:p w14:paraId="533D2114">
      <w:pPr>
        <w:pStyle w:val="14"/>
        <w:snapToGrid w:val="0"/>
        <w:spacing w:line="440" w:lineRule="exact"/>
        <w:ind w:firstLine="422" w:firstLineChars="200"/>
        <w:rPr>
          <w:rFonts w:hAnsi="宋体" w:cs="宋体"/>
          <w:szCs w:val="21"/>
          <w:highlight w:val="none"/>
        </w:rPr>
      </w:pPr>
      <w:r>
        <w:rPr>
          <w:rFonts w:hint="eastAsia" w:hAnsi="宋体" w:cs="宋体"/>
          <w:b/>
          <w:bCs/>
          <w:szCs w:val="21"/>
          <w:highlight w:val="none"/>
        </w:rPr>
        <w:t>特别说明：</w:t>
      </w:r>
      <w:r>
        <w:rPr>
          <w:rFonts w:hint="eastAsia" w:hAnsi="宋体" w:cs="宋体"/>
          <w:szCs w:val="21"/>
          <w:highlight w:val="none"/>
        </w:rPr>
        <w:t>如遇广西政府采购云平台电子化开标或评审程序调整的，按调整后执行。</w:t>
      </w:r>
    </w:p>
    <w:p w14:paraId="1E34D974">
      <w:pPr>
        <w:pStyle w:val="8"/>
        <w:ind w:left="0"/>
        <w:rPr>
          <w:rFonts w:ascii="宋体" w:hAnsi="宋体" w:cs="宋体"/>
          <w:highlight w:val="none"/>
        </w:rPr>
      </w:pPr>
      <w:bookmarkStart w:id="173" w:name="_Toc10935"/>
      <w:bookmarkStart w:id="174" w:name="_Toc31687"/>
      <w:bookmarkStart w:id="175" w:name="_Toc30961"/>
      <w:bookmarkStart w:id="176" w:name="_Toc29757"/>
    </w:p>
    <w:p w14:paraId="55C94564">
      <w:pPr>
        <w:pStyle w:val="4"/>
        <w:keepNext w:val="0"/>
        <w:keepLines w:val="0"/>
        <w:spacing w:line="360" w:lineRule="auto"/>
        <w:jc w:val="center"/>
        <w:rPr>
          <w:rFonts w:ascii="宋体" w:hAnsi="宋体" w:cs="宋体"/>
          <w:highlight w:val="none"/>
        </w:rPr>
      </w:pPr>
      <w:r>
        <w:rPr>
          <w:rFonts w:hint="eastAsia" w:ascii="宋体" w:hAnsi="宋体" w:cs="宋体"/>
          <w:highlight w:val="none"/>
        </w:rPr>
        <w:t>五、资格审查</w:t>
      </w:r>
      <w:bookmarkEnd w:id="173"/>
      <w:bookmarkEnd w:id="174"/>
      <w:bookmarkEnd w:id="175"/>
      <w:bookmarkEnd w:id="176"/>
    </w:p>
    <w:p w14:paraId="5A682F5B">
      <w:pPr>
        <w:pStyle w:val="6"/>
        <w:keepNext w:val="0"/>
        <w:keepLines w:val="0"/>
        <w:spacing w:before="0" w:after="0" w:line="360" w:lineRule="auto"/>
        <w:ind w:firstLine="482" w:firstLineChars="200"/>
        <w:rPr>
          <w:rFonts w:ascii="宋体" w:hAnsi="宋体" w:cs="宋体"/>
          <w:sz w:val="24"/>
          <w:highlight w:val="none"/>
        </w:rPr>
      </w:pPr>
      <w:r>
        <w:rPr>
          <w:rFonts w:hint="eastAsia" w:ascii="宋体" w:hAnsi="宋体" w:cs="宋体"/>
          <w:sz w:val="24"/>
          <w:highlight w:val="none"/>
        </w:rPr>
        <w:t>25.资格审查</w:t>
      </w:r>
    </w:p>
    <w:p w14:paraId="3D3BB46C">
      <w:pPr>
        <w:spacing w:line="360" w:lineRule="auto"/>
        <w:ind w:firstLine="422" w:firstLineChars="200"/>
        <w:rPr>
          <w:rFonts w:ascii="宋体" w:hAnsi="宋体" w:cs="宋体"/>
          <w:b/>
          <w:bCs/>
          <w:szCs w:val="20"/>
          <w:highlight w:val="none"/>
        </w:rPr>
      </w:pPr>
      <w:r>
        <w:rPr>
          <w:rFonts w:hint="eastAsia" w:ascii="宋体" w:hAnsi="宋体" w:cs="宋体"/>
          <w:b/>
          <w:bCs/>
          <w:szCs w:val="20"/>
          <w:highlight w:val="none"/>
        </w:rPr>
        <w:t>25.1开标结束后，采购人或采购代理机构依法通过电子投标文件对投标人的资格进行线上审查。</w:t>
      </w:r>
    </w:p>
    <w:p w14:paraId="17C09C1B">
      <w:pPr>
        <w:spacing w:line="360" w:lineRule="auto"/>
        <w:ind w:firstLine="420" w:firstLineChars="200"/>
        <w:rPr>
          <w:rFonts w:ascii="宋体" w:hAnsi="宋体" w:cs="宋体"/>
          <w:highlight w:val="none"/>
        </w:rPr>
      </w:pPr>
      <w:r>
        <w:rPr>
          <w:rFonts w:hint="eastAsia" w:ascii="宋体" w:hAnsi="宋体" w:cs="宋体"/>
          <w:highlight w:val="none"/>
        </w:rPr>
        <w:t>25.2资格审查标准为本“招标文件”中“投标人须知前附表”13.1点载明对投标人资格要求的条件。本项目资格审查采用合格制，凡符合招标文件规定的投标人资格要求的投标人均通过资格审查。</w:t>
      </w:r>
    </w:p>
    <w:p w14:paraId="27B1E036">
      <w:pPr>
        <w:spacing w:line="360" w:lineRule="auto"/>
        <w:ind w:firstLine="422" w:firstLineChars="200"/>
        <w:rPr>
          <w:rFonts w:ascii="宋体" w:hAnsi="宋体" w:cs="宋体"/>
          <w:b/>
          <w:bCs/>
          <w:szCs w:val="20"/>
          <w:highlight w:val="none"/>
        </w:rPr>
      </w:pPr>
      <w:bookmarkStart w:id="177" w:name="_25.3_投标人有下列情形之一的，资格审查不通过而导致其投标无效："/>
      <w:bookmarkEnd w:id="177"/>
      <w:r>
        <w:rPr>
          <w:rFonts w:hint="eastAsia" w:ascii="宋体" w:hAnsi="宋体" w:cs="宋体"/>
          <w:b/>
          <w:bCs/>
          <w:szCs w:val="20"/>
          <w:highlight w:val="none"/>
        </w:rPr>
        <w:t>25.3投标人有下列情形之一的，资格审查不通过，作无效投标处理：</w:t>
      </w:r>
    </w:p>
    <w:p w14:paraId="3DAC15CD">
      <w:pPr>
        <w:spacing w:line="360" w:lineRule="auto"/>
        <w:ind w:firstLine="420" w:firstLineChars="200"/>
        <w:rPr>
          <w:rFonts w:ascii="宋体" w:hAnsi="宋体" w:cs="宋体"/>
          <w:highlight w:val="none"/>
        </w:rPr>
      </w:pPr>
      <w:r>
        <w:rPr>
          <w:rFonts w:hint="eastAsia" w:hAnsi="宋体"/>
          <w:highlight w:val="none"/>
        </w:rPr>
        <w:t>（1）不具备招标文件中规定的资格要求的。（注：其中信用查询规则见“投标人须知前附表”，广西政府采购云平台已与“信用中国”平台做接口，</w:t>
      </w:r>
      <w:r>
        <w:rPr>
          <w:rFonts w:hint="eastAsia" w:ascii="宋体" w:hAnsi="宋体" w:cs="宋体"/>
          <w:szCs w:val="20"/>
          <w:highlight w:val="none"/>
        </w:rPr>
        <w:t>采购人或者采购代理机构</w:t>
      </w:r>
      <w:r>
        <w:rPr>
          <w:rFonts w:hint="eastAsia" w:ascii="宋体" w:hAnsi="宋体" w:cs="宋体"/>
          <w:highlight w:val="none"/>
        </w:rPr>
        <w:t>可直接在线查询）</w:t>
      </w:r>
    </w:p>
    <w:p w14:paraId="3ADA9E3F">
      <w:pPr>
        <w:spacing w:line="360" w:lineRule="auto"/>
        <w:ind w:firstLine="420" w:firstLineChars="200"/>
        <w:rPr>
          <w:rFonts w:ascii="宋体" w:hAnsi="宋体" w:cs="宋体"/>
          <w:highlight w:val="none"/>
        </w:rPr>
      </w:pPr>
      <w:r>
        <w:rPr>
          <w:rFonts w:hint="eastAsia" w:ascii="宋体" w:hAnsi="宋体" w:cs="宋体"/>
          <w:highlight w:val="none"/>
        </w:rPr>
        <w:t>（2）投标文件未提供任一项“投标人须知前附表”资格证明文件规定的“必须提供”的文件资料的。</w:t>
      </w:r>
    </w:p>
    <w:p w14:paraId="1625C780">
      <w:pPr>
        <w:spacing w:line="360" w:lineRule="auto"/>
        <w:ind w:firstLine="420" w:firstLineChars="200"/>
        <w:rPr>
          <w:highlight w:val="none"/>
        </w:rPr>
      </w:pPr>
      <w:r>
        <w:rPr>
          <w:rFonts w:hint="eastAsia" w:ascii="宋体" w:hAnsi="宋体" w:cs="宋体"/>
          <w:highlight w:val="none"/>
        </w:rPr>
        <w:t>（3）投标文件提供的资格证明文件出现任一项不符合“投标人须知前附表”资格证明文件规定的“必须提供”的文件资料要求或者无效的。</w:t>
      </w:r>
    </w:p>
    <w:p w14:paraId="23BA6E98">
      <w:pPr>
        <w:spacing w:line="360" w:lineRule="auto"/>
        <w:ind w:firstLine="420" w:firstLineChars="200"/>
        <w:rPr>
          <w:rFonts w:ascii="宋体" w:hAnsi="宋体" w:cs="宋体"/>
          <w:highlight w:val="none"/>
        </w:rPr>
      </w:pPr>
      <w:r>
        <w:rPr>
          <w:rFonts w:hint="eastAsia" w:ascii="宋体" w:hAnsi="宋体" w:cs="宋体"/>
          <w:highlight w:val="none"/>
        </w:rPr>
        <w:t>（4）同一合同项下的不同供应商，单位负责人为同一人或者存在直接控股、管理关系的；为本项目提供过整体设计、规范编制或者项目管理、监理、检测等服务的。</w:t>
      </w:r>
    </w:p>
    <w:p w14:paraId="67FB9FE1">
      <w:pPr>
        <w:pStyle w:val="6"/>
        <w:keepNext w:val="0"/>
        <w:keepLines w:val="0"/>
        <w:spacing w:before="0" w:after="0" w:line="360" w:lineRule="auto"/>
        <w:ind w:firstLine="420" w:firstLineChars="200"/>
        <w:rPr>
          <w:rFonts w:ascii="宋体" w:hAnsi="宋体" w:cs="宋体"/>
          <w:b w:val="0"/>
          <w:bCs w:val="0"/>
          <w:sz w:val="21"/>
          <w:szCs w:val="20"/>
          <w:highlight w:val="none"/>
        </w:rPr>
      </w:pPr>
      <w:r>
        <w:rPr>
          <w:rFonts w:hint="eastAsia" w:ascii="宋体" w:hAnsi="宋体" w:cs="宋体"/>
          <w:b w:val="0"/>
          <w:bCs w:val="0"/>
          <w:sz w:val="21"/>
          <w:szCs w:val="20"/>
          <w:highlight w:val="none"/>
        </w:rPr>
        <w:t>25.4资格审查的合格投标人不足3家的，不得评标。</w:t>
      </w:r>
    </w:p>
    <w:p w14:paraId="74F7B2A4">
      <w:pPr>
        <w:pStyle w:val="4"/>
        <w:keepNext w:val="0"/>
        <w:keepLines w:val="0"/>
        <w:spacing w:line="360" w:lineRule="auto"/>
        <w:jc w:val="center"/>
        <w:rPr>
          <w:rFonts w:ascii="宋体" w:hAnsi="宋体" w:cs="宋体"/>
          <w:highlight w:val="none"/>
        </w:rPr>
      </w:pPr>
      <w:bookmarkStart w:id="178" w:name="_Toc29675"/>
      <w:bookmarkStart w:id="179" w:name="_Toc17458"/>
      <w:bookmarkStart w:id="180" w:name="_Toc23135"/>
      <w:bookmarkStart w:id="181" w:name="_Toc10753"/>
    </w:p>
    <w:p w14:paraId="016EDE36">
      <w:pPr>
        <w:pStyle w:val="4"/>
        <w:keepNext w:val="0"/>
        <w:keepLines w:val="0"/>
        <w:spacing w:line="360" w:lineRule="auto"/>
        <w:jc w:val="center"/>
        <w:rPr>
          <w:rFonts w:ascii="宋体" w:hAnsi="宋体" w:cs="宋体"/>
          <w:highlight w:val="none"/>
        </w:rPr>
      </w:pPr>
      <w:r>
        <w:rPr>
          <w:rFonts w:hint="eastAsia" w:ascii="宋体" w:hAnsi="宋体" w:cs="宋体"/>
          <w:highlight w:val="none"/>
        </w:rPr>
        <w:t>六、评   标</w:t>
      </w:r>
      <w:bookmarkEnd w:id="178"/>
      <w:bookmarkEnd w:id="179"/>
      <w:bookmarkEnd w:id="180"/>
      <w:bookmarkEnd w:id="181"/>
    </w:p>
    <w:p w14:paraId="2D45E503">
      <w:pPr>
        <w:spacing w:line="360" w:lineRule="auto"/>
        <w:ind w:firstLine="480" w:firstLineChars="200"/>
        <w:rPr>
          <w:rFonts w:ascii="宋体" w:hAnsi="宋体" w:cs="宋体"/>
          <w:sz w:val="24"/>
          <w:highlight w:val="none"/>
        </w:rPr>
      </w:pPr>
      <w:bookmarkStart w:id="182" w:name="_26.组建评标委员会"/>
      <w:bookmarkEnd w:id="182"/>
      <w:r>
        <w:rPr>
          <w:rFonts w:hint="eastAsia" w:ascii="宋体" w:hAnsi="宋体" w:cs="宋体"/>
          <w:sz w:val="24"/>
          <w:highlight w:val="none"/>
        </w:rPr>
        <w:t>26.组建评标委员会</w:t>
      </w:r>
    </w:p>
    <w:p w14:paraId="60FA4E89">
      <w:pPr>
        <w:spacing w:line="360" w:lineRule="auto"/>
        <w:ind w:firstLine="420" w:firstLineChars="200"/>
        <w:rPr>
          <w:rFonts w:ascii="宋体" w:hAnsi="宋体" w:cs="宋体"/>
          <w:highlight w:val="none"/>
        </w:rPr>
      </w:pPr>
      <w:r>
        <w:rPr>
          <w:rFonts w:hint="eastAsia" w:ascii="宋体" w:hAnsi="宋体" w:cs="宋体"/>
          <w:highlight w:val="none"/>
        </w:rPr>
        <w:t>评标委员会由采购人代表和评审专家组成，人数为5人以上单数，其中评审专家不得少于成员总数的三分之二。</w:t>
      </w:r>
    </w:p>
    <w:p w14:paraId="54578331">
      <w:pPr>
        <w:spacing w:line="360" w:lineRule="auto"/>
        <w:ind w:firstLine="420" w:firstLineChars="200"/>
        <w:rPr>
          <w:rFonts w:ascii="宋体" w:hAnsi="宋体" w:cs="宋体"/>
          <w:highlight w:val="none"/>
        </w:rPr>
      </w:pPr>
      <w:r>
        <w:rPr>
          <w:rFonts w:hint="eastAsia" w:ascii="宋体" w:hAnsi="宋体" w:cs="宋体"/>
          <w:highlight w:val="none"/>
        </w:rPr>
        <w:t>参加过采购项目前期咨询论证的专家，不得参加该采购项目的评审活动。</w:t>
      </w:r>
    </w:p>
    <w:p w14:paraId="295B2066">
      <w:pPr>
        <w:spacing w:line="360" w:lineRule="auto"/>
        <w:ind w:firstLine="480" w:firstLineChars="200"/>
        <w:rPr>
          <w:rFonts w:ascii="宋体" w:hAnsi="宋体" w:cs="宋体"/>
          <w:sz w:val="24"/>
          <w:highlight w:val="none"/>
        </w:rPr>
      </w:pPr>
      <w:r>
        <w:rPr>
          <w:rFonts w:hint="eastAsia" w:ascii="宋体" w:hAnsi="宋体" w:cs="宋体"/>
          <w:sz w:val="24"/>
          <w:highlight w:val="none"/>
        </w:rPr>
        <w:t>27.评标的依据</w:t>
      </w:r>
    </w:p>
    <w:p w14:paraId="645EB1C6">
      <w:pPr>
        <w:spacing w:line="360" w:lineRule="auto"/>
        <w:ind w:firstLine="420" w:firstLineChars="200"/>
        <w:rPr>
          <w:rFonts w:ascii="宋体" w:hAnsi="宋体" w:cs="宋体"/>
          <w:highlight w:val="none"/>
        </w:rPr>
      </w:pPr>
      <w:r>
        <w:rPr>
          <w:rFonts w:hint="eastAsia" w:ascii="宋体" w:hAnsi="宋体" w:cs="宋体"/>
          <w:highlight w:val="none"/>
        </w:rPr>
        <w:t>评标委员会以招标文件为依据对投标文件进行评审，“第四章 评标方法和评标标准”没有规定的方法、评审因素和标准，不作为评标依据。</w:t>
      </w:r>
    </w:p>
    <w:p w14:paraId="786E350E">
      <w:pPr>
        <w:spacing w:line="360" w:lineRule="auto"/>
        <w:ind w:firstLine="480" w:firstLineChars="200"/>
        <w:rPr>
          <w:rFonts w:ascii="宋体" w:hAnsi="宋体" w:cs="宋体"/>
          <w:sz w:val="24"/>
          <w:highlight w:val="none"/>
        </w:rPr>
      </w:pPr>
      <w:r>
        <w:rPr>
          <w:rFonts w:hint="eastAsia" w:ascii="宋体" w:hAnsi="宋体" w:cs="宋体"/>
          <w:sz w:val="24"/>
          <w:highlight w:val="none"/>
        </w:rPr>
        <w:t>28.评标原则</w:t>
      </w:r>
    </w:p>
    <w:p w14:paraId="74B1480E">
      <w:pPr>
        <w:spacing w:line="360" w:lineRule="auto"/>
        <w:ind w:firstLine="420" w:firstLineChars="200"/>
        <w:rPr>
          <w:rFonts w:ascii="宋体" w:hAnsi="宋体" w:cs="宋体"/>
          <w:highlight w:val="none"/>
        </w:rPr>
      </w:pPr>
      <w:r>
        <w:rPr>
          <w:rFonts w:hint="eastAsia" w:ascii="宋体" w:hAnsi="宋体" w:cs="宋体"/>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E75E57E">
      <w:pPr>
        <w:spacing w:line="360" w:lineRule="auto"/>
        <w:ind w:firstLine="420" w:firstLineChars="200"/>
        <w:rPr>
          <w:rFonts w:ascii="宋体" w:hAnsi="宋体" w:cs="宋体"/>
          <w:highlight w:val="none"/>
        </w:rPr>
      </w:pPr>
      <w:r>
        <w:rPr>
          <w:rFonts w:hint="eastAsia" w:ascii="宋体" w:hAnsi="宋体" w:cs="宋体"/>
          <w:highlight w:val="none"/>
        </w:rPr>
        <w:t>28.2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9E7D6A0">
      <w:pPr>
        <w:spacing w:line="360" w:lineRule="auto"/>
        <w:ind w:firstLine="420" w:firstLineChars="200"/>
        <w:rPr>
          <w:rFonts w:ascii="宋体" w:hAnsi="宋体" w:cs="宋体"/>
          <w:highlight w:val="none"/>
        </w:rPr>
      </w:pPr>
      <w:r>
        <w:rPr>
          <w:rFonts w:hint="eastAsia" w:ascii="宋体" w:hAnsi="宋体" w:cs="宋体"/>
          <w:highlight w:val="none"/>
        </w:rPr>
        <w:t>28.3评标过程的监控。本项目电子评标过程实行网上留痕、全程录音、录像监控，投标人在评标过程中所进行的试图影响评标结果的不公正活动，可能导致其投标作无效处理。</w:t>
      </w:r>
    </w:p>
    <w:p w14:paraId="2E3322DD">
      <w:pPr>
        <w:pStyle w:val="17"/>
        <w:spacing w:line="360" w:lineRule="auto"/>
        <w:ind w:firstLine="420" w:firstLineChars="200"/>
        <w:rPr>
          <w:rFonts w:ascii="宋体" w:hAnsi="宋体" w:cs="宋体"/>
          <w:sz w:val="21"/>
          <w:szCs w:val="21"/>
          <w:highlight w:val="none"/>
        </w:rPr>
      </w:pPr>
      <w:r>
        <w:rPr>
          <w:rFonts w:hint="eastAsia" w:ascii="宋体" w:hAnsi="宋体" w:cs="宋体"/>
          <w:sz w:val="21"/>
          <w:szCs w:val="24"/>
          <w:highlight w:val="none"/>
        </w:rPr>
        <w:t>28.4</w:t>
      </w:r>
      <w:r>
        <w:rPr>
          <w:rFonts w:hint="eastAsia" w:ascii="宋体" w:hAnsi="宋体" w:cs="宋体"/>
          <w:sz w:val="21"/>
          <w:szCs w:val="21"/>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76D15F2">
      <w:pPr>
        <w:spacing w:line="360" w:lineRule="auto"/>
        <w:ind w:firstLine="480" w:firstLineChars="200"/>
        <w:rPr>
          <w:rFonts w:ascii="宋体" w:hAnsi="宋体" w:cs="宋体"/>
          <w:sz w:val="24"/>
          <w:highlight w:val="none"/>
        </w:rPr>
      </w:pPr>
      <w:r>
        <w:rPr>
          <w:rFonts w:hint="eastAsia" w:ascii="宋体" w:hAnsi="宋体" w:cs="宋体"/>
          <w:sz w:val="24"/>
          <w:highlight w:val="none"/>
        </w:rPr>
        <w:t>29.评标方法和评标标准</w:t>
      </w:r>
    </w:p>
    <w:p w14:paraId="391B02A1">
      <w:pPr>
        <w:spacing w:line="360" w:lineRule="auto"/>
        <w:ind w:firstLine="420" w:firstLineChars="200"/>
        <w:rPr>
          <w:rFonts w:ascii="宋体" w:hAnsi="宋体" w:cs="宋体"/>
          <w:highlight w:val="none"/>
        </w:rPr>
      </w:pPr>
      <w:r>
        <w:rPr>
          <w:rFonts w:hint="eastAsia" w:ascii="宋体" w:hAnsi="宋体" w:cs="宋体"/>
          <w:highlight w:val="none"/>
        </w:rPr>
        <w:t>29.1本项目的评标方法详见“投标人须知前附表”。</w:t>
      </w:r>
    </w:p>
    <w:p w14:paraId="4928D0A8">
      <w:pPr>
        <w:spacing w:line="360" w:lineRule="auto"/>
        <w:ind w:firstLine="420" w:firstLineChars="200"/>
        <w:rPr>
          <w:rFonts w:ascii="宋体" w:hAnsi="宋体" w:cs="宋体"/>
          <w:highlight w:val="none"/>
        </w:rPr>
      </w:pPr>
      <w:r>
        <w:rPr>
          <w:rFonts w:hint="eastAsia" w:ascii="宋体" w:hAnsi="宋体" w:cs="宋体"/>
          <w:highlight w:val="none"/>
        </w:rPr>
        <w:t>29.2 评标委员会按照</w:t>
      </w:r>
      <w:r>
        <w:rPr>
          <w:rFonts w:hint="eastAsia" w:ascii="宋体" w:hAnsi="宋体" w:cs="宋体"/>
          <w:b/>
          <w:highlight w:val="none"/>
        </w:rPr>
        <w:t>“第四章 评标方法和评标标准”</w:t>
      </w:r>
      <w:r>
        <w:rPr>
          <w:rFonts w:hint="eastAsia" w:ascii="宋体" w:hAnsi="宋体" w:cs="宋体"/>
          <w:highlight w:val="none"/>
        </w:rPr>
        <w:t>规定的方法、评审因素、标准和程序对投标文件进行评审。</w:t>
      </w:r>
    </w:p>
    <w:p w14:paraId="0DF0376A">
      <w:pPr>
        <w:spacing w:line="360" w:lineRule="auto"/>
        <w:ind w:firstLine="420" w:firstLineChars="200"/>
        <w:rPr>
          <w:rFonts w:ascii="宋体" w:hAnsi="宋体" w:cs="宋体"/>
          <w:highlight w:val="none"/>
        </w:rPr>
      </w:pPr>
      <w:r>
        <w:rPr>
          <w:rFonts w:hint="eastAsia" w:ascii="宋体" w:hAnsi="宋体" w:cs="宋体"/>
          <w:highlight w:val="none"/>
        </w:rPr>
        <w:t>29.3 电子交易活动的中止。采购过程中出现以下情形，导致电子交易平台无法正常运行，或者无法保证电子交易的公平、公正和安全时，采购机构可中止电子交易活动：</w:t>
      </w:r>
    </w:p>
    <w:p w14:paraId="10486502">
      <w:pPr>
        <w:spacing w:line="360" w:lineRule="auto"/>
        <w:ind w:firstLine="420" w:firstLineChars="200"/>
        <w:rPr>
          <w:rFonts w:ascii="宋体" w:hAnsi="宋体" w:cs="宋体"/>
          <w:highlight w:val="none"/>
        </w:rPr>
      </w:pPr>
      <w:r>
        <w:rPr>
          <w:rFonts w:hint="eastAsia" w:ascii="宋体" w:hAnsi="宋体" w:cs="宋体"/>
          <w:highlight w:val="none"/>
        </w:rPr>
        <w:t xml:space="preserve">（1）电子交易平台发生故障而无法登录访问的。 </w:t>
      </w:r>
    </w:p>
    <w:p w14:paraId="5E8208FA">
      <w:pPr>
        <w:spacing w:line="360" w:lineRule="auto"/>
        <w:ind w:firstLine="420" w:firstLineChars="200"/>
        <w:rPr>
          <w:rFonts w:ascii="宋体" w:hAnsi="宋体" w:cs="宋体"/>
          <w:highlight w:val="none"/>
        </w:rPr>
      </w:pPr>
      <w:r>
        <w:rPr>
          <w:rFonts w:hint="eastAsia" w:ascii="宋体" w:hAnsi="宋体" w:cs="宋体"/>
          <w:highlight w:val="none"/>
        </w:rPr>
        <w:t>（2）电子交易平台应用或数据库出现错误，不能进行正常操作的。</w:t>
      </w:r>
    </w:p>
    <w:p w14:paraId="1DF9BB79">
      <w:pPr>
        <w:spacing w:line="360" w:lineRule="auto"/>
        <w:ind w:firstLine="420" w:firstLineChars="200"/>
        <w:rPr>
          <w:rFonts w:ascii="宋体" w:hAnsi="宋体" w:cs="宋体"/>
          <w:highlight w:val="none"/>
        </w:rPr>
      </w:pPr>
      <w:r>
        <w:rPr>
          <w:rFonts w:hint="eastAsia" w:ascii="宋体" w:hAnsi="宋体" w:cs="宋体"/>
          <w:highlight w:val="none"/>
        </w:rPr>
        <w:t>（3）电子交易平台发现严重安全漏洞，有潜在泄密危险的。</w:t>
      </w:r>
    </w:p>
    <w:p w14:paraId="1D119134">
      <w:pPr>
        <w:spacing w:line="360" w:lineRule="auto"/>
        <w:ind w:firstLine="420" w:firstLineChars="200"/>
        <w:rPr>
          <w:rFonts w:ascii="宋体" w:hAnsi="宋体" w:cs="宋体"/>
          <w:highlight w:val="none"/>
        </w:rPr>
      </w:pPr>
      <w:r>
        <w:rPr>
          <w:rFonts w:hint="eastAsia" w:ascii="宋体" w:hAnsi="宋体" w:cs="宋体"/>
          <w:highlight w:val="none"/>
        </w:rPr>
        <w:t xml:space="preserve">（4）病毒发作导致不能进行正常操作的。 </w:t>
      </w:r>
    </w:p>
    <w:p w14:paraId="70A4394C">
      <w:pPr>
        <w:spacing w:line="360" w:lineRule="auto"/>
        <w:ind w:firstLine="420" w:firstLineChars="200"/>
        <w:rPr>
          <w:rFonts w:ascii="宋体" w:hAnsi="宋体" w:cs="宋体"/>
          <w:highlight w:val="none"/>
        </w:rPr>
      </w:pPr>
      <w:r>
        <w:rPr>
          <w:rFonts w:hint="eastAsia" w:ascii="宋体" w:hAnsi="宋体" w:cs="宋体"/>
          <w:highlight w:val="none"/>
        </w:rPr>
        <w:t>（5）其他无法保证电子交易的公平、公正和安全的情况。</w:t>
      </w:r>
    </w:p>
    <w:p w14:paraId="192046DF">
      <w:pPr>
        <w:spacing w:line="360" w:lineRule="auto"/>
        <w:ind w:firstLine="420" w:firstLineChars="200"/>
        <w:rPr>
          <w:rFonts w:ascii="宋体" w:hAnsi="宋体" w:cs="宋体"/>
          <w:highlight w:val="none"/>
        </w:rPr>
      </w:pPr>
      <w:r>
        <w:rPr>
          <w:rFonts w:hint="eastAsia" w:ascii="宋体" w:hAnsi="宋体" w:cs="宋体"/>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8902FD0">
      <w:pPr>
        <w:pStyle w:val="14"/>
        <w:snapToGrid w:val="0"/>
        <w:spacing w:line="400" w:lineRule="exact"/>
        <w:ind w:firstLine="420" w:firstLineChars="200"/>
        <w:rPr>
          <w:rFonts w:hAnsi="宋体" w:cs="宋体"/>
          <w:highlight w:val="none"/>
        </w:rPr>
      </w:pPr>
    </w:p>
    <w:p w14:paraId="3ED3664F">
      <w:pPr>
        <w:pStyle w:val="4"/>
        <w:keepNext w:val="0"/>
        <w:keepLines w:val="0"/>
        <w:spacing w:line="400" w:lineRule="exact"/>
        <w:jc w:val="center"/>
        <w:rPr>
          <w:rFonts w:ascii="宋体" w:hAnsi="宋体" w:cs="宋体"/>
          <w:highlight w:val="none"/>
        </w:rPr>
      </w:pPr>
      <w:bookmarkStart w:id="183" w:name="_Toc254970546"/>
      <w:bookmarkStart w:id="184" w:name="_Toc254970687"/>
      <w:bookmarkStart w:id="185" w:name="_Toc11609"/>
      <w:bookmarkStart w:id="186" w:name="_Toc16461"/>
      <w:bookmarkStart w:id="187" w:name="_Toc20927"/>
      <w:bookmarkStart w:id="188" w:name="_Toc6053"/>
      <w:r>
        <w:rPr>
          <w:rFonts w:hint="eastAsia" w:ascii="宋体" w:hAnsi="宋体" w:cs="宋体"/>
          <w:highlight w:val="none"/>
        </w:rPr>
        <w:t>七、</w:t>
      </w:r>
      <w:bookmarkEnd w:id="183"/>
      <w:bookmarkEnd w:id="184"/>
      <w:r>
        <w:rPr>
          <w:rFonts w:hint="eastAsia" w:ascii="宋体" w:hAnsi="宋体" w:cs="宋体"/>
          <w:highlight w:val="none"/>
        </w:rPr>
        <w:t>中标和合同</w:t>
      </w:r>
      <w:bookmarkEnd w:id="185"/>
      <w:bookmarkEnd w:id="186"/>
      <w:bookmarkEnd w:id="187"/>
      <w:bookmarkEnd w:id="188"/>
    </w:p>
    <w:p w14:paraId="7294A5E7">
      <w:pPr>
        <w:spacing w:line="360" w:lineRule="auto"/>
        <w:ind w:firstLine="480" w:firstLineChars="200"/>
        <w:rPr>
          <w:rFonts w:ascii="宋体" w:hAnsi="宋体" w:cs="宋体"/>
          <w:sz w:val="24"/>
          <w:highlight w:val="none"/>
        </w:rPr>
      </w:pPr>
      <w:r>
        <w:rPr>
          <w:rFonts w:hint="eastAsia" w:ascii="宋体" w:hAnsi="宋体" w:cs="宋体"/>
          <w:sz w:val="24"/>
          <w:highlight w:val="none"/>
        </w:rPr>
        <w:t>30.确定中标人</w:t>
      </w:r>
    </w:p>
    <w:p w14:paraId="300F0F77">
      <w:pPr>
        <w:spacing w:line="360" w:lineRule="auto"/>
        <w:ind w:firstLine="420" w:firstLineChars="200"/>
        <w:rPr>
          <w:rFonts w:ascii="宋体" w:hAnsi="宋体" w:cs="宋体"/>
          <w:b/>
          <w:bCs/>
          <w:szCs w:val="21"/>
          <w:highlight w:val="none"/>
        </w:rPr>
      </w:pPr>
      <w:r>
        <w:rPr>
          <w:rFonts w:hint="eastAsia" w:ascii="宋体" w:hAnsi="宋体" w:cs="宋体"/>
          <w:szCs w:val="21"/>
          <w:highlight w:val="none"/>
        </w:rPr>
        <w:t>30.1</w:t>
      </w:r>
      <w:r>
        <w:rPr>
          <w:rFonts w:hint="eastAsia" w:ascii="宋体" w:hAnsi="宋体" w:cs="宋体"/>
          <w:highlight w:val="none"/>
        </w:rPr>
        <w:t>采购人在收到评标委员会出具的评标报告之日起5个工作日内在评标报告推荐的中标候选人名单中按顺序确定中标人。采购人也可以事先授权评标委员会直接确定中标人。</w:t>
      </w:r>
      <w:r>
        <w:rPr>
          <w:rFonts w:ascii="宋体" w:hAnsi="宋体" w:cs="宋体"/>
          <w:highlight w:val="none"/>
        </w:rPr>
        <w:t>中标候选人并列的，由采购人或者采购人委托评标委员会按照</w:t>
      </w:r>
      <w:r>
        <w:rPr>
          <w:rFonts w:hint="eastAsia" w:ascii="宋体" w:hAnsi="宋体" w:cs="宋体"/>
          <w:highlight w:val="none"/>
        </w:rPr>
        <w:t>“投标人须知前附表”</w:t>
      </w:r>
      <w:r>
        <w:rPr>
          <w:rFonts w:ascii="宋体" w:hAnsi="宋体" w:cs="宋体"/>
          <w:highlight w:val="none"/>
        </w:rPr>
        <w:t>规定的方式确定中标人</w:t>
      </w:r>
      <w:r>
        <w:rPr>
          <w:rFonts w:hint="eastAsia" w:ascii="宋体" w:hAnsi="宋体" w:cs="宋体"/>
          <w:highlight w:val="none"/>
        </w:rPr>
        <w:t>。</w:t>
      </w:r>
      <w:r>
        <w:rPr>
          <w:rFonts w:ascii="宋体" w:hAnsi="宋体" w:cs="宋体"/>
          <w:highlight w:val="none"/>
        </w:rPr>
        <w:t>招标文件未规定的，采取随机抽取的方式确定。</w:t>
      </w:r>
    </w:p>
    <w:p w14:paraId="0AA243CB">
      <w:pPr>
        <w:spacing w:line="360" w:lineRule="auto"/>
        <w:ind w:firstLine="420" w:firstLineChars="200"/>
        <w:rPr>
          <w:rFonts w:ascii="宋体" w:hAnsi="宋体" w:cs="宋体"/>
          <w:szCs w:val="21"/>
          <w:highlight w:val="none"/>
        </w:rPr>
      </w:pPr>
      <w:r>
        <w:rPr>
          <w:rFonts w:hint="eastAsia" w:ascii="宋体" w:hAnsi="宋体" w:cs="宋体"/>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3C191993">
      <w:pPr>
        <w:spacing w:line="360" w:lineRule="auto"/>
        <w:ind w:firstLine="420" w:firstLineChars="200"/>
        <w:rPr>
          <w:rFonts w:ascii="宋体" w:hAnsi="宋体" w:cs="宋体"/>
          <w:szCs w:val="21"/>
          <w:highlight w:val="none"/>
        </w:rPr>
      </w:pPr>
      <w:r>
        <w:rPr>
          <w:rFonts w:hint="eastAsia" w:ascii="宋体" w:hAnsi="宋体" w:cs="宋体"/>
          <w:szCs w:val="21"/>
          <w:highlight w:val="none"/>
        </w:rPr>
        <w:t>30.3中标人无正当理由拒签合同的，根据《中华人民共和国政府采购法》第七十七条第一款规定处理。</w:t>
      </w:r>
    </w:p>
    <w:p w14:paraId="201293C1">
      <w:pPr>
        <w:spacing w:line="360" w:lineRule="auto"/>
        <w:ind w:firstLine="420" w:firstLineChars="200"/>
        <w:rPr>
          <w:rFonts w:ascii="宋体" w:hAnsi="宋体" w:cs="宋体"/>
          <w:szCs w:val="21"/>
          <w:highlight w:val="none"/>
        </w:rPr>
      </w:pPr>
      <w:r>
        <w:rPr>
          <w:rFonts w:hint="eastAsia" w:ascii="宋体" w:hAnsi="宋体" w:cs="宋体"/>
          <w:szCs w:val="21"/>
          <w:highlight w:val="none"/>
        </w:rPr>
        <w:t>30.4根据《中华人民共和国民法典》</w:t>
      </w:r>
      <w:r>
        <w:rPr>
          <w:rFonts w:hint="eastAsia" w:ascii="宋体" w:hAnsi="宋体" w:cs="宋体"/>
          <w:sz w:val="19"/>
          <w:szCs w:val="19"/>
          <w:highlight w:val="none"/>
        </w:rPr>
        <w:t>第五百六十三条</w:t>
      </w:r>
      <w:r>
        <w:rPr>
          <w:rFonts w:hint="eastAsia" w:ascii="宋体" w:hAnsi="宋体" w:cs="宋体"/>
          <w:szCs w:val="21"/>
          <w:highlight w:val="none"/>
        </w:rPr>
        <w:t>，因不可抗力致使不能实现合同目的的，当事人可以解除合同。</w:t>
      </w:r>
    </w:p>
    <w:p w14:paraId="3A6A9158">
      <w:pPr>
        <w:spacing w:line="360" w:lineRule="auto"/>
        <w:ind w:firstLine="480" w:firstLineChars="200"/>
        <w:rPr>
          <w:rFonts w:ascii="宋体" w:hAnsi="宋体" w:cs="宋体"/>
          <w:sz w:val="24"/>
          <w:highlight w:val="none"/>
        </w:rPr>
      </w:pPr>
      <w:r>
        <w:rPr>
          <w:rFonts w:hint="eastAsia" w:ascii="宋体" w:hAnsi="宋体" w:cs="宋体"/>
          <w:sz w:val="24"/>
          <w:highlight w:val="none"/>
        </w:rPr>
        <w:t>31. 结果公告</w:t>
      </w:r>
    </w:p>
    <w:p w14:paraId="17A9332D">
      <w:pPr>
        <w:spacing w:line="360" w:lineRule="auto"/>
        <w:ind w:firstLine="420" w:firstLineChars="200"/>
        <w:rPr>
          <w:rFonts w:ascii="宋体" w:hAnsi="宋体" w:cs="宋体"/>
          <w:highlight w:val="none"/>
        </w:rPr>
      </w:pPr>
      <w:r>
        <w:rPr>
          <w:rFonts w:hint="eastAsia" w:ascii="宋体" w:hAnsi="宋体" w:cs="宋体"/>
          <w:szCs w:val="21"/>
          <w:highlight w:val="none"/>
        </w:rPr>
        <w:t>31.1</w:t>
      </w:r>
      <w:r>
        <w:rPr>
          <w:rFonts w:hint="eastAsia" w:ascii="宋体" w:hAnsi="宋体" w:cs="宋体"/>
          <w:highlight w:val="none"/>
        </w:rPr>
        <w:t>在中标人确定之日起2个工作日内，由采购代理机构</w:t>
      </w:r>
      <w:r>
        <w:rPr>
          <w:rFonts w:hint="eastAsia" w:ascii="宋体" w:hAnsi="宋体" w:cs="宋体"/>
          <w:szCs w:val="21"/>
          <w:highlight w:val="none"/>
        </w:rPr>
        <w:t>在招标公告发布媒体上</w:t>
      </w:r>
      <w:r>
        <w:rPr>
          <w:rFonts w:hint="eastAsia" w:ascii="宋体" w:hAnsi="宋体" w:cs="宋体"/>
          <w:highlight w:val="none"/>
        </w:rPr>
        <w:t>发布中标结果公告，中标结果公告期限为1个工作日，发布中标结果公告的同时向中标人发出中标通知书。</w:t>
      </w:r>
      <w:r>
        <w:rPr>
          <w:rFonts w:hint="eastAsia" w:ascii="宋体" w:hAnsi="宋体" w:cs="宋体"/>
          <w:szCs w:val="21"/>
          <w:highlight w:val="none"/>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依法确定排名第二的中标候选人为中标人。排名第二的中标候选人因前款规定的同样原因被取消中标资格的，采购人可以依法确定排名第三的中标候选人为中标人，以此类推。</w:t>
      </w:r>
    </w:p>
    <w:p w14:paraId="67A2DB49">
      <w:pPr>
        <w:spacing w:line="360" w:lineRule="auto"/>
        <w:ind w:firstLine="420" w:firstLineChars="200"/>
        <w:rPr>
          <w:rFonts w:ascii="宋体" w:hAnsi="宋体" w:cs="宋体"/>
          <w:szCs w:val="21"/>
          <w:highlight w:val="none"/>
        </w:rPr>
      </w:pPr>
      <w:r>
        <w:rPr>
          <w:rFonts w:hint="eastAsia" w:ascii="宋体" w:hAnsi="宋体" w:cs="宋体"/>
          <w:szCs w:val="21"/>
          <w:highlight w:val="none"/>
        </w:rPr>
        <w:t>以上信息查询记录及相关证据与采购文件一并保存。</w:t>
      </w:r>
    </w:p>
    <w:p w14:paraId="225253A8">
      <w:pPr>
        <w:spacing w:line="360" w:lineRule="auto"/>
        <w:ind w:firstLine="420" w:firstLineChars="200"/>
        <w:rPr>
          <w:rFonts w:ascii="宋体" w:hAnsi="宋体" w:cs="宋体"/>
          <w:szCs w:val="21"/>
          <w:highlight w:val="none"/>
        </w:rPr>
      </w:pPr>
      <w:r>
        <w:rPr>
          <w:rFonts w:hint="eastAsia" w:ascii="宋体" w:hAnsi="宋体" w:cs="宋体"/>
          <w:szCs w:val="21"/>
          <w:highlight w:val="none"/>
        </w:rPr>
        <w:t>31.2中小企业在政府采购活动过程中，请根据企业的真实情况出具《中小企业声明函》。依法享受中小企业扶持政策的，采购人或者采购代理机构在公告中标结果时，同时公告其《中小企业声明函》，接受社会监督。</w:t>
      </w:r>
    </w:p>
    <w:p w14:paraId="5C268CC9">
      <w:pPr>
        <w:spacing w:line="360" w:lineRule="auto"/>
        <w:ind w:firstLine="480" w:firstLineChars="200"/>
        <w:rPr>
          <w:rFonts w:ascii="宋体" w:hAnsi="宋体" w:cs="宋体"/>
          <w:sz w:val="24"/>
          <w:highlight w:val="none"/>
        </w:rPr>
      </w:pPr>
      <w:r>
        <w:rPr>
          <w:rFonts w:hint="eastAsia" w:ascii="宋体" w:hAnsi="宋体" w:cs="宋体"/>
          <w:sz w:val="24"/>
          <w:highlight w:val="none"/>
        </w:rPr>
        <w:t>32.发出中标通知书</w:t>
      </w:r>
    </w:p>
    <w:p w14:paraId="33777699">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32.1在发布中标公告的同时，采购代理机构向中标人通过广西政府采购云平台发出电子中标通知书。</w:t>
      </w:r>
    </w:p>
    <w:p w14:paraId="6537E7A3">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32.2对未通过资格审查的投标人，采购人或采购代理机构应当告知其未通过的原因。采用综合评分办法评审的，采购人或采购机构还应当告知未中标人本人的评审得分与排序。</w:t>
      </w:r>
    </w:p>
    <w:p w14:paraId="56255C95">
      <w:pPr>
        <w:spacing w:line="360" w:lineRule="auto"/>
        <w:ind w:firstLine="480" w:firstLineChars="200"/>
        <w:rPr>
          <w:rFonts w:ascii="宋体" w:hAnsi="宋体" w:cs="宋体"/>
          <w:bCs/>
          <w:sz w:val="24"/>
          <w:highlight w:val="none"/>
        </w:rPr>
      </w:pPr>
      <w:r>
        <w:rPr>
          <w:rFonts w:hint="eastAsia" w:ascii="宋体" w:hAnsi="宋体" w:cs="宋体"/>
          <w:bCs/>
          <w:sz w:val="24"/>
          <w:highlight w:val="none"/>
        </w:rPr>
        <w:t>33. 无义务解释未中标原因</w:t>
      </w:r>
    </w:p>
    <w:p w14:paraId="5D74A668">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采购代理机构无义务向未中标的投标人解释未中标原因和退还投标文件。</w:t>
      </w:r>
    </w:p>
    <w:p w14:paraId="0FBF2B69">
      <w:pPr>
        <w:spacing w:line="360" w:lineRule="auto"/>
        <w:ind w:firstLine="480" w:firstLineChars="200"/>
        <w:rPr>
          <w:rFonts w:ascii="宋体" w:hAnsi="宋体" w:cs="宋体"/>
          <w:sz w:val="24"/>
          <w:highlight w:val="none"/>
        </w:rPr>
      </w:pPr>
      <w:r>
        <w:rPr>
          <w:rFonts w:hint="eastAsia" w:ascii="宋体" w:hAnsi="宋体" w:cs="宋体"/>
          <w:sz w:val="24"/>
          <w:highlight w:val="none"/>
        </w:rPr>
        <w:t>34.合同授予标准</w:t>
      </w:r>
    </w:p>
    <w:p w14:paraId="2E007FD0">
      <w:pPr>
        <w:spacing w:line="360" w:lineRule="auto"/>
        <w:ind w:firstLine="420" w:firstLineChars="200"/>
        <w:rPr>
          <w:rFonts w:ascii="宋体" w:hAnsi="宋体" w:cs="宋体"/>
          <w:szCs w:val="21"/>
          <w:highlight w:val="none"/>
        </w:rPr>
      </w:pPr>
      <w:r>
        <w:rPr>
          <w:rFonts w:hint="eastAsia" w:ascii="宋体" w:hAnsi="宋体" w:cs="宋体"/>
          <w:szCs w:val="21"/>
          <w:highlight w:val="none"/>
        </w:rPr>
        <w:t>合同将授予被确定实质上响应招标文件要求，具备履行合同能力的中标人（招标文件另有约定多名中标人的除外）。</w:t>
      </w:r>
    </w:p>
    <w:p w14:paraId="3FFAFB0D">
      <w:pPr>
        <w:spacing w:line="360" w:lineRule="auto"/>
        <w:ind w:firstLine="480" w:firstLineChars="200"/>
        <w:rPr>
          <w:rFonts w:ascii="宋体" w:hAnsi="宋体" w:cs="宋体"/>
          <w:sz w:val="24"/>
          <w:highlight w:val="none"/>
        </w:rPr>
      </w:pPr>
      <w:r>
        <w:rPr>
          <w:rFonts w:hint="eastAsia" w:ascii="宋体" w:hAnsi="宋体" w:cs="宋体"/>
          <w:sz w:val="24"/>
          <w:highlight w:val="none"/>
        </w:rPr>
        <w:t>35.履约保证金</w:t>
      </w:r>
    </w:p>
    <w:p w14:paraId="564A3CB4">
      <w:pPr>
        <w:pStyle w:val="6"/>
        <w:keepNext w:val="0"/>
        <w:keepLines w:val="0"/>
        <w:spacing w:before="0" w:after="0" w:line="360" w:lineRule="auto"/>
        <w:ind w:firstLine="315" w:firstLineChars="150"/>
        <w:rPr>
          <w:rFonts w:ascii="宋体" w:hAnsi="宋体" w:cs="宋体"/>
          <w:b w:val="0"/>
          <w:sz w:val="21"/>
          <w:szCs w:val="21"/>
          <w:highlight w:val="none"/>
        </w:rPr>
      </w:pPr>
      <w:bookmarkStart w:id="189" w:name="_39.1中标人须于签订合同前按本须知前附表规定的金额转账或电汇到指定账"/>
      <w:bookmarkEnd w:id="189"/>
      <w:r>
        <w:rPr>
          <w:rFonts w:hint="eastAsia" w:ascii="宋体" w:hAnsi="宋体" w:cs="宋体"/>
          <w:b w:val="0"/>
          <w:sz w:val="21"/>
          <w:szCs w:val="21"/>
          <w:highlight w:val="none"/>
        </w:rPr>
        <w:t xml:space="preserve"> 35.1 履约保证金的金额、提交方式、退付的时间和条件详见 “投标人须知前附表”。中标人未按规定提交履约保证金的，视为拒绝与采购人签订合同，采购人可以按照评标报告推荐的中标候选人名单排序，依法确定下一候选人为中标人，也可以重新开展政府采购活动。</w:t>
      </w:r>
    </w:p>
    <w:p w14:paraId="4DE91E8F">
      <w:pPr>
        <w:pStyle w:val="6"/>
        <w:keepNext w:val="0"/>
        <w:keepLines w:val="0"/>
        <w:spacing w:before="0" w:after="0" w:line="360" w:lineRule="auto"/>
        <w:ind w:firstLine="315" w:firstLineChars="150"/>
        <w:rPr>
          <w:rFonts w:ascii="宋体" w:hAnsi="宋体" w:cs="宋体"/>
          <w:b w:val="0"/>
          <w:sz w:val="21"/>
          <w:szCs w:val="21"/>
          <w:highlight w:val="none"/>
        </w:rPr>
      </w:pPr>
      <w:r>
        <w:rPr>
          <w:rFonts w:hint="eastAsia" w:ascii="宋体" w:hAnsi="宋体" w:cs="宋体"/>
          <w:b w:val="0"/>
          <w:sz w:val="21"/>
          <w:szCs w:val="21"/>
          <w:highlight w:val="none"/>
        </w:rPr>
        <w:t xml:space="preserve"> 35.2签订合同后，如中标人不按双方签订的合同规定履约，则没收其全部履约保证金，履约保证金不足以赔偿损失的，按实际损失赔偿。</w:t>
      </w:r>
    </w:p>
    <w:p w14:paraId="06724E1B">
      <w:pPr>
        <w:pStyle w:val="6"/>
        <w:keepNext w:val="0"/>
        <w:keepLines w:val="0"/>
        <w:spacing w:before="0" w:after="0" w:line="360" w:lineRule="auto"/>
        <w:ind w:firstLine="420" w:firstLineChars="200"/>
        <w:rPr>
          <w:rFonts w:ascii="宋体" w:hAnsi="宋体" w:cs="宋体"/>
          <w:b w:val="0"/>
          <w:sz w:val="21"/>
          <w:szCs w:val="21"/>
          <w:highlight w:val="none"/>
        </w:rPr>
      </w:pPr>
      <w:r>
        <w:rPr>
          <w:rFonts w:hint="eastAsia" w:ascii="宋体" w:hAnsi="宋体" w:cs="宋体"/>
          <w:b w:val="0"/>
          <w:sz w:val="21"/>
          <w:szCs w:val="21"/>
          <w:highlight w:val="none"/>
        </w:rPr>
        <w:t>35.3在履约保证金退还日期前，若中标人的开户名称、开户银行、账号有变动的，请以书面形式通知履约保证金收取单位，否则由此产生的后果由中标人自行承担。</w:t>
      </w:r>
    </w:p>
    <w:p w14:paraId="1FA61C6D">
      <w:pPr>
        <w:spacing w:line="360" w:lineRule="auto"/>
        <w:ind w:firstLine="480" w:firstLineChars="200"/>
        <w:rPr>
          <w:rFonts w:ascii="宋体" w:hAnsi="宋体" w:cs="宋体"/>
          <w:sz w:val="24"/>
          <w:highlight w:val="none"/>
        </w:rPr>
      </w:pPr>
      <w:r>
        <w:rPr>
          <w:rFonts w:hint="eastAsia" w:ascii="宋体" w:hAnsi="宋体" w:cs="宋体"/>
          <w:sz w:val="24"/>
          <w:highlight w:val="none"/>
        </w:rPr>
        <w:t>36.签订合同</w:t>
      </w:r>
    </w:p>
    <w:p w14:paraId="6F5FF320">
      <w:pPr>
        <w:spacing w:line="360" w:lineRule="auto"/>
        <w:ind w:firstLine="420" w:firstLineChars="200"/>
        <w:rPr>
          <w:rFonts w:ascii="宋体" w:hAnsi="宋体" w:cs="宋体"/>
          <w:szCs w:val="21"/>
          <w:highlight w:val="none"/>
        </w:rPr>
      </w:pPr>
      <w:bookmarkStart w:id="190" w:name="_40.1投标人接到中标通知书后，按须知前附表规定向采购人出示相关资格证"/>
      <w:bookmarkEnd w:id="190"/>
      <w:r>
        <w:rPr>
          <w:rFonts w:hint="eastAsia" w:ascii="宋体" w:hAnsi="宋体" w:cs="宋体"/>
          <w:szCs w:val="21"/>
          <w:highlight w:val="none"/>
        </w:rPr>
        <w:t>36.1中标人在中标通知书发出之日起，按规定的日期、时间、地点，由法定代表人或其授权代表与采购人代表签订采购合同。如中标人为联合体的，由联合体成员各方法定代表人或其授权代表与采购人代表签订合同，签订携带资料详见“投标人须知前附表”。（适用于签订纸质合同的情形）</w:t>
      </w:r>
    </w:p>
    <w:p w14:paraId="60448CB6">
      <w:pPr>
        <w:spacing w:line="360" w:lineRule="auto"/>
        <w:ind w:firstLine="420" w:firstLineChars="200"/>
        <w:rPr>
          <w:rFonts w:ascii="宋体" w:hAnsi="宋体"/>
          <w:szCs w:val="21"/>
          <w:highlight w:val="none"/>
          <w:lang w:val="zh-CN"/>
        </w:rPr>
      </w:pPr>
      <w:r>
        <w:rPr>
          <w:rFonts w:hint="eastAsia" w:ascii="宋体" w:hAnsi="宋体"/>
          <w:szCs w:val="21"/>
          <w:highlight w:val="none"/>
          <w:lang w:val="zh-CN"/>
        </w:rPr>
        <w:t>36.2采购合同由采购人与中标人根据招标文件、投标文件等内容通过政府采购电子交易平台在线签订，自动备案。（适用于签订电子合同的情形）</w:t>
      </w:r>
    </w:p>
    <w:p w14:paraId="5BC5A2D8">
      <w:pPr>
        <w:spacing w:line="360" w:lineRule="auto"/>
        <w:ind w:firstLine="420" w:firstLineChars="200"/>
        <w:rPr>
          <w:rFonts w:ascii="宋体" w:hAnsi="宋体"/>
          <w:szCs w:val="21"/>
          <w:highlight w:val="none"/>
          <w:lang w:val="zh-CN"/>
        </w:rPr>
      </w:pPr>
      <w:r>
        <w:rPr>
          <w:rFonts w:hint="eastAsia" w:ascii="宋体" w:hAnsi="宋体"/>
          <w:szCs w:val="21"/>
          <w:highlight w:val="none"/>
          <w:lang w:val="zh-CN"/>
        </w:rPr>
        <w:t>采购合同由采购人与中标人根据招标文件、投标文件等内容签订。（适用于签订纸质合同的情形）</w:t>
      </w:r>
    </w:p>
    <w:p w14:paraId="18D50C90">
      <w:pPr>
        <w:spacing w:line="360" w:lineRule="auto"/>
        <w:ind w:firstLine="420" w:firstLineChars="200"/>
        <w:rPr>
          <w:rFonts w:ascii="宋体" w:hAnsi="宋体" w:cs="宋体"/>
          <w:szCs w:val="21"/>
          <w:highlight w:val="none"/>
        </w:rPr>
      </w:pPr>
      <w:r>
        <w:rPr>
          <w:rFonts w:hint="eastAsia" w:ascii="宋体" w:hAnsi="宋体" w:cs="宋体"/>
          <w:szCs w:val="21"/>
          <w:highlight w:val="none"/>
        </w:rPr>
        <w:t>36.3签订合同时间：按中标通知书规定的时间与采购人签订合同。</w:t>
      </w:r>
    </w:p>
    <w:p w14:paraId="7EF35392">
      <w:pPr>
        <w:spacing w:line="360" w:lineRule="auto"/>
        <w:ind w:firstLine="420" w:firstLineChars="200"/>
        <w:rPr>
          <w:rFonts w:ascii="宋体" w:hAnsi="宋体" w:cs="宋体"/>
          <w:szCs w:val="21"/>
          <w:highlight w:val="none"/>
        </w:rPr>
      </w:pPr>
      <w:r>
        <w:rPr>
          <w:rFonts w:hint="eastAsia" w:ascii="宋体" w:hAnsi="宋体" w:cs="宋体"/>
          <w:szCs w:val="21"/>
          <w:highlight w:val="none"/>
        </w:rPr>
        <w:t>36.4中标人拒绝与采购人签订合同的，采购人可以按照评审报告推荐的中标候选人名单排序，依法确定下一候选人为中标人，也可以重新开展政府采购活动。如采购人无正当理由拒签合同的，给中标人造成损失的，中标人可追究采购人承担相应的法律责任。</w:t>
      </w:r>
    </w:p>
    <w:p w14:paraId="49A9CBC8">
      <w:pPr>
        <w:spacing w:line="360" w:lineRule="auto"/>
        <w:ind w:firstLine="420" w:firstLineChars="200"/>
        <w:rPr>
          <w:rFonts w:ascii="宋体" w:hAnsi="宋体" w:cs="宋体"/>
          <w:szCs w:val="21"/>
          <w:highlight w:val="none"/>
        </w:rPr>
      </w:pPr>
      <w:r>
        <w:rPr>
          <w:rFonts w:hint="eastAsia" w:ascii="宋体" w:hAnsi="宋体" w:cs="宋体"/>
          <w:szCs w:val="21"/>
          <w:highlight w:val="none"/>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59F24BA">
      <w:pPr>
        <w:spacing w:line="360" w:lineRule="auto"/>
        <w:ind w:firstLine="420" w:firstLineChars="200"/>
        <w:rPr>
          <w:rFonts w:ascii="宋体" w:hAnsi="宋体" w:cs="宋体"/>
          <w:szCs w:val="21"/>
          <w:highlight w:val="none"/>
        </w:rPr>
      </w:pPr>
      <w:r>
        <w:rPr>
          <w:rFonts w:hint="eastAsia" w:ascii="宋体" w:hAnsi="宋体" w:cs="宋体"/>
          <w:szCs w:val="21"/>
          <w:highlight w:val="none"/>
        </w:rPr>
        <w:t>36.6采购人或中标人不得单方面向合同另一方提出任何招标文件没有约定的条件或不合理的要求，作为签订合同的条件。也不得协商另行订立背离招标文件和合同实质性内容的协议。</w:t>
      </w:r>
    </w:p>
    <w:p w14:paraId="3438CA0B">
      <w:pPr>
        <w:spacing w:line="360" w:lineRule="auto"/>
        <w:ind w:firstLine="420" w:firstLineChars="200"/>
        <w:rPr>
          <w:rFonts w:ascii="宋体" w:hAnsi="宋体" w:cs="宋体"/>
          <w:b/>
          <w:szCs w:val="21"/>
          <w:highlight w:val="none"/>
        </w:rPr>
      </w:pPr>
      <w:r>
        <w:rPr>
          <w:rFonts w:hint="eastAsia" w:ascii="宋体" w:hAnsi="宋体" w:cs="宋体"/>
          <w:szCs w:val="21"/>
          <w:highlight w:val="none"/>
        </w:rPr>
        <w:t>36.7如签订合同并生效后，中标人无故拒绝或延期，除按照合同条款处理外，将承担相应的法律责任。</w:t>
      </w:r>
    </w:p>
    <w:p w14:paraId="3A389B15">
      <w:pPr>
        <w:spacing w:line="360" w:lineRule="auto"/>
        <w:ind w:firstLine="480" w:firstLineChars="200"/>
        <w:rPr>
          <w:rFonts w:ascii="宋体" w:hAnsi="宋体" w:cs="宋体"/>
          <w:sz w:val="24"/>
          <w:highlight w:val="none"/>
        </w:rPr>
      </w:pPr>
      <w:bookmarkStart w:id="191" w:name="_41.政府采购合同公告"/>
      <w:bookmarkEnd w:id="191"/>
      <w:r>
        <w:rPr>
          <w:rFonts w:hint="eastAsia" w:ascii="宋体" w:hAnsi="宋体" w:cs="宋体"/>
          <w:sz w:val="24"/>
          <w:highlight w:val="none"/>
        </w:rPr>
        <w:t>37.政府采购合同公告</w:t>
      </w:r>
    </w:p>
    <w:p w14:paraId="503E880F">
      <w:pPr>
        <w:spacing w:line="360" w:lineRule="auto"/>
        <w:ind w:firstLine="420" w:firstLineChars="200"/>
        <w:rPr>
          <w:rFonts w:ascii="宋体" w:hAnsi="宋体" w:cs="宋体"/>
          <w:highlight w:val="none"/>
        </w:rPr>
      </w:pPr>
      <w:r>
        <w:rPr>
          <w:rFonts w:hint="eastAsia" w:cs="宋体"/>
          <w:kern w:val="1"/>
          <w:highlight w:val="none"/>
        </w:rPr>
        <w:t>采购人应当自政府采购合同签订之日起2个工作日内，将政府采购合同</w:t>
      </w:r>
      <w:r>
        <w:rPr>
          <w:rFonts w:hint="eastAsia" w:ascii="宋体" w:hAnsi="宋体" w:cs="宋体"/>
          <w:bCs/>
          <w:kern w:val="1"/>
          <w:highlight w:val="none"/>
        </w:rPr>
        <w:t>在</w:t>
      </w:r>
      <w:r>
        <w:rPr>
          <w:rFonts w:hint="eastAsia"/>
          <w:highlight w:val="none"/>
        </w:rPr>
        <w:t>省级以上人民政府财政部门指定的</w:t>
      </w:r>
      <w:r>
        <w:rPr>
          <w:rFonts w:hint="eastAsia" w:ascii="宋体" w:hAnsi="宋体" w:cs="宋体"/>
          <w:bCs/>
          <w:kern w:val="1"/>
          <w:highlight w:val="none"/>
        </w:rPr>
        <w:t>媒体上</w:t>
      </w:r>
      <w:r>
        <w:rPr>
          <w:rFonts w:hint="eastAsia" w:cs="宋体"/>
          <w:kern w:val="1"/>
          <w:highlight w:val="none"/>
        </w:rPr>
        <w:t>公告，</w:t>
      </w:r>
      <w:r>
        <w:rPr>
          <w:rFonts w:cs="宋体"/>
          <w:kern w:val="1"/>
          <w:highlight w:val="none"/>
        </w:rPr>
        <w:t>但政府采购合同中涉及国家秘密、商业秘密的内容除外。</w:t>
      </w:r>
    </w:p>
    <w:p w14:paraId="751B9A79">
      <w:pPr>
        <w:spacing w:line="360" w:lineRule="auto"/>
        <w:ind w:firstLine="480" w:firstLineChars="200"/>
        <w:rPr>
          <w:rFonts w:ascii="宋体" w:hAnsi="宋体" w:cs="宋体"/>
          <w:sz w:val="24"/>
          <w:highlight w:val="none"/>
        </w:rPr>
      </w:pPr>
      <w:r>
        <w:rPr>
          <w:rFonts w:hint="eastAsia" w:ascii="宋体" w:hAnsi="宋体" w:cs="宋体"/>
          <w:sz w:val="24"/>
          <w:highlight w:val="none"/>
        </w:rPr>
        <w:t>38. 询问、质疑和投诉</w:t>
      </w:r>
    </w:p>
    <w:p w14:paraId="27C9C79A">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38.1询问</w:t>
      </w:r>
    </w:p>
    <w:p w14:paraId="706E4BE9">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38.1.1供应商在开标前对政府采购活动事项有疑问的，可以向采购人或采购代理机构项目负责人提出询问。</w:t>
      </w:r>
    </w:p>
    <w:p w14:paraId="5AF82168">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38.1.2采购人或采购人委托的采购代理机构自受理询问之日起3个工作日内对供应商依法提出的询问作出答复，</w:t>
      </w:r>
      <w:r>
        <w:rPr>
          <w:rFonts w:hint="eastAsia" w:ascii="宋体" w:hAnsi="宋体" w:cs="宋体"/>
          <w:highlight w:val="none"/>
        </w:rPr>
        <w:t>但答复内容不得涉及商业秘密</w:t>
      </w:r>
      <w:r>
        <w:rPr>
          <w:rFonts w:hint="eastAsia" w:ascii="宋体" w:hAnsi="宋体" w:cs="宋体"/>
          <w:bCs/>
          <w:szCs w:val="21"/>
          <w:highlight w:val="none"/>
        </w:rPr>
        <w:t>。</w:t>
      </w:r>
    </w:p>
    <w:p w14:paraId="31C9DCAD">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38.1.3 询问事项可能影响中标结果的，采购人应当暂停签订合同，已经签订合同的，应当中止履行合同。</w:t>
      </w:r>
    </w:p>
    <w:p w14:paraId="26DCCBF4">
      <w:pPr>
        <w:spacing w:line="360" w:lineRule="auto"/>
        <w:ind w:firstLine="420" w:firstLineChars="200"/>
        <w:rPr>
          <w:rFonts w:ascii="宋体" w:hAnsi="宋体" w:cs="宋体"/>
          <w:szCs w:val="21"/>
          <w:highlight w:val="none"/>
        </w:rPr>
      </w:pPr>
      <w:r>
        <w:rPr>
          <w:rFonts w:hint="eastAsia" w:ascii="宋体" w:hAnsi="宋体" w:cs="宋体"/>
          <w:szCs w:val="21"/>
          <w:highlight w:val="none"/>
        </w:rPr>
        <w:t>38.2质疑</w:t>
      </w:r>
    </w:p>
    <w:p w14:paraId="3FB1D96E">
      <w:pPr>
        <w:spacing w:line="360" w:lineRule="auto"/>
        <w:ind w:firstLine="420" w:firstLineChars="200"/>
        <w:rPr>
          <w:rFonts w:ascii="宋体" w:hAnsi="宋体" w:cs="宋体"/>
          <w:b/>
          <w:szCs w:val="21"/>
          <w:highlight w:val="none"/>
        </w:rPr>
      </w:pPr>
      <w:r>
        <w:rPr>
          <w:rFonts w:hint="eastAsia" w:ascii="宋体" w:hAnsi="宋体" w:cs="宋体"/>
          <w:bCs/>
          <w:szCs w:val="21"/>
          <w:highlight w:val="none"/>
        </w:rPr>
        <w:t>38.2.1</w:t>
      </w:r>
      <w:r>
        <w:rPr>
          <w:rFonts w:hint="eastAsia" w:ascii="宋体" w:hAnsi="宋体" w:cs="宋体"/>
          <w:b/>
          <w:szCs w:val="21"/>
          <w:highlight w:val="none"/>
        </w:rPr>
        <w:t xml:space="preserve">供应商认为招标文件、采购过程或者中标结果使自己的合法权益受到损害的，必须在知道或者应知其权益受到损害之日起7个工作日内，以书面形式向采购人或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1DADEC9">
      <w:pPr>
        <w:spacing w:line="360" w:lineRule="auto"/>
        <w:ind w:firstLine="420" w:firstLineChars="200"/>
        <w:rPr>
          <w:rFonts w:ascii="宋体" w:hAnsi="宋体" w:cs="宋体"/>
          <w:bCs/>
          <w:highlight w:val="none"/>
        </w:rPr>
      </w:pPr>
      <w:r>
        <w:rPr>
          <w:rFonts w:hint="eastAsia" w:ascii="宋体" w:hAnsi="宋体" w:cs="宋体"/>
          <w:bCs/>
          <w:highlight w:val="none"/>
        </w:rPr>
        <w:t>（1）潜在供应商依法获取招标文件后，认为采购文件使自己的权益受到损害的，应当在招标文件公告期限届满之日起7个工作日内提出质疑。</w:t>
      </w:r>
      <w:r>
        <w:rPr>
          <w:rFonts w:hint="eastAsia" w:ascii="宋体" w:hAnsi="宋体" w:cs="宋体"/>
          <w:highlight w:val="none"/>
        </w:rPr>
        <w:t>委托代理协议无特殊约定的，</w:t>
      </w:r>
      <w:r>
        <w:rPr>
          <w:rFonts w:hint="eastAsia" w:ascii="宋体" w:hAnsi="宋体" w:cs="宋体"/>
          <w:bCs/>
          <w:highlight w:val="none"/>
        </w:rPr>
        <w:t>对招标文件中采购需求（含资格要求、采购预算和评分办法）的质疑由采购人受理并负责答复。对招标文件中的采购执行程序的质疑由采购代理机构受理并负责答复。</w:t>
      </w:r>
    </w:p>
    <w:p w14:paraId="7756322C">
      <w:pPr>
        <w:spacing w:line="360" w:lineRule="auto"/>
        <w:ind w:firstLine="420" w:firstLineChars="200"/>
        <w:rPr>
          <w:rFonts w:ascii="宋体" w:hAnsi="宋体" w:cs="宋体"/>
          <w:bCs/>
          <w:highlight w:val="none"/>
        </w:rPr>
      </w:pPr>
      <w:r>
        <w:rPr>
          <w:rFonts w:hint="eastAsia" w:ascii="宋体" w:hAnsi="宋体" w:cs="宋体"/>
          <w:bCs/>
          <w:highlight w:val="none"/>
        </w:rPr>
        <w:t>（2）供应商认为采购过程使自己的权益受到损害的，应当在各采购程序环节结束之日起7个工作日内提出质疑。对采购过程中资格审查、符合性审查等具体评审情况的质疑应向采购人或采购代理机构提出，由采购人或采购代理机构受理并负责答复。对采购过程中采购执行程序的质疑由采购代理机构受理并负责答复。</w:t>
      </w:r>
    </w:p>
    <w:p w14:paraId="214F36BB">
      <w:pPr>
        <w:spacing w:line="360" w:lineRule="auto"/>
        <w:ind w:firstLine="420" w:firstLineChars="200"/>
        <w:rPr>
          <w:rFonts w:ascii="宋体" w:hAnsi="宋体" w:cs="宋体"/>
          <w:bCs/>
          <w:highlight w:val="none"/>
        </w:rPr>
      </w:pPr>
      <w:r>
        <w:rPr>
          <w:rFonts w:hint="eastAsia" w:ascii="宋体" w:hAnsi="宋体" w:cs="宋体"/>
          <w:bCs/>
          <w:highlight w:val="none"/>
        </w:rPr>
        <w:t>（3）供应商认为中标或者成交结果使自己的权益受到损害的，应当在中标或者成交结果公告期限届满之日起7个工作日内提出质疑，由采购人受理并负责答复。</w:t>
      </w:r>
    </w:p>
    <w:p w14:paraId="0245FD08">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38.2.2供应商质疑实行实名制，其质疑应当有具体的质疑事项及事实根据，质疑应当坚持依法依规、诚实信用原则，不得进行虚假、恶意质疑。</w:t>
      </w:r>
    </w:p>
    <w:p w14:paraId="628DDAF6">
      <w:pPr>
        <w:spacing w:line="360" w:lineRule="auto"/>
        <w:ind w:firstLine="420" w:firstLineChars="200"/>
        <w:rPr>
          <w:rFonts w:ascii="宋体" w:hAnsi="宋体" w:cs="宋体"/>
          <w:bCs/>
          <w:highlight w:val="none"/>
        </w:rPr>
      </w:pPr>
      <w:r>
        <w:rPr>
          <w:rFonts w:hint="eastAsia" w:ascii="宋体" w:hAnsi="宋体" w:cs="宋体"/>
          <w:bCs/>
          <w:szCs w:val="21"/>
          <w:highlight w:val="none"/>
        </w:rPr>
        <w:t>38.2.3</w:t>
      </w:r>
      <w:r>
        <w:rPr>
          <w:rFonts w:hint="eastAsia" w:ascii="宋体" w:hAnsi="宋体" w:cs="宋体"/>
          <w:bCs/>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highlight w:val="none"/>
        </w:rPr>
        <w:t>。</w:t>
      </w:r>
    </w:p>
    <w:p w14:paraId="6CA06AA8">
      <w:pPr>
        <w:spacing w:line="360" w:lineRule="auto"/>
        <w:ind w:firstLine="422" w:firstLineChars="200"/>
        <w:rPr>
          <w:rFonts w:ascii="宋体" w:hAnsi="宋体" w:cs="宋体"/>
          <w:b/>
          <w:bCs/>
          <w:highlight w:val="none"/>
        </w:rPr>
      </w:pPr>
      <w:r>
        <w:rPr>
          <w:rFonts w:hint="eastAsia" w:ascii="宋体" w:hAnsi="宋体" w:cs="宋体"/>
          <w:b/>
          <w:bCs/>
          <w:highlight w:val="none"/>
        </w:rPr>
        <w:t>38.2.4 质疑供应商提起质疑应当符合下列条件：</w:t>
      </w:r>
    </w:p>
    <w:p w14:paraId="79EB837E">
      <w:pPr>
        <w:spacing w:line="360" w:lineRule="auto"/>
        <w:ind w:firstLine="420" w:firstLineChars="200"/>
        <w:rPr>
          <w:rFonts w:ascii="宋体" w:hAnsi="宋体" w:cs="宋体"/>
          <w:bCs/>
          <w:highlight w:val="none"/>
        </w:rPr>
      </w:pPr>
      <w:r>
        <w:rPr>
          <w:rFonts w:hint="eastAsia" w:ascii="宋体" w:hAnsi="宋体" w:cs="宋体"/>
          <w:bCs/>
          <w:highlight w:val="none"/>
        </w:rPr>
        <w:t>（1）质疑供应商是参与所质疑</w:t>
      </w:r>
      <w:r>
        <w:rPr>
          <w:rFonts w:hint="eastAsia" w:ascii="宋体" w:hAnsi="宋体" w:cs="宋体"/>
          <w:bCs/>
          <w:szCs w:val="21"/>
          <w:highlight w:val="none"/>
        </w:rPr>
        <w:t>项目</w:t>
      </w:r>
      <w:r>
        <w:rPr>
          <w:rFonts w:hint="eastAsia" w:ascii="宋体" w:hAnsi="宋体" w:cs="宋体"/>
          <w:bCs/>
          <w:highlight w:val="none"/>
        </w:rPr>
        <w:t>采购活动的供应商（潜在供应商已依法获取可质疑的采购文件的，可以对该采购文件质疑）。</w:t>
      </w:r>
    </w:p>
    <w:p w14:paraId="73FBD7C6">
      <w:pPr>
        <w:spacing w:line="360" w:lineRule="auto"/>
        <w:ind w:firstLine="420" w:firstLineChars="200"/>
        <w:rPr>
          <w:rFonts w:ascii="宋体" w:hAnsi="宋体" w:cs="宋体"/>
          <w:bCs/>
          <w:highlight w:val="none"/>
        </w:rPr>
      </w:pPr>
      <w:r>
        <w:rPr>
          <w:rFonts w:hint="eastAsia" w:ascii="宋体" w:hAnsi="宋体" w:cs="宋体"/>
          <w:bCs/>
          <w:highlight w:val="none"/>
        </w:rPr>
        <w:t>（2）质疑函内容符合本章第38.2.5项的规定。</w:t>
      </w:r>
    </w:p>
    <w:p w14:paraId="6DEF0F3C">
      <w:pPr>
        <w:spacing w:line="360" w:lineRule="auto"/>
        <w:ind w:firstLine="420" w:firstLineChars="200"/>
        <w:rPr>
          <w:rFonts w:ascii="宋体" w:hAnsi="宋体" w:cs="宋体"/>
          <w:bCs/>
          <w:highlight w:val="none"/>
        </w:rPr>
      </w:pPr>
      <w:r>
        <w:rPr>
          <w:rFonts w:hint="eastAsia" w:ascii="宋体" w:hAnsi="宋体" w:cs="宋体"/>
          <w:bCs/>
          <w:highlight w:val="none"/>
        </w:rPr>
        <w:t>（3）在质疑有效期限内提起质疑。</w:t>
      </w:r>
    </w:p>
    <w:p w14:paraId="0536CFD2">
      <w:pPr>
        <w:spacing w:line="360" w:lineRule="auto"/>
        <w:ind w:firstLine="420" w:firstLineChars="200"/>
        <w:rPr>
          <w:rFonts w:ascii="宋体" w:hAnsi="宋体" w:cs="宋体"/>
          <w:bCs/>
          <w:highlight w:val="none"/>
        </w:rPr>
      </w:pPr>
      <w:r>
        <w:rPr>
          <w:rFonts w:hint="eastAsia" w:ascii="宋体" w:hAnsi="宋体" w:cs="宋体"/>
          <w:bCs/>
          <w:highlight w:val="none"/>
        </w:rPr>
        <w:t xml:space="preserve">（4）属于所质疑的采购人或采购人委托的采购代理机构组织的采购活动。 </w:t>
      </w:r>
    </w:p>
    <w:p w14:paraId="5E51EA7C">
      <w:pPr>
        <w:spacing w:line="360" w:lineRule="auto"/>
        <w:ind w:firstLine="420" w:firstLineChars="200"/>
        <w:rPr>
          <w:rFonts w:ascii="宋体" w:hAnsi="宋体" w:cs="宋体"/>
          <w:bCs/>
          <w:highlight w:val="none"/>
        </w:rPr>
      </w:pPr>
      <w:r>
        <w:rPr>
          <w:rFonts w:hint="eastAsia" w:ascii="宋体" w:hAnsi="宋体" w:cs="宋体"/>
          <w:bCs/>
          <w:highlight w:val="none"/>
        </w:rPr>
        <w:t>（5）供应商对同一采购程序环节的质疑应当在质疑有效期内一次性提出。</w:t>
      </w:r>
    </w:p>
    <w:p w14:paraId="13EE55CB">
      <w:pPr>
        <w:spacing w:line="360" w:lineRule="auto"/>
        <w:ind w:firstLine="420" w:firstLineChars="200"/>
        <w:rPr>
          <w:rFonts w:ascii="宋体" w:hAnsi="宋体" w:cs="宋体"/>
          <w:bCs/>
          <w:highlight w:val="none"/>
        </w:rPr>
      </w:pPr>
      <w:r>
        <w:rPr>
          <w:rFonts w:hint="eastAsia" w:ascii="宋体" w:hAnsi="宋体" w:cs="宋体"/>
          <w:bCs/>
          <w:highlight w:val="none"/>
        </w:rPr>
        <w:t>（6）供应商提交质疑应当提交必要的证明材料，证明材料应以合法手段取得。</w:t>
      </w:r>
    </w:p>
    <w:p w14:paraId="3F58A21D">
      <w:pPr>
        <w:spacing w:line="360" w:lineRule="auto"/>
        <w:ind w:firstLine="420" w:firstLineChars="200"/>
        <w:rPr>
          <w:rFonts w:ascii="宋体" w:hAnsi="宋体" w:cs="宋体"/>
          <w:highlight w:val="none"/>
        </w:rPr>
      </w:pPr>
      <w:r>
        <w:rPr>
          <w:rFonts w:hint="eastAsia" w:ascii="宋体" w:hAnsi="宋体" w:cs="宋体"/>
          <w:bCs/>
          <w:highlight w:val="none"/>
        </w:rPr>
        <w:t>（7）财政部门规定的其他条件。</w:t>
      </w:r>
    </w:p>
    <w:p w14:paraId="0352978F">
      <w:pPr>
        <w:spacing w:line="360" w:lineRule="auto"/>
        <w:ind w:firstLine="422" w:firstLineChars="200"/>
        <w:rPr>
          <w:rFonts w:ascii="宋体" w:hAnsi="宋体" w:cs="宋体"/>
          <w:b/>
          <w:szCs w:val="21"/>
          <w:highlight w:val="none"/>
        </w:rPr>
      </w:pPr>
      <w:bookmarkStart w:id="192" w:name="_9.2质疑、投诉应当采用书面形式，质疑函、投诉书均应明确阐述招标文件、"/>
      <w:bookmarkEnd w:id="192"/>
      <w:r>
        <w:rPr>
          <w:rFonts w:hint="eastAsia" w:ascii="宋体" w:hAnsi="宋体" w:cs="宋体"/>
          <w:b/>
          <w:bCs/>
          <w:szCs w:val="21"/>
          <w:highlight w:val="none"/>
        </w:rPr>
        <w:t xml:space="preserve"> 38.2.5 </w:t>
      </w:r>
      <w:r>
        <w:rPr>
          <w:rFonts w:hint="eastAsia" w:ascii="宋体" w:hAnsi="宋体" w:cs="宋体"/>
          <w:b/>
          <w:highlight w:val="none"/>
        </w:rPr>
        <w:t>供应商提出质疑应当提交质疑函和必要的证明材料，针对同一采购程序环节的质疑必须在法定质疑期内一次性提出。质疑函应当包括下列内容（质疑函格式后附）</w:t>
      </w:r>
      <w:r>
        <w:rPr>
          <w:rFonts w:hint="eastAsia" w:ascii="宋体" w:hAnsi="宋体" w:cs="宋体"/>
          <w:bCs/>
          <w:highlight w:val="none"/>
        </w:rPr>
        <w:t>：</w:t>
      </w:r>
    </w:p>
    <w:p w14:paraId="17DCAA27">
      <w:pPr>
        <w:spacing w:line="360" w:lineRule="auto"/>
        <w:ind w:firstLine="420" w:firstLineChars="200"/>
        <w:rPr>
          <w:rFonts w:ascii="宋体" w:hAnsi="宋体" w:cs="宋体"/>
          <w:bCs/>
          <w:highlight w:val="none"/>
        </w:rPr>
      </w:pPr>
      <w:r>
        <w:rPr>
          <w:rFonts w:hint="eastAsia" w:ascii="宋体" w:hAnsi="宋体" w:cs="宋体"/>
          <w:bCs/>
          <w:highlight w:val="none"/>
        </w:rPr>
        <w:t>（1）供应商的姓名或者名称、地址、邮编、联系人及联系电话。</w:t>
      </w:r>
    </w:p>
    <w:p w14:paraId="7F7602C3">
      <w:pPr>
        <w:spacing w:line="360" w:lineRule="auto"/>
        <w:ind w:firstLine="420" w:firstLineChars="200"/>
        <w:rPr>
          <w:rFonts w:ascii="宋体" w:hAnsi="宋体" w:cs="宋体"/>
          <w:bCs/>
          <w:highlight w:val="none"/>
        </w:rPr>
      </w:pPr>
      <w:r>
        <w:rPr>
          <w:rFonts w:hint="eastAsia" w:ascii="宋体" w:hAnsi="宋体" w:cs="宋体"/>
          <w:bCs/>
          <w:highlight w:val="none"/>
        </w:rPr>
        <w:t>（2）质疑项目的名称、编号。</w:t>
      </w:r>
    </w:p>
    <w:p w14:paraId="650E5641">
      <w:pPr>
        <w:spacing w:line="360" w:lineRule="auto"/>
        <w:ind w:firstLine="420" w:firstLineChars="200"/>
        <w:rPr>
          <w:rFonts w:ascii="宋体" w:hAnsi="宋体" w:cs="宋体"/>
          <w:bCs/>
          <w:highlight w:val="none"/>
        </w:rPr>
      </w:pPr>
      <w:r>
        <w:rPr>
          <w:rFonts w:hint="eastAsia" w:ascii="宋体" w:hAnsi="宋体" w:cs="宋体"/>
          <w:bCs/>
          <w:highlight w:val="none"/>
        </w:rPr>
        <w:t>（3）具体、明确的质疑事项和与质疑事项相关的请求。</w:t>
      </w:r>
    </w:p>
    <w:p w14:paraId="50FA9FBB">
      <w:pPr>
        <w:spacing w:line="360" w:lineRule="auto"/>
        <w:ind w:firstLine="420" w:firstLineChars="200"/>
        <w:rPr>
          <w:rFonts w:ascii="宋体" w:hAnsi="宋体" w:cs="宋体"/>
          <w:bCs/>
          <w:highlight w:val="none"/>
        </w:rPr>
      </w:pPr>
      <w:r>
        <w:rPr>
          <w:rFonts w:hint="eastAsia" w:ascii="宋体" w:hAnsi="宋体" w:cs="宋体"/>
          <w:bCs/>
          <w:highlight w:val="none"/>
        </w:rPr>
        <w:t>（4）事实依据（列明权益受到损害的事实和理由）。</w:t>
      </w:r>
    </w:p>
    <w:p w14:paraId="447D9304">
      <w:pPr>
        <w:spacing w:line="360" w:lineRule="auto"/>
        <w:ind w:firstLine="420" w:firstLineChars="200"/>
        <w:rPr>
          <w:rFonts w:ascii="宋体" w:hAnsi="宋体" w:cs="宋体"/>
          <w:bCs/>
          <w:highlight w:val="none"/>
        </w:rPr>
      </w:pPr>
      <w:r>
        <w:rPr>
          <w:rFonts w:hint="eastAsia" w:ascii="宋体" w:hAnsi="宋体" w:cs="宋体"/>
          <w:bCs/>
          <w:highlight w:val="none"/>
        </w:rPr>
        <w:t>（5）必要的法律依据。</w:t>
      </w:r>
    </w:p>
    <w:p w14:paraId="19560625">
      <w:pPr>
        <w:spacing w:line="360" w:lineRule="auto"/>
        <w:ind w:firstLine="420" w:firstLineChars="200"/>
        <w:rPr>
          <w:rFonts w:ascii="宋体" w:hAnsi="宋体" w:cs="宋体"/>
          <w:bCs/>
          <w:highlight w:val="none"/>
        </w:rPr>
      </w:pPr>
      <w:r>
        <w:rPr>
          <w:rFonts w:hint="eastAsia" w:ascii="宋体" w:hAnsi="宋体" w:cs="宋体"/>
          <w:bCs/>
          <w:highlight w:val="none"/>
        </w:rPr>
        <w:t>（6）提出质疑的日期。</w:t>
      </w:r>
    </w:p>
    <w:p w14:paraId="39787A05">
      <w:pPr>
        <w:spacing w:line="360" w:lineRule="auto"/>
        <w:ind w:firstLine="420" w:firstLineChars="200"/>
        <w:rPr>
          <w:rFonts w:ascii="宋体" w:hAnsi="宋体" w:cs="宋体"/>
          <w:bCs/>
          <w:highlight w:val="none"/>
        </w:rPr>
      </w:pPr>
      <w:r>
        <w:rPr>
          <w:rFonts w:hint="eastAsia" w:ascii="宋体" w:hAnsi="宋体" w:cs="宋体"/>
          <w:bCs/>
          <w:highlight w:val="none"/>
        </w:rPr>
        <w:t>供应商为自然人的，应当由本人签字。供应商为法人或者其他组织的，应当由法定代表人、主要负责人，或者其委托代理人签字或者盖章，并加盖公章。</w:t>
      </w:r>
    </w:p>
    <w:p w14:paraId="15B9BD46">
      <w:pPr>
        <w:spacing w:line="360" w:lineRule="auto"/>
        <w:ind w:firstLine="422" w:firstLineChars="200"/>
        <w:rPr>
          <w:rFonts w:ascii="宋体" w:hAnsi="宋体" w:cs="宋体"/>
          <w:b/>
          <w:szCs w:val="20"/>
          <w:highlight w:val="none"/>
        </w:rPr>
      </w:pPr>
      <w:r>
        <w:rPr>
          <w:rFonts w:hint="eastAsia" w:ascii="宋体" w:hAnsi="宋体" w:cs="宋体"/>
          <w:b/>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6675E871">
      <w:pPr>
        <w:spacing w:line="360" w:lineRule="auto"/>
        <w:ind w:firstLine="420" w:firstLineChars="200"/>
        <w:rPr>
          <w:rFonts w:ascii="宋体" w:hAnsi="宋体" w:cs="宋体"/>
          <w:bCs/>
          <w:szCs w:val="21"/>
          <w:highlight w:val="none"/>
        </w:rPr>
      </w:pPr>
      <w:r>
        <w:rPr>
          <w:rFonts w:hint="eastAsia" w:ascii="宋体" w:hAnsi="宋体" w:cs="宋体"/>
          <w:szCs w:val="21"/>
          <w:highlight w:val="none"/>
        </w:rPr>
        <w:t>3</w:t>
      </w:r>
      <w:r>
        <w:rPr>
          <w:rFonts w:hint="eastAsia" w:ascii="宋体" w:hAnsi="宋体" w:cs="宋体"/>
          <w:bCs/>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1888F928">
      <w:pPr>
        <w:spacing w:line="360" w:lineRule="auto"/>
        <w:ind w:firstLine="420" w:firstLineChars="200"/>
        <w:rPr>
          <w:rFonts w:ascii="宋体" w:hAnsi="宋体" w:cs="宋体"/>
          <w:bCs/>
          <w:highlight w:val="none"/>
        </w:rPr>
      </w:pPr>
      <w:r>
        <w:rPr>
          <w:rFonts w:hint="eastAsia" w:ascii="宋体" w:hAnsi="宋体" w:cs="宋体"/>
          <w:bCs/>
          <w:highlight w:val="none"/>
        </w:rPr>
        <w:t>　　（一）对招标文件提出的质疑，依法通过澄清或者修改可以继续开展采购活动的，澄清或者修改招标文件后继续开展采购活动。否则应当修改招标文件后重新开展采购活动。</w:t>
      </w:r>
    </w:p>
    <w:p w14:paraId="508557F6">
      <w:pPr>
        <w:spacing w:line="360" w:lineRule="auto"/>
        <w:ind w:firstLine="420" w:firstLineChars="200"/>
        <w:rPr>
          <w:rFonts w:ascii="宋体" w:hAnsi="宋体" w:cs="宋体"/>
          <w:bCs/>
          <w:highlight w:val="none"/>
        </w:rPr>
      </w:pPr>
      <w:r>
        <w:rPr>
          <w:rFonts w:hint="eastAsia" w:ascii="宋体" w:hAnsi="宋体" w:cs="宋体"/>
          <w:bCs/>
          <w:highlight w:val="none"/>
        </w:rPr>
        <w:t>　　（二）对采购过程、中标结果提出的质疑，合格供应商符合法定数量时，可以从合格的中标候选人中另行确定中标供应商的，应当依法另行确定中标供应商。否则应当重新开展采购活动。</w:t>
      </w:r>
    </w:p>
    <w:p w14:paraId="299FFEE2">
      <w:pPr>
        <w:spacing w:line="360" w:lineRule="auto"/>
        <w:ind w:firstLine="420" w:firstLineChars="200"/>
        <w:rPr>
          <w:rFonts w:ascii="宋体" w:hAnsi="宋体" w:cs="宋体"/>
          <w:bCs/>
          <w:highlight w:val="none"/>
        </w:rPr>
      </w:pPr>
      <w:r>
        <w:rPr>
          <w:rFonts w:hint="eastAsia" w:ascii="宋体" w:hAnsi="宋体" w:cs="宋体"/>
          <w:bCs/>
          <w:highlight w:val="none"/>
        </w:rPr>
        <w:t>质疑答复导致中标结果改变的，采购人或者采购代理机构应当将有关情况书面报告</w:t>
      </w:r>
      <w:r>
        <w:rPr>
          <w:rFonts w:hint="eastAsia" w:ascii="宋体" w:hAnsi="宋体" w:cs="宋体"/>
          <w:szCs w:val="21"/>
          <w:highlight w:val="none"/>
        </w:rPr>
        <w:t>本级财政部门</w:t>
      </w:r>
      <w:r>
        <w:rPr>
          <w:rFonts w:hint="eastAsia" w:ascii="宋体" w:hAnsi="宋体" w:cs="宋体"/>
          <w:bCs/>
          <w:highlight w:val="none"/>
        </w:rPr>
        <w:t>。</w:t>
      </w:r>
    </w:p>
    <w:p w14:paraId="2053CF1B">
      <w:pPr>
        <w:spacing w:line="360" w:lineRule="auto"/>
        <w:ind w:firstLine="422" w:firstLineChars="200"/>
        <w:rPr>
          <w:rFonts w:ascii="宋体" w:hAnsi="宋体" w:cs="宋体"/>
          <w:b/>
          <w:highlight w:val="none"/>
        </w:rPr>
      </w:pPr>
      <w:r>
        <w:rPr>
          <w:rFonts w:hint="eastAsia" w:ascii="宋体" w:hAnsi="宋体" w:cs="宋体"/>
          <w:b/>
          <w:highlight w:val="none"/>
        </w:rPr>
        <w:t>38.3投诉</w:t>
      </w:r>
    </w:p>
    <w:p w14:paraId="5A9527C9">
      <w:pPr>
        <w:spacing w:line="360" w:lineRule="auto"/>
        <w:ind w:firstLine="422" w:firstLineChars="200"/>
        <w:rPr>
          <w:rFonts w:ascii="宋体" w:hAnsi="宋体" w:cs="宋体"/>
          <w:bCs/>
          <w:highlight w:val="none"/>
        </w:rPr>
      </w:pPr>
      <w:r>
        <w:rPr>
          <w:rFonts w:hint="eastAsia" w:ascii="宋体" w:hAnsi="宋体" w:cs="宋体"/>
          <w:b/>
          <w:highlight w:val="none"/>
        </w:rPr>
        <w:t>38.3</w:t>
      </w:r>
      <w:r>
        <w:rPr>
          <w:rFonts w:hint="eastAsia" w:ascii="宋体" w:hAnsi="宋体" w:cs="宋体"/>
          <w:bCs/>
          <w:highlight w:val="none"/>
        </w:rPr>
        <w:t>.</w:t>
      </w:r>
      <w:r>
        <w:rPr>
          <w:rFonts w:hint="eastAsia" w:ascii="宋体" w:hAnsi="宋体" w:cs="宋体"/>
          <w:b/>
          <w:bCs/>
          <w:highlight w:val="none"/>
        </w:rPr>
        <w:t xml:space="preserve">1 </w:t>
      </w:r>
      <w:r>
        <w:rPr>
          <w:rFonts w:hint="eastAsia" w:ascii="宋体" w:hAnsi="宋体" w:cs="宋体"/>
          <w:bCs/>
          <w:highlight w:val="none"/>
        </w:rPr>
        <w:t xml:space="preserve"> 供应商认为采购文件、采购过程、中标和成交结果使自己的合法权益受到损害的，应当首先依法向采购人或采购人委托的</w:t>
      </w:r>
      <w:r>
        <w:rPr>
          <w:rFonts w:hint="eastAsia" w:ascii="宋体" w:hAnsi="宋体" w:cs="宋体"/>
          <w:highlight w:val="none"/>
        </w:rPr>
        <w:t>采购代理机构</w:t>
      </w:r>
      <w:r>
        <w:rPr>
          <w:rFonts w:hint="eastAsia" w:ascii="宋体" w:hAnsi="宋体" w:cs="宋体"/>
          <w:bCs/>
          <w:highlight w:val="none"/>
        </w:rPr>
        <w:t>提出质疑。对采购人或</w:t>
      </w:r>
      <w:r>
        <w:rPr>
          <w:rFonts w:hint="eastAsia" w:ascii="宋体" w:hAnsi="宋体" w:cs="宋体"/>
          <w:highlight w:val="none"/>
        </w:rPr>
        <w:t>采购代理机构</w:t>
      </w:r>
      <w:r>
        <w:rPr>
          <w:rFonts w:hint="eastAsia" w:ascii="宋体" w:hAnsi="宋体" w:cs="宋体"/>
          <w:bCs/>
          <w:highlight w:val="none"/>
        </w:rPr>
        <w:t>的答复不满意，或者采购人或</w:t>
      </w:r>
      <w:r>
        <w:rPr>
          <w:rFonts w:hint="eastAsia" w:ascii="宋体" w:hAnsi="宋体" w:cs="宋体"/>
          <w:highlight w:val="none"/>
        </w:rPr>
        <w:t>采购代理机构</w:t>
      </w:r>
      <w:r>
        <w:rPr>
          <w:rFonts w:hint="eastAsia" w:ascii="宋体" w:hAnsi="宋体" w:cs="宋体"/>
          <w:bCs/>
          <w:highlight w:val="none"/>
        </w:rPr>
        <w:t>未在规定期限内做出答复的，供应商可以在答复期满后15个工作日内向本级财政部门提起投诉，投诉联系方式见“投标人须知前附表”。</w:t>
      </w:r>
    </w:p>
    <w:p w14:paraId="27FE9424">
      <w:pPr>
        <w:spacing w:line="360" w:lineRule="auto"/>
        <w:ind w:firstLine="422" w:firstLineChars="200"/>
        <w:rPr>
          <w:rFonts w:ascii="宋体" w:hAnsi="宋体" w:cs="宋体"/>
          <w:b/>
          <w:highlight w:val="none"/>
        </w:rPr>
      </w:pPr>
      <w:r>
        <w:rPr>
          <w:rFonts w:hint="eastAsia" w:ascii="宋体" w:hAnsi="宋体" w:cs="宋体"/>
          <w:b/>
          <w:highlight w:val="none"/>
        </w:rPr>
        <w:t>38.3.2  投诉人投诉时，应当提交投诉书，并按照被投诉采购人、采购代理机构和与投诉事项有关的供应商数量提供投诉书的副本。投诉书</w:t>
      </w:r>
      <w:r>
        <w:rPr>
          <w:rFonts w:hint="eastAsia" w:ascii="宋体" w:hAnsi="宋体" w:cs="宋体"/>
          <w:b/>
          <w:szCs w:val="21"/>
          <w:highlight w:val="none"/>
        </w:rPr>
        <w:t>应当包括下列主要内容</w:t>
      </w:r>
      <w:r>
        <w:rPr>
          <w:rFonts w:hint="eastAsia" w:ascii="宋体" w:hAnsi="宋体" w:cs="宋体"/>
          <w:b/>
          <w:highlight w:val="none"/>
        </w:rPr>
        <w:t>（如材料中有外文资料应同时附上对应的中文译本）（投诉书格式后附）</w:t>
      </w:r>
      <w:r>
        <w:rPr>
          <w:rFonts w:hint="eastAsia" w:ascii="宋体" w:hAnsi="宋体" w:cs="宋体"/>
          <w:b/>
          <w:szCs w:val="21"/>
          <w:highlight w:val="none"/>
        </w:rPr>
        <w:t>：</w:t>
      </w:r>
    </w:p>
    <w:p w14:paraId="0241C2CD">
      <w:pPr>
        <w:spacing w:line="360" w:lineRule="auto"/>
        <w:ind w:firstLine="420" w:firstLineChars="200"/>
        <w:rPr>
          <w:rFonts w:ascii="宋体" w:hAnsi="宋体" w:cs="宋体"/>
          <w:highlight w:val="none"/>
        </w:rPr>
      </w:pPr>
      <w:r>
        <w:rPr>
          <w:rFonts w:hint="eastAsia" w:ascii="宋体" w:hAnsi="宋体" w:cs="宋体"/>
          <w:highlight w:val="none"/>
        </w:rPr>
        <w:t xml:space="preserve">（1）投诉人和被投诉人的名称、地址、邮编、联系人及联系电话等。 </w:t>
      </w:r>
    </w:p>
    <w:p w14:paraId="5B494146">
      <w:pPr>
        <w:spacing w:line="360" w:lineRule="auto"/>
        <w:ind w:firstLine="420" w:firstLineChars="200"/>
        <w:rPr>
          <w:rFonts w:ascii="宋体" w:hAnsi="宋体" w:cs="宋体"/>
          <w:highlight w:val="none"/>
        </w:rPr>
      </w:pPr>
      <w:r>
        <w:rPr>
          <w:rFonts w:hint="eastAsia" w:ascii="宋体" w:hAnsi="宋体" w:cs="宋体"/>
          <w:highlight w:val="none"/>
        </w:rPr>
        <w:t xml:space="preserve">（2）质疑和质疑答复情况及相关证明材料。 </w:t>
      </w:r>
    </w:p>
    <w:p w14:paraId="0C849FC5">
      <w:pPr>
        <w:spacing w:line="360" w:lineRule="auto"/>
        <w:ind w:firstLine="420" w:firstLineChars="200"/>
        <w:rPr>
          <w:rFonts w:ascii="宋体" w:hAnsi="宋体" w:cs="宋体"/>
          <w:highlight w:val="none"/>
        </w:rPr>
      </w:pPr>
      <w:r>
        <w:rPr>
          <w:rFonts w:hint="eastAsia" w:ascii="宋体" w:hAnsi="宋体" w:cs="宋体"/>
          <w:highlight w:val="none"/>
        </w:rPr>
        <w:t>（3）具体、明确的投诉事项和与投诉事项相关的投诉请求。</w:t>
      </w:r>
    </w:p>
    <w:p w14:paraId="371D1079">
      <w:pPr>
        <w:spacing w:line="360" w:lineRule="auto"/>
        <w:ind w:firstLine="420" w:firstLineChars="200"/>
        <w:rPr>
          <w:rFonts w:ascii="宋体" w:hAnsi="宋体" w:cs="宋体"/>
          <w:highlight w:val="none"/>
        </w:rPr>
      </w:pPr>
      <w:r>
        <w:rPr>
          <w:rFonts w:hint="eastAsia" w:ascii="宋体" w:hAnsi="宋体" w:cs="宋体"/>
          <w:highlight w:val="none"/>
        </w:rPr>
        <w:t>（4）事实依据。</w:t>
      </w:r>
    </w:p>
    <w:p w14:paraId="465DA792">
      <w:pPr>
        <w:spacing w:line="360" w:lineRule="auto"/>
        <w:ind w:firstLine="420" w:firstLineChars="200"/>
        <w:rPr>
          <w:rFonts w:ascii="宋体" w:hAnsi="宋体" w:cs="宋体"/>
          <w:highlight w:val="none"/>
        </w:rPr>
      </w:pPr>
      <w:r>
        <w:rPr>
          <w:rFonts w:hint="eastAsia" w:ascii="宋体" w:hAnsi="宋体" w:cs="宋体"/>
          <w:highlight w:val="none"/>
        </w:rPr>
        <w:t>（5）法律依据。</w:t>
      </w:r>
    </w:p>
    <w:p w14:paraId="4E329A74">
      <w:pPr>
        <w:spacing w:line="360" w:lineRule="auto"/>
        <w:ind w:firstLine="420" w:firstLineChars="200"/>
        <w:rPr>
          <w:rFonts w:ascii="宋体" w:hAnsi="宋体" w:cs="宋体"/>
          <w:highlight w:val="none"/>
        </w:rPr>
      </w:pPr>
      <w:r>
        <w:rPr>
          <w:rFonts w:hint="eastAsia" w:ascii="宋体" w:hAnsi="宋体" w:cs="宋体"/>
          <w:highlight w:val="none"/>
        </w:rPr>
        <w:t>（6）提起投诉的日期。</w:t>
      </w:r>
    </w:p>
    <w:p w14:paraId="77F2432C">
      <w:pPr>
        <w:spacing w:line="360" w:lineRule="auto"/>
        <w:ind w:firstLine="420" w:firstLineChars="200"/>
        <w:rPr>
          <w:rFonts w:ascii="宋体" w:hAnsi="宋体" w:cs="宋体"/>
          <w:bCs/>
          <w:highlight w:val="none"/>
        </w:rPr>
      </w:pPr>
      <w:r>
        <w:rPr>
          <w:rFonts w:hint="eastAsia" w:ascii="宋体" w:hAnsi="宋体" w:cs="宋体"/>
          <w:bCs/>
          <w:highlight w:val="none"/>
        </w:rPr>
        <w:t>投诉人为自然人的，应当由本人签字。投诉人为法人或者其他组织的，应当由法定代表人、主要负责人，或者其授权代表签字或者盖章，并加盖公章。</w:t>
      </w:r>
    </w:p>
    <w:p w14:paraId="56942468">
      <w:pPr>
        <w:spacing w:line="360" w:lineRule="auto"/>
        <w:ind w:firstLine="422" w:firstLineChars="200"/>
        <w:rPr>
          <w:rFonts w:ascii="宋体" w:hAnsi="宋体" w:cs="宋体"/>
          <w:bCs/>
          <w:highlight w:val="none"/>
        </w:rPr>
      </w:pPr>
      <w:r>
        <w:rPr>
          <w:rFonts w:hint="eastAsia" w:ascii="宋体" w:hAnsi="宋体" w:cs="宋体"/>
          <w:b/>
          <w:highlight w:val="none"/>
        </w:rPr>
        <w:t xml:space="preserve">38.3.3  </w:t>
      </w:r>
      <w:r>
        <w:rPr>
          <w:rFonts w:hint="eastAsia" w:ascii="宋体" w:hAnsi="宋体" w:cs="宋体"/>
          <w:highlight w:val="none"/>
        </w:rPr>
        <w:t>投诉人可以委托代理人办理投诉事务。</w:t>
      </w:r>
      <w:r>
        <w:rPr>
          <w:rFonts w:hint="eastAsia" w:ascii="宋体" w:hAnsi="宋体" w:cs="宋体"/>
          <w:bCs/>
          <w:highlight w:val="none"/>
        </w:rPr>
        <w:t>委托代理人应熟悉相关业务情况。</w:t>
      </w:r>
      <w:r>
        <w:rPr>
          <w:rFonts w:hint="eastAsia" w:ascii="宋体" w:hAnsi="宋体" w:cs="宋体"/>
          <w:highlight w:val="none"/>
        </w:rPr>
        <w:t>代理人办理投诉事务时，除提交投诉书外，还应当提交投诉人的授权委托书和委托代理人身份证明复印件。</w:t>
      </w:r>
    </w:p>
    <w:p w14:paraId="24809899">
      <w:pPr>
        <w:spacing w:line="360" w:lineRule="auto"/>
        <w:ind w:firstLine="422" w:firstLineChars="200"/>
        <w:rPr>
          <w:rFonts w:ascii="宋体" w:hAnsi="宋体" w:cs="宋体"/>
          <w:highlight w:val="none"/>
        </w:rPr>
      </w:pPr>
      <w:r>
        <w:rPr>
          <w:rFonts w:hint="eastAsia" w:ascii="宋体" w:hAnsi="宋体" w:cs="宋体"/>
          <w:b/>
          <w:highlight w:val="none"/>
        </w:rPr>
        <w:t>38.3.4</w:t>
      </w:r>
      <w:r>
        <w:rPr>
          <w:rFonts w:hint="eastAsia" w:ascii="宋体" w:hAnsi="宋体" w:cs="宋体"/>
          <w:highlight w:val="none"/>
        </w:rPr>
        <w:t xml:space="preserve">  投诉人提起投诉应当符合下列条件：</w:t>
      </w:r>
    </w:p>
    <w:p w14:paraId="09B407CD">
      <w:pPr>
        <w:spacing w:line="360" w:lineRule="auto"/>
        <w:ind w:firstLine="420" w:firstLineChars="200"/>
        <w:rPr>
          <w:rFonts w:ascii="宋体" w:hAnsi="宋体" w:cs="宋体"/>
          <w:highlight w:val="none"/>
        </w:rPr>
      </w:pPr>
      <w:r>
        <w:rPr>
          <w:rFonts w:hint="eastAsia" w:ascii="宋体" w:hAnsi="宋体" w:cs="宋体"/>
          <w:highlight w:val="none"/>
        </w:rPr>
        <w:t>（1）投诉人是参与所投诉政府采购活动的供应商。</w:t>
      </w:r>
    </w:p>
    <w:p w14:paraId="1302A111">
      <w:pPr>
        <w:spacing w:line="360" w:lineRule="auto"/>
        <w:ind w:firstLine="420" w:firstLineChars="200"/>
        <w:rPr>
          <w:rFonts w:ascii="宋体" w:hAnsi="宋体" w:cs="宋体"/>
          <w:highlight w:val="none"/>
        </w:rPr>
      </w:pPr>
      <w:r>
        <w:rPr>
          <w:rFonts w:hint="eastAsia" w:ascii="宋体" w:hAnsi="宋体" w:cs="宋体"/>
          <w:highlight w:val="none"/>
        </w:rPr>
        <w:t>（2）提起投诉前已依法进行质疑。</w:t>
      </w:r>
    </w:p>
    <w:p w14:paraId="4D7BE479">
      <w:pPr>
        <w:spacing w:line="360" w:lineRule="auto"/>
        <w:ind w:firstLine="420" w:firstLineChars="200"/>
        <w:rPr>
          <w:rFonts w:ascii="宋体" w:hAnsi="宋体" w:cs="宋体"/>
          <w:highlight w:val="none"/>
        </w:rPr>
      </w:pPr>
      <w:r>
        <w:rPr>
          <w:rFonts w:hint="eastAsia" w:ascii="宋体" w:hAnsi="宋体" w:cs="宋体"/>
          <w:highlight w:val="none"/>
        </w:rPr>
        <w:t>（3）投诉书内容符合本章第38.3.2项的规定。</w:t>
      </w:r>
    </w:p>
    <w:p w14:paraId="4D2DE82B">
      <w:pPr>
        <w:spacing w:line="360" w:lineRule="auto"/>
        <w:ind w:firstLine="420" w:firstLineChars="200"/>
        <w:rPr>
          <w:rFonts w:ascii="宋体" w:hAnsi="宋体" w:cs="宋体"/>
          <w:highlight w:val="none"/>
        </w:rPr>
      </w:pPr>
      <w:r>
        <w:rPr>
          <w:rFonts w:hint="eastAsia" w:ascii="宋体" w:hAnsi="宋体" w:cs="宋体"/>
          <w:highlight w:val="none"/>
        </w:rPr>
        <w:t>（4）在投诉有效期限内提起投诉。</w:t>
      </w:r>
    </w:p>
    <w:p w14:paraId="1D10ED5A">
      <w:pPr>
        <w:spacing w:line="360" w:lineRule="auto"/>
        <w:ind w:firstLine="420" w:firstLineChars="200"/>
        <w:rPr>
          <w:rFonts w:ascii="宋体" w:hAnsi="宋体" w:cs="宋体"/>
          <w:highlight w:val="none"/>
        </w:rPr>
      </w:pPr>
      <w:r>
        <w:rPr>
          <w:rFonts w:hint="eastAsia" w:ascii="宋体" w:hAnsi="宋体" w:cs="宋体"/>
          <w:highlight w:val="none"/>
        </w:rPr>
        <w:t>（5）同一投诉事项未经财政部门投诉处理。</w:t>
      </w:r>
    </w:p>
    <w:p w14:paraId="0DFE1DFF">
      <w:pPr>
        <w:pStyle w:val="14"/>
        <w:snapToGrid w:val="0"/>
        <w:spacing w:line="360" w:lineRule="auto"/>
        <w:ind w:firstLine="420" w:firstLineChars="200"/>
        <w:rPr>
          <w:rFonts w:ascii="宋体" w:hAnsi="宋体" w:cs="宋体"/>
          <w:highlight w:val="none"/>
        </w:rPr>
      </w:pPr>
      <w:r>
        <w:rPr>
          <w:rFonts w:hint="eastAsia" w:ascii="宋体" w:hAnsi="宋体" w:cs="宋体"/>
          <w:highlight w:val="none"/>
        </w:rPr>
        <w:t>（6）国务院财政部门规定的其他条件。</w:t>
      </w:r>
    </w:p>
    <w:p w14:paraId="7ABBD68E">
      <w:pPr>
        <w:pStyle w:val="4"/>
        <w:ind w:firstLine="4498" w:firstLineChars="1400"/>
        <w:rPr>
          <w:rFonts w:ascii="宋体" w:hAnsi="宋体" w:cs="宋体"/>
          <w:highlight w:val="none"/>
        </w:rPr>
      </w:pPr>
      <w:bookmarkStart w:id="193" w:name="_Toc17335"/>
      <w:bookmarkStart w:id="194" w:name="_Toc22303"/>
      <w:bookmarkStart w:id="195" w:name="_Toc28886"/>
      <w:bookmarkStart w:id="196" w:name="_Toc18873"/>
      <w:r>
        <w:rPr>
          <w:rFonts w:hint="eastAsia" w:ascii="宋体" w:hAnsi="宋体" w:cs="宋体"/>
          <w:highlight w:val="none"/>
        </w:rPr>
        <w:t>八、验收</w:t>
      </w:r>
      <w:bookmarkEnd w:id="193"/>
      <w:bookmarkEnd w:id="194"/>
      <w:bookmarkEnd w:id="195"/>
      <w:bookmarkEnd w:id="196"/>
    </w:p>
    <w:p w14:paraId="0BED7869">
      <w:pPr>
        <w:spacing w:line="360" w:lineRule="auto"/>
        <w:ind w:firstLine="422" w:firstLineChars="200"/>
        <w:rPr>
          <w:rFonts w:ascii="宋体" w:hAnsi="宋体" w:cs="宋体"/>
          <w:b/>
          <w:highlight w:val="none"/>
        </w:rPr>
      </w:pPr>
      <w:r>
        <w:rPr>
          <w:rFonts w:hint="eastAsia" w:ascii="宋体" w:hAnsi="宋体" w:cs="宋体"/>
          <w:b/>
          <w:highlight w:val="none"/>
        </w:rPr>
        <w:t>39.验收</w:t>
      </w:r>
    </w:p>
    <w:p w14:paraId="28099B0D">
      <w:pPr>
        <w:tabs>
          <w:tab w:val="left" w:pos="0"/>
        </w:tabs>
        <w:spacing w:line="360" w:lineRule="auto"/>
        <w:ind w:firstLine="315"/>
        <w:rPr>
          <w:rFonts w:ascii="宋体" w:hAnsi="宋体" w:cs="宋体"/>
          <w:highlight w:val="none"/>
        </w:rPr>
      </w:pPr>
      <w:r>
        <w:rPr>
          <w:rFonts w:hint="eastAsia" w:ascii="宋体" w:hAnsi="宋体" w:cs="宋体"/>
          <w:highlight w:val="none"/>
        </w:rPr>
        <w:t>39.1采购人组织对中标人履约的验收。大型或者复杂的政府采购项目，应当邀请国家认可的质量检测机构参加验收工作。验收方成员应当在验收书上签字，并承担相应的法律责任。如果发现与合同中要求不符，中标人须承担由此发生的一切损失和费用，并接受相应的处理。</w:t>
      </w:r>
    </w:p>
    <w:p w14:paraId="3D06EBC7">
      <w:pPr>
        <w:tabs>
          <w:tab w:val="left" w:pos="0"/>
        </w:tabs>
        <w:spacing w:line="360" w:lineRule="auto"/>
        <w:ind w:firstLine="315"/>
        <w:rPr>
          <w:rFonts w:ascii="宋体" w:hAnsi="宋体" w:cs="宋体"/>
          <w:highlight w:val="none"/>
        </w:rPr>
      </w:pPr>
      <w:r>
        <w:rPr>
          <w:rFonts w:hint="eastAsia" w:ascii="宋体" w:hAnsi="宋体" w:cs="宋体"/>
          <w:highlight w:val="none"/>
        </w:rPr>
        <w:t>39.2采购人可以邀请参加本项目的其他投标人或者第三方机构参与验收。参与验收的投标人或者第三方机构的意见作为验收书的参考资料一并存档。</w:t>
      </w:r>
    </w:p>
    <w:p w14:paraId="6777C557">
      <w:pPr>
        <w:tabs>
          <w:tab w:val="left" w:pos="0"/>
        </w:tabs>
        <w:spacing w:line="360" w:lineRule="auto"/>
        <w:ind w:firstLine="315"/>
        <w:rPr>
          <w:rFonts w:ascii="宋体" w:hAnsi="宋体" w:cs="宋体"/>
          <w:highlight w:val="none"/>
        </w:rPr>
      </w:pPr>
      <w:r>
        <w:rPr>
          <w:rFonts w:hint="eastAsia" w:ascii="宋体" w:hAnsi="宋体" w:cs="宋体"/>
          <w:highlight w:val="none"/>
        </w:rPr>
        <w:t>39.3严格按照采购合同开展履约验收。采购人成立验收小组，按照采购合同的约定对中标人履约情况进行验收。验收时，按照采购合同的约定对每一项技术、货物</w:t>
      </w:r>
      <w:r>
        <w:rPr>
          <w:rFonts w:hint="eastAsia"/>
          <w:highlight w:val="none"/>
        </w:rPr>
        <w:t>或服务</w:t>
      </w:r>
      <w:r>
        <w:rPr>
          <w:rFonts w:hint="eastAsia" w:ascii="宋体" w:hAnsi="宋体" w:cs="宋体"/>
          <w:highlight w:val="none"/>
        </w:rPr>
        <w:t>、安全标准的履约情况进行确认。验收结束后，应当出具验收书，列明各项标准的验收情况及项目总体评价，由验收双方共同签署。验收结果与采购合同约定的资金支付及履约保证金（如有）返还条件挂钩。履约验收的各项资料应当存档备查。</w:t>
      </w:r>
    </w:p>
    <w:p w14:paraId="437C65C0">
      <w:pPr>
        <w:tabs>
          <w:tab w:val="left" w:pos="0"/>
        </w:tabs>
        <w:spacing w:line="360" w:lineRule="auto"/>
        <w:ind w:firstLine="315"/>
        <w:rPr>
          <w:rFonts w:ascii="宋体" w:hAnsi="宋体" w:cs="宋体"/>
          <w:highlight w:val="none"/>
        </w:rPr>
      </w:pPr>
      <w:r>
        <w:rPr>
          <w:rFonts w:hint="eastAsia" w:ascii="宋体" w:hAnsi="宋体" w:cs="宋体"/>
          <w:highlight w:val="none"/>
        </w:rPr>
        <w:t>39.4验收合格的项目，采购人将根据采购合同的约定及时向中标人支付采购资金。验收不合格的项目，采购人将依法及时处理。采购合同的履行、违约责任和解决争议的方式等适用《中华人民共和国民法典》。中标人在履约过程中有政府采购法律法规规定的违法违规情形的，采购人应当及时报告本级财政部门。</w:t>
      </w:r>
    </w:p>
    <w:p w14:paraId="778411F5">
      <w:pPr>
        <w:pStyle w:val="4"/>
        <w:keepNext w:val="0"/>
        <w:keepLines w:val="0"/>
        <w:spacing w:line="360" w:lineRule="auto"/>
        <w:jc w:val="center"/>
        <w:rPr>
          <w:rFonts w:ascii="宋体" w:hAnsi="宋体" w:cs="宋体"/>
          <w:highlight w:val="none"/>
        </w:rPr>
      </w:pPr>
      <w:bookmarkStart w:id="197" w:name="_八、其他事项"/>
      <w:bookmarkEnd w:id="197"/>
      <w:bookmarkStart w:id="198" w:name="_Toc18658"/>
      <w:bookmarkStart w:id="199" w:name="_Toc13415"/>
      <w:bookmarkStart w:id="200" w:name="_Toc30046"/>
      <w:bookmarkStart w:id="201" w:name="_Toc22183"/>
    </w:p>
    <w:p w14:paraId="235BCE40">
      <w:pPr>
        <w:pStyle w:val="4"/>
        <w:keepNext w:val="0"/>
        <w:keepLines w:val="0"/>
        <w:spacing w:line="360" w:lineRule="auto"/>
        <w:jc w:val="center"/>
        <w:rPr>
          <w:rFonts w:ascii="宋体" w:hAnsi="宋体" w:cs="宋体"/>
          <w:highlight w:val="none"/>
        </w:rPr>
      </w:pPr>
      <w:r>
        <w:rPr>
          <w:rFonts w:hint="eastAsia" w:ascii="宋体" w:hAnsi="宋体" w:cs="宋体"/>
          <w:highlight w:val="none"/>
        </w:rPr>
        <w:t>九、其他事项</w:t>
      </w:r>
      <w:bookmarkEnd w:id="198"/>
      <w:bookmarkEnd w:id="199"/>
      <w:bookmarkEnd w:id="200"/>
      <w:bookmarkEnd w:id="201"/>
    </w:p>
    <w:p w14:paraId="2E38BA90">
      <w:pPr>
        <w:spacing w:line="360" w:lineRule="auto"/>
        <w:ind w:firstLine="480" w:firstLineChars="200"/>
        <w:rPr>
          <w:rFonts w:ascii="宋体" w:hAnsi="宋体" w:cs="宋体"/>
          <w:sz w:val="24"/>
          <w:highlight w:val="none"/>
        </w:rPr>
      </w:pPr>
      <w:bookmarkStart w:id="202" w:name="_42.代理服务费"/>
      <w:bookmarkEnd w:id="202"/>
      <w:r>
        <w:rPr>
          <w:rFonts w:hint="eastAsia" w:ascii="宋体" w:hAnsi="宋体" w:cs="宋体"/>
          <w:sz w:val="24"/>
          <w:highlight w:val="none"/>
        </w:rPr>
        <w:t>40.采购代理服务费</w:t>
      </w:r>
    </w:p>
    <w:p w14:paraId="122898A6">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40.1采购代理服务费收费标准及缴费账户详见“投标人须知前附表”，投标人为联合体的，可以由联合体中的一方或者多方共同缴纳采购代理服务费。以项目中标总金额为计费额，按本须知正文第40.2条规定收取。</w:t>
      </w:r>
    </w:p>
    <w:p w14:paraId="6624C50C">
      <w:pPr>
        <w:pStyle w:val="6"/>
        <w:keepNext w:val="0"/>
        <w:keepLines w:val="0"/>
        <w:spacing w:before="0" w:after="0" w:line="360" w:lineRule="auto"/>
        <w:ind w:left="420" w:leftChars="200"/>
        <w:rPr>
          <w:rFonts w:ascii="宋体" w:hAnsi="宋体" w:cs="宋体"/>
          <w:b w:val="0"/>
          <w:sz w:val="21"/>
          <w:szCs w:val="21"/>
          <w:highlight w:val="none"/>
        </w:rPr>
      </w:pPr>
      <w:r>
        <w:rPr>
          <w:rFonts w:hint="eastAsia" w:ascii="宋体" w:hAnsi="宋体" w:cs="宋体"/>
          <w:b w:val="0"/>
          <w:sz w:val="21"/>
          <w:szCs w:val="21"/>
          <w:highlight w:val="none"/>
        </w:rPr>
        <w:t>40.2采购代理服务费收费标准：</w:t>
      </w:r>
    </w:p>
    <w:tbl>
      <w:tblPr>
        <w:tblStyle w:val="28"/>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7CD6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tcPr>
          <w:p w14:paraId="5ABD473A">
            <w:pPr>
              <w:spacing w:line="360" w:lineRule="auto"/>
              <w:rPr>
                <w:rFonts w:ascii="宋体" w:hAnsi="宋体" w:cs="宋体"/>
                <w:szCs w:val="21"/>
                <w:highlight w:val="none"/>
              </w:rPr>
            </w:pPr>
            <w:r>
              <w:rPr>
                <w:rFonts w:hint="eastAsia" w:ascii="宋体" w:hAnsi="宋体" w:cs="宋体"/>
                <w:szCs w:val="21"/>
                <w:highlight w:val="none"/>
              </w:rPr>
              <w:t xml:space="preserve">               费率</w:t>
            </w:r>
          </w:p>
          <w:p w14:paraId="2AD29D93">
            <w:pPr>
              <w:spacing w:line="360" w:lineRule="auto"/>
              <w:rPr>
                <w:rFonts w:ascii="宋体" w:hAnsi="宋体" w:cs="宋体"/>
                <w:szCs w:val="21"/>
                <w:highlight w:val="none"/>
              </w:rPr>
            </w:pPr>
            <w:r>
              <w:rPr>
                <w:rFonts w:hint="eastAsia" w:ascii="宋体" w:hAnsi="宋体" w:cs="宋体"/>
                <w:szCs w:val="21"/>
                <w:highlight w:val="none"/>
              </w:rPr>
              <w:t>中标金额</w:t>
            </w:r>
          </w:p>
        </w:tc>
        <w:tc>
          <w:tcPr>
            <w:tcW w:w="1659" w:type="dxa"/>
            <w:noWrap/>
            <w:vAlign w:val="center"/>
          </w:tcPr>
          <w:p w14:paraId="0F341BF3">
            <w:pPr>
              <w:spacing w:line="360" w:lineRule="auto"/>
              <w:ind w:firstLine="105" w:firstLineChars="50"/>
              <w:jc w:val="center"/>
              <w:rPr>
                <w:rFonts w:ascii="宋体" w:hAnsi="宋体" w:cs="宋体"/>
                <w:szCs w:val="21"/>
                <w:highlight w:val="none"/>
              </w:rPr>
            </w:pPr>
            <w:r>
              <w:rPr>
                <w:rFonts w:hint="eastAsia" w:ascii="宋体" w:hAnsi="宋体" w:cs="宋体"/>
                <w:szCs w:val="21"/>
                <w:highlight w:val="none"/>
              </w:rPr>
              <w:t>货物类</w:t>
            </w:r>
          </w:p>
        </w:tc>
        <w:tc>
          <w:tcPr>
            <w:tcW w:w="1687" w:type="dxa"/>
            <w:noWrap/>
            <w:vAlign w:val="center"/>
          </w:tcPr>
          <w:p w14:paraId="70D30328">
            <w:pPr>
              <w:spacing w:line="360" w:lineRule="auto"/>
              <w:jc w:val="center"/>
              <w:rPr>
                <w:rFonts w:ascii="宋体" w:hAnsi="宋体" w:cs="宋体"/>
                <w:szCs w:val="21"/>
                <w:highlight w:val="none"/>
              </w:rPr>
            </w:pPr>
            <w:r>
              <w:rPr>
                <w:rFonts w:hint="eastAsia" w:ascii="宋体" w:hAnsi="宋体" w:cs="宋体"/>
                <w:szCs w:val="21"/>
                <w:highlight w:val="none"/>
              </w:rPr>
              <w:t>服务类</w:t>
            </w:r>
          </w:p>
        </w:tc>
        <w:tc>
          <w:tcPr>
            <w:tcW w:w="1659" w:type="dxa"/>
            <w:noWrap/>
            <w:vAlign w:val="center"/>
          </w:tcPr>
          <w:p w14:paraId="097023B1">
            <w:pPr>
              <w:spacing w:line="360" w:lineRule="auto"/>
              <w:jc w:val="center"/>
              <w:rPr>
                <w:rFonts w:ascii="宋体" w:hAnsi="宋体" w:cs="宋体"/>
                <w:szCs w:val="21"/>
                <w:highlight w:val="none"/>
              </w:rPr>
            </w:pPr>
            <w:r>
              <w:rPr>
                <w:rFonts w:hint="eastAsia" w:ascii="宋体" w:hAnsi="宋体" w:cs="宋体"/>
                <w:szCs w:val="21"/>
                <w:highlight w:val="none"/>
              </w:rPr>
              <w:t>工程类</w:t>
            </w:r>
          </w:p>
        </w:tc>
      </w:tr>
      <w:tr w14:paraId="74BE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123A4049">
            <w:pPr>
              <w:spacing w:line="360" w:lineRule="auto"/>
              <w:rPr>
                <w:rFonts w:ascii="宋体" w:hAnsi="宋体" w:cs="宋体"/>
                <w:szCs w:val="21"/>
                <w:highlight w:val="none"/>
              </w:rPr>
            </w:pPr>
            <w:r>
              <w:rPr>
                <w:rFonts w:hint="eastAsia" w:ascii="宋体" w:hAnsi="宋体" w:cs="宋体"/>
                <w:szCs w:val="21"/>
                <w:highlight w:val="none"/>
              </w:rPr>
              <w:t>100万元以下</w:t>
            </w:r>
          </w:p>
        </w:tc>
        <w:tc>
          <w:tcPr>
            <w:tcW w:w="1659" w:type="dxa"/>
            <w:noWrap/>
          </w:tcPr>
          <w:p w14:paraId="3B291E2A">
            <w:pPr>
              <w:spacing w:line="360" w:lineRule="auto"/>
              <w:jc w:val="center"/>
              <w:rPr>
                <w:rFonts w:ascii="宋体" w:hAnsi="宋体" w:cs="宋体"/>
                <w:szCs w:val="21"/>
                <w:highlight w:val="none"/>
              </w:rPr>
            </w:pPr>
            <w:r>
              <w:rPr>
                <w:rFonts w:hint="eastAsia" w:ascii="宋体" w:hAnsi="宋体" w:cs="宋体"/>
                <w:kern w:val="0"/>
                <w:szCs w:val="21"/>
                <w:highlight w:val="none"/>
              </w:rPr>
              <w:t>1.5%</w:t>
            </w:r>
          </w:p>
        </w:tc>
        <w:tc>
          <w:tcPr>
            <w:tcW w:w="1687" w:type="dxa"/>
            <w:noWrap/>
          </w:tcPr>
          <w:p w14:paraId="5BB6CE8A">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1.5%</w:t>
            </w:r>
          </w:p>
        </w:tc>
        <w:tc>
          <w:tcPr>
            <w:tcW w:w="1659" w:type="dxa"/>
            <w:noWrap/>
          </w:tcPr>
          <w:p w14:paraId="0631A7D7">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1.0%</w:t>
            </w:r>
          </w:p>
        </w:tc>
      </w:tr>
      <w:tr w14:paraId="0F06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3CBB9DA9">
            <w:pPr>
              <w:spacing w:line="360" w:lineRule="auto"/>
              <w:rPr>
                <w:rFonts w:ascii="宋体" w:hAnsi="宋体" w:cs="宋体"/>
                <w:szCs w:val="21"/>
                <w:highlight w:val="none"/>
              </w:rPr>
            </w:pPr>
            <w:r>
              <w:rPr>
                <w:rFonts w:hint="eastAsia" w:ascii="宋体" w:hAnsi="宋体" w:cs="宋体"/>
                <w:szCs w:val="21"/>
                <w:highlight w:val="none"/>
              </w:rPr>
              <w:t>100～500万元</w:t>
            </w:r>
          </w:p>
        </w:tc>
        <w:tc>
          <w:tcPr>
            <w:tcW w:w="1659" w:type="dxa"/>
            <w:noWrap/>
          </w:tcPr>
          <w:p w14:paraId="3FA49104">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1.1%</w:t>
            </w:r>
          </w:p>
        </w:tc>
        <w:tc>
          <w:tcPr>
            <w:tcW w:w="1687" w:type="dxa"/>
            <w:noWrap/>
          </w:tcPr>
          <w:p w14:paraId="597297D3">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0.8%</w:t>
            </w:r>
          </w:p>
        </w:tc>
        <w:tc>
          <w:tcPr>
            <w:tcW w:w="1659" w:type="dxa"/>
            <w:noWrap/>
          </w:tcPr>
          <w:p w14:paraId="768A3365">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0.7%</w:t>
            </w:r>
          </w:p>
        </w:tc>
      </w:tr>
      <w:tr w14:paraId="0664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71FFAE1B">
            <w:pPr>
              <w:spacing w:line="360" w:lineRule="auto"/>
              <w:rPr>
                <w:rFonts w:ascii="宋体" w:hAnsi="宋体" w:cs="宋体"/>
                <w:szCs w:val="21"/>
                <w:highlight w:val="none"/>
              </w:rPr>
            </w:pPr>
            <w:r>
              <w:rPr>
                <w:rFonts w:hint="eastAsia" w:ascii="宋体" w:hAnsi="宋体" w:cs="宋体"/>
                <w:szCs w:val="21"/>
                <w:highlight w:val="none"/>
              </w:rPr>
              <w:t>500～1000万元</w:t>
            </w:r>
          </w:p>
        </w:tc>
        <w:tc>
          <w:tcPr>
            <w:tcW w:w="1659" w:type="dxa"/>
            <w:noWrap/>
          </w:tcPr>
          <w:p w14:paraId="578A4B33">
            <w:pPr>
              <w:spacing w:line="360" w:lineRule="auto"/>
              <w:jc w:val="center"/>
              <w:rPr>
                <w:rFonts w:ascii="宋体" w:hAnsi="宋体" w:cs="宋体"/>
                <w:szCs w:val="21"/>
                <w:highlight w:val="none"/>
              </w:rPr>
            </w:pPr>
            <w:r>
              <w:rPr>
                <w:rFonts w:hint="eastAsia" w:ascii="宋体" w:hAnsi="宋体" w:cs="宋体"/>
                <w:kern w:val="0"/>
                <w:szCs w:val="21"/>
                <w:highlight w:val="none"/>
              </w:rPr>
              <w:t>0.8%</w:t>
            </w:r>
          </w:p>
        </w:tc>
        <w:tc>
          <w:tcPr>
            <w:tcW w:w="1687" w:type="dxa"/>
            <w:noWrap/>
          </w:tcPr>
          <w:p w14:paraId="428C6988">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0.45%</w:t>
            </w:r>
          </w:p>
        </w:tc>
        <w:tc>
          <w:tcPr>
            <w:tcW w:w="1659" w:type="dxa"/>
            <w:noWrap/>
          </w:tcPr>
          <w:p w14:paraId="10CF73B4">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0.55%</w:t>
            </w:r>
          </w:p>
        </w:tc>
      </w:tr>
      <w:tr w14:paraId="66E7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448E99DA">
            <w:pPr>
              <w:spacing w:line="360" w:lineRule="auto"/>
              <w:rPr>
                <w:rFonts w:ascii="宋体" w:hAnsi="宋体" w:cs="宋体"/>
                <w:szCs w:val="21"/>
                <w:highlight w:val="none"/>
              </w:rPr>
            </w:pPr>
            <w:r>
              <w:rPr>
                <w:rFonts w:hint="eastAsia" w:ascii="宋体" w:hAnsi="宋体" w:cs="宋体"/>
                <w:szCs w:val="21"/>
                <w:highlight w:val="none"/>
              </w:rPr>
              <w:t>1000～5000万元</w:t>
            </w:r>
          </w:p>
        </w:tc>
        <w:tc>
          <w:tcPr>
            <w:tcW w:w="1659" w:type="dxa"/>
            <w:noWrap/>
          </w:tcPr>
          <w:p w14:paraId="30488E88">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0.5%</w:t>
            </w:r>
          </w:p>
        </w:tc>
        <w:tc>
          <w:tcPr>
            <w:tcW w:w="1687" w:type="dxa"/>
            <w:noWrap/>
          </w:tcPr>
          <w:p w14:paraId="2018A83C">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0.25%</w:t>
            </w:r>
          </w:p>
        </w:tc>
        <w:tc>
          <w:tcPr>
            <w:tcW w:w="1659" w:type="dxa"/>
            <w:noWrap/>
          </w:tcPr>
          <w:p w14:paraId="30A718B7">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0.35%</w:t>
            </w:r>
          </w:p>
        </w:tc>
      </w:tr>
      <w:tr w14:paraId="04C0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21078122">
            <w:pPr>
              <w:spacing w:line="360" w:lineRule="auto"/>
              <w:rPr>
                <w:rFonts w:ascii="宋体" w:hAnsi="宋体" w:cs="宋体"/>
                <w:szCs w:val="21"/>
                <w:highlight w:val="none"/>
              </w:rPr>
            </w:pPr>
            <w:r>
              <w:rPr>
                <w:rFonts w:hint="eastAsia" w:ascii="宋体" w:hAnsi="宋体" w:cs="宋体"/>
                <w:szCs w:val="21"/>
                <w:highlight w:val="none"/>
              </w:rPr>
              <w:t>5000万元～1亿元</w:t>
            </w:r>
          </w:p>
        </w:tc>
        <w:tc>
          <w:tcPr>
            <w:tcW w:w="1659" w:type="dxa"/>
            <w:noWrap/>
          </w:tcPr>
          <w:p w14:paraId="6348F122">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0.25%</w:t>
            </w:r>
          </w:p>
        </w:tc>
        <w:tc>
          <w:tcPr>
            <w:tcW w:w="1687" w:type="dxa"/>
            <w:noWrap/>
          </w:tcPr>
          <w:p w14:paraId="2686F441">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0.1%</w:t>
            </w:r>
          </w:p>
        </w:tc>
        <w:tc>
          <w:tcPr>
            <w:tcW w:w="1659" w:type="dxa"/>
            <w:noWrap/>
          </w:tcPr>
          <w:p w14:paraId="166BB166">
            <w:pPr>
              <w:spacing w:line="360" w:lineRule="auto"/>
              <w:ind w:firstLine="210" w:firstLineChars="100"/>
              <w:jc w:val="center"/>
              <w:rPr>
                <w:rFonts w:ascii="宋体" w:hAnsi="宋体" w:cs="宋体"/>
                <w:szCs w:val="21"/>
                <w:highlight w:val="none"/>
              </w:rPr>
            </w:pPr>
            <w:r>
              <w:rPr>
                <w:rFonts w:hint="eastAsia" w:ascii="宋体" w:hAnsi="宋体" w:cs="宋体"/>
                <w:kern w:val="0"/>
                <w:szCs w:val="21"/>
                <w:highlight w:val="none"/>
              </w:rPr>
              <w:t>0.2%</w:t>
            </w:r>
          </w:p>
        </w:tc>
      </w:tr>
      <w:tr w14:paraId="47A3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62707731">
            <w:pPr>
              <w:spacing w:line="360" w:lineRule="auto"/>
              <w:rPr>
                <w:rFonts w:ascii="宋体" w:hAnsi="宋体" w:cs="宋体"/>
                <w:szCs w:val="21"/>
                <w:highlight w:val="none"/>
              </w:rPr>
            </w:pPr>
            <w:r>
              <w:rPr>
                <w:rFonts w:hint="eastAsia" w:ascii="宋体" w:hAnsi="宋体" w:cs="宋体"/>
                <w:szCs w:val="21"/>
                <w:highlight w:val="none"/>
              </w:rPr>
              <w:t>1～5亿元</w:t>
            </w:r>
          </w:p>
        </w:tc>
        <w:tc>
          <w:tcPr>
            <w:tcW w:w="1659" w:type="dxa"/>
            <w:noWrap/>
          </w:tcPr>
          <w:p w14:paraId="4ABB76AA">
            <w:pPr>
              <w:spacing w:line="360" w:lineRule="auto"/>
              <w:ind w:firstLine="210" w:firstLineChars="100"/>
              <w:jc w:val="center"/>
              <w:rPr>
                <w:rFonts w:ascii="宋体" w:hAnsi="宋体" w:cs="宋体"/>
                <w:szCs w:val="21"/>
                <w:highlight w:val="none"/>
              </w:rPr>
            </w:pPr>
            <w:r>
              <w:rPr>
                <w:rFonts w:hint="eastAsia" w:ascii="宋体" w:hAnsi="宋体" w:cs="宋体"/>
                <w:szCs w:val="21"/>
                <w:highlight w:val="none"/>
              </w:rPr>
              <w:t>0.05%</w:t>
            </w:r>
          </w:p>
        </w:tc>
        <w:tc>
          <w:tcPr>
            <w:tcW w:w="1687" w:type="dxa"/>
            <w:noWrap/>
          </w:tcPr>
          <w:p w14:paraId="20E66664">
            <w:pPr>
              <w:spacing w:line="360" w:lineRule="auto"/>
              <w:jc w:val="center"/>
              <w:rPr>
                <w:rFonts w:ascii="宋体" w:hAnsi="宋体" w:cs="宋体"/>
                <w:szCs w:val="21"/>
                <w:highlight w:val="none"/>
              </w:rPr>
            </w:pPr>
            <w:r>
              <w:rPr>
                <w:rFonts w:hint="eastAsia" w:ascii="宋体" w:hAnsi="宋体" w:cs="宋体"/>
                <w:szCs w:val="21"/>
                <w:highlight w:val="none"/>
              </w:rPr>
              <w:t>0.05%</w:t>
            </w:r>
          </w:p>
        </w:tc>
        <w:tc>
          <w:tcPr>
            <w:tcW w:w="1659" w:type="dxa"/>
            <w:noWrap/>
          </w:tcPr>
          <w:p w14:paraId="5FF45C60">
            <w:pPr>
              <w:spacing w:line="360" w:lineRule="auto"/>
              <w:jc w:val="center"/>
              <w:rPr>
                <w:rFonts w:ascii="宋体" w:hAnsi="宋体" w:cs="宋体"/>
                <w:szCs w:val="21"/>
                <w:highlight w:val="none"/>
              </w:rPr>
            </w:pPr>
            <w:r>
              <w:rPr>
                <w:rFonts w:hint="eastAsia" w:ascii="宋体" w:hAnsi="宋体" w:cs="宋体"/>
                <w:szCs w:val="21"/>
                <w:highlight w:val="none"/>
              </w:rPr>
              <w:t>0.05%</w:t>
            </w:r>
          </w:p>
        </w:tc>
      </w:tr>
      <w:tr w14:paraId="0355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33448D78">
            <w:pPr>
              <w:spacing w:line="360" w:lineRule="auto"/>
              <w:rPr>
                <w:rFonts w:ascii="宋体" w:hAnsi="宋体" w:cs="宋体"/>
                <w:szCs w:val="21"/>
                <w:highlight w:val="none"/>
              </w:rPr>
            </w:pPr>
            <w:r>
              <w:rPr>
                <w:rFonts w:hint="eastAsia" w:ascii="宋体" w:hAnsi="宋体" w:cs="宋体"/>
                <w:szCs w:val="21"/>
                <w:highlight w:val="none"/>
              </w:rPr>
              <w:t>5～10亿元</w:t>
            </w:r>
          </w:p>
        </w:tc>
        <w:tc>
          <w:tcPr>
            <w:tcW w:w="1659" w:type="dxa"/>
            <w:noWrap/>
          </w:tcPr>
          <w:p w14:paraId="5EC0A62D">
            <w:pPr>
              <w:spacing w:line="360" w:lineRule="auto"/>
              <w:ind w:firstLine="105" w:firstLineChars="50"/>
              <w:jc w:val="center"/>
              <w:rPr>
                <w:rFonts w:ascii="宋体" w:hAnsi="宋体" w:cs="宋体"/>
                <w:szCs w:val="21"/>
                <w:highlight w:val="none"/>
              </w:rPr>
            </w:pPr>
            <w:r>
              <w:rPr>
                <w:rFonts w:hint="eastAsia" w:ascii="宋体" w:hAnsi="宋体" w:cs="宋体"/>
                <w:szCs w:val="21"/>
                <w:highlight w:val="none"/>
              </w:rPr>
              <w:t>0.035%</w:t>
            </w:r>
          </w:p>
        </w:tc>
        <w:tc>
          <w:tcPr>
            <w:tcW w:w="1687" w:type="dxa"/>
            <w:noWrap/>
          </w:tcPr>
          <w:p w14:paraId="135E5707">
            <w:pPr>
              <w:spacing w:line="360" w:lineRule="auto"/>
              <w:jc w:val="center"/>
              <w:rPr>
                <w:rFonts w:ascii="宋体" w:hAnsi="宋体" w:cs="宋体"/>
                <w:szCs w:val="21"/>
                <w:highlight w:val="none"/>
              </w:rPr>
            </w:pPr>
            <w:r>
              <w:rPr>
                <w:rFonts w:hint="eastAsia" w:ascii="宋体" w:hAnsi="宋体" w:cs="宋体"/>
                <w:szCs w:val="21"/>
                <w:highlight w:val="none"/>
              </w:rPr>
              <w:t>0.035%</w:t>
            </w:r>
          </w:p>
        </w:tc>
        <w:tc>
          <w:tcPr>
            <w:tcW w:w="1659" w:type="dxa"/>
            <w:noWrap/>
          </w:tcPr>
          <w:p w14:paraId="523E3E60">
            <w:pPr>
              <w:spacing w:line="360" w:lineRule="auto"/>
              <w:ind w:firstLine="105" w:firstLineChars="50"/>
              <w:jc w:val="center"/>
              <w:rPr>
                <w:rFonts w:ascii="宋体" w:hAnsi="宋体" w:cs="宋体"/>
                <w:szCs w:val="21"/>
                <w:highlight w:val="none"/>
              </w:rPr>
            </w:pPr>
            <w:r>
              <w:rPr>
                <w:rFonts w:hint="eastAsia" w:ascii="宋体" w:hAnsi="宋体" w:cs="宋体"/>
                <w:szCs w:val="21"/>
                <w:highlight w:val="none"/>
              </w:rPr>
              <w:t>0.035%</w:t>
            </w:r>
          </w:p>
        </w:tc>
      </w:tr>
      <w:tr w14:paraId="111A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2F22D661">
            <w:pPr>
              <w:spacing w:line="360" w:lineRule="auto"/>
              <w:rPr>
                <w:rFonts w:ascii="宋体" w:hAnsi="宋体" w:cs="宋体"/>
                <w:szCs w:val="21"/>
                <w:highlight w:val="none"/>
              </w:rPr>
            </w:pPr>
            <w:r>
              <w:rPr>
                <w:rFonts w:hint="eastAsia" w:ascii="宋体" w:hAnsi="宋体" w:cs="宋体"/>
                <w:szCs w:val="21"/>
                <w:highlight w:val="none"/>
              </w:rPr>
              <w:t>10～50亿元</w:t>
            </w:r>
          </w:p>
        </w:tc>
        <w:tc>
          <w:tcPr>
            <w:tcW w:w="1659" w:type="dxa"/>
            <w:noWrap/>
          </w:tcPr>
          <w:p w14:paraId="2CDEF353">
            <w:pPr>
              <w:spacing w:line="360" w:lineRule="auto"/>
              <w:ind w:firstLine="105" w:firstLineChars="50"/>
              <w:jc w:val="center"/>
              <w:rPr>
                <w:rFonts w:ascii="宋体" w:hAnsi="宋体" w:cs="宋体"/>
                <w:szCs w:val="21"/>
                <w:highlight w:val="none"/>
              </w:rPr>
            </w:pPr>
            <w:r>
              <w:rPr>
                <w:rFonts w:hint="eastAsia" w:ascii="宋体" w:hAnsi="宋体" w:cs="宋体"/>
                <w:szCs w:val="21"/>
                <w:highlight w:val="none"/>
              </w:rPr>
              <w:t>0.008%</w:t>
            </w:r>
          </w:p>
        </w:tc>
        <w:tc>
          <w:tcPr>
            <w:tcW w:w="1687" w:type="dxa"/>
            <w:noWrap/>
          </w:tcPr>
          <w:p w14:paraId="017D5A80">
            <w:pPr>
              <w:spacing w:line="360" w:lineRule="auto"/>
              <w:ind w:firstLine="210" w:firstLineChars="100"/>
              <w:jc w:val="center"/>
              <w:rPr>
                <w:rFonts w:ascii="宋体" w:hAnsi="宋体" w:cs="宋体"/>
                <w:szCs w:val="21"/>
                <w:highlight w:val="none"/>
              </w:rPr>
            </w:pPr>
            <w:r>
              <w:rPr>
                <w:rFonts w:hint="eastAsia" w:ascii="宋体" w:hAnsi="宋体" w:cs="宋体"/>
                <w:szCs w:val="21"/>
                <w:highlight w:val="none"/>
              </w:rPr>
              <w:t>0.008%</w:t>
            </w:r>
          </w:p>
        </w:tc>
        <w:tc>
          <w:tcPr>
            <w:tcW w:w="1659" w:type="dxa"/>
            <w:noWrap/>
          </w:tcPr>
          <w:p w14:paraId="5F7E05BC">
            <w:pPr>
              <w:spacing w:line="360" w:lineRule="auto"/>
              <w:ind w:firstLine="105" w:firstLineChars="50"/>
              <w:jc w:val="center"/>
              <w:rPr>
                <w:rFonts w:ascii="宋体" w:hAnsi="宋体" w:cs="宋体"/>
                <w:szCs w:val="21"/>
                <w:highlight w:val="none"/>
              </w:rPr>
            </w:pPr>
            <w:r>
              <w:rPr>
                <w:rFonts w:hint="eastAsia" w:ascii="宋体" w:hAnsi="宋体" w:cs="宋体"/>
                <w:szCs w:val="21"/>
                <w:highlight w:val="none"/>
              </w:rPr>
              <w:t>0.008%</w:t>
            </w:r>
          </w:p>
        </w:tc>
      </w:tr>
      <w:tr w14:paraId="3119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05CDB44E">
            <w:pPr>
              <w:spacing w:line="360" w:lineRule="auto"/>
              <w:rPr>
                <w:rFonts w:ascii="宋体" w:hAnsi="宋体" w:cs="宋体"/>
                <w:szCs w:val="21"/>
                <w:highlight w:val="none"/>
              </w:rPr>
            </w:pPr>
            <w:r>
              <w:rPr>
                <w:rFonts w:hint="eastAsia" w:ascii="宋体" w:hAnsi="宋体" w:cs="宋体"/>
                <w:szCs w:val="21"/>
                <w:highlight w:val="none"/>
              </w:rPr>
              <w:t>50～100亿元</w:t>
            </w:r>
          </w:p>
        </w:tc>
        <w:tc>
          <w:tcPr>
            <w:tcW w:w="1659" w:type="dxa"/>
            <w:noWrap/>
          </w:tcPr>
          <w:p w14:paraId="1A828631">
            <w:pPr>
              <w:spacing w:line="360" w:lineRule="auto"/>
              <w:jc w:val="center"/>
              <w:rPr>
                <w:rFonts w:ascii="宋体" w:hAnsi="宋体" w:cs="宋体"/>
                <w:szCs w:val="21"/>
                <w:highlight w:val="none"/>
              </w:rPr>
            </w:pPr>
            <w:r>
              <w:rPr>
                <w:rFonts w:hint="eastAsia" w:ascii="宋体" w:hAnsi="宋体" w:cs="宋体"/>
                <w:szCs w:val="21"/>
                <w:highlight w:val="none"/>
              </w:rPr>
              <w:t>0.006%</w:t>
            </w:r>
          </w:p>
        </w:tc>
        <w:tc>
          <w:tcPr>
            <w:tcW w:w="1687" w:type="dxa"/>
            <w:noWrap/>
          </w:tcPr>
          <w:p w14:paraId="555DDA27">
            <w:pPr>
              <w:spacing w:line="360" w:lineRule="auto"/>
              <w:ind w:firstLine="210" w:firstLineChars="100"/>
              <w:jc w:val="center"/>
              <w:rPr>
                <w:rFonts w:ascii="宋体" w:hAnsi="宋体" w:cs="宋体"/>
                <w:szCs w:val="21"/>
                <w:highlight w:val="none"/>
              </w:rPr>
            </w:pPr>
            <w:r>
              <w:rPr>
                <w:rFonts w:hint="eastAsia" w:ascii="宋体" w:hAnsi="宋体" w:cs="宋体"/>
                <w:szCs w:val="21"/>
                <w:highlight w:val="none"/>
              </w:rPr>
              <w:t>0.006%</w:t>
            </w:r>
          </w:p>
        </w:tc>
        <w:tc>
          <w:tcPr>
            <w:tcW w:w="1659" w:type="dxa"/>
            <w:noWrap/>
          </w:tcPr>
          <w:p w14:paraId="6A7C1A77">
            <w:pPr>
              <w:spacing w:line="360" w:lineRule="auto"/>
              <w:ind w:firstLine="105" w:firstLineChars="50"/>
              <w:jc w:val="center"/>
              <w:rPr>
                <w:rFonts w:ascii="宋体" w:hAnsi="宋体" w:cs="宋体"/>
                <w:szCs w:val="21"/>
                <w:highlight w:val="none"/>
              </w:rPr>
            </w:pPr>
            <w:r>
              <w:rPr>
                <w:rFonts w:hint="eastAsia" w:ascii="宋体" w:hAnsi="宋体" w:cs="宋体"/>
                <w:szCs w:val="21"/>
                <w:highlight w:val="none"/>
              </w:rPr>
              <w:t>0.006%</w:t>
            </w:r>
          </w:p>
        </w:tc>
      </w:tr>
      <w:tr w14:paraId="724B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tcPr>
          <w:p w14:paraId="165CCFF1">
            <w:pPr>
              <w:spacing w:line="360" w:lineRule="auto"/>
              <w:rPr>
                <w:rFonts w:ascii="宋体" w:hAnsi="宋体" w:cs="宋体"/>
                <w:szCs w:val="21"/>
                <w:highlight w:val="none"/>
              </w:rPr>
            </w:pPr>
            <w:r>
              <w:rPr>
                <w:rFonts w:hint="eastAsia" w:ascii="宋体" w:hAnsi="宋体" w:cs="宋体"/>
                <w:szCs w:val="21"/>
                <w:highlight w:val="none"/>
              </w:rPr>
              <w:t>100亿元以上</w:t>
            </w:r>
          </w:p>
        </w:tc>
        <w:tc>
          <w:tcPr>
            <w:tcW w:w="1659" w:type="dxa"/>
            <w:noWrap/>
          </w:tcPr>
          <w:p w14:paraId="77424E06">
            <w:pPr>
              <w:spacing w:line="360" w:lineRule="auto"/>
              <w:jc w:val="center"/>
              <w:rPr>
                <w:rFonts w:ascii="宋体" w:hAnsi="宋体" w:cs="宋体"/>
                <w:szCs w:val="21"/>
                <w:highlight w:val="none"/>
              </w:rPr>
            </w:pPr>
            <w:r>
              <w:rPr>
                <w:rFonts w:hint="eastAsia" w:ascii="宋体" w:hAnsi="宋体" w:cs="宋体"/>
                <w:szCs w:val="21"/>
                <w:highlight w:val="none"/>
              </w:rPr>
              <w:t>0.004%</w:t>
            </w:r>
          </w:p>
        </w:tc>
        <w:tc>
          <w:tcPr>
            <w:tcW w:w="1687" w:type="dxa"/>
            <w:noWrap/>
          </w:tcPr>
          <w:p w14:paraId="5C9C0D2C">
            <w:pPr>
              <w:spacing w:line="360" w:lineRule="auto"/>
              <w:ind w:firstLine="210" w:firstLineChars="100"/>
              <w:jc w:val="center"/>
              <w:rPr>
                <w:rFonts w:ascii="宋体" w:hAnsi="宋体" w:cs="宋体"/>
                <w:szCs w:val="21"/>
                <w:highlight w:val="none"/>
              </w:rPr>
            </w:pPr>
            <w:r>
              <w:rPr>
                <w:rFonts w:hint="eastAsia" w:ascii="宋体" w:hAnsi="宋体" w:cs="宋体"/>
                <w:szCs w:val="21"/>
                <w:highlight w:val="none"/>
              </w:rPr>
              <w:t>0.004%</w:t>
            </w:r>
          </w:p>
        </w:tc>
        <w:tc>
          <w:tcPr>
            <w:tcW w:w="1659" w:type="dxa"/>
            <w:noWrap/>
          </w:tcPr>
          <w:p w14:paraId="27D268F7">
            <w:pPr>
              <w:spacing w:line="360" w:lineRule="auto"/>
              <w:ind w:firstLine="105" w:firstLineChars="50"/>
              <w:jc w:val="center"/>
              <w:rPr>
                <w:rFonts w:ascii="宋体" w:hAnsi="宋体" w:cs="宋体"/>
                <w:szCs w:val="21"/>
                <w:highlight w:val="none"/>
              </w:rPr>
            </w:pPr>
            <w:r>
              <w:rPr>
                <w:rFonts w:hint="eastAsia" w:ascii="宋体" w:hAnsi="宋体" w:cs="宋体"/>
                <w:szCs w:val="21"/>
                <w:highlight w:val="none"/>
              </w:rPr>
              <w:t>0.004%</w:t>
            </w:r>
          </w:p>
        </w:tc>
      </w:tr>
    </w:tbl>
    <w:p w14:paraId="20A180D1">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注: </w:t>
      </w:r>
    </w:p>
    <w:p w14:paraId="1735CE70">
      <w:pPr>
        <w:spacing w:line="360" w:lineRule="auto"/>
        <w:ind w:firstLine="420" w:firstLineChars="200"/>
        <w:rPr>
          <w:rFonts w:ascii="宋体" w:hAnsi="宋体" w:cs="宋体"/>
          <w:szCs w:val="21"/>
          <w:highlight w:val="none"/>
        </w:rPr>
      </w:pPr>
      <w:r>
        <w:rPr>
          <w:rFonts w:hint="eastAsia" w:ascii="宋体" w:hAnsi="宋体" w:cs="宋体"/>
          <w:szCs w:val="21"/>
          <w:highlight w:val="none"/>
        </w:rPr>
        <w:t>（1）按本表费率计算的收费为采购代理的收费基准价格；</w:t>
      </w:r>
    </w:p>
    <w:p w14:paraId="10F8B81E">
      <w:pPr>
        <w:spacing w:line="360" w:lineRule="auto"/>
        <w:ind w:firstLine="420" w:firstLineChars="200"/>
        <w:rPr>
          <w:rFonts w:ascii="宋体" w:hAnsi="宋体" w:cs="宋体"/>
          <w:szCs w:val="21"/>
          <w:highlight w:val="none"/>
        </w:rPr>
      </w:pPr>
      <w:r>
        <w:rPr>
          <w:rFonts w:hint="eastAsia" w:ascii="宋体" w:hAnsi="宋体" w:cs="宋体"/>
          <w:szCs w:val="21"/>
          <w:highlight w:val="none"/>
        </w:rPr>
        <w:t>（2）采购代理收费按差额定率累进法计算。</w:t>
      </w:r>
    </w:p>
    <w:p w14:paraId="7859F031">
      <w:pPr>
        <w:spacing w:line="360" w:lineRule="auto"/>
        <w:ind w:firstLine="420" w:firstLineChars="200"/>
        <w:rPr>
          <w:rFonts w:ascii="宋体" w:hAnsi="宋体" w:cs="宋体"/>
          <w:szCs w:val="21"/>
          <w:highlight w:val="none"/>
        </w:rPr>
      </w:pPr>
      <w:r>
        <w:rPr>
          <w:rFonts w:hint="eastAsia" w:ascii="宋体" w:hAnsi="宋体" w:cs="宋体"/>
          <w:szCs w:val="21"/>
          <w:highlight w:val="none"/>
        </w:rPr>
        <w:t>例如：某货物采购代理业务中标金额或者暂定价为</w:t>
      </w:r>
      <w:r>
        <w:rPr>
          <w:rFonts w:hint="eastAsia" w:ascii="宋体" w:hAnsi="宋体" w:cs="宋体"/>
          <w:szCs w:val="21"/>
          <w:highlight w:val="none"/>
          <w:lang w:val="en-US" w:eastAsia="zh-CN"/>
        </w:rPr>
        <w:t>200</w:t>
      </w:r>
      <w:r>
        <w:rPr>
          <w:rFonts w:hint="eastAsia" w:ascii="宋体" w:hAnsi="宋体" w:cs="宋体"/>
          <w:szCs w:val="21"/>
          <w:highlight w:val="none"/>
        </w:rPr>
        <w:t>万元，计算采购代理收费额如下：</w:t>
      </w:r>
    </w:p>
    <w:p w14:paraId="2F011602">
      <w:pPr>
        <w:spacing w:line="360" w:lineRule="auto"/>
        <w:ind w:firstLine="420" w:firstLineChars="200"/>
        <w:rPr>
          <w:rFonts w:ascii="宋体" w:hAnsi="宋体" w:cs="宋体"/>
          <w:szCs w:val="21"/>
          <w:highlight w:val="none"/>
        </w:rPr>
      </w:pPr>
      <w:bookmarkStart w:id="203" w:name="OLE_LINK211"/>
      <w:r>
        <w:rPr>
          <w:rFonts w:hint="eastAsia" w:ascii="宋体" w:hAnsi="宋体" w:cs="宋体"/>
          <w:szCs w:val="21"/>
          <w:highlight w:val="none"/>
        </w:rPr>
        <w:t>100 万元×l.5 ％＝ 1.5 万元</w:t>
      </w:r>
    </w:p>
    <w:p w14:paraId="60A12664">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 </w:t>
      </w:r>
      <w:r>
        <w:rPr>
          <w:rFonts w:hint="eastAsia" w:ascii="宋体" w:hAnsi="宋体" w:cs="宋体"/>
          <w:szCs w:val="21"/>
          <w:highlight w:val="none"/>
          <w:lang w:val="en-US" w:eastAsia="zh-CN"/>
        </w:rPr>
        <w:t>200</w:t>
      </w:r>
      <w:r>
        <w:rPr>
          <w:rFonts w:hint="eastAsia" w:ascii="宋体" w:hAnsi="宋体" w:cs="宋体"/>
          <w:szCs w:val="21"/>
          <w:highlight w:val="none"/>
        </w:rPr>
        <w:t xml:space="preserve"> － 100 ）万元 </w:t>
      </w:r>
      <w:bookmarkStart w:id="204" w:name="OLE_LINK186"/>
      <w:r>
        <w:rPr>
          <w:rFonts w:hint="eastAsia" w:ascii="宋体" w:hAnsi="宋体" w:cs="宋体"/>
          <w:szCs w:val="21"/>
          <w:highlight w:val="none"/>
        </w:rPr>
        <w:t>×</w:t>
      </w:r>
      <w:bookmarkEnd w:id="204"/>
      <w:r>
        <w:rPr>
          <w:rFonts w:hint="eastAsia" w:ascii="宋体" w:hAnsi="宋体" w:cs="宋体"/>
          <w:szCs w:val="21"/>
          <w:highlight w:val="none"/>
        </w:rPr>
        <w:t>1.1％＝1.1万元</w:t>
      </w:r>
    </w:p>
    <w:p w14:paraId="76F6F665">
      <w:pPr>
        <w:spacing w:line="360" w:lineRule="auto"/>
        <w:ind w:firstLine="420" w:firstLineChars="200"/>
        <w:rPr>
          <w:rFonts w:ascii="宋体" w:hAnsi="宋体" w:cs="宋体"/>
          <w:sz w:val="24"/>
          <w:highlight w:val="none"/>
        </w:rPr>
      </w:pPr>
      <w:r>
        <w:rPr>
          <w:rFonts w:hint="eastAsia" w:ascii="宋体" w:hAnsi="宋体" w:cs="宋体"/>
          <w:szCs w:val="20"/>
          <w:highlight w:val="none"/>
        </w:rPr>
        <w:t>合计收费＝</w:t>
      </w:r>
      <w:r>
        <w:rPr>
          <w:rFonts w:hint="eastAsia" w:ascii="宋体" w:hAnsi="宋体" w:cs="宋体"/>
          <w:szCs w:val="20"/>
          <w:highlight w:val="none"/>
          <w:lang w:eastAsia="zh-CN"/>
        </w:rPr>
        <w:t>（</w:t>
      </w:r>
      <w:r>
        <w:rPr>
          <w:rFonts w:hint="eastAsia" w:ascii="宋体" w:hAnsi="宋体" w:cs="宋体"/>
          <w:szCs w:val="20"/>
          <w:highlight w:val="none"/>
        </w:rPr>
        <w:t>1.5+1.1</w:t>
      </w:r>
      <w:r>
        <w:rPr>
          <w:rFonts w:hint="eastAsia" w:ascii="宋体" w:hAnsi="宋体" w:cs="宋体"/>
          <w:szCs w:val="20"/>
          <w:highlight w:val="none"/>
          <w:lang w:eastAsia="zh-CN"/>
        </w:rPr>
        <w:t>）</w:t>
      </w:r>
      <w:r>
        <w:rPr>
          <w:rFonts w:hint="eastAsia" w:ascii="宋体" w:hAnsi="宋体" w:cs="宋体"/>
          <w:szCs w:val="21"/>
          <w:highlight w:val="none"/>
        </w:rPr>
        <w:t>×</w:t>
      </w:r>
      <w:r>
        <w:rPr>
          <w:rFonts w:hint="eastAsia" w:ascii="宋体" w:hAnsi="宋体" w:cs="宋体"/>
          <w:szCs w:val="20"/>
          <w:highlight w:val="none"/>
          <w:lang w:val="en-US" w:eastAsia="zh-CN"/>
        </w:rPr>
        <w:t>80%</w:t>
      </w:r>
      <w:r>
        <w:rPr>
          <w:rFonts w:hint="eastAsia" w:ascii="宋体" w:hAnsi="宋体" w:cs="宋体"/>
          <w:szCs w:val="20"/>
          <w:highlight w:val="none"/>
        </w:rPr>
        <w:t xml:space="preserve">＝ </w:t>
      </w:r>
      <w:r>
        <w:rPr>
          <w:rFonts w:hint="eastAsia" w:ascii="宋体" w:hAnsi="宋体" w:cs="宋体"/>
          <w:szCs w:val="20"/>
          <w:highlight w:val="none"/>
          <w:lang w:val="en-US" w:eastAsia="zh-CN"/>
        </w:rPr>
        <w:t>2.08</w:t>
      </w:r>
      <w:r>
        <w:rPr>
          <w:rFonts w:hint="eastAsia" w:ascii="宋体" w:hAnsi="宋体" w:cs="宋体"/>
          <w:szCs w:val="20"/>
          <w:highlight w:val="none"/>
        </w:rPr>
        <w:t>（万元）</w:t>
      </w:r>
    </w:p>
    <w:bookmarkEnd w:id="203"/>
    <w:p w14:paraId="0BF5F2EE">
      <w:pPr>
        <w:spacing w:line="360" w:lineRule="auto"/>
        <w:ind w:firstLine="480" w:firstLineChars="200"/>
        <w:rPr>
          <w:rFonts w:ascii="宋体" w:hAnsi="宋体" w:cs="宋体"/>
          <w:sz w:val="24"/>
          <w:highlight w:val="none"/>
        </w:rPr>
      </w:pPr>
      <w:r>
        <w:rPr>
          <w:rFonts w:hint="eastAsia" w:ascii="宋体" w:hAnsi="宋体" w:cs="宋体"/>
          <w:sz w:val="24"/>
          <w:highlight w:val="none"/>
        </w:rPr>
        <w:t>41. 需要补充的其他内容</w:t>
      </w:r>
    </w:p>
    <w:p w14:paraId="77F8BCA2">
      <w:pPr>
        <w:spacing w:line="360" w:lineRule="auto"/>
        <w:ind w:firstLine="420" w:firstLineChars="200"/>
        <w:rPr>
          <w:rFonts w:ascii="宋体" w:hAnsi="宋体" w:cs="宋体"/>
          <w:highlight w:val="none"/>
        </w:rPr>
      </w:pPr>
      <w:r>
        <w:rPr>
          <w:rFonts w:hint="eastAsia" w:ascii="宋体" w:hAnsi="宋体" w:cs="宋体"/>
          <w:highlight w:val="none"/>
        </w:rPr>
        <w:t>41.1本招标文件解释规则详见“投标人须知前附表”。</w:t>
      </w:r>
    </w:p>
    <w:p w14:paraId="7954407F">
      <w:pPr>
        <w:spacing w:line="360" w:lineRule="auto"/>
        <w:ind w:firstLine="420" w:firstLineChars="200"/>
        <w:rPr>
          <w:rFonts w:ascii="宋体" w:hAnsi="宋体" w:cs="宋体"/>
          <w:highlight w:val="none"/>
        </w:rPr>
      </w:pPr>
      <w:r>
        <w:rPr>
          <w:rFonts w:hint="eastAsia" w:ascii="宋体" w:hAnsi="宋体" w:cs="宋体"/>
          <w:highlight w:val="none"/>
        </w:rPr>
        <w:t>41.2 其他事项详见“投标人须知前附表”。</w:t>
      </w:r>
    </w:p>
    <w:p w14:paraId="2B209868">
      <w:pPr>
        <w:pStyle w:val="14"/>
        <w:spacing w:before="120" w:after="120" w:line="360" w:lineRule="auto"/>
        <w:ind w:firstLine="420" w:firstLineChars="200"/>
        <w:contextualSpacing/>
        <w:rPr>
          <w:rFonts w:hAnsi="宋体" w:cs="宋体"/>
          <w:highlight w:val="none"/>
        </w:rPr>
      </w:pPr>
      <w:r>
        <w:rPr>
          <w:rFonts w:hint="eastAsia" w:hAnsi="宋体" w:cs="宋体"/>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投标人提供的货物由中小企业制造，即货物由中小企业生产且使用该中小企业商号或者注册商标，不对其中涉及的工程承建商和服务的承接商作出要求的，享受本文件规定的中小企业扶持政策。</w:t>
      </w:r>
    </w:p>
    <w:p w14:paraId="21516CAB">
      <w:pPr>
        <w:pStyle w:val="14"/>
        <w:spacing w:before="120" w:after="120" w:line="360" w:lineRule="auto"/>
        <w:ind w:firstLine="420" w:firstLineChars="200"/>
        <w:contextualSpacing/>
        <w:rPr>
          <w:rFonts w:hAnsi="宋体" w:cs="宋体"/>
          <w:highlight w:val="none"/>
        </w:rPr>
      </w:pPr>
      <w:r>
        <w:rPr>
          <w:rFonts w:hint="eastAsia" w:hAnsi="宋体" w:cs="宋体"/>
          <w:highlight w:val="none"/>
        </w:rPr>
        <w:t>在货物采购项目中，投标人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547E45B1">
      <w:pPr>
        <w:pStyle w:val="14"/>
        <w:spacing w:before="120" w:after="120" w:line="360" w:lineRule="auto"/>
        <w:ind w:firstLine="420" w:firstLineChars="200"/>
        <w:contextualSpacing/>
        <w:rPr>
          <w:rFonts w:hAnsi="宋体" w:cs="宋体"/>
          <w:highlight w:val="none"/>
        </w:rPr>
      </w:pPr>
      <w:r>
        <w:rPr>
          <w:rFonts w:hint="eastAsia" w:hAnsi="宋体" w:cs="宋体"/>
          <w:highlight w:val="none"/>
        </w:rPr>
        <w:t>依据本文件规定享受扶持政策获得政府采购合同的，小微企业不得将合同分包给大中型企业，中型企业不得将合同分包给大型企业。</w:t>
      </w:r>
    </w:p>
    <w:p w14:paraId="370539FC">
      <w:pPr>
        <w:spacing w:line="360" w:lineRule="auto"/>
        <w:ind w:firstLine="480" w:firstLineChars="200"/>
        <w:rPr>
          <w:rFonts w:ascii="宋体" w:hAnsi="宋体" w:cs="宋体"/>
          <w:sz w:val="24"/>
          <w:highlight w:val="none"/>
        </w:rPr>
      </w:pPr>
      <w:r>
        <w:rPr>
          <w:rFonts w:hint="eastAsia" w:ascii="宋体" w:hAnsi="宋体" w:cs="宋体"/>
          <w:sz w:val="24"/>
          <w:highlight w:val="none"/>
        </w:rPr>
        <w:t>42. 广西线上“政采贷”政策告知函：</w:t>
      </w:r>
    </w:p>
    <w:p w14:paraId="43C59650">
      <w:pPr>
        <w:spacing w:line="580" w:lineRule="exact"/>
        <w:ind w:firstLine="480"/>
        <w:jc w:val="center"/>
        <w:rPr>
          <w:rFonts w:ascii="宋体" w:hAnsi="宋体" w:cs="宋体"/>
          <w:sz w:val="32"/>
          <w:szCs w:val="32"/>
          <w:highlight w:val="none"/>
        </w:rPr>
      </w:pPr>
      <w:r>
        <w:rPr>
          <w:rFonts w:hint="eastAsia" w:ascii="宋体" w:hAnsi="宋体" w:cs="宋体"/>
          <w:sz w:val="32"/>
          <w:szCs w:val="32"/>
          <w:highlight w:val="none"/>
        </w:rPr>
        <w:t>广西线上“政采贷”政策告知函</w:t>
      </w:r>
    </w:p>
    <w:p w14:paraId="3897DACB">
      <w:pPr>
        <w:spacing w:line="360" w:lineRule="auto"/>
        <w:rPr>
          <w:rFonts w:ascii="宋体" w:hAnsi="宋体" w:cs="宋体"/>
          <w:szCs w:val="21"/>
          <w:highlight w:val="none"/>
        </w:rPr>
      </w:pPr>
      <w:r>
        <w:rPr>
          <w:rFonts w:hint="eastAsia" w:ascii="宋体" w:hAnsi="宋体" w:cs="宋体"/>
          <w:szCs w:val="21"/>
          <w:highlight w:val="none"/>
        </w:rPr>
        <w:t>各供应商：</w:t>
      </w:r>
    </w:p>
    <w:p w14:paraId="603598FA">
      <w:pPr>
        <w:spacing w:line="360" w:lineRule="auto"/>
        <w:ind w:firstLine="420" w:firstLineChars="200"/>
        <w:rPr>
          <w:rFonts w:ascii="宋体" w:hAnsi="宋体" w:cs="宋体"/>
          <w:szCs w:val="21"/>
          <w:highlight w:val="none"/>
        </w:rPr>
      </w:pPr>
      <w:r>
        <w:rPr>
          <w:rFonts w:hint="eastAsia" w:ascii="宋体" w:hAnsi="宋体" w:cs="宋体"/>
          <w:szCs w:val="21"/>
          <w:highlight w:val="none"/>
        </w:rPr>
        <w:t>欢迎贵公司参与广西政府采购活动！</w:t>
      </w:r>
    </w:p>
    <w:p w14:paraId="1009E7F4">
      <w:pPr>
        <w:spacing w:line="360" w:lineRule="auto"/>
        <w:ind w:firstLine="420" w:firstLineChars="200"/>
        <w:rPr>
          <w:rFonts w:ascii="宋体" w:hAnsi="宋体" w:cs="宋体"/>
          <w:szCs w:val="21"/>
          <w:highlight w:val="none"/>
        </w:rPr>
      </w:pPr>
      <w:r>
        <w:rPr>
          <w:rFonts w:hint="eastAsia" w:ascii="宋体" w:hAnsi="宋体" w:cs="宋体"/>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50AA2DA">
      <w:pPr>
        <w:spacing w:line="360" w:lineRule="auto"/>
        <w:ind w:firstLine="420" w:firstLineChars="200"/>
        <w:rPr>
          <w:rFonts w:ascii="宋体" w:hAnsi="宋体" w:cs="宋体"/>
          <w:szCs w:val="21"/>
          <w:highlight w:val="none"/>
        </w:rPr>
      </w:pPr>
      <w:r>
        <w:rPr>
          <w:rFonts w:hint="eastAsia" w:ascii="宋体" w:hAnsi="宋体" w:cs="宋体"/>
          <w:szCs w:val="21"/>
          <w:highlight w:val="none"/>
        </w:rPr>
        <w:t>相关金融产品和银行业金融机构联系方式，可在中征应收账款融资服务平台查询（网址：https://www.crcrfsp.com/，客服电话：400-009-0001）。</w:t>
      </w:r>
    </w:p>
    <w:p w14:paraId="6085AA39">
      <w:pPr>
        <w:widowControl/>
        <w:ind w:firstLine="420" w:firstLineChars="200"/>
        <w:rPr>
          <w:rFonts w:ascii="宋体" w:hAnsi="宋体" w:cs="宋体"/>
          <w:highlight w:val="none"/>
        </w:rPr>
      </w:pPr>
    </w:p>
    <w:p w14:paraId="08F04707">
      <w:pPr>
        <w:spacing w:line="360" w:lineRule="auto"/>
        <w:ind w:firstLine="420" w:firstLineChars="200"/>
        <w:jc w:val="left"/>
        <w:rPr>
          <w:rFonts w:ascii="宋体" w:hAnsi="宋体" w:cs="宋体"/>
          <w:highlight w:val="none"/>
        </w:rPr>
      </w:pPr>
      <w:r>
        <w:rPr>
          <w:rFonts w:hint="eastAsia" w:ascii="宋体" w:hAnsi="宋体" w:cs="宋体"/>
          <w:highlight w:val="none"/>
        </w:rPr>
        <w:br w:type="page"/>
      </w:r>
      <w:bookmarkStart w:id="205" w:name="_Toc532545043"/>
    </w:p>
    <w:p w14:paraId="3B090D0A">
      <w:pPr>
        <w:pStyle w:val="14"/>
        <w:ind w:firstLine="542"/>
        <w:jc w:val="center"/>
        <w:outlineLvl w:val="0"/>
        <w:rPr>
          <w:rFonts w:hAnsi="宋体" w:cs="宋体"/>
          <w:b/>
          <w:sz w:val="36"/>
          <w:highlight w:val="none"/>
        </w:rPr>
      </w:pPr>
      <w:bookmarkStart w:id="206" w:name="_Toc5517"/>
      <w:bookmarkStart w:id="207" w:name="_Toc18150"/>
      <w:bookmarkStart w:id="208" w:name="_Toc22348"/>
      <w:bookmarkStart w:id="209" w:name="_Toc25066"/>
      <w:r>
        <w:rPr>
          <w:rFonts w:hint="eastAsia" w:hAnsi="宋体" w:cs="宋体"/>
          <w:b/>
          <w:sz w:val="36"/>
          <w:highlight w:val="none"/>
        </w:rPr>
        <w:t xml:space="preserve">第四章  </w:t>
      </w:r>
      <w:bookmarkEnd w:id="205"/>
      <w:bookmarkEnd w:id="206"/>
      <w:bookmarkEnd w:id="207"/>
      <w:r>
        <w:rPr>
          <w:rFonts w:hint="eastAsia" w:hAnsi="宋体" w:cs="宋体"/>
          <w:b/>
          <w:sz w:val="36"/>
          <w:highlight w:val="none"/>
        </w:rPr>
        <w:t>评标方法和评标标准</w:t>
      </w:r>
      <w:bookmarkEnd w:id="208"/>
      <w:bookmarkEnd w:id="209"/>
    </w:p>
    <w:p w14:paraId="493DB9F4">
      <w:pPr>
        <w:pStyle w:val="14"/>
        <w:ind w:firstLine="482"/>
        <w:jc w:val="center"/>
        <w:outlineLvl w:val="1"/>
        <w:rPr>
          <w:rFonts w:hAnsi="宋体" w:cs="宋体"/>
          <w:b/>
          <w:bCs/>
          <w:sz w:val="32"/>
          <w:szCs w:val="32"/>
          <w:highlight w:val="none"/>
        </w:rPr>
      </w:pPr>
      <w:bookmarkStart w:id="210" w:name="_Toc31286"/>
      <w:bookmarkStart w:id="211" w:name="_Toc2086"/>
      <w:bookmarkStart w:id="212" w:name="_Toc18908"/>
      <w:bookmarkStart w:id="213" w:name="_Toc3364"/>
      <w:r>
        <w:rPr>
          <w:rFonts w:hint="eastAsia" w:hAnsi="宋体" w:cs="宋体"/>
          <w:b/>
          <w:bCs/>
          <w:sz w:val="32"/>
          <w:szCs w:val="32"/>
          <w:highlight w:val="none"/>
        </w:rPr>
        <w:t>第一节 评标方法</w:t>
      </w:r>
      <w:bookmarkEnd w:id="210"/>
      <w:bookmarkEnd w:id="211"/>
      <w:bookmarkEnd w:id="212"/>
      <w:bookmarkEnd w:id="213"/>
    </w:p>
    <w:p w14:paraId="47AAA8D1">
      <w:pPr>
        <w:pStyle w:val="14"/>
        <w:tabs>
          <w:tab w:val="left" w:pos="2472"/>
        </w:tabs>
        <w:spacing w:line="460" w:lineRule="exact"/>
        <w:ind w:firstLine="420" w:firstLineChars="200"/>
        <w:rPr>
          <w:rFonts w:hAnsi="宋体" w:cs="宋体"/>
          <w:szCs w:val="21"/>
          <w:highlight w:val="none"/>
        </w:rPr>
      </w:pPr>
      <w:r>
        <w:rPr>
          <w:rFonts w:hint="eastAsia" w:hAnsi="宋体" w:cs="宋体"/>
          <w:szCs w:val="21"/>
          <w:highlight w:val="none"/>
        </w:rPr>
        <w:t>本项目采用以下方式进行评审。</w:t>
      </w:r>
    </w:p>
    <w:p w14:paraId="08BE3053">
      <w:pPr>
        <w:pStyle w:val="14"/>
        <w:tabs>
          <w:tab w:val="left" w:pos="2472"/>
        </w:tabs>
        <w:spacing w:line="460" w:lineRule="exact"/>
        <w:ind w:firstLine="420" w:firstLineChars="200"/>
        <w:rPr>
          <w:rFonts w:hAnsi="宋体" w:cs="宋体"/>
          <w:sz w:val="24"/>
          <w:highlight w:val="none"/>
        </w:rPr>
      </w:pPr>
      <w:r>
        <w:rPr>
          <w:rFonts w:hint="eastAsia" w:hAnsi="宋体" w:cs="宋体"/>
          <w:highlight w:val="none"/>
        </w:rPr>
        <w:t xml:space="preserve">综合评分法，是指投标文件满足招标文件全部实质性要求，且按照评审因素的量化指标评审得分最高的投标人为中标候选人的评标方法。 </w:t>
      </w:r>
    </w:p>
    <w:p w14:paraId="61AB64E5">
      <w:pPr>
        <w:pStyle w:val="14"/>
        <w:spacing w:line="360" w:lineRule="auto"/>
        <w:ind w:firstLine="315"/>
        <w:rPr>
          <w:rFonts w:hAnsi="宋体" w:cs="宋体"/>
          <w:highlight w:val="none"/>
        </w:rPr>
      </w:pPr>
    </w:p>
    <w:p w14:paraId="41D9CDBA">
      <w:pPr>
        <w:pStyle w:val="14"/>
        <w:tabs>
          <w:tab w:val="left" w:pos="2472"/>
        </w:tabs>
        <w:spacing w:line="460" w:lineRule="exact"/>
        <w:ind w:firstLine="482"/>
        <w:jc w:val="center"/>
        <w:outlineLvl w:val="1"/>
        <w:rPr>
          <w:rFonts w:hAnsi="宋体" w:cs="宋体"/>
          <w:b/>
          <w:bCs/>
          <w:sz w:val="32"/>
          <w:szCs w:val="32"/>
          <w:highlight w:val="none"/>
        </w:rPr>
      </w:pPr>
      <w:bookmarkStart w:id="214" w:name="_Toc6695"/>
      <w:bookmarkStart w:id="215" w:name="_Toc12508"/>
      <w:bookmarkStart w:id="216" w:name="_Toc13065"/>
      <w:bookmarkStart w:id="217" w:name="_Toc13037"/>
      <w:r>
        <w:rPr>
          <w:rFonts w:hint="eastAsia" w:hAnsi="宋体" w:cs="宋体"/>
          <w:b/>
          <w:bCs/>
          <w:sz w:val="32"/>
          <w:szCs w:val="32"/>
          <w:highlight w:val="none"/>
        </w:rPr>
        <w:t>第二节 评标程序</w:t>
      </w:r>
      <w:bookmarkEnd w:id="214"/>
      <w:bookmarkEnd w:id="215"/>
      <w:bookmarkEnd w:id="216"/>
      <w:bookmarkEnd w:id="217"/>
    </w:p>
    <w:p w14:paraId="5C5B3B30">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1.符合性审查</w:t>
      </w:r>
    </w:p>
    <w:p w14:paraId="309BD56F">
      <w:pPr>
        <w:spacing w:line="360" w:lineRule="auto"/>
        <w:ind w:firstLine="420" w:firstLineChars="200"/>
        <w:rPr>
          <w:rFonts w:ascii="宋体" w:hAnsi="宋体" w:cs="宋体"/>
          <w:highlight w:val="none"/>
        </w:rPr>
      </w:pPr>
      <w:r>
        <w:rPr>
          <w:rFonts w:hint="eastAsia" w:ascii="宋体" w:hAnsi="宋体" w:cs="宋体"/>
          <w:highlight w:val="none"/>
        </w:rPr>
        <w:t>评标委员会应当对符合资格的投标人的投标文件进行投标报价、商务、技术等实质性内容符合性审查，以确定其是否满足招标文件的实质性要求。</w:t>
      </w:r>
    </w:p>
    <w:p w14:paraId="2DE990FC">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2.符合性审查不通过而导致投标无效的情形</w:t>
      </w:r>
    </w:p>
    <w:p w14:paraId="12500ADC">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投标人的投标文件中存在对招标文件的任何实质性要求和条件的负偏离，将被视为投标无效。</w:t>
      </w:r>
    </w:p>
    <w:p w14:paraId="2858D2C3">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2.1在报价评审时，如发现下列情形之一的，将被视为投标无效：</w:t>
      </w:r>
    </w:p>
    <w:p w14:paraId="52B6C56F">
      <w:pPr>
        <w:spacing w:line="360" w:lineRule="auto"/>
        <w:ind w:firstLine="420" w:firstLineChars="200"/>
        <w:rPr>
          <w:rFonts w:ascii="宋体" w:hAnsi="宋体" w:cs="宋体"/>
          <w:szCs w:val="21"/>
          <w:highlight w:val="none"/>
        </w:rPr>
      </w:pPr>
      <w:r>
        <w:rPr>
          <w:rFonts w:hint="eastAsia" w:ascii="宋体" w:hAnsi="宋体" w:cs="宋体"/>
          <w:szCs w:val="21"/>
          <w:highlight w:val="none"/>
        </w:rPr>
        <w:t>（1）投标文件未提供“投标人须知前附表”第13.1条规定中“必须提供”的文件资料的。</w:t>
      </w:r>
    </w:p>
    <w:p w14:paraId="472B6FD0">
      <w:pPr>
        <w:spacing w:line="360" w:lineRule="auto"/>
        <w:ind w:firstLine="420" w:firstLineChars="200"/>
        <w:rPr>
          <w:rFonts w:ascii="宋体" w:hAnsi="宋体" w:cs="宋体"/>
          <w:szCs w:val="21"/>
          <w:highlight w:val="none"/>
        </w:rPr>
      </w:pPr>
      <w:r>
        <w:rPr>
          <w:rFonts w:hint="eastAsia" w:ascii="宋体" w:hAnsi="宋体" w:cs="宋体"/>
          <w:szCs w:val="21"/>
          <w:highlight w:val="none"/>
        </w:rPr>
        <w:t>（2）未采用人民币报价或者未按照招标文件标明的币种报价的。</w:t>
      </w:r>
    </w:p>
    <w:p w14:paraId="662D37A3">
      <w:pPr>
        <w:spacing w:line="360" w:lineRule="auto"/>
        <w:ind w:firstLine="420" w:firstLineChars="200"/>
        <w:rPr>
          <w:rFonts w:ascii="宋体" w:hAnsi="宋体" w:cs="宋体"/>
          <w:szCs w:val="21"/>
          <w:highlight w:val="none"/>
        </w:rPr>
      </w:pPr>
      <w:r>
        <w:rPr>
          <w:rFonts w:hint="eastAsia" w:ascii="宋体" w:hAnsi="宋体" w:cs="宋体"/>
          <w:szCs w:val="21"/>
          <w:highlight w:val="none"/>
        </w:rPr>
        <w:t>（3）报价超出招标文件规定最高限价，或者超出采购预算金额的。</w:t>
      </w:r>
    </w:p>
    <w:p w14:paraId="6CF85542">
      <w:pPr>
        <w:spacing w:line="360" w:lineRule="auto"/>
        <w:ind w:firstLine="420" w:firstLineChars="200"/>
        <w:rPr>
          <w:rFonts w:ascii="宋体" w:hAnsi="宋体" w:cs="宋体"/>
          <w:szCs w:val="21"/>
          <w:highlight w:val="none"/>
        </w:rPr>
      </w:pPr>
      <w:r>
        <w:rPr>
          <w:rFonts w:hint="eastAsia" w:ascii="宋体" w:hAnsi="宋体" w:cs="宋体"/>
          <w:szCs w:val="21"/>
          <w:highlight w:val="none"/>
        </w:rPr>
        <w:t>（4）投标人未就所投项目进行报价或者存在漏项报价。投标人未就所投</w:t>
      </w:r>
      <w:r>
        <w:rPr>
          <w:rFonts w:hint="eastAsia" w:cs="宋体"/>
          <w:szCs w:val="21"/>
          <w:highlight w:val="none"/>
        </w:rPr>
        <w:t>项目</w:t>
      </w:r>
      <w:r>
        <w:rPr>
          <w:rFonts w:hint="eastAsia" w:ascii="宋体" w:hAnsi="宋体" w:cs="宋体"/>
          <w:szCs w:val="21"/>
          <w:highlight w:val="none"/>
        </w:rPr>
        <w:t>的单项内容作唯一报价。投标人未就所投项目的全部内容作唯一总价报价。存在有选择、有条件报价的（招标文件允许有备选方案或者其他约定的除外）。</w:t>
      </w:r>
    </w:p>
    <w:p w14:paraId="6B4B8542">
      <w:pPr>
        <w:spacing w:line="360" w:lineRule="auto"/>
        <w:ind w:firstLine="420" w:firstLineChars="200"/>
        <w:rPr>
          <w:rFonts w:ascii="宋体" w:hAnsi="宋体" w:cs="宋体"/>
          <w:szCs w:val="21"/>
          <w:highlight w:val="none"/>
        </w:rPr>
      </w:pPr>
      <w:r>
        <w:rPr>
          <w:rFonts w:hint="eastAsia" w:ascii="宋体" w:hAnsi="宋体" w:cs="宋体"/>
          <w:szCs w:val="21"/>
          <w:highlight w:val="none"/>
        </w:rPr>
        <w:t>（5）修正后的报价，投标人不确认的。</w:t>
      </w:r>
    </w:p>
    <w:p w14:paraId="4F9A9923">
      <w:pPr>
        <w:spacing w:line="360" w:lineRule="auto"/>
        <w:ind w:firstLine="420" w:firstLineChars="200"/>
        <w:rPr>
          <w:rFonts w:ascii="宋体" w:hAnsi="宋体" w:cs="宋体"/>
          <w:szCs w:val="21"/>
          <w:highlight w:val="none"/>
        </w:rPr>
      </w:pPr>
      <w:r>
        <w:rPr>
          <w:rFonts w:hint="eastAsia" w:ascii="宋体" w:hAnsi="宋体" w:cs="宋体"/>
          <w:szCs w:val="21"/>
          <w:highlight w:val="none"/>
        </w:rPr>
        <w:t>（6）投标人属于本章第5条第（</w:t>
      </w:r>
      <w:r>
        <w:rPr>
          <w:rFonts w:hint="eastAsia" w:ascii="宋体" w:hAnsi="宋体" w:cs="宋体"/>
          <w:szCs w:val="21"/>
          <w:highlight w:val="none"/>
          <w:lang w:val="en-US" w:eastAsia="zh-CN"/>
        </w:rPr>
        <w:t>4</w:t>
      </w:r>
      <w:r>
        <w:rPr>
          <w:rFonts w:hint="eastAsia" w:ascii="宋体" w:hAnsi="宋体" w:cs="宋体"/>
          <w:szCs w:val="21"/>
          <w:highlight w:val="none"/>
        </w:rPr>
        <w:t>）项情形的。</w:t>
      </w:r>
    </w:p>
    <w:p w14:paraId="7ABA2BDF">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2.2在商务评审时，如发现下列情形之一的，将被视为投标无效：</w:t>
      </w:r>
    </w:p>
    <w:p w14:paraId="73371A1D">
      <w:pPr>
        <w:spacing w:line="360" w:lineRule="auto"/>
        <w:ind w:firstLine="420" w:firstLineChars="200"/>
        <w:rPr>
          <w:rFonts w:ascii="宋体" w:hAnsi="宋体" w:cs="宋体"/>
          <w:szCs w:val="21"/>
          <w:highlight w:val="none"/>
        </w:rPr>
      </w:pPr>
      <w:r>
        <w:rPr>
          <w:rFonts w:hint="eastAsia" w:ascii="宋体" w:hAnsi="宋体" w:cs="宋体"/>
          <w:szCs w:val="21"/>
          <w:highlight w:val="none"/>
        </w:rPr>
        <w:t>（1）投标文件未按招标文件要求签署、盖章的。</w:t>
      </w:r>
    </w:p>
    <w:p w14:paraId="0AFA79B4">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（2）委托代理人未能出具有效身份证明或者出具的身份证明与授权委托书中的信息不符的。 </w:t>
      </w:r>
    </w:p>
    <w:p w14:paraId="6CCD7398">
      <w:pPr>
        <w:spacing w:line="360" w:lineRule="auto"/>
        <w:ind w:firstLine="420" w:firstLineChars="200"/>
        <w:rPr>
          <w:rFonts w:ascii="宋体" w:hAnsi="宋体" w:cs="宋体"/>
          <w:szCs w:val="21"/>
          <w:highlight w:val="none"/>
        </w:rPr>
      </w:pPr>
      <w:r>
        <w:rPr>
          <w:rFonts w:hint="eastAsia" w:ascii="宋体" w:hAnsi="宋体" w:cs="宋体"/>
          <w:szCs w:val="21"/>
          <w:highlight w:val="none"/>
        </w:rPr>
        <w:t>（3）为无效投标保证金的或者未按照招标文件的规定提交投标保证金的。</w:t>
      </w:r>
    </w:p>
    <w:p w14:paraId="747848FA">
      <w:pPr>
        <w:spacing w:line="360" w:lineRule="auto"/>
        <w:ind w:firstLine="420" w:firstLineChars="200"/>
        <w:rPr>
          <w:rFonts w:ascii="宋体" w:hAnsi="宋体" w:cs="宋体"/>
          <w:szCs w:val="21"/>
          <w:highlight w:val="none"/>
        </w:rPr>
      </w:pPr>
      <w:r>
        <w:rPr>
          <w:rFonts w:hint="eastAsia" w:ascii="宋体" w:hAnsi="宋体" w:cs="宋体"/>
          <w:szCs w:val="21"/>
          <w:highlight w:val="none"/>
        </w:rPr>
        <w:t>（4）投标文件未提供“投标人须知前附表”第13.1条规定中“必须提供”或者“委托时必须提供”的文件资料的。</w:t>
      </w:r>
    </w:p>
    <w:p w14:paraId="12C06BC1">
      <w:pPr>
        <w:spacing w:line="360" w:lineRule="auto"/>
        <w:ind w:firstLine="420" w:firstLineChars="200"/>
        <w:rPr>
          <w:rFonts w:ascii="宋体" w:hAnsi="宋体" w:cs="宋体"/>
          <w:szCs w:val="21"/>
          <w:highlight w:val="none"/>
        </w:rPr>
      </w:pPr>
      <w:r>
        <w:rPr>
          <w:rFonts w:hint="eastAsia" w:ascii="宋体" w:hAnsi="宋体" w:cs="宋体"/>
          <w:szCs w:val="21"/>
          <w:highlight w:val="none"/>
        </w:rPr>
        <w:t>（5）投标有效期、项目完成时间（交货时间、服务完成时间或者服务期等）、保修期及招标文件中标“▲”的商务条款发生负偏离的。</w:t>
      </w:r>
    </w:p>
    <w:p w14:paraId="5FA0D39F">
      <w:pPr>
        <w:spacing w:line="360" w:lineRule="auto"/>
        <w:ind w:firstLine="420" w:firstLineChars="200"/>
        <w:rPr>
          <w:rFonts w:ascii="宋体" w:hAnsi="宋体" w:cs="宋体"/>
          <w:szCs w:val="21"/>
          <w:highlight w:val="none"/>
        </w:rPr>
      </w:pPr>
      <w:r>
        <w:rPr>
          <w:rFonts w:hint="eastAsia" w:ascii="宋体" w:hAnsi="宋体" w:cs="宋体"/>
          <w:szCs w:val="21"/>
          <w:highlight w:val="none"/>
        </w:rPr>
        <w:t>（6）商务条款评审允许负偏离的条款数超过“投标人须知前附表”规定项数的。</w:t>
      </w:r>
    </w:p>
    <w:p w14:paraId="0A4C821C">
      <w:pPr>
        <w:spacing w:line="360" w:lineRule="auto"/>
        <w:ind w:firstLine="420" w:firstLineChars="200"/>
        <w:rPr>
          <w:rFonts w:ascii="宋体" w:hAnsi="宋体" w:cs="宋体"/>
          <w:szCs w:val="21"/>
          <w:highlight w:val="none"/>
        </w:rPr>
      </w:pPr>
      <w:r>
        <w:rPr>
          <w:rFonts w:hint="eastAsia" w:ascii="宋体" w:hAnsi="宋体" w:cs="宋体"/>
          <w:szCs w:val="21"/>
          <w:highlight w:val="none"/>
        </w:rPr>
        <w:t>（7）投标文件的实质性内容未使用中文表述、使用计量单位不符合招标文件要求的。</w:t>
      </w:r>
    </w:p>
    <w:p w14:paraId="2B0DA2D3">
      <w:pPr>
        <w:spacing w:line="360" w:lineRule="auto"/>
        <w:ind w:firstLine="420" w:firstLineChars="200"/>
        <w:rPr>
          <w:rFonts w:ascii="宋体" w:hAnsi="宋体" w:cs="宋体"/>
          <w:szCs w:val="21"/>
          <w:highlight w:val="none"/>
        </w:rPr>
      </w:pPr>
      <w:r>
        <w:rPr>
          <w:rFonts w:hint="eastAsia" w:ascii="宋体" w:hAnsi="宋体" w:cs="宋体"/>
          <w:szCs w:val="21"/>
          <w:highlight w:val="none"/>
        </w:rPr>
        <w:t>（8）投标文件中的文件资料因填写不齐全或者内容虚假或者出现其他情形而导致被评标委员会认定无效的。</w:t>
      </w:r>
    </w:p>
    <w:p w14:paraId="4B0645C5">
      <w:pPr>
        <w:spacing w:line="360" w:lineRule="auto"/>
        <w:ind w:firstLine="420" w:firstLineChars="200"/>
        <w:rPr>
          <w:rFonts w:ascii="宋体" w:hAnsi="宋体" w:cs="宋体"/>
          <w:szCs w:val="21"/>
          <w:highlight w:val="none"/>
        </w:rPr>
      </w:pPr>
      <w:r>
        <w:rPr>
          <w:rFonts w:hint="eastAsia" w:ascii="宋体" w:hAnsi="宋体" w:cs="宋体"/>
          <w:szCs w:val="21"/>
          <w:highlight w:val="none"/>
        </w:rPr>
        <w:t>（9）投标文件含有采购人不能接受的附加条件的。</w:t>
      </w:r>
    </w:p>
    <w:p w14:paraId="307D4AE7">
      <w:pPr>
        <w:spacing w:line="360" w:lineRule="auto"/>
        <w:ind w:firstLine="420" w:firstLineChars="200"/>
        <w:rPr>
          <w:rFonts w:ascii="宋体" w:hAnsi="宋体" w:cs="宋体"/>
          <w:szCs w:val="21"/>
          <w:highlight w:val="none"/>
        </w:rPr>
      </w:pPr>
      <w:r>
        <w:rPr>
          <w:rFonts w:hint="eastAsia" w:ascii="宋体" w:hAnsi="宋体" w:cs="宋体"/>
          <w:szCs w:val="21"/>
          <w:highlight w:val="none"/>
        </w:rPr>
        <w:t>（10）未响应招标文件实质性要求的。</w:t>
      </w:r>
    </w:p>
    <w:p w14:paraId="7315CFE7">
      <w:pPr>
        <w:spacing w:line="360" w:lineRule="auto"/>
        <w:ind w:firstLine="420" w:firstLineChars="200"/>
        <w:rPr>
          <w:rFonts w:ascii="宋体" w:hAnsi="宋体" w:cs="宋体"/>
          <w:szCs w:val="21"/>
          <w:highlight w:val="none"/>
        </w:rPr>
      </w:pPr>
      <w:r>
        <w:rPr>
          <w:rFonts w:hint="eastAsia" w:ascii="宋体" w:hAnsi="宋体" w:cs="宋体"/>
          <w:szCs w:val="21"/>
          <w:highlight w:val="none"/>
        </w:rPr>
        <w:t>（11）属于投标人须知正文第9.2条情形的。</w:t>
      </w:r>
    </w:p>
    <w:p w14:paraId="2049EB83">
      <w:pPr>
        <w:spacing w:line="360" w:lineRule="auto"/>
        <w:ind w:firstLine="420" w:firstLineChars="200"/>
        <w:rPr>
          <w:rFonts w:ascii="宋体" w:hAnsi="宋体" w:cs="宋体"/>
          <w:szCs w:val="21"/>
          <w:highlight w:val="none"/>
        </w:rPr>
      </w:pPr>
      <w:r>
        <w:rPr>
          <w:rFonts w:hint="eastAsia" w:ascii="宋体" w:hAnsi="宋体" w:cs="宋体"/>
          <w:szCs w:val="21"/>
          <w:highlight w:val="none"/>
        </w:rPr>
        <w:t>（12）法律、法规和招标文件规定的其他无效情形。</w:t>
      </w:r>
    </w:p>
    <w:p w14:paraId="45DF722E">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2.3在技术评审时，如发现下列情形之一的，将被视为投标无效：</w:t>
      </w:r>
    </w:p>
    <w:p w14:paraId="73388584">
      <w:pPr>
        <w:spacing w:line="360" w:lineRule="auto"/>
        <w:ind w:firstLine="420" w:firstLineChars="200"/>
        <w:rPr>
          <w:rFonts w:ascii="宋体" w:hAnsi="宋体" w:cs="宋体"/>
          <w:szCs w:val="21"/>
          <w:highlight w:val="none"/>
        </w:rPr>
      </w:pPr>
      <w:r>
        <w:rPr>
          <w:rFonts w:hint="eastAsia" w:ascii="宋体" w:hAnsi="宋体" w:cs="宋体"/>
          <w:szCs w:val="21"/>
          <w:highlight w:val="none"/>
        </w:rPr>
        <w:t>（1）不满足招标文件要求的货物内容、技术要求、安全、质量标准，或者与招标文件中标“▲”的技术参数及配置发生负偏离的。</w:t>
      </w:r>
    </w:p>
    <w:p w14:paraId="0A4FEF5C">
      <w:pPr>
        <w:spacing w:line="360" w:lineRule="auto"/>
        <w:ind w:firstLine="420" w:firstLineChars="200"/>
        <w:rPr>
          <w:rFonts w:ascii="宋体" w:hAnsi="宋体" w:cs="宋体"/>
          <w:szCs w:val="21"/>
          <w:highlight w:val="none"/>
        </w:rPr>
      </w:pPr>
      <w:r>
        <w:rPr>
          <w:rFonts w:hint="eastAsia" w:ascii="宋体" w:hAnsi="宋体" w:cs="宋体"/>
          <w:szCs w:val="21"/>
          <w:highlight w:val="none"/>
        </w:rPr>
        <w:t>（2）技术需求评审允许负偏离的条款数超过“投标人须知前附表”规定项数的。</w:t>
      </w:r>
    </w:p>
    <w:p w14:paraId="30DADA5C">
      <w:pPr>
        <w:spacing w:line="360" w:lineRule="auto"/>
        <w:ind w:firstLine="420" w:firstLineChars="200"/>
        <w:rPr>
          <w:rFonts w:ascii="宋体" w:hAnsi="宋体" w:cs="宋体"/>
          <w:szCs w:val="21"/>
          <w:highlight w:val="none"/>
        </w:rPr>
      </w:pPr>
      <w:r>
        <w:rPr>
          <w:rFonts w:hint="eastAsia" w:ascii="宋体" w:hAnsi="宋体" w:cs="宋体"/>
          <w:szCs w:val="21"/>
          <w:highlight w:val="none"/>
        </w:rPr>
        <w:t>（3）投标文件未提供“投标人须知前附表”第13.1条规定中“必须提供”的文件资料的;</w:t>
      </w:r>
    </w:p>
    <w:p w14:paraId="11E80EBA">
      <w:pPr>
        <w:spacing w:line="360" w:lineRule="auto"/>
        <w:ind w:firstLine="420" w:firstLineChars="200"/>
        <w:rPr>
          <w:rFonts w:ascii="宋体" w:hAnsi="宋体" w:cs="宋体"/>
          <w:szCs w:val="21"/>
          <w:highlight w:val="none"/>
        </w:rPr>
      </w:pPr>
      <w:r>
        <w:rPr>
          <w:rFonts w:hint="eastAsia" w:ascii="宋体" w:hAnsi="宋体" w:cs="宋体"/>
          <w:szCs w:val="21"/>
          <w:highlight w:val="none"/>
        </w:rPr>
        <w:t>（4）虚假投标，或者出现其他情形而导致被评标委员会认定无效的。</w:t>
      </w:r>
    </w:p>
    <w:p w14:paraId="5B645CB9">
      <w:pPr>
        <w:spacing w:line="360" w:lineRule="auto"/>
        <w:ind w:firstLine="420" w:firstLineChars="200"/>
        <w:rPr>
          <w:rFonts w:ascii="宋体" w:hAnsi="宋体" w:cs="宋体"/>
          <w:szCs w:val="21"/>
          <w:highlight w:val="none"/>
        </w:rPr>
      </w:pPr>
      <w:r>
        <w:rPr>
          <w:rFonts w:hint="eastAsia" w:ascii="宋体" w:hAnsi="宋体" w:cs="宋体"/>
          <w:szCs w:val="21"/>
          <w:highlight w:val="none"/>
        </w:rPr>
        <w:t>（5）招标文件要求提供技术方案的，投标技术方案不明确，招标文件未允许但存在一个或者一个以上备选（替代）投标方案的。</w:t>
      </w:r>
    </w:p>
    <w:p w14:paraId="2156434B">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3.澄清补正、说明或者补正</w:t>
      </w:r>
    </w:p>
    <w:p w14:paraId="775ED9E2">
      <w:pPr>
        <w:spacing w:line="360" w:lineRule="auto"/>
        <w:ind w:firstLine="420" w:firstLineChars="200"/>
        <w:rPr>
          <w:rFonts w:ascii="宋体" w:hAnsi="宋体" w:cs="宋体"/>
          <w:szCs w:val="21"/>
          <w:highlight w:val="none"/>
        </w:rPr>
      </w:pPr>
      <w:r>
        <w:rPr>
          <w:rFonts w:hint="eastAsia" w:ascii="宋体" w:hAnsi="宋体" w:cs="宋体"/>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公章后在线上传至评标委员会。投标人的澄清、说明或者补正不得超出投标文件的范围或者改变投标文件的实质性内容。</w:t>
      </w:r>
      <w:r>
        <w:rPr>
          <w:rFonts w:hint="eastAsia" w:ascii="宋体" w:hAnsi="宋体" w:cs="宋体"/>
          <w:b/>
          <w:bCs/>
          <w:szCs w:val="21"/>
          <w:highlight w:val="none"/>
        </w:rPr>
        <w:t>投标人未在规定时间内进行澄清、说明或者补正的，有可能对评审产生影响</w:t>
      </w:r>
      <w:r>
        <w:rPr>
          <w:rFonts w:hint="eastAsia" w:ascii="宋体" w:hAnsi="宋体" w:cs="宋体"/>
          <w:szCs w:val="21"/>
          <w:highlight w:val="none"/>
        </w:rPr>
        <w:t>。</w:t>
      </w:r>
    </w:p>
    <w:p w14:paraId="3C69FEEA">
      <w:pPr>
        <w:spacing w:line="360" w:lineRule="auto"/>
        <w:ind w:firstLine="420" w:firstLineChars="200"/>
        <w:rPr>
          <w:rFonts w:ascii="宋体" w:hAnsi="宋体" w:cs="宋体"/>
          <w:szCs w:val="21"/>
          <w:highlight w:val="none"/>
        </w:rPr>
      </w:pPr>
      <w:r>
        <w:rPr>
          <w:rFonts w:hint="eastAsia" w:ascii="宋体" w:hAnsi="宋体" w:cs="宋体"/>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2BF8E0E2">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4.投标文件修正</w:t>
      </w:r>
    </w:p>
    <w:p w14:paraId="469C6393">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4.1投标文件报价出现前后不一致的，按照下列规定修正： </w:t>
      </w:r>
    </w:p>
    <w:p w14:paraId="7579777E">
      <w:pPr>
        <w:spacing w:line="360" w:lineRule="auto"/>
        <w:ind w:firstLine="420" w:firstLineChars="200"/>
        <w:rPr>
          <w:rFonts w:ascii="宋体" w:hAnsi="宋体" w:cs="宋体"/>
          <w:highlight w:val="none"/>
        </w:rPr>
      </w:pPr>
      <w:r>
        <w:rPr>
          <w:rFonts w:hint="eastAsia" w:ascii="宋体" w:hAnsi="宋体" w:cs="宋体"/>
          <w:highlight w:val="none"/>
        </w:rPr>
        <w:t>（1）报价文件中“开标一览表”内容与投标文件中相应内容不一致的，以“开标一览表”为准。</w:t>
      </w:r>
    </w:p>
    <w:p w14:paraId="32AC2EA9">
      <w:pPr>
        <w:spacing w:line="360" w:lineRule="auto"/>
        <w:ind w:firstLine="420" w:firstLineChars="200"/>
        <w:rPr>
          <w:rFonts w:ascii="宋体" w:hAnsi="宋体" w:cs="宋体"/>
          <w:highlight w:val="none"/>
        </w:rPr>
      </w:pPr>
      <w:r>
        <w:rPr>
          <w:rFonts w:hint="eastAsia" w:ascii="宋体" w:hAnsi="宋体" w:cs="宋体"/>
          <w:highlight w:val="none"/>
        </w:rPr>
        <w:t>（2）大写金额和小写金额不一致的，以大写金额为准。</w:t>
      </w:r>
    </w:p>
    <w:p w14:paraId="669F2B97">
      <w:pPr>
        <w:spacing w:line="360" w:lineRule="auto"/>
        <w:ind w:firstLine="420" w:firstLineChars="200"/>
        <w:rPr>
          <w:rFonts w:ascii="宋体" w:hAnsi="宋体" w:cs="宋体"/>
          <w:highlight w:val="none"/>
        </w:rPr>
      </w:pPr>
      <w:r>
        <w:rPr>
          <w:rFonts w:hint="eastAsia" w:ascii="宋体" w:hAnsi="宋体" w:cs="宋体"/>
          <w:highlight w:val="none"/>
        </w:rPr>
        <w:t>（3）单价金额小数点或者百分比有明显错位的，以开标一览表的总价为准，并修改单价。</w:t>
      </w:r>
    </w:p>
    <w:p w14:paraId="69EBF75E">
      <w:pPr>
        <w:spacing w:line="360" w:lineRule="auto"/>
        <w:ind w:firstLine="420" w:firstLineChars="200"/>
        <w:rPr>
          <w:rFonts w:ascii="宋体" w:hAnsi="宋体" w:cs="宋体"/>
          <w:highlight w:val="none"/>
        </w:rPr>
      </w:pPr>
      <w:r>
        <w:rPr>
          <w:rFonts w:hint="eastAsia" w:ascii="宋体" w:hAnsi="宋体" w:cs="宋体"/>
          <w:highlight w:val="none"/>
        </w:rPr>
        <w:t>（4）总价金额与按单价汇总金额不一致的，以单价金额计算结果为准。</w:t>
      </w:r>
    </w:p>
    <w:p w14:paraId="687100E4">
      <w:pPr>
        <w:spacing w:line="360" w:lineRule="auto"/>
        <w:ind w:firstLine="420" w:firstLineChars="200"/>
        <w:rPr>
          <w:rFonts w:ascii="宋体" w:hAnsi="宋体" w:cs="宋体"/>
          <w:highlight w:val="none"/>
        </w:rPr>
      </w:pPr>
      <w:r>
        <w:rPr>
          <w:rFonts w:hint="eastAsia" w:ascii="宋体" w:hAnsi="宋体" w:cs="宋体"/>
          <w:highlight w:val="none"/>
        </w:rPr>
        <w:t>同时出现两种以上不一致的，按照以上（1）-（4）规定的顺序修正。</w:t>
      </w:r>
      <w:r>
        <w:rPr>
          <w:rFonts w:hint="eastAsia" w:ascii="宋体" w:hAnsi="宋体" w:cs="宋体"/>
          <w:b/>
          <w:bCs/>
          <w:highlight w:val="none"/>
        </w:rPr>
        <w:t>修正后的报价经投标人确认后产生约束力，投标人不确认的，其投标无效</w:t>
      </w:r>
      <w:r>
        <w:rPr>
          <w:rFonts w:hint="eastAsia" w:ascii="宋体" w:hAnsi="宋体" w:cs="宋体"/>
          <w:highlight w:val="none"/>
        </w:rPr>
        <w:t>。</w:t>
      </w:r>
    </w:p>
    <w:p w14:paraId="7BE9B3F8">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4.2经投标人确认修正后的报价若超过采购预算金额或者最高限价，投标人的投标文件作无效投标处理。</w:t>
      </w:r>
    </w:p>
    <w:p w14:paraId="5753F2FE">
      <w:pPr>
        <w:spacing w:line="360" w:lineRule="auto"/>
        <w:ind w:firstLine="420" w:firstLineChars="200"/>
        <w:rPr>
          <w:rFonts w:ascii="宋体" w:hAnsi="宋体" w:cs="宋体"/>
          <w:szCs w:val="21"/>
          <w:highlight w:val="none"/>
        </w:rPr>
      </w:pPr>
      <w:r>
        <w:rPr>
          <w:rFonts w:hint="eastAsia" w:ascii="宋体" w:hAnsi="宋体" w:cs="宋体"/>
          <w:szCs w:val="21"/>
          <w:highlight w:val="none"/>
        </w:rPr>
        <w:t>4.3经投标人确认修正后的报价作为签订合同的依据，并以此报价计算价格分。</w:t>
      </w:r>
    </w:p>
    <w:p w14:paraId="524C5AC9">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5.比较与评价</w:t>
      </w:r>
    </w:p>
    <w:p w14:paraId="1A198578">
      <w:pPr>
        <w:tabs>
          <w:tab w:val="center" w:pos="4153"/>
          <w:tab w:val="right" w:pos="8306"/>
        </w:tabs>
        <w:spacing w:line="360" w:lineRule="auto"/>
        <w:ind w:firstLine="420" w:firstLineChars="200"/>
        <w:rPr>
          <w:highlight w:val="none"/>
        </w:rPr>
      </w:pPr>
      <w:r>
        <w:rPr>
          <w:rFonts w:hint="eastAsia" w:ascii="宋体" w:hAnsi="宋体" w:cs="宋体"/>
          <w:highlight w:val="none"/>
        </w:rPr>
        <w:t>（1）</w:t>
      </w:r>
      <w:r>
        <w:rPr>
          <w:rFonts w:hint="eastAsia" w:ascii="宋体" w:hAnsi="宋体" w:cs="宋体"/>
          <w:szCs w:val="21"/>
          <w:highlight w:val="none"/>
        </w:rPr>
        <w:t>评审委员会成员要根据政府采购法律法规和招标文件所载明的评标方法、标准进行评审。对投标人的价格分等客观评分项的评分应当一致，对其他需要借助专业知识评判的主观评分项，应当严格按照评分细则公正评分。</w:t>
      </w:r>
    </w:p>
    <w:p w14:paraId="10428313">
      <w:pPr>
        <w:spacing w:line="360" w:lineRule="auto"/>
        <w:ind w:firstLine="420" w:firstLineChars="200"/>
        <w:rPr>
          <w:rFonts w:ascii="宋体" w:hAnsi="宋体" w:cs="宋体"/>
          <w:highlight w:val="none"/>
        </w:rPr>
      </w:pPr>
      <w:r>
        <w:rPr>
          <w:rFonts w:hint="eastAsia" w:ascii="宋体" w:hAnsi="宋体" w:cs="宋体"/>
          <w:highlight w:val="none"/>
        </w:rPr>
        <w:t>（2）评标委员会按照招标文件中规定的评标方法和评标标准，对符合性审查合格的投标文件进行商务和技术评估，综合比较与评价。</w:t>
      </w:r>
    </w:p>
    <w:p w14:paraId="6304DED5">
      <w:pPr>
        <w:spacing w:line="360" w:lineRule="auto"/>
        <w:ind w:firstLine="420" w:firstLineChars="200"/>
        <w:rPr>
          <w:rFonts w:ascii="宋体" w:hAnsi="宋体" w:cs="宋体"/>
          <w:highlight w:val="none"/>
        </w:rPr>
      </w:pPr>
      <w:r>
        <w:rPr>
          <w:rFonts w:hint="eastAsia" w:ascii="宋体" w:hAnsi="宋体" w:cs="宋体"/>
          <w:highlight w:val="none"/>
        </w:rPr>
        <w:t>（3）评标委员会各成员独立对每个投标人的投标文件进行评价，并汇总每个投标人的得分。</w:t>
      </w:r>
    </w:p>
    <w:p w14:paraId="6C0E4006">
      <w:pPr>
        <w:spacing w:line="360" w:lineRule="auto"/>
        <w:ind w:firstLine="422" w:firstLineChars="200"/>
        <w:rPr>
          <w:rFonts w:ascii="宋体" w:hAnsi="宋体" w:cs="宋体"/>
          <w:b/>
          <w:bCs/>
          <w:highlight w:val="none"/>
        </w:rPr>
      </w:pPr>
      <w:r>
        <w:rPr>
          <w:rFonts w:hint="eastAsia" w:ascii="宋体" w:hAnsi="宋体" w:cs="宋体"/>
          <w:b/>
          <w:bCs/>
          <w:highlight w:val="none"/>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5F4E412">
      <w:pPr>
        <w:spacing w:line="360" w:lineRule="auto"/>
        <w:ind w:firstLine="420" w:firstLineChars="200"/>
        <w:rPr>
          <w:rFonts w:ascii="宋体" w:hAnsi="宋体" w:cs="宋体"/>
          <w:highlight w:val="none"/>
        </w:rPr>
      </w:pPr>
      <w:r>
        <w:rPr>
          <w:rFonts w:hint="eastAsia" w:ascii="宋体" w:hAnsi="宋体" w:cs="宋体"/>
          <w:highlight w:val="none"/>
        </w:rPr>
        <w:t>（5）评标委员会按照招标文件中规定的评标方法和标准计算各投标人的报价得分。在评标过程中，不得去掉报价中的最高报价和最低报价。</w:t>
      </w:r>
    </w:p>
    <w:p w14:paraId="1BCBCB8F">
      <w:pPr>
        <w:spacing w:line="360" w:lineRule="auto"/>
        <w:ind w:firstLine="420" w:firstLineChars="200"/>
        <w:rPr>
          <w:rFonts w:ascii="宋体" w:hAnsi="宋体" w:cs="宋体"/>
          <w:highlight w:val="none"/>
        </w:rPr>
      </w:pPr>
      <w:r>
        <w:rPr>
          <w:rFonts w:hint="eastAsia" w:ascii="宋体" w:hAnsi="宋体" w:cs="宋体"/>
          <w:highlight w:val="none"/>
        </w:rPr>
        <w:t>（6）各投标人的得分为评标委员会各成员的有效评分的算术平均数。</w:t>
      </w:r>
    </w:p>
    <w:p w14:paraId="7AFAAD90">
      <w:pPr>
        <w:spacing w:line="360" w:lineRule="auto"/>
        <w:ind w:firstLine="420" w:firstLineChars="200"/>
        <w:rPr>
          <w:rFonts w:ascii="宋体" w:hAnsi="宋体" w:cs="宋体"/>
          <w:highlight w:val="none"/>
        </w:rPr>
      </w:pPr>
      <w:r>
        <w:rPr>
          <w:rFonts w:hint="eastAsia" w:ascii="宋体" w:hAnsi="宋体" w:cs="宋体"/>
          <w:highlight w:val="none"/>
        </w:rPr>
        <w:t>（7）评标委员会按照招标文件中的规定推荐中标候选人。</w:t>
      </w:r>
    </w:p>
    <w:p w14:paraId="63E7761D">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8）起草并签署评标报告。评标委员会根据评标委员会各成员签字的原始评标记录和评标结果编写评标报告。评标委员会各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5FE6BD96">
      <w:pPr>
        <w:tabs>
          <w:tab w:val="center" w:pos="4153"/>
          <w:tab w:val="right" w:pos="8306"/>
        </w:tabs>
        <w:spacing w:line="360" w:lineRule="auto"/>
        <w:ind w:firstLine="422" w:firstLineChars="200"/>
        <w:rPr>
          <w:rFonts w:ascii="宋体" w:hAnsi="宋体" w:cs="宋体"/>
          <w:b/>
          <w:bCs/>
          <w:highlight w:val="none"/>
        </w:rPr>
      </w:pPr>
      <w:r>
        <w:rPr>
          <w:rFonts w:hint="eastAsia" w:ascii="宋体" w:hAnsi="宋体" w:cs="宋体"/>
          <w:b/>
          <w:bCs/>
          <w:highlight w:val="none"/>
        </w:rPr>
        <w:t>6.评审复核</w:t>
      </w:r>
    </w:p>
    <w:p w14:paraId="7BDCF78C">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6.1评标报告签署前，评标委员会要对评审结果进行复核，复核意见要体现在评标报告中。</w:t>
      </w:r>
    </w:p>
    <w:p w14:paraId="19056174">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6.2评标结果汇总完成后，除下列情形外，任何人不得修改评标结果：</w:t>
      </w:r>
    </w:p>
    <w:p w14:paraId="60F2F7BC">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　　（一）分值汇总计算错误的。</w:t>
      </w:r>
    </w:p>
    <w:p w14:paraId="0D04D4AC">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　　（二）分项评分超出评分标准范围的。</w:t>
      </w:r>
    </w:p>
    <w:p w14:paraId="6CDB4F21">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　　（三）评标委员会成员对客观评审因素评分不一致的。</w:t>
      </w:r>
    </w:p>
    <w:p w14:paraId="0227D2C3">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　　（四）经评标委员会认定评分畸高、畸低的。</w:t>
      </w:r>
    </w:p>
    <w:p w14:paraId="1C73A335">
      <w:pPr>
        <w:tabs>
          <w:tab w:val="center" w:pos="4153"/>
          <w:tab w:val="right" w:pos="8306"/>
        </w:tabs>
        <w:spacing w:line="360" w:lineRule="auto"/>
        <w:ind w:firstLine="420" w:firstLineChars="200"/>
        <w:rPr>
          <w:rFonts w:ascii="宋体" w:hAnsi="宋体" w:cs="宋体"/>
          <w:highlight w:val="none"/>
        </w:rPr>
      </w:pPr>
      <w:r>
        <w:rPr>
          <w:rFonts w:hint="eastAsia" w:ascii="宋体" w:hAnsi="宋体" w:cs="宋体"/>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8D64327">
      <w:pPr>
        <w:pStyle w:val="3"/>
        <w:numPr>
          <w:ilvl w:val="0"/>
          <w:numId w:val="9"/>
        </w:numPr>
        <w:ind w:firstLine="450"/>
        <w:jc w:val="center"/>
        <w:rPr>
          <w:rFonts w:hint="eastAsia" w:ascii="宋体" w:hAnsi="宋体" w:eastAsia="宋体" w:cs="宋体"/>
          <w:b w:val="0"/>
          <w:sz w:val="30"/>
          <w:szCs w:val="30"/>
          <w:highlight w:val="none"/>
        </w:rPr>
      </w:pPr>
      <w:bookmarkStart w:id="218" w:name="_Toc17655"/>
      <w:bookmarkStart w:id="219" w:name="_Toc17840"/>
      <w:bookmarkStart w:id="220" w:name="_Toc32041"/>
      <w:bookmarkStart w:id="221" w:name="_Toc25387"/>
      <w:r>
        <w:rPr>
          <w:rFonts w:hint="eastAsia" w:ascii="宋体" w:hAnsi="宋体" w:eastAsia="宋体" w:cs="宋体"/>
          <w:b w:val="0"/>
          <w:sz w:val="30"/>
          <w:szCs w:val="30"/>
          <w:highlight w:val="none"/>
        </w:rPr>
        <w:br w:type="page"/>
      </w:r>
      <w:r>
        <w:rPr>
          <w:rFonts w:hint="eastAsia" w:ascii="宋体" w:hAnsi="宋体" w:eastAsia="宋体" w:cs="宋体"/>
          <w:b w:val="0"/>
          <w:sz w:val="30"/>
          <w:szCs w:val="30"/>
          <w:highlight w:val="none"/>
        </w:rPr>
        <w:t>评分标准</w:t>
      </w:r>
      <w:bookmarkEnd w:id="218"/>
      <w:bookmarkEnd w:id="219"/>
      <w:bookmarkEnd w:id="220"/>
      <w:bookmarkEnd w:id="221"/>
    </w:p>
    <w:p w14:paraId="13EE176B">
      <w:pPr>
        <w:pStyle w:val="4"/>
        <w:keepNext w:val="0"/>
        <w:keepLines w:val="0"/>
        <w:spacing w:line="240" w:lineRule="auto"/>
        <w:jc w:val="center"/>
        <w:rPr>
          <w:rFonts w:hint="eastAsia"/>
          <w:highlight w:val="none"/>
        </w:rPr>
      </w:pPr>
      <w:bookmarkStart w:id="222" w:name="OLE_LINK144"/>
      <w:bookmarkStart w:id="223" w:name="OLE_LINK192"/>
      <w:r>
        <w:rPr>
          <w:rFonts w:hint="eastAsia"/>
          <w:highlight w:val="none"/>
        </w:rPr>
        <w:t>综合评分法</w:t>
      </w:r>
    </w:p>
    <w:p w14:paraId="6327446A">
      <w:pPr>
        <w:pStyle w:val="4"/>
        <w:keepNext w:val="0"/>
        <w:keepLines w:val="0"/>
        <w:spacing w:line="240" w:lineRule="auto"/>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1分标</w:t>
      </w:r>
    </w:p>
    <w:tbl>
      <w:tblPr>
        <w:tblStyle w:val="29"/>
        <w:tblW w:w="9788"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101"/>
        <w:gridCol w:w="1259"/>
        <w:gridCol w:w="6715"/>
      </w:tblGrid>
      <w:tr w14:paraId="5529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13" w:type="dxa"/>
            <w:noWrap w:val="0"/>
            <w:vAlign w:val="center"/>
          </w:tcPr>
          <w:p w14:paraId="40651012">
            <w:pPr>
              <w:adjustRightInd w:val="0"/>
              <w:snapToGrid w:val="0"/>
              <w:spacing w:line="360" w:lineRule="auto"/>
              <w:jc w:val="center"/>
              <w:textAlignment w:val="baseline"/>
              <w:rPr>
                <w:rFonts w:hint="eastAsia" w:ascii="宋体" w:hAnsi="宋体" w:eastAsia="宋体" w:cs="宋体"/>
                <w:sz w:val="21"/>
                <w:szCs w:val="21"/>
                <w:lang w:eastAsia="zh-CN"/>
              </w:rPr>
            </w:pPr>
            <w:bookmarkStart w:id="224" w:name="_Toc28332"/>
            <w:bookmarkStart w:id="225" w:name="_Toc5054"/>
            <w:bookmarkStart w:id="226" w:name="_Toc1251"/>
            <w:bookmarkStart w:id="227" w:name="_Toc30734"/>
            <w:r>
              <w:rPr>
                <w:rFonts w:hint="eastAsia" w:ascii="宋体" w:hAnsi="宋体" w:eastAsia="宋体" w:cs="宋体"/>
                <w:bCs/>
                <w:sz w:val="21"/>
                <w:szCs w:val="21"/>
                <w:highlight w:val="none"/>
              </w:rPr>
              <w:t>序号</w:t>
            </w:r>
          </w:p>
        </w:tc>
        <w:tc>
          <w:tcPr>
            <w:tcW w:w="1101" w:type="dxa"/>
            <w:noWrap w:val="0"/>
            <w:vAlign w:val="center"/>
          </w:tcPr>
          <w:p w14:paraId="3827B20C">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评分类型</w:t>
            </w:r>
          </w:p>
        </w:tc>
        <w:tc>
          <w:tcPr>
            <w:tcW w:w="1259" w:type="dxa"/>
            <w:noWrap w:val="0"/>
            <w:vAlign w:val="center"/>
          </w:tcPr>
          <w:p w14:paraId="21521FA4">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评审因素</w:t>
            </w:r>
          </w:p>
        </w:tc>
        <w:tc>
          <w:tcPr>
            <w:tcW w:w="6715" w:type="dxa"/>
            <w:noWrap w:val="0"/>
            <w:vAlign w:val="center"/>
          </w:tcPr>
          <w:p w14:paraId="551F3F47">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评标标准</w:t>
            </w:r>
          </w:p>
        </w:tc>
      </w:tr>
      <w:tr w14:paraId="0816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13" w:type="dxa"/>
            <w:noWrap w:val="0"/>
            <w:vAlign w:val="center"/>
          </w:tcPr>
          <w:p w14:paraId="77A61AB5">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01" w:type="dxa"/>
            <w:noWrap w:val="0"/>
            <w:vAlign w:val="center"/>
          </w:tcPr>
          <w:p w14:paraId="3BEBA925">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价格分（满分</w:t>
            </w:r>
            <w:r>
              <w:rPr>
                <w:rFonts w:hint="eastAsia" w:ascii="宋体" w:hAnsi="宋体" w:eastAsia="宋体" w:cs="宋体"/>
                <w:sz w:val="21"/>
                <w:szCs w:val="21"/>
                <w:lang w:val="en-US" w:eastAsia="zh-CN"/>
              </w:rPr>
              <w:t>30分</w:t>
            </w:r>
            <w:r>
              <w:rPr>
                <w:rFonts w:hint="eastAsia" w:ascii="宋体" w:hAnsi="宋体" w:eastAsia="宋体" w:cs="宋体"/>
                <w:sz w:val="21"/>
                <w:szCs w:val="21"/>
                <w:lang w:eastAsia="zh-CN"/>
              </w:rPr>
              <w:t>）</w:t>
            </w:r>
          </w:p>
        </w:tc>
        <w:tc>
          <w:tcPr>
            <w:tcW w:w="1259" w:type="dxa"/>
            <w:noWrap w:val="0"/>
            <w:vAlign w:val="center"/>
          </w:tcPr>
          <w:p w14:paraId="4425A12E">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价格分</w:t>
            </w:r>
          </w:p>
        </w:tc>
        <w:tc>
          <w:tcPr>
            <w:tcW w:w="6715" w:type="dxa"/>
            <w:noWrap w:val="0"/>
            <w:vAlign w:val="center"/>
          </w:tcPr>
          <w:p w14:paraId="13FFA92C">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（1）评标报价为投标人的投标报价进行政策性扣除后的价格，评标报价只是作为评标时使用。最终中标人的中标金额等于投标报价。</w:t>
            </w:r>
          </w:p>
          <w:p w14:paraId="497D72B9">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（2）政策性扣除计算方法。</w:t>
            </w:r>
          </w:p>
          <w:p w14:paraId="0ABFFFB6">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19DDD6F6">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4D6C93C7">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FB65C42">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（5）满足招标文件要求且评标报价最低的为评标基准价，其价格分为满分。</w:t>
            </w:r>
          </w:p>
          <w:p w14:paraId="71102E6B">
            <w:pPr>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 xml:space="preserve">（6）价格分计算公式：        </w:t>
            </w:r>
          </w:p>
          <w:p w14:paraId="0A6CF6F8">
            <w:pPr>
              <w:bidi w:val="0"/>
              <w:spacing w:line="360" w:lineRule="auto"/>
              <w:jc w:val="center"/>
              <w:rPr>
                <w:rFonts w:hint="eastAsia" w:ascii="宋体" w:hAnsi="宋体" w:eastAsia="宋体" w:cs="宋体"/>
                <w:sz w:val="21"/>
                <w:szCs w:val="21"/>
              </w:rPr>
            </w:pPr>
            <w:r>
              <w:rPr>
                <w:rFonts w:hint="eastAsia" w:ascii="宋体" w:hAnsi="宋体" w:eastAsia="宋体" w:cs="宋体"/>
                <w:bCs/>
                <w:sz w:val="21"/>
                <w:szCs w:val="21"/>
              </w:rPr>
              <w:t>价格分=（评标基准价/评标报价）×</w:t>
            </w:r>
            <w:r>
              <w:rPr>
                <w:rFonts w:hint="eastAsia" w:ascii="宋体" w:hAnsi="宋体" w:eastAsia="宋体" w:cs="宋体"/>
                <w:bCs/>
                <w:sz w:val="21"/>
                <w:szCs w:val="21"/>
                <w:u w:val="single"/>
              </w:rPr>
              <w:t>30</w:t>
            </w:r>
            <w:r>
              <w:rPr>
                <w:rFonts w:hint="eastAsia" w:ascii="宋体" w:hAnsi="宋体" w:eastAsia="宋体" w:cs="宋体"/>
                <w:bCs/>
                <w:sz w:val="21"/>
                <w:szCs w:val="21"/>
              </w:rPr>
              <w:t>分</w:t>
            </w:r>
          </w:p>
        </w:tc>
      </w:tr>
      <w:tr w14:paraId="48BE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1" w:hRule="atLeast"/>
        </w:trPr>
        <w:tc>
          <w:tcPr>
            <w:tcW w:w="713" w:type="dxa"/>
            <w:vMerge w:val="restart"/>
            <w:noWrap w:val="0"/>
            <w:vAlign w:val="center"/>
          </w:tcPr>
          <w:p w14:paraId="63A06A52">
            <w:pPr>
              <w:bidi w:val="0"/>
              <w:spacing w:line="360" w:lineRule="auto"/>
              <w:jc w:val="center"/>
              <w:rPr>
                <w:rFonts w:hint="eastAsia" w:ascii="宋体" w:hAnsi="宋体" w:eastAsia="宋体" w:cs="宋体"/>
                <w:sz w:val="21"/>
                <w:szCs w:val="21"/>
                <w:lang w:eastAsia="zh-CN"/>
              </w:rPr>
            </w:pPr>
          </w:p>
        </w:tc>
        <w:tc>
          <w:tcPr>
            <w:tcW w:w="1101" w:type="dxa"/>
            <w:vMerge w:val="restart"/>
            <w:noWrap w:val="0"/>
            <w:vAlign w:val="center"/>
          </w:tcPr>
          <w:p w14:paraId="59892CF6">
            <w:pPr>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技术分</w:t>
            </w:r>
            <w:r>
              <w:rPr>
                <w:rFonts w:hint="eastAsia" w:ascii="宋体" w:hAnsi="宋体" w:cs="宋体"/>
                <w:b w:val="0"/>
                <w:bCs w:val="0"/>
                <w:sz w:val="21"/>
                <w:szCs w:val="21"/>
                <w:lang w:eastAsia="zh-CN"/>
              </w:rPr>
              <w:t>（满分</w:t>
            </w:r>
            <w:r>
              <w:rPr>
                <w:rFonts w:hint="eastAsia" w:ascii="宋体" w:hAnsi="宋体" w:cs="宋体"/>
                <w:b w:val="0"/>
                <w:bCs w:val="0"/>
                <w:sz w:val="21"/>
                <w:szCs w:val="21"/>
                <w:lang w:val="en-US" w:eastAsia="zh-CN"/>
              </w:rPr>
              <w:t>54分</w:t>
            </w:r>
            <w:r>
              <w:rPr>
                <w:rFonts w:hint="eastAsia" w:ascii="宋体" w:hAnsi="宋体" w:cs="宋体"/>
                <w:b w:val="0"/>
                <w:bCs w:val="0"/>
                <w:sz w:val="21"/>
                <w:szCs w:val="21"/>
                <w:lang w:eastAsia="zh-CN"/>
              </w:rPr>
              <w:t>）</w:t>
            </w:r>
          </w:p>
        </w:tc>
        <w:tc>
          <w:tcPr>
            <w:tcW w:w="1259" w:type="dxa"/>
            <w:vMerge w:val="restart"/>
            <w:noWrap w:val="0"/>
            <w:vAlign w:val="center"/>
          </w:tcPr>
          <w:p w14:paraId="22DB6806">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技术参数或性能分（满分36分）</w:t>
            </w:r>
          </w:p>
        </w:tc>
        <w:tc>
          <w:tcPr>
            <w:tcW w:w="6715" w:type="dxa"/>
            <w:noWrap w:val="0"/>
            <w:vAlign w:val="center"/>
          </w:tcPr>
          <w:p w14:paraId="5DB26C9F">
            <w:pPr>
              <w:spacing w:line="360" w:lineRule="auto"/>
              <w:jc w:val="left"/>
              <w:rPr>
                <w:rFonts w:hint="eastAsia" w:ascii="宋体" w:hAnsi="宋体" w:eastAsia="宋体" w:cs="宋体"/>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）技术</w:t>
            </w:r>
            <w:r>
              <w:rPr>
                <w:rFonts w:hint="eastAsia" w:ascii="宋体" w:hAnsi="宋体" w:eastAsia="宋体" w:cs="宋体"/>
                <w:b/>
                <w:bCs w:val="0"/>
                <w:kern w:val="0"/>
                <w:sz w:val="21"/>
                <w:szCs w:val="21"/>
                <w:lang w:val="en-US" w:eastAsia="zh-CN" w:bidi="ar"/>
              </w:rPr>
              <w:t>参数或性能指标</w:t>
            </w:r>
            <w:r>
              <w:rPr>
                <w:rFonts w:hint="eastAsia" w:ascii="宋体" w:hAnsi="宋体" w:eastAsia="宋体" w:cs="宋体"/>
                <w:b/>
                <w:bCs/>
                <w:sz w:val="21"/>
                <w:szCs w:val="21"/>
                <w:lang w:eastAsia="zh-CN"/>
              </w:rPr>
              <w:t>分（满分</w:t>
            </w:r>
            <w:r>
              <w:rPr>
                <w:rFonts w:hint="eastAsia" w:ascii="宋体" w:hAnsi="宋体" w:eastAsia="宋体" w:cs="宋体"/>
                <w:b/>
                <w:bCs/>
                <w:sz w:val="21"/>
                <w:szCs w:val="21"/>
                <w:lang w:val="en-US" w:eastAsia="zh-CN"/>
              </w:rPr>
              <w:t>30分</w:t>
            </w:r>
            <w:r>
              <w:rPr>
                <w:rFonts w:hint="eastAsia" w:ascii="宋体" w:hAnsi="宋体" w:eastAsia="宋体" w:cs="宋体"/>
                <w:b/>
                <w:bCs/>
                <w:sz w:val="21"/>
                <w:szCs w:val="21"/>
                <w:lang w:eastAsia="zh-CN"/>
              </w:rPr>
              <w:t>）</w:t>
            </w:r>
            <w:r>
              <w:rPr>
                <w:rFonts w:hint="eastAsia" w:ascii="宋体" w:hAnsi="宋体" w:eastAsia="宋体" w:cs="宋体"/>
                <w:sz w:val="21"/>
                <w:szCs w:val="21"/>
                <w:lang w:eastAsia="zh-CN"/>
              </w:rPr>
              <w:t>：</w:t>
            </w:r>
          </w:p>
          <w:p w14:paraId="63037474">
            <w:pPr>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产品</w:t>
            </w:r>
            <w:r>
              <w:rPr>
                <w:rFonts w:hint="eastAsia" w:ascii="宋体" w:hAnsi="宋体" w:eastAsia="宋体" w:cs="宋体"/>
                <w:sz w:val="21"/>
                <w:szCs w:val="21"/>
                <w:lang w:eastAsia="zh-CN"/>
              </w:rPr>
              <w:t>技术</w:t>
            </w:r>
            <w:r>
              <w:rPr>
                <w:rFonts w:hint="eastAsia" w:ascii="宋体" w:hAnsi="宋体" w:eastAsia="宋体" w:cs="宋体"/>
                <w:sz w:val="21"/>
                <w:szCs w:val="21"/>
              </w:rPr>
              <w:t>参数完全满足招标文件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“技术性能、参数及有关要求”且无任何负偏离的得</w:t>
            </w:r>
            <w:r>
              <w:rPr>
                <w:rFonts w:hint="eastAsia" w:ascii="宋体" w:hAnsi="宋体" w:eastAsia="宋体" w:cs="宋体"/>
                <w:sz w:val="21"/>
                <w:szCs w:val="21"/>
                <w:lang w:val="en-US" w:eastAsia="zh-CN"/>
              </w:rPr>
              <w:t>30</w:t>
            </w:r>
            <w:r>
              <w:rPr>
                <w:rFonts w:hint="eastAsia" w:ascii="宋体" w:hAnsi="宋体" w:eastAsia="宋体" w:cs="宋体"/>
                <w:sz w:val="21"/>
                <w:szCs w:val="21"/>
              </w:rPr>
              <w:t>分；</w:t>
            </w:r>
            <w:r>
              <w:rPr>
                <w:rFonts w:hint="eastAsia" w:ascii="宋体" w:hAnsi="宋体" w:eastAsia="宋体" w:cs="宋体"/>
                <w:sz w:val="21"/>
                <w:szCs w:val="21"/>
                <w:lang w:eastAsia="zh-CN"/>
              </w:rPr>
              <w:t>投标</w:t>
            </w:r>
            <w:r>
              <w:rPr>
                <w:rFonts w:hint="eastAsia" w:ascii="宋体" w:hAnsi="宋体" w:eastAsia="宋体" w:cs="宋体"/>
                <w:sz w:val="21"/>
                <w:szCs w:val="21"/>
              </w:rPr>
              <w:t>产品参数不满足招标文件“技术性能、参数及有关要求”的，</w:t>
            </w:r>
            <w:r>
              <w:rPr>
                <w:rFonts w:hint="eastAsia" w:ascii="宋体" w:hAnsi="宋体" w:eastAsia="宋体" w:cs="宋体"/>
                <w:sz w:val="21"/>
                <w:szCs w:val="21"/>
                <w:lang w:eastAsia="zh-CN"/>
              </w:rPr>
              <w:t>即存在负偏离的，</w:t>
            </w:r>
            <w:r>
              <w:rPr>
                <w:rFonts w:hint="eastAsia" w:ascii="宋体" w:hAnsi="宋体" w:eastAsia="宋体" w:cs="宋体"/>
                <w:sz w:val="21"/>
                <w:szCs w:val="21"/>
              </w:rPr>
              <w:t>每一项扣</w:t>
            </w:r>
            <w:r>
              <w:rPr>
                <w:rFonts w:hint="eastAsia" w:ascii="宋体" w:hAnsi="宋体" w:eastAsia="宋体" w:cs="宋体"/>
                <w:sz w:val="21"/>
                <w:szCs w:val="21"/>
                <w:lang w:val="en-US" w:eastAsia="zh-CN"/>
              </w:rPr>
              <w:t>2</w:t>
            </w:r>
            <w:r>
              <w:rPr>
                <w:rFonts w:hint="eastAsia" w:ascii="宋体" w:hAnsi="宋体" w:eastAsia="宋体" w:cs="宋体"/>
                <w:sz w:val="21"/>
                <w:szCs w:val="21"/>
              </w:rPr>
              <w:t>分，扣完</w:t>
            </w:r>
            <w:r>
              <w:rPr>
                <w:rFonts w:hint="eastAsia" w:ascii="宋体" w:hAnsi="宋体" w:eastAsia="宋体" w:cs="宋体"/>
                <w:sz w:val="21"/>
                <w:szCs w:val="21"/>
                <w:lang w:val="en-US" w:eastAsia="zh-CN"/>
              </w:rPr>
              <w:t>30分为止</w:t>
            </w:r>
            <w:r>
              <w:rPr>
                <w:rFonts w:hint="eastAsia" w:ascii="宋体" w:hAnsi="宋体" w:eastAsia="宋体" w:cs="宋体"/>
                <w:sz w:val="21"/>
                <w:szCs w:val="21"/>
              </w:rPr>
              <w:t>。</w:t>
            </w:r>
          </w:p>
          <w:p w14:paraId="2DC87E86">
            <w:pPr>
              <w:pStyle w:val="17"/>
              <w:spacing w:line="360" w:lineRule="auto"/>
              <w:rPr>
                <w:rFonts w:hint="eastAsia" w:ascii="宋体" w:hAnsi="宋体" w:eastAsia="宋体" w:cs="宋体"/>
                <w:sz w:val="21"/>
                <w:szCs w:val="21"/>
                <w:lang w:eastAsia="zh-CN"/>
              </w:rPr>
            </w:pPr>
            <w:r>
              <w:rPr>
                <w:rFonts w:hint="eastAsia" w:ascii="宋体" w:hAnsi="宋体" w:eastAsia="宋体" w:cs="宋体"/>
                <w:b/>
                <w:bCs w:val="0"/>
                <w:kern w:val="2"/>
                <w:sz w:val="21"/>
                <w:szCs w:val="21"/>
                <w:lang w:val="en-US" w:eastAsia="zh-CN" w:bidi="ar"/>
              </w:rPr>
              <w:t>注：①第二章“技术性能、参数及有关要求”中标注“▲”为实质性要求项，经评审认定负偏离的，投标无效。②第二章“技术性能、参数及有关要求”中要求提供产品检测报告或生产厂家官方网站产品技术参数截图等相关佐证材料的，投标人未按要求提供佐证材料或提供的佐证材料不符合招标文件技术参数要求的，视为负偏离。</w:t>
            </w:r>
          </w:p>
        </w:tc>
      </w:tr>
      <w:tr w14:paraId="69B0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713" w:type="dxa"/>
            <w:vMerge w:val="continue"/>
            <w:noWrap w:val="0"/>
            <w:vAlign w:val="center"/>
          </w:tcPr>
          <w:p w14:paraId="4C743BBC">
            <w:pPr>
              <w:bidi w:val="0"/>
              <w:spacing w:line="360" w:lineRule="auto"/>
              <w:jc w:val="center"/>
              <w:rPr>
                <w:rFonts w:hint="eastAsia" w:ascii="宋体" w:hAnsi="宋体" w:eastAsia="宋体" w:cs="宋体"/>
                <w:sz w:val="21"/>
                <w:szCs w:val="21"/>
                <w:lang w:eastAsia="zh-CN"/>
              </w:rPr>
            </w:pPr>
          </w:p>
        </w:tc>
        <w:tc>
          <w:tcPr>
            <w:tcW w:w="1101" w:type="dxa"/>
            <w:vMerge w:val="continue"/>
            <w:noWrap w:val="0"/>
            <w:vAlign w:val="center"/>
          </w:tcPr>
          <w:p w14:paraId="486DAD2B">
            <w:pPr>
              <w:bidi w:val="0"/>
              <w:spacing w:line="360" w:lineRule="auto"/>
              <w:jc w:val="center"/>
              <w:rPr>
                <w:rFonts w:hint="eastAsia" w:ascii="宋体" w:hAnsi="宋体" w:eastAsia="宋体" w:cs="宋体"/>
                <w:b w:val="0"/>
                <w:bCs w:val="0"/>
                <w:sz w:val="21"/>
                <w:szCs w:val="21"/>
              </w:rPr>
            </w:pPr>
          </w:p>
        </w:tc>
        <w:tc>
          <w:tcPr>
            <w:tcW w:w="1259" w:type="dxa"/>
            <w:vMerge w:val="continue"/>
            <w:noWrap w:val="0"/>
            <w:vAlign w:val="center"/>
          </w:tcPr>
          <w:p w14:paraId="279323F7">
            <w:pPr>
              <w:bidi w:val="0"/>
              <w:spacing w:line="360" w:lineRule="auto"/>
              <w:jc w:val="center"/>
              <w:rPr>
                <w:rFonts w:hint="eastAsia" w:ascii="宋体" w:hAnsi="宋体" w:eastAsia="宋体" w:cs="宋体"/>
                <w:sz w:val="21"/>
                <w:szCs w:val="21"/>
                <w:lang w:val="en-US" w:eastAsia="zh-CN"/>
              </w:rPr>
            </w:pPr>
          </w:p>
        </w:tc>
        <w:tc>
          <w:tcPr>
            <w:tcW w:w="6715" w:type="dxa"/>
            <w:noWrap w:val="0"/>
            <w:vAlign w:val="center"/>
          </w:tcPr>
          <w:p w14:paraId="6A3467EC">
            <w:pPr>
              <w:spacing w:line="360" w:lineRule="auto"/>
              <w:rPr>
                <w:rFonts w:hint="eastAsia" w:ascii="宋体" w:hAnsi="宋体" w:eastAsia="宋体" w:cs="宋体"/>
                <w:b w:val="0"/>
                <w:bCs/>
                <w:kern w:val="2"/>
                <w:sz w:val="21"/>
                <w:szCs w:val="21"/>
                <w:lang w:val="en-US" w:eastAsia="zh-CN" w:bidi="ar"/>
              </w:rPr>
            </w:pPr>
            <w:r>
              <w:rPr>
                <w:rFonts w:hint="eastAsia" w:ascii="宋体" w:hAnsi="宋体" w:eastAsia="宋体" w:cs="宋体"/>
                <w:b w:val="0"/>
                <w:bCs/>
                <w:kern w:val="2"/>
                <w:sz w:val="21"/>
                <w:szCs w:val="21"/>
                <w:lang w:val="en-US" w:eastAsia="zh-CN" w:bidi="ar"/>
              </w:rPr>
              <w:t>（2）投标产品通过农业机械试验鉴定机构鉴定，获得农业机械鉴定证书的，每个证书得2分，满分6分。</w:t>
            </w:r>
          </w:p>
        </w:tc>
      </w:tr>
      <w:tr w14:paraId="4B40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13" w:type="dxa"/>
            <w:vMerge w:val="continue"/>
            <w:noWrap w:val="0"/>
            <w:vAlign w:val="center"/>
          </w:tcPr>
          <w:p w14:paraId="00A15416">
            <w:pPr>
              <w:bidi w:val="0"/>
              <w:spacing w:line="360" w:lineRule="auto"/>
              <w:jc w:val="center"/>
              <w:rPr>
                <w:rFonts w:hint="eastAsia" w:ascii="宋体" w:hAnsi="宋体" w:eastAsia="宋体" w:cs="宋体"/>
                <w:sz w:val="21"/>
                <w:szCs w:val="21"/>
                <w:lang w:eastAsia="zh-CN"/>
              </w:rPr>
            </w:pPr>
          </w:p>
        </w:tc>
        <w:tc>
          <w:tcPr>
            <w:tcW w:w="1101" w:type="dxa"/>
            <w:vMerge w:val="continue"/>
            <w:noWrap w:val="0"/>
            <w:vAlign w:val="center"/>
          </w:tcPr>
          <w:p w14:paraId="43CF3085">
            <w:pPr>
              <w:bidi w:val="0"/>
              <w:spacing w:line="360" w:lineRule="auto"/>
              <w:jc w:val="center"/>
              <w:rPr>
                <w:rFonts w:hint="eastAsia" w:ascii="宋体" w:hAnsi="宋体" w:eastAsia="宋体" w:cs="宋体"/>
                <w:sz w:val="21"/>
                <w:szCs w:val="21"/>
                <w:lang w:eastAsia="zh-CN"/>
              </w:rPr>
            </w:pPr>
          </w:p>
        </w:tc>
        <w:tc>
          <w:tcPr>
            <w:tcW w:w="1259" w:type="dxa"/>
            <w:noWrap w:val="0"/>
            <w:vAlign w:val="center"/>
          </w:tcPr>
          <w:p w14:paraId="6C6FB886">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b w:val="0"/>
                <w:bCs w:val="0"/>
                <w:sz w:val="21"/>
                <w:szCs w:val="21"/>
              </w:rPr>
              <w:t>实施方案分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18分</w:t>
            </w:r>
            <w:r>
              <w:rPr>
                <w:rFonts w:hint="eastAsia" w:ascii="宋体" w:hAnsi="宋体" w:eastAsia="宋体" w:cs="宋体"/>
                <w:b w:val="0"/>
                <w:bCs w:val="0"/>
                <w:sz w:val="21"/>
                <w:szCs w:val="21"/>
                <w:lang w:eastAsia="zh-CN"/>
              </w:rPr>
              <w:t>）</w:t>
            </w:r>
          </w:p>
        </w:tc>
        <w:tc>
          <w:tcPr>
            <w:tcW w:w="6715" w:type="dxa"/>
            <w:noWrap w:val="0"/>
            <w:vAlign w:val="center"/>
          </w:tcPr>
          <w:p w14:paraId="42C8F707">
            <w:pPr>
              <w:bidi w:val="0"/>
              <w:spacing w:line="360" w:lineRule="auto"/>
              <w:jc w:val="left"/>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由评标委员在相应档次内独立打分，未提供实施方案或实施方案不满足一档评审标准的，得0分</w:t>
            </w:r>
            <w:r>
              <w:rPr>
                <w:rFonts w:hint="eastAsia" w:ascii="宋体" w:hAnsi="宋体" w:eastAsia="宋体" w:cs="宋体"/>
                <w:b w:val="0"/>
                <w:bCs w:val="0"/>
                <w:sz w:val="21"/>
                <w:szCs w:val="21"/>
                <w:lang w:eastAsia="zh-CN"/>
              </w:rPr>
              <w:t>：</w:t>
            </w:r>
          </w:p>
          <w:p w14:paraId="418533F3">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w:t>
            </w:r>
            <w:r>
              <w:rPr>
                <w:rFonts w:hint="eastAsia" w:ascii="宋体" w:hAnsi="宋体" w:eastAsia="宋体" w:cs="宋体"/>
                <w:sz w:val="21"/>
                <w:szCs w:val="21"/>
                <w:lang w:val="en-US" w:eastAsia="zh-CN"/>
              </w:rPr>
              <w:t>6</w:t>
            </w:r>
            <w:r>
              <w:rPr>
                <w:rFonts w:hint="eastAsia" w:ascii="宋体" w:hAnsi="宋体" w:eastAsia="宋体" w:cs="宋体"/>
                <w:sz w:val="21"/>
                <w:szCs w:val="21"/>
              </w:rPr>
              <w:t>分）：对项目的需求基本理解，方案包含有实施要点、人员组织、进度管理等相</w:t>
            </w:r>
            <w:bookmarkStart w:id="289" w:name="_GoBack"/>
            <w:bookmarkEnd w:id="289"/>
            <w:r>
              <w:rPr>
                <w:rFonts w:hint="eastAsia" w:ascii="宋体" w:hAnsi="宋体" w:eastAsia="宋体" w:cs="宋体"/>
                <w:sz w:val="21"/>
                <w:szCs w:val="21"/>
              </w:rPr>
              <w:t>关内容；方案整体</w:t>
            </w:r>
            <w:r>
              <w:rPr>
                <w:rFonts w:hint="eastAsia" w:ascii="宋体" w:hAnsi="宋体" w:eastAsia="宋体" w:cs="宋体"/>
                <w:sz w:val="21"/>
                <w:szCs w:val="21"/>
                <w:lang w:eastAsia="zh-CN"/>
              </w:rPr>
              <w:t>基本符合</w:t>
            </w:r>
            <w:r>
              <w:rPr>
                <w:rFonts w:hint="eastAsia" w:ascii="宋体" w:hAnsi="宋体" w:eastAsia="宋体" w:cs="宋体"/>
                <w:sz w:val="21"/>
                <w:szCs w:val="21"/>
              </w:rPr>
              <w:t>项目采购需要，没有明显错误。</w:t>
            </w:r>
          </w:p>
          <w:p w14:paraId="73910AF3">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二档（1</w:t>
            </w:r>
            <w:r>
              <w:rPr>
                <w:rFonts w:hint="eastAsia" w:ascii="宋体" w:hAnsi="宋体" w:eastAsia="宋体" w:cs="宋体"/>
                <w:sz w:val="21"/>
                <w:szCs w:val="21"/>
                <w:lang w:val="en-US" w:eastAsia="zh-CN"/>
              </w:rPr>
              <w:t>2</w:t>
            </w:r>
            <w:r>
              <w:rPr>
                <w:rFonts w:hint="eastAsia" w:ascii="宋体" w:hAnsi="宋体" w:eastAsia="宋体" w:cs="宋体"/>
                <w:sz w:val="21"/>
                <w:szCs w:val="21"/>
              </w:rPr>
              <w:t>分）：对项目的需求有正确理解，方案包含有实施要点、人员组织、进度管理、质量控制等相关内容，表述正确、有可行性；方案整体符合项目采购需要，能够保障项目正常实施。</w:t>
            </w:r>
          </w:p>
          <w:p w14:paraId="634968D1">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w:t>
            </w:r>
            <w:r>
              <w:rPr>
                <w:rFonts w:hint="eastAsia" w:ascii="宋体" w:hAnsi="宋体" w:eastAsia="宋体" w:cs="宋体"/>
                <w:sz w:val="21"/>
                <w:szCs w:val="21"/>
                <w:lang w:val="en-US" w:eastAsia="zh-CN"/>
              </w:rPr>
              <w:t>18</w:t>
            </w:r>
            <w:r>
              <w:rPr>
                <w:rFonts w:hint="eastAsia" w:ascii="宋体" w:hAnsi="宋体" w:eastAsia="宋体" w:cs="宋体"/>
                <w:sz w:val="21"/>
                <w:szCs w:val="21"/>
              </w:rPr>
              <w:t>分）：对项目的需求有深入理解，方案包含有实施要点、人员组织、进度管理、质量控制、风险控制、验收、项目移交等方面内容，表述正确、可行，能够完全满足和保障项目实施要求；方案整体符合或优于项目采购需要，能确保高质量完成项目实施。</w:t>
            </w:r>
          </w:p>
          <w:p w14:paraId="780E46D4">
            <w:pPr>
              <w:pStyle w:val="17"/>
              <w:rPr>
                <w:rFonts w:hint="eastAsia" w:ascii="宋体" w:hAnsi="宋体" w:eastAsia="宋体" w:cs="宋体"/>
                <w:sz w:val="21"/>
                <w:szCs w:val="21"/>
              </w:rPr>
            </w:pPr>
          </w:p>
        </w:tc>
      </w:tr>
      <w:tr w14:paraId="1B60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13" w:type="dxa"/>
            <w:vMerge w:val="restart"/>
            <w:noWrap w:val="0"/>
            <w:vAlign w:val="center"/>
          </w:tcPr>
          <w:p w14:paraId="5E42AA7B">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101" w:type="dxa"/>
            <w:vMerge w:val="restart"/>
            <w:noWrap w:val="0"/>
            <w:vAlign w:val="center"/>
          </w:tcPr>
          <w:p w14:paraId="5929B84C">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商务分</w:t>
            </w:r>
            <w:r>
              <w:rPr>
                <w:rFonts w:hint="eastAsia" w:ascii="宋体" w:hAnsi="宋体" w:cs="宋体"/>
                <w:sz w:val="21"/>
                <w:szCs w:val="21"/>
                <w:lang w:eastAsia="zh-CN"/>
              </w:rPr>
              <w:t>（满分</w:t>
            </w:r>
            <w:r>
              <w:rPr>
                <w:rFonts w:hint="eastAsia" w:ascii="宋体" w:hAnsi="宋体" w:cs="宋体"/>
                <w:sz w:val="21"/>
                <w:szCs w:val="21"/>
                <w:lang w:val="en-US" w:eastAsia="zh-CN"/>
              </w:rPr>
              <w:t>14</w:t>
            </w:r>
            <w:r>
              <w:rPr>
                <w:rFonts w:hint="eastAsia" w:ascii="宋体" w:hAnsi="宋体" w:cs="宋体"/>
                <w:sz w:val="21"/>
                <w:szCs w:val="21"/>
                <w:lang w:eastAsia="zh-CN"/>
              </w:rPr>
              <w:t>）</w:t>
            </w:r>
          </w:p>
        </w:tc>
        <w:tc>
          <w:tcPr>
            <w:tcW w:w="1259" w:type="dxa"/>
            <w:noWrap w:val="0"/>
            <w:vAlign w:val="center"/>
          </w:tcPr>
          <w:p w14:paraId="21F8A76A">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售后服务方案分（满分</w:t>
            </w:r>
            <w:r>
              <w:rPr>
                <w:rFonts w:hint="eastAsia" w:ascii="宋体" w:hAnsi="宋体" w:eastAsia="宋体" w:cs="宋体"/>
                <w:b w:val="0"/>
                <w:bCs w:val="0"/>
                <w:sz w:val="21"/>
                <w:szCs w:val="21"/>
                <w:lang w:val="en-US" w:eastAsia="zh-CN"/>
              </w:rPr>
              <w:t>12分</w:t>
            </w:r>
            <w:r>
              <w:rPr>
                <w:rFonts w:hint="eastAsia" w:ascii="宋体" w:hAnsi="宋体" w:eastAsia="宋体" w:cs="宋体"/>
                <w:b w:val="0"/>
                <w:bCs w:val="0"/>
                <w:sz w:val="21"/>
                <w:szCs w:val="21"/>
                <w:lang w:eastAsia="zh-CN"/>
              </w:rPr>
              <w:t>）</w:t>
            </w:r>
          </w:p>
        </w:tc>
        <w:tc>
          <w:tcPr>
            <w:tcW w:w="6715" w:type="dxa"/>
            <w:noWrap w:val="0"/>
            <w:vAlign w:val="center"/>
          </w:tcPr>
          <w:p w14:paraId="29C7D341">
            <w:pPr>
              <w:bidi w:val="0"/>
              <w:spacing w:line="360" w:lineRule="auto"/>
              <w:jc w:val="left"/>
              <w:rPr>
                <w:rFonts w:hint="eastAsia" w:ascii="宋体" w:hAnsi="宋体" w:eastAsia="宋体" w:cs="宋体"/>
                <w:b/>
                <w:bCs/>
                <w:sz w:val="21"/>
                <w:szCs w:val="21"/>
                <w:lang w:eastAsia="zh-CN"/>
              </w:rPr>
            </w:pPr>
            <w:r>
              <w:rPr>
                <w:rFonts w:hint="eastAsia" w:ascii="宋体" w:hAnsi="宋体" w:eastAsia="宋体" w:cs="宋体"/>
                <w:b w:val="0"/>
                <w:bCs w:val="0"/>
                <w:sz w:val="21"/>
                <w:szCs w:val="21"/>
                <w:lang w:eastAsia="zh-CN"/>
              </w:rPr>
              <w:t>由评标委员在相应档次内独立打分，未提供售后服务方案或售后服务方案不满足一档评审标准的，得0分</w:t>
            </w:r>
            <w:r>
              <w:rPr>
                <w:rFonts w:hint="eastAsia" w:ascii="宋体" w:hAnsi="宋体" w:eastAsia="宋体" w:cs="宋体"/>
                <w:b/>
                <w:bCs/>
                <w:sz w:val="21"/>
                <w:szCs w:val="21"/>
                <w:lang w:eastAsia="zh-CN"/>
              </w:rPr>
              <w:t>：</w:t>
            </w:r>
          </w:p>
          <w:p w14:paraId="17A528F7">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一档（4分）：售后服务方案对“到达故障现场时间、故障出现解决方案、定期维护、免费技术培训方案、质保期维护方案</w:t>
            </w:r>
            <w:r>
              <w:rPr>
                <w:rFonts w:hint="eastAsia" w:ascii="宋体" w:hAnsi="宋体" w:cs="宋体"/>
                <w:sz w:val="21"/>
                <w:szCs w:val="21"/>
                <w:lang w:eastAsia="zh-CN"/>
              </w:rPr>
              <w:t>、备品备件</w:t>
            </w:r>
            <w:r>
              <w:rPr>
                <w:rFonts w:hint="eastAsia" w:ascii="宋体" w:hAnsi="宋体" w:eastAsia="宋体" w:cs="宋体"/>
                <w:sz w:val="21"/>
                <w:szCs w:val="21"/>
              </w:rPr>
              <w:t>”等</w:t>
            </w:r>
            <w:r>
              <w:rPr>
                <w:rFonts w:hint="eastAsia" w:ascii="宋体" w:hAnsi="宋体" w:eastAsia="宋体" w:cs="宋体"/>
                <w:sz w:val="21"/>
                <w:szCs w:val="21"/>
                <w:lang w:eastAsia="zh-CN"/>
              </w:rPr>
              <w:t>内容</w:t>
            </w:r>
            <w:r>
              <w:rPr>
                <w:rFonts w:hint="eastAsia" w:ascii="宋体" w:hAnsi="宋体" w:eastAsia="宋体" w:cs="宋体"/>
                <w:sz w:val="21"/>
                <w:szCs w:val="21"/>
              </w:rPr>
              <w:t>基本满足招标文件</w:t>
            </w:r>
            <w:r>
              <w:rPr>
                <w:rFonts w:hint="eastAsia" w:ascii="宋体" w:hAnsi="宋体" w:eastAsia="宋体" w:cs="宋体"/>
                <w:sz w:val="21"/>
                <w:szCs w:val="21"/>
                <w:lang w:eastAsia="zh-CN"/>
              </w:rPr>
              <w:t>售后服务</w:t>
            </w:r>
            <w:r>
              <w:rPr>
                <w:rFonts w:hint="eastAsia" w:ascii="宋体" w:hAnsi="宋体" w:eastAsia="宋体" w:cs="宋体"/>
                <w:sz w:val="21"/>
                <w:szCs w:val="21"/>
              </w:rPr>
              <w:t xml:space="preserve">要求。 </w:t>
            </w:r>
          </w:p>
          <w:p w14:paraId="5D4F75E5">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二档（8分）：售后服务方案对“到达故障现场时间、故障出现解决方案、定期维护、免费技术培训方案、质保期维护方案、其他优惠措施</w:t>
            </w:r>
            <w:r>
              <w:rPr>
                <w:rFonts w:hint="eastAsia" w:ascii="宋体" w:hAnsi="宋体" w:cs="宋体"/>
                <w:sz w:val="21"/>
                <w:szCs w:val="21"/>
                <w:lang w:eastAsia="zh-CN"/>
              </w:rPr>
              <w:t>、备品备件</w:t>
            </w:r>
            <w:r>
              <w:rPr>
                <w:rFonts w:hint="eastAsia" w:ascii="宋体" w:hAnsi="宋体" w:eastAsia="宋体" w:cs="宋体"/>
                <w:sz w:val="21"/>
                <w:szCs w:val="21"/>
              </w:rPr>
              <w:t>”等内容的描述完整，方案整体描述细致、合理、可行，</w:t>
            </w:r>
            <w:r>
              <w:rPr>
                <w:rFonts w:hint="eastAsia" w:ascii="宋体" w:hAnsi="宋体" w:eastAsia="宋体" w:cs="宋体"/>
                <w:sz w:val="21"/>
                <w:szCs w:val="21"/>
                <w:lang w:eastAsia="zh-CN"/>
              </w:rPr>
              <w:t>故障处理</w:t>
            </w:r>
            <w:r>
              <w:rPr>
                <w:rFonts w:hint="eastAsia" w:ascii="宋体" w:hAnsi="宋体" w:eastAsia="宋体" w:cs="宋体"/>
                <w:sz w:val="21"/>
                <w:szCs w:val="21"/>
              </w:rPr>
              <w:t xml:space="preserve">措施到位；设立有固定售后服务场所，并提供7×24小时售后服务热线，有详细的售后服务方案、售后服务流程。  </w:t>
            </w:r>
          </w:p>
          <w:p w14:paraId="1980EA5C">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12分）：在满足招标文件要求的基础上，售后服务方案中能提供技术培训具体计划，设立有固定售后服务场所及售后服务团队，并提供7×24小时售后服务热线，响应时间短，快捷、迅速，有详细的售后服务方案</w:t>
            </w:r>
            <w:r>
              <w:rPr>
                <w:rFonts w:hint="eastAsia" w:ascii="宋体" w:hAnsi="宋体" w:eastAsia="宋体" w:cs="宋体"/>
                <w:bCs/>
                <w:color w:val="auto"/>
                <w:szCs w:val="21"/>
                <w:highlight w:val="none"/>
              </w:rPr>
              <w:t>（包括故障处理、上门维护、紧急维护、重要服务、电话维护、主动巡检等）</w:t>
            </w:r>
            <w:r>
              <w:rPr>
                <w:rFonts w:hint="eastAsia" w:ascii="宋体" w:hAnsi="宋体" w:eastAsia="宋体" w:cs="宋体"/>
                <w:sz w:val="21"/>
                <w:szCs w:val="21"/>
              </w:rPr>
              <w:t>、售后服务流程；建立有售后应急预案、质量保障，有完善的售后服务机制，能为采购人提供优质的快捷服务。</w:t>
            </w:r>
          </w:p>
        </w:tc>
      </w:tr>
      <w:tr w14:paraId="4B32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13" w:type="dxa"/>
            <w:vMerge w:val="continue"/>
            <w:noWrap w:val="0"/>
            <w:vAlign w:val="center"/>
          </w:tcPr>
          <w:p w14:paraId="06C55EDF">
            <w:pPr>
              <w:bidi w:val="0"/>
              <w:spacing w:line="360" w:lineRule="auto"/>
              <w:jc w:val="center"/>
              <w:rPr>
                <w:rFonts w:hint="eastAsia" w:ascii="宋体" w:hAnsi="宋体" w:eastAsia="宋体" w:cs="宋体"/>
                <w:sz w:val="21"/>
                <w:szCs w:val="21"/>
                <w:lang w:eastAsia="zh-CN"/>
              </w:rPr>
            </w:pPr>
          </w:p>
        </w:tc>
        <w:tc>
          <w:tcPr>
            <w:tcW w:w="1101" w:type="dxa"/>
            <w:vMerge w:val="continue"/>
            <w:noWrap w:val="0"/>
            <w:vAlign w:val="center"/>
          </w:tcPr>
          <w:p w14:paraId="46CFF08C">
            <w:pPr>
              <w:bidi w:val="0"/>
              <w:spacing w:line="360" w:lineRule="auto"/>
              <w:jc w:val="center"/>
              <w:rPr>
                <w:rFonts w:hint="eastAsia" w:ascii="宋体" w:hAnsi="宋体" w:eastAsia="宋体" w:cs="宋体"/>
                <w:sz w:val="21"/>
                <w:szCs w:val="21"/>
                <w:lang w:eastAsia="zh-CN"/>
              </w:rPr>
            </w:pPr>
          </w:p>
        </w:tc>
        <w:tc>
          <w:tcPr>
            <w:tcW w:w="1259" w:type="dxa"/>
            <w:noWrap w:val="0"/>
            <w:vAlign w:val="center"/>
          </w:tcPr>
          <w:p w14:paraId="113E0091">
            <w:pPr>
              <w:adjustRightInd w:val="0"/>
              <w:spacing w:line="360" w:lineRule="auto"/>
              <w:jc w:val="center"/>
              <w:textAlignment w:val="baseline"/>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业绩分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6715" w:type="dxa"/>
            <w:noWrap w:val="0"/>
            <w:vAlign w:val="center"/>
          </w:tcPr>
          <w:p w14:paraId="35B0607C">
            <w:pPr>
              <w:pStyle w:val="11"/>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投标人2021年1月至今（近三年）承接的类似产品业绩（类似产品业绩是指包含一项或多项与本包投标产品相应的业绩。投标文件中提供有效的合同复印件并加盖投标人公章，合同复印件需要体现出</w:t>
            </w:r>
            <w:r>
              <w:rPr>
                <w:rFonts w:hint="eastAsia" w:ascii="宋体" w:hAnsi="宋体" w:cs="宋体"/>
                <w:kern w:val="2"/>
                <w:sz w:val="21"/>
                <w:szCs w:val="21"/>
                <w:lang w:val="en-US" w:eastAsia="zh-CN" w:bidi="ar-SA"/>
              </w:rPr>
              <w:t>合同首页、</w:t>
            </w:r>
            <w:r>
              <w:rPr>
                <w:rFonts w:hint="eastAsia" w:ascii="宋体" w:hAnsi="宋体" w:eastAsia="宋体" w:cs="宋体"/>
                <w:kern w:val="2"/>
                <w:sz w:val="21"/>
                <w:szCs w:val="21"/>
                <w:lang w:val="en-US" w:eastAsia="zh-CN" w:bidi="ar-SA"/>
              </w:rPr>
              <w:t>采购内容和日期</w:t>
            </w:r>
            <w:r>
              <w:rPr>
                <w:rFonts w:hint="eastAsia" w:ascii="宋体" w:hAnsi="宋体" w:cs="宋体"/>
                <w:kern w:val="2"/>
                <w:sz w:val="21"/>
                <w:szCs w:val="21"/>
                <w:lang w:val="en-US" w:eastAsia="zh-CN" w:bidi="ar-SA"/>
              </w:rPr>
              <w:t>、盖章页</w:t>
            </w:r>
            <w:r>
              <w:rPr>
                <w:rFonts w:hint="eastAsia" w:ascii="宋体" w:hAnsi="宋体" w:eastAsia="宋体" w:cs="宋体"/>
                <w:kern w:val="2"/>
                <w:sz w:val="21"/>
                <w:szCs w:val="21"/>
                <w:lang w:val="en-US" w:eastAsia="zh-CN" w:bidi="ar-SA"/>
              </w:rPr>
              <w:t>），每份业绩得1分，满分2分。</w:t>
            </w:r>
          </w:p>
        </w:tc>
      </w:tr>
      <w:tr w14:paraId="486E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13" w:type="dxa"/>
            <w:noWrap w:val="0"/>
            <w:vAlign w:val="center"/>
          </w:tcPr>
          <w:p w14:paraId="62F11D06">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01" w:type="dxa"/>
            <w:noWrap w:val="0"/>
            <w:vAlign w:val="center"/>
          </w:tcPr>
          <w:p w14:paraId="027E3A35">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政策分（满分</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w:t>
            </w:r>
          </w:p>
        </w:tc>
        <w:tc>
          <w:tcPr>
            <w:tcW w:w="1259" w:type="dxa"/>
            <w:noWrap w:val="0"/>
            <w:vAlign w:val="center"/>
          </w:tcPr>
          <w:p w14:paraId="18DB8897">
            <w:pPr>
              <w:adjustRightInd w:val="0"/>
              <w:spacing w:line="360" w:lineRule="auto"/>
              <w:jc w:val="center"/>
              <w:textAlignment w:val="baseline"/>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节能环保</w:t>
            </w:r>
            <w:r>
              <w:rPr>
                <w:rFonts w:hint="eastAsia" w:ascii="宋体" w:hAnsi="宋体" w:eastAsia="宋体" w:cs="宋体"/>
                <w:sz w:val="21"/>
                <w:szCs w:val="21"/>
                <w:lang w:eastAsia="zh-CN"/>
              </w:rPr>
              <w:t>（满分</w:t>
            </w:r>
            <w:r>
              <w:rPr>
                <w:rFonts w:hint="eastAsia" w:ascii="宋体" w:hAnsi="宋体" w:eastAsia="宋体" w:cs="宋体"/>
                <w:sz w:val="21"/>
                <w:szCs w:val="21"/>
                <w:lang w:val="en-US" w:eastAsia="zh-CN"/>
              </w:rPr>
              <w:t>2分</w:t>
            </w:r>
            <w:r>
              <w:rPr>
                <w:rFonts w:hint="eastAsia" w:ascii="宋体" w:hAnsi="宋体" w:eastAsia="宋体" w:cs="宋体"/>
                <w:sz w:val="21"/>
                <w:szCs w:val="21"/>
                <w:lang w:eastAsia="zh-CN"/>
              </w:rPr>
              <w:t>）</w:t>
            </w:r>
          </w:p>
        </w:tc>
        <w:tc>
          <w:tcPr>
            <w:tcW w:w="6715" w:type="dxa"/>
            <w:noWrap w:val="0"/>
            <w:vAlign w:val="center"/>
          </w:tcPr>
          <w:p w14:paraId="40734517">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产品属于财政部《节能产品政府采购品目清单》内优先采购（清单内未标注“★”的品目）的产品[投标文件中提供有效的认证证书复印件及品目清单（标注出投标产品在品目清单中所属的品目）]的得0.5分，满分1分。</w:t>
            </w:r>
          </w:p>
          <w:p w14:paraId="57FD80CA">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（2）投标产品属于财政部《环境标志产品政府采购品目清单》内的产品[投标文件中提供有效的认证证书复印件及品目清单（标注出投标产品在品目清单中所属的品目）]的得0.5分，满分1分。</w:t>
            </w:r>
          </w:p>
        </w:tc>
      </w:tr>
    </w:tbl>
    <w:p w14:paraId="228BDFD5">
      <w:pPr>
        <w:bidi w:val="0"/>
        <w:ind w:firstLine="560" w:firstLineChars="200"/>
        <w:jc w:val="left"/>
        <w:rPr>
          <w:rFonts w:hint="eastAsia" w:ascii="仿宋" w:hAnsi="仿宋" w:eastAsia="仿宋" w:cs="仿宋"/>
          <w:sz w:val="28"/>
          <w:szCs w:val="28"/>
          <w:lang w:eastAsia="zh-CN"/>
        </w:rPr>
      </w:pPr>
    </w:p>
    <w:p w14:paraId="23BFDCA5">
      <w:pPr>
        <w:bidi w:val="0"/>
        <w:ind w:firstLine="560" w:firstLineChars="200"/>
        <w:jc w:val="left"/>
        <w:rPr>
          <w:rFonts w:hint="eastAsia" w:ascii="仿宋" w:hAnsi="仿宋" w:eastAsia="仿宋" w:cs="仿宋"/>
          <w:sz w:val="28"/>
          <w:szCs w:val="28"/>
          <w:lang w:eastAsia="zh-CN"/>
        </w:rPr>
      </w:pPr>
    </w:p>
    <w:p w14:paraId="12D64DD1">
      <w:pPr>
        <w:bidi w:val="0"/>
        <w:ind w:firstLine="560" w:firstLineChars="200"/>
        <w:jc w:val="left"/>
        <w:rPr>
          <w:rFonts w:hint="eastAsia" w:ascii="仿宋" w:hAnsi="仿宋" w:eastAsia="仿宋" w:cs="仿宋"/>
          <w:sz w:val="28"/>
          <w:szCs w:val="28"/>
          <w:lang w:eastAsia="zh-CN"/>
        </w:rPr>
      </w:pPr>
    </w:p>
    <w:p w14:paraId="38391768">
      <w:pPr>
        <w:bidi w:val="0"/>
        <w:ind w:firstLine="562" w:firstLineChars="200"/>
        <w:jc w:val="center"/>
        <w:rPr>
          <w:rFonts w:hint="eastAsia" w:ascii="仿宋" w:hAnsi="仿宋" w:eastAsia="仿宋" w:cs="仿宋"/>
          <w:b/>
          <w:bCs/>
          <w:sz w:val="28"/>
          <w:szCs w:val="28"/>
          <w:lang w:val="en-US" w:eastAsia="zh-CN"/>
        </w:rPr>
      </w:pPr>
    </w:p>
    <w:p w14:paraId="21E5AA35">
      <w:pPr>
        <w:bidi w:val="0"/>
        <w:ind w:firstLine="643" w:firstLineChars="20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2分标：</w:t>
      </w:r>
    </w:p>
    <w:tbl>
      <w:tblPr>
        <w:tblStyle w:val="29"/>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740"/>
        <w:gridCol w:w="1362"/>
        <w:gridCol w:w="5914"/>
      </w:tblGrid>
      <w:tr w14:paraId="60E3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05" w:type="dxa"/>
            <w:noWrap w:val="0"/>
            <w:vAlign w:val="center"/>
          </w:tcPr>
          <w:p w14:paraId="69681314">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序号</w:t>
            </w:r>
          </w:p>
        </w:tc>
        <w:tc>
          <w:tcPr>
            <w:tcW w:w="1740" w:type="dxa"/>
            <w:noWrap w:val="0"/>
            <w:vAlign w:val="center"/>
          </w:tcPr>
          <w:p w14:paraId="323C2667">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评分类型</w:t>
            </w:r>
          </w:p>
        </w:tc>
        <w:tc>
          <w:tcPr>
            <w:tcW w:w="1362" w:type="dxa"/>
            <w:noWrap w:val="0"/>
            <w:vAlign w:val="center"/>
          </w:tcPr>
          <w:p w14:paraId="7208ECDC">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评审因素</w:t>
            </w:r>
          </w:p>
        </w:tc>
        <w:tc>
          <w:tcPr>
            <w:tcW w:w="5914" w:type="dxa"/>
            <w:noWrap w:val="0"/>
            <w:vAlign w:val="center"/>
          </w:tcPr>
          <w:p w14:paraId="05DC58B8">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评标标准</w:t>
            </w:r>
          </w:p>
        </w:tc>
      </w:tr>
      <w:tr w14:paraId="0C2F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7" w:hRule="atLeast"/>
        </w:trPr>
        <w:tc>
          <w:tcPr>
            <w:tcW w:w="705" w:type="dxa"/>
            <w:noWrap w:val="0"/>
            <w:vAlign w:val="center"/>
          </w:tcPr>
          <w:p w14:paraId="44A7A574">
            <w:pPr>
              <w:bidi w:val="0"/>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740" w:type="dxa"/>
            <w:noWrap w:val="0"/>
            <w:vAlign w:val="center"/>
          </w:tcPr>
          <w:p w14:paraId="144708C4">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价格分（满分</w:t>
            </w:r>
            <w:r>
              <w:rPr>
                <w:rFonts w:hint="eastAsia" w:ascii="宋体" w:hAnsi="宋体" w:eastAsia="宋体" w:cs="宋体"/>
                <w:sz w:val="21"/>
                <w:szCs w:val="21"/>
                <w:lang w:val="en-US" w:eastAsia="zh-CN"/>
              </w:rPr>
              <w:t>30分</w:t>
            </w:r>
            <w:r>
              <w:rPr>
                <w:rFonts w:hint="eastAsia" w:ascii="宋体" w:hAnsi="宋体" w:eastAsia="宋体" w:cs="宋体"/>
                <w:sz w:val="21"/>
                <w:szCs w:val="21"/>
                <w:lang w:eastAsia="zh-CN"/>
              </w:rPr>
              <w:t>）</w:t>
            </w:r>
          </w:p>
        </w:tc>
        <w:tc>
          <w:tcPr>
            <w:tcW w:w="1362" w:type="dxa"/>
            <w:noWrap w:val="0"/>
            <w:vAlign w:val="center"/>
          </w:tcPr>
          <w:p w14:paraId="1686B586">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价格分</w:t>
            </w:r>
          </w:p>
        </w:tc>
        <w:tc>
          <w:tcPr>
            <w:tcW w:w="5914" w:type="dxa"/>
            <w:noWrap w:val="0"/>
            <w:vAlign w:val="center"/>
          </w:tcPr>
          <w:p w14:paraId="4D569E65">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（1）评标报价为投标人的投标报价进行政策性扣除后的价格，评标报价只是作为评标时使用。最终中标人的中标金额等于投标报价。</w:t>
            </w:r>
          </w:p>
          <w:p w14:paraId="7C3F2833">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（2）政策性扣除计算方法</w:t>
            </w:r>
          </w:p>
          <w:p w14:paraId="5B7035DC">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052AF3FB">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1857442">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10BA366">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（5）满足招标文件要求且评标报价最低的为评标基准价，其价格分为满分。</w:t>
            </w:r>
          </w:p>
          <w:p w14:paraId="53177912">
            <w:pPr>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 xml:space="preserve">（6）价格分计算公式：        </w:t>
            </w:r>
          </w:p>
          <w:p w14:paraId="762B53DF">
            <w:pPr>
              <w:bidi w:val="0"/>
              <w:spacing w:line="360" w:lineRule="auto"/>
              <w:jc w:val="center"/>
              <w:rPr>
                <w:rFonts w:hint="eastAsia" w:ascii="宋体" w:hAnsi="宋体" w:eastAsia="宋体" w:cs="宋体"/>
                <w:sz w:val="21"/>
                <w:szCs w:val="21"/>
              </w:rPr>
            </w:pPr>
            <w:r>
              <w:rPr>
                <w:rFonts w:hint="eastAsia" w:ascii="宋体" w:hAnsi="宋体" w:eastAsia="宋体" w:cs="宋体"/>
                <w:bCs/>
                <w:sz w:val="21"/>
                <w:szCs w:val="21"/>
              </w:rPr>
              <w:t>价格分=（评标基准价/评标报价）×</w:t>
            </w:r>
            <w:r>
              <w:rPr>
                <w:rFonts w:hint="eastAsia" w:ascii="宋体" w:hAnsi="宋体" w:eastAsia="宋体" w:cs="宋体"/>
                <w:bCs/>
                <w:sz w:val="21"/>
                <w:szCs w:val="21"/>
                <w:u w:val="single"/>
              </w:rPr>
              <w:t>30</w:t>
            </w:r>
            <w:r>
              <w:rPr>
                <w:rFonts w:hint="eastAsia" w:ascii="宋体" w:hAnsi="宋体" w:eastAsia="宋体" w:cs="宋体"/>
                <w:bCs/>
                <w:sz w:val="21"/>
                <w:szCs w:val="21"/>
              </w:rPr>
              <w:t>分</w:t>
            </w:r>
          </w:p>
        </w:tc>
      </w:tr>
      <w:tr w14:paraId="71D4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05" w:type="dxa"/>
            <w:vMerge w:val="restart"/>
            <w:noWrap w:val="0"/>
            <w:vAlign w:val="center"/>
          </w:tcPr>
          <w:p w14:paraId="632578A6">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p>
        </w:tc>
        <w:tc>
          <w:tcPr>
            <w:tcW w:w="1740" w:type="dxa"/>
            <w:vMerge w:val="restart"/>
            <w:noWrap w:val="0"/>
            <w:vAlign w:val="center"/>
          </w:tcPr>
          <w:p w14:paraId="24CE3684">
            <w:pPr>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技术分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54分</w:t>
            </w:r>
            <w:r>
              <w:rPr>
                <w:rFonts w:hint="eastAsia" w:ascii="宋体" w:hAnsi="宋体" w:eastAsia="宋体" w:cs="宋体"/>
                <w:b w:val="0"/>
                <w:bCs w:val="0"/>
                <w:sz w:val="21"/>
                <w:szCs w:val="21"/>
                <w:lang w:eastAsia="zh-CN"/>
              </w:rPr>
              <w:t>）</w:t>
            </w:r>
          </w:p>
        </w:tc>
        <w:tc>
          <w:tcPr>
            <w:tcW w:w="1362" w:type="dxa"/>
            <w:noWrap w:val="0"/>
            <w:vAlign w:val="center"/>
          </w:tcPr>
          <w:p w14:paraId="30196633">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技术</w:t>
            </w:r>
            <w:r>
              <w:rPr>
                <w:rFonts w:hint="eastAsia" w:ascii="宋体" w:hAnsi="宋体" w:eastAsia="宋体" w:cs="宋体"/>
                <w:b w:val="0"/>
                <w:bCs w:val="0"/>
                <w:kern w:val="0"/>
                <w:sz w:val="21"/>
                <w:szCs w:val="21"/>
                <w:lang w:val="en-US" w:eastAsia="zh-CN" w:bidi="ar"/>
              </w:rPr>
              <w:t>参数或性能指标</w:t>
            </w:r>
            <w:r>
              <w:rPr>
                <w:rFonts w:hint="eastAsia" w:ascii="宋体" w:hAnsi="宋体" w:eastAsia="宋体" w:cs="宋体"/>
                <w:b w:val="0"/>
                <w:bCs w:val="0"/>
                <w:sz w:val="21"/>
                <w:szCs w:val="21"/>
                <w:lang w:eastAsia="zh-CN"/>
              </w:rPr>
              <w:t>分</w:t>
            </w:r>
            <w:r>
              <w:rPr>
                <w:rFonts w:hint="eastAsia" w:ascii="宋体" w:hAnsi="宋体" w:eastAsia="宋体" w:cs="宋体"/>
                <w:b w:val="0"/>
                <w:bCs w:val="0"/>
                <w:kern w:val="0"/>
                <w:sz w:val="21"/>
                <w:szCs w:val="21"/>
                <w:lang w:val="en-US" w:eastAsia="zh-CN" w:bidi="ar"/>
              </w:rPr>
              <w:t>（满分36分）</w:t>
            </w:r>
          </w:p>
        </w:tc>
        <w:tc>
          <w:tcPr>
            <w:tcW w:w="5914" w:type="dxa"/>
            <w:noWrap w:val="0"/>
            <w:vAlign w:val="center"/>
          </w:tcPr>
          <w:p w14:paraId="2CC3FE18">
            <w:pPr>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产品</w:t>
            </w:r>
            <w:r>
              <w:rPr>
                <w:rFonts w:hint="eastAsia" w:ascii="宋体" w:hAnsi="宋体" w:eastAsia="宋体" w:cs="宋体"/>
                <w:sz w:val="21"/>
                <w:szCs w:val="21"/>
                <w:lang w:eastAsia="zh-CN"/>
              </w:rPr>
              <w:t>技术</w:t>
            </w:r>
            <w:r>
              <w:rPr>
                <w:rFonts w:hint="eastAsia" w:ascii="宋体" w:hAnsi="宋体" w:eastAsia="宋体" w:cs="宋体"/>
                <w:sz w:val="21"/>
                <w:szCs w:val="21"/>
              </w:rPr>
              <w:t>参数完全满足招标文件</w:t>
            </w:r>
            <w:r>
              <w:rPr>
                <w:rFonts w:hint="eastAsia" w:ascii="宋体" w:hAnsi="宋体" w:cs="宋体"/>
                <w:sz w:val="21"/>
                <w:szCs w:val="21"/>
                <w:lang w:eastAsia="zh-CN"/>
              </w:rPr>
              <w:t>第二章</w:t>
            </w:r>
            <w:r>
              <w:rPr>
                <w:rFonts w:hint="eastAsia" w:ascii="宋体" w:hAnsi="宋体" w:eastAsia="宋体" w:cs="宋体"/>
                <w:sz w:val="21"/>
                <w:szCs w:val="21"/>
              </w:rPr>
              <w:t>“技术性能、参数及有关要求”且无任何负偏离的得</w:t>
            </w:r>
            <w:r>
              <w:rPr>
                <w:rFonts w:hint="eastAsia" w:ascii="宋体" w:hAnsi="宋体" w:eastAsia="宋体" w:cs="宋体"/>
                <w:sz w:val="21"/>
                <w:szCs w:val="21"/>
                <w:lang w:val="en-US" w:eastAsia="zh-CN"/>
              </w:rPr>
              <w:t>36</w:t>
            </w:r>
            <w:r>
              <w:rPr>
                <w:rFonts w:hint="eastAsia" w:ascii="宋体" w:hAnsi="宋体" w:eastAsia="宋体" w:cs="宋体"/>
                <w:sz w:val="21"/>
                <w:szCs w:val="21"/>
              </w:rPr>
              <w:t>分；</w:t>
            </w:r>
            <w:r>
              <w:rPr>
                <w:rFonts w:hint="eastAsia" w:ascii="宋体" w:hAnsi="宋体" w:eastAsia="宋体" w:cs="宋体"/>
                <w:sz w:val="21"/>
                <w:szCs w:val="21"/>
                <w:lang w:eastAsia="zh-CN"/>
              </w:rPr>
              <w:t>投标</w:t>
            </w:r>
            <w:r>
              <w:rPr>
                <w:rFonts w:hint="eastAsia" w:ascii="宋体" w:hAnsi="宋体" w:eastAsia="宋体" w:cs="宋体"/>
                <w:sz w:val="21"/>
                <w:szCs w:val="21"/>
              </w:rPr>
              <w:t>产品参数不满足招标文件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“技术性能、参数及有关要求”的，</w:t>
            </w:r>
            <w:r>
              <w:rPr>
                <w:rFonts w:hint="eastAsia" w:ascii="宋体" w:hAnsi="宋体" w:eastAsia="宋体" w:cs="宋体"/>
                <w:sz w:val="21"/>
                <w:szCs w:val="21"/>
                <w:lang w:eastAsia="zh-CN"/>
              </w:rPr>
              <w:t>即存在负偏离的，</w:t>
            </w:r>
            <w:r>
              <w:rPr>
                <w:rFonts w:hint="eastAsia" w:ascii="宋体" w:hAnsi="宋体" w:eastAsia="宋体" w:cs="宋体"/>
                <w:sz w:val="21"/>
                <w:szCs w:val="21"/>
              </w:rPr>
              <w:t>每一项扣</w:t>
            </w:r>
            <w:r>
              <w:rPr>
                <w:rFonts w:hint="eastAsia" w:ascii="宋体" w:hAnsi="宋体" w:eastAsia="宋体" w:cs="宋体"/>
                <w:sz w:val="21"/>
                <w:szCs w:val="21"/>
                <w:lang w:val="en-US" w:eastAsia="zh-CN"/>
              </w:rPr>
              <w:t>2</w:t>
            </w:r>
            <w:r>
              <w:rPr>
                <w:rFonts w:hint="eastAsia" w:ascii="宋体" w:hAnsi="宋体" w:eastAsia="宋体" w:cs="宋体"/>
                <w:sz w:val="21"/>
                <w:szCs w:val="21"/>
              </w:rPr>
              <w:t>分，扣完</w:t>
            </w:r>
            <w:r>
              <w:rPr>
                <w:rFonts w:hint="eastAsia" w:ascii="宋体" w:hAnsi="宋体" w:eastAsia="宋体" w:cs="宋体"/>
                <w:sz w:val="21"/>
                <w:szCs w:val="21"/>
                <w:lang w:val="en-US" w:eastAsia="zh-CN"/>
              </w:rPr>
              <w:t>36分为止</w:t>
            </w:r>
            <w:r>
              <w:rPr>
                <w:rFonts w:hint="eastAsia" w:ascii="宋体" w:hAnsi="宋体" w:eastAsia="宋体" w:cs="宋体"/>
                <w:sz w:val="21"/>
                <w:szCs w:val="21"/>
              </w:rPr>
              <w:t>。</w:t>
            </w:r>
          </w:p>
          <w:p w14:paraId="4A39EC0C">
            <w:pPr>
              <w:pStyle w:val="17"/>
              <w:spacing w:line="360" w:lineRule="auto"/>
              <w:rPr>
                <w:rFonts w:hint="eastAsia" w:ascii="宋体" w:hAnsi="宋体" w:eastAsia="宋体" w:cs="宋体"/>
                <w:sz w:val="21"/>
                <w:szCs w:val="21"/>
                <w:lang w:eastAsia="zh-CN"/>
              </w:rPr>
            </w:pPr>
            <w:r>
              <w:rPr>
                <w:rFonts w:hint="eastAsia" w:ascii="宋体" w:hAnsi="宋体" w:eastAsia="宋体" w:cs="宋体"/>
                <w:b/>
                <w:bCs w:val="0"/>
                <w:kern w:val="2"/>
                <w:sz w:val="21"/>
                <w:szCs w:val="21"/>
                <w:lang w:val="en-US" w:eastAsia="zh-CN" w:bidi="ar"/>
              </w:rPr>
              <w:t>注：①第二章“技术性能、参数及有关要求”中标注“▲”为实质性要求项，经评审认定负偏离的，投标无效。②第二章“技术性能、参数及有关要求”中要求提供产品检测报告或生产厂家官方网站产品技术参数截图等相关佐证材料的，投标人未按要求提供佐证材料或提供的佐证材料不符合招标文件技术参数要求的，视为负偏离。</w:t>
            </w:r>
          </w:p>
        </w:tc>
      </w:tr>
      <w:tr w14:paraId="426E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05" w:type="dxa"/>
            <w:vMerge w:val="continue"/>
            <w:noWrap w:val="0"/>
            <w:vAlign w:val="center"/>
          </w:tcPr>
          <w:p w14:paraId="645D4F7D">
            <w:pPr>
              <w:bidi w:val="0"/>
              <w:spacing w:line="360" w:lineRule="auto"/>
              <w:jc w:val="center"/>
              <w:rPr>
                <w:rFonts w:hint="eastAsia" w:ascii="宋体" w:hAnsi="宋体" w:eastAsia="宋体" w:cs="宋体"/>
                <w:b w:val="0"/>
                <w:bCs w:val="0"/>
                <w:sz w:val="21"/>
                <w:szCs w:val="21"/>
                <w:lang w:eastAsia="zh-CN"/>
              </w:rPr>
            </w:pPr>
          </w:p>
        </w:tc>
        <w:tc>
          <w:tcPr>
            <w:tcW w:w="1740" w:type="dxa"/>
            <w:vMerge w:val="continue"/>
            <w:noWrap w:val="0"/>
            <w:vAlign w:val="center"/>
          </w:tcPr>
          <w:p w14:paraId="39BBA861">
            <w:pPr>
              <w:bidi w:val="0"/>
              <w:spacing w:line="360" w:lineRule="auto"/>
              <w:jc w:val="center"/>
              <w:rPr>
                <w:rFonts w:hint="eastAsia" w:ascii="宋体" w:hAnsi="宋体" w:eastAsia="宋体" w:cs="宋体"/>
                <w:b w:val="0"/>
                <w:bCs w:val="0"/>
                <w:sz w:val="21"/>
                <w:szCs w:val="21"/>
                <w:lang w:eastAsia="zh-CN"/>
              </w:rPr>
            </w:pPr>
          </w:p>
        </w:tc>
        <w:tc>
          <w:tcPr>
            <w:tcW w:w="1362" w:type="dxa"/>
            <w:noWrap w:val="0"/>
            <w:vAlign w:val="center"/>
          </w:tcPr>
          <w:p w14:paraId="392A1120">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实施方案分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18分</w:t>
            </w:r>
            <w:r>
              <w:rPr>
                <w:rFonts w:hint="eastAsia" w:ascii="宋体" w:hAnsi="宋体" w:eastAsia="宋体" w:cs="宋体"/>
                <w:b w:val="0"/>
                <w:bCs w:val="0"/>
                <w:sz w:val="21"/>
                <w:szCs w:val="21"/>
                <w:lang w:eastAsia="zh-CN"/>
              </w:rPr>
              <w:t>）</w:t>
            </w:r>
          </w:p>
        </w:tc>
        <w:tc>
          <w:tcPr>
            <w:tcW w:w="5914" w:type="dxa"/>
            <w:noWrap w:val="0"/>
            <w:vAlign w:val="center"/>
          </w:tcPr>
          <w:p w14:paraId="31D65B48">
            <w:pPr>
              <w:bidi w:val="0"/>
              <w:spacing w:line="360" w:lineRule="auto"/>
              <w:jc w:val="left"/>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由评标委员在相应档次内独立打分，未提供实施方案或实施方案不满足一档评审标准的，得0分：</w:t>
            </w:r>
          </w:p>
          <w:p w14:paraId="52B4B63B">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w:t>
            </w:r>
            <w:r>
              <w:rPr>
                <w:rFonts w:hint="eastAsia" w:ascii="宋体" w:hAnsi="宋体" w:eastAsia="宋体" w:cs="宋体"/>
                <w:sz w:val="21"/>
                <w:szCs w:val="21"/>
                <w:lang w:val="en-US" w:eastAsia="zh-CN"/>
              </w:rPr>
              <w:t>6</w:t>
            </w:r>
            <w:r>
              <w:rPr>
                <w:rFonts w:hint="eastAsia" w:ascii="宋体" w:hAnsi="宋体" w:eastAsia="宋体" w:cs="宋体"/>
                <w:sz w:val="21"/>
                <w:szCs w:val="21"/>
              </w:rPr>
              <w:t>分）：对项目的需求基本理解，方案包含有实施要点、人员组织、进度管理等相关内容；方案整体</w:t>
            </w:r>
            <w:r>
              <w:rPr>
                <w:rFonts w:hint="eastAsia" w:ascii="宋体" w:hAnsi="宋体" w:eastAsia="宋体" w:cs="宋体"/>
                <w:sz w:val="21"/>
                <w:szCs w:val="21"/>
                <w:lang w:eastAsia="zh-CN"/>
              </w:rPr>
              <w:t>基本符合</w:t>
            </w:r>
            <w:r>
              <w:rPr>
                <w:rFonts w:hint="eastAsia" w:ascii="宋体" w:hAnsi="宋体" w:eastAsia="宋体" w:cs="宋体"/>
                <w:sz w:val="21"/>
                <w:szCs w:val="21"/>
              </w:rPr>
              <w:t>项目采购需要，没有明显错误。</w:t>
            </w:r>
          </w:p>
          <w:p w14:paraId="06A79D12">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二档（1</w:t>
            </w:r>
            <w:r>
              <w:rPr>
                <w:rFonts w:hint="eastAsia" w:ascii="宋体" w:hAnsi="宋体" w:eastAsia="宋体" w:cs="宋体"/>
                <w:sz w:val="21"/>
                <w:szCs w:val="21"/>
                <w:lang w:val="en-US" w:eastAsia="zh-CN"/>
              </w:rPr>
              <w:t>2</w:t>
            </w:r>
            <w:r>
              <w:rPr>
                <w:rFonts w:hint="eastAsia" w:ascii="宋体" w:hAnsi="宋体" w:eastAsia="宋体" w:cs="宋体"/>
                <w:sz w:val="21"/>
                <w:szCs w:val="21"/>
              </w:rPr>
              <w:t>分）：对项目的需求有正确理解，方案包含有实施要点、人员组织、进度管理、质量控制等相关内容，表述正确、有可行性；方案整体符合项目采购需要，能够保障项目正常实施。</w:t>
            </w:r>
          </w:p>
          <w:p w14:paraId="43C9EFEC">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w:t>
            </w:r>
            <w:r>
              <w:rPr>
                <w:rFonts w:hint="eastAsia" w:ascii="宋体" w:hAnsi="宋体" w:eastAsia="宋体" w:cs="宋体"/>
                <w:sz w:val="21"/>
                <w:szCs w:val="21"/>
                <w:lang w:val="en-US" w:eastAsia="zh-CN"/>
              </w:rPr>
              <w:t>18</w:t>
            </w:r>
            <w:r>
              <w:rPr>
                <w:rFonts w:hint="eastAsia" w:ascii="宋体" w:hAnsi="宋体" w:eastAsia="宋体" w:cs="宋体"/>
                <w:sz w:val="21"/>
                <w:szCs w:val="21"/>
              </w:rPr>
              <w:t>分）：对项目的需求有深入理解，方案包含有实施要点、人员组织、进度管理、质量控制、风险控制、验收、项目移交等方面内容，表述正确、可行，能够完全满足和保障项目实施要求；方案整体符合或优于项目采购需要，能确保高质量完成项目实施。</w:t>
            </w:r>
          </w:p>
          <w:p w14:paraId="050F7BE4">
            <w:pPr>
              <w:pStyle w:val="17"/>
              <w:rPr>
                <w:rFonts w:hint="eastAsia" w:ascii="宋体" w:hAnsi="宋体" w:eastAsia="宋体" w:cs="宋体"/>
                <w:sz w:val="21"/>
                <w:szCs w:val="21"/>
              </w:rPr>
            </w:pPr>
          </w:p>
        </w:tc>
      </w:tr>
      <w:tr w14:paraId="102F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05" w:type="dxa"/>
            <w:vMerge w:val="restart"/>
            <w:noWrap w:val="0"/>
            <w:vAlign w:val="center"/>
          </w:tcPr>
          <w:p w14:paraId="326E5CC3">
            <w:pPr>
              <w:bidi w:val="0"/>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740" w:type="dxa"/>
            <w:vMerge w:val="restart"/>
            <w:noWrap w:val="0"/>
            <w:vAlign w:val="center"/>
          </w:tcPr>
          <w:p w14:paraId="190D858C">
            <w:pPr>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商务分（满分</w:t>
            </w:r>
            <w:r>
              <w:rPr>
                <w:rFonts w:hint="eastAsia" w:ascii="宋体" w:hAnsi="宋体" w:eastAsia="宋体" w:cs="宋体"/>
                <w:b w:val="0"/>
                <w:bCs w:val="0"/>
                <w:sz w:val="21"/>
                <w:szCs w:val="21"/>
                <w:lang w:val="en-US" w:eastAsia="zh-CN"/>
              </w:rPr>
              <w:t>14分</w:t>
            </w:r>
            <w:r>
              <w:rPr>
                <w:rFonts w:hint="eastAsia" w:ascii="宋体" w:hAnsi="宋体" w:eastAsia="宋体" w:cs="宋体"/>
                <w:b w:val="0"/>
                <w:bCs w:val="0"/>
                <w:sz w:val="21"/>
                <w:szCs w:val="21"/>
                <w:lang w:eastAsia="zh-CN"/>
              </w:rPr>
              <w:t>）</w:t>
            </w:r>
          </w:p>
        </w:tc>
        <w:tc>
          <w:tcPr>
            <w:tcW w:w="1362" w:type="dxa"/>
            <w:noWrap w:val="0"/>
            <w:vAlign w:val="center"/>
          </w:tcPr>
          <w:p w14:paraId="01965A0B">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售后服务方案分（满分</w:t>
            </w:r>
            <w:r>
              <w:rPr>
                <w:rFonts w:hint="eastAsia" w:ascii="宋体" w:hAnsi="宋体" w:eastAsia="宋体" w:cs="宋体"/>
                <w:b w:val="0"/>
                <w:bCs w:val="0"/>
                <w:sz w:val="21"/>
                <w:szCs w:val="21"/>
                <w:lang w:val="en-US" w:eastAsia="zh-CN"/>
              </w:rPr>
              <w:t>12分</w:t>
            </w:r>
            <w:r>
              <w:rPr>
                <w:rFonts w:hint="eastAsia" w:ascii="宋体" w:hAnsi="宋体" w:eastAsia="宋体" w:cs="宋体"/>
                <w:b w:val="0"/>
                <w:bCs w:val="0"/>
                <w:sz w:val="21"/>
                <w:szCs w:val="21"/>
                <w:lang w:eastAsia="zh-CN"/>
              </w:rPr>
              <w:t>）</w:t>
            </w:r>
          </w:p>
        </w:tc>
        <w:tc>
          <w:tcPr>
            <w:tcW w:w="5914" w:type="dxa"/>
            <w:noWrap w:val="0"/>
            <w:vAlign w:val="center"/>
          </w:tcPr>
          <w:p w14:paraId="49E9E23B">
            <w:pPr>
              <w:bidi w:val="0"/>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由评标委员在相应档次内独立打分，未提供售后服务方案或售后服务方案不满足一档评审标准的，得0分：</w:t>
            </w:r>
          </w:p>
          <w:p w14:paraId="2EFB9BFF">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一档（4分）：售后服务方案对“到达故障现场时间、故障出现解决方案、定期维护、免费技术培训方案、质保期维护方案</w:t>
            </w:r>
            <w:r>
              <w:rPr>
                <w:rFonts w:hint="eastAsia" w:ascii="宋体" w:hAnsi="宋体" w:eastAsia="宋体" w:cs="宋体"/>
                <w:sz w:val="21"/>
                <w:szCs w:val="21"/>
                <w:lang w:eastAsia="zh-CN"/>
              </w:rPr>
              <w:t>、备品备件</w:t>
            </w:r>
            <w:r>
              <w:rPr>
                <w:rFonts w:hint="eastAsia" w:ascii="宋体" w:hAnsi="宋体" w:eastAsia="宋体" w:cs="宋体"/>
                <w:sz w:val="21"/>
                <w:szCs w:val="21"/>
              </w:rPr>
              <w:t>”等</w:t>
            </w:r>
            <w:r>
              <w:rPr>
                <w:rFonts w:hint="eastAsia" w:ascii="宋体" w:hAnsi="宋体" w:eastAsia="宋体" w:cs="宋体"/>
                <w:sz w:val="21"/>
                <w:szCs w:val="21"/>
                <w:lang w:eastAsia="zh-CN"/>
              </w:rPr>
              <w:t>内容</w:t>
            </w:r>
            <w:r>
              <w:rPr>
                <w:rFonts w:hint="eastAsia" w:ascii="宋体" w:hAnsi="宋体" w:eastAsia="宋体" w:cs="宋体"/>
                <w:sz w:val="21"/>
                <w:szCs w:val="21"/>
              </w:rPr>
              <w:t>基本满足招标文件</w:t>
            </w:r>
            <w:r>
              <w:rPr>
                <w:rFonts w:hint="eastAsia" w:ascii="宋体" w:hAnsi="宋体" w:eastAsia="宋体" w:cs="宋体"/>
                <w:sz w:val="21"/>
                <w:szCs w:val="21"/>
                <w:lang w:eastAsia="zh-CN"/>
              </w:rPr>
              <w:t>售后服务</w:t>
            </w:r>
            <w:r>
              <w:rPr>
                <w:rFonts w:hint="eastAsia" w:ascii="宋体" w:hAnsi="宋体" w:eastAsia="宋体" w:cs="宋体"/>
                <w:sz w:val="21"/>
                <w:szCs w:val="21"/>
              </w:rPr>
              <w:t xml:space="preserve">要求。 </w:t>
            </w:r>
          </w:p>
          <w:p w14:paraId="3BAC1B8A">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二档（8分）：售后服务方案对“到达故障现场时间、故障出现解决方案、定期维护、免费技术培训方案、质保期维护方案、其他优惠措施</w:t>
            </w:r>
            <w:r>
              <w:rPr>
                <w:rFonts w:hint="eastAsia" w:ascii="宋体" w:hAnsi="宋体" w:eastAsia="宋体" w:cs="宋体"/>
                <w:sz w:val="21"/>
                <w:szCs w:val="21"/>
                <w:lang w:eastAsia="zh-CN"/>
              </w:rPr>
              <w:t>、备品备件</w:t>
            </w:r>
            <w:r>
              <w:rPr>
                <w:rFonts w:hint="eastAsia" w:ascii="宋体" w:hAnsi="宋体" w:eastAsia="宋体" w:cs="宋体"/>
                <w:sz w:val="21"/>
                <w:szCs w:val="21"/>
              </w:rPr>
              <w:t>”等内容的描述完整，方案整体描述细致、合理、可行，</w:t>
            </w:r>
            <w:r>
              <w:rPr>
                <w:rFonts w:hint="eastAsia" w:ascii="宋体" w:hAnsi="宋体" w:eastAsia="宋体" w:cs="宋体"/>
                <w:sz w:val="21"/>
                <w:szCs w:val="21"/>
                <w:lang w:eastAsia="zh-CN"/>
              </w:rPr>
              <w:t>故障处理</w:t>
            </w:r>
            <w:r>
              <w:rPr>
                <w:rFonts w:hint="eastAsia" w:ascii="宋体" w:hAnsi="宋体" w:eastAsia="宋体" w:cs="宋体"/>
                <w:sz w:val="21"/>
                <w:szCs w:val="21"/>
              </w:rPr>
              <w:t xml:space="preserve">措施到位；设立有固定售后服务场所，并提供7×24小时售后服务热线，响应时间短，快捷、迅速，有详细的售后服务方案、售后服务流程。  </w:t>
            </w:r>
          </w:p>
          <w:p w14:paraId="0093502C">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12分）：在满足招标文件要求的基础上，售后服务方案中能提供技术培训具体计划，设立有固定售后服务场所及售后服务团队，并提供7×24小时售后服务热线，响应时间短，快捷、迅速，有详细的售后服务方案</w:t>
            </w:r>
            <w:r>
              <w:rPr>
                <w:rFonts w:hint="eastAsia" w:ascii="宋体" w:hAnsi="宋体" w:eastAsia="宋体" w:cs="宋体"/>
                <w:bCs/>
                <w:color w:val="auto"/>
                <w:szCs w:val="21"/>
                <w:highlight w:val="none"/>
              </w:rPr>
              <w:t>（包括故障处理、上门维护、紧急维护、重要服务、电话维护、主动巡检等）</w:t>
            </w:r>
            <w:r>
              <w:rPr>
                <w:rFonts w:hint="eastAsia" w:ascii="宋体" w:hAnsi="宋体" w:eastAsia="宋体" w:cs="宋体"/>
                <w:sz w:val="21"/>
                <w:szCs w:val="21"/>
              </w:rPr>
              <w:t>、售后服务流程；建立有售后应急预案、质量保障，有完善的售后服务机制，能为采购人提供优质的快捷服务。</w:t>
            </w:r>
          </w:p>
        </w:tc>
      </w:tr>
      <w:tr w14:paraId="58BB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05" w:type="dxa"/>
            <w:vMerge w:val="continue"/>
            <w:noWrap w:val="0"/>
            <w:vAlign w:val="center"/>
          </w:tcPr>
          <w:p w14:paraId="702015EC">
            <w:pPr>
              <w:bidi w:val="0"/>
              <w:spacing w:line="360" w:lineRule="auto"/>
              <w:jc w:val="center"/>
              <w:rPr>
                <w:rFonts w:hint="eastAsia" w:ascii="宋体" w:hAnsi="宋体" w:eastAsia="宋体" w:cs="宋体"/>
                <w:sz w:val="21"/>
                <w:szCs w:val="21"/>
                <w:lang w:eastAsia="zh-CN"/>
              </w:rPr>
            </w:pPr>
          </w:p>
        </w:tc>
        <w:tc>
          <w:tcPr>
            <w:tcW w:w="1740" w:type="dxa"/>
            <w:vMerge w:val="continue"/>
            <w:noWrap w:val="0"/>
            <w:vAlign w:val="center"/>
          </w:tcPr>
          <w:p w14:paraId="42819E00">
            <w:pPr>
              <w:bidi w:val="0"/>
              <w:spacing w:line="360" w:lineRule="auto"/>
              <w:jc w:val="center"/>
              <w:rPr>
                <w:rFonts w:hint="eastAsia" w:ascii="宋体" w:hAnsi="宋体" w:eastAsia="宋体" w:cs="宋体"/>
                <w:sz w:val="21"/>
                <w:szCs w:val="21"/>
                <w:lang w:eastAsia="zh-CN"/>
              </w:rPr>
            </w:pPr>
          </w:p>
        </w:tc>
        <w:tc>
          <w:tcPr>
            <w:tcW w:w="1362" w:type="dxa"/>
            <w:noWrap w:val="0"/>
            <w:vAlign w:val="center"/>
          </w:tcPr>
          <w:p w14:paraId="303F50AC">
            <w:pPr>
              <w:adjustRightInd w:val="0"/>
              <w:spacing w:line="360" w:lineRule="auto"/>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b w:val="0"/>
                <w:bCs w:val="0"/>
                <w:kern w:val="2"/>
                <w:sz w:val="21"/>
                <w:szCs w:val="21"/>
                <w:lang w:val="en-US" w:eastAsia="zh-CN" w:bidi="ar-SA"/>
              </w:rPr>
              <w:t>业绩分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5914" w:type="dxa"/>
            <w:noWrap w:val="0"/>
            <w:vAlign w:val="center"/>
          </w:tcPr>
          <w:p w14:paraId="2639AFA5">
            <w:pPr>
              <w:pStyle w:val="11"/>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投标人2021年1月至今（近三年）承接的类似产品业绩（类似产品业绩是指包含一项或多项与本包投标产品相应的业绩。投标文件中提供有效的合同复印件并加盖投标人公章，合同复印件需要体现出</w:t>
            </w:r>
            <w:r>
              <w:rPr>
                <w:rFonts w:hint="eastAsia" w:ascii="宋体" w:hAnsi="宋体" w:cs="宋体"/>
                <w:kern w:val="2"/>
                <w:sz w:val="21"/>
                <w:szCs w:val="21"/>
                <w:lang w:val="en-US" w:eastAsia="zh-CN" w:bidi="ar-SA"/>
              </w:rPr>
              <w:t>合同首页、</w:t>
            </w:r>
            <w:r>
              <w:rPr>
                <w:rFonts w:hint="eastAsia" w:ascii="宋体" w:hAnsi="宋体" w:eastAsia="宋体" w:cs="宋体"/>
                <w:kern w:val="2"/>
                <w:sz w:val="21"/>
                <w:szCs w:val="21"/>
                <w:lang w:val="en-US" w:eastAsia="zh-CN" w:bidi="ar-SA"/>
              </w:rPr>
              <w:t>采购内容和日期</w:t>
            </w:r>
            <w:r>
              <w:rPr>
                <w:rFonts w:hint="eastAsia" w:ascii="宋体" w:hAnsi="宋体" w:cs="宋体"/>
                <w:kern w:val="2"/>
                <w:sz w:val="21"/>
                <w:szCs w:val="21"/>
                <w:lang w:val="en-US" w:eastAsia="zh-CN" w:bidi="ar-SA"/>
              </w:rPr>
              <w:t>、盖章页</w:t>
            </w:r>
            <w:r>
              <w:rPr>
                <w:rFonts w:hint="eastAsia" w:ascii="宋体" w:hAnsi="宋体" w:eastAsia="宋体" w:cs="宋体"/>
                <w:kern w:val="2"/>
                <w:sz w:val="21"/>
                <w:szCs w:val="21"/>
                <w:lang w:val="en-US" w:eastAsia="zh-CN" w:bidi="ar-SA"/>
              </w:rPr>
              <w:t>），每份业绩得1分，满分2分。</w:t>
            </w:r>
          </w:p>
        </w:tc>
      </w:tr>
      <w:tr w14:paraId="5405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05" w:type="dxa"/>
            <w:noWrap w:val="0"/>
            <w:vAlign w:val="center"/>
          </w:tcPr>
          <w:p w14:paraId="7473B309">
            <w:pPr>
              <w:bidi w:val="0"/>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740" w:type="dxa"/>
            <w:noWrap w:val="0"/>
            <w:vAlign w:val="center"/>
          </w:tcPr>
          <w:p w14:paraId="13FA531F">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政策分</w:t>
            </w:r>
            <w:r>
              <w:rPr>
                <w:rFonts w:hint="eastAsia" w:ascii="宋体" w:hAnsi="宋体" w:eastAsia="宋体" w:cs="宋体"/>
                <w:kern w:val="2"/>
                <w:sz w:val="21"/>
                <w:szCs w:val="21"/>
                <w:lang w:val="en-US" w:eastAsia="zh-CN" w:bidi="ar-SA"/>
              </w:rPr>
              <w:t>2分</w:t>
            </w:r>
          </w:p>
        </w:tc>
        <w:tc>
          <w:tcPr>
            <w:tcW w:w="1362" w:type="dxa"/>
            <w:noWrap w:val="0"/>
            <w:vAlign w:val="center"/>
          </w:tcPr>
          <w:p w14:paraId="21D75D0D">
            <w:pPr>
              <w:adjustRightInd w:val="0"/>
              <w:spacing w:line="360" w:lineRule="auto"/>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b w:val="0"/>
                <w:bCs w:val="0"/>
                <w:kern w:val="2"/>
                <w:sz w:val="21"/>
                <w:szCs w:val="21"/>
                <w:lang w:val="en-US" w:eastAsia="zh-CN" w:bidi="ar-SA"/>
              </w:rPr>
              <w:t>节能环保（</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kern w:val="2"/>
                <w:sz w:val="21"/>
                <w:szCs w:val="21"/>
                <w:lang w:val="en-US" w:eastAsia="zh-CN" w:bidi="ar-SA"/>
              </w:rPr>
              <w:t>）</w:t>
            </w:r>
          </w:p>
        </w:tc>
        <w:tc>
          <w:tcPr>
            <w:tcW w:w="5914" w:type="dxa"/>
            <w:noWrap w:val="0"/>
            <w:vAlign w:val="center"/>
          </w:tcPr>
          <w:p w14:paraId="1A45F1C6">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产品属于财政部《节能产品政府采购品目清单》内优先采购（清单内未标注“★”的品目）的产品[投标文件中提供有效的认证证书复印件及品目清单（标注出投标产品在品目清单中所属的品目）]的得0.5分，满分1分。</w:t>
            </w:r>
          </w:p>
          <w:p w14:paraId="72645438">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（2）投标产品属于财政部《环境标志产品政府采购品目清单》内的产品[投标文件中提供有效的认证证书复印件及品目清单（标注出投标产品在品目清单中所属的品目）]的得0.5分，满分1分。</w:t>
            </w:r>
          </w:p>
        </w:tc>
      </w:tr>
    </w:tbl>
    <w:p w14:paraId="03176611">
      <w:pPr>
        <w:bidi w:val="0"/>
        <w:ind w:firstLine="560" w:firstLineChars="200"/>
        <w:jc w:val="left"/>
        <w:rPr>
          <w:rFonts w:hint="eastAsia" w:ascii="仿宋" w:hAnsi="仿宋" w:eastAsia="仿宋" w:cs="仿宋"/>
          <w:sz w:val="28"/>
          <w:szCs w:val="28"/>
          <w:lang w:eastAsia="zh-CN"/>
        </w:rPr>
      </w:pPr>
    </w:p>
    <w:p w14:paraId="5F89D849">
      <w:pPr>
        <w:pStyle w:val="74"/>
        <w:rPr>
          <w:rFonts w:hint="eastAsia" w:ascii="仿宋" w:hAnsi="仿宋" w:eastAsia="仿宋" w:cs="仿宋"/>
          <w:sz w:val="28"/>
          <w:szCs w:val="28"/>
          <w:lang w:eastAsia="zh-CN"/>
        </w:rPr>
      </w:pPr>
    </w:p>
    <w:p w14:paraId="3BF1C3B9">
      <w:pPr>
        <w:pStyle w:val="11"/>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3分标</w:t>
      </w:r>
    </w:p>
    <w:tbl>
      <w:tblPr>
        <w:tblStyle w:val="29"/>
        <w:tblW w:w="9848"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650"/>
        <w:gridCol w:w="1260"/>
        <w:gridCol w:w="6180"/>
      </w:tblGrid>
      <w:tr w14:paraId="2079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58" w:type="dxa"/>
            <w:noWrap w:val="0"/>
            <w:vAlign w:val="center"/>
          </w:tcPr>
          <w:p w14:paraId="4C843F63">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序号</w:t>
            </w:r>
          </w:p>
        </w:tc>
        <w:tc>
          <w:tcPr>
            <w:tcW w:w="1650" w:type="dxa"/>
            <w:noWrap w:val="0"/>
            <w:vAlign w:val="center"/>
          </w:tcPr>
          <w:p w14:paraId="718CA264">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评分类型</w:t>
            </w:r>
          </w:p>
        </w:tc>
        <w:tc>
          <w:tcPr>
            <w:tcW w:w="1260" w:type="dxa"/>
            <w:noWrap w:val="0"/>
            <w:vAlign w:val="center"/>
          </w:tcPr>
          <w:p w14:paraId="3AAE2D1B">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评审因素</w:t>
            </w:r>
          </w:p>
        </w:tc>
        <w:tc>
          <w:tcPr>
            <w:tcW w:w="6180" w:type="dxa"/>
            <w:noWrap w:val="0"/>
            <w:vAlign w:val="center"/>
          </w:tcPr>
          <w:p w14:paraId="449E6B80">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评标标准</w:t>
            </w:r>
          </w:p>
        </w:tc>
      </w:tr>
      <w:tr w14:paraId="1E45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58" w:type="dxa"/>
            <w:noWrap w:val="0"/>
            <w:vAlign w:val="center"/>
          </w:tcPr>
          <w:p w14:paraId="2D7000DF">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650" w:type="dxa"/>
            <w:noWrap w:val="0"/>
            <w:vAlign w:val="center"/>
          </w:tcPr>
          <w:p w14:paraId="3FC9BCE4">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价格分（满分</w:t>
            </w:r>
            <w:r>
              <w:rPr>
                <w:rFonts w:hint="eastAsia" w:ascii="宋体" w:hAnsi="宋体" w:eastAsia="宋体" w:cs="宋体"/>
                <w:sz w:val="21"/>
                <w:szCs w:val="21"/>
                <w:lang w:val="en-US" w:eastAsia="zh-CN"/>
              </w:rPr>
              <w:t>30分</w:t>
            </w:r>
            <w:r>
              <w:rPr>
                <w:rFonts w:hint="eastAsia" w:ascii="宋体" w:hAnsi="宋体" w:eastAsia="宋体" w:cs="宋体"/>
                <w:sz w:val="21"/>
                <w:szCs w:val="21"/>
                <w:lang w:eastAsia="zh-CN"/>
              </w:rPr>
              <w:t>）</w:t>
            </w:r>
          </w:p>
        </w:tc>
        <w:tc>
          <w:tcPr>
            <w:tcW w:w="1260" w:type="dxa"/>
            <w:noWrap w:val="0"/>
            <w:vAlign w:val="center"/>
          </w:tcPr>
          <w:p w14:paraId="725A3597">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价格分（满分</w:t>
            </w:r>
            <w:r>
              <w:rPr>
                <w:rFonts w:hint="eastAsia" w:ascii="宋体" w:hAnsi="宋体" w:eastAsia="宋体" w:cs="宋体"/>
                <w:sz w:val="21"/>
                <w:szCs w:val="21"/>
                <w:lang w:val="en-US" w:eastAsia="zh-CN"/>
              </w:rPr>
              <w:t>30分</w:t>
            </w:r>
            <w:r>
              <w:rPr>
                <w:rFonts w:hint="eastAsia" w:ascii="宋体" w:hAnsi="宋体" w:eastAsia="宋体" w:cs="宋体"/>
                <w:sz w:val="21"/>
                <w:szCs w:val="21"/>
                <w:lang w:eastAsia="zh-CN"/>
              </w:rPr>
              <w:t>）</w:t>
            </w:r>
          </w:p>
        </w:tc>
        <w:tc>
          <w:tcPr>
            <w:tcW w:w="6180" w:type="dxa"/>
            <w:noWrap w:val="0"/>
            <w:vAlign w:val="center"/>
          </w:tcPr>
          <w:p w14:paraId="799008C1">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（1）评标报价为投标人的投标报价进行政策性扣除后的价格，评标报价只是作为评标时使用。最终中标人的中标金额等于投标报价。</w:t>
            </w:r>
          </w:p>
          <w:p w14:paraId="45BCF9C7">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（2）政策性扣除计算方法。</w:t>
            </w:r>
          </w:p>
          <w:p w14:paraId="2D7D1055">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152407DE">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0700CB6">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9387B18">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（5）满足招标文件要求且评标报价最低的为评标基准价，其价格分为满分。</w:t>
            </w:r>
          </w:p>
          <w:p w14:paraId="60B916C8">
            <w:pPr>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 xml:space="preserve">（6）价格分计算公式：        </w:t>
            </w:r>
          </w:p>
          <w:p w14:paraId="1EA2318F">
            <w:pPr>
              <w:bidi w:val="0"/>
              <w:spacing w:line="360" w:lineRule="auto"/>
              <w:jc w:val="center"/>
              <w:rPr>
                <w:rFonts w:hint="eastAsia" w:ascii="宋体" w:hAnsi="宋体" w:eastAsia="宋体" w:cs="宋体"/>
                <w:sz w:val="21"/>
                <w:szCs w:val="21"/>
              </w:rPr>
            </w:pPr>
            <w:r>
              <w:rPr>
                <w:rFonts w:hint="eastAsia" w:ascii="宋体" w:hAnsi="宋体" w:eastAsia="宋体" w:cs="宋体"/>
                <w:bCs/>
                <w:sz w:val="21"/>
                <w:szCs w:val="21"/>
              </w:rPr>
              <w:t>价格分=（评标基准价/评标报价）×</w:t>
            </w:r>
            <w:r>
              <w:rPr>
                <w:rFonts w:hint="eastAsia" w:ascii="宋体" w:hAnsi="宋体" w:eastAsia="宋体" w:cs="宋体"/>
                <w:bCs/>
                <w:sz w:val="21"/>
                <w:szCs w:val="21"/>
                <w:u w:val="single"/>
              </w:rPr>
              <w:t>30</w:t>
            </w:r>
            <w:r>
              <w:rPr>
                <w:rFonts w:hint="eastAsia" w:ascii="宋体" w:hAnsi="宋体" w:eastAsia="宋体" w:cs="宋体"/>
                <w:bCs/>
                <w:sz w:val="21"/>
                <w:szCs w:val="21"/>
              </w:rPr>
              <w:t>分</w:t>
            </w:r>
          </w:p>
        </w:tc>
      </w:tr>
      <w:tr w14:paraId="727E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58" w:type="dxa"/>
            <w:vMerge w:val="restart"/>
            <w:noWrap w:val="0"/>
            <w:vAlign w:val="center"/>
          </w:tcPr>
          <w:p w14:paraId="10027B98">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650" w:type="dxa"/>
            <w:vMerge w:val="restart"/>
            <w:noWrap w:val="0"/>
            <w:vAlign w:val="center"/>
          </w:tcPr>
          <w:p w14:paraId="1905CB71">
            <w:pPr>
              <w:bidi w:val="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技术分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54分</w:t>
            </w:r>
            <w:r>
              <w:rPr>
                <w:rFonts w:hint="eastAsia" w:ascii="宋体" w:hAnsi="宋体" w:eastAsia="宋体" w:cs="宋体"/>
                <w:b w:val="0"/>
                <w:bCs w:val="0"/>
                <w:sz w:val="21"/>
                <w:szCs w:val="21"/>
                <w:lang w:eastAsia="zh-CN"/>
              </w:rPr>
              <w:t>）</w:t>
            </w:r>
          </w:p>
        </w:tc>
        <w:tc>
          <w:tcPr>
            <w:tcW w:w="1260" w:type="dxa"/>
            <w:noWrap w:val="0"/>
            <w:vAlign w:val="center"/>
          </w:tcPr>
          <w:p w14:paraId="59B5EE7E">
            <w:pPr>
              <w:bidi w:val="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技术</w:t>
            </w:r>
            <w:r>
              <w:rPr>
                <w:rFonts w:hint="eastAsia" w:ascii="宋体" w:hAnsi="宋体" w:eastAsia="宋体" w:cs="宋体"/>
                <w:b w:val="0"/>
                <w:bCs w:val="0"/>
                <w:kern w:val="0"/>
                <w:sz w:val="21"/>
                <w:szCs w:val="21"/>
                <w:lang w:val="en-US" w:eastAsia="zh-CN" w:bidi="ar"/>
              </w:rPr>
              <w:t>参数或性能指标</w:t>
            </w:r>
            <w:r>
              <w:rPr>
                <w:rFonts w:hint="eastAsia" w:ascii="宋体" w:hAnsi="宋体" w:eastAsia="宋体" w:cs="宋体"/>
                <w:b w:val="0"/>
                <w:bCs w:val="0"/>
                <w:sz w:val="21"/>
                <w:szCs w:val="21"/>
                <w:lang w:eastAsia="zh-CN"/>
              </w:rPr>
              <w:t>分（满分</w:t>
            </w:r>
            <w:r>
              <w:rPr>
                <w:rFonts w:hint="eastAsia" w:ascii="宋体" w:hAnsi="宋体" w:eastAsia="宋体" w:cs="宋体"/>
                <w:b w:val="0"/>
                <w:bCs w:val="0"/>
                <w:sz w:val="21"/>
                <w:szCs w:val="21"/>
                <w:lang w:val="en-US" w:eastAsia="zh-CN"/>
              </w:rPr>
              <w:t>36分</w:t>
            </w:r>
            <w:r>
              <w:rPr>
                <w:rFonts w:hint="eastAsia" w:ascii="宋体" w:hAnsi="宋体" w:eastAsia="宋体" w:cs="宋体"/>
                <w:b w:val="0"/>
                <w:bCs w:val="0"/>
                <w:sz w:val="21"/>
                <w:szCs w:val="21"/>
                <w:lang w:eastAsia="zh-CN"/>
              </w:rPr>
              <w:t>）</w:t>
            </w:r>
          </w:p>
        </w:tc>
        <w:tc>
          <w:tcPr>
            <w:tcW w:w="6180" w:type="dxa"/>
            <w:noWrap w:val="0"/>
            <w:vAlign w:val="center"/>
          </w:tcPr>
          <w:p w14:paraId="6A2AFFAE">
            <w:pPr>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产品</w:t>
            </w:r>
            <w:r>
              <w:rPr>
                <w:rFonts w:hint="eastAsia" w:ascii="宋体" w:hAnsi="宋体" w:eastAsia="宋体" w:cs="宋体"/>
                <w:sz w:val="21"/>
                <w:szCs w:val="21"/>
                <w:lang w:eastAsia="zh-CN"/>
              </w:rPr>
              <w:t>技术</w:t>
            </w:r>
            <w:r>
              <w:rPr>
                <w:rFonts w:hint="eastAsia" w:ascii="宋体" w:hAnsi="宋体" w:eastAsia="宋体" w:cs="宋体"/>
                <w:sz w:val="21"/>
                <w:szCs w:val="21"/>
              </w:rPr>
              <w:t>参数完全满足招标文件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“技术性能、参数及有关要求”且无任何负偏离的得</w:t>
            </w:r>
            <w:r>
              <w:rPr>
                <w:rFonts w:hint="eastAsia" w:ascii="宋体" w:hAnsi="宋体" w:eastAsia="宋体" w:cs="宋体"/>
                <w:sz w:val="21"/>
                <w:szCs w:val="21"/>
                <w:lang w:val="en-US" w:eastAsia="zh-CN"/>
              </w:rPr>
              <w:t>36</w:t>
            </w:r>
            <w:r>
              <w:rPr>
                <w:rFonts w:hint="eastAsia" w:ascii="宋体" w:hAnsi="宋体" w:eastAsia="宋体" w:cs="宋体"/>
                <w:sz w:val="21"/>
                <w:szCs w:val="21"/>
              </w:rPr>
              <w:t>分；</w:t>
            </w:r>
            <w:r>
              <w:rPr>
                <w:rFonts w:hint="eastAsia" w:ascii="宋体" w:hAnsi="宋体" w:eastAsia="宋体" w:cs="宋体"/>
                <w:sz w:val="21"/>
                <w:szCs w:val="21"/>
                <w:lang w:eastAsia="zh-CN"/>
              </w:rPr>
              <w:t>投标</w:t>
            </w:r>
            <w:r>
              <w:rPr>
                <w:rFonts w:hint="eastAsia" w:ascii="宋体" w:hAnsi="宋体" w:eastAsia="宋体" w:cs="宋体"/>
                <w:sz w:val="21"/>
                <w:szCs w:val="21"/>
              </w:rPr>
              <w:t>产品参数不满足招标文件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“技术性能、参数及有关要求”的，</w:t>
            </w:r>
            <w:r>
              <w:rPr>
                <w:rFonts w:hint="eastAsia" w:ascii="宋体" w:hAnsi="宋体" w:eastAsia="宋体" w:cs="宋体"/>
                <w:sz w:val="21"/>
                <w:szCs w:val="21"/>
                <w:lang w:eastAsia="zh-CN"/>
              </w:rPr>
              <w:t>即存在负偏离的，</w:t>
            </w:r>
            <w:r>
              <w:rPr>
                <w:rFonts w:hint="eastAsia" w:ascii="宋体" w:hAnsi="宋体" w:eastAsia="宋体" w:cs="宋体"/>
                <w:sz w:val="21"/>
                <w:szCs w:val="21"/>
              </w:rPr>
              <w:t>每一项扣</w:t>
            </w:r>
            <w:r>
              <w:rPr>
                <w:rFonts w:hint="eastAsia" w:ascii="宋体" w:hAnsi="宋体" w:eastAsia="宋体" w:cs="宋体"/>
                <w:sz w:val="21"/>
                <w:szCs w:val="21"/>
                <w:lang w:val="en-US" w:eastAsia="zh-CN"/>
              </w:rPr>
              <w:t>2</w:t>
            </w:r>
            <w:r>
              <w:rPr>
                <w:rFonts w:hint="eastAsia" w:ascii="宋体" w:hAnsi="宋体" w:eastAsia="宋体" w:cs="宋体"/>
                <w:sz w:val="21"/>
                <w:szCs w:val="21"/>
              </w:rPr>
              <w:t>分，扣完</w:t>
            </w:r>
            <w:r>
              <w:rPr>
                <w:rFonts w:hint="eastAsia" w:ascii="宋体" w:hAnsi="宋体" w:eastAsia="宋体" w:cs="宋体"/>
                <w:sz w:val="21"/>
                <w:szCs w:val="21"/>
                <w:lang w:val="en-US" w:eastAsia="zh-CN"/>
              </w:rPr>
              <w:t>36分为止</w:t>
            </w:r>
            <w:r>
              <w:rPr>
                <w:rFonts w:hint="eastAsia" w:ascii="宋体" w:hAnsi="宋体" w:eastAsia="宋体" w:cs="宋体"/>
                <w:sz w:val="21"/>
                <w:szCs w:val="21"/>
              </w:rPr>
              <w:t>。</w:t>
            </w:r>
          </w:p>
          <w:p w14:paraId="19AA73C7">
            <w:pPr>
              <w:pStyle w:val="17"/>
              <w:spacing w:line="360" w:lineRule="auto"/>
              <w:rPr>
                <w:rFonts w:hint="eastAsia" w:ascii="宋体" w:hAnsi="宋体" w:eastAsia="宋体" w:cs="宋体"/>
                <w:sz w:val="21"/>
                <w:szCs w:val="21"/>
                <w:lang w:eastAsia="zh-CN"/>
              </w:rPr>
            </w:pPr>
            <w:r>
              <w:rPr>
                <w:rFonts w:hint="eastAsia" w:ascii="宋体" w:hAnsi="宋体" w:eastAsia="宋体" w:cs="宋体"/>
                <w:b/>
                <w:bCs w:val="0"/>
                <w:kern w:val="2"/>
                <w:sz w:val="21"/>
                <w:szCs w:val="21"/>
                <w:lang w:val="en-US" w:eastAsia="zh-CN" w:bidi="ar"/>
              </w:rPr>
              <w:t>注：①第二章“技术性能、参数及有关要求”中标注“▲”为实质性要求项，经评审认定负偏离的，投标无效。②第二章“技术性能、参数及有关要求”中要求提供产品检测报告或生产厂家官方网站产品技术参数截图等相关佐证材料的，投标人未按要求提供佐证材料或提供的佐证材料不符合招标文件技术参数要求的，视为负偏离。</w:t>
            </w:r>
          </w:p>
        </w:tc>
      </w:tr>
      <w:tr w14:paraId="0C2C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58" w:type="dxa"/>
            <w:vMerge w:val="continue"/>
            <w:noWrap w:val="0"/>
            <w:vAlign w:val="center"/>
          </w:tcPr>
          <w:p w14:paraId="64E50966">
            <w:pPr>
              <w:bidi w:val="0"/>
              <w:jc w:val="center"/>
              <w:rPr>
                <w:rFonts w:hint="eastAsia" w:ascii="宋体" w:hAnsi="宋体" w:eastAsia="宋体" w:cs="宋体"/>
                <w:sz w:val="21"/>
                <w:szCs w:val="21"/>
                <w:lang w:eastAsia="zh-CN"/>
              </w:rPr>
            </w:pPr>
          </w:p>
        </w:tc>
        <w:tc>
          <w:tcPr>
            <w:tcW w:w="1650" w:type="dxa"/>
            <w:vMerge w:val="continue"/>
            <w:noWrap w:val="0"/>
            <w:vAlign w:val="center"/>
          </w:tcPr>
          <w:p w14:paraId="33047A25">
            <w:pPr>
              <w:bidi w:val="0"/>
              <w:jc w:val="center"/>
              <w:rPr>
                <w:rFonts w:hint="eastAsia" w:ascii="宋体" w:hAnsi="宋体" w:eastAsia="宋体" w:cs="宋体"/>
                <w:sz w:val="21"/>
                <w:szCs w:val="21"/>
                <w:lang w:eastAsia="zh-CN"/>
              </w:rPr>
            </w:pPr>
          </w:p>
        </w:tc>
        <w:tc>
          <w:tcPr>
            <w:tcW w:w="1260" w:type="dxa"/>
            <w:noWrap w:val="0"/>
            <w:vAlign w:val="center"/>
          </w:tcPr>
          <w:p w14:paraId="6D33284C">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实施方案分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18分</w:t>
            </w:r>
            <w:r>
              <w:rPr>
                <w:rFonts w:hint="eastAsia" w:ascii="宋体" w:hAnsi="宋体" w:eastAsia="宋体" w:cs="宋体"/>
                <w:b w:val="0"/>
                <w:bCs w:val="0"/>
                <w:sz w:val="21"/>
                <w:szCs w:val="21"/>
                <w:lang w:eastAsia="zh-CN"/>
              </w:rPr>
              <w:t>）</w:t>
            </w:r>
          </w:p>
        </w:tc>
        <w:tc>
          <w:tcPr>
            <w:tcW w:w="6180" w:type="dxa"/>
            <w:noWrap w:val="0"/>
            <w:vAlign w:val="center"/>
          </w:tcPr>
          <w:p w14:paraId="64E47C62">
            <w:pPr>
              <w:bidi w:val="0"/>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由评标委员在相应档次内独立打分，未提供实施方案或实施方案不满足一档评审标准的，得0分：</w:t>
            </w:r>
          </w:p>
          <w:p w14:paraId="575A5CC1">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w:t>
            </w:r>
            <w:r>
              <w:rPr>
                <w:rFonts w:hint="eastAsia" w:ascii="宋体" w:hAnsi="宋体" w:eastAsia="宋体" w:cs="宋体"/>
                <w:sz w:val="21"/>
                <w:szCs w:val="21"/>
                <w:lang w:val="en-US" w:eastAsia="zh-CN"/>
              </w:rPr>
              <w:t>6</w:t>
            </w:r>
            <w:r>
              <w:rPr>
                <w:rFonts w:hint="eastAsia" w:ascii="宋体" w:hAnsi="宋体" w:eastAsia="宋体" w:cs="宋体"/>
                <w:sz w:val="21"/>
                <w:szCs w:val="21"/>
              </w:rPr>
              <w:t>分）：对项目的需求基本理解，方案包含有实施要点、人员组织、进度管理等相关内容；方案整体</w:t>
            </w:r>
            <w:r>
              <w:rPr>
                <w:rFonts w:hint="eastAsia" w:ascii="宋体" w:hAnsi="宋体" w:eastAsia="宋体" w:cs="宋体"/>
                <w:sz w:val="21"/>
                <w:szCs w:val="21"/>
                <w:lang w:eastAsia="zh-CN"/>
              </w:rPr>
              <w:t>基本符合</w:t>
            </w:r>
            <w:r>
              <w:rPr>
                <w:rFonts w:hint="eastAsia" w:ascii="宋体" w:hAnsi="宋体" w:eastAsia="宋体" w:cs="宋体"/>
                <w:sz w:val="21"/>
                <w:szCs w:val="21"/>
              </w:rPr>
              <w:t>项目采购需要，没有明显错误。</w:t>
            </w:r>
          </w:p>
          <w:p w14:paraId="4EF57701">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二档（1</w:t>
            </w:r>
            <w:r>
              <w:rPr>
                <w:rFonts w:hint="eastAsia" w:ascii="宋体" w:hAnsi="宋体" w:eastAsia="宋体" w:cs="宋体"/>
                <w:sz w:val="21"/>
                <w:szCs w:val="21"/>
                <w:lang w:val="en-US" w:eastAsia="zh-CN"/>
              </w:rPr>
              <w:t>2</w:t>
            </w:r>
            <w:r>
              <w:rPr>
                <w:rFonts w:hint="eastAsia" w:ascii="宋体" w:hAnsi="宋体" w:eastAsia="宋体" w:cs="宋体"/>
                <w:sz w:val="21"/>
                <w:szCs w:val="21"/>
              </w:rPr>
              <w:t>分）：对项目的需求有正确理解，方案包含有实施要点、人员组织、进度管理、质量控制等相关内容，表述正确、有可行性；方案整体符合项目采购需要，能够保障项目正常实施。</w:t>
            </w:r>
          </w:p>
          <w:p w14:paraId="1E1CAE0A">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w:t>
            </w:r>
            <w:r>
              <w:rPr>
                <w:rFonts w:hint="eastAsia" w:ascii="宋体" w:hAnsi="宋体" w:eastAsia="宋体" w:cs="宋体"/>
                <w:sz w:val="21"/>
                <w:szCs w:val="21"/>
                <w:lang w:val="en-US" w:eastAsia="zh-CN"/>
              </w:rPr>
              <w:t>18</w:t>
            </w:r>
            <w:r>
              <w:rPr>
                <w:rFonts w:hint="eastAsia" w:ascii="宋体" w:hAnsi="宋体" w:eastAsia="宋体" w:cs="宋体"/>
                <w:sz w:val="21"/>
                <w:szCs w:val="21"/>
              </w:rPr>
              <w:t>分）：对项目的需求有深入理解，方案包含有实施要点、人员组织、进度管理、质量控制、风险控制、验收、项目移交等方面内容，表述正确、可行，能够完全满足和保障项目实施要求；方案整体符合或优于项目采购需要，能确保高质量完成项目实施。</w:t>
            </w:r>
          </w:p>
        </w:tc>
      </w:tr>
      <w:tr w14:paraId="1D4C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758" w:type="dxa"/>
            <w:vMerge w:val="restart"/>
            <w:noWrap w:val="0"/>
            <w:vAlign w:val="center"/>
          </w:tcPr>
          <w:p w14:paraId="2564A2F3">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650" w:type="dxa"/>
            <w:vMerge w:val="restart"/>
            <w:noWrap w:val="0"/>
            <w:vAlign w:val="center"/>
          </w:tcPr>
          <w:p w14:paraId="0EF18AF6">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商务分（满分</w:t>
            </w:r>
            <w:r>
              <w:rPr>
                <w:rFonts w:hint="eastAsia" w:ascii="宋体" w:hAnsi="宋体" w:eastAsia="宋体" w:cs="宋体"/>
                <w:sz w:val="21"/>
                <w:szCs w:val="21"/>
                <w:lang w:val="en-US" w:eastAsia="zh-CN"/>
              </w:rPr>
              <w:t>14分</w:t>
            </w:r>
            <w:r>
              <w:rPr>
                <w:rFonts w:hint="eastAsia" w:ascii="宋体" w:hAnsi="宋体" w:eastAsia="宋体" w:cs="宋体"/>
                <w:sz w:val="21"/>
                <w:szCs w:val="21"/>
                <w:lang w:eastAsia="zh-CN"/>
              </w:rPr>
              <w:t>）</w:t>
            </w:r>
          </w:p>
        </w:tc>
        <w:tc>
          <w:tcPr>
            <w:tcW w:w="1260" w:type="dxa"/>
            <w:noWrap w:val="0"/>
            <w:vAlign w:val="center"/>
          </w:tcPr>
          <w:p w14:paraId="00D869EA">
            <w:pPr>
              <w:bidi w:val="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售后服务方案分（满分</w:t>
            </w:r>
            <w:r>
              <w:rPr>
                <w:rFonts w:hint="eastAsia" w:ascii="宋体" w:hAnsi="宋体" w:eastAsia="宋体" w:cs="宋体"/>
                <w:b w:val="0"/>
                <w:bCs w:val="0"/>
                <w:sz w:val="21"/>
                <w:szCs w:val="21"/>
                <w:lang w:val="en-US" w:eastAsia="zh-CN"/>
              </w:rPr>
              <w:t>12分</w:t>
            </w:r>
            <w:r>
              <w:rPr>
                <w:rFonts w:hint="eastAsia" w:ascii="宋体" w:hAnsi="宋体" w:eastAsia="宋体" w:cs="宋体"/>
                <w:b w:val="0"/>
                <w:bCs w:val="0"/>
                <w:sz w:val="21"/>
                <w:szCs w:val="21"/>
                <w:lang w:eastAsia="zh-CN"/>
              </w:rPr>
              <w:t>）</w:t>
            </w:r>
          </w:p>
        </w:tc>
        <w:tc>
          <w:tcPr>
            <w:tcW w:w="6180" w:type="dxa"/>
            <w:noWrap w:val="0"/>
            <w:vAlign w:val="center"/>
          </w:tcPr>
          <w:p w14:paraId="133385B3">
            <w:pPr>
              <w:bidi w:val="0"/>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由评标委员在相应档次内独立打分，未提供售后服务方案或售后服务方案不满足一档评审标准的，得0分：</w:t>
            </w:r>
          </w:p>
          <w:p w14:paraId="29BB4782">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一档（4分）：售后服务方案对“到达故障现场时间、故障出现解决方案、定期维护、质保期维护方案</w:t>
            </w:r>
            <w:r>
              <w:rPr>
                <w:rFonts w:hint="eastAsia" w:ascii="宋体" w:hAnsi="宋体" w:eastAsia="宋体" w:cs="宋体"/>
                <w:sz w:val="21"/>
                <w:szCs w:val="21"/>
                <w:lang w:eastAsia="zh-CN"/>
              </w:rPr>
              <w:t>、备品备件</w:t>
            </w:r>
            <w:r>
              <w:rPr>
                <w:rFonts w:hint="eastAsia" w:ascii="宋体" w:hAnsi="宋体" w:eastAsia="宋体" w:cs="宋体"/>
                <w:sz w:val="21"/>
                <w:szCs w:val="21"/>
              </w:rPr>
              <w:t>”等基本满足招标文件</w:t>
            </w:r>
            <w:r>
              <w:rPr>
                <w:rFonts w:hint="eastAsia" w:ascii="宋体" w:hAnsi="宋体" w:eastAsia="宋体" w:cs="宋体"/>
                <w:sz w:val="21"/>
                <w:szCs w:val="21"/>
                <w:lang w:eastAsia="zh-CN"/>
              </w:rPr>
              <w:t>售后服务</w:t>
            </w:r>
            <w:r>
              <w:rPr>
                <w:rFonts w:hint="eastAsia" w:ascii="宋体" w:hAnsi="宋体" w:eastAsia="宋体" w:cs="宋体"/>
                <w:sz w:val="21"/>
                <w:szCs w:val="21"/>
              </w:rPr>
              <w:t xml:space="preserve">要求。 </w:t>
            </w:r>
          </w:p>
          <w:p w14:paraId="2DB9FB3A">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二档（8分）：售后服务方案对“到达故障现场时间、故障出现解决方案、定期维护、质保期维护方案、其他优惠措施</w:t>
            </w:r>
            <w:r>
              <w:rPr>
                <w:rFonts w:hint="eastAsia" w:ascii="宋体" w:hAnsi="宋体" w:eastAsia="宋体" w:cs="宋体"/>
                <w:sz w:val="21"/>
                <w:szCs w:val="21"/>
                <w:lang w:eastAsia="zh-CN"/>
              </w:rPr>
              <w:t>、备品备件</w:t>
            </w:r>
            <w:r>
              <w:rPr>
                <w:rFonts w:hint="eastAsia" w:ascii="宋体" w:hAnsi="宋体" w:eastAsia="宋体" w:cs="宋体"/>
                <w:sz w:val="21"/>
                <w:szCs w:val="21"/>
              </w:rPr>
              <w:t xml:space="preserve">”等内容的描述完整，方案整体描述细致、合理、可行，保障响应措施到位；设立有固定售后服务场所，并提供7×24小时售后服务热线，有详细的售后服务方案、售后服务流程。  </w:t>
            </w:r>
          </w:p>
          <w:p w14:paraId="00B497BD">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12分）：在满足招标文件要求的基础上，售后服务方案中能提供技术培训具体计划，设立有固定售后服务场所及售后服务团队，并提供7×24小时售后服务热线，响应时间短，快捷、迅速，有详细的售后服务方案</w:t>
            </w:r>
            <w:r>
              <w:rPr>
                <w:rFonts w:hint="eastAsia" w:ascii="宋体" w:hAnsi="宋体" w:eastAsia="宋体" w:cs="宋体"/>
                <w:bCs/>
                <w:color w:val="auto"/>
                <w:szCs w:val="21"/>
                <w:highlight w:val="none"/>
              </w:rPr>
              <w:t>（包括故障处理、上门维护、紧急维护、重要服务、电话维护、主动巡检等）</w:t>
            </w:r>
            <w:r>
              <w:rPr>
                <w:rFonts w:hint="eastAsia" w:ascii="宋体" w:hAnsi="宋体" w:eastAsia="宋体" w:cs="宋体"/>
                <w:sz w:val="21"/>
                <w:szCs w:val="21"/>
              </w:rPr>
              <w:t>、售后服务流程；建立有售后应急预案、质量保障，有完善的售后服务机制，能为采购人提供优质的快捷服务。</w:t>
            </w:r>
          </w:p>
        </w:tc>
      </w:tr>
      <w:tr w14:paraId="303C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758" w:type="dxa"/>
            <w:vMerge w:val="continue"/>
            <w:noWrap w:val="0"/>
            <w:vAlign w:val="center"/>
          </w:tcPr>
          <w:p w14:paraId="44121F34">
            <w:pPr>
              <w:bidi w:val="0"/>
              <w:jc w:val="center"/>
              <w:rPr>
                <w:rFonts w:hint="eastAsia" w:ascii="宋体" w:hAnsi="宋体" w:eastAsia="宋体" w:cs="宋体"/>
                <w:sz w:val="21"/>
                <w:szCs w:val="21"/>
                <w:lang w:eastAsia="zh-CN"/>
              </w:rPr>
            </w:pPr>
          </w:p>
        </w:tc>
        <w:tc>
          <w:tcPr>
            <w:tcW w:w="1650" w:type="dxa"/>
            <w:vMerge w:val="continue"/>
            <w:noWrap w:val="0"/>
            <w:vAlign w:val="center"/>
          </w:tcPr>
          <w:p w14:paraId="11E792C3">
            <w:pPr>
              <w:bidi w:val="0"/>
              <w:jc w:val="center"/>
              <w:rPr>
                <w:rFonts w:hint="eastAsia" w:ascii="宋体" w:hAnsi="宋体" w:eastAsia="宋体" w:cs="宋体"/>
                <w:b w:val="0"/>
                <w:bCs w:val="0"/>
                <w:sz w:val="21"/>
                <w:szCs w:val="21"/>
                <w:lang w:eastAsia="zh-CN"/>
              </w:rPr>
            </w:pPr>
          </w:p>
        </w:tc>
        <w:tc>
          <w:tcPr>
            <w:tcW w:w="1260" w:type="dxa"/>
            <w:noWrap w:val="0"/>
            <w:vAlign w:val="center"/>
          </w:tcPr>
          <w:p w14:paraId="52ABD76E">
            <w:pPr>
              <w:adjustRightInd w:val="0"/>
              <w:spacing w:line="360" w:lineRule="auto"/>
              <w:jc w:val="center"/>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业绩分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6180" w:type="dxa"/>
            <w:noWrap w:val="0"/>
            <w:vAlign w:val="center"/>
          </w:tcPr>
          <w:p w14:paraId="66D0B02D">
            <w:pPr>
              <w:pStyle w:val="11"/>
              <w:spacing w:line="360" w:lineRule="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投标人2021年1月至今（近三年）承接的类似产品业绩（类似产品业绩是指包含一项或多项与本包投标产品相应的业绩。投标文件中提供有效的合同复印件并加盖投标人公章，合同复印件需要体现出</w:t>
            </w:r>
            <w:r>
              <w:rPr>
                <w:rFonts w:hint="eastAsia" w:ascii="宋体" w:hAnsi="宋体" w:cs="宋体"/>
                <w:kern w:val="2"/>
                <w:sz w:val="21"/>
                <w:szCs w:val="21"/>
                <w:lang w:val="en-US" w:eastAsia="zh-CN" w:bidi="ar-SA"/>
              </w:rPr>
              <w:t>合同首页、</w:t>
            </w:r>
            <w:r>
              <w:rPr>
                <w:rFonts w:hint="eastAsia" w:ascii="宋体" w:hAnsi="宋体" w:eastAsia="宋体" w:cs="宋体"/>
                <w:kern w:val="2"/>
                <w:sz w:val="21"/>
                <w:szCs w:val="21"/>
                <w:lang w:val="en-US" w:eastAsia="zh-CN" w:bidi="ar-SA"/>
              </w:rPr>
              <w:t>采购内容和日期</w:t>
            </w:r>
            <w:r>
              <w:rPr>
                <w:rFonts w:hint="eastAsia" w:ascii="宋体" w:hAnsi="宋体" w:cs="宋体"/>
                <w:kern w:val="2"/>
                <w:sz w:val="21"/>
                <w:szCs w:val="21"/>
                <w:lang w:val="en-US" w:eastAsia="zh-CN" w:bidi="ar-SA"/>
              </w:rPr>
              <w:t>、盖章页</w:t>
            </w:r>
            <w:r>
              <w:rPr>
                <w:rFonts w:hint="eastAsia" w:ascii="宋体" w:hAnsi="宋体" w:eastAsia="宋体" w:cs="宋体"/>
                <w:kern w:val="2"/>
                <w:sz w:val="21"/>
                <w:szCs w:val="21"/>
                <w:lang w:val="en-US" w:eastAsia="zh-CN" w:bidi="ar-SA"/>
              </w:rPr>
              <w:t>），每份业绩得1分，满分2分。</w:t>
            </w:r>
          </w:p>
        </w:tc>
      </w:tr>
      <w:tr w14:paraId="3DDE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58" w:type="dxa"/>
            <w:noWrap w:val="0"/>
            <w:vAlign w:val="center"/>
          </w:tcPr>
          <w:p w14:paraId="2F4720EF">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650" w:type="dxa"/>
            <w:noWrap w:val="0"/>
            <w:vAlign w:val="center"/>
          </w:tcPr>
          <w:p w14:paraId="30FB95C7">
            <w:pPr>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政策分（满分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1260" w:type="dxa"/>
            <w:noWrap w:val="0"/>
            <w:vAlign w:val="center"/>
          </w:tcPr>
          <w:p w14:paraId="0DC7C1FF">
            <w:pPr>
              <w:adjustRightInd w:val="0"/>
              <w:spacing w:line="360" w:lineRule="auto"/>
              <w:jc w:val="center"/>
              <w:textAlignment w:val="baseline"/>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节能环保（</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kern w:val="2"/>
                <w:sz w:val="21"/>
                <w:szCs w:val="21"/>
                <w:lang w:val="en-US" w:eastAsia="zh-CN" w:bidi="ar-SA"/>
              </w:rPr>
              <w:t>）</w:t>
            </w:r>
          </w:p>
        </w:tc>
        <w:tc>
          <w:tcPr>
            <w:tcW w:w="6180" w:type="dxa"/>
            <w:noWrap w:val="0"/>
            <w:vAlign w:val="center"/>
          </w:tcPr>
          <w:p w14:paraId="44DC956B">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产品属于财政部《节能产品政府采购品目清单》内优先采购（清单内未标注“★”的品目）的产品[投标文件中提供有效的认证证书复印件及品目清单（标注出投标产品在品目清单中所属的品目）]的得0.5分，满分1分。</w:t>
            </w:r>
          </w:p>
          <w:p w14:paraId="71B760A1">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（2）投标产品属于财政部《环境标志产品政府采购品目清单》内的产品[投标文件中提供有效的认证证书复印件及品目清单（标注出投标产品在品目清单中所属的品目）]的得0.5分，满分1分。</w:t>
            </w:r>
          </w:p>
        </w:tc>
      </w:tr>
    </w:tbl>
    <w:p w14:paraId="14DF0762">
      <w:pPr>
        <w:pStyle w:val="3"/>
        <w:spacing w:before="0" w:after="0" w:line="240" w:lineRule="auto"/>
        <w:rPr>
          <w:rFonts w:hint="eastAsia" w:ascii="仿宋" w:hAnsi="仿宋" w:eastAsia="仿宋" w:cs="仿宋"/>
          <w:bCs w:val="0"/>
          <w:szCs w:val="28"/>
        </w:rPr>
      </w:pPr>
    </w:p>
    <w:p w14:paraId="7E88B22A">
      <w:pPr>
        <w:bidi w:val="0"/>
        <w:ind w:firstLine="643" w:firstLineChars="200"/>
        <w:jc w:val="center"/>
        <w:rPr>
          <w:rFonts w:hint="eastAsia" w:ascii="宋体" w:hAnsi="宋体" w:eastAsia="宋体" w:cs="宋体"/>
          <w:b/>
          <w:bCs/>
          <w:sz w:val="32"/>
          <w:szCs w:val="32"/>
          <w:lang w:val="en-US" w:eastAsia="zh-CN"/>
        </w:rPr>
      </w:pPr>
    </w:p>
    <w:p w14:paraId="07FF7FAF">
      <w:pPr>
        <w:bidi w:val="0"/>
        <w:ind w:firstLine="643" w:firstLineChars="200"/>
        <w:jc w:val="center"/>
        <w:rPr>
          <w:rFonts w:hint="eastAsia" w:ascii="宋体" w:hAnsi="宋体" w:eastAsia="宋体" w:cs="宋体"/>
          <w:b/>
          <w:bCs/>
          <w:sz w:val="32"/>
          <w:szCs w:val="32"/>
          <w:lang w:val="en-US" w:eastAsia="zh-CN"/>
        </w:rPr>
      </w:pPr>
    </w:p>
    <w:p w14:paraId="7808F8A4">
      <w:pPr>
        <w:bidi w:val="0"/>
        <w:ind w:firstLine="643" w:firstLineChars="200"/>
        <w:jc w:val="center"/>
        <w:rPr>
          <w:rFonts w:hint="eastAsia" w:ascii="宋体" w:hAnsi="宋体" w:eastAsia="宋体" w:cs="宋体"/>
          <w:b/>
          <w:bCs/>
          <w:sz w:val="32"/>
          <w:szCs w:val="32"/>
          <w:lang w:val="en-US" w:eastAsia="zh-CN"/>
        </w:rPr>
      </w:pPr>
    </w:p>
    <w:p w14:paraId="41836F71">
      <w:pPr>
        <w:bidi w:val="0"/>
        <w:ind w:firstLine="643" w:firstLineChars="200"/>
        <w:jc w:val="center"/>
        <w:rPr>
          <w:rFonts w:hint="eastAsia" w:ascii="宋体" w:hAnsi="宋体" w:eastAsia="宋体" w:cs="宋体"/>
          <w:b/>
          <w:bCs/>
          <w:sz w:val="32"/>
          <w:szCs w:val="32"/>
          <w:lang w:val="en-US" w:eastAsia="zh-CN"/>
        </w:rPr>
      </w:pPr>
    </w:p>
    <w:p w14:paraId="7D3D668F">
      <w:pPr>
        <w:bidi w:val="0"/>
        <w:ind w:firstLine="643" w:firstLineChars="200"/>
        <w:jc w:val="center"/>
        <w:rPr>
          <w:rFonts w:hint="eastAsia" w:ascii="宋体" w:hAnsi="宋体" w:eastAsia="宋体" w:cs="宋体"/>
          <w:b/>
          <w:bCs/>
          <w:sz w:val="32"/>
          <w:szCs w:val="32"/>
          <w:lang w:val="en-US" w:eastAsia="zh-CN"/>
        </w:rPr>
      </w:pPr>
    </w:p>
    <w:p w14:paraId="7B26E221">
      <w:pPr>
        <w:bidi w:val="0"/>
        <w:ind w:firstLine="643" w:firstLineChars="200"/>
        <w:jc w:val="center"/>
        <w:rPr>
          <w:rFonts w:hint="eastAsia" w:ascii="宋体" w:hAnsi="宋体" w:eastAsia="宋体" w:cs="宋体"/>
          <w:b/>
          <w:bCs/>
          <w:sz w:val="32"/>
          <w:szCs w:val="32"/>
          <w:lang w:val="en-US" w:eastAsia="zh-CN"/>
        </w:rPr>
      </w:pPr>
    </w:p>
    <w:p w14:paraId="3A8B8407">
      <w:pPr>
        <w:bidi w:val="0"/>
        <w:ind w:firstLine="643" w:firstLineChars="200"/>
        <w:jc w:val="center"/>
        <w:rPr>
          <w:rFonts w:hint="eastAsia" w:ascii="宋体" w:hAnsi="宋体" w:eastAsia="宋体" w:cs="宋体"/>
          <w:b/>
          <w:bCs/>
          <w:sz w:val="32"/>
          <w:szCs w:val="32"/>
          <w:lang w:val="en-US" w:eastAsia="zh-CN"/>
        </w:rPr>
      </w:pPr>
    </w:p>
    <w:p w14:paraId="5F743341">
      <w:pPr>
        <w:bidi w:val="0"/>
        <w:ind w:firstLine="643" w:firstLineChars="20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4分标</w:t>
      </w:r>
    </w:p>
    <w:tbl>
      <w:tblPr>
        <w:tblStyle w:val="29"/>
        <w:tblW w:w="9878"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16"/>
        <w:gridCol w:w="1854"/>
        <w:gridCol w:w="6210"/>
      </w:tblGrid>
      <w:tr w14:paraId="586C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98" w:type="dxa"/>
            <w:noWrap w:val="0"/>
            <w:vAlign w:val="center"/>
          </w:tcPr>
          <w:p w14:paraId="179B2627">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序号</w:t>
            </w:r>
          </w:p>
        </w:tc>
        <w:tc>
          <w:tcPr>
            <w:tcW w:w="1116" w:type="dxa"/>
            <w:noWrap w:val="0"/>
            <w:vAlign w:val="center"/>
          </w:tcPr>
          <w:p w14:paraId="67305C06">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评分类型</w:t>
            </w:r>
          </w:p>
        </w:tc>
        <w:tc>
          <w:tcPr>
            <w:tcW w:w="1854" w:type="dxa"/>
            <w:noWrap w:val="0"/>
            <w:vAlign w:val="center"/>
          </w:tcPr>
          <w:p w14:paraId="07DF1C8F">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评审因素</w:t>
            </w:r>
          </w:p>
        </w:tc>
        <w:tc>
          <w:tcPr>
            <w:tcW w:w="6210" w:type="dxa"/>
            <w:noWrap w:val="0"/>
            <w:vAlign w:val="center"/>
          </w:tcPr>
          <w:p w14:paraId="44E83467">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评标标准</w:t>
            </w:r>
          </w:p>
        </w:tc>
      </w:tr>
      <w:tr w14:paraId="733A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98" w:type="dxa"/>
            <w:noWrap w:val="0"/>
            <w:vAlign w:val="center"/>
          </w:tcPr>
          <w:p w14:paraId="71C605C4">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116" w:type="dxa"/>
            <w:noWrap w:val="0"/>
            <w:vAlign w:val="center"/>
          </w:tcPr>
          <w:p w14:paraId="1B1359DF">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价格分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30分</w:t>
            </w:r>
            <w:r>
              <w:rPr>
                <w:rFonts w:hint="eastAsia" w:ascii="宋体" w:hAnsi="宋体" w:eastAsia="宋体" w:cs="宋体"/>
                <w:b w:val="0"/>
                <w:bCs w:val="0"/>
                <w:sz w:val="21"/>
                <w:szCs w:val="21"/>
                <w:lang w:eastAsia="zh-CN"/>
              </w:rPr>
              <w:t>）</w:t>
            </w:r>
          </w:p>
        </w:tc>
        <w:tc>
          <w:tcPr>
            <w:tcW w:w="1854" w:type="dxa"/>
            <w:noWrap w:val="0"/>
            <w:vAlign w:val="center"/>
          </w:tcPr>
          <w:p w14:paraId="2264C308">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价格分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30分</w:t>
            </w:r>
            <w:r>
              <w:rPr>
                <w:rFonts w:hint="eastAsia" w:ascii="宋体" w:hAnsi="宋体" w:eastAsia="宋体" w:cs="宋体"/>
                <w:b w:val="0"/>
                <w:bCs w:val="0"/>
                <w:sz w:val="21"/>
                <w:szCs w:val="21"/>
                <w:lang w:eastAsia="zh-CN"/>
              </w:rPr>
              <w:t>）</w:t>
            </w:r>
          </w:p>
        </w:tc>
        <w:tc>
          <w:tcPr>
            <w:tcW w:w="6210" w:type="dxa"/>
            <w:noWrap w:val="0"/>
            <w:vAlign w:val="center"/>
          </w:tcPr>
          <w:p w14:paraId="088DDE73">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（1）评标报价为投标人的投标报价进行政策性扣除后的价格，评标报价只是作为评标时使用。最终中标人的中标金额等于投标报价。</w:t>
            </w:r>
          </w:p>
          <w:p w14:paraId="1B9E8209">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（2）政策性扣除计算方法。</w:t>
            </w:r>
          </w:p>
          <w:p w14:paraId="7888D3E0">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24298438">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0BF5A0A">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B37D0E2">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（5）满足招标文件要求且评标报价最低的为评标基准价，其价格分为满分。</w:t>
            </w:r>
          </w:p>
          <w:p w14:paraId="6142E488">
            <w:pPr>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 xml:space="preserve">（6）价格分计算公式：        </w:t>
            </w:r>
          </w:p>
          <w:p w14:paraId="3480465A">
            <w:pPr>
              <w:bidi w:val="0"/>
              <w:spacing w:line="360" w:lineRule="auto"/>
              <w:jc w:val="center"/>
              <w:rPr>
                <w:rFonts w:hint="eastAsia" w:ascii="宋体" w:hAnsi="宋体" w:eastAsia="宋体" w:cs="宋体"/>
                <w:sz w:val="21"/>
                <w:szCs w:val="21"/>
              </w:rPr>
            </w:pPr>
            <w:r>
              <w:rPr>
                <w:rFonts w:hint="eastAsia" w:ascii="宋体" w:hAnsi="宋体" w:eastAsia="宋体" w:cs="宋体"/>
                <w:bCs/>
                <w:sz w:val="21"/>
                <w:szCs w:val="21"/>
              </w:rPr>
              <w:t>价格分=（评标基准价/评标报价）×</w:t>
            </w:r>
            <w:r>
              <w:rPr>
                <w:rFonts w:hint="eastAsia" w:ascii="宋体" w:hAnsi="宋体" w:eastAsia="宋体" w:cs="宋体"/>
                <w:bCs/>
                <w:sz w:val="21"/>
                <w:szCs w:val="21"/>
                <w:u w:val="single"/>
              </w:rPr>
              <w:t>30</w:t>
            </w:r>
            <w:r>
              <w:rPr>
                <w:rFonts w:hint="eastAsia" w:ascii="宋体" w:hAnsi="宋体" w:eastAsia="宋体" w:cs="宋体"/>
                <w:bCs/>
                <w:sz w:val="21"/>
                <w:szCs w:val="21"/>
              </w:rPr>
              <w:t>分</w:t>
            </w:r>
          </w:p>
        </w:tc>
      </w:tr>
      <w:tr w14:paraId="3899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98" w:type="dxa"/>
            <w:vMerge w:val="restart"/>
            <w:noWrap w:val="0"/>
            <w:vAlign w:val="center"/>
          </w:tcPr>
          <w:p w14:paraId="36594BD8">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16" w:type="dxa"/>
            <w:vMerge w:val="restart"/>
            <w:noWrap w:val="0"/>
            <w:vAlign w:val="center"/>
          </w:tcPr>
          <w:p w14:paraId="47C63183">
            <w:pPr>
              <w:bidi w:val="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技术分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50分</w:t>
            </w:r>
            <w:r>
              <w:rPr>
                <w:rFonts w:hint="eastAsia" w:ascii="宋体" w:hAnsi="宋体" w:eastAsia="宋体" w:cs="宋体"/>
                <w:b w:val="0"/>
                <w:bCs w:val="0"/>
                <w:sz w:val="21"/>
                <w:szCs w:val="21"/>
                <w:lang w:eastAsia="zh-CN"/>
              </w:rPr>
              <w:t>）</w:t>
            </w:r>
          </w:p>
        </w:tc>
        <w:tc>
          <w:tcPr>
            <w:tcW w:w="1854" w:type="dxa"/>
            <w:noWrap w:val="0"/>
            <w:vAlign w:val="center"/>
          </w:tcPr>
          <w:p w14:paraId="005D1AAF">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技术</w:t>
            </w:r>
            <w:r>
              <w:rPr>
                <w:rFonts w:hint="eastAsia" w:ascii="宋体" w:hAnsi="宋体" w:eastAsia="宋体" w:cs="宋体"/>
                <w:b w:val="0"/>
                <w:bCs w:val="0"/>
                <w:kern w:val="0"/>
                <w:sz w:val="21"/>
                <w:szCs w:val="21"/>
                <w:lang w:val="en-US" w:eastAsia="zh-CN" w:bidi="ar"/>
              </w:rPr>
              <w:t>参数或性能指标</w:t>
            </w:r>
            <w:r>
              <w:rPr>
                <w:rFonts w:hint="eastAsia" w:ascii="宋体" w:hAnsi="宋体" w:eastAsia="宋体" w:cs="宋体"/>
                <w:b w:val="0"/>
                <w:bCs w:val="0"/>
                <w:sz w:val="21"/>
                <w:szCs w:val="21"/>
                <w:lang w:eastAsia="zh-CN"/>
              </w:rPr>
              <w:t>分（满分</w:t>
            </w:r>
            <w:r>
              <w:rPr>
                <w:rFonts w:hint="eastAsia" w:ascii="宋体" w:hAnsi="宋体" w:eastAsia="宋体" w:cs="宋体"/>
                <w:b w:val="0"/>
                <w:bCs w:val="0"/>
                <w:sz w:val="21"/>
                <w:szCs w:val="21"/>
                <w:lang w:val="en-US" w:eastAsia="zh-CN"/>
              </w:rPr>
              <w:t>32分</w:t>
            </w:r>
            <w:r>
              <w:rPr>
                <w:rFonts w:hint="eastAsia" w:ascii="宋体" w:hAnsi="宋体" w:eastAsia="宋体" w:cs="宋体"/>
                <w:b w:val="0"/>
                <w:bCs w:val="0"/>
                <w:sz w:val="21"/>
                <w:szCs w:val="21"/>
                <w:lang w:eastAsia="zh-CN"/>
              </w:rPr>
              <w:t>）</w:t>
            </w:r>
          </w:p>
        </w:tc>
        <w:tc>
          <w:tcPr>
            <w:tcW w:w="6210" w:type="dxa"/>
            <w:noWrap w:val="0"/>
            <w:vAlign w:val="center"/>
          </w:tcPr>
          <w:p w14:paraId="76745BBA">
            <w:pPr>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产品</w:t>
            </w:r>
            <w:r>
              <w:rPr>
                <w:rFonts w:hint="eastAsia" w:ascii="宋体" w:hAnsi="宋体" w:eastAsia="宋体" w:cs="宋体"/>
                <w:sz w:val="21"/>
                <w:szCs w:val="21"/>
                <w:lang w:eastAsia="zh-CN"/>
              </w:rPr>
              <w:t>技术</w:t>
            </w:r>
            <w:r>
              <w:rPr>
                <w:rFonts w:hint="eastAsia" w:ascii="宋体" w:hAnsi="宋体" w:eastAsia="宋体" w:cs="宋体"/>
                <w:sz w:val="21"/>
                <w:szCs w:val="21"/>
              </w:rPr>
              <w:t>参数完全满足招标文件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“技术性能、参数及有关要求”且无任何负偏离的得</w:t>
            </w:r>
            <w:r>
              <w:rPr>
                <w:rFonts w:hint="eastAsia" w:ascii="宋体" w:hAnsi="宋体" w:eastAsia="宋体" w:cs="宋体"/>
                <w:sz w:val="21"/>
                <w:szCs w:val="21"/>
                <w:lang w:val="en-US" w:eastAsia="zh-CN"/>
              </w:rPr>
              <w:t>32</w:t>
            </w:r>
            <w:r>
              <w:rPr>
                <w:rFonts w:hint="eastAsia" w:ascii="宋体" w:hAnsi="宋体" w:eastAsia="宋体" w:cs="宋体"/>
                <w:sz w:val="21"/>
                <w:szCs w:val="21"/>
              </w:rPr>
              <w:t>分；</w:t>
            </w:r>
            <w:r>
              <w:rPr>
                <w:rFonts w:hint="eastAsia" w:ascii="宋体" w:hAnsi="宋体" w:eastAsia="宋体" w:cs="宋体"/>
                <w:sz w:val="21"/>
                <w:szCs w:val="21"/>
                <w:lang w:eastAsia="zh-CN"/>
              </w:rPr>
              <w:t>投标</w:t>
            </w:r>
            <w:r>
              <w:rPr>
                <w:rFonts w:hint="eastAsia" w:ascii="宋体" w:hAnsi="宋体" w:eastAsia="宋体" w:cs="宋体"/>
                <w:sz w:val="21"/>
                <w:szCs w:val="21"/>
              </w:rPr>
              <w:t>产品参数不满足招标文件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“技术性能、参数及有关要求”的，</w:t>
            </w:r>
            <w:r>
              <w:rPr>
                <w:rFonts w:hint="eastAsia" w:ascii="宋体" w:hAnsi="宋体" w:eastAsia="宋体" w:cs="宋体"/>
                <w:sz w:val="21"/>
                <w:szCs w:val="21"/>
                <w:lang w:eastAsia="zh-CN"/>
              </w:rPr>
              <w:t>即存在负偏离的，</w:t>
            </w:r>
            <w:r>
              <w:rPr>
                <w:rFonts w:hint="eastAsia" w:ascii="宋体" w:hAnsi="宋体" w:eastAsia="宋体" w:cs="宋体"/>
                <w:sz w:val="21"/>
                <w:szCs w:val="21"/>
              </w:rPr>
              <w:t>每一项扣</w:t>
            </w:r>
            <w:r>
              <w:rPr>
                <w:rFonts w:hint="eastAsia" w:ascii="宋体" w:hAnsi="宋体" w:eastAsia="宋体" w:cs="宋体"/>
                <w:sz w:val="21"/>
                <w:szCs w:val="21"/>
                <w:lang w:val="en-US" w:eastAsia="zh-CN"/>
              </w:rPr>
              <w:t>2</w:t>
            </w:r>
            <w:r>
              <w:rPr>
                <w:rFonts w:hint="eastAsia" w:ascii="宋体" w:hAnsi="宋体" w:eastAsia="宋体" w:cs="宋体"/>
                <w:sz w:val="21"/>
                <w:szCs w:val="21"/>
              </w:rPr>
              <w:t>分，扣完</w:t>
            </w:r>
            <w:r>
              <w:rPr>
                <w:rFonts w:hint="eastAsia" w:ascii="宋体" w:hAnsi="宋体" w:eastAsia="宋体" w:cs="宋体"/>
                <w:sz w:val="21"/>
                <w:szCs w:val="21"/>
                <w:lang w:val="en-US" w:eastAsia="zh-CN"/>
              </w:rPr>
              <w:t>32分为止</w:t>
            </w:r>
            <w:r>
              <w:rPr>
                <w:rFonts w:hint="eastAsia" w:ascii="宋体" w:hAnsi="宋体" w:eastAsia="宋体" w:cs="宋体"/>
                <w:sz w:val="21"/>
                <w:szCs w:val="21"/>
              </w:rPr>
              <w:t>。</w:t>
            </w:r>
          </w:p>
          <w:p w14:paraId="5546B47B">
            <w:pPr>
              <w:pStyle w:val="17"/>
              <w:spacing w:line="360" w:lineRule="auto"/>
              <w:rPr>
                <w:rFonts w:hint="eastAsia" w:ascii="宋体" w:hAnsi="宋体" w:eastAsia="宋体" w:cs="宋体"/>
                <w:sz w:val="21"/>
                <w:szCs w:val="21"/>
                <w:lang w:eastAsia="zh-CN"/>
              </w:rPr>
            </w:pPr>
            <w:r>
              <w:rPr>
                <w:rFonts w:hint="eastAsia" w:ascii="宋体" w:hAnsi="宋体" w:eastAsia="宋体" w:cs="宋体"/>
                <w:b/>
                <w:bCs w:val="0"/>
                <w:kern w:val="2"/>
                <w:sz w:val="21"/>
                <w:szCs w:val="21"/>
                <w:lang w:val="en-US" w:eastAsia="zh-CN" w:bidi="ar"/>
              </w:rPr>
              <w:t>注：①第二章“技术性能、参数及有关要求”中标注“▲”为实质性要求项，经评审认定负偏离的，投标无效。②第二章“技术性能、参数及有关要求”中要求提供产品检测报告或生产厂家官方网站产品技术参数截图等相关佐证材料的，投标人未按要求提供佐证材料或提供的佐证材料不符合招标文件技术参数要求的，视为负偏离。</w:t>
            </w:r>
          </w:p>
        </w:tc>
      </w:tr>
      <w:tr w14:paraId="3981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98" w:type="dxa"/>
            <w:vMerge w:val="continue"/>
            <w:noWrap w:val="0"/>
            <w:vAlign w:val="center"/>
          </w:tcPr>
          <w:p w14:paraId="389CE639">
            <w:pPr>
              <w:bidi w:val="0"/>
              <w:jc w:val="center"/>
              <w:rPr>
                <w:rFonts w:hint="eastAsia" w:ascii="宋体" w:hAnsi="宋体" w:eastAsia="宋体" w:cs="宋体"/>
                <w:sz w:val="21"/>
                <w:szCs w:val="21"/>
                <w:lang w:eastAsia="zh-CN"/>
              </w:rPr>
            </w:pPr>
          </w:p>
        </w:tc>
        <w:tc>
          <w:tcPr>
            <w:tcW w:w="1116" w:type="dxa"/>
            <w:vMerge w:val="continue"/>
            <w:noWrap w:val="0"/>
            <w:vAlign w:val="center"/>
          </w:tcPr>
          <w:p w14:paraId="714835AA">
            <w:pPr>
              <w:bidi w:val="0"/>
              <w:jc w:val="center"/>
              <w:rPr>
                <w:rFonts w:hint="eastAsia" w:ascii="宋体" w:hAnsi="宋体" w:eastAsia="宋体" w:cs="宋体"/>
                <w:b w:val="0"/>
                <w:bCs w:val="0"/>
                <w:sz w:val="21"/>
                <w:szCs w:val="21"/>
                <w:lang w:eastAsia="zh-CN"/>
              </w:rPr>
            </w:pPr>
          </w:p>
        </w:tc>
        <w:tc>
          <w:tcPr>
            <w:tcW w:w="1854" w:type="dxa"/>
            <w:noWrap w:val="0"/>
            <w:vAlign w:val="center"/>
          </w:tcPr>
          <w:p w14:paraId="09D476F6">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实施方案分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18分</w:t>
            </w:r>
            <w:r>
              <w:rPr>
                <w:rFonts w:hint="eastAsia" w:ascii="宋体" w:hAnsi="宋体" w:eastAsia="宋体" w:cs="宋体"/>
                <w:b w:val="0"/>
                <w:bCs w:val="0"/>
                <w:sz w:val="21"/>
                <w:szCs w:val="21"/>
                <w:lang w:eastAsia="zh-CN"/>
              </w:rPr>
              <w:t>）</w:t>
            </w:r>
          </w:p>
        </w:tc>
        <w:tc>
          <w:tcPr>
            <w:tcW w:w="6210" w:type="dxa"/>
            <w:noWrap w:val="0"/>
            <w:vAlign w:val="center"/>
          </w:tcPr>
          <w:p w14:paraId="1CA34C83">
            <w:pPr>
              <w:bidi w:val="0"/>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由评标委员在相应档次内独立打分，未提供实施方案或实施方案不满足一档评审标准的，得0分：</w:t>
            </w:r>
          </w:p>
          <w:p w14:paraId="74D51A34">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一</w:t>
            </w:r>
            <w:r>
              <w:rPr>
                <w:rFonts w:hint="eastAsia" w:ascii="宋体" w:hAnsi="宋体" w:eastAsia="宋体" w:cs="宋体"/>
                <w:sz w:val="21"/>
                <w:szCs w:val="21"/>
              </w:rPr>
              <w:t>档 (</w:t>
            </w:r>
            <w:r>
              <w:rPr>
                <w:rFonts w:hint="eastAsia" w:ascii="宋体" w:hAnsi="宋体" w:eastAsia="宋体" w:cs="宋体"/>
                <w:sz w:val="21"/>
                <w:szCs w:val="21"/>
                <w:lang w:val="en-US" w:eastAsia="zh-CN"/>
              </w:rPr>
              <w:t>6</w:t>
            </w:r>
            <w:r>
              <w:rPr>
                <w:rFonts w:hint="eastAsia" w:ascii="宋体" w:hAnsi="宋体" w:eastAsia="宋体" w:cs="宋体"/>
                <w:sz w:val="21"/>
                <w:szCs w:val="21"/>
              </w:rPr>
              <w:t>分)：实施方案较为简单，对项目实施目标、实施过程、实现思路有基本描述，对</w:t>
            </w:r>
            <w:r>
              <w:rPr>
                <w:rFonts w:hint="eastAsia" w:ascii="宋体" w:hAnsi="宋体" w:eastAsia="宋体" w:cs="宋体"/>
                <w:sz w:val="21"/>
                <w:szCs w:val="21"/>
                <w:lang w:eastAsia="zh-CN"/>
              </w:rPr>
              <w:t>灌溉系统</w:t>
            </w:r>
            <w:r>
              <w:rPr>
                <w:rFonts w:hint="eastAsia" w:ascii="宋体" w:hAnsi="宋体" w:eastAsia="宋体" w:cs="宋体"/>
                <w:sz w:val="21"/>
                <w:szCs w:val="21"/>
              </w:rPr>
              <w:t>的</w:t>
            </w:r>
            <w:r>
              <w:rPr>
                <w:rFonts w:hint="eastAsia" w:ascii="宋体" w:hAnsi="宋体" w:eastAsia="宋体" w:cs="宋体"/>
                <w:sz w:val="21"/>
                <w:szCs w:val="21"/>
                <w:lang w:eastAsia="zh-CN"/>
              </w:rPr>
              <w:t>产品及安装</w:t>
            </w:r>
            <w:r>
              <w:rPr>
                <w:rFonts w:hint="eastAsia" w:ascii="宋体" w:hAnsi="宋体" w:eastAsia="宋体" w:cs="宋体"/>
                <w:sz w:val="21"/>
                <w:szCs w:val="21"/>
              </w:rPr>
              <w:t>质量保障措施、进度安排、安全防范、组织机构等有简</w:t>
            </w:r>
            <w:r>
              <w:rPr>
                <w:rFonts w:hint="eastAsia" w:ascii="宋体" w:hAnsi="宋体" w:eastAsia="宋体" w:cs="宋体"/>
                <w:sz w:val="21"/>
                <w:szCs w:val="21"/>
                <w:lang w:eastAsia="zh-CN"/>
              </w:rPr>
              <w:t>略</w:t>
            </w:r>
            <w:r>
              <w:rPr>
                <w:rFonts w:hint="eastAsia" w:ascii="宋体" w:hAnsi="宋体" w:eastAsia="宋体" w:cs="宋体"/>
                <w:sz w:val="21"/>
                <w:szCs w:val="21"/>
              </w:rPr>
              <w:t>描述，实施性一般。</w:t>
            </w:r>
          </w:p>
          <w:p w14:paraId="5B411085">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二</w:t>
            </w:r>
            <w:r>
              <w:rPr>
                <w:rFonts w:hint="eastAsia" w:ascii="宋体" w:hAnsi="宋体" w:eastAsia="宋体" w:cs="宋体"/>
                <w:sz w:val="21"/>
                <w:szCs w:val="21"/>
              </w:rPr>
              <w:t>档 (1</w:t>
            </w: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 分)：实施方案基本满足项目实施要求，对项目实施目标、实施过程、实现思路、对</w:t>
            </w:r>
            <w:r>
              <w:rPr>
                <w:rFonts w:hint="eastAsia" w:ascii="宋体" w:hAnsi="宋体" w:eastAsia="宋体" w:cs="宋体"/>
                <w:sz w:val="21"/>
                <w:szCs w:val="21"/>
                <w:lang w:eastAsia="zh-CN"/>
              </w:rPr>
              <w:t>灌溉系统</w:t>
            </w:r>
            <w:r>
              <w:rPr>
                <w:rFonts w:hint="eastAsia" w:ascii="宋体" w:hAnsi="宋体" w:eastAsia="宋体" w:cs="宋体"/>
                <w:sz w:val="21"/>
                <w:szCs w:val="21"/>
              </w:rPr>
              <w:t>的</w:t>
            </w:r>
            <w:r>
              <w:rPr>
                <w:rFonts w:hint="eastAsia" w:ascii="宋体" w:hAnsi="宋体" w:eastAsia="宋体" w:cs="宋体"/>
                <w:sz w:val="21"/>
                <w:szCs w:val="21"/>
                <w:lang w:eastAsia="zh-CN"/>
              </w:rPr>
              <w:t>产品及安装</w:t>
            </w:r>
            <w:r>
              <w:rPr>
                <w:rFonts w:hint="eastAsia" w:ascii="宋体" w:hAnsi="宋体" w:eastAsia="宋体" w:cs="宋体"/>
                <w:sz w:val="21"/>
                <w:szCs w:val="21"/>
              </w:rPr>
              <w:t>质量保障措施、进度计划、安全施工保障、项目验收方案、风险防范及应急方案、组织机构安排及</w:t>
            </w:r>
            <w:r>
              <w:rPr>
                <w:rFonts w:hint="eastAsia" w:ascii="宋体" w:hAnsi="宋体" w:eastAsia="宋体" w:cs="宋体"/>
                <w:sz w:val="21"/>
                <w:szCs w:val="21"/>
                <w:lang w:eastAsia="zh-CN"/>
              </w:rPr>
              <w:t>人员</w:t>
            </w:r>
            <w:r>
              <w:rPr>
                <w:rFonts w:hint="eastAsia" w:ascii="宋体" w:hAnsi="宋体" w:eastAsia="宋体" w:cs="宋体"/>
                <w:sz w:val="21"/>
                <w:szCs w:val="21"/>
              </w:rPr>
              <w:t>分工安排等有较详细描述；能提供</w:t>
            </w:r>
            <w:r>
              <w:rPr>
                <w:rFonts w:hint="eastAsia" w:ascii="宋体" w:hAnsi="宋体" w:eastAsia="宋体" w:cs="宋体"/>
                <w:sz w:val="21"/>
                <w:szCs w:val="21"/>
                <w:lang w:eastAsia="zh-CN"/>
              </w:rPr>
              <w:t>灌溉系统</w:t>
            </w:r>
            <w:r>
              <w:rPr>
                <w:rFonts w:hint="eastAsia" w:ascii="宋体" w:hAnsi="宋体" w:eastAsia="宋体" w:cs="宋体"/>
                <w:sz w:val="21"/>
                <w:szCs w:val="21"/>
              </w:rPr>
              <w:t>的设计</w:t>
            </w:r>
            <w:r>
              <w:rPr>
                <w:rFonts w:hint="eastAsia" w:ascii="宋体" w:hAnsi="宋体" w:cs="宋体"/>
                <w:sz w:val="21"/>
                <w:szCs w:val="21"/>
                <w:lang w:eastAsia="zh-CN"/>
              </w:rPr>
              <w:t>效果</w:t>
            </w:r>
            <w:r>
              <w:rPr>
                <w:rFonts w:hint="eastAsia" w:ascii="宋体" w:hAnsi="宋体" w:eastAsia="宋体" w:cs="宋体"/>
                <w:sz w:val="21"/>
                <w:szCs w:val="21"/>
              </w:rPr>
              <w:t>图纸</w:t>
            </w:r>
            <w:r>
              <w:rPr>
                <w:rFonts w:hint="eastAsia" w:ascii="宋体" w:hAnsi="宋体" w:eastAsia="宋体" w:cs="宋体"/>
                <w:sz w:val="21"/>
                <w:szCs w:val="21"/>
                <w:lang w:eastAsia="zh-CN"/>
              </w:rPr>
              <w:t>，设计图纸布局定位基本符合园区实际要求、设计基本合理；</w:t>
            </w:r>
            <w:r>
              <w:rPr>
                <w:rFonts w:hint="eastAsia" w:ascii="宋体" w:hAnsi="宋体" w:eastAsia="宋体" w:cs="宋体"/>
                <w:sz w:val="21"/>
                <w:szCs w:val="21"/>
              </w:rPr>
              <w:t>能提出项目实施中的难点和实施重点，并提出简单的解决方案。</w:t>
            </w:r>
          </w:p>
          <w:p w14:paraId="1725BDDF">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三</w:t>
            </w:r>
            <w:r>
              <w:rPr>
                <w:rFonts w:hint="eastAsia" w:ascii="宋体" w:hAnsi="宋体" w:eastAsia="宋体" w:cs="宋体"/>
                <w:sz w:val="21"/>
                <w:szCs w:val="21"/>
              </w:rPr>
              <w:t>档 (1</w:t>
            </w:r>
            <w:r>
              <w:rPr>
                <w:rFonts w:hint="eastAsia" w:ascii="宋体" w:hAnsi="宋体" w:eastAsia="宋体" w:cs="宋体"/>
                <w:sz w:val="21"/>
                <w:szCs w:val="21"/>
                <w:lang w:val="en-US" w:eastAsia="zh-CN"/>
              </w:rPr>
              <w:t>8</w:t>
            </w:r>
            <w:r>
              <w:rPr>
                <w:rFonts w:hint="eastAsia" w:ascii="宋体" w:hAnsi="宋体" w:eastAsia="宋体" w:cs="宋体"/>
                <w:sz w:val="21"/>
                <w:szCs w:val="21"/>
              </w:rPr>
              <w:t xml:space="preserve"> 分)：实施方案对项目实施目标、实施过程、实现思路有详细描述完全符合采购需求；对</w:t>
            </w:r>
            <w:r>
              <w:rPr>
                <w:rFonts w:hint="eastAsia" w:ascii="宋体" w:hAnsi="宋体" w:eastAsia="宋体" w:cs="宋体"/>
                <w:sz w:val="21"/>
                <w:szCs w:val="21"/>
                <w:lang w:eastAsia="zh-CN"/>
              </w:rPr>
              <w:t>灌溉系统</w:t>
            </w:r>
            <w:r>
              <w:rPr>
                <w:rFonts w:hint="eastAsia" w:ascii="宋体" w:hAnsi="宋体" w:eastAsia="宋体" w:cs="宋体"/>
                <w:sz w:val="21"/>
                <w:szCs w:val="21"/>
              </w:rPr>
              <w:t>的</w:t>
            </w:r>
            <w:r>
              <w:rPr>
                <w:rFonts w:hint="eastAsia" w:ascii="宋体" w:hAnsi="宋体" w:eastAsia="宋体" w:cs="宋体"/>
                <w:sz w:val="21"/>
                <w:szCs w:val="21"/>
                <w:lang w:eastAsia="zh-CN"/>
              </w:rPr>
              <w:t>产品及安装</w:t>
            </w:r>
            <w:r>
              <w:rPr>
                <w:rFonts w:hint="eastAsia" w:ascii="宋体" w:hAnsi="宋体" w:eastAsia="宋体" w:cs="宋体"/>
                <w:sz w:val="21"/>
                <w:szCs w:val="21"/>
              </w:rPr>
              <w:t>质量保障措施、进度计划、安全施工保障、项目验收方案、风险防范及应急方案、组织机构安排及</w:t>
            </w:r>
            <w:r>
              <w:rPr>
                <w:rFonts w:hint="eastAsia" w:ascii="宋体" w:hAnsi="宋体" w:eastAsia="宋体" w:cs="宋体"/>
                <w:sz w:val="21"/>
                <w:szCs w:val="21"/>
                <w:lang w:eastAsia="zh-CN"/>
              </w:rPr>
              <w:t>人员</w:t>
            </w:r>
            <w:r>
              <w:rPr>
                <w:rFonts w:hint="eastAsia" w:ascii="宋体" w:hAnsi="宋体" w:eastAsia="宋体" w:cs="宋体"/>
                <w:sz w:val="21"/>
                <w:szCs w:val="21"/>
              </w:rPr>
              <w:t>分工安排等有详细描述、针对性强；能提供</w:t>
            </w:r>
            <w:r>
              <w:rPr>
                <w:rFonts w:hint="eastAsia" w:ascii="宋体" w:hAnsi="宋体" w:eastAsia="宋体" w:cs="宋体"/>
                <w:sz w:val="21"/>
                <w:szCs w:val="21"/>
                <w:lang w:eastAsia="zh-CN"/>
              </w:rPr>
              <w:t>灌溉系统</w:t>
            </w:r>
            <w:r>
              <w:rPr>
                <w:rFonts w:hint="eastAsia" w:ascii="宋体" w:hAnsi="宋体" w:eastAsia="宋体" w:cs="宋体"/>
                <w:sz w:val="21"/>
                <w:szCs w:val="21"/>
              </w:rPr>
              <w:t>的设计</w:t>
            </w:r>
            <w:r>
              <w:rPr>
                <w:rFonts w:hint="eastAsia" w:ascii="宋体" w:hAnsi="宋体" w:cs="宋体"/>
                <w:sz w:val="21"/>
                <w:szCs w:val="21"/>
                <w:lang w:eastAsia="zh-CN"/>
              </w:rPr>
              <w:t>效果</w:t>
            </w:r>
            <w:r>
              <w:rPr>
                <w:rFonts w:hint="eastAsia" w:ascii="宋体" w:hAnsi="宋体" w:eastAsia="宋体" w:cs="宋体"/>
                <w:sz w:val="21"/>
                <w:szCs w:val="21"/>
              </w:rPr>
              <w:t>图纸</w:t>
            </w:r>
            <w:r>
              <w:rPr>
                <w:rFonts w:hint="eastAsia" w:ascii="宋体" w:hAnsi="宋体" w:eastAsia="宋体" w:cs="宋体"/>
                <w:sz w:val="21"/>
                <w:szCs w:val="21"/>
                <w:lang w:eastAsia="zh-CN"/>
              </w:rPr>
              <w:t>及设计说明方案，设计图纸布局定位符合园区实际要求、设计合理科学；</w:t>
            </w:r>
            <w:r>
              <w:rPr>
                <w:rFonts w:hint="eastAsia" w:ascii="宋体" w:hAnsi="宋体" w:eastAsia="宋体" w:cs="宋体"/>
                <w:sz w:val="21"/>
                <w:szCs w:val="21"/>
              </w:rPr>
              <w:t>能提出项目实施中的难点和实施重点，并提出有效的解决方案；对本项目的风险预见及风险应对有具体措施。整体方案能够体现出投标人对本项目有专业的理解和对同类项目有丰富实施经验。</w:t>
            </w:r>
          </w:p>
        </w:tc>
      </w:tr>
      <w:tr w14:paraId="40F5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98" w:type="dxa"/>
            <w:vMerge w:val="restart"/>
            <w:noWrap w:val="0"/>
            <w:vAlign w:val="center"/>
          </w:tcPr>
          <w:p w14:paraId="1C31560E">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116" w:type="dxa"/>
            <w:vMerge w:val="restart"/>
            <w:noWrap w:val="0"/>
            <w:vAlign w:val="center"/>
          </w:tcPr>
          <w:p w14:paraId="7451ECEF">
            <w:pPr>
              <w:bidi w:val="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商务分（满分</w:t>
            </w:r>
            <w:r>
              <w:rPr>
                <w:rFonts w:hint="eastAsia" w:ascii="宋体" w:hAnsi="宋体" w:eastAsia="宋体" w:cs="宋体"/>
                <w:b w:val="0"/>
                <w:bCs w:val="0"/>
                <w:sz w:val="21"/>
                <w:szCs w:val="21"/>
                <w:lang w:val="en-US" w:eastAsia="zh-CN"/>
              </w:rPr>
              <w:t>18分</w:t>
            </w:r>
            <w:r>
              <w:rPr>
                <w:rFonts w:hint="eastAsia" w:ascii="宋体" w:hAnsi="宋体" w:eastAsia="宋体" w:cs="宋体"/>
                <w:b w:val="0"/>
                <w:bCs w:val="0"/>
                <w:sz w:val="21"/>
                <w:szCs w:val="21"/>
                <w:lang w:eastAsia="zh-CN"/>
              </w:rPr>
              <w:t>）</w:t>
            </w:r>
          </w:p>
        </w:tc>
        <w:tc>
          <w:tcPr>
            <w:tcW w:w="1854" w:type="dxa"/>
            <w:noWrap w:val="0"/>
            <w:vAlign w:val="center"/>
          </w:tcPr>
          <w:p w14:paraId="601DC66A">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售后服务方案分（满分</w:t>
            </w:r>
            <w:r>
              <w:rPr>
                <w:rFonts w:hint="eastAsia" w:ascii="宋体" w:hAnsi="宋体" w:eastAsia="宋体" w:cs="宋体"/>
                <w:b w:val="0"/>
                <w:bCs w:val="0"/>
                <w:sz w:val="21"/>
                <w:szCs w:val="21"/>
                <w:lang w:val="en-US" w:eastAsia="zh-CN"/>
              </w:rPr>
              <w:t>15分</w:t>
            </w:r>
            <w:r>
              <w:rPr>
                <w:rFonts w:hint="eastAsia" w:ascii="宋体" w:hAnsi="宋体" w:eastAsia="宋体" w:cs="宋体"/>
                <w:b w:val="0"/>
                <w:bCs w:val="0"/>
                <w:sz w:val="21"/>
                <w:szCs w:val="21"/>
                <w:lang w:eastAsia="zh-CN"/>
              </w:rPr>
              <w:t>）</w:t>
            </w:r>
          </w:p>
        </w:tc>
        <w:tc>
          <w:tcPr>
            <w:tcW w:w="6210" w:type="dxa"/>
            <w:noWrap w:val="0"/>
            <w:vAlign w:val="center"/>
          </w:tcPr>
          <w:p w14:paraId="175DD2A5">
            <w:pPr>
              <w:bidi w:val="0"/>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由评标委员在相应档次内独立打分，未提供售后服务方案或售后服务方案不满足一档评审标准的，得0分：</w:t>
            </w:r>
          </w:p>
          <w:p w14:paraId="6CAB4ADC">
            <w:pPr>
              <w:bidi w:val="0"/>
              <w:spacing w:line="360" w:lineRule="auto"/>
              <w:jc w:val="left"/>
              <w:rPr>
                <w:rFonts w:hint="eastAsia" w:ascii="宋体" w:hAnsi="宋体" w:eastAsia="宋体" w:cs="宋体"/>
                <w:sz w:val="21"/>
                <w:szCs w:val="21"/>
              </w:rPr>
            </w:pPr>
            <w:r>
              <w:rPr>
                <w:rFonts w:hint="eastAsia" w:ascii="宋体" w:hAnsi="宋体" w:eastAsia="宋体" w:cs="宋体"/>
                <w:b w:val="0"/>
                <w:bCs w:val="0"/>
                <w:sz w:val="21"/>
                <w:szCs w:val="21"/>
              </w:rPr>
              <w:t>一档（</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分）：售后服务方案对“到达故</w:t>
            </w:r>
            <w:r>
              <w:rPr>
                <w:rFonts w:hint="eastAsia" w:ascii="宋体" w:hAnsi="宋体" w:eastAsia="宋体" w:cs="宋体"/>
                <w:sz w:val="21"/>
                <w:szCs w:val="21"/>
              </w:rPr>
              <w:t>障现场时间、故障出现解决方案、定期维护、免费技术培训方案、质保期维护方案</w:t>
            </w:r>
            <w:r>
              <w:rPr>
                <w:rFonts w:hint="eastAsia" w:ascii="宋体" w:hAnsi="宋体" w:eastAsia="宋体" w:cs="宋体"/>
                <w:sz w:val="21"/>
                <w:szCs w:val="21"/>
                <w:lang w:eastAsia="zh-CN"/>
              </w:rPr>
              <w:t>、备品备件</w:t>
            </w:r>
            <w:r>
              <w:rPr>
                <w:rFonts w:hint="eastAsia" w:ascii="宋体" w:hAnsi="宋体" w:eastAsia="宋体" w:cs="宋体"/>
                <w:sz w:val="21"/>
                <w:szCs w:val="21"/>
              </w:rPr>
              <w:t>”等基本满足招标文件</w:t>
            </w:r>
            <w:r>
              <w:rPr>
                <w:rFonts w:hint="eastAsia" w:ascii="宋体" w:hAnsi="宋体" w:eastAsia="宋体" w:cs="宋体"/>
                <w:sz w:val="21"/>
                <w:szCs w:val="21"/>
                <w:lang w:eastAsia="zh-CN"/>
              </w:rPr>
              <w:t>售后服务</w:t>
            </w:r>
            <w:r>
              <w:rPr>
                <w:rFonts w:hint="eastAsia" w:ascii="宋体" w:hAnsi="宋体" w:eastAsia="宋体" w:cs="宋体"/>
                <w:sz w:val="21"/>
                <w:szCs w:val="21"/>
              </w:rPr>
              <w:t xml:space="preserve">要求。 </w:t>
            </w:r>
          </w:p>
          <w:p w14:paraId="209E9E1E">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w:t>
            </w:r>
            <w:r>
              <w:rPr>
                <w:rFonts w:hint="eastAsia" w:ascii="宋体" w:hAnsi="宋体" w:eastAsia="宋体" w:cs="宋体"/>
                <w:sz w:val="21"/>
                <w:szCs w:val="21"/>
                <w:lang w:val="en-US" w:eastAsia="zh-CN"/>
              </w:rPr>
              <w:t>10</w:t>
            </w:r>
            <w:r>
              <w:rPr>
                <w:rFonts w:hint="eastAsia" w:ascii="宋体" w:hAnsi="宋体" w:eastAsia="宋体" w:cs="宋体"/>
                <w:sz w:val="21"/>
                <w:szCs w:val="21"/>
              </w:rPr>
              <w:t>分）：售后服务方案对“到达故障现场时间、故障出现解决方案、定期维护、质保期维护方案、其他优惠措施</w:t>
            </w:r>
            <w:r>
              <w:rPr>
                <w:rFonts w:hint="eastAsia" w:ascii="宋体" w:hAnsi="宋体" w:eastAsia="宋体" w:cs="宋体"/>
                <w:sz w:val="21"/>
                <w:szCs w:val="21"/>
                <w:lang w:eastAsia="zh-CN"/>
              </w:rPr>
              <w:t>、备品备件</w:t>
            </w:r>
            <w:r>
              <w:rPr>
                <w:rFonts w:hint="eastAsia" w:ascii="宋体" w:hAnsi="宋体" w:eastAsia="宋体" w:cs="宋体"/>
                <w:sz w:val="21"/>
                <w:szCs w:val="21"/>
              </w:rPr>
              <w:t>”等内容的描述完整，方案整体描述细致、合理、可行，保障响应措施到位；设立有固定售后服务场所，并提供7×24</w:t>
            </w:r>
            <w:r>
              <w:rPr>
                <w:rFonts w:hint="eastAsia" w:ascii="宋体" w:hAnsi="宋体" w:cs="宋体"/>
                <w:sz w:val="21"/>
                <w:szCs w:val="21"/>
                <w:lang w:val="en-US" w:eastAsia="zh-CN"/>
              </w:rPr>
              <w:t>小时</w:t>
            </w:r>
            <w:r>
              <w:rPr>
                <w:rFonts w:hint="eastAsia" w:ascii="宋体" w:hAnsi="宋体" w:eastAsia="宋体" w:cs="宋体"/>
                <w:sz w:val="21"/>
                <w:szCs w:val="21"/>
              </w:rPr>
              <w:t xml:space="preserve">售后服务热线，有详细的售后服务方案、售后服务流程。  </w:t>
            </w:r>
          </w:p>
          <w:p w14:paraId="455F76ED">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三档（1</w:t>
            </w:r>
            <w:r>
              <w:rPr>
                <w:rFonts w:hint="eastAsia" w:ascii="宋体" w:hAnsi="宋体" w:eastAsia="宋体" w:cs="宋体"/>
                <w:sz w:val="21"/>
                <w:szCs w:val="21"/>
                <w:lang w:val="en-US" w:eastAsia="zh-CN"/>
              </w:rPr>
              <w:t>5</w:t>
            </w:r>
            <w:r>
              <w:rPr>
                <w:rFonts w:hint="eastAsia" w:ascii="宋体" w:hAnsi="宋体" w:eastAsia="宋体" w:cs="宋体"/>
                <w:sz w:val="21"/>
                <w:szCs w:val="21"/>
              </w:rPr>
              <w:t>分）：在满足招标文件要求的基础上，售后服务方案中能提供技术培训具体计划，设立有固定售后服务场所及售后服务团队，并提供7×24小时售后服务热线，响应时间短，快捷、迅速，有详细的售后服务方案</w:t>
            </w:r>
            <w:r>
              <w:rPr>
                <w:rFonts w:hint="eastAsia" w:ascii="宋体" w:hAnsi="宋体" w:eastAsia="宋体" w:cs="宋体"/>
                <w:bCs/>
                <w:color w:val="auto"/>
                <w:szCs w:val="21"/>
                <w:highlight w:val="none"/>
              </w:rPr>
              <w:t>（包括故障处理、上门维护、紧急维护、重要服务、电话维护、主动巡检等）</w:t>
            </w:r>
            <w:r>
              <w:rPr>
                <w:rFonts w:hint="eastAsia" w:ascii="宋体" w:hAnsi="宋体" w:eastAsia="宋体" w:cs="宋体"/>
                <w:sz w:val="21"/>
                <w:szCs w:val="21"/>
              </w:rPr>
              <w:t>、售后服务流程；建立有售后应急预案、质量保障，有完善的售后服务机制，能为采购人提供优质的快捷服务。</w:t>
            </w:r>
          </w:p>
        </w:tc>
      </w:tr>
      <w:tr w14:paraId="1200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98" w:type="dxa"/>
            <w:vMerge w:val="continue"/>
            <w:noWrap w:val="0"/>
            <w:vAlign w:val="center"/>
          </w:tcPr>
          <w:p w14:paraId="1607A989">
            <w:pPr>
              <w:bidi w:val="0"/>
              <w:jc w:val="center"/>
              <w:rPr>
                <w:rFonts w:hint="eastAsia" w:ascii="宋体" w:hAnsi="宋体" w:eastAsia="宋体" w:cs="宋体"/>
                <w:sz w:val="21"/>
                <w:szCs w:val="21"/>
                <w:lang w:eastAsia="zh-CN"/>
              </w:rPr>
            </w:pPr>
          </w:p>
        </w:tc>
        <w:tc>
          <w:tcPr>
            <w:tcW w:w="1116" w:type="dxa"/>
            <w:vMerge w:val="continue"/>
            <w:noWrap w:val="0"/>
            <w:vAlign w:val="center"/>
          </w:tcPr>
          <w:p w14:paraId="77BD23A5">
            <w:pPr>
              <w:bidi w:val="0"/>
              <w:jc w:val="center"/>
              <w:rPr>
                <w:rFonts w:hint="eastAsia" w:ascii="宋体" w:hAnsi="宋体" w:eastAsia="宋体" w:cs="宋体"/>
                <w:sz w:val="21"/>
                <w:szCs w:val="21"/>
                <w:lang w:eastAsia="zh-CN"/>
              </w:rPr>
            </w:pPr>
          </w:p>
        </w:tc>
        <w:tc>
          <w:tcPr>
            <w:tcW w:w="1854" w:type="dxa"/>
            <w:noWrap w:val="0"/>
            <w:vAlign w:val="center"/>
          </w:tcPr>
          <w:p w14:paraId="6B094003">
            <w:pPr>
              <w:adjustRightInd w:val="0"/>
              <w:spacing w:line="360" w:lineRule="exact"/>
              <w:jc w:val="center"/>
              <w:textAlignment w:val="baseline"/>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业绩分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3分</w:t>
            </w:r>
            <w:r>
              <w:rPr>
                <w:rFonts w:hint="eastAsia" w:ascii="宋体" w:hAnsi="宋体" w:eastAsia="宋体" w:cs="宋体"/>
                <w:b w:val="0"/>
                <w:bCs w:val="0"/>
                <w:sz w:val="21"/>
                <w:szCs w:val="21"/>
                <w:lang w:eastAsia="zh-CN"/>
              </w:rPr>
              <w:t>）</w:t>
            </w:r>
          </w:p>
        </w:tc>
        <w:tc>
          <w:tcPr>
            <w:tcW w:w="6210" w:type="dxa"/>
            <w:noWrap w:val="0"/>
            <w:vAlign w:val="center"/>
          </w:tcPr>
          <w:p w14:paraId="0C949E52">
            <w:pPr>
              <w:pStyle w:val="11"/>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投标人2021年1月至今（近三年）承接的类似产品业绩（类似产品业绩是指包含一项或多项与本包投标产品相应的业绩。投标文件中提供有效的合同复印件并加盖投标人公章，合同复印件需要体现出</w:t>
            </w:r>
            <w:r>
              <w:rPr>
                <w:rFonts w:hint="eastAsia" w:ascii="宋体" w:hAnsi="宋体" w:cs="宋体"/>
                <w:kern w:val="2"/>
                <w:sz w:val="21"/>
                <w:szCs w:val="21"/>
                <w:lang w:val="en-US" w:eastAsia="zh-CN" w:bidi="ar-SA"/>
              </w:rPr>
              <w:t>合同首页、</w:t>
            </w:r>
            <w:r>
              <w:rPr>
                <w:rFonts w:hint="eastAsia" w:ascii="宋体" w:hAnsi="宋体" w:eastAsia="宋体" w:cs="宋体"/>
                <w:kern w:val="2"/>
                <w:sz w:val="21"/>
                <w:szCs w:val="21"/>
                <w:lang w:val="en-US" w:eastAsia="zh-CN" w:bidi="ar-SA"/>
              </w:rPr>
              <w:t>采购内容和日期</w:t>
            </w:r>
            <w:r>
              <w:rPr>
                <w:rFonts w:hint="eastAsia" w:ascii="宋体" w:hAnsi="宋体" w:cs="宋体"/>
                <w:kern w:val="2"/>
                <w:sz w:val="21"/>
                <w:szCs w:val="21"/>
                <w:lang w:val="en-US" w:eastAsia="zh-CN" w:bidi="ar-SA"/>
              </w:rPr>
              <w:t>、盖章页</w:t>
            </w:r>
            <w:r>
              <w:rPr>
                <w:rFonts w:hint="eastAsia" w:ascii="宋体" w:hAnsi="宋体" w:eastAsia="宋体" w:cs="宋体"/>
                <w:kern w:val="2"/>
                <w:sz w:val="21"/>
                <w:szCs w:val="21"/>
                <w:lang w:val="en-US" w:eastAsia="zh-CN" w:bidi="ar-SA"/>
              </w:rPr>
              <w:t>），每份得1分，满分3分。</w:t>
            </w:r>
          </w:p>
        </w:tc>
      </w:tr>
      <w:tr w14:paraId="0A98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98" w:type="dxa"/>
            <w:noWrap w:val="0"/>
            <w:vAlign w:val="center"/>
          </w:tcPr>
          <w:p w14:paraId="1D5639AD">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16" w:type="dxa"/>
            <w:noWrap w:val="0"/>
            <w:vAlign w:val="center"/>
          </w:tcPr>
          <w:p w14:paraId="5B7B63CA">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政</w:t>
            </w:r>
            <w:r>
              <w:rPr>
                <w:rFonts w:hint="eastAsia" w:ascii="宋体" w:hAnsi="宋体" w:eastAsia="宋体" w:cs="宋体"/>
                <w:b w:val="0"/>
                <w:bCs w:val="0"/>
                <w:sz w:val="21"/>
                <w:szCs w:val="21"/>
                <w:lang w:eastAsia="zh-CN"/>
              </w:rPr>
              <w:t>策分（满分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1854" w:type="dxa"/>
            <w:noWrap w:val="0"/>
            <w:vAlign w:val="center"/>
          </w:tcPr>
          <w:p w14:paraId="37D732D2">
            <w:pPr>
              <w:adjustRightInd w:val="0"/>
              <w:spacing w:line="360" w:lineRule="exact"/>
              <w:jc w:val="center"/>
              <w:textAlignment w:val="baseline"/>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节能环保分（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kern w:val="2"/>
                <w:sz w:val="21"/>
                <w:szCs w:val="21"/>
                <w:lang w:val="en-US" w:eastAsia="zh-CN" w:bidi="ar-SA"/>
              </w:rPr>
              <w:t>）</w:t>
            </w:r>
          </w:p>
        </w:tc>
        <w:tc>
          <w:tcPr>
            <w:tcW w:w="6210" w:type="dxa"/>
            <w:noWrap w:val="0"/>
            <w:vAlign w:val="center"/>
          </w:tcPr>
          <w:p w14:paraId="66CE9CA0">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产品属于财政部《节能产品政府采购品目清单》内优先采购（清单内未标注“★”的品目）的产品[投标文件中提供有效的认证证书复印件及品目清单（标注出投标产品在品目清单中所属的品目）]的得0.5分，满分1分。</w:t>
            </w:r>
          </w:p>
          <w:p w14:paraId="07462CC7">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（2）投标产品属于财政部《环境标志产品政府采购品目清单》内的产品[投标文件中提供有效的认证证书复印件及品目清单（标注出投标产品在品目清单中所属的品目）]的得0.5分，满分1分。</w:t>
            </w:r>
          </w:p>
        </w:tc>
      </w:tr>
    </w:tbl>
    <w:p w14:paraId="4F8CC19B">
      <w:pPr>
        <w:rPr>
          <w:rFonts w:hint="eastAsia" w:ascii="仿宋" w:hAnsi="仿宋" w:eastAsia="仿宋" w:cs="仿宋"/>
          <w:sz w:val="28"/>
          <w:szCs w:val="28"/>
          <w:highlight w:val="yellow"/>
          <w:lang w:val="en-US" w:eastAsia="zh-CN"/>
        </w:rPr>
      </w:pPr>
    </w:p>
    <w:p w14:paraId="3368B988">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highlight w:val="none"/>
          <w:lang w:val="en-US" w:eastAsia="zh-CN"/>
        </w:rPr>
        <w:t>5分标</w:t>
      </w:r>
    </w:p>
    <w:tbl>
      <w:tblPr>
        <w:tblStyle w:val="29"/>
        <w:tblW w:w="9653"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195"/>
        <w:gridCol w:w="1635"/>
        <w:gridCol w:w="5985"/>
      </w:tblGrid>
      <w:tr w14:paraId="1357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38" w:type="dxa"/>
            <w:noWrap w:val="0"/>
            <w:vAlign w:val="center"/>
          </w:tcPr>
          <w:p w14:paraId="616198E8">
            <w:pPr>
              <w:adjustRightInd w:val="0"/>
              <w:snapToGrid w:val="0"/>
              <w:spacing w:line="360" w:lineRule="auto"/>
              <w:jc w:val="center"/>
              <w:textAlignment w:val="baseline"/>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序号</w:t>
            </w:r>
          </w:p>
        </w:tc>
        <w:tc>
          <w:tcPr>
            <w:tcW w:w="1195" w:type="dxa"/>
            <w:noWrap w:val="0"/>
            <w:vAlign w:val="center"/>
          </w:tcPr>
          <w:p w14:paraId="2E9A490C">
            <w:pPr>
              <w:adjustRightInd w:val="0"/>
              <w:snapToGrid w:val="0"/>
              <w:spacing w:line="360" w:lineRule="auto"/>
              <w:jc w:val="center"/>
              <w:textAlignment w:val="baseline"/>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评分类型</w:t>
            </w:r>
          </w:p>
        </w:tc>
        <w:tc>
          <w:tcPr>
            <w:tcW w:w="1635" w:type="dxa"/>
            <w:noWrap w:val="0"/>
            <w:vAlign w:val="center"/>
          </w:tcPr>
          <w:p w14:paraId="32A9C705">
            <w:pPr>
              <w:adjustRightInd w:val="0"/>
              <w:snapToGrid w:val="0"/>
              <w:spacing w:line="360" w:lineRule="auto"/>
              <w:jc w:val="center"/>
              <w:textAlignment w:val="baseline"/>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评审因素</w:t>
            </w:r>
          </w:p>
        </w:tc>
        <w:tc>
          <w:tcPr>
            <w:tcW w:w="5985" w:type="dxa"/>
            <w:noWrap w:val="0"/>
            <w:vAlign w:val="center"/>
          </w:tcPr>
          <w:p w14:paraId="6BFAB9C4">
            <w:pPr>
              <w:adjustRightInd w:val="0"/>
              <w:snapToGrid w:val="0"/>
              <w:spacing w:line="360" w:lineRule="auto"/>
              <w:jc w:val="center"/>
              <w:textAlignment w:val="baseline"/>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评标标准</w:t>
            </w:r>
          </w:p>
        </w:tc>
      </w:tr>
      <w:tr w14:paraId="10B8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noWrap w:val="0"/>
            <w:vAlign w:val="center"/>
          </w:tcPr>
          <w:p w14:paraId="0769C077">
            <w:pPr>
              <w:bidi w:val="0"/>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195" w:type="dxa"/>
            <w:noWrap w:val="0"/>
            <w:vAlign w:val="center"/>
          </w:tcPr>
          <w:p w14:paraId="25BABC2C">
            <w:pPr>
              <w:bidi w:val="0"/>
              <w:spacing w:line="36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价格分（满分</w:t>
            </w:r>
            <w:r>
              <w:rPr>
                <w:rFonts w:hint="eastAsia" w:ascii="宋体" w:hAnsi="宋体" w:eastAsia="宋体" w:cs="宋体"/>
                <w:sz w:val="21"/>
                <w:szCs w:val="21"/>
                <w:highlight w:val="none"/>
                <w:lang w:val="en-US" w:eastAsia="zh-CN"/>
              </w:rPr>
              <w:t>30分</w:t>
            </w:r>
            <w:r>
              <w:rPr>
                <w:rFonts w:hint="eastAsia" w:ascii="宋体" w:hAnsi="宋体" w:eastAsia="宋体" w:cs="宋体"/>
                <w:sz w:val="21"/>
                <w:szCs w:val="21"/>
                <w:highlight w:val="none"/>
                <w:lang w:eastAsia="zh-CN"/>
              </w:rPr>
              <w:t>）</w:t>
            </w:r>
          </w:p>
        </w:tc>
        <w:tc>
          <w:tcPr>
            <w:tcW w:w="1635" w:type="dxa"/>
            <w:noWrap w:val="0"/>
            <w:vAlign w:val="center"/>
          </w:tcPr>
          <w:p w14:paraId="221660E4">
            <w:pPr>
              <w:bidi w:val="0"/>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价格分（满分</w:t>
            </w:r>
            <w:r>
              <w:rPr>
                <w:rFonts w:hint="eastAsia" w:ascii="宋体" w:hAnsi="宋体" w:eastAsia="宋体" w:cs="宋体"/>
                <w:sz w:val="21"/>
                <w:szCs w:val="21"/>
                <w:highlight w:val="none"/>
                <w:lang w:val="en-US" w:eastAsia="zh-CN"/>
              </w:rPr>
              <w:t>30分</w:t>
            </w:r>
            <w:r>
              <w:rPr>
                <w:rFonts w:hint="eastAsia" w:ascii="宋体" w:hAnsi="宋体" w:eastAsia="宋体" w:cs="宋体"/>
                <w:sz w:val="21"/>
                <w:szCs w:val="21"/>
                <w:highlight w:val="none"/>
                <w:lang w:eastAsia="zh-CN"/>
              </w:rPr>
              <w:t>）</w:t>
            </w:r>
          </w:p>
        </w:tc>
        <w:tc>
          <w:tcPr>
            <w:tcW w:w="5985" w:type="dxa"/>
            <w:noWrap w:val="0"/>
            <w:vAlign w:val="center"/>
          </w:tcPr>
          <w:p w14:paraId="51702FE0">
            <w:pPr>
              <w:snapToGrid w:val="0"/>
              <w:spacing w:line="360" w:lineRule="auto"/>
              <w:ind w:firstLine="233" w:firstLineChars="111"/>
              <w:rPr>
                <w:rFonts w:hint="eastAsia" w:ascii="宋体" w:hAnsi="宋体" w:eastAsia="宋体" w:cs="宋体"/>
                <w:bCs/>
                <w:sz w:val="21"/>
                <w:szCs w:val="21"/>
                <w:highlight w:val="none"/>
              </w:rPr>
            </w:pPr>
            <w:r>
              <w:rPr>
                <w:rFonts w:hint="eastAsia" w:ascii="宋体" w:hAnsi="宋体" w:eastAsia="宋体" w:cs="宋体"/>
                <w:bCs/>
                <w:sz w:val="21"/>
                <w:szCs w:val="21"/>
                <w:highlight w:val="none"/>
              </w:rPr>
              <w:t>（1）评标报价为投标人的投标报价进行政策性扣除后的价格，评标报价只是作为评标时使用。最终中标人的中标金额等于投标报价。</w:t>
            </w:r>
          </w:p>
          <w:p w14:paraId="28957A02">
            <w:pPr>
              <w:snapToGrid w:val="0"/>
              <w:spacing w:line="360" w:lineRule="auto"/>
              <w:ind w:firstLine="233" w:firstLineChars="111"/>
              <w:rPr>
                <w:rFonts w:hint="eastAsia" w:ascii="宋体" w:hAnsi="宋体" w:eastAsia="宋体" w:cs="宋体"/>
                <w:bCs/>
                <w:sz w:val="21"/>
                <w:szCs w:val="21"/>
                <w:highlight w:val="none"/>
              </w:rPr>
            </w:pPr>
            <w:r>
              <w:rPr>
                <w:rFonts w:hint="eastAsia" w:ascii="宋体" w:hAnsi="宋体" w:eastAsia="宋体" w:cs="宋体"/>
                <w:bCs/>
                <w:sz w:val="21"/>
                <w:szCs w:val="21"/>
                <w:highlight w:val="none"/>
              </w:rPr>
              <w:t>（2）政策性扣除计算方法。</w:t>
            </w:r>
          </w:p>
          <w:p w14:paraId="17000E7C">
            <w:pPr>
              <w:snapToGrid w:val="0"/>
              <w:spacing w:line="360" w:lineRule="auto"/>
              <w:ind w:firstLine="233" w:firstLineChars="111"/>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34AB1BE0">
            <w:pPr>
              <w:snapToGrid w:val="0"/>
              <w:spacing w:line="360" w:lineRule="auto"/>
              <w:ind w:firstLine="233" w:firstLineChars="111"/>
              <w:rPr>
                <w:rFonts w:hint="eastAsia" w:ascii="宋体" w:hAnsi="宋体" w:eastAsia="宋体" w:cs="宋体"/>
                <w:bCs/>
                <w:sz w:val="21"/>
                <w:szCs w:val="21"/>
                <w:highlight w:val="none"/>
              </w:rPr>
            </w:pPr>
            <w:r>
              <w:rPr>
                <w:rFonts w:hint="eastAsia" w:ascii="宋体" w:hAnsi="宋体" w:eastAsia="宋体" w:cs="宋体"/>
                <w:bCs/>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70B2067F">
            <w:pPr>
              <w:snapToGrid w:val="0"/>
              <w:spacing w:line="360" w:lineRule="auto"/>
              <w:ind w:firstLine="233" w:firstLineChars="111"/>
              <w:rPr>
                <w:rFonts w:hint="eastAsia" w:ascii="宋体" w:hAnsi="宋体" w:eastAsia="宋体" w:cs="宋体"/>
                <w:bCs/>
                <w:sz w:val="21"/>
                <w:szCs w:val="21"/>
                <w:highlight w:val="none"/>
              </w:rPr>
            </w:pPr>
            <w:r>
              <w:rPr>
                <w:rFonts w:hint="eastAsia" w:ascii="宋体" w:hAnsi="宋体" w:eastAsia="宋体" w:cs="宋体"/>
                <w:bCs/>
                <w:sz w:val="21"/>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56A8EAC">
            <w:pPr>
              <w:snapToGrid w:val="0"/>
              <w:spacing w:line="360" w:lineRule="auto"/>
              <w:ind w:firstLine="233" w:firstLineChars="111"/>
              <w:rPr>
                <w:rFonts w:hint="eastAsia" w:ascii="宋体" w:hAnsi="宋体" w:eastAsia="宋体" w:cs="宋体"/>
                <w:bCs/>
                <w:sz w:val="21"/>
                <w:szCs w:val="21"/>
                <w:highlight w:val="none"/>
              </w:rPr>
            </w:pPr>
            <w:r>
              <w:rPr>
                <w:rFonts w:hint="eastAsia" w:ascii="宋体" w:hAnsi="宋体" w:eastAsia="宋体" w:cs="宋体"/>
                <w:bCs/>
                <w:sz w:val="21"/>
                <w:szCs w:val="21"/>
                <w:highlight w:val="none"/>
              </w:rPr>
              <w:t>（5）满足招标文件要求且评标报价最低的为评标基准价，其价格分为满分。</w:t>
            </w:r>
          </w:p>
          <w:p w14:paraId="7EAF8106">
            <w:pPr>
              <w:spacing w:line="360" w:lineRule="auto"/>
              <w:ind w:firstLine="233" w:firstLineChars="111"/>
              <w:rPr>
                <w:rFonts w:hint="eastAsia" w:ascii="宋体" w:hAnsi="宋体" w:eastAsia="宋体" w:cs="宋体"/>
                <w:bCs/>
                <w:sz w:val="21"/>
                <w:szCs w:val="21"/>
                <w:highlight w:val="none"/>
              </w:rPr>
            </w:pPr>
            <w:r>
              <w:rPr>
                <w:rFonts w:hint="eastAsia" w:ascii="宋体" w:hAnsi="宋体" w:eastAsia="宋体" w:cs="宋体"/>
                <w:bCs/>
                <w:sz w:val="21"/>
                <w:szCs w:val="21"/>
                <w:highlight w:val="none"/>
              </w:rPr>
              <w:t xml:space="preserve">（6）价格分计算公式：        </w:t>
            </w:r>
          </w:p>
          <w:p w14:paraId="555B9397">
            <w:pPr>
              <w:bidi w:val="0"/>
              <w:spacing w:line="360" w:lineRule="auto"/>
              <w:jc w:val="center"/>
              <w:rPr>
                <w:rFonts w:hint="eastAsia" w:ascii="宋体" w:hAnsi="宋体" w:eastAsia="宋体" w:cs="宋体"/>
                <w:sz w:val="21"/>
                <w:szCs w:val="21"/>
                <w:highlight w:val="none"/>
              </w:rPr>
            </w:pPr>
            <w:r>
              <w:rPr>
                <w:rFonts w:hint="eastAsia" w:ascii="宋体" w:hAnsi="宋体" w:eastAsia="宋体" w:cs="宋体"/>
                <w:bCs/>
                <w:sz w:val="21"/>
                <w:szCs w:val="21"/>
                <w:highlight w:val="none"/>
              </w:rPr>
              <w:t>价格分=（评标基准价/评标报价）×</w:t>
            </w:r>
            <w:r>
              <w:rPr>
                <w:rFonts w:hint="eastAsia" w:ascii="宋体" w:hAnsi="宋体" w:eastAsia="宋体" w:cs="宋体"/>
                <w:bCs/>
                <w:sz w:val="21"/>
                <w:szCs w:val="21"/>
                <w:highlight w:val="none"/>
                <w:u w:val="single"/>
              </w:rPr>
              <w:t>30</w:t>
            </w:r>
            <w:r>
              <w:rPr>
                <w:rFonts w:hint="eastAsia" w:ascii="宋体" w:hAnsi="宋体" w:eastAsia="宋体" w:cs="宋体"/>
                <w:bCs/>
                <w:sz w:val="21"/>
                <w:szCs w:val="21"/>
                <w:highlight w:val="none"/>
              </w:rPr>
              <w:t>分</w:t>
            </w:r>
          </w:p>
        </w:tc>
      </w:tr>
      <w:tr w14:paraId="74DE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vMerge w:val="restart"/>
            <w:noWrap w:val="0"/>
            <w:vAlign w:val="center"/>
          </w:tcPr>
          <w:p w14:paraId="2B8D9D2B">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195" w:type="dxa"/>
            <w:vMerge w:val="restart"/>
            <w:noWrap w:val="0"/>
            <w:vAlign w:val="center"/>
          </w:tcPr>
          <w:p w14:paraId="14FEF59D">
            <w:pPr>
              <w:bidi w:val="0"/>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技术分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54分</w:t>
            </w:r>
            <w:r>
              <w:rPr>
                <w:rFonts w:hint="eastAsia" w:ascii="宋体" w:hAnsi="宋体" w:eastAsia="宋体" w:cs="宋体"/>
                <w:b w:val="0"/>
                <w:bCs w:val="0"/>
                <w:sz w:val="21"/>
                <w:szCs w:val="21"/>
                <w:lang w:eastAsia="zh-CN"/>
              </w:rPr>
              <w:t>）</w:t>
            </w:r>
          </w:p>
        </w:tc>
        <w:tc>
          <w:tcPr>
            <w:tcW w:w="1635" w:type="dxa"/>
            <w:noWrap w:val="0"/>
            <w:vAlign w:val="center"/>
          </w:tcPr>
          <w:p w14:paraId="6172A768">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技术</w:t>
            </w:r>
            <w:r>
              <w:rPr>
                <w:rFonts w:hint="eastAsia" w:ascii="宋体" w:hAnsi="宋体" w:eastAsia="宋体" w:cs="宋体"/>
                <w:b w:val="0"/>
                <w:bCs w:val="0"/>
                <w:kern w:val="0"/>
                <w:sz w:val="21"/>
                <w:szCs w:val="21"/>
                <w:lang w:val="en-US" w:eastAsia="zh-CN" w:bidi="ar"/>
              </w:rPr>
              <w:t>参数或性能指标</w:t>
            </w:r>
            <w:r>
              <w:rPr>
                <w:rFonts w:hint="eastAsia" w:ascii="宋体" w:hAnsi="宋体" w:eastAsia="宋体" w:cs="宋体"/>
                <w:b w:val="0"/>
                <w:bCs w:val="0"/>
                <w:sz w:val="21"/>
                <w:szCs w:val="21"/>
                <w:lang w:eastAsia="zh-CN"/>
              </w:rPr>
              <w:t>分（满分</w:t>
            </w:r>
            <w:r>
              <w:rPr>
                <w:rFonts w:hint="eastAsia" w:ascii="宋体" w:hAnsi="宋体" w:eastAsia="宋体" w:cs="宋体"/>
                <w:b w:val="0"/>
                <w:bCs w:val="0"/>
                <w:sz w:val="21"/>
                <w:szCs w:val="21"/>
                <w:lang w:val="en-US" w:eastAsia="zh-CN"/>
              </w:rPr>
              <w:t>36分</w:t>
            </w:r>
            <w:r>
              <w:rPr>
                <w:rFonts w:hint="eastAsia" w:ascii="宋体" w:hAnsi="宋体" w:eastAsia="宋体" w:cs="宋体"/>
                <w:b w:val="0"/>
                <w:bCs w:val="0"/>
                <w:sz w:val="21"/>
                <w:szCs w:val="21"/>
                <w:lang w:eastAsia="zh-CN"/>
              </w:rPr>
              <w:t>）</w:t>
            </w:r>
          </w:p>
        </w:tc>
        <w:tc>
          <w:tcPr>
            <w:tcW w:w="5985" w:type="dxa"/>
            <w:noWrap w:val="0"/>
            <w:vAlign w:val="center"/>
          </w:tcPr>
          <w:p w14:paraId="3B73D3E3">
            <w:pPr>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产品</w:t>
            </w:r>
            <w:r>
              <w:rPr>
                <w:rFonts w:hint="eastAsia" w:ascii="宋体" w:hAnsi="宋体" w:eastAsia="宋体" w:cs="宋体"/>
                <w:sz w:val="21"/>
                <w:szCs w:val="21"/>
                <w:lang w:eastAsia="zh-CN"/>
              </w:rPr>
              <w:t>技术</w:t>
            </w:r>
            <w:r>
              <w:rPr>
                <w:rFonts w:hint="eastAsia" w:ascii="宋体" w:hAnsi="宋体" w:eastAsia="宋体" w:cs="宋体"/>
                <w:sz w:val="21"/>
                <w:szCs w:val="21"/>
              </w:rPr>
              <w:t>参数完全满足招标文件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“技术性能、参数及有关要求”且无任何负偏离的得</w:t>
            </w:r>
            <w:r>
              <w:rPr>
                <w:rFonts w:hint="eastAsia" w:ascii="宋体" w:hAnsi="宋体" w:eastAsia="宋体" w:cs="宋体"/>
                <w:sz w:val="21"/>
                <w:szCs w:val="21"/>
                <w:lang w:val="en-US" w:eastAsia="zh-CN"/>
              </w:rPr>
              <w:t>36</w:t>
            </w:r>
            <w:r>
              <w:rPr>
                <w:rFonts w:hint="eastAsia" w:ascii="宋体" w:hAnsi="宋体" w:eastAsia="宋体" w:cs="宋体"/>
                <w:sz w:val="21"/>
                <w:szCs w:val="21"/>
              </w:rPr>
              <w:t>分；</w:t>
            </w:r>
            <w:r>
              <w:rPr>
                <w:rFonts w:hint="eastAsia" w:ascii="宋体" w:hAnsi="宋体" w:eastAsia="宋体" w:cs="宋体"/>
                <w:sz w:val="21"/>
                <w:szCs w:val="21"/>
                <w:lang w:eastAsia="zh-CN"/>
              </w:rPr>
              <w:t>投标</w:t>
            </w:r>
            <w:r>
              <w:rPr>
                <w:rFonts w:hint="eastAsia" w:ascii="宋体" w:hAnsi="宋体" w:eastAsia="宋体" w:cs="宋体"/>
                <w:sz w:val="21"/>
                <w:szCs w:val="21"/>
              </w:rPr>
              <w:t>产品参数不满足招标文件</w:t>
            </w:r>
            <w:r>
              <w:rPr>
                <w:rFonts w:hint="eastAsia" w:ascii="宋体" w:hAnsi="宋体" w:eastAsia="宋体" w:cs="宋体"/>
                <w:sz w:val="21"/>
                <w:szCs w:val="21"/>
                <w:lang w:eastAsia="zh-CN"/>
              </w:rPr>
              <w:t>的</w:t>
            </w:r>
            <w:r>
              <w:rPr>
                <w:rFonts w:hint="eastAsia" w:ascii="宋体" w:hAnsi="宋体" w:eastAsia="宋体" w:cs="宋体"/>
                <w:sz w:val="21"/>
                <w:szCs w:val="21"/>
              </w:rPr>
              <w:t>“技术性能、参数及有关要求”的，</w:t>
            </w:r>
            <w:r>
              <w:rPr>
                <w:rFonts w:hint="eastAsia" w:ascii="宋体" w:hAnsi="宋体" w:eastAsia="宋体" w:cs="宋体"/>
                <w:sz w:val="21"/>
                <w:szCs w:val="21"/>
                <w:lang w:eastAsia="zh-CN"/>
              </w:rPr>
              <w:t>即存在负偏离的，</w:t>
            </w:r>
            <w:r>
              <w:rPr>
                <w:rFonts w:hint="eastAsia" w:ascii="宋体" w:hAnsi="宋体" w:eastAsia="宋体" w:cs="宋体"/>
                <w:sz w:val="21"/>
                <w:szCs w:val="21"/>
              </w:rPr>
              <w:t>每一项扣</w:t>
            </w:r>
            <w:r>
              <w:rPr>
                <w:rFonts w:hint="eastAsia" w:ascii="宋体" w:hAnsi="宋体" w:eastAsia="宋体" w:cs="宋体"/>
                <w:sz w:val="21"/>
                <w:szCs w:val="21"/>
                <w:lang w:val="en-US" w:eastAsia="zh-CN"/>
              </w:rPr>
              <w:t>2</w:t>
            </w:r>
            <w:r>
              <w:rPr>
                <w:rFonts w:hint="eastAsia" w:ascii="宋体" w:hAnsi="宋体" w:eastAsia="宋体" w:cs="宋体"/>
                <w:sz w:val="21"/>
                <w:szCs w:val="21"/>
              </w:rPr>
              <w:t>分，扣完</w:t>
            </w:r>
            <w:r>
              <w:rPr>
                <w:rFonts w:hint="eastAsia" w:ascii="宋体" w:hAnsi="宋体" w:eastAsia="宋体" w:cs="宋体"/>
                <w:sz w:val="21"/>
                <w:szCs w:val="21"/>
                <w:lang w:val="en-US" w:eastAsia="zh-CN"/>
              </w:rPr>
              <w:t>36分为止</w:t>
            </w:r>
            <w:r>
              <w:rPr>
                <w:rFonts w:hint="eastAsia" w:ascii="宋体" w:hAnsi="宋体" w:eastAsia="宋体" w:cs="宋体"/>
                <w:sz w:val="21"/>
                <w:szCs w:val="21"/>
              </w:rPr>
              <w:t>。</w:t>
            </w:r>
          </w:p>
          <w:p w14:paraId="35CC01C0">
            <w:pPr>
              <w:pStyle w:val="17"/>
              <w:spacing w:line="360" w:lineRule="auto"/>
              <w:rPr>
                <w:rFonts w:hint="eastAsia" w:ascii="宋体" w:hAnsi="宋体" w:eastAsia="宋体" w:cs="宋体"/>
                <w:sz w:val="21"/>
                <w:szCs w:val="21"/>
                <w:lang w:eastAsia="zh-CN"/>
              </w:rPr>
            </w:pPr>
            <w:r>
              <w:rPr>
                <w:rFonts w:hint="eastAsia" w:ascii="宋体" w:hAnsi="宋体" w:eastAsia="宋体" w:cs="宋体"/>
                <w:b/>
                <w:bCs w:val="0"/>
                <w:kern w:val="2"/>
                <w:sz w:val="21"/>
                <w:szCs w:val="21"/>
                <w:lang w:val="en-US" w:eastAsia="zh-CN" w:bidi="ar"/>
              </w:rPr>
              <w:t>注：①第二章“技术性能、参数及有关要求”中标注“▲”为实质性要求项，经评审认定负偏离的，投标无效。②第二章“</w:t>
            </w:r>
            <w:r>
              <w:rPr>
                <w:rFonts w:hint="eastAsia" w:ascii="宋体" w:hAnsi="宋体" w:eastAsia="宋体" w:cs="宋体"/>
                <w:b/>
                <w:bCs/>
                <w:color w:val="auto"/>
                <w:sz w:val="21"/>
                <w:szCs w:val="21"/>
                <w:highlight w:val="none"/>
              </w:rPr>
              <w:t>技术性能、参数及有关要求</w:t>
            </w:r>
            <w:r>
              <w:rPr>
                <w:rFonts w:hint="eastAsia" w:ascii="宋体" w:hAnsi="宋体" w:eastAsia="宋体" w:cs="宋体"/>
                <w:b/>
                <w:bCs w:val="0"/>
                <w:kern w:val="2"/>
                <w:sz w:val="21"/>
                <w:szCs w:val="21"/>
                <w:lang w:val="en-US" w:eastAsia="zh-CN" w:bidi="ar"/>
              </w:rPr>
              <w:t>”中要求提供产品检测报告或生产厂家官方网站产品技术参数截图等相关佐证材料的，投标人未按要求提供佐证材料或提供的佐证材料不符合招标文件技术参数要求的，视为负偏离。</w:t>
            </w:r>
          </w:p>
        </w:tc>
      </w:tr>
      <w:tr w14:paraId="7B1C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vMerge w:val="continue"/>
            <w:noWrap w:val="0"/>
            <w:vAlign w:val="center"/>
          </w:tcPr>
          <w:p w14:paraId="72513FA9">
            <w:pPr>
              <w:bidi w:val="0"/>
              <w:jc w:val="center"/>
              <w:rPr>
                <w:rFonts w:hint="eastAsia" w:ascii="宋体" w:hAnsi="宋体" w:eastAsia="宋体" w:cs="宋体"/>
                <w:sz w:val="21"/>
                <w:szCs w:val="21"/>
                <w:lang w:eastAsia="zh-CN"/>
              </w:rPr>
            </w:pPr>
          </w:p>
        </w:tc>
        <w:tc>
          <w:tcPr>
            <w:tcW w:w="1195" w:type="dxa"/>
            <w:vMerge w:val="continue"/>
            <w:noWrap w:val="0"/>
            <w:vAlign w:val="center"/>
          </w:tcPr>
          <w:p w14:paraId="46F6FFB5">
            <w:pPr>
              <w:bidi w:val="0"/>
              <w:jc w:val="center"/>
              <w:rPr>
                <w:rFonts w:hint="eastAsia" w:ascii="宋体" w:hAnsi="宋体" w:eastAsia="宋体" w:cs="宋体"/>
                <w:b w:val="0"/>
                <w:bCs w:val="0"/>
                <w:sz w:val="21"/>
                <w:szCs w:val="21"/>
                <w:lang w:eastAsia="zh-CN"/>
              </w:rPr>
            </w:pPr>
          </w:p>
        </w:tc>
        <w:tc>
          <w:tcPr>
            <w:tcW w:w="1635" w:type="dxa"/>
            <w:noWrap w:val="0"/>
            <w:vAlign w:val="center"/>
          </w:tcPr>
          <w:p w14:paraId="3B555DA8">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实施方案分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18分</w:t>
            </w:r>
            <w:r>
              <w:rPr>
                <w:rFonts w:hint="eastAsia" w:ascii="宋体" w:hAnsi="宋体" w:eastAsia="宋体" w:cs="宋体"/>
                <w:b w:val="0"/>
                <w:bCs w:val="0"/>
                <w:sz w:val="21"/>
                <w:szCs w:val="21"/>
                <w:lang w:eastAsia="zh-CN"/>
              </w:rPr>
              <w:t>）</w:t>
            </w:r>
          </w:p>
        </w:tc>
        <w:tc>
          <w:tcPr>
            <w:tcW w:w="5985" w:type="dxa"/>
            <w:noWrap w:val="0"/>
            <w:vAlign w:val="center"/>
          </w:tcPr>
          <w:p w14:paraId="3D20BA69">
            <w:pPr>
              <w:bidi w:val="0"/>
              <w:spacing w:line="360" w:lineRule="auto"/>
              <w:jc w:val="left"/>
              <w:rPr>
                <w:rFonts w:hint="eastAsia" w:ascii="宋体" w:hAnsi="宋体" w:eastAsia="宋体" w:cs="宋体"/>
                <w:b/>
                <w:bCs/>
                <w:sz w:val="21"/>
                <w:szCs w:val="21"/>
                <w:lang w:eastAsia="zh-CN"/>
              </w:rPr>
            </w:pPr>
            <w:r>
              <w:rPr>
                <w:rFonts w:hint="eastAsia" w:ascii="宋体" w:hAnsi="宋体" w:eastAsia="宋体" w:cs="宋体"/>
                <w:b w:val="0"/>
                <w:bCs w:val="0"/>
                <w:sz w:val="21"/>
                <w:szCs w:val="21"/>
                <w:lang w:eastAsia="zh-CN"/>
              </w:rPr>
              <w:t>由评标委员在相应档次内独立打分，未提供实施方案或实施方案不满足一档评审标准的，得0分</w:t>
            </w:r>
            <w:r>
              <w:rPr>
                <w:rFonts w:hint="eastAsia" w:ascii="宋体" w:hAnsi="宋体" w:eastAsia="宋体" w:cs="宋体"/>
                <w:b/>
                <w:bCs/>
                <w:sz w:val="21"/>
                <w:szCs w:val="21"/>
                <w:lang w:eastAsia="zh-CN"/>
              </w:rPr>
              <w:t>：</w:t>
            </w:r>
          </w:p>
          <w:p w14:paraId="477681E7">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一</w:t>
            </w:r>
            <w:r>
              <w:rPr>
                <w:rFonts w:hint="eastAsia" w:ascii="宋体" w:hAnsi="宋体" w:eastAsia="宋体" w:cs="宋体"/>
                <w:sz w:val="21"/>
                <w:szCs w:val="21"/>
              </w:rPr>
              <w:t>档 (</w:t>
            </w:r>
            <w:r>
              <w:rPr>
                <w:rFonts w:hint="eastAsia" w:ascii="宋体" w:hAnsi="宋体" w:eastAsia="宋体" w:cs="宋体"/>
                <w:sz w:val="21"/>
                <w:szCs w:val="21"/>
                <w:lang w:val="en-US" w:eastAsia="zh-CN"/>
              </w:rPr>
              <w:t>6</w:t>
            </w:r>
            <w:r>
              <w:rPr>
                <w:rFonts w:hint="eastAsia" w:ascii="宋体" w:hAnsi="宋体" w:eastAsia="宋体" w:cs="宋体"/>
                <w:sz w:val="21"/>
                <w:szCs w:val="21"/>
              </w:rPr>
              <w:t>分)：实施方案较为简单，对项目实施目标、实施过程、实现思路有基本描述，对</w:t>
            </w:r>
            <w:r>
              <w:rPr>
                <w:rFonts w:hint="eastAsia" w:ascii="宋体" w:hAnsi="宋体" w:eastAsia="宋体" w:cs="宋体"/>
                <w:sz w:val="21"/>
                <w:szCs w:val="21"/>
                <w:lang w:eastAsia="zh-CN"/>
              </w:rPr>
              <w:t>园区智能化设备</w:t>
            </w:r>
            <w:r>
              <w:rPr>
                <w:rFonts w:hint="eastAsia" w:ascii="宋体" w:hAnsi="宋体" w:eastAsia="宋体" w:cs="宋体"/>
                <w:sz w:val="21"/>
                <w:szCs w:val="21"/>
              </w:rPr>
              <w:t>的</w:t>
            </w:r>
            <w:r>
              <w:rPr>
                <w:rFonts w:hint="eastAsia" w:ascii="宋体" w:hAnsi="宋体" w:eastAsia="宋体" w:cs="宋体"/>
                <w:sz w:val="21"/>
                <w:szCs w:val="21"/>
                <w:lang w:eastAsia="zh-CN"/>
              </w:rPr>
              <w:t>产品及安装</w:t>
            </w:r>
            <w:r>
              <w:rPr>
                <w:rFonts w:hint="eastAsia" w:ascii="宋体" w:hAnsi="宋体" w:eastAsia="宋体" w:cs="宋体"/>
                <w:sz w:val="21"/>
                <w:szCs w:val="21"/>
              </w:rPr>
              <w:t>质量保障措施、进度安排、安全防范、组织机构等有简</w:t>
            </w:r>
            <w:r>
              <w:rPr>
                <w:rFonts w:hint="eastAsia" w:ascii="宋体" w:hAnsi="宋体" w:eastAsia="宋体" w:cs="宋体"/>
                <w:sz w:val="21"/>
                <w:szCs w:val="21"/>
                <w:lang w:eastAsia="zh-CN"/>
              </w:rPr>
              <w:t>略</w:t>
            </w:r>
            <w:r>
              <w:rPr>
                <w:rFonts w:hint="eastAsia" w:ascii="宋体" w:hAnsi="宋体" w:eastAsia="宋体" w:cs="宋体"/>
                <w:sz w:val="21"/>
                <w:szCs w:val="21"/>
              </w:rPr>
              <w:t>描述，实施性一般。</w:t>
            </w:r>
          </w:p>
          <w:p w14:paraId="505E62E2">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二</w:t>
            </w:r>
            <w:r>
              <w:rPr>
                <w:rFonts w:hint="eastAsia" w:ascii="宋体" w:hAnsi="宋体" w:eastAsia="宋体" w:cs="宋体"/>
                <w:sz w:val="21"/>
                <w:szCs w:val="21"/>
              </w:rPr>
              <w:t>档 (1</w:t>
            </w: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 分)：实施方案基本满足项目实施要求，对项目实施目标、</w:t>
            </w:r>
            <w:r>
              <w:rPr>
                <w:rFonts w:hint="eastAsia" w:ascii="宋体" w:hAnsi="宋体" w:eastAsia="宋体" w:cs="宋体"/>
                <w:sz w:val="21"/>
                <w:szCs w:val="21"/>
                <w:lang w:eastAsia="zh-CN"/>
              </w:rPr>
              <w:t>园区智能化系统建设架构设计（能提供实现园区智能化的系统架构图）基本合理、</w:t>
            </w:r>
            <w:r>
              <w:rPr>
                <w:rFonts w:hint="eastAsia" w:ascii="宋体" w:hAnsi="宋体" w:eastAsia="宋体" w:cs="宋体"/>
                <w:sz w:val="21"/>
                <w:szCs w:val="21"/>
              </w:rPr>
              <w:t>实现思路</w:t>
            </w:r>
            <w:r>
              <w:rPr>
                <w:rFonts w:hint="eastAsia" w:ascii="宋体" w:hAnsi="宋体" w:eastAsia="宋体" w:cs="宋体"/>
                <w:sz w:val="21"/>
                <w:szCs w:val="21"/>
                <w:lang w:eastAsia="zh-CN"/>
              </w:rPr>
              <w:t>总体基本符合园区总体要求，</w:t>
            </w:r>
            <w:r>
              <w:rPr>
                <w:rFonts w:hint="eastAsia" w:ascii="宋体" w:hAnsi="宋体" w:eastAsia="宋体" w:cs="宋体"/>
                <w:sz w:val="21"/>
                <w:szCs w:val="21"/>
              </w:rPr>
              <w:t>对</w:t>
            </w:r>
            <w:r>
              <w:rPr>
                <w:rFonts w:hint="eastAsia" w:ascii="宋体" w:hAnsi="宋体" w:eastAsia="宋体" w:cs="宋体"/>
                <w:sz w:val="21"/>
                <w:szCs w:val="21"/>
                <w:lang w:eastAsia="zh-CN"/>
              </w:rPr>
              <w:t>园区智能化设备</w:t>
            </w:r>
            <w:r>
              <w:rPr>
                <w:rFonts w:hint="eastAsia" w:ascii="宋体" w:hAnsi="宋体" w:eastAsia="宋体" w:cs="宋体"/>
                <w:sz w:val="21"/>
                <w:szCs w:val="21"/>
              </w:rPr>
              <w:t>的</w:t>
            </w:r>
            <w:r>
              <w:rPr>
                <w:rFonts w:hint="eastAsia" w:ascii="宋体" w:hAnsi="宋体" w:eastAsia="宋体" w:cs="宋体"/>
                <w:sz w:val="21"/>
                <w:szCs w:val="21"/>
                <w:lang w:eastAsia="zh-CN"/>
              </w:rPr>
              <w:t>产品及安装</w:t>
            </w:r>
            <w:r>
              <w:rPr>
                <w:rFonts w:hint="eastAsia" w:ascii="宋体" w:hAnsi="宋体" w:eastAsia="宋体" w:cs="宋体"/>
                <w:sz w:val="21"/>
                <w:szCs w:val="21"/>
              </w:rPr>
              <w:t>质量保障措施、进度计划、安全施工保障、项目验收方案、风险防范及应急方案、组织机构安排及分工与职责安排等有较详细描述；能提出项目实施中的难点和实施重点，并提出简单的解决方案。</w:t>
            </w:r>
          </w:p>
          <w:p w14:paraId="1F299A9F">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三</w:t>
            </w:r>
            <w:r>
              <w:rPr>
                <w:rFonts w:hint="eastAsia" w:ascii="宋体" w:hAnsi="宋体" w:eastAsia="宋体" w:cs="宋体"/>
                <w:sz w:val="21"/>
                <w:szCs w:val="21"/>
              </w:rPr>
              <w:t>档 (1</w:t>
            </w:r>
            <w:r>
              <w:rPr>
                <w:rFonts w:hint="eastAsia" w:ascii="宋体" w:hAnsi="宋体" w:eastAsia="宋体" w:cs="宋体"/>
                <w:sz w:val="21"/>
                <w:szCs w:val="21"/>
                <w:lang w:val="en-US" w:eastAsia="zh-CN"/>
              </w:rPr>
              <w:t>8</w:t>
            </w:r>
            <w:r>
              <w:rPr>
                <w:rFonts w:hint="eastAsia" w:ascii="宋体" w:hAnsi="宋体" w:eastAsia="宋体" w:cs="宋体"/>
                <w:sz w:val="21"/>
                <w:szCs w:val="21"/>
              </w:rPr>
              <w:t xml:space="preserve"> 分)：实施方案对项目实施目标、</w:t>
            </w:r>
            <w:r>
              <w:rPr>
                <w:rFonts w:hint="eastAsia" w:ascii="宋体" w:hAnsi="宋体" w:eastAsia="宋体" w:cs="宋体"/>
                <w:sz w:val="21"/>
                <w:szCs w:val="21"/>
                <w:lang w:eastAsia="zh-CN"/>
              </w:rPr>
              <w:t>园区智能化系统建设架构设计（能提供实现园区智能化的系统架构图）科学、合理、</w:t>
            </w:r>
            <w:r>
              <w:rPr>
                <w:rFonts w:hint="eastAsia" w:ascii="宋体" w:hAnsi="宋体" w:eastAsia="宋体" w:cs="宋体"/>
                <w:sz w:val="21"/>
                <w:szCs w:val="21"/>
              </w:rPr>
              <w:t>实现思路</w:t>
            </w:r>
            <w:r>
              <w:rPr>
                <w:rFonts w:hint="eastAsia" w:ascii="宋体" w:hAnsi="宋体" w:eastAsia="宋体" w:cs="宋体"/>
                <w:sz w:val="21"/>
                <w:szCs w:val="21"/>
                <w:lang w:eastAsia="zh-CN"/>
              </w:rPr>
              <w:t>总体完全符合园区总体智能化要求</w:t>
            </w:r>
            <w:r>
              <w:rPr>
                <w:rFonts w:hint="eastAsia" w:ascii="宋体" w:hAnsi="宋体" w:eastAsia="宋体" w:cs="宋体"/>
                <w:sz w:val="21"/>
                <w:szCs w:val="21"/>
              </w:rPr>
              <w:t>；对</w:t>
            </w:r>
            <w:r>
              <w:rPr>
                <w:rFonts w:hint="eastAsia" w:ascii="宋体" w:hAnsi="宋体" w:eastAsia="宋体" w:cs="宋体"/>
                <w:sz w:val="21"/>
                <w:szCs w:val="21"/>
                <w:lang w:eastAsia="zh-CN"/>
              </w:rPr>
              <w:t>园区智能化设备</w:t>
            </w:r>
            <w:r>
              <w:rPr>
                <w:rFonts w:hint="eastAsia" w:ascii="宋体" w:hAnsi="宋体" w:eastAsia="宋体" w:cs="宋体"/>
                <w:sz w:val="21"/>
                <w:szCs w:val="21"/>
              </w:rPr>
              <w:t>的</w:t>
            </w:r>
            <w:r>
              <w:rPr>
                <w:rFonts w:hint="eastAsia" w:ascii="宋体" w:hAnsi="宋体" w:eastAsia="宋体" w:cs="宋体"/>
                <w:sz w:val="21"/>
                <w:szCs w:val="21"/>
                <w:lang w:eastAsia="zh-CN"/>
              </w:rPr>
              <w:t>产品及安装</w:t>
            </w:r>
            <w:r>
              <w:rPr>
                <w:rFonts w:hint="eastAsia" w:ascii="宋体" w:hAnsi="宋体" w:eastAsia="宋体" w:cs="宋体"/>
                <w:sz w:val="21"/>
                <w:szCs w:val="21"/>
              </w:rPr>
              <w:t>质量保障措施、进度计划、安全施工保障、项目验收方案、风险防范及应急方案、组织机构安排及分工与职责安排等有详细描述、针对性强；能提出项目实施中的难点和实施重点，并提出有效的解决方案；对本项目的风险预见及风险应对有具体措施。整体方案能够体现出投标人对本项目有专业的理解和对同类项目有丰富实施经验。</w:t>
            </w:r>
          </w:p>
        </w:tc>
      </w:tr>
      <w:tr w14:paraId="7C80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vMerge w:val="restart"/>
            <w:noWrap w:val="0"/>
            <w:vAlign w:val="center"/>
          </w:tcPr>
          <w:p w14:paraId="2886C155">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195" w:type="dxa"/>
            <w:vMerge w:val="restart"/>
            <w:noWrap w:val="0"/>
            <w:vAlign w:val="center"/>
          </w:tcPr>
          <w:p w14:paraId="0BA64C55">
            <w:pPr>
              <w:bidi w:val="0"/>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商务分（满分</w:t>
            </w:r>
            <w:r>
              <w:rPr>
                <w:rFonts w:hint="eastAsia" w:ascii="宋体" w:hAnsi="宋体" w:eastAsia="宋体" w:cs="宋体"/>
                <w:b w:val="0"/>
                <w:bCs w:val="0"/>
                <w:sz w:val="21"/>
                <w:szCs w:val="21"/>
                <w:lang w:val="en-US" w:eastAsia="zh-CN"/>
              </w:rPr>
              <w:t>14分</w:t>
            </w:r>
            <w:r>
              <w:rPr>
                <w:rFonts w:hint="eastAsia" w:ascii="宋体" w:hAnsi="宋体" w:eastAsia="宋体" w:cs="宋体"/>
                <w:b w:val="0"/>
                <w:bCs w:val="0"/>
                <w:sz w:val="21"/>
                <w:szCs w:val="21"/>
                <w:lang w:eastAsia="zh-CN"/>
              </w:rPr>
              <w:t>）</w:t>
            </w:r>
          </w:p>
        </w:tc>
        <w:tc>
          <w:tcPr>
            <w:tcW w:w="1635" w:type="dxa"/>
            <w:noWrap w:val="0"/>
            <w:vAlign w:val="center"/>
          </w:tcPr>
          <w:p w14:paraId="6583ADC3">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售后服务方案分（满分</w:t>
            </w:r>
            <w:r>
              <w:rPr>
                <w:rFonts w:hint="eastAsia" w:ascii="宋体" w:hAnsi="宋体" w:eastAsia="宋体" w:cs="宋体"/>
                <w:b w:val="0"/>
                <w:bCs w:val="0"/>
                <w:sz w:val="21"/>
                <w:szCs w:val="21"/>
                <w:lang w:val="en-US" w:eastAsia="zh-CN"/>
              </w:rPr>
              <w:t>12分</w:t>
            </w:r>
            <w:r>
              <w:rPr>
                <w:rFonts w:hint="eastAsia" w:ascii="宋体" w:hAnsi="宋体" w:eastAsia="宋体" w:cs="宋体"/>
                <w:b w:val="0"/>
                <w:bCs w:val="0"/>
                <w:sz w:val="21"/>
                <w:szCs w:val="21"/>
                <w:lang w:eastAsia="zh-CN"/>
              </w:rPr>
              <w:t>）</w:t>
            </w:r>
          </w:p>
        </w:tc>
        <w:tc>
          <w:tcPr>
            <w:tcW w:w="5985" w:type="dxa"/>
            <w:noWrap w:val="0"/>
            <w:vAlign w:val="center"/>
          </w:tcPr>
          <w:p w14:paraId="32F9F741">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由评标委员在相应档次内独立打分，未提供售后服务方案或售后服务方案不满足一档评审标准的，得0分：</w:t>
            </w:r>
          </w:p>
          <w:p w14:paraId="3F431F3E">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一档（4分）：售后服务方案对“到达故障现场时间、故障出现解决方案、定期维护、免费技术培训方案、质保期维护方案</w:t>
            </w:r>
            <w:r>
              <w:rPr>
                <w:rFonts w:hint="eastAsia" w:ascii="宋体" w:hAnsi="宋体" w:eastAsia="宋体" w:cs="宋体"/>
                <w:sz w:val="21"/>
                <w:szCs w:val="21"/>
                <w:lang w:eastAsia="zh-CN"/>
              </w:rPr>
              <w:t>、备品备件</w:t>
            </w:r>
            <w:r>
              <w:rPr>
                <w:rFonts w:hint="eastAsia" w:ascii="宋体" w:hAnsi="宋体" w:eastAsia="宋体" w:cs="宋体"/>
                <w:sz w:val="21"/>
                <w:szCs w:val="21"/>
              </w:rPr>
              <w:t>”等基本满足招标文件</w:t>
            </w:r>
            <w:r>
              <w:rPr>
                <w:rFonts w:hint="eastAsia" w:ascii="宋体" w:hAnsi="宋体" w:eastAsia="宋体" w:cs="宋体"/>
                <w:sz w:val="21"/>
                <w:szCs w:val="21"/>
                <w:lang w:eastAsia="zh-CN"/>
              </w:rPr>
              <w:t>售后服务</w:t>
            </w:r>
            <w:r>
              <w:rPr>
                <w:rFonts w:hint="eastAsia" w:ascii="宋体" w:hAnsi="宋体" w:eastAsia="宋体" w:cs="宋体"/>
                <w:sz w:val="21"/>
                <w:szCs w:val="21"/>
              </w:rPr>
              <w:t xml:space="preserve">要求。 </w:t>
            </w:r>
          </w:p>
          <w:p w14:paraId="5240A991">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二档（8分）：售后服务方案对“到达故障现场时间、故障出现解决方案、定期维护、免费技术培训方案、质保期维护方案、其他优惠措施</w:t>
            </w:r>
            <w:r>
              <w:rPr>
                <w:rFonts w:hint="eastAsia" w:ascii="宋体" w:hAnsi="宋体" w:eastAsia="宋体" w:cs="宋体"/>
                <w:sz w:val="21"/>
                <w:szCs w:val="21"/>
                <w:lang w:eastAsia="zh-CN"/>
              </w:rPr>
              <w:t>、备品备件</w:t>
            </w:r>
            <w:r>
              <w:rPr>
                <w:rFonts w:hint="eastAsia" w:ascii="宋体" w:hAnsi="宋体" w:eastAsia="宋体" w:cs="宋体"/>
                <w:sz w:val="21"/>
                <w:szCs w:val="21"/>
              </w:rPr>
              <w:t>”等内容的描述完整，方案整体描述细致、合理、可行，保障响应措施到位；设立有固定售后服务场所，并提供7×24</w:t>
            </w:r>
            <w:r>
              <w:rPr>
                <w:rFonts w:hint="eastAsia" w:ascii="宋体" w:hAnsi="宋体" w:cs="宋体"/>
                <w:sz w:val="21"/>
                <w:szCs w:val="21"/>
                <w:lang w:val="en-US" w:eastAsia="zh-CN"/>
              </w:rPr>
              <w:t>小时</w:t>
            </w:r>
            <w:r>
              <w:rPr>
                <w:rFonts w:hint="eastAsia" w:ascii="宋体" w:hAnsi="宋体" w:eastAsia="宋体" w:cs="宋体"/>
                <w:sz w:val="21"/>
                <w:szCs w:val="21"/>
              </w:rPr>
              <w:t xml:space="preserve">售后服务热线，响应时间短，快捷、迅速，有详细的售后服务方案、售后服务流程。  </w:t>
            </w:r>
          </w:p>
          <w:p w14:paraId="1A994FC4">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12分）：在满足招标文件要求的基础上，售后服务方案中能提供技术培训具体计划，设立有固定售后服务场所及售后服务团队，并提供7×24小时售后服务热线，响应时间短，快捷、迅速，有详细的售后服务方案</w:t>
            </w:r>
            <w:r>
              <w:rPr>
                <w:rFonts w:hint="eastAsia" w:ascii="宋体" w:hAnsi="宋体" w:eastAsia="宋体" w:cs="宋体"/>
                <w:bCs/>
                <w:color w:val="auto"/>
                <w:szCs w:val="21"/>
                <w:highlight w:val="none"/>
              </w:rPr>
              <w:t>（包括故障处理、上门维护、紧急维护、重要服务、电话维护、主动巡检等）</w:t>
            </w:r>
            <w:r>
              <w:rPr>
                <w:rFonts w:hint="eastAsia" w:ascii="宋体" w:hAnsi="宋体" w:eastAsia="宋体" w:cs="宋体"/>
                <w:sz w:val="21"/>
                <w:szCs w:val="21"/>
              </w:rPr>
              <w:t>、售后服务流程；建立有售后应急预案、质量保障，有完善的售后服务机制，能为采购人提供优质的快捷服务。</w:t>
            </w:r>
          </w:p>
        </w:tc>
      </w:tr>
      <w:tr w14:paraId="1D2C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vMerge w:val="continue"/>
            <w:noWrap w:val="0"/>
            <w:vAlign w:val="center"/>
          </w:tcPr>
          <w:p w14:paraId="7B7CD967">
            <w:pPr>
              <w:bidi w:val="0"/>
              <w:jc w:val="center"/>
              <w:rPr>
                <w:rFonts w:hint="eastAsia" w:ascii="宋体" w:hAnsi="宋体" w:eastAsia="宋体" w:cs="宋体"/>
                <w:sz w:val="21"/>
                <w:szCs w:val="21"/>
                <w:lang w:eastAsia="zh-CN"/>
              </w:rPr>
            </w:pPr>
          </w:p>
        </w:tc>
        <w:tc>
          <w:tcPr>
            <w:tcW w:w="1195" w:type="dxa"/>
            <w:vMerge w:val="continue"/>
            <w:noWrap w:val="0"/>
            <w:vAlign w:val="center"/>
          </w:tcPr>
          <w:p w14:paraId="74FD8537">
            <w:pPr>
              <w:bidi w:val="0"/>
              <w:jc w:val="center"/>
              <w:rPr>
                <w:rFonts w:hint="eastAsia" w:ascii="宋体" w:hAnsi="宋体" w:eastAsia="宋体" w:cs="宋体"/>
                <w:sz w:val="21"/>
                <w:szCs w:val="21"/>
                <w:lang w:eastAsia="zh-CN"/>
              </w:rPr>
            </w:pPr>
          </w:p>
        </w:tc>
        <w:tc>
          <w:tcPr>
            <w:tcW w:w="1635" w:type="dxa"/>
            <w:noWrap w:val="0"/>
            <w:vAlign w:val="center"/>
          </w:tcPr>
          <w:p w14:paraId="3F50EC63">
            <w:pPr>
              <w:adjustRightInd w:val="0"/>
              <w:spacing w:line="360" w:lineRule="exact"/>
              <w:jc w:val="center"/>
              <w:textAlignment w:val="baseline"/>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业绩分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5985" w:type="dxa"/>
            <w:noWrap w:val="0"/>
            <w:vAlign w:val="center"/>
          </w:tcPr>
          <w:p w14:paraId="3FEEB728">
            <w:pPr>
              <w:pStyle w:val="11"/>
              <w:spacing w:line="36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投标人2021年1月至今（近三年）承接的类似产品业绩（类似产品业绩是指包含一项或多项与本包投标产品相应的业绩。投标文件中提供有效的合同复印件并加盖投标人公章，合同复印件需要体现出</w:t>
            </w:r>
            <w:r>
              <w:rPr>
                <w:rFonts w:hint="eastAsia" w:ascii="宋体" w:hAnsi="宋体" w:cs="宋体"/>
                <w:kern w:val="2"/>
                <w:sz w:val="21"/>
                <w:szCs w:val="21"/>
                <w:lang w:val="en-US" w:eastAsia="zh-CN" w:bidi="ar-SA"/>
              </w:rPr>
              <w:t>合同首页、</w:t>
            </w:r>
            <w:r>
              <w:rPr>
                <w:rFonts w:hint="eastAsia" w:ascii="宋体" w:hAnsi="宋体" w:eastAsia="宋体" w:cs="宋体"/>
                <w:kern w:val="2"/>
                <w:sz w:val="21"/>
                <w:szCs w:val="21"/>
                <w:lang w:val="en-US" w:eastAsia="zh-CN" w:bidi="ar-SA"/>
              </w:rPr>
              <w:t>采购内容和日期</w:t>
            </w:r>
            <w:r>
              <w:rPr>
                <w:rFonts w:hint="eastAsia" w:ascii="宋体" w:hAnsi="宋体" w:cs="宋体"/>
                <w:kern w:val="2"/>
                <w:sz w:val="21"/>
                <w:szCs w:val="21"/>
                <w:lang w:val="en-US" w:eastAsia="zh-CN" w:bidi="ar-SA"/>
              </w:rPr>
              <w:t>、盖章页</w:t>
            </w:r>
            <w:r>
              <w:rPr>
                <w:rFonts w:hint="eastAsia" w:ascii="宋体" w:hAnsi="宋体" w:eastAsia="宋体" w:cs="宋体"/>
                <w:kern w:val="2"/>
                <w:sz w:val="21"/>
                <w:szCs w:val="21"/>
                <w:lang w:val="en-US" w:eastAsia="zh-CN" w:bidi="ar-SA"/>
              </w:rPr>
              <w:t>），每份得1分，满分2分。</w:t>
            </w:r>
          </w:p>
        </w:tc>
      </w:tr>
      <w:tr w14:paraId="10B1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noWrap w:val="0"/>
            <w:vAlign w:val="center"/>
          </w:tcPr>
          <w:p w14:paraId="63DC5EEE">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195" w:type="dxa"/>
            <w:noWrap w:val="0"/>
            <w:vAlign w:val="center"/>
          </w:tcPr>
          <w:p w14:paraId="7BCFEF8B">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政</w:t>
            </w:r>
            <w:r>
              <w:rPr>
                <w:rFonts w:hint="eastAsia" w:ascii="宋体" w:hAnsi="宋体" w:eastAsia="宋体" w:cs="宋体"/>
                <w:b w:val="0"/>
                <w:bCs w:val="0"/>
                <w:sz w:val="21"/>
                <w:szCs w:val="21"/>
                <w:lang w:eastAsia="zh-CN"/>
              </w:rPr>
              <w:t>策分（满分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1635" w:type="dxa"/>
            <w:noWrap w:val="0"/>
            <w:vAlign w:val="center"/>
          </w:tcPr>
          <w:p w14:paraId="6AFEAA02">
            <w:pPr>
              <w:adjustRightInd w:val="0"/>
              <w:spacing w:line="360" w:lineRule="exact"/>
              <w:jc w:val="center"/>
              <w:textAlignment w:val="baseline"/>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节能环保分（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kern w:val="2"/>
                <w:sz w:val="21"/>
                <w:szCs w:val="21"/>
                <w:lang w:val="en-US" w:eastAsia="zh-CN" w:bidi="ar-SA"/>
              </w:rPr>
              <w:t>）</w:t>
            </w:r>
          </w:p>
        </w:tc>
        <w:tc>
          <w:tcPr>
            <w:tcW w:w="5985" w:type="dxa"/>
            <w:noWrap w:val="0"/>
            <w:vAlign w:val="center"/>
          </w:tcPr>
          <w:p w14:paraId="1DF4098B">
            <w:pPr>
              <w:pStyle w:val="11"/>
              <w:spacing w:line="36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产品属于财政部《节能产品政府采购品目清单》内优先采购（清单内未标注“★”的品目）的产品[投标文件中提供有效的认证证书复印件及品目清单（标注出投标产品在品目清单中所属的品目）]的得0.5分，满分1分。</w:t>
            </w:r>
          </w:p>
          <w:p w14:paraId="1C8B364B">
            <w:pPr>
              <w:pStyle w:val="11"/>
              <w:spacing w:line="36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（2）投标产品属于财政部《环境标志产品政府采购品目清单》内的产品[投标文件中提供有效的认证证书复印件及品目清单（标注出投标产品在品目清单中所属的品目）]的得0.5分，满分1分。</w:t>
            </w:r>
          </w:p>
        </w:tc>
      </w:tr>
    </w:tbl>
    <w:p w14:paraId="25C6B0FE">
      <w:pPr>
        <w:rPr>
          <w:rFonts w:hint="eastAsia"/>
          <w:lang w:val="en-US" w:eastAsia="zh-CN"/>
        </w:rPr>
      </w:pPr>
    </w:p>
    <w:p w14:paraId="75F0F2AE">
      <w:pPr>
        <w:pStyle w:val="11"/>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6分标</w:t>
      </w:r>
    </w:p>
    <w:tbl>
      <w:tblPr>
        <w:tblStyle w:val="29"/>
        <w:tblW w:w="9653"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375"/>
        <w:gridCol w:w="1455"/>
        <w:gridCol w:w="5985"/>
      </w:tblGrid>
      <w:tr w14:paraId="6680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38" w:type="dxa"/>
            <w:noWrap w:val="0"/>
            <w:vAlign w:val="center"/>
          </w:tcPr>
          <w:p w14:paraId="1AE3800B">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序号</w:t>
            </w:r>
          </w:p>
        </w:tc>
        <w:tc>
          <w:tcPr>
            <w:tcW w:w="1375" w:type="dxa"/>
            <w:noWrap w:val="0"/>
            <w:vAlign w:val="center"/>
          </w:tcPr>
          <w:p w14:paraId="4FEA7AA5">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评分类型</w:t>
            </w:r>
          </w:p>
        </w:tc>
        <w:tc>
          <w:tcPr>
            <w:tcW w:w="1455" w:type="dxa"/>
            <w:noWrap w:val="0"/>
            <w:vAlign w:val="center"/>
          </w:tcPr>
          <w:p w14:paraId="6881C623">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评审因素</w:t>
            </w:r>
          </w:p>
        </w:tc>
        <w:tc>
          <w:tcPr>
            <w:tcW w:w="5985" w:type="dxa"/>
            <w:noWrap w:val="0"/>
            <w:vAlign w:val="center"/>
          </w:tcPr>
          <w:p w14:paraId="6EDF4DE5">
            <w:pPr>
              <w:adjustRightInd w:val="0"/>
              <w:snapToGrid w:val="0"/>
              <w:spacing w:line="360" w:lineRule="auto"/>
              <w:jc w:val="center"/>
              <w:textAlignment w:val="baseline"/>
              <w:rPr>
                <w:rFonts w:hint="eastAsia" w:ascii="宋体" w:hAnsi="宋体" w:eastAsia="宋体" w:cs="宋体"/>
                <w:sz w:val="21"/>
                <w:szCs w:val="21"/>
                <w:lang w:eastAsia="zh-CN"/>
              </w:rPr>
            </w:pPr>
            <w:r>
              <w:rPr>
                <w:rFonts w:hint="eastAsia" w:ascii="宋体" w:hAnsi="宋体" w:eastAsia="宋体" w:cs="宋体"/>
                <w:bCs/>
                <w:sz w:val="21"/>
                <w:szCs w:val="21"/>
                <w:highlight w:val="none"/>
              </w:rPr>
              <w:t>评标标准</w:t>
            </w:r>
          </w:p>
        </w:tc>
      </w:tr>
      <w:tr w14:paraId="0E8C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noWrap w:val="0"/>
            <w:vAlign w:val="center"/>
          </w:tcPr>
          <w:p w14:paraId="08E13F44">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75" w:type="dxa"/>
            <w:noWrap w:val="0"/>
            <w:vAlign w:val="center"/>
          </w:tcPr>
          <w:p w14:paraId="0F06B6F6">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价格分（满分</w:t>
            </w:r>
            <w:r>
              <w:rPr>
                <w:rFonts w:hint="eastAsia" w:ascii="宋体" w:hAnsi="宋体" w:eastAsia="宋体" w:cs="宋体"/>
                <w:sz w:val="21"/>
                <w:szCs w:val="21"/>
                <w:lang w:val="en-US" w:eastAsia="zh-CN"/>
              </w:rPr>
              <w:t>30分</w:t>
            </w:r>
            <w:r>
              <w:rPr>
                <w:rFonts w:hint="eastAsia" w:ascii="宋体" w:hAnsi="宋体" w:eastAsia="宋体" w:cs="宋体"/>
                <w:sz w:val="21"/>
                <w:szCs w:val="21"/>
                <w:lang w:eastAsia="zh-CN"/>
              </w:rPr>
              <w:t>）</w:t>
            </w:r>
          </w:p>
        </w:tc>
        <w:tc>
          <w:tcPr>
            <w:tcW w:w="1455" w:type="dxa"/>
            <w:noWrap w:val="0"/>
            <w:vAlign w:val="center"/>
          </w:tcPr>
          <w:p w14:paraId="01805D9A">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价格分（满分</w:t>
            </w:r>
            <w:r>
              <w:rPr>
                <w:rFonts w:hint="eastAsia" w:ascii="宋体" w:hAnsi="宋体" w:eastAsia="宋体" w:cs="宋体"/>
                <w:sz w:val="21"/>
                <w:szCs w:val="21"/>
                <w:lang w:val="en-US" w:eastAsia="zh-CN"/>
              </w:rPr>
              <w:t>30分</w:t>
            </w:r>
            <w:r>
              <w:rPr>
                <w:rFonts w:hint="eastAsia" w:ascii="宋体" w:hAnsi="宋体" w:eastAsia="宋体" w:cs="宋体"/>
                <w:sz w:val="21"/>
                <w:szCs w:val="21"/>
                <w:lang w:eastAsia="zh-CN"/>
              </w:rPr>
              <w:t>）</w:t>
            </w:r>
          </w:p>
        </w:tc>
        <w:tc>
          <w:tcPr>
            <w:tcW w:w="5985" w:type="dxa"/>
            <w:noWrap w:val="0"/>
            <w:vAlign w:val="center"/>
          </w:tcPr>
          <w:p w14:paraId="02D5618D">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（1）评标报价为投标人的投标报价进行政策性扣除后的价格，评标报价只是作为评标时使用。最终中标人的中标金额等于投标报价。</w:t>
            </w:r>
          </w:p>
          <w:p w14:paraId="78C982F5">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（2）政策性扣除计算方法。</w:t>
            </w:r>
          </w:p>
          <w:p w14:paraId="6F215406">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除上述情况外，评标报价=投标报价。</w:t>
            </w:r>
          </w:p>
          <w:p w14:paraId="345B1485">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23F29B5E">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5C90ABF">
            <w:pPr>
              <w:snapToGrid w:val="0"/>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（5）满足招标文件要求且评标报价最低的为评标基准价，其价格分为满分。</w:t>
            </w:r>
          </w:p>
          <w:p w14:paraId="2500F4A9">
            <w:pPr>
              <w:spacing w:line="360" w:lineRule="auto"/>
              <w:ind w:firstLine="233" w:firstLineChars="111"/>
              <w:rPr>
                <w:rFonts w:hint="eastAsia" w:ascii="宋体" w:hAnsi="宋体" w:eastAsia="宋体" w:cs="宋体"/>
                <w:bCs/>
                <w:sz w:val="21"/>
                <w:szCs w:val="21"/>
              </w:rPr>
            </w:pPr>
            <w:r>
              <w:rPr>
                <w:rFonts w:hint="eastAsia" w:ascii="宋体" w:hAnsi="宋体" w:eastAsia="宋体" w:cs="宋体"/>
                <w:bCs/>
                <w:sz w:val="21"/>
                <w:szCs w:val="21"/>
              </w:rPr>
              <w:t xml:space="preserve">（6）价格分计算公式：        </w:t>
            </w:r>
          </w:p>
          <w:p w14:paraId="0A3F6B56">
            <w:pPr>
              <w:bidi w:val="0"/>
              <w:spacing w:line="360" w:lineRule="auto"/>
              <w:jc w:val="center"/>
              <w:rPr>
                <w:rFonts w:hint="eastAsia" w:ascii="宋体" w:hAnsi="宋体" w:eastAsia="宋体" w:cs="宋体"/>
                <w:sz w:val="21"/>
                <w:szCs w:val="21"/>
              </w:rPr>
            </w:pPr>
            <w:r>
              <w:rPr>
                <w:rFonts w:hint="eastAsia" w:ascii="宋体" w:hAnsi="宋体" w:eastAsia="宋体" w:cs="宋体"/>
                <w:bCs/>
                <w:sz w:val="21"/>
                <w:szCs w:val="21"/>
              </w:rPr>
              <w:t>价格分=（评标基准价/评标报价）×</w:t>
            </w:r>
            <w:r>
              <w:rPr>
                <w:rFonts w:hint="eastAsia" w:ascii="宋体" w:hAnsi="宋体" w:eastAsia="宋体" w:cs="宋体"/>
                <w:bCs/>
                <w:sz w:val="21"/>
                <w:szCs w:val="21"/>
                <w:u w:val="single"/>
              </w:rPr>
              <w:t>30</w:t>
            </w:r>
            <w:r>
              <w:rPr>
                <w:rFonts w:hint="eastAsia" w:ascii="宋体" w:hAnsi="宋体" w:eastAsia="宋体" w:cs="宋体"/>
                <w:bCs/>
                <w:sz w:val="21"/>
                <w:szCs w:val="21"/>
              </w:rPr>
              <w:t>分</w:t>
            </w:r>
          </w:p>
        </w:tc>
      </w:tr>
      <w:tr w14:paraId="1196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838" w:type="dxa"/>
            <w:vMerge w:val="restart"/>
            <w:noWrap w:val="0"/>
            <w:vAlign w:val="center"/>
          </w:tcPr>
          <w:p w14:paraId="35CE5404">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75" w:type="dxa"/>
            <w:vMerge w:val="restart"/>
            <w:noWrap w:val="0"/>
            <w:vAlign w:val="center"/>
          </w:tcPr>
          <w:p w14:paraId="1C53B0ED">
            <w:pPr>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技术分</w:t>
            </w:r>
            <w:r>
              <w:rPr>
                <w:rFonts w:hint="eastAsia" w:ascii="宋体" w:hAnsi="宋体" w:eastAsia="宋体" w:cs="宋体"/>
                <w:sz w:val="21"/>
                <w:szCs w:val="21"/>
                <w:lang w:eastAsia="zh-CN"/>
              </w:rPr>
              <w:t>（满分</w:t>
            </w:r>
            <w:r>
              <w:rPr>
                <w:rFonts w:hint="eastAsia" w:ascii="宋体" w:hAnsi="宋体" w:cs="宋体"/>
                <w:sz w:val="21"/>
                <w:szCs w:val="21"/>
                <w:lang w:val="en-US" w:eastAsia="zh-CN"/>
              </w:rPr>
              <w:t>54</w:t>
            </w:r>
            <w:r>
              <w:rPr>
                <w:rFonts w:hint="eastAsia" w:ascii="宋体" w:hAnsi="宋体" w:eastAsia="宋体" w:cs="宋体"/>
                <w:sz w:val="21"/>
                <w:szCs w:val="21"/>
                <w:lang w:val="en-US" w:eastAsia="zh-CN"/>
              </w:rPr>
              <w:t>分</w:t>
            </w:r>
            <w:r>
              <w:rPr>
                <w:rFonts w:hint="eastAsia" w:ascii="宋体" w:hAnsi="宋体" w:eastAsia="宋体" w:cs="宋体"/>
                <w:sz w:val="21"/>
                <w:szCs w:val="21"/>
                <w:lang w:eastAsia="zh-CN"/>
              </w:rPr>
              <w:t>）</w:t>
            </w:r>
          </w:p>
        </w:tc>
        <w:tc>
          <w:tcPr>
            <w:tcW w:w="1455" w:type="dxa"/>
            <w:noWrap w:val="0"/>
            <w:vAlign w:val="center"/>
          </w:tcPr>
          <w:p w14:paraId="3F7E7FB3">
            <w:pPr>
              <w:spacing w:line="36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技术</w:t>
            </w:r>
            <w:r>
              <w:rPr>
                <w:rFonts w:hint="eastAsia" w:ascii="宋体" w:hAnsi="宋体" w:eastAsia="宋体" w:cs="宋体"/>
                <w:b w:val="0"/>
                <w:bCs w:val="0"/>
                <w:kern w:val="0"/>
                <w:sz w:val="21"/>
                <w:szCs w:val="21"/>
                <w:lang w:val="en-US" w:eastAsia="zh-CN" w:bidi="ar"/>
              </w:rPr>
              <w:t>参数或性能指标</w:t>
            </w:r>
            <w:r>
              <w:rPr>
                <w:rFonts w:hint="eastAsia" w:ascii="宋体" w:hAnsi="宋体" w:eastAsia="宋体" w:cs="宋体"/>
                <w:b w:val="0"/>
                <w:bCs w:val="0"/>
                <w:sz w:val="21"/>
                <w:szCs w:val="21"/>
                <w:lang w:eastAsia="zh-CN"/>
              </w:rPr>
              <w:t>分（满分</w:t>
            </w:r>
            <w:r>
              <w:rPr>
                <w:rFonts w:hint="eastAsia" w:ascii="宋体" w:hAnsi="宋体" w:eastAsia="宋体" w:cs="宋体"/>
                <w:b w:val="0"/>
                <w:bCs w:val="0"/>
                <w:sz w:val="21"/>
                <w:szCs w:val="21"/>
                <w:lang w:val="en-US" w:eastAsia="zh-CN"/>
              </w:rPr>
              <w:t>30分</w:t>
            </w:r>
            <w:r>
              <w:rPr>
                <w:rFonts w:hint="eastAsia" w:ascii="宋体" w:hAnsi="宋体" w:eastAsia="宋体" w:cs="宋体"/>
                <w:b w:val="0"/>
                <w:bCs w:val="0"/>
                <w:sz w:val="21"/>
                <w:szCs w:val="21"/>
                <w:lang w:eastAsia="zh-CN"/>
              </w:rPr>
              <w:t>）</w:t>
            </w:r>
          </w:p>
          <w:p w14:paraId="2867DADE">
            <w:pPr>
              <w:bidi w:val="0"/>
              <w:spacing w:line="360" w:lineRule="auto"/>
              <w:jc w:val="center"/>
              <w:rPr>
                <w:rFonts w:hint="eastAsia" w:ascii="宋体" w:hAnsi="宋体" w:eastAsia="宋体" w:cs="宋体"/>
                <w:sz w:val="21"/>
                <w:szCs w:val="21"/>
                <w:lang w:val="en-US" w:eastAsia="zh-CN"/>
              </w:rPr>
            </w:pPr>
          </w:p>
        </w:tc>
        <w:tc>
          <w:tcPr>
            <w:tcW w:w="5985" w:type="dxa"/>
            <w:noWrap w:val="0"/>
            <w:vAlign w:val="center"/>
          </w:tcPr>
          <w:p w14:paraId="1681289F">
            <w:pPr>
              <w:spacing w:line="360" w:lineRule="auto"/>
              <w:jc w:val="left"/>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产品</w:t>
            </w:r>
            <w:r>
              <w:rPr>
                <w:rFonts w:hint="eastAsia" w:ascii="宋体" w:hAnsi="宋体" w:eastAsia="宋体" w:cs="宋体"/>
                <w:sz w:val="21"/>
                <w:szCs w:val="21"/>
                <w:lang w:eastAsia="zh-CN"/>
              </w:rPr>
              <w:t>技术</w:t>
            </w:r>
            <w:r>
              <w:rPr>
                <w:rFonts w:hint="eastAsia" w:ascii="宋体" w:hAnsi="宋体" w:eastAsia="宋体" w:cs="宋体"/>
                <w:sz w:val="21"/>
                <w:szCs w:val="21"/>
              </w:rPr>
              <w:t>参数完全满足招标文件</w:t>
            </w:r>
            <w:r>
              <w:rPr>
                <w:rFonts w:hint="eastAsia" w:ascii="宋体" w:hAnsi="宋体" w:cs="宋体"/>
                <w:sz w:val="21"/>
                <w:szCs w:val="21"/>
                <w:lang w:eastAsia="zh-CN"/>
              </w:rPr>
              <w:t>的</w:t>
            </w:r>
            <w:r>
              <w:rPr>
                <w:rFonts w:hint="eastAsia" w:ascii="宋体" w:hAnsi="宋体" w:eastAsia="宋体" w:cs="宋体"/>
                <w:sz w:val="21"/>
                <w:szCs w:val="21"/>
              </w:rPr>
              <w:t>“技术性能、参数及有关要求”且无任何负偏离的得</w:t>
            </w:r>
            <w:r>
              <w:rPr>
                <w:rFonts w:hint="eastAsia" w:ascii="宋体" w:hAnsi="宋体" w:eastAsia="宋体" w:cs="宋体"/>
                <w:sz w:val="21"/>
                <w:szCs w:val="21"/>
                <w:lang w:val="en-US" w:eastAsia="zh-CN"/>
              </w:rPr>
              <w:t>30</w:t>
            </w:r>
            <w:r>
              <w:rPr>
                <w:rFonts w:hint="eastAsia" w:ascii="宋体" w:hAnsi="宋体" w:eastAsia="宋体" w:cs="宋体"/>
                <w:sz w:val="21"/>
                <w:szCs w:val="21"/>
              </w:rPr>
              <w:t>分；</w:t>
            </w:r>
            <w:r>
              <w:rPr>
                <w:rFonts w:hint="eastAsia" w:ascii="宋体" w:hAnsi="宋体" w:eastAsia="宋体" w:cs="宋体"/>
                <w:sz w:val="21"/>
                <w:szCs w:val="21"/>
                <w:lang w:eastAsia="zh-CN"/>
              </w:rPr>
              <w:t>投标</w:t>
            </w:r>
            <w:r>
              <w:rPr>
                <w:rFonts w:hint="eastAsia" w:ascii="宋体" w:hAnsi="宋体" w:eastAsia="宋体" w:cs="宋体"/>
                <w:sz w:val="21"/>
                <w:szCs w:val="21"/>
              </w:rPr>
              <w:t>产品参数不满足招标文件“技术性能、参数及有关要求”的，</w:t>
            </w:r>
            <w:r>
              <w:rPr>
                <w:rFonts w:hint="eastAsia" w:ascii="宋体" w:hAnsi="宋体" w:eastAsia="宋体" w:cs="宋体"/>
                <w:sz w:val="21"/>
                <w:szCs w:val="21"/>
                <w:lang w:eastAsia="zh-CN"/>
              </w:rPr>
              <w:t>即存在负偏离的，</w:t>
            </w:r>
            <w:r>
              <w:rPr>
                <w:rFonts w:hint="eastAsia" w:ascii="宋体" w:hAnsi="宋体" w:eastAsia="宋体" w:cs="宋体"/>
                <w:sz w:val="21"/>
                <w:szCs w:val="21"/>
              </w:rPr>
              <w:t>每一项扣</w:t>
            </w:r>
            <w:r>
              <w:rPr>
                <w:rFonts w:hint="eastAsia" w:ascii="宋体" w:hAnsi="宋体" w:eastAsia="宋体" w:cs="宋体"/>
                <w:sz w:val="21"/>
                <w:szCs w:val="21"/>
                <w:lang w:val="en-US" w:eastAsia="zh-CN"/>
              </w:rPr>
              <w:t>2</w:t>
            </w:r>
            <w:r>
              <w:rPr>
                <w:rFonts w:hint="eastAsia" w:ascii="宋体" w:hAnsi="宋体" w:eastAsia="宋体" w:cs="宋体"/>
                <w:sz w:val="21"/>
                <w:szCs w:val="21"/>
              </w:rPr>
              <w:t>分，扣完</w:t>
            </w:r>
            <w:r>
              <w:rPr>
                <w:rFonts w:hint="eastAsia" w:ascii="宋体" w:hAnsi="宋体" w:eastAsia="宋体" w:cs="宋体"/>
                <w:sz w:val="21"/>
                <w:szCs w:val="21"/>
                <w:lang w:val="en-US" w:eastAsia="zh-CN"/>
              </w:rPr>
              <w:t>30分为止</w:t>
            </w:r>
            <w:r>
              <w:rPr>
                <w:rFonts w:hint="eastAsia" w:ascii="宋体" w:hAnsi="宋体" w:eastAsia="宋体" w:cs="宋体"/>
                <w:sz w:val="21"/>
                <w:szCs w:val="21"/>
              </w:rPr>
              <w:t>。</w:t>
            </w:r>
          </w:p>
          <w:p w14:paraId="3B353813">
            <w:pPr>
              <w:pStyle w:val="17"/>
              <w:spacing w:line="360" w:lineRule="auto"/>
              <w:rPr>
                <w:rFonts w:hint="eastAsia" w:ascii="宋体" w:hAnsi="宋体" w:eastAsia="宋体" w:cs="宋体"/>
                <w:sz w:val="21"/>
                <w:szCs w:val="21"/>
                <w:lang w:val="en-US" w:eastAsia="zh-CN"/>
              </w:rPr>
            </w:pPr>
            <w:r>
              <w:rPr>
                <w:rFonts w:hint="eastAsia" w:ascii="宋体" w:hAnsi="宋体" w:eastAsia="宋体" w:cs="宋体"/>
                <w:b/>
                <w:bCs w:val="0"/>
                <w:kern w:val="2"/>
                <w:sz w:val="21"/>
                <w:szCs w:val="21"/>
                <w:lang w:val="en-US" w:eastAsia="zh-CN" w:bidi="ar"/>
              </w:rPr>
              <w:t>注：①第二章“技术性能、参数及有关要求”中标注“▲”为实质性要求项，经评审认定负偏离的，投标无效。②第二章“技术性能、参数及有关要求”中要求提供产品检测报告或生产厂家官方网站产品技术参数截图等相关佐证材料的，投标人未按要求提供佐证材料或提供的佐证材料不符合招标文件技术参数要求的，视为负偏离。</w:t>
            </w:r>
          </w:p>
        </w:tc>
      </w:tr>
      <w:tr w14:paraId="0988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5" w:hRule="atLeast"/>
        </w:trPr>
        <w:tc>
          <w:tcPr>
            <w:tcW w:w="838" w:type="dxa"/>
            <w:vMerge w:val="continue"/>
            <w:noWrap w:val="0"/>
            <w:vAlign w:val="center"/>
          </w:tcPr>
          <w:p w14:paraId="0E83FF7D">
            <w:pPr>
              <w:bidi w:val="0"/>
              <w:spacing w:line="360" w:lineRule="auto"/>
              <w:jc w:val="center"/>
              <w:rPr>
                <w:rFonts w:hint="eastAsia" w:ascii="宋体" w:hAnsi="宋体" w:eastAsia="宋体" w:cs="宋体"/>
                <w:sz w:val="21"/>
                <w:szCs w:val="21"/>
                <w:lang w:val="en-US" w:eastAsia="zh-CN"/>
              </w:rPr>
            </w:pPr>
          </w:p>
        </w:tc>
        <w:tc>
          <w:tcPr>
            <w:tcW w:w="1375" w:type="dxa"/>
            <w:vMerge w:val="continue"/>
            <w:noWrap w:val="0"/>
            <w:vAlign w:val="center"/>
          </w:tcPr>
          <w:p w14:paraId="00DB86D3">
            <w:pPr>
              <w:bidi w:val="0"/>
              <w:spacing w:line="360" w:lineRule="auto"/>
              <w:jc w:val="center"/>
              <w:rPr>
                <w:rFonts w:hint="eastAsia" w:ascii="宋体" w:hAnsi="宋体" w:eastAsia="宋体" w:cs="宋体"/>
                <w:b w:val="0"/>
                <w:bCs w:val="0"/>
                <w:sz w:val="21"/>
                <w:szCs w:val="21"/>
              </w:rPr>
            </w:pPr>
          </w:p>
        </w:tc>
        <w:tc>
          <w:tcPr>
            <w:tcW w:w="1455" w:type="dxa"/>
            <w:noWrap w:val="0"/>
            <w:vAlign w:val="center"/>
          </w:tcPr>
          <w:p w14:paraId="730F650D">
            <w:pPr>
              <w:bidi w:val="0"/>
              <w:spacing w:line="360" w:lineRule="auto"/>
              <w:jc w:val="center"/>
              <w:rPr>
                <w:rFonts w:hint="eastAsia" w:ascii="宋体" w:hAnsi="宋体" w:eastAsia="宋体" w:cs="宋体"/>
                <w:b w:val="0"/>
                <w:bCs/>
                <w:sz w:val="21"/>
                <w:szCs w:val="21"/>
                <w:lang w:val="en-US" w:eastAsia="zh-CN"/>
              </w:rPr>
            </w:pPr>
            <w:r>
              <w:rPr>
                <w:rFonts w:hint="eastAsia" w:ascii="宋体" w:hAnsi="宋体" w:eastAsia="宋体" w:cs="宋体"/>
                <w:b w:val="0"/>
                <w:bCs/>
                <w:kern w:val="2"/>
                <w:sz w:val="21"/>
                <w:szCs w:val="21"/>
                <w:lang w:val="en-US" w:eastAsia="zh-CN" w:bidi="ar"/>
              </w:rPr>
              <w:t>投标产品具有计算机软件著作权登记证书分（</w:t>
            </w:r>
            <w:r>
              <w:rPr>
                <w:rFonts w:hint="eastAsia" w:ascii="宋体" w:hAnsi="宋体" w:eastAsia="宋体" w:cs="宋体"/>
                <w:b w:val="0"/>
                <w:bCs/>
                <w:sz w:val="21"/>
                <w:szCs w:val="21"/>
                <w:lang w:eastAsia="zh-CN"/>
              </w:rPr>
              <w:t>满分</w:t>
            </w:r>
            <w:r>
              <w:rPr>
                <w:rFonts w:hint="eastAsia" w:ascii="宋体" w:hAnsi="宋体" w:eastAsia="宋体" w:cs="宋体"/>
                <w:b w:val="0"/>
                <w:bCs/>
                <w:kern w:val="2"/>
                <w:sz w:val="21"/>
                <w:szCs w:val="21"/>
                <w:lang w:val="en-US" w:eastAsia="zh-CN" w:bidi="ar"/>
              </w:rPr>
              <w:t>6分）</w:t>
            </w:r>
          </w:p>
        </w:tc>
        <w:tc>
          <w:tcPr>
            <w:tcW w:w="5985" w:type="dxa"/>
            <w:noWrap w:val="0"/>
            <w:vAlign w:val="center"/>
          </w:tcPr>
          <w:p w14:paraId="0E22A95E">
            <w:pPr>
              <w:adjustRightInd w:val="0"/>
              <w:snapToGrid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（1）投标产品生产厂家的水产养殖多参数水质在线监控数据库</w:t>
            </w:r>
            <w:r>
              <w:rPr>
                <w:rFonts w:hint="eastAsia" w:ascii="宋体" w:hAnsi="宋体" w:cs="宋体"/>
                <w:kern w:val="2"/>
                <w:sz w:val="21"/>
                <w:szCs w:val="21"/>
                <w:lang w:val="en-US" w:eastAsia="zh-CN" w:bidi="ar-SA"/>
              </w:rPr>
              <w:t>类</w:t>
            </w:r>
            <w:r>
              <w:rPr>
                <w:rFonts w:hint="eastAsia" w:ascii="宋体" w:hAnsi="宋体" w:eastAsia="宋体" w:cs="宋体"/>
                <w:kern w:val="2"/>
                <w:sz w:val="21"/>
                <w:szCs w:val="21"/>
                <w:lang w:val="en-US" w:eastAsia="zh-CN" w:bidi="ar-SA"/>
              </w:rPr>
              <w:t>软件为自主开发，并具有《计算机软件著作权登记证书》，得3分。</w:t>
            </w:r>
          </w:p>
          <w:p w14:paraId="0901534C">
            <w:pPr>
              <w:adjustRightInd w:val="0"/>
              <w:snapToGrid w:val="0"/>
              <w:spacing w:line="400" w:lineRule="exac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（2）投标产品生产厂家的智能渔业养殖实时监控系统</w:t>
            </w:r>
            <w:r>
              <w:rPr>
                <w:rFonts w:hint="eastAsia" w:ascii="宋体" w:hAnsi="宋体" w:cs="宋体"/>
                <w:kern w:val="2"/>
                <w:sz w:val="21"/>
                <w:szCs w:val="21"/>
                <w:lang w:val="en-US" w:eastAsia="zh-CN" w:bidi="ar-SA"/>
              </w:rPr>
              <w:t>类</w:t>
            </w:r>
            <w:r>
              <w:rPr>
                <w:rFonts w:hint="eastAsia" w:ascii="宋体" w:hAnsi="宋体" w:eastAsia="宋体" w:cs="宋体"/>
                <w:kern w:val="2"/>
                <w:sz w:val="21"/>
                <w:szCs w:val="21"/>
                <w:lang w:val="en-US" w:eastAsia="zh-CN" w:bidi="ar-SA"/>
              </w:rPr>
              <w:t>软件为自主开发，并具有《计算机软件著作权登记证书》，得3分。</w:t>
            </w:r>
          </w:p>
          <w:p w14:paraId="5F933CCD">
            <w:pPr>
              <w:adjustRightInd w:val="0"/>
              <w:snapToGrid w:val="0"/>
              <w:spacing w:line="40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注：投标文件需提供《计算机软件著作权登记证书》扫描件且证书中的著作权人必须为投标产品生产厂家，否则不计分。</w:t>
            </w:r>
          </w:p>
        </w:tc>
      </w:tr>
      <w:tr w14:paraId="0FCC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vMerge w:val="continue"/>
            <w:noWrap w:val="0"/>
            <w:vAlign w:val="center"/>
          </w:tcPr>
          <w:p w14:paraId="52578D8C">
            <w:pPr>
              <w:bidi w:val="0"/>
              <w:spacing w:line="360" w:lineRule="auto"/>
              <w:jc w:val="center"/>
              <w:rPr>
                <w:rFonts w:hint="eastAsia" w:ascii="宋体" w:hAnsi="宋体" w:eastAsia="宋体" w:cs="宋体"/>
                <w:sz w:val="21"/>
                <w:szCs w:val="21"/>
                <w:lang w:eastAsia="zh-CN"/>
              </w:rPr>
            </w:pPr>
          </w:p>
        </w:tc>
        <w:tc>
          <w:tcPr>
            <w:tcW w:w="1375" w:type="dxa"/>
            <w:vMerge w:val="continue"/>
            <w:noWrap w:val="0"/>
            <w:vAlign w:val="center"/>
          </w:tcPr>
          <w:p w14:paraId="4D3DCDBA">
            <w:pPr>
              <w:bidi w:val="0"/>
              <w:spacing w:line="360" w:lineRule="auto"/>
              <w:jc w:val="center"/>
              <w:rPr>
                <w:rFonts w:hint="eastAsia" w:ascii="宋体" w:hAnsi="宋体" w:eastAsia="宋体" w:cs="宋体"/>
                <w:sz w:val="21"/>
                <w:szCs w:val="21"/>
                <w:lang w:eastAsia="zh-CN"/>
              </w:rPr>
            </w:pPr>
          </w:p>
        </w:tc>
        <w:tc>
          <w:tcPr>
            <w:tcW w:w="1455" w:type="dxa"/>
            <w:noWrap w:val="0"/>
            <w:vAlign w:val="center"/>
          </w:tcPr>
          <w:p w14:paraId="0F7C1576">
            <w:pPr>
              <w:bidi w:val="0"/>
              <w:spacing w:line="360" w:lineRule="auto"/>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实施方案分</w:t>
            </w:r>
            <w:r>
              <w:rPr>
                <w:rFonts w:hint="eastAsia" w:ascii="宋体" w:hAnsi="宋体" w:eastAsia="宋体" w:cs="宋体"/>
                <w:b w:val="0"/>
                <w:bCs/>
                <w:sz w:val="21"/>
                <w:szCs w:val="21"/>
                <w:lang w:eastAsia="zh-CN"/>
              </w:rPr>
              <w:t>（满分</w:t>
            </w:r>
            <w:r>
              <w:rPr>
                <w:rFonts w:hint="eastAsia" w:ascii="宋体" w:hAnsi="宋体" w:eastAsia="宋体" w:cs="宋体"/>
                <w:b w:val="0"/>
                <w:bCs/>
                <w:sz w:val="21"/>
                <w:szCs w:val="21"/>
                <w:lang w:val="en-US" w:eastAsia="zh-CN"/>
              </w:rPr>
              <w:t>18分</w:t>
            </w:r>
            <w:r>
              <w:rPr>
                <w:rFonts w:hint="eastAsia" w:ascii="宋体" w:hAnsi="宋体" w:eastAsia="宋体" w:cs="宋体"/>
                <w:b w:val="0"/>
                <w:bCs/>
                <w:sz w:val="21"/>
                <w:szCs w:val="21"/>
                <w:lang w:eastAsia="zh-CN"/>
              </w:rPr>
              <w:t>）</w:t>
            </w:r>
          </w:p>
        </w:tc>
        <w:tc>
          <w:tcPr>
            <w:tcW w:w="5985" w:type="dxa"/>
            <w:noWrap w:val="0"/>
            <w:vAlign w:val="center"/>
          </w:tcPr>
          <w:p w14:paraId="2A6279D9">
            <w:pPr>
              <w:bidi w:val="0"/>
              <w:spacing w:line="360" w:lineRule="auto"/>
              <w:jc w:val="left"/>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由评标委员在相应档次内独立打分，未提供实施方案或实施方案不满足一档评审标准的，得0分</w:t>
            </w:r>
            <w:r>
              <w:rPr>
                <w:rFonts w:hint="eastAsia" w:ascii="宋体" w:hAnsi="宋体" w:eastAsia="宋体" w:cs="宋体"/>
                <w:b/>
                <w:bCs/>
                <w:sz w:val="21"/>
                <w:szCs w:val="21"/>
                <w:lang w:eastAsia="zh-CN"/>
              </w:rPr>
              <w:t>：</w:t>
            </w:r>
          </w:p>
          <w:p w14:paraId="04DDF343">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w:t>
            </w:r>
            <w:r>
              <w:rPr>
                <w:rFonts w:hint="eastAsia" w:ascii="宋体" w:hAnsi="宋体" w:eastAsia="宋体" w:cs="宋体"/>
                <w:sz w:val="21"/>
                <w:szCs w:val="21"/>
                <w:lang w:val="en-US" w:eastAsia="zh-CN"/>
              </w:rPr>
              <w:t>6</w:t>
            </w:r>
            <w:r>
              <w:rPr>
                <w:rFonts w:hint="eastAsia" w:ascii="宋体" w:hAnsi="宋体" w:eastAsia="宋体" w:cs="宋体"/>
                <w:sz w:val="21"/>
                <w:szCs w:val="21"/>
              </w:rPr>
              <w:t>分）：对项目的需求基本理解，方案包含有实施要点、人员组织、进度管理等相关内容；方案整体</w:t>
            </w:r>
            <w:r>
              <w:rPr>
                <w:rFonts w:hint="eastAsia" w:ascii="宋体" w:hAnsi="宋体" w:eastAsia="宋体" w:cs="宋体"/>
                <w:sz w:val="21"/>
                <w:szCs w:val="21"/>
                <w:lang w:eastAsia="zh-CN"/>
              </w:rPr>
              <w:t>基本符合</w:t>
            </w:r>
            <w:r>
              <w:rPr>
                <w:rFonts w:hint="eastAsia" w:ascii="宋体" w:hAnsi="宋体" w:eastAsia="宋体" w:cs="宋体"/>
                <w:sz w:val="21"/>
                <w:szCs w:val="21"/>
              </w:rPr>
              <w:t>项目采购需要，没有明显错误。</w:t>
            </w:r>
          </w:p>
          <w:p w14:paraId="2C495800">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二档（1</w:t>
            </w:r>
            <w:r>
              <w:rPr>
                <w:rFonts w:hint="eastAsia" w:ascii="宋体" w:hAnsi="宋体" w:eastAsia="宋体" w:cs="宋体"/>
                <w:sz w:val="21"/>
                <w:szCs w:val="21"/>
                <w:lang w:val="en-US" w:eastAsia="zh-CN"/>
              </w:rPr>
              <w:t>2</w:t>
            </w:r>
            <w:r>
              <w:rPr>
                <w:rFonts w:hint="eastAsia" w:ascii="宋体" w:hAnsi="宋体" w:eastAsia="宋体" w:cs="宋体"/>
                <w:sz w:val="21"/>
                <w:szCs w:val="21"/>
              </w:rPr>
              <w:t>分）：对项目的需求有正确理解，方案包含有实施要点、人员组织、进度管理、质量控制等相关内容，表述正确、有可行性；方案整体符合项目采购需要，能够保障项目正常实施。</w:t>
            </w:r>
          </w:p>
          <w:p w14:paraId="25FFF6BB">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w:t>
            </w:r>
            <w:r>
              <w:rPr>
                <w:rFonts w:hint="eastAsia" w:ascii="宋体" w:hAnsi="宋体" w:eastAsia="宋体" w:cs="宋体"/>
                <w:sz w:val="21"/>
                <w:szCs w:val="21"/>
                <w:lang w:val="en-US" w:eastAsia="zh-CN"/>
              </w:rPr>
              <w:t>18</w:t>
            </w:r>
            <w:r>
              <w:rPr>
                <w:rFonts w:hint="eastAsia" w:ascii="宋体" w:hAnsi="宋体" w:eastAsia="宋体" w:cs="宋体"/>
                <w:sz w:val="21"/>
                <w:szCs w:val="21"/>
              </w:rPr>
              <w:t>分）：对项目的需求有深入理解，方案包含有实施要点、人员组织、进度管理、质量控制、风险控制、验收、项目移交等方面内容，表述正确、可行，能够完全满足和保障项目实施要求；方案整体符合或优于项目采购需要，能确保高质量完成项目实施。</w:t>
            </w:r>
          </w:p>
        </w:tc>
      </w:tr>
      <w:tr w14:paraId="522D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vMerge w:val="restart"/>
            <w:noWrap w:val="0"/>
            <w:vAlign w:val="center"/>
          </w:tcPr>
          <w:p w14:paraId="66D0A4AE">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375" w:type="dxa"/>
            <w:vMerge w:val="restart"/>
            <w:noWrap w:val="0"/>
            <w:vAlign w:val="center"/>
          </w:tcPr>
          <w:p w14:paraId="3A371030">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商务分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14分</w:t>
            </w:r>
            <w:r>
              <w:rPr>
                <w:rFonts w:hint="eastAsia" w:ascii="宋体" w:hAnsi="宋体" w:eastAsia="宋体" w:cs="宋体"/>
                <w:b w:val="0"/>
                <w:bCs w:val="0"/>
                <w:sz w:val="21"/>
                <w:szCs w:val="21"/>
                <w:lang w:eastAsia="zh-CN"/>
              </w:rPr>
              <w:t>）</w:t>
            </w:r>
          </w:p>
        </w:tc>
        <w:tc>
          <w:tcPr>
            <w:tcW w:w="1455" w:type="dxa"/>
            <w:noWrap w:val="0"/>
            <w:vAlign w:val="center"/>
          </w:tcPr>
          <w:p w14:paraId="0604D1D5">
            <w:pPr>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售后服务方案分（满分</w:t>
            </w:r>
            <w:r>
              <w:rPr>
                <w:rFonts w:hint="eastAsia" w:ascii="宋体" w:hAnsi="宋体" w:eastAsia="宋体" w:cs="宋体"/>
                <w:b w:val="0"/>
                <w:bCs w:val="0"/>
                <w:sz w:val="21"/>
                <w:szCs w:val="21"/>
                <w:lang w:val="en-US" w:eastAsia="zh-CN"/>
              </w:rPr>
              <w:t>12分</w:t>
            </w:r>
            <w:r>
              <w:rPr>
                <w:rFonts w:hint="eastAsia" w:ascii="宋体" w:hAnsi="宋体" w:eastAsia="宋体" w:cs="宋体"/>
                <w:b w:val="0"/>
                <w:bCs w:val="0"/>
                <w:sz w:val="21"/>
                <w:szCs w:val="21"/>
                <w:lang w:eastAsia="zh-CN"/>
              </w:rPr>
              <w:t>）</w:t>
            </w:r>
          </w:p>
        </w:tc>
        <w:tc>
          <w:tcPr>
            <w:tcW w:w="5985" w:type="dxa"/>
            <w:noWrap w:val="0"/>
            <w:vAlign w:val="center"/>
          </w:tcPr>
          <w:p w14:paraId="4F5CF50C">
            <w:pPr>
              <w:bidi w:val="0"/>
              <w:spacing w:line="360" w:lineRule="auto"/>
              <w:jc w:val="left"/>
              <w:rPr>
                <w:rFonts w:hint="eastAsia" w:ascii="宋体" w:hAnsi="宋体" w:eastAsia="宋体" w:cs="宋体"/>
                <w:b/>
                <w:bCs/>
                <w:sz w:val="21"/>
                <w:szCs w:val="21"/>
                <w:lang w:eastAsia="zh-CN"/>
              </w:rPr>
            </w:pPr>
            <w:r>
              <w:rPr>
                <w:rFonts w:hint="eastAsia" w:ascii="宋体" w:hAnsi="宋体" w:eastAsia="宋体" w:cs="宋体"/>
                <w:b w:val="0"/>
                <w:bCs w:val="0"/>
                <w:sz w:val="21"/>
                <w:szCs w:val="21"/>
                <w:lang w:eastAsia="zh-CN"/>
              </w:rPr>
              <w:t>由评标委员在相应档次内独立打分，未提供售后服务方案或售后服务方案不满足一档评审标准的，得0分</w:t>
            </w:r>
            <w:r>
              <w:rPr>
                <w:rFonts w:hint="eastAsia" w:ascii="宋体" w:hAnsi="宋体" w:eastAsia="宋体" w:cs="宋体"/>
                <w:b/>
                <w:bCs/>
                <w:sz w:val="21"/>
                <w:szCs w:val="21"/>
                <w:lang w:eastAsia="zh-CN"/>
              </w:rPr>
              <w:t>：</w:t>
            </w:r>
          </w:p>
          <w:p w14:paraId="356AE737">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一档（4分）：售后服务方案对“到达故障现场时间、故障出现解决方案、定期维护、免费技术培训方案、质保期维护方案</w:t>
            </w:r>
            <w:r>
              <w:rPr>
                <w:rFonts w:hint="eastAsia" w:ascii="宋体" w:hAnsi="宋体" w:eastAsia="宋体" w:cs="宋体"/>
                <w:sz w:val="21"/>
                <w:szCs w:val="21"/>
                <w:lang w:eastAsia="zh-CN"/>
              </w:rPr>
              <w:t>、备品备件</w:t>
            </w:r>
            <w:r>
              <w:rPr>
                <w:rFonts w:hint="eastAsia" w:ascii="宋体" w:hAnsi="宋体" w:eastAsia="宋体" w:cs="宋体"/>
                <w:sz w:val="21"/>
                <w:szCs w:val="21"/>
              </w:rPr>
              <w:t>”等</w:t>
            </w:r>
            <w:r>
              <w:rPr>
                <w:rFonts w:hint="eastAsia" w:ascii="宋体" w:hAnsi="宋体" w:eastAsia="宋体" w:cs="宋体"/>
                <w:sz w:val="21"/>
                <w:szCs w:val="21"/>
                <w:lang w:eastAsia="zh-CN"/>
              </w:rPr>
              <w:t>内容</w:t>
            </w:r>
            <w:r>
              <w:rPr>
                <w:rFonts w:hint="eastAsia" w:ascii="宋体" w:hAnsi="宋体" w:eastAsia="宋体" w:cs="宋体"/>
                <w:sz w:val="21"/>
                <w:szCs w:val="21"/>
              </w:rPr>
              <w:t>基本满足招标文件</w:t>
            </w:r>
            <w:r>
              <w:rPr>
                <w:rFonts w:hint="eastAsia" w:ascii="宋体" w:hAnsi="宋体" w:eastAsia="宋体" w:cs="宋体"/>
                <w:sz w:val="21"/>
                <w:szCs w:val="21"/>
                <w:lang w:eastAsia="zh-CN"/>
              </w:rPr>
              <w:t>售后服务</w:t>
            </w:r>
            <w:r>
              <w:rPr>
                <w:rFonts w:hint="eastAsia" w:ascii="宋体" w:hAnsi="宋体" w:eastAsia="宋体" w:cs="宋体"/>
                <w:sz w:val="21"/>
                <w:szCs w:val="21"/>
              </w:rPr>
              <w:t xml:space="preserve">要求。 </w:t>
            </w:r>
          </w:p>
          <w:p w14:paraId="2DE7E106">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二档（8分）：售后服务方案对“到达故障现场时间、故障出现解决方案、定期维护、免费技术培训方案、质保期维护方案、其他优惠措施</w:t>
            </w:r>
            <w:r>
              <w:rPr>
                <w:rFonts w:hint="eastAsia" w:ascii="宋体" w:hAnsi="宋体" w:eastAsia="宋体" w:cs="宋体"/>
                <w:sz w:val="21"/>
                <w:szCs w:val="21"/>
                <w:lang w:eastAsia="zh-CN"/>
              </w:rPr>
              <w:t>、备品备件</w:t>
            </w:r>
            <w:r>
              <w:rPr>
                <w:rFonts w:hint="eastAsia" w:ascii="宋体" w:hAnsi="宋体" w:eastAsia="宋体" w:cs="宋体"/>
                <w:sz w:val="21"/>
                <w:szCs w:val="21"/>
              </w:rPr>
              <w:t>”等内容的描述完整，方案整体描述细致、合理、可行，</w:t>
            </w:r>
            <w:r>
              <w:rPr>
                <w:rFonts w:hint="eastAsia" w:ascii="宋体" w:hAnsi="宋体" w:eastAsia="宋体" w:cs="宋体"/>
                <w:sz w:val="21"/>
                <w:szCs w:val="21"/>
                <w:lang w:eastAsia="zh-CN"/>
              </w:rPr>
              <w:t>故障处理</w:t>
            </w:r>
            <w:r>
              <w:rPr>
                <w:rFonts w:hint="eastAsia" w:ascii="宋体" w:hAnsi="宋体" w:eastAsia="宋体" w:cs="宋体"/>
                <w:sz w:val="21"/>
                <w:szCs w:val="21"/>
              </w:rPr>
              <w:t xml:space="preserve">措施到位；设立有固定售后服务场所，并提供7×24小时售后服务热线，有详细的售后服务方案、售后服务流程。  </w:t>
            </w:r>
          </w:p>
          <w:p w14:paraId="4070BEC4">
            <w:pPr>
              <w:bidi w:val="0"/>
              <w:spacing w:line="360" w:lineRule="auto"/>
              <w:jc w:val="left"/>
              <w:rPr>
                <w:rFonts w:hint="eastAsia" w:ascii="宋体" w:hAnsi="宋体" w:eastAsia="宋体" w:cs="宋体"/>
                <w:sz w:val="21"/>
                <w:szCs w:val="21"/>
              </w:rPr>
            </w:pPr>
            <w:r>
              <w:rPr>
                <w:rFonts w:hint="eastAsia" w:ascii="宋体" w:hAnsi="宋体" w:eastAsia="宋体" w:cs="宋体"/>
                <w:sz w:val="21"/>
                <w:szCs w:val="21"/>
              </w:rPr>
              <w:t>三档（12分）：在满足招标文件要求的基础上，售后服务方案中能提供技术培训具体计划，设立有固定售后服务场所及售后服务团队，并提供7×24小时售后服务热线，响应时间短，快捷、迅速，有详细的售后服务方案</w:t>
            </w:r>
            <w:r>
              <w:rPr>
                <w:rFonts w:hint="eastAsia" w:ascii="宋体" w:hAnsi="宋体" w:eastAsia="宋体" w:cs="宋体"/>
                <w:bCs/>
                <w:color w:val="auto"/>
                <w:sz w:val="21"/>
                <w:szCs w:val="21"/>
                <w:highlight w:val="none"/>
              </w:rPr>
              <w:t>（包括故障处理、上门维护、紧急维护、重要服务、电话维护、主动巡检等）</w:t>
            </w:r>
            <w:r>
              <w:rPr>
                <w:rFonts w:hint="eastAsia" w:ascii="宋体" w:hAnsi="宋体" w:eastAsia="宋体" w:cs="宋体"/>
                <w:sz w:val="21"/>
                <w:szCs w:val="21"/>
              </w:rPr>
              <w:t>、售后服务流程；建立有售后应急预案、质量保障，有完善的售后服务机制，能为采购人提供优质的快捷服务。</w:t>
            </w:r>
          </w:p>
        </w:tc>
      </w:tr>
      <w:tr w14:paraId="5B93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vMerge w:val="continue"/>
            <w:noWrap w:val="0"/>
            <w:vAlign w:val="center"/>
          </w:tcPr>
          <w:p w14:paraId="177F2525">
            <w:pPr>
              <w:bidi w:val="0"/>
              <w:spacing w:line="360" w:lineRule="auto"/>
              <w:jc w:val="center"/>
              <w:rPr>
                <w:rFonts w:hint="eastAsia" w:ascii="宋体" w:hAnsi="宋体" w:eastAsia="宋体" w:cs="宋体"/>
                <w:sz w:val="21"/>
                <w:szCs w:val="21"/>
                <w:lang w:eastAsia="zh-CN"/>
              </w:rPr>
            </w:pPr>
          </w:p>
        </w:tc>
        <w:tc>
          <w:tcPr>
            <w:tcW w:w="1375" w:type="dxa"/>
            <w:vMerge w:val="continue"/>
            <w:noWrap w:val="0"/>
            <w:vAlign w:val="center"/>
          </w:tcPr>
          <w:p w14:paraId="01165BFC">
            <w:pPr>
              <w:bidi w:val="0"/>
              <w:spacing w:line="360" w:lineRule="auto"/>
              <w:jc w:val="center"/>
              <w:rPr>
                <w:rFonts w:hint="eastAsia" w:ascii="宋体" w:hAnsi="宋体" w:eastAsia="宋体" w:cs="宋体"/>
                <w:sz w:val="21"/>
                <w:szCs w:val="21"/>
                <w:lang w:eastAsia="zh-CN"/>
              </w:rPr>
            </w:pPr>
          </w:p>
        </w:tc>
        <w:tc>
          <w:tcPr>
            <w:tcW w:w="1455" w:type="dxa"/>
            <w:noWrap w:val="0"/>
            <w:vAlign w:val="center"/>
          </w:tcPr>
          <w:p w14:paraId="6B06013F">
            <w:pPr>
              <w:adjustRightInd w:val="0"/>
              <w:spacing w:line="360" w:lineRule="auto"/>
              <w:jc w:val="center"/>
              <w:textAlignment w:val="baseline"/>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业绩分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5985" w:type="dxa"/>
            <w:noWrap w:val="0"/>
            <w:vAlign w:val="center"/>
          </w:tcPr>
          <w:p w14:paraId="3BD56CE4">
            <w:pPr>
              <w:pStyle w:val="11"/>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投标人2021年1月至今（近三年）承接的类似产品业绩（类似产品业绩是指包含一项或多项与本包投标产品相应的业绩。投标文件中提供有效的合同复印件并加盖投标人公章，合同复印件需要体现出</w:t>
            </w:r>
            <w:r>
              <w:rPr>
                <w:rFonts w:hint="eastAsia" w:ascii="宋体" w:hAnsi="宋体" w:cs="宋体"/>
                <w:kern w:val="2"/>
                <w:sz w:val="21"/>
                <w:szCs w:val="21"/>
                <w:lang w:val="en-US" w:eastAsia="zh-CN" w:bidi="ar-SA"/>
              </w:rPr>
              <w:t>合同首页、</w:t>
            </w:r>
            <w:r>
              <w:rPr>
                <w:rFonts w:hint="eastAsia" w:ascii="宋体" w:hAnsi="宋体" w:eastAsia="宋体" w:cs="宋体"/>
                <w:kern w:val="2"/>
                <w:sz w:val="21"/>
                <w:szCs w:val="21"/>
                <w:lang w:val="en-US" w:eastAsia="zh-CN" w:bidi="ar-SA"/>
              </w:rPr>
              <w:t>采购内容和日期</w:t>
            </w:r>
            <w:r>
              <w:rPr>
                <w:rFonts w:hint="eastAsia" w:ascii="宋体" w:hAnsi="宋体" w:cs="宋体"/>
                <w:kern w:val="2"/>
                <w:sz w:val="21"/>
                <w:szCs w:val="21"/>
                <w:lang w:val="en-US" w:eastAsia="zh-CN" w:bidi="ar-SA"/>
              </w:rPr>
              <w:t>、盖章页</w:t>
            </w:r>
            <w:r>
              <w:rPr>
                <w:rFonts w:hint="eastAsia" w:ascii="宋体" w:hAnsi="宋体" w:eastAsia="宋体" w:cs="宋体"/>
                <w:kern w:val="2"/>
                <w:sz w:val="21"/>
                <w:szCs w:val="21"/>
                <w:lang w:val="en-US" w:eastAsia="zh-CN" w:bidi="ar-SA"/>
              </w:rPr>
              <w:t>），每份业绩得1分，满分2分。</w:t>
            </w:r>
          </w:p>
        </w:tc>
      </w:tr>
      <w:tr w14:paraId="2996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838" w:type="dxa"/>
            <w:noWrap w:val="0"/>
            <w:vAlign w:val="center"/>
          </w:tcPr>
          <w:p w14:paraId="71539497">
            <w:pPr>
              <w:bidi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375" w:type="dxa"/>
            <w:noWrap w:val="0"/>
            <w:vAlign w:val="center"/>
          </w:tcPr>
          <w:p w14:paraId="10AD2C00">
            <w:pPr>
              <w:bidi w:val="0"/>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政策分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1455" w:type="dxa"/>
            <w:noWrap w:val="0"/>
            <w:vAlign w:val="center"/>
          </w:tcPr>
          <w:p w14:paraId="4D8DFCA9">
            <w:pPr>
              <w:adjustRightInd w:val="0"/>
              <w:spacing w:line="360" w:lineRule="auto"/>
              <w:jc w:val="center"/>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节能环保分</w:t>
            </w:r>
            <w:r>
              <w:rPr>
                <w:rFonts w:hint="eastAsia" w:ascii="宋体" w:hAnsi="宋体" w:eastAsia="宋体" w:cs="宋体"/>
                <w:b w:val="0"/>
                <w:bCs w:val="0"/>
                <w:sz w:val="21"/>
                <w:szCs w:val="21"/>
                <w:lang w:eastAsia="zh-CN"/>
              </w:rPr>
              <w:t>（满分</w:t>
            </w:r>
            <w:r>
              <w:rPr>
                <w:rFonts w:hint="eastAsia" w:ascii="宋体" w:hAnsi="宋体" w:eastAsia="宋体" w:cs="宋体"/>
                <w:b w:val="0"/>
                <w:bCs w:val="0"/>
                <w:sz w:val="21"/>
                <w:szCs w:val="21"/>
                <w:lang w:val="en-US" w:eastAsia="zh-CN"/>
              </w:rPr>
              <w:t>2分</w:t>
            </w:r>
            <w:r>
              <w:rPr>
                <w:rFonts w:hint="eastAsia" w:ascii="宋体" w:hAnsi="宋体" w:eastAsia="宋体" w:cs="宋体"/>
                <w:b w:val="0"/>
                <w:bCs w:val="0"/>
                <w:sz w:val="21"/>
                <w:szCs w:val="21"/>
                <w:lang w:eastAsia="zh-CN"/>
              </w:rPr>
              <w:t>）</w:t>
            </w:r>
          </w:p>
        </w:tc>
        <w:tc>
          <w:tcPr>
            <w:tcW w:w="5985" w:type="dxa"/>
            <w:noWrap w:val="0"/>
            <w:vAlign w:val="center"/>
          </w:tcPr>
          <w:p w14:paraId="1409F6C2">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投标产品属于财政部《节能产品政府采购品目清单》内优先采购（清单内未标注“★”的品目）的产品[投标文件中提供有效的认证证书复印件及品目清单（标注出投标产品在品目清单中所属的品目）]的得0.5分，满分1分。</w:t>
            </w:r>
          </w:p>
          <w:p w14:paraId="495CD08D">
            <w:pPr>
              <w:pStyle w:val="11"/>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（2）投标产品属于财政部《环境标志产品政府采购品目清单》内的产品[投标文件中提供有效的认证证书复印件及品目清单（标注出投标产品在品目清单中所属的品目）]的得0.5分，满分1分。</w:t>
            </w:r>
          </w:p>
        </w:tc>
      </w:tr>
      <w:bookmarkEnd w:id="222"/>
      <w:bookmarkEnd w:id="223"/>
    </w:tbl>
    <w:p w14:paraId="7CB5D528">
      <w:pPr>
        <w:rPr>
          <w:highlight w:val="none"/>
        </w:rPr>
      </w:pPr>
    </w:p>
    <w:p w14:paraId="2E50725E">
      <w:pPr>
        <w:pStyle w:val="14"/>
        <w:spacing w:line="360" w:lineRule="auto"/>
        <w:ind w:firstLine="315"/>
        <w:rPr>
          <w:rFonts w:hAnsi="宋体"/>
          <w:bCs/>
          <w:highlight w:val="none"/>
        </w:rPr>
      </w:pPr>
      <w:r>
        <w:rPr>
          <w:rFonts w:hint="eastAsia" w:hAnsi="宋体"/>
          <w:bCs/>
          <w:highlight w:val="none"/>
        </w:rPr>
        <w:t>注：1.计分方法按四舍五入取至百分位；</w:t>
      </w:r>
    </w:p>
    <w:p w14:paraId="3AF7B874">
      <w:pPr>
        <w:rPr>
          <w:rFonts w:hAnsi="宋体" w:cs="宋体"/>
          <w:b/>
          <w:sz w:val="30"/>
          <w:szCs w:val="30"/>
          <w:highlight w:val="none"/>
        </w:rPr>
      </w:pPr>
      <w:r>
        <w:rPr>
          <w:rFonts w:hint="eastAsia" w:hAnsi="宋体"/>
          <w:bCs/>
          <w:highlight w:val="none"/>
        </w:rPr>
        <w:t xml:space="preserve">       </w:t>
      </w:r>
      <w:r>
        <w:rPr>
          <w:rFonts w:hint="eastAsia" w:asciiTheme="minorEastAsia" w:hAnsiTheme="minorEastAsia" w:eastAsiaTheme="minorEastAsia" w:cstheme="minorEastAsia"/>
          <w:bCs/>
          <w:highlight w:val="none"/>
        </w:rPr>
        <w:t>2.因落实政府采购政策</w:t>
      </w:r>
      <w:r>
        <w:rPr>
          <w:rFonts w:hint="eastAsia" w:hAnsi="宋体"/>
          <w:bCs/>
          <w:highlight w:val="none"/>
        </w:rPr>
        <w:t>进行价格调整的，以调整后的价格计算评标基准价。</w:t>
      </w:r>
    </w:p>
    <w:p w14:paraId="676CFA3B">
      <w:pPr>
        <w:rPr>
          <w:rFonts w:hint="eastAsia" w:ascii="Times New Roman" w:hAnsi="Times New Roman" w:eastAsia="宋体" w:cs="Times New Roman"/>
          <w:highlight w:val="none"/>
          <w:lang w:val="en-US" w:eastAsia="zh-CN"/>
        </w:rPr>
      </w:pPr>
    </w:p>
    <w:p w14:paraId="0A0B4EB4">
      <w:pPr>
        <w:pStyle w:val="3"/>
        <w:ind w:firstLine="450"/>
        <w:jc w:val="center"/>
        <w:rPr>
          <w:rFonts w:ascii="宋体" w:hAnsi="宋体" w:eastAsia="宋体" w:cs="宋体"/>
          <w:b w:val="0"/>
          <w:sz w:val="30"/>
          <w:szCs w:val="30"/>
          <w:highlight w:val="none"/>
        </w:rPr>
      </w:pPr>
      <w:r>
        <w:rPr>
          <w:rFonts w:hint="eastAsia" w:ascii="宋体" w:hAnsi="宋体" w:eastAsia="宋体" w:cs="宋体"/>
          <w:b w:val="0"/>
          <w:sz w:val="30"/>
          <w:szCs w:val="30"/>
          <w:highlight w:val="none"/>
        </w:rPr>
        <w:t>第四节 中标候选人推荐原则</w:t>
      </w:r>
      <w:bookmarkEnd w:id="224"/>
      <w:bookmarkEnd w:id="225"/>
      <w:bookmarkEnd w:id="226"/>
      <w:bookmarkEnd w:id="227"/>
    </w:p>
    <w:p w14:paraId="68389320">
      <w:pPr>
        <w:spacing w:line="360" w:lineRule="auto"/>
        <w:ind w:firstLine="420" w:firstLineChars="200"/>
        <w:rPr>
          <w:highlight w:val="none"/>
        </w:rPr>
      </w:pPr>
      <w:r>
        <w:rPr>
          <w:rFonts w:hint="eastAsia" w:hAnsi="宋体" w:cs="宋体"/>
          <w:color w:val="auto"/>
          <w:highlight w:val="none"/>
          <w:lang w:val="en-US" w:eastAsia="zh-CN"/>
        </w:rPr>
        <w:t>1</w:t>
      </w:r>
      <w:r>
        <w:rPr>
          <w:rFonts w:hint="eastAsia" w:hAnsi="宋体" w:cs="宋体"/>
          <w:color w:val="auto"/>
          <w:highlight w:val="none"/>
        </w:rPr>
        <w:t>.</w:t>
      </w:r>
      <w:r>
        <w:rPr>
          <w:rFonts w:hint="eastAsia" w:ascii="宋体" w:hAnsi="宋体"/>
          <w:szCs w:val="20"/>
          <w:highlight w:val="none"/>
        </w:rPr>
        <w:t>评标委员会将根据总得分由高到低排列次序并推荐中标候选人。总得分相同时，依次按投标报价低优先、技术分</w:t>
      </w:r>
      <w:r>
        <w:rPr>
          <w:rFonts w:hint="eastAsia"/>
          <w:highlight w:val="none"/>
        </w:rPr>
        <w:t>得分</w:t>
      </w:r>
      <w:r>
        <w:rPr>
          <w:rFonts w:hint="eastAsia" w:ascii="宋体" w:hAnsi="宋体"/>
          <w:szCs w:val="20"/>
          <w:highlight w:val="none"/>
        </w:rPr>
        <w:t>高优先、商务分</w:t>
      </w:r>
      <w:r>
        <w:rPr>
          <w:rFonts w:hint="eastAsia"/>
          <w:highlight w:val="none"/>
        </w:rPr>
        <w:t>得分</w:t>
      </w:r>
      <w:r>
        <w:rPr>
          <w:rFonts w:hint="eastAsia" w:ascii="宋体" w:hAnsi="宋体"/>
          <w:szCs w:val="20"/>
          <w:highlight w:val="none"/>
        </w:rPr>
        <w:t>高优先的顺序排列。投标文件满足招标文件全部实质性要求，且按照评审因素的量化指标评审得分最高的投标人为排名第一的中标候选人。</w:t>
      </w:r>
    </w:p>
    <w:p w14:paraId="7618740A">
      <w:pPr>
        <w:pStyle w:val="14"/>
        <w:spacing w:line="360" w:lineRule="auto"/>
        <w:ind w:firstLine="420" w:firstLineChars="200"/>
        <w:rPr>
          <w:rFonts w:hint="eastAsia" w:hAnsi="宋体" w:cs="宋体"/>
          <w:color w:val="auto"/>
          <w:highlight w:val="none"/>
        </w:rPr>
      </w:pPr>
      <w:bookmarkStart w:id="228" w:name="OLE_LINK81"/>
      <w:r>
        <w:rPr>
          <w:rFonts w:hint="eastAsia" w:hAnsi="宋体" w:cs="宋体"/>
          <w:color w:val="auto"/>
          <w:highlight w:val="none"/>
        </w:rPr>
        <w:t>2.</w:t>
      </w:r>
      <w:bookmarkEnd w:id="228"/>
      <w:r>
        <w:rPr>
          <w:rFonts w:hint="eastAsia" w:hAnsi="宋体" w:cs="宋体"/>
          <w:color w:val="auto"/>
          <w:highlight w:val="none"/>
        </w:rPr>
        <w:t>根据《政府采购货物和服务招标投标管理办法》（财政部令第87号）第三十一条第二款规定，采用综合评分法的采购项目，</w:t>
      </w:r>
      <w:r>
        <w:rPr>
          <w:rFonts w:hint="eastAsia" w:hAnsi="宋体" w:cs="宋体"/>
          <w:color w:val="auto"/>
          <w:highlight w:val="none"/>
          <w:lang w:eastAsia="zh-CN"/>
        </w:rPr>
        <w:t>核心产品</w:t>
      </w:r>
      <w:r>
        <w:rPr>
          <w:rFonts w:hint="eastAsia" w:hAnsi="宋体" w:cs="宋体"/>
          <w:color w:val="auto"/>
          <w:highlight w:val="none"/>
        </w:rPr>
        <w:t>提供相同品牌产品且通过资格审查、符合性审查的不同投标人参加同一合同项下投标的，按一家投标人计算，评审后得分最高的同品牌投标人获得中标人推荐资格；评审得分相同的，按照“投标人须知前附表”</w:t>
      </w:r>
      <w:r>
        <w:rPr>
          <w:rFonts w:hint="eastAsia" w:hAnsi="宋体" w:cs="宋体"/>
          <w:color w:val="auto"/>
          <w:highlight w:val="none"/>
          <w:lang w:val="en-US" w:eastAsia="zh-CN"/>
        </w:rPr>
        <w:t>8.4条款的</w:t>
      </w:r>
      <w:r>
        <w:rPr>
          <w:rFonts w:hint="eastAsia" w:hAnsi="宋体" w:cs="宋体"/>
          <w:color w:val="auto"/>
          <w:highlight w:val="none"/>
        </w:rPr>
        <w:t>规定推荐</w:t>
      </w:r>
      <w:r>
        <w:rPr>
          <w:rFonts w:hint="eastAsia" w:hAnsi="宋体" w:cs="宋体"/>
          <w:color w:val="auto"/>
          <w:highlight w:val="none"/>
          <w:lang w:eastAsia="zh-CN"/>
        </w:rPr>
        <w:t>，</w:t>
      </w:r>
      <w:r>
        <w:rPr>
          <w:rFonts w:hint="eastAsia" w:hAnsi="宋体" w:cs="宋体"/>
          <w:color w:val="auto"/>
          <w:highlight w:val="none"/>
        </w:rPr>
        <w:t>确定后其他同品牌投标人不作为中标候选人。</w:t>
      </w:r>
    </w:p>
    <w:p w14:paraId="023B846C">
      <w:pPr>
        <w:pStyle w:val="14"/>
        <w:tabs>
          <w:tab w:val="left" w:pos="2472"/>
        </w:tabs>
        <w:spacing w:line="480" w:lineRule="exact"/>
        <w:ind w:firstLine="420" w:firstLineChars="200"/>
        <w:rPr>
          <w:rFonts w:hAnsi="宋体" w:cs="宋体"/>
          <w:highlight w:val="none"/>
        </w:rPr>
      </w:pPr>
    </w:p>
    <w:p w14:paraId="4758EFFA">
      <w:pPr>
        <w:pStyle w:val="3"/>
        <w:spacing w:line="360" w:lineRule="auto"/>
        <w:ind w:firstLine="600" w:firstLineChars="200"/>
        <w:jc w:val="center"/>
        <w:rPr>
          <w:rFonts w:ascii="宋体" w:hAnsi="宋体" w:eastAsia="宋体" w:cs="宋体"/>
          <w:b w:val="0"/>
          <w:sz w:val="30"/>
          <w:szCs w:val="30"/>
          <w:highlight w:val="none"/>
        </w:rPr>
      </w:pPr>
      <w:bookmarkStart w:id="229" w:name="_Toc21738"/>
      <w:bookmarkStart w:id="230" w:name="_Toc8014"/>
      <w:bookmarkStart w:id="231" w:name="_Toc29998"/>
      <w:bookmarkStart w:id="232" w:name="_Toc671"/>
      <w:r>
        <w:rPr>
          <w:rFonts w:hint="eastAsia" w:ascii="宋体" w:hAnsi="宋体" w:eastAsia="宋体" w:cs="宋体"/>
          <w:b w:val="0"/>
          <w:sz w:val="30"/>
          <w:szCs w:val="30"/>
          <w:highlight w:val="none"/>
        </w:rPr>
        <w:t>第五节 评标报告</w:t>
      </w:r>
      <w:bookmarkEnd w:id="229"/>
      <w:bookmarkEnd w:id="230"/>
      <w:bookmarkEnd w:id="231"/>
      <w:bookmarkEnd w:id="232"/>
    </w:p>
    <w:p w14:paraId="0A43DE01">
      <w:pPr>
        <w:pStyle w:val="70"/>
        <w:spacing w:before="0"/>
        <w:ind w:firstLine="482"/>
        <w:rPr>
          <w:rFonts w:ascii="宋体" w:hAnsi="宋体" w:cs="宋体"/>
          <w:b/>
          <w:bCs/>
          <w:szCs w:val="24"/>
          <w:highlight w:val="none"/>
        </w:rPr>
      </w:pPr>
      <w:r>
        <w:rPr>
          <w:rFonts w:hint="eastAsia" w:ascii="宋体" w:hAnsi="宋体" w:cs="宋体"/>
          <w:b/>
          <w:bCs/>
          <w:szCs w:val="24"/>
          <w:highlight w:val="none"/>
        </w:rPr>
        <w:t>（一）评标报告与推荐中标候选人</w:t>
      </w:r>
    </w:p>
    <w:p w14:paraId="6597D4C2">
      <w:pPr>
        <w:pStyle w:val="14"/>
        <w:tabs>
          <w:tab w:val="left" w:pos="2472"/>
        </w:tabs>
        <w:spacing w:line="360" w:lineRule="auto"/>
        <w:ind w:firstLine="420" w:firstLineChars="200"/>
        <w:rPr>
          <w:rFonts w:hAnsi="宋体" w:cs="宋体"/>
          <w:highlight w:val="none"/>
        </w:rPr>
      </w:pPr>
      <w:r>
        <w:rPr>
          <w:rFonts w:hint="eastAsia" w:hAnsi="宋体" w:cs="宋体"/>
          <w:highlight w:val="none"/>
        </w:rPr>
        <w:t>评标委员会根据原始评标记录和评标结果编写评标报告，并通过电子交易平台向采购人、采购代理机构提交。</w:t>
      </w:r>
    </w:p>
    <w:p w14:paraId="25F8ABD5">
      <w:pPr>
        <w:widowControl/>
        <w:spacing w:line="360" w:lineRule="auto"/>
        <w:ind w:firstLine="482" w:firstLineChars="200"/>
        <w:jc w:val="left"/>
        <w:rPr>
          <w:rFonts w:ascii="宋体" w:hAnsi="宋体" w:cs="宋体"/>
          <w:b/>
          <w:bCs/>
          <w:sz w:val="24"/>
          <w:highlight w:val="none"/>
        </w:rPr>
      </w:pPr>
      <w:r>
        <w:rPr>
          <w:rFonts w:hint="eastAsia" w:ascii="宋体" w:hAnsi="宋体" w:cs="宋体"/>
          <w:b/>
          <w:bCs/>
          <w:sz w:val="24"/>
          <w:highlight w:val="none"/>
        </w:rPr>
        <w:t>（二）评标争议事项处理</w:t>
      </w:r>
    </w:p>
    <w:p w14:paraId="798A3B6F">
      <w:pPr>
        <w:pStyle w:val="14"/>
        <w:tabs>
          <w:tab w:val="left" w:pos="2472"/>
        </w:tabs>
        <w:spacing w:line="360" w:lineRule="auto"/>
        <w:ind w:firstLine="420" w:firstLineChars="200"/>
        <w:rPr>
          <w:rFonts w:hAnsi="宋体" w:cs="宋体"/>
          <w:highlight w:val="none"/>
        </w:rPr>
      </w:pPr>
      <w:r>
        <w:rPr>
          <w:rFonts w:hint="eastAsia" w:hAnsi="宋体" w:cs="宋体"/>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42187073">
      <w:pPr>
        <w:pStyle w:val="14"/>
        <w:tabs>
          <w:tab w:val="left" w:pos="2472"/>
        </w:tabs>
        <w:spacing w:line="460" w:lineRule="exact"/>
        <w:ind w:firstLine="542"/>
        <w:jc w:val="center"/>
        <w:rPr>
          <w:rFonts w:hAnsi="宋体" w:cs="宋体"/>
          <w:b/>
          <w:sz w:val="36"/>
          <w:highlight w:val="none"/>
        </w:rPr>
      </w:pPr>
      <w:r>
        <w:rPr>
          <w:rFonts w:hint="eastAsia" w:hAnsi="宋体" w:cs="宋体"/>
          <w:b/>
          <w:sz w:val="36"/>
          <w:highlight w:val="none"/>
        </w:rPr>
        <w:br w:type="page"/>
      </w:r>
    </w:p>
    <w:p w14:paraId="56211364">
      <w:pPr>
        <w:ind w:firstLine="542"/>
        <w:rPr>
          <w:rFonts w:hAnsi="宋体" w:cs="宋体"/>
          <w:b/>
          <w:sz w:val="36"/>
          <w:highlight w:val="none"/>
        </w:rPr>
      </w:pPr>
    </w:p>
    <w:p w14:paraId="3B84AA07">
      <w:pPr>
        <w:ind w:firstLine="542"/>
        <w:rPr>
          <w:rFonts w:hAnsi="宋体" w:cs="宋体"/>
          <w:b/>
          <w:sz w:val="36"/>
          <w:highlight w:val="none"/>
        </w:rPr>
      </w:pPr>
    </w:p>
    <w:p w14:paraId="7F944A21">
      <w:pPr>
        <w:ind w:firstLine="542"/>
        <w:rPr>
          <w:rFonts w:hAnsi="宋体" w:cs="宋体"/>
          <w:b/>
          <w:sz w:val="36"/>
          <w:highlight w:val="none"/>
        </w:rPr>
      </w:pPr>
    </w:p>
    <w:p w14:paraId="343F822D">
      <w:pPr>
        <w:ind w:firstLine="542"/>
        <w:rPr>
          <w:rFonts w:hAnsi="宋体" w:cs="宋体"/>
          <w:b/>
          <w:sz w:val="36"/>
          <w:highlight w:val="none"/>
        </w:rPr>
      </w:pPr>
    </w:p>
    <w:p w14:paraId="1F47022E">
      <w:pPr>
        <w:ind w:firstLine="542"/>
        <w:rPr>
          <w:rFonts w:hAnsi="宋体" w:cs="宋体"/>
          <w:b/>
          <w:sz w:val="36"/>
          <w:highlight w:val="none"/>
        </w:rPr>
      </w:pPr>
    </w:p>
    <w:p w14:paraId="27C31225">
      <w:pPr>
        <w:ind w:firstLine="542"/>
        <w:rPr>
          <w:rFonts w:hAnsi="宋体" w:cs="宋体"/>
          <w:b/>
          <w:sz w:val="36"/>
          <w:highlight w:val="none"/>
        </w:rPr>
      </w:pPr>
    </w:p>
    <w:p w14:paraId="43D39564">
      <w:pPr>
        <w:ind w:firstLine="542"/>
        <w:rPr>
          <w:rFonts w:hAnsi="宋体" w:cs="宋体"/>
          <w:b/>
          <w:sz w:val="36"/>
          <w:highlight w:val="none"/>
        </w:rPr>
      </w:pPr>
    </w:p>
    <w:p w14:paraId="61F2A88F">
      <w:pPr>
        <w:ind w:firstLine="542"/>
        <w:rPr>
          <w:rFonts w:hAnsi="宋体" w:cs="宋体"/>
          <w:b/>
          <w:sz w:val="36"/>
          <w:highlight w:val="none"/>
        </w:rPr>
      </w:pPr>
    </w:p>
    <w:p w14:paraId="3D85FB8D">
      <w:pPr>
        <w:pStyle w:val="14"/>
        <w:tabs>
          <w:tab w:val="left" w:pos="2472"/>
        </w:tabs>
        <w:spacing w:line="460" w:lineRule="exact"/>
        <w:ind w:firstLine="542"/>
        <w:jc w:val="center"/>
        <w:outlineLvl w:val="0"/>
        <w:rPr>
          <w:rFonts w:hAnsi="宋体" w:cs="宋体"/>
          <w:b/>
          <w:sz w:val="36"/>
          <w:highlight w:val="none"/>
        </w:rPr>
      </w:pPr>
      <w:bookmarkStart w:id="233" w:name="_Toc1169"/>
      <w:bookmarkStart w:id="234" w:name="_Toc30669"/>
      <w:bookmarkStart w:id="235" w:name="_Toc5426"/>
      <w:bookmarkStart w:id="236" w:name="_Toc17443"/>
      <w:r>
        <w:rPr>
          <w:rFonts w:hint="eastAsia" w:hAnsi="宋体" w:cs="宋体"/>
          <w:b/>
          <w:sz w:val="36"/>
          <w:highlight w:val="none"/>
        </w:rPr>
        <w:t>第五章 拟签订的合同文本</w:t>
      </w:r>
      <w:bookmarkEnd w:id="233"/>
      <w:bookmarkEnd w:id="234"/>
      <w:bookmarkEnd w:id="235"/>
      <w:bookmarkEnd w:id="236"/>
    </w:p>
    <w:p w14:paraId="3204E059">
      <w:pPr>
        <w:adjustRightInd w:val="0"/>
        <w:snapToGrid w:val="0"/>
        <w:spacing w:line="360" w:lineRule="auto"/>
        <w:ind w:firstLine="542"/>
        <w:rPr>
          <w:rFonts w:ascii="宋体" w:hAnsi="宋体" w:cs="宋体"/>
          <w:b/>
          <w:bCs/>
          <w:sz w:val="36"/>
          <w:szCs w:val="36"/>
          <w:highlight w:val="none"/>
        </w:rPr>
      </w:pPr>
    </w:p>
    <w:p w14:paraId="22A7D9CF">
      <w:pPr>
        <w:spacing w:line="600" w:lineRule="exact"/>
        <w:ind w:firstLine="482"/>
        <w:jc w:val="center"/>
        <w:rPr>
          <w:rFonts w:ascii="黑体" w:hAnsi="黑体" w:eastAsia="黑体"/>
          <w:szCs w:val="21"/>
          <w:highlight w:val="none"/>
        </w:rPr>
      </w:pPr>
      <w:r>
        <w:rPr>
          <w:rFonts w:hint="eastAsia" w:ascii="宋体" w:hAnsi="宋体" w:cs="宋体"/>
          <w:b/>
          <w:bCs/>
          <w:sz w:val="32"/>
          <w:szCs w:val="32"/>
          <w:highlight w:val="none"/>
        </w:rPr>
        <w:br w:type="page"/>
      </w:r>
    </w:p>
    <w:p w14:paraId="4EA61716">
      <w:pPr>
        <w:spacing w:line="600" w:lineRule="exact"/>
        <w:jc w:val="center"/>
        <w:rPr>
          <w:rFonts w:ascii="黑体" w:hAnsi="黑体" w:eastAsia="黑体"/>
          <w:szCs w:val="21"/>
          <w:highlight w:val="none"/>
        </w:rPr>
      </w:pPr>
    </w:p>
    <w:p w14:paraId="71FE1891">
      <w:pPr>
        <w:snapToGrid w:val="0"/>
        <w:spacing w:line="40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《广西壮族自治区政府采购合同》</w:t>
      </w:r>
    </w:p>
    <w:p w14:paraId="1EC53A4C">
      <w:pPr>
        <w:snapToGrid w:val="0"/>
        <w:spacing w:line="360" w:lineRule="auto"/>
        <w:ind w:right="480" w:firstLine="5670" w:firstLineChars="2700"/>
        <w:rPr>
          <w:rFonts w:hint="eastAsia" w:ascii="宋体" w:hAnsi="宋体" w:eastAsia="宋体" w:cs="宋体"/>
          <w:bCs/>
          <w:color w:val="auto"/>
          <w:szCs w:val="21"/>
          <w:highlight w:val="none"/>
        </w:rPr>
      </w:pPr>
    </w:p>
    <w:p w14:paraId="1E8CBE04">
      <w:pPr>
        <w:snapToGrid w:val="0"/>
        <w:spacing w:line="360" w:lineRule="auto"/>
        <w:ind w:right="480" w:firstLine="5670" w:firstLineChars="27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合同编号：</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61D2EAA1">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采购人（甲方）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pacing w:val="-20"/>
          <w:szCs w:val="21"/>
          <w:highlight w:val="none"/>
        </w:rPr>
        <w:t>采 购 计 划 号</w:t>
      </w:r>
      <w:r>
        <w:rPr>
          <w:rFonts w:hint="eastAsia" w:ascii="宋体" w:hAnsi="宋体" w:eastAsia="宋体" w:cs="宋体"/>
          <w:color w:val="auto"/>
          <w:spacing w:val="-20"/>
          <w:szCs w:val="21"/>
          <w:highlight w:val="none"/>
          <w:lang w:eastAsia="zh-CN"/>
        </w:rPr>
        <w:t>：</w:t>
      </w:r>
      <w:r>
        <w:rPr>
          <w:rFonts w:hint="eastAsia" w:ascii="宋体" w:hAnsi="宋体" w:eastAsia="宋体" w:cs="宋体"/>
          <w:color w:val="auto"/>
          <w:szCs w:val="21"/>
          <w:highlight w:val="none"/>
          <w:u w:val="single"/>
        </w:rPr>
        <w:t xml:space="preserve">             </w:t>
      </w:r>
    </w:p>
    <w:p w14:paraId="19DF9E96">
      <w:pPr>
        <w:snapToGrid w:val="0"/>
        <w:spacing w:line="440" w:lineRule="exact"/>
        <w:rPr>
          <w:rFonts w:hint="eastAsia" w:ascii="宋体" w:hAnsi="宋体" w:eastAsia="宋体" w:cs="宋体"/>
          <w:color w:val="auto"/>
          <w:szCs w:val="21"/>
          <w:highlight w:val="none"/>
          <w:u w:val="single"/>
        </w:rPr>
      </w:pPr>
      <w:r>
        <w:rPr>
          <w:rFonts w:hint="eastAsia" w:ascii="宋体" w:hAnsi="宋体" w:cs="宋体"/>
          <w:color w:val="auto"/>
          <w:szCs w:val="21"/>
          <w:highlight w:val="none"/>
          <w:lang w:eastAsia="zh-CN"/>
        </w:rPr>
        <w:t>中标</w:t>
      </w:r>
      <w:r>
        <w:rPr>
          <w:rFonts w:hint="eastAsia" w:ascii="宋体" w:hAnsi="宋体" w:cs="宋体"/>
          <w:color w:val="auto"/>
          <w:szCs w:val="21"/>
          <w:highlight w:val="none"/>
          <w:lang w:val="en-US" w:eastAsia="zh-CN"/>
        </w:rPr>
        <w:t>人</w:t>
      </w:r>
      <w:r>
        <w:rPr>
          <w:rFonts w:hint="eastAsia" w:ascii="宋体" w:hAnsi="宋体" w:eastAsia="宋体" w:cs="宋体"/>
          <w:color w:val="auto"/>
          <w:szCs w:val="21"/>
          <w:highlight w:val="none"/>
        </w:rPr>
        <w:t>（乙方）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445EF9FF">
      <w:pPr>
        <w:pStyle w:val="17"/>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none"/>
          <w:lang w:eastAsia="zh-CN"/>
        </w:rPr>
        <w:t>项目名称：</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p>
    <w:p w14:paraId="3C09BF4E">
      <w:pPr>
        <w:snapToGrid w:val="0"/>
        <w:spacing w:line="44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eastAsia="zh-CN"/>
        </w:rPr>
        <w:t>项目</w:t>
      </w:r>
      <w:r>
        <w:rPr>
          <w:rFonts w:hint="eastAsia" w:ascii="宋体" w:hAnsi="宋体" w:eastAsia="宋体" w:cs="宋体"/>
          <w:color w:val="auto"/>
          <w:spacing w:val="-20"/>
          <w:szCs w:val="21"/>
          <w:highlight w:val="none"/>
        </w:rPr>
        <w:t>编 号</w:t>
      </w:r>
      <w:r>
        <w:rPr>
          <w:rFonts w:hint="eastAsia" w:ascii="宋体" w:hAnsi="宋体" w:eastAsia="宋体" w:cs="宋体"/>
          <w:color w:val="auto"/>
          <w:spacing w:val="-20"/>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7133F146">
      <w:pPr>
        <w:snapToGrid w:val="0"/>
        <w:spacing w:line="44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签订地点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签订时间</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70D780AF">
      <w:pPr>
        <w:snapToGrid w:val="0"/>
        <w:spacing w:line="360" w:lineRule="auto"/>
        <w:ind w:firstLine="420" w:firstLineChars="200"/>
        <w:rPr>
          <w:rFonts w:hint="eastAsia" w:ascii="宋体" w:hAnsi="宋体" w:eastAsia="宋体" w:cs="宋体"/>
          <w:color w:val="auto"/>
          <w:szCs w:val="21"/>
          <w:highlight w:val="none"/>
        </w:rPr>
      </w:pPr>
    </w:p>
    <w:p w14:paraId="591D1E3A">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根据《中华人民共和国政府采购法》、《中华人民共和国民法典》等法律、法规规定，按照招标文件（采购文件）规定条款和投标文件及承诺，甲乙双方签订本合同。</w:t>
      </w:r>
    </w:p>
    <w:p w14:paraId="799E65A4">
      <w:pPr>
        <w:spacing w:line="40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第一条　合同标的</w:t>
      </w:r>
    </w:p>
    <w:p w14:paraId="600E4A81">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供货一览表</w:t>
      </w:r>
    </w:p>
    <w:tbl>
      <w:tblPr>
        <w:tblStyle w:val="28"/>
        <w:tblpPr w:leftFromText="180" w:rightFromText="180" w:vertAnchor="text" w:horzAnchor="page" w:tblpX="1482" w:tblpY="4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442"/>
        <w:gridCol w:w="1572"/>
        <w:gridCol w:w="983"/>
        <w:gridCol w:w="1336"/>
        <w:gridCol w:w="602"/>
        <w:gridCol w:w="536"/>
        <w:gridCol w:w="1100"/>
        <w:gridCol w:w="1048"/>
      </w:tblGrid>
      <w:tr w14:paraId="39AD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496" w:type="dxa"/>
            <w:noWrap w:val="0"/>
            <w:vAlign w:val="center"/>
          </w:tcPr>
          <w:p w14:paraId="0AEFEE9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42" w:type="dxa"/>
            <w:noWrap w:val="0"/>
            <w:vAlign w:val="center"/>
          </w:tcPr>
          <w:p w14:paraId="495731B7">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产品名称</w:t>
            </w:r>
          </w:p>
        </w:tc>
        <w:tc>
          <w:tcPr>
            <w:tcW w:w="1572" w:type="dxa"/>
            <w:noWrap w:val="0"/>
            <w:vAlign w:val="center"/>
          </w:tcPr>
          <w:p w14:paraId="3D99AA2B">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商标品牌</w:t>
            </w:r>
          </w:p>
        </w:tc>
        <w:tc>
          <w:tcPr>
            <w:tcW w:w="983" w:type="dxa"/>
            <w:noWrap w:val="0"/>
            <w:vAlign w:val="center"/>
          </w:tcPr>
          <w:p w14:paraId="31BB5E17">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规格型号</w:t>
            </w:r>
          </w:p>
        </w:tc>
        <w:tc>
          <w:tcPr>
            <w:tcW w:w="1336" w:type="dxa"/>
            <w:noWrap w:val="0"/>
            <w:vAlign w:val="center"/>
          </w:tcPr>
          <w:p w14:paraId="1FAB6D3B">
            <w:pPr>
              <w:spacing w:line="400" w:lineRule="exact"/>
              <w:rPr>
                <w:rFonts w:hint="eastAsia" w:ascii="宋体" w:hAnsi="宋体" w:eastAsia="宋体" w:cs="宋体"/>
                <w:sz w:val="21"/>
                <w:szCs w:val="21"/>
              </w:rPr>
            </w:pPr>
            <w:r>
              <w:rPr>
                <w:rFonts w:hint="eastAsia" w:ascii="宋体" w:hAnsi="宋体" w:eastAsia="宋体" w:cs="宋体"/>
                <w:spacing w:val="-17"/>
                <w:sz w:val="21"/>
                <w:szCs w:val="21"/>
              </w:rPr>
              <w:t>生产厂家</w:t>
            </w:r>
          </w:p>
        </w:tc>
        <w:tc>
          <w:tcPr>
            <w:tcW w:w="602" w:type="dxa"/>
            <w:noWrap w:val="0"/>
            <w:vAlign w:val="center"/>
          </w:tcPr>
          <w:p w14:paraId="20261C6A">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536" w:type="dxa"/>
            <w:noWrap w:val="0"/>
            <w:vAlign w:val="center"/>
          </w:tcPr>
          <w:p w14:paraId="0E3B961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1100" w:type="dxa"/>
            <w:noWrap w:val="0"/>
            <w:vAlign w:val="center"/>
          </w:tcPr>
          <w:p w14:paraId="68ACA75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单</w:t>
            </w:r>
            <w:r>
              <w:rPr>
                <w:rFonts w:hint="eastAsia" w:ascii="宋体" w:hAnsi="宋体" w:eastAsia="宋体" w:cs="宋体"/>
                <w:sz w:val="21"/>
                <w:szCs w:val="21"/>
                <w:lang w:val="en"/>
              </w:rPr>
              <w:t xml:space="preserve"> </w:t>
            </w:r>
            <w:r>
              <w:rPr>
                <w:rFonts w:hint="eastAsia" w:ascii="宋体" w:hAnsi="宋体" w:eastAsia="宋体" w:cs="宋体"/>
                <w:sz w:val="21"/>
                <w:szCs w:val="21"/>
              </w:rPr>
              <w:t>价</w:t>
            </w:r>
          </w:p>
          <w:p w14:paraId="51079544">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（元）</w:t>
            </w:r>
          </w:p>
        </w:tc>
        <w:tc>
          <w:tcPr>
            <w:tcW w:w="1048" w:type="dxa"/>
            <w:noWrap w:val="0"/>
            <w:vAlign w:val="center"/>
          </w:tcPr>
          <w:p w14:paraId="27274E32">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金 额</w:t>
            </w:r>
          </w:p>
          <w:p w14:paraId="73AE7B1B">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（元）</w:t>
            </w:r>
          </w:p>
        </w:tc>
      </w:tr>
      <w:tr w14:paraId="17F7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496" w:type="dxa"/>
            <w:noWrap w:val="0"/>
            <w:vAlign w:val="center"/>
          </w:tcPr>
          <w:p w14:paraId="1B7FA987">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1442" w:type="dxa"/>
            <w:noWrap w:val="0"/>
            <w:vAlign w:val="center"/>
          </w:tcPr>
          <w:p w14:paraId="795E2253">
            <w:pPr>
              <w:spacing w:line="400" w:lineRule="exact"/>
              <w:rPr>
                <w:rFonts w:hint="eastAsia" w:ascii="宋体" w:hAnsi="宋体" w:eastAsia="宋体" w:cs="宋体"/>
                <w:sz w:val="21"/>
                <w:szCs w:val="21"/>
              </w:rPr>
            </w:pPr>
          </w:p>
        </w:tc>
        <w:tc>
          <w:tcPr>
            <w:tcW w:w="1572" w:type="dxa"/>
            <w:noWrap w:val="0"/>
            <w:vAlign w:val="center"/>
          </w:tcPr>
          <w:p w14:paraId="7F595827">
            <w:pPr>
              <w:spacing w:line="400" w:lineRule="exact"/>
              <w:rPr>
                <w:rFonts w:hint="eastAsia" w:ascii="宋体" w:hAnsi="宋体" w:eastAsia="宋体" w:cs="宋体"/>
                <w:sz w:val="21"/>
                <w:szCs w:val="21"/>
              </w:rPr>
            </w:pPr>
          </w:p>
        </w:tc>
        <w:tc>
          <w:tcPr>
            <w:tcW w:w="983" w:type="dxa"/>
            <w:noWrap w:val="0"/>
            <w:vAlign w:val="center"/>
          </w:tcPr>
          <w:p w14:paraId="2B81B801">
            <w:pPr>
              <w:spacing w:line="400" w:lineRule="exact"/>
              <w:rPr>
                <w:rFonts w:hint="eastAsia" w:ascii="宋体" w:hAnsi="宋体" w:eastAsia="宋体" w:cs="宋体"/>
                <w:sz w:val="21"/>
                <w:szCs w:val="21"/>
              </w:rPr>
            </w:pPr>
          </w:p>
        </w:tc>
        <w:tc>
          <w:tcPr>
            <w:tcW w:w="1336" w:type="dxa"/>
            <w:noWrap w:val="0"/>
            <w:vAlign w:val="top"/>
          </w:tcPr>
          <w:p w14:paraId="2FA63D8C">
            <w:pPr>
              <w:spacing w:line="400" w:lineRule="exact"/>
              <w:rPr>
                <w:rFonts w:hint="eastAsia" w:ascii="宋体" w:hAnsi="宋体" w:eastAsia="宋体" w:cs="宋体"/>
                <w:sz w:val="21"/>
                <w:szCs w:val="21"/>
              </w:rPr>
            </w:pPr>
          </w:p>
        </w:tc>
        <w:tc>
          <w:tcPr>
            <w:tcW w:w="602" w:type="dxa"/>
            <w:noWrap w:val="0"/>
            <w:vAlign w:val="top"/>
          </w:tcPr>
          <w:p w14:paraId="534FB5D7">
            <w:pPr>
              <w:spacing w:line="400" w:lineRule="exact"/>
              <w:rPr>
                <w:rFonts w:hint="eastAsia" w:ascii="宋体" w:hAnsi="宋体" w:eastAsia="宋体" w:cs="宋体"/>
                <w:sz w:val="21"/>
                <w:szCs w:val="21"/>
              </w:rPr>
            </w:pPr>
          </w:p>
        </w:tc>
        <w:tc>
          <w:tcPr>
            <w:tcW w:w="536" w:type="dxa"/>
            <w:noWrap w:val="0"/>
            <w:vAlign w:val="top"/>
          </w:tcPr>
          <w:p w14:paraId="5BE3E8E2">
            <w:pPr>
              <w:spacing w:line="400" w:lineRule="exact"/>
              <w:rPr>
                <w:rFonts w:hint="eastAsia" w:ascii="宋体" w:hAnsi="宋体" w:eastAsia="宋体" w:cs="宋体"/>
                <w:sz w:val="21"/>
                <w:szCs w:val="21"/>
              </w:rPr>
            </w:pPr>
          </w:p>
        </w:tc>
        <w:tc>
          <w:tcPr>
            <w:tcW w:w="1100" w:type="dxa"/>
            <w:noWrap w:val="0"/>
            <w:vAlign w:val="center"/>
          </w:tcPr>
          <w:p w14:paraId="5579A4AC">
            <w:pPr>
              <w:spacing w:line="400" w:lineRule="exact"/>
              <w:rPr>
                <w:rFonts w:hint="eastAsia" w:ascii="宋体" w:hAnsi="宋体" w:eastAsia="宋体" w:cs="宋体"/>
                <w:sz w:val="21"/>
                <w:szCs w:val="21"/>
              </w:rPr>
            </w:pPr>
          </w:p>
        </w:tc>
        <w:tc>
          <w:tcPr>
            <w:tcW w:w="1048" w:type="dxa"/>
            <w:noWrap w:val="0"/>
            <w:vAlign w:val="center"/>
          </w:tcPr>
          <w:p w14:paraId="5211AC47">
            <w:pPr>
              <w:spacing w:line="400" w:lineRule="exact"/>
              <w:rPr>
                <w:rFonts w:hint="eastAsia" w:ascii="宋体" w:hAnsi="宋体" w:eastAsia="宋体" w:cs="宋体"/>
                <w:sz w:val="21"/>
                <w:szCs w:val="21"/>
              </w:rPr>
            </w:pPr>
          </w:p>
        </w:tc>
      </w:tr>
      <w:tr w14:paraId="61A9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496" w:type="dxa"/>
            <w:noWrap w:val="0"/>
            <w:vAlign w:val="center"/>
          </w:tcPr>
          <w:p w14:paraId="577502BF">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1442" w:type="dxa"/>
            <w:noWrap w:val="0"/>
            <w:vAlign w:val="center"/>
          </w:tcPr>
          <w:p w14:paraId="0335B4CB">
            <w:pPr>
              <w:spacing w:line="400" w:lineRule="exact"/>
              <w:rPr>
                <w:rFonts w:hint="eastAsia" w:ascii="宋体" w:hAnsi="宋体" w:eastAsia="宋体" w:cs="宋体"/>
                <w:sz w:val="21"/>
                <w:szCs w:val="21"/>
              </w:rPr>
            </w:pPr>
          </w:p>
        </w:tc>
        <w:tc>
          <w:tcPr>
            <w:tcW w:w="1572" w:type="dxa"/>
            <w:noWrap w:val="0"/>
            <w:vAlign w:val="center"/>
          </w:tcPr>
          <w:p w14:paraId="5F89D51E">
            <w:pPr>
              <w:spacing w:line="400" w:lineRule="exact"/>
              <w:rPr>
                <w:rFonts w:hint="eastAsia" w:ascii="宋体" w:hAnsi="宋体" w:eastAsia="宋体" w:cs="宋体"/>
                <w:sz w:val="21"/>
                <w:szCs w:val="21"/>
              </w:rPr>
            </w:pPr>
          </w:p>
        </w:tc>
        <w:tc>
          <w:tcPr>
            <w:tcW w:w="983" w:type="dxa"/>
            <w:noWrap w:val="0"/>
            <w:vAlign w:val="center"/>
          </w:tcPr>
          <w:p w14:paraId="6AD1471A">
            <w:pPr>
              <w:spacing w:line="400" w:lineRule="exact"/>
              <w:rPr>
                <w:rFonts w:hint="eastAsia" w:ascii="宋体" w:hAnsi="宋体" w:eastAsia="宋体" w:cs="宋体"/>
                <w:sz w:val="21"/>
                <w:szCs w:val="21"/>
              </w:rPr>
            </w:pPr>
          </w:p>
        </w:tc>
        <w:tc>
          <w:tcPr>
            <w:tcW w:w="1336" w:type="dxa"/>
            <w:noWrap w:val="0"/>
            <w:vAlign w:val="top"/>
          </w:tcPr>
          <w:p w14:paraId="7D1C2499">
            <w:pPr>
              <w:spacing w:line="400" w:lineRule="exact"/>
              <w:rPr>
                <w:rFonts w:hint="eastAsia" w:ascii="宋体" w:hAnsi="宋体" w:eastAsia="宋体" w:cs="宋体"/>
                <w:sz w:val="21"/>
                <w:szCs w:val="21"/>
              </w:rPr>
            </w:pPr>
          </w:p>
        </w:tc>
        <w:tc>
          <w:tcPr>
            <w:tcW w:w="602" w:type="dxa"/>
            <w:noWrap w:val="0"/>
            <w:vAlign w:val="top"/>
          </w:tcPr>
          <w:p w14:paraId="0F73A939">
            <w:pPr>
              <w:spacing w:line="400" w:lineRule="exact"/>
              <w:rPr>
                <w:rFonts w:hint="eastAsia" w:ascii="宋体" w:hAnsi="宋体" w:eastAsia="宋体" w:cs="宋体"/>
                <w:sz w:val="21"/>
                <w:szCs w:val="21"/>
              </w:rPr>
            </w:pPr>
          </w:p>
        </w:tc>
        <w:tc>
          <w:tcPr>
            <w:tcW w:w="536" w:type="dxa"/>
            <w:noWrap w:val="0"/>
            <w:vAlign w:val="top"/>
          </w:tcPr>
          <w:p w14:paraId="592174FF">
            <w:pPr>
              <w:spacing w:line="400" w:lineRule="exact"/>
              <w:rPr>
                <w:rFonts w:hint="eastAsia" w:ascii="宋体" w:hAnsi="宋体" w:eastAsia="宋体" w:cs="宋体"/>
                <w:sz w:val="21"/>
                <w:szCs w:val="21"/>
              </w:rPr>
            </w:pPr>
          </w:p>
        </w:tc>
        <w:tc>
          <w:tcPr>
            <w:tcW w:w="1100" w:type="dxa"/>
            <w:noWrap w:val="0"/>
            <w:vAlign w:val="center"/>
          </w:tcPr>
          <w:p w14:paraId="3DB3A385">
            <w:pPr>
              <w:spacing w:line="400" w:lineRule="exact"/>
              <w:rPr>
                <w:rFonts w:hint="eastAsia" w:ascii="宋体" w:hAnsi="宋体" w:eastAsia="宋体" w:cs="宋体"/>
                <w:sz w:val="21"/>
                <w:szCs w:val="21"/>
              </w:rPr>
            </w:pPr>
          </w:p>
        </w:tc>
        <w:tc>
          <w:tcPr>
            <w:tcW w:w="1048" w:type="dxa"/>
            <w:noWrap w:val="0"/>
            <w:vAlign w:val="center"/>
          </w:tcPr>
          <w:p w14:paraId="497CDBA3">
            <w:pPr>
              <w:spacing w:line="400" w:lineRule="exact"/>
              <w:rPr>
                <w:rFonts w:hint="eastAsia" w:ascii="宋体" w:hAnsi="宋体" w:eastAsia="宋体" w:cs="宋体"/>
                <w:sz w:val="21"/>
                <w:szCs w:val="21"/>
              </w:rPr>
            </w:pPr>
          </w:p>
        </w:tc>
      </w:tr>
      <w:tr w14:paraId="2306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496" w:type="dxa"/>
            <w:noWrap w:val="0"/>
            <w:vAlign w:val="center"/>
          </w:tcPr>
          <w:p w14:paraId="791F6864">
            <w:pPr>
              <w:spacing w:line="400" w:lineRule="exact"/>
              <w:jc w:val="center"/>
              <w:rPr>
                <w:rFonts w:hint="eastAsia" w:ascii="宋体" w:hAnsi="宋体" w:eastAsia="宋体" w:cs="宋体"/>
                <w:sz w:val="21"/>
                <w:szCs w:val="21"/>
              </w:rPr>
            </w:pPr>
            <w:r>
              <w:rPr>
                <w:rFonts w:hint="eastAsia" w:ascii="宋体" w:hAnsi="宋体" w:eastAsia="宋体" w:cs="宋体"/>
                <w:sz w:val="21"/>
                <w:szCs w:val="21"/>
              </w:rPr>
              <w:t>3</w:t>
            </w:r>
          </w:p>
        </w:tc>
        <w:tc>
          <w:tcPr>
            <w:tcW w:w="1442" w:type="dxa"/>
            <w:noWrap w:val="0"/>
            <w:vAlign w:val="center"/>
          </w:tcPr>
          <w:p w14:paraId="65708AE2">
            <w:pPr>
              <w:spacing w:line="400" w:lineRule="exact"/>
              <w:rPr>
                <w:rFonts w:hint="eastAsia" w:ascii="宋体" w:hAnsi="宋体" w:eastAsia="宋体" w:cs="宋体"/>
                <w:sz w:val="21"/>
                <w:szCs w:val="21"/>
              </w:rPr>
            </w:pPr>
          </w:p>
        </w:tc>
        <w:tc>
          <w:tcPr>
            <w:tcW w:w="1572" w:type="dxa"/>
            <w:noWrap w:val="0"/>
            <w:vAlign w:val="center"/>
          </w:tcPr>
          <w:p w14:paraId="45870204">
            <w:pPr>
              <w:spacing w:line="400" w:lineRule="exact"/>
              <w:rPr>
                <w:rFonts w:hint="eastAsia" w:ascii="宋体" w:hAnsi="宋体" w:eastAsia="宋体" w:cs="宋体"/>
                <w:sz w:val="21"/>
                <w:szCs w:val="21"/>
              </w:rPr>
            </w:pPr>
          </w:p>
        </w:tc>
        <w:tc>
          <w:tcPr>
            <w:tcW w:w="983" w:type="dxa"/>
            <w:noWrap w:val="0"/>
            <w:vAlign w:val="center"/>
          </w:tcPr>
          <w:p w14:paraId="7CFA6FFD">
            <w:pPr>
              <w:spacing w:line="400" w:lineRule="exact"/>
              <w:rPr>
                <w:rFonts w:hint="eastAsia" w:ascii="宋体" w:hAnsi="宋体" w:eastAsia="宋体" w:cs="宋体"/>
                <w:sz w:val="21"/>
                <w:szCs w:val="21"/>
              </w:rPr>
            </w:pPr>
          </w:p>
        </w:tc>
        <w:tc>
          <w:tcPr>
            <w:tcW w:w="1336" w:type="dxa"/>
            <w:noWrap w:val="0"/>
            <w:vAlign w:val="top"/>
          </w:tcPr>
          <w:p w14:paraId="6D0049D5">
            <w:pPr>
              <w:spacing w:line="400" w:lineRule="exact"/>
              <w:rPr>
                <w:rFonts w:hint="eastAsia" w:ascii="宋体" w:hAnsi="宋体" w:eastAsia="宋体" w:cs="宋体"/>
                <w:sz w:val="21"/>
                <w:szCs w:val="21"/>
              </w:rPr>
            </w:pPr>
          </w:p>
        </w:tc>
        <w:tc>
          <w:tcPr>
            <w:tcW w:w="602" w:type="dxa"/>
            <w:noWrap w:val="0"/>
            <w:vAlign w:val="top"/>
          </w:tcPr>
          <w:p w14:paraId="04F34D02">
            <w:pPr>
              <w:spacing w:line="400" w:lineRule="exact"/>
              <w:rPr>
                <w:rFonts w:hint="eastAsia" w:ascii="宋体" w:hAnsi="宋体" w:eastAsia="宋体" w:cs="宋体"/>
                <w:sz w:val="21"/>
                <w:szCs w:val="21"/>
              </w:rPr>
            </w:pPr>
          </w:p>
        </w:tc>
        <w:tc>
          <w:tcPr>
            <w:tcW w:w="536" w:type="dxa"/>
            <w:noWrap w:val="0"/>
            <w:vAlign w:val="top"/>
          </w:tcPr>
          <w:p w14:paraId="4E88AD01">
            <w:pPr>
              <w:spacing w:line="400" w:lineRule="exact"/>
              <w:rPr>
                <w:rFonts w:hint="eastAsia" w:ascii="宋体" w:hAnsi="宋体" w:eastAsia="宋体" w:cs="宋体"/>
                <w:sz w:val="21"/>
                <w:szCs w:val="21"/>
              </w:rPr>
            </w:pPr>
          </w:p>
        </w:tc>
        <w:tc>
          <w:tcPr>
            <w:tcW w:w="1100" w:type="dxa"/>
            <w:noWrap w:val="0"/>
            <w:vAlign w:val="center"/>
          </w:tcPr>
          <w:p w14:paraId="506CCBDE">
            <w:pPr>
              <w:spacing w:line="400" w:lineRule="exact"/>
              <w:rPr>
                <w:rFonts w:hint="eastAsia" w:ascii="宋体" w:hAnsi="宋体" w:eastAsia="宋体" w:cs="宋体"/>
                <w:sz w:val="21"/>
                <w:szCs w:val="21"/>
              </w:rPr>
            </w:pPr>
          </w:p>
        </w:tc>
        <w:tc>
          <w:tcPr>
            <w:tcW w:w="1048" w:type="dxa"/>
            <w:noWrap w:val="0"/>
            <w:vAlign w:val="center"/>
          </w:tcPr>
          <w:p w14:paraId="037A8B80">
            <w:pPr>
              <w:spacing w:line="400" w:lineRule="exact"/>
              <w:rPr>
                <w:rFonts w:hint="eastAsia" w:ascii="宋体" w:hAnsi="宋体" w:eastAsia="宋体" w:cs="宋体"/>
                <w:sz w:val="21"/>
                <w:szCs w:val="21"/>
              </w:rPr>
            </w:pPr>
          </w:p>
        </w:tc>
      </w:tr>
      <w:tr w14:paraId="476E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trPr>
        <w:tc>
          <w:tcPr>
            <w:tcW w:w="9115" w:type="dxa"/>
            <w:gridSpan w:val="9"/>
            <w:noWrap w:val="0"/>
            <w:vAlign w:val="center"/>
          </w:tcPr>
          <w:p w14:paraId="0260060F">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合同金额（人民币，大写） </w:t>
            </w:r>
            <w:r>
              <w:rPr>
                <w:rFonts w:hint="eastAsia" w:ascii="宋体" w:hAnsi="宋体" w:eastAsia="宋体" w:cs="宋体"/>
                <w:sz w:val="21"/>
                <w:szCs w:val="21"/>
                <w:u w:val="single"/>
              </w:rPr>
              <w:t xml:space="preserve">                       </w:t>
            </w:r>
            <w:r>
              <w:rPr>
                <w:rFonts w:hint="eastAsia" w:ascii="宋体" w:hAnsi="宋体" w:eastAsia="宋体" w:cs="宋体"/>
                <w:sz w:val="21"/>
                <w:szCs w:val="21"/>
              </w:rPr>
              <w:t>元整（¥</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tc>
      </w:tr>
    </w:tbl>
    <w:p w14:paraId="2957641D">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合同</w:t>
      </w:r>
      <w:r>
        <w:rPr>
          <w:rFonts w:hint="eastAsia" w:ascii="宋体" w:hAnsi="宋体" w:eastAsia="宋体" w:cs="宋体"/>
          <w:sz w:val="21"/>
          <w:szCs w:val="21"/>
        </w:rPr>
        <w:t>标的的</w:t>
      </w:r>
      <w:r>
        <w:rPr>
          <w:rFonts w:hint="eastAsia" w:ascii="宋体" w:hAnsi="宋体" w:eastAsia="宋体" w:cs="宋体"/>
          <w:sz w:val="21"/>
          <w:szCs w:val="21"/>
          <w:lang w:eastAsia="zh-CN"/>
        </w:rPr>
        <w:t>详细</w:t>
      </w:r>
      <w:r>
        <w:rPr>
          <w:rFonts w:hint="eastAsia" w:ascii="宋体" w:hAnsi="宋体" w:eastAsia="宋体" w:cs="宋体"/>
          <w:sz w:val="21"/>
          <w:szCs w:val="21"/>
        </w:rPr>
        <w:t>技术要求、商务要求具体见</w:t>
      </w:r>
      <w:r>
        <w:rPr>
          <w:rFonts w:hint="eastAsia" w:ascii="宋体" w:hAnsi="宋体" w:eastAsia="宋体" w:cs="宋体"/>
          <w:sz w:val="21"/>
          <w:szCs w:val="21"/>
          <w:lang w:eastAsia="zh-CN"/>
        </w:rPr>
        <w:t>合同</w:t>
      </w:r>
      <w:r>
        <w:rPr>
          <w:rFonts w:hint="eastAsia" w:ascii="宋体" w:hAnsi="宋体" w:eastAsia="宋体" w:cs="宋体"/>
          <w:sz w:val="21"/>
          <w:szCs w:val="21"/>
        </w:rPr>
        <w:t>附件。</w:t>
      </w:r>
    </w:p>
    <w:p w14:paraId="140C5503">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合同金额</w:t>
      </w:r>
      <w:r>
        <w:rPr>
          <w:rFonts w:hint="eastAsia" w:ascii="宋体" w:hAnsi="宋体" w:eastAsia="宋体" w:cs="宋体"/>
          <w:sz w:val="21"/>
          <w:szCs w:val="21"/>
          <w:lang w:eastAsia="zh-CN"/>
        </w:rPr>
        <w:t>是</w:t>
      </w:r>
      <w:r>
        <w:rPr>
          <w:rFonts w:hint="eastAsia" w:ascii="宋体" w:hAnsi="宋体" w:eastAsia="宋体" w:cs="宋体"/>
          <w:sz w:val="21"/>
          <w:szCs w:val="21"/>
        </w:rPr>
        <w:t>指根据本合同规定乙方在全面履行合同义务后甲方应支付给乙方的</w:t>
      </w:r>
      <w:r>
        <w:rPr>
          <w:rFonts w:hint="eastAsia" w:ascii="宋体" w:hAnsi="宋体" w:eastAsia="宋体" w:cs="宋体"/>
          <w:sz w:val="21"/>
          <w:szCs w:val="21"/>
          <w:lang w:eastAsia="zh-CN"/>
        </w:rPr>
        <w:t>金额，包括货物购置、运输、安装调试、售后服务、备品备件、验收及必要的检测、技术、培训、利润、税金、保险以及所有的不确定因素的风险等</w:t>
      </w:r>
      <w:r>
        <w:rPr>
          <w:rFonts w:hint="eastAsia" w:ascii="宋体" w:hAnsi="宋体" w:eastAsia="宋体" w:cs="宋体"/>
          <w:kern w:val="0"/>
          <w:sz w:val="21"/>
          <w:szCs w:val="21"/>
        </w:rPr>
        <w:t>。</w:t>
      </w:r>
    </w:p>
    <w:p w14:paraId="79F8D008">
      <w:pPr>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第二条　质量</w:t>
      </w:r>
      <w:r>
        <w:rPr>
          <w:rFonts w:hint="eastAsia" w:ascii="宋体" w:hAnsi="宋体" w:eastAsia="宋体" w:cs="宋体"/>
          <w:bCs/>
          <w:sz w:val="21"/>
          <w:szCs w:val="21"/>
          <w:lang w:eastAsia="zh-CN"/>
        </w:rPr>
        <w:t>标准</w:t>
      </w:r>
    </w:p>
    <w:p w14:paraId="2A1F9119">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乙方所提供的产品名称、商标品牌、生产厂家、规格型号、技术参数、质量等必须与招标文件规定、投标文件及承诺相一致，并符合国家标准和行业标准对货物质量的规定。未制定国家标准、行业标准的，按照通常标准或者符合合同目的的特定标准确定，符合保障人体健康和人身、财产安全的要求。</w:t>
      </w:r>
    </w:p>
    <w:p w14:paraId="0BD33EFD">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乙方提供的节能和环保产品必须是列入政府采购品目清单的产品。</w:t>
      </w:r>
    </w:p>
    <w:p w14:paraId="713EEEFA">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乙方所提供的货物必须是全新、未使用的原装产品，且在正常安装、使用和保养条件下，其使用寿命期内各项指标均达到招标文件规定或者投标文件及承诺的质量要求。</w:t>
      </w:r>
    </w:p>
    <w:p w14:paraId="1080CAE0">
      <w:pPr>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第三条　权利保证</w:t>
      </w:r>
    </w:p>
    <w:p w14:paraId="498841DE">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color w:val="000000"/>
          <w:sz w:val="21"/>
          <w:szCs w:val="21"/>
        </w:rPr>
        <w:t>乙方应保证提供的货物完全符合合同规定的</w:t>
      </w:r>
      <w:r>
        <w:rPr>
          <w:rFonts w:hint="eastAsia" w:cs="宋体"/>
          <w:color w:val="000000"/>
          <w:sz w:val="21"/>
          <w:szCs w:val="21"/>
          <w:lang w:val="en-US" w:eastAsia="zh-CN"/>
        </w:rPr>
        <w:t>品牌、</w:t>
      </w:r>
      <w:r>
        <w:rPr>
          <w:rFonts w:hint="eastAsia" w:ascii="宋体" w:hAnsi="宋体" w:eastAsia="宋体" w:cs="宋体"/>
          <w:color w:val="000000"/>
          <w:sz w:val="21"/>
          <w:szCs w:val="21"/>
        </w:rPr>
        <w:t>质量、规格和性能要求。乙方应保证货物在正确安装、正常使用和保养条件下，在其使用寿命期内具备合同约定的性能。存在质量保证期的，货物最终交付验收合格后在质量保证期内，本保证保持有效。</w:t>
      </w:r>
    </w:p>
    <w:p w14:paraId="1DAA43AA">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在质量保证期内所发现的缺陷，甲方应尽快以书面形式通知乙方。乙方收到通知后，应在规定的响应时间内以合理的速度免费维修或更换有缺陷的货物或部件。</w:t>
      </w:r>
    </w:p>
    <w:p w14:paraId="309F4C5E">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20"/>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在质量保证期内，如果货物的质量或规格与合同不符，或证实货物是有缺陷的，包括潜在的缺陷或使用不符合要求的材料等，甲方可以根据本合同第</w:t>
      </w:r>
      <w:r>
        <w:rPr>
          <w:rFonts w:hint="eastAsia" w:ascii="宋体" w:hAnsi="宋体" w:eastAsia="宋体" w:cs="宋体"/>
          <w:color w:val="000000"/>
          <w:sz w:val="21"/>
          <w:szCs w:val="21"/>
          <w:lang w:eastAsia="zh-CN"/>
        </w:rPr>
        <w:t>十二</w:t>
      </w:r>
      <w:r>
        <w:rPr>
          <w:rFonts w:hint="eastAsia" w:ascii="宋体" w:hAnsi="宋体" w:eastAsia="宋体" w:cs="宋体"/>
          <w:color w:val="000000"/>
          <w:sz w:val="21"/>
          <w:szCs w:val="21"/>
        </w:rPr>
        <w:t>条</w:t>
      </w:r>
      <w:r>
        <w:rPr>
          <w:rFonts w:hint="eastAsia" w:ascii="宋体" w:hAnsi="宋体" w:eastAsia="宋体" w:cs="宋体"/>
          <w:color w:val="000000"/>
          <w:sz w:val="21"/>
          <w:szCs w:val="21"/>
          <w:lang w:eastAsia="zh-CN"/>
        </w:rPr>
        <w:t>第</w:t>
      </w:r>
      <w:r>
        <w:rPr>
          <w:rFonts w:hint="eastAsia" w:ascii="宋体" w:hAnsi="宋体" w:eastAsia="宋体" w:cs="宋体"/>
          <w:sz w:val="21"/>
          <w:szCs w:val="21"/>
        </w:rPr>
        <w:t>3</w:t>
      </w:r>
      <w:r>
        <w:rPr>
          <w:rFonts w:hint="eastAsia" w:ascii="宋体" w:hAnsi="宋体" w:eastAsia="宋体" w:cs="宋体"/>
          <w:sz w:val="21"/>
          <w:szCs w:val="21"/>
          <w:lang w:eastAsia="zh-CN"/>
        </w:rPr>
        <w:t>点</w:t>
      </w:r>
      <w:r>
        <w:rPr>
          <w:rFonts w:hint="eastAsia" w:ascii="宋体" w:hAnsi="宋体" w:eastAsia="宋体" w:cs="宋体"/>
          <w:color w:val="000000"/>
          <w:sz w:val="21"/>
          <w:szCs w:val="21"/>
        </w:rPr>
        <w:t>规定以书面形式追究乙方的违约责任。</w:t>
      </w:r>
    </w:p>
    <w:p w14:paraId="12D1CDBD">
      <w:pPr>
        <w:spacing w:line="400" w:lineRule="exact"/>
        <w:ind w:firstLine="420" w:firstLineChars="200"/>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乙方在约定的时间内未能弥补缺陷，甲方可采取必要的补救措施，但其风险和费用将由乙方承担，甲方根据合同约定对乙方行使的其他权利不受影响。</w:t>
      </w:r>
    </w:p>
    <w:p w14:paraId="635E6647">
      <w:pPr>
        <w:pStyle w:val="23"/>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firstLine="480" w:firstLineChars="0"/>
        <w:rPr>
          <w:rFonts w:hint="eastAsia" w:ascii="宋体" w:hAnsi="宋体" w:eastAsia="宋体" w:cs="宋体"/>
          <w:kern w:val="0"/>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乙方应保证所提供货物在使用时不会侵犯任何第三方的专利权、商标权、工业设计权或者其他权利。</w:t>
      </w:r>
      <w:r>
        <w:rPr>
          <w:rFonts w:hint="eastAsia" w:ascii="宋体" w:hAnsi="宋体" w:eastAsia="宋体" w:cs="宋体"/>
          <w:kern w:val="0"/>
          <w:sz w:val="21"/>
          <w:szCs w:val="21"/>
        </w:rPr>
        <w:t>如乙方违反上述规定，则乙方应负责消除甲方拥有并使用乙方交付的货物、软件、技术资料等所存在的全部法律障碍，并赔偿甲方的损失。</w:t>
      </w:r>
      <w:r>
        <w:rPr>
          <w:rFonts w:hint="eastAsia" w:ascii="宋体" w:hAnsi="宋体" w:eastAsia="宋体" w:cs="宋体"/>
          <w:sz w:val="21"/>
          <w:szCs w:val="21"/>
        </w:rPr>
        <w:t>如甲方因使用乙方交付的货物构成侵权的，则由乙方承担全部责任。</w:t>
      </w:r>
    </w:p>
    <w:p w14:paraId="6C6D0E44">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lang w:val="en"/>
        </w:rPr>
        <w:t>.</w:t>
      </w:r>
      <w:r>
        <w:rPr>
          <w:rFonts w:hint="eastAsia" w:ascii="宋体" w:hAnsi="宋体" w:eastAsia="宋体" w:cs="宋体"/>
          <w:sz w:val="21"/>
          <w:szCs w:val="21"/>
        </w:rPr>
        <w:t>乙方保证将要交付的货物的所有权完全属于乙方且无任何抵押、质押、查封等产权瑕疵。</w:t>
      </w:r>
    </w:p>
    <w:p w14:paraId="4FABD05C">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乙方应按招标文件规定或者投标文件承诺的时间向甲方提供使用货物的有关技术资料。</w:t>
      </w:r>
    </w:p>
    <w:p w14:paraId="62E9C1D4">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lang w:val="en"/>
        </w:rPr>
        <w:t>.</w:t>
      </w:r>
      <w:r>
        <w:rPr>
          <w:rFonts w:hint="eastAsia" w:ascii="宋体" w:hAnsi="宋体" w:eastAsia="宋体" w:cs="宋体"/>
          <w:sz w:val="21"/>
          <w:szCs w:val="21"/>
        </w:rPr>
        <w:t>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765E39F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第四条　包装和运输</w:t>
      </w:r>
    </w:p>
    <w:p w14:paraId="119EDB1C">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1.乙方提供的货物均应按招标文件规定或者投标文件承诺的要求的包装材料、包装标准、包装方式进行包装，有原厂家包装的均应采用原厂家包装，每一包装单元内应附详细的装箱单和质量合格证。</w:t>
      </w:r>
    </w:p>
    <w:p w14:paraId="4403BB70">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2.货物的运输方式：</w:t>
      </w:r>
      <w:r>
        <w:rPr>
          <w:rFonts w:hint="eastAsia" w:ascii="宋体" w:hAnsi="宋体" w:eastAsia="宋体" w:cs="宋体"/>
          <w:sz w:val="21"/>
          <w:szCs w:val="21"/>
          <w:u w:val="single"/>
        </w:rPr>
        <w:t>　</w:t>
      </w:r>
      <w:r>
        <w:rPr>
          <w:rFonts w:hint="eastAsia" w:ascii="宋体" w:hAnsi="宋体" w:eastAsia="宋体" w:cs="宋体"/>
          <w:sz w:val="21"/>
          <w:szCs w:val="21"/>
          <w:u w:val="single"/>
          <w:lang w:eastAsia="zh-CN"/>
        </w:rPr>
        <w:t>陆运或海运</w:t>
      </w:r>
      <w:r>
        <w:rPr>
          <w:rFonts w:hint="eastAsia" w:ascii="宋体" w:hAnsi="宋体" w:eastAsia="宋体" w:cs="宋体"/>
          <w:sz w:val="21"/>
          <w:szCs w:val="21"/>
          <w:u w:val="single"/>
        </w:rPr>
        <w:t>　</w:t>
      </w:r>
      <w:r>
        <w:rPr>
          <w:rFonts w:hint="eastAsia" w:ascii="宋体" w:hAnsi="宋体" w:eastAsia="宋体" w:cs="宋体"/>
          <w:sz w:val="21"/>
          <w:szCs w:val="21"/>
        </w:rPr>
        <w:t>，乙方应采用保证货物安全的运输方式进行运输，运费、装卸费等由乙方承担，由于包装或运输不当所造成的损坏或损失均由乙方承担。</w:t>
      </w:r>
    </w:p>
    <w:p w14:paraId="58427E46">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3.货物的包装应适于长途运输和反复装卸，并且乙方应根据货物不同的特性和要求采取防潮、防雨、防锈、防震、防腐等保护措施，以保证货物安全无损地到达甲方指定地点。</w:t>
      </w:r>
    </w:p>
    <w:p w14:paraId="09337D77">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4.乙方在货物发运手续办理完毕后24小时内或者货到甲方48小时前通知甲方，以准备接货。</w:t>
      </w:r>
    </w:p>
    <w:p w14:paraId="3EDAC6BC">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5.货物应在规定的交付期限内由乙方送达甲方指定的地点，乙方同时需通知甲方货物已送达。</w:t>
      </w:r>
    </w:p>
    <w:p w14:paraId="59F89C58">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第五条　交付</w:t>
      </w:r>
      <w:r>
        <w:rPr>
          <w:rFonts w:hint="eastAsia" w:ascii="宋体" w:hAnsi="宋体" w:eastAsia="宋体" w:cs="宋体"/>
          <w:sz w:val="21"/>
          <w:szCs w:val="21"/>
          <w:lang w:eastAsia="zh-CN"/>
        </w:rPr>
        <w:t>的时间、地点和要求</w:t>
      </w:r>
    </w:p>
    <w:p w14:paraId="1C30E470">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交付时间：</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（以乙方投标文件承诺的时间为准）</w:t>
      </w:r>
      <w:r>
        <w:rPr>
          <w:rFonts w:hint="eastAsia" w:ascii="宋体" w:hAnsi="宋体" w:eastAsia="宋体" w:cs="宋体"/>
          <w:sz w:val="21"/>
          <w:szCs w:val="21"/>
        </w:rPr>
        <w:t>。</w:t>
      </w:r>
    </w:p>
    <w:p w14:paraId="7EA5F61D">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交付地点：</w:t>
      </w:r>
      <w:r>
        <w:rPr>
          <w:rFonts w:hint="eastAsia" w:ascii="宋体" w:hAnsi="宋体" w:cs="宋体"/>
          <w:sz w:val="21"/>
          <w:szCs w:val="21"/>
          <w:u w:val="single"/>
          <w:lang w:val="en-US" w:eastAsia="zh-CN"/>
        </w:rPr>
        <w:t xml:space="preserve">                                                         </w:t>
      </w:r>
      <w:r>
        <w:rPr>
          <w:rFonts w:hint="eastAsia" w:ascii="宋体" w:hAnsi="宋体" w:eastAsia="宋体" w:cs="宋体"/>
          <w:sz w:val="21"/>
          <w:szCs w:val="21"/>
          <w:u w:val="single"/>
        </w:rPr>
        <w:t>。</w:t>
      </w:r>
    </w:p>
    <w:p w14:paraId="43BB3AB2">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w:t>
      </w:r>
      <w:r>
        <w:rPr>
          <w:rFonts w:hint="eastAsia" w:ascii="宋体" w:hAnsi="宋体" w:eastAsia="宋体" w:cs="宋体"/>
          <w:kern w:val="0"/>
          <w:sz w:val="21"/>
          <w:szCs w:val="21"/>
        </w:rPr>
        <w:t>乙方在交付货物的同时需向甲方提供有关货物的附随资料，包括但不限于：</w:t>
      </w:r>
      <w:r>
        <w:rPr>
          <w:rFonts w:hint="eastAsia" w:ascii="宋体" w:hAnsi="宋体" w:eastAsia="宋体" w:cs="宋体"/>
          <w:sz w:val="21"/>
          <w:szCs w:val="21"/>
        </w:rPr>
        <w:t>货物目录、装箱清单、用户手册、质量合格证书、质保证书、</w:t>
      </w:r>
      <w:r>
        <w:rPr>
          <w:rFonts w:hint="eastAsia" w:ascii="宋体" w:hAnsi="宋体" w:eastAsia="宋体" w:cs="宋体"/>
          <w:kern w:val="0"/>
          <w:sz w:val="21"/>
          <w:szCs w:val="21"/>
        </w:rPr>
        <w:t>安装图纸、使用说明书、技术资料、</w:t>
      </w:r>
      <w:r>
        <w:rPr>
          <w:rFonts w:hint="eastAsia" w:ascii="宋体" w:hAnsi="宋体" w:eastAsia="宋体" w:cs="宋体"/>
          <w:sz w:val="21"/>
          <w:szCs w:val="21"/>
        </w:rPr>
        <w:t>原厂保修卡、工具和备品、备件等，货物属于进口产品的，供货时应同时附上货物原装进口的有关凭证和中文使用说明书，如有缺失应在合理的规定时间内补齐，否则视为逾期交货。</w:t>
      </w:r>
    </w:p>
    <w:p w14:paraId="2D91AC60">
      <w:pPr>
        <w:spacing w:line="400" w:lineRule="exact"/>
        <w:ind w:firstLine="420" w:firstLineChars="200"/>
        <w:rPr>
          <w:rFonts w:hint="eastAsia" w:ascii="宋体" w:hAnsi="宋体" w:eastAsia="宋体" w:cs="宋体"/>
          <w:bCs/>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lang w:val="en"/>
        </w:rPr>
        <w:t>.</w:t>
      </w:r>
      <w:r>
        <w:rPr>
          <w:rFonts w:hint="eastAsia" w:ascii="宋体" w:hAnsi="宋体" w:eastAsia="宋体" w:cs="宋体"/>
          <w:sz w:val="21"/>
          <w:szCs w:val="21"/>
        </w:rPr>
        <w:t>货物需要安装调试的，</w:t>
      </w:r>
      <w:r>
        <w:rPr>
          <w:rFonts w:hint="eastAsia" w:ascii="宋体" w:hAnsi="宋体" w:eastAsia="宋体" w:cs="宋体"/>
          <w:kern w:val="10"/>
          <w:sz w:val="21"/>
          <w:szCs w:val="21"/>
        </w:rPr>
        <w:t>乙方应在货物运到甲方指定地点后</w:t>
      </w:r>
      <w:r>
        <w:rPr>
          <w:rFonts w:hint="eastAsia" w:ascii="宋体" w:hAnsi="宋体" w:eastAsia="宋体" w:cs="宋体"/>
          <w:sz w:val="21"/>
          <w:szCs w:val="21"/>
        </w:rPr>
        <w:t>3</w:t>
      </w:r>
      <w:r>
        <w:rPr>
          <w:rFonts w:hint="eastAsia" w:ascii="宋体" w:hAnsi="宋体" w:eastAsia="宋体" w:cs="宋体"/>
          <w:kern w:val="10"/>
          <w:sz w:val="21"/>
          <w:szCs w:val="21"/>
        </w:rPr>
        <w:t>个工作日内</w:t>
      </w:r>
      <w:r>
        <w:rPr>
          <w:rFonts w:hint="eastAsia" w:ascii="宋体" w:hAnsi="宋体" w:eastAsia="宋体" w:cs="宋体"/>
          <w:kern w:val="0"/>
          <w:sz w:val="21"/>
          <w:szCs w:val="21"/>
        </w:rPr>
        <w:t>，按照甲方的要求完成货物的安装调试</w:t>
      </w:r>
      <w:r>
        <w:rPr>
          <w:rFonts w:hint="eastAsia" w:ascii="宋体" w:hAnsi="宋体" w:eastAsia="宋体" w:cs="宋体"/>
          <w:kern w:val="10"/>
          <w:sz w:val="21"/>
          <w:szCs w:val="21"/>
        </w:rPr>
        <w:t>并向甲方交付。</w:t>
      </w:r>
    </w:p>
    <w:p w14:paraId="07A21A3B">
      <w:pPr>
        <w:spacing w:line="46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验收</w:t>
      </w:r>
    </w:p>
    <w:p w14:paraId="2A357B72">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开箱验收：</w:t>
      </w:r>
    </w:p>
    <w:p w14:paraId="6C8B798C">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乙方代表双方当场</w:t>
      </w:r>
      <w:r>
        <w:rPr>
          <w:rFonts w:hint="eastAsia" w:ascii="宋体" w:hAnsi="宋体" w:eastAsia="宋体" w:cs="宋体"/>
          <w:color w:val="auto"/>
          <w:sz w:val="21"/>
          <w:szCs w:val="21"/>
          <w:highlight w:val="none"/>
        </w:rPr>
        <w:t>进行开箱验收。检查其外包装是否完好无损，并对</w:t>
      </w:r>
      <w:r>
        <w:rPr>
          <w:rFonts w:hint="eastAsia" w:ascii="宋体" w:hAnsi="宋体" w:eastAsia="宋体" w:cs="宋体"/>
          <w:color w:val="auto"/>
          <w:sz w:val="21"/>
          <w:szCs w:val="21"/>
          <w:highlight w:val="none"/>
          <w:lang w:eastAsia="zh-CN"/>
        </w:rPr>
        <w:t>产品</w:t>
      </w:r>
      <w:r>
        <w:rPr>
          <w:rFonts w:hint="eastAsia" w:ascii="宋体" w:hAnsi="宋体" w:eastAsia="宋体" w:cs="宋体"/>
          <w:color w:val="auto"/>
          <w:sz w:val="21"/>
          <w:szCs w:val="21"/>
          <w:highlight w:val="none"/>
        </w:rPr>
        <w:t>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进行核对，检查是否与合同一致，文档材料是否齐全。</w:t>
      </w:r>
    </w:p>
    <w:p w14:paraId="43B38860">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)如发现</w:t>
      </w:r>
      <w:r>
        <w:rPr>
          <w:rFonts w:hint="eastAsia" w:ascii="宋体" w:hAnsi="宋体" w:eastAsia="宋体" w:cs="宋体"/>
          <w:color w:val="auto"/>
          <w:sz w:val="21"/>
          <w:szCs w:val="21"/>
          <w:highlight w:val="none"/>
          <w:lang w:eastAsia="zh-CN"/>
        </w:rPr>
        <w:t>产品数量不对</w:t>
      </w:r>
      <w:r>
        <w:rPr>
          <w:rFonts w:hint="eastAsia" w:ascii="宋体" w:hAnsi="宋体" w:eastAsia="宋体" w:cs="宋体"/>
          <w:color w:val="auto"/>
          <w:sz w:val="21"/>
          <w:szCs w:val="21"/>
          <w:highlight w:val="none"/>
        </w:rPr>
        <w:t>、损坏或其他与合同约定不符的情况，由</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采取补齐、更换及其他补救措施。</w:t>
      </w:r>
    </w:p>
    <w:p w14:paraId="4A2B9946">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)开箱检验合格后，由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乙方代表双方</w:t>
      </w:r>
      <w:r>
        <w:rPr>
          <w:rFonts w:hint="eastAsia" w:ascii="宋体" w:hAnsi="宋体" w:eastAsia="宋体" w:cs="宋体"/>
          <w:color w:val="auto"/>
          <w:sz w:val="21"/>
          <w:szCs w:val="21"/>
          <w:highlight w:val="none"/>
        </w:rPr>
        <w:t>签署开箱检验验收书，开箱检验验收书应列明合同设备数量</w:t>
      </w:r>
      <w:r>
        <w:rPr>
          <w:rFonts w:hint="eastAsia" w:ascii="宋体" w:hAnsi="宋体" w:eastAsia="宋体" w:cs="宋体"/>
          <w:color w:val="auto"/>
          <w:sz w:val="21"/>
          <w:szCs w:val="21"/>
          <w:highlight w:val="none"/>
          <w:lang w:eastAsia="zh-CN"/>
        </w:rPr>
        <w:t>、外观</w:t>
      </w:r>
      <w:r>
        <w:rPr>
          <w:rFonts w:hint="eastAsia" w:ascii="宋体" w:hAnsi="宋体" w:eastAsia="宋体" w:cs="宋体"/>
          <w:color w:val="auto"/>
          <w:sz w:val="21"/>
          <w:szCs w:val="21"/>
          <w:highlight w:val="none"/>
        </w:rPr>
        <w:t>、文档资料等验收情况及评价意见。</w:t>
      </w:r>
    </w:p>
    <w:p w14:paraId="2E2DB0E0">
      <w:pPr>
        <w:spacing w:line="400" w:lineRule="exact"/>
        <w:ind w:firstLine="420" w:firstLineChars="200"/>
        <w:rPr>
          <w:rFonts w:hint="eastAsia" w:ascii="宋体" w:hAnsi="宋体" w:eastAsia="宋体" w:cs="宋体"/>
          <w:sz w:val="21"/>
          <w:szCs w:val="21"/>
          <w:lang w:val="en"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val="en"/>
        </w:rPr>
        <w:t>.</w:t>
      </w:r>
      <w:r>
        <w:rPr>
          <w:rFonts w:hint="eastAsia" w:ascii="宋体" w:hAnsi="宋体" w:eastAsia="宋体" w:cs="宋体"/>
          <w:sz w:val="21"/>
          <w:szCs w:val="21"/>
          <w:lang w:val="en" w:eastAsia="zh-CN"/>
        </w:rPr>
        <w:t>安装调试后验收：</w:t>
      </w:r>
    </w:p>
    <w:p w14:paraId="7194DF20">
      <w:pP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kern w:val="10"/>
          <w:sz w:val="21"/>
          <w:szCs w:val="21"/>
        </w:rPr>
        <w:t>乙方</w:t>
      </w:r>
      <w:r>
        <w:rPr>
          <w:rFonts w:hint="eastAsia" w:ascii="宋体" w:hAnsi="宋体" w:eastAsia="宋体" w:cs="宋体"/>
          <w:kern w:val="10"/>
          <w:sz w:val="21"/>
          <w:szCs w:val="21"/>
          <w:lang w:eastAsia="zh-CN"/>
        </w:rPr>
        <w:t>按合同约定完成货物的安装调试后，</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甲方对货物进行开机试运行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试运行情况</w:t>
      </w:r>
      <w:r>
        <w:rPr>
          <w:rFonts w:hint="eastAsia" w:ascii="宋体" w:hAnsi="宋体" w:eastAsia="宋体" w:cs="宋体"/>
          <w:color w:val="auto"/>
          <w:sz w:val="21"/>
          <w:szCs w:val="21"/>
          <w:highlight w:val="none"/>
        </w:rPr>
        <w:t>进行评价。</w:t>
      </w:r>
    </w:p>
    <w:p w14:paraId="1105375D">
      <w:pPr>
        <w:spacing w:line="46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试运行时由甲方对照招标文件的功能目标及技术指标要求、投标文件响应的功能、参数全面核对检验，所提供货物的性能、参数应与投标时提供的证明文件及响应的功能、参数完全一致，</w:t>
      </w:r>
      <w:r>
        <w:rPr>
          <w:rFonts w:hint="eastAsia" w:ascii="宋体" w:hAnsi="宋体" w:eastAsia="宋体" w:cs="宋体"/>
          <w:color w:val="auto"/>
          <w:sz w:val="21"/>
          <w:szCs w:val="21"/>
          <w:highlight w:val="none"/>
        </w:rPr>
        <w:t>视为</w:t>
      </w:r>
      <w:r>
        <w:rPr>
          <w:rFonts w:hint="eastAsia" w:ascii="宋体" w:hAnsi="宋体" w:eastAsia="宋体" w:cs="宋体"/>
          <w:color w:val="auto"/>
          <w:sz w:val="21"/>
          <w:szCs w:val="21"/>
          <w:highlight w:val="none"/>
          <w:lang w:eastAsia="zh-CN"/>
        </w:rPr>
        <w:t>验收合格</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代表及</w:t>
      </w:r>
      <w:r>
        <w:rPr>
          <w:rFonts w:hint="eastAsia" w:ascii="宋体" w:hAnsi="宋体" w:eastAsia="宋体" w:cs="宋体"/>
          <w:color w:val="auto"/>
          <w:sz w:val="21"/>
          <w:szCs w:val="21"/>
          <w:highlight w:val="none"/>
          <w:lang w:eastAsia="zh-CN"/>
        </w:rPr>
        <w:t>乙方代表</w:t>
      </w:r>
      <w:r>
        <w:rPr>
          <w:rFonts w:hint="eastAsia" w:ascii="宋体" w:hAnsi="宋体" w:eastAsia="宋体" w:cs="宋体"/>
          <w:color w:val="auto"/>
          <w:sz w:val="21"/>
          <w:szCs w:val="21"/>
          <w:highlight w:val="none"/>
        </w:rPr>
        <w:t>共同对安装、调试情况进行记录。</w:t>
      </w:r>
    </w:p>
    <w:p w14:paraId="163AE108">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lang w:val="en"/>
        </w:rPr>
        <w:t>.</w:t>
      </w:r>
      <w:r>
        <w:rPr>
          <w:rFonts w:hint="eastAsia" w:ascii="宋体" w:hAnsi="宋体" w:eastAsia="宋体" w:cs="宋体"/>
          <w:color w:val="auto"/>
          <w:sz w:val="21"/>
          <w:szCs w:val="21"/>
          <w:highlight w:val="none"/>
          <w:lang w:eastAsia="zh-CN"/>
        </w:rPr>
        <w:t>采购项目进行验收时，甲方可以邀请参加本项目的其他投标人、技术专家或者第三方机构参与验收。参与验收的投标人、技术专家或者第三方机构的意见作为验收书的参考资料一并存档。甲方有权将货物送</w:t>
      </w:r>
      <w:r>
        <w:rPr>
          <w:rFonts w:hint="eastAsia" w:ascii="宋体" w:hAnsi="宋体" w:eastAsia="宋体" w:cs="宋体"/>
          <w:sz w:val="21"/>
          <w:szCs w:val="21"/>
          <w:lang w:eastAsia="zh-CN"/>
        </w:rPr>
        <w:t>第三方</w:t>
      </w:r>
      <w:r>
        <w:rPr>
          <w:rFonts w:hint="eastAsia" w:ascii="宋体" w:hAnsi="宋体" w:eastAsia="宋体" w:cs="宋体"/>
          <w:sz w:val="21"/>
          <w:szCs w:val="21"/>
        </w:rPr>
        <w:t>具有相应资质的</w:t>
      </w:r>
      <w:r>
        <w:rPr>
          <w:rFonts w:hint="eastAsia" w:ascii="宋体" w:hAnsi="宋体" w:eastAsia="宋体" w:cs="宋体"/>
          <w:sz w:val="21"/>
          <w:szCs w:val="21"/>
          <w:lang w:eastAsia="zh-CN"/>
        </w:rPr>
        <w:t>检测或鉴定</w:t>
      </w:r>
      <w:r>
        <w:rPr>
          <w:rFonts w:hint="eastAsia" w:ascii="宋体" w:hAnsi="宋体" w:eastAsia="宋体" w:cs="宋体"/>
          <w:sz w:val="21"/>
          <w:szCs w:val="21"/>
        </w:rPr>
        <w:t>机构</w:t>
      </w:r>
      <w:r>
        <w:rPr>
          <w:rFonts w:hint="eastAsia" w:ascii="宋体" w:hAnsi="宋体" w:eastAsia="宋体" w:cs="宋体"/>
          <w:sz w:val="21"/>
          <w:szCs w:val="21"/>
          <w:lang w:eastAsia="zh-CN"/>
        </w:rPr>
        <w:t>进行检测或鉴定。</w:t>
      </w:r>
    </w:p>
    <w:p w14:paraId="75342466">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lang w:val="en"/>
        </w:rPr>
        <w:t>.</w:t>
      </w:r>
      <w:r>
        <w:rPr>
          <w:rFonts w:hint="eastAsia" w:ascii="宋体" w:hAnsi="宋体" w:eastAsia="宋体" w:cs="宋体"/>
          <w:sz w:val="21"/>
          <w:szCs w:val="21"/>
        </w:rPr>
        <w:t>甲方在验收过程中发现乙方提供的货物不满足招标文件、投标文件及合同规定的，可暂缓资金结算，直到乙方及时改正并经甲方验收合格后，方可办理资金结算事宜。</w:t>
      </w:r>
    </w:p>
    <w:p w14:paraId="267335C1">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val="en"/>
        </w:rPr>
        <w:t>.</w:t>
      </w:r>
      <w:r>
        <w:rPr>
          <w:rFonts w:hint="eastAsia" w:ascii="宋体" w:hAnsi="宋体" w:eastAsia="宋体" w:cs="宋体"/>
          <w:sz w:val="21"/>
          <w:szCs w:val="21"/>
        </w:rPr>
        <w:t>甲方在验收中，如发现货物的品种、</w:t>
      </w:r>
      <w:r>
        <w:rPr>
          <w:rFonts w:hint="eastAsia" w:ascii="宋体" w:hAnsi="宋体" w:cs="宋体"/>
          <w:sz w:val="21"/>
          <w:szCs w:val="21"/>
          <w:lang w:eastAsia="zh-CN"/>
        </w:rPr>
        <w:t>品牌</w:t>
      </w:r>
      <w:r>
        <w:rPr>
          <w:rFonts w:hint="eastAsia" w:ascii="宋体" w:hAnsi="宋体" w:eastAsia="宋体" w:cs="宋体"/>
          <w:sz w:val="21"/>
          <w:szCs w:val="21"/>
        </w:rPr>
        <w:t>型号、规格、数量、质量等不符合合同、招标文件、投标文件及承诺规定或附件关于货物配置的描述或存在其他问题的，有权拒绝接收货物，并可以在验收后五个工作日内以书面形式向乙方提出，乙方应在收到甲方书面通知后在甲方指定的期限内按照甲方的要求采取补足、更换或退货等处理措施予以解决。因补足、更换货物造成逾期的，按乙方逾期交付处理。</w:t>
      </w:r>
      <w:r>
        <w:rPr>
          <w:rFonts w:hint="eastAsia" w:ascii="宋体" w:hAnsi="宋体" w:eastAsia="宋体" w:cs="宋体"/>
          <w:color w:val="auto"/>
          <w:sz w:val="21"/>
          <w:szCs w:val="21"/>
          <w:highlight w:val="none"/>
          <w:lang w:eastAsia="zh-CN"/>
        </w:rPr>
        <w:t>甲方保留进一步追究责任的权利。</w:t>
      </w:r>
    </w:p>
    <w:p w14:paraId="46ABA166">
      <w:pPr>
        <w:pStyle w:val="44"/>
        <w:spacing w:line="360" w:lineRule="auto"/>
        <w:rPr>
          <w:rFonts w:hint="eastAsia" w:ascii="宋体" w:hAnsi="宋体" w:eastAsia="宋体" w:cs="宋体"/>
          <w:sz w:val="21"/>
          <w:szCs w:val="21"/>
          <w:u w:val="none"/>
          <w:lang w:val="en-US" w:eastAsia="zh-CN"/>
        </w:rPr>
      </w:pPr>
      <w:r>
        <w:rPr>
          <w:rFonts w:hint="eastAsia" w:ascii="宋体" w:hAnsi="宋体" w:eastAsia="宋体" w:cs="宋体"/>
          <w:color w:val="auto"/>
          <w:sz w:val="21"/>
          <w:szCs w:val="21"/>
          <w:highlight w:val="none"/>
          <w:lang w:val="en-US" w:eastAsia="zh-CN"/>
        </w:rPr>
        <w:t>6.甲方应于货物</w:t>
      </w:r>
      <w:r>
        <w:rPr>
          <w:rFonts w:hint="eastAsia" w:ascii="宋体" w:hAnsi="宋体" w:eastAsia="宋体" w:cs="宋体"/>
          <w:sz w:val="21"/>
          <w:szCs w:val="21"/>
          <w:u w:val="none"/>
        </w:rPr>
        <w:t>安装调试完成之日起30天内完成验收</w:t>
      </w:r>
      <w:r>
        <w:rPr>
          <w:rFonts w:hint="eastAsia" w:ascii="宋体" w:hAnsi="宋体" w:eastAsia="宋体" w:cs="宋体"/>
          <w:sz w:val="21"/>
          <w:szCs w:val="21"/>
          <w:u w:val="none"/>
          <w:lang w:eastAsia="zh-CN"/>
        </w:rPr>
        <w:t>。</w:t>
      </w:r>
      <w:r>
        <w:rPr>
          <w:rFonts w:hint="eastAsia" w:ascii="宋体" w:hAnsi="宋体" w:eastAsia="宋体" w:cs="宋体"/>
          <w:color w:val="000000"/>
          <w:kern w:val="0"/>
          <w:sz w:val="21"/>
          <w:szCs w:val="21"/>
          <w:lang w:eastAsia="zh-CN"/>
        </w:rPr>
        <w:t>甲方</w:t>
      </w:r>
      <w:r>
        <w:rPr>
          <w:rFonts w:hint="eastAsia" w:ascii="宋体" w:hAnsi="宋体" w:eastAsia="宋体" w:cs="宋体"/>
          <w:color w:val="000000"/>
          <w:kern w:val="0"/>
          <w:sz w:val="21"/>
          <w:szCs w:val="21"/>
        </w:rPr>
        <w:t>需要</w:t>
      </w:r>
      <w:r>
        <w:rPr>
          <w:rFonts w:hint="eastAsia" w:ascii="宋体" w:hAnsi="宋体" w:eastAsia="宋体" w:cs="宋体"/>
          <w:color w:val="000000"/>
          <w:kern w:val="0"/>
          <w:sz w:val="21"/>
          <w:szCs w:val="21"/>
          <w:lang w:eastAsia="zh-CN"/>
        </w:rPr>
        <w:t>将货物送第三方</w:t>
      </w:r>
      <w:r>
        <w:rPr>
          <w:rFonts w:hint="eastAsia" w:ascii="宋体" w:hAnsi="宋体" w:eastAsia="宋体" w:cs="宋体"/>
          <w:sz w:val="21"/>
          <w:szCs w:val="21"/>
        </w:rPr>
        <w:t>具有相应资质的</w:t>
      </w:r>
      <w:r>
        <w:rPr>
          <w:rFonts w:hint="eastAsia" w:ascii="宋体" w:hAnsi="宋体" w:eastAsia="宋体" w:cs="宋体"/>
          <w:sz w:val="21"/>
          <w:szCs w:val="21"/>
          <w:lang w:eastAsia="zh-CN"/>
        </w:rPr>
        <w:t>检测或鉴定</w:t>
      </w:r>
      <w:r>
        <w:rPr>
          <w:rFonts w:hint="eastAsia" w:ascii="宋体" w:hAnsi="宋体" w:eastAsia="宋体" w:cs="宋体"/>
          <w:sz w:val="21"/>
          <w:szCs w:val="21"/>
        </w:rPr>
        <w:t>机构</w:t>
      </w:r>
      <w:r>
        <w:rPr>
          <w:rFonts w:hint="eastAsia" w:ascii="宋体" w:hAnsi="宋体" w:eastAsia="宋体" w:cs="宋体"/>
          <w:sz w:val="21"/>
          <w:szCs w:val="21"/>
          <w:lang w:eastAsia="zh-CN"/>
        </w:rPr>
        <w:t>进行</w:t>
      </w:r>
      <w:r>
        <w:rPr>
          <w:rFonts w:hint="eastAsia" w:ascii="宋体" w:hAnsi="宋体" w:eastAsia="宋体" w:cs="宋体"/>
          <w:color w:val="000000"/>
          <w:kern w:val="0"/>
          <w:sz w:val="21"/>
          <w:szCs w:val="21"/>
        </w:rPr>
        <w:t>检测、鉴定的，检测、鉴定</w:t>
      </w:r>
      <w:r>
        <w:rPr>
          <w:rFonts w:hint="eastAsia" w:ascii="宋体" w:hAnsi="宋体" w:eastAsia="宋体" w:cs="宋体"/>
          <w:color w:val="000000"/>
          <w:kern w:val="0"/>
          <w:sz w:val="21"/>
          <w:szCs w:val="21"/>
          <w:lang w:eastAsia="zh-CN"/>
        </w:rPr>
        <w:t>的</w:t>
      </w:r>
      <w:r>
        <w:rPr>
          <w:rFonts w:hint="eastAsia" w:ascii="宋体" w:hAnsi="宋体" w:eastAsia="宋体" w:cs="宋体"/>
          <w:color w:val="000000"/>
          <w:kern w:val="0"/>
          <w:sz w:val="21"/>
          <w:szCs w:val="21"/>
        </w:rPr>
        <w:t>时间不计算在</w:t>
      </w:r>
      <w:r>
        <w:rPr>
          <w:rFonts w:hint="eastAsia" w:ascii="宋体" w:hAnsi="宋体" w:eastAsia="宋体" w:cs="宋体"/>
          <w:color w:val="000000"/>
          <w:kern w:val="0"/>
          <w:sz w:val="21"/>
          <w:szCs w:val="21"/>
          <w:lang w:eastAsia="zh-CN"/>
        </w:rPr>
        <w:t>验收完成时间</w:t>
      </w:r>
      <w:r>
        <w:rPr>
          <w:rFonts w:hint="eastAsia" w:ascii="宋体" w:hAnsi="宋体" w:eastAsia="宋体" w:cs="宋体"/>
          <w:color w:val="000000"/>
          <w:kern w:val="0"/>
          <w:sz w:val="21"/>
          <w:szCs w:val="21"/>
        </w:rPr>
        <w:t>内。</w:t>
      </w:r>
    </w:p>
    <w:p w14:paraId="4A6B2156">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eastAsia="zh-CN"/>
        </w:rPr>
        <w:t>七</w:t>
      </w:r>
      <w:r>
        <w:rPr>
          <w:rFonts w:hint="eastAsia" w:ascii="宋体" w:hAnsi="宋体" w:eastAsia="宋体" w:cs="宋体"/>
          <w:sz w:val="21"/>
          <w:szCs w:val="21"/>
        </w:rPr>
        <w:t>条　售后服务、服务质量保证期及培训</w:t>
      </w:r>
    </w:p>
    <w:p w14:paraId="763F42AA">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乙方应按</w:t>
      </w:r>
      <w:r>
        <w:rPr>
          <w:rFonts w:hint="eastAsia" w:ascii="宋体" w:hAnsi="宋体" w:cs="宋体"/>
          <w:sz w:val="21"/>
          <w:szCs w:val="21"/>
          <w:lang w:eastAsia="zh-CN"/>
        </w:rPr>
        <w:t>投</w:t>
      </w:r>
      <w:r>
        <w:rPr>
          <w:rFonts w:hint="eastAsia" w:ascii="宋体" w:hAnsi="宋体" w:eastAsia="宋体" w:cs="宋体"/>
          <w:sz w:val="21"/>
          <w:szCs w:val="21"/>
        </w:rPr>
        <w:t>标文件</w:t>
      </w:r>
      <w:r>
        <w:rPr>
          <w:rFonts w:hint="eastAsia" w:ascii="宋体" w:hAnsi="宋体" w:cs="宋体"/>
          <w:sz w:val="21"/>
          <w:szCs w:val="21"/>
          <w:lang w:eastAsia="zh-CN"/>
        </w:rPr>
        <w:t>承诺</w:t>
      </w:r>
      <w:r>
        <w:rPr>
          <w:rFonts w:hint="eastAsia" w:ascii="宋体" w:hAnsi="宋体" w:eastAsia="宋体" w:cs="宋体"/>
          <w:sz w:val="21"/>
          <w:szCs w:val="21"/>
        </w:rPr>
        <w:t>的产品名称、商标品牌、生产厂家、规格型号、技术参数、质量标准向甲方提供未经使用的全新产品。不符合要求的，根据实际情况，经甲乙双方协商，可按以下办法处理：</w:t>
      </w:r>
    </w:p>
    <w:p w14:paraId="3771FA9B">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rPr>
        <w:t>1）</w:t>
      </w:r>
      <w:r>
        <w:rPr>
          <w:rFonts w:hint="eastAsia" w:ascii="宋体" w:hAnsi="宋体" w:eastAsia="宋体" w:cs="宋体"/>
          <w:sz w:val="21"/>
          <w:szCs w:val="21"/>
        </w:rPr>
        <w:t>更换：由乙方承担所发生的全部费用。</w:t>
      </w:r>
    </w:p>
    <w:p w14:paraId="6275BD0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rPr>
        <w:t>2）</w:t>
      </w:r>
      <w:r>
        <w:rPr>
          <w:rFonts w:hint="eastAsia" w:ascii="宋体" w:hAnsi="宋体" w:eastAsia="宋体" w:cs="宋体"/>
          <w:sz w:val="21"/>
          <w:szCs w:val="21"/>
        </w:rPr>
        <w:t>贬值处理：由甲乙双方合议定价。</w:t>
      </w:r>
    </w:p>
    <w:p w14:paraId="6312B328">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rPr>
        <w:t>3）</w:t>
      </w:r>
      <w:r>
        <w:rPr>
          <w:rFonts w:hint="eastAsia" w:ascii="宋体" w:hAnsi="宋体" w:eastAsia="宋体" w:cs="宋体"/>
          <w:sz w:val="21"/>
          <w:szCs w:val="21"/>
        </w:rPr>
        <w:t>退货处理：乙方应退还甲方支付的合同款，同时应承担该货物的直接费用（运输、保险、检验、货款利息及银行手续费等）。</w:t>
      </w:r>
    </w:p>
    <w:p w14:paraId="4EB304DB">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乙方应按照国家有关法律法规、投标文件和合同所附的《售后服务承诺》要求为甲方提供相应的售后服务。</w:t>
      </w:r>
    </w:p>
    <w:p w14:paraId="0B88F09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w:t>
      </w:r>
      <w:r>
        <w:rPr>
          <w:rFonts w:hint="eastAsia" w:ascii="宋体" w:hAnsi="宋体" w:eastAsia="宋体" w:cs="宋体"/>
          <w:sz w:val="21"/>
          <w:szCs w:val="21"/>
        </w:rPr>
        <w:t>在质保期内，乙方应对货物出现的质量及安全问题负责处理解决并承担一切费用。质保期为自货物交付并验收合格签署验收合格单之日起</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lang w:eastAsia="zh-CN"/>
        </w:rPr>
        <w:t>（</w:t>
      </w:r>
      <w:r>
        <w:rPr>
          <w:rFonts w:hint="eastAsia" w:ascii="宋体" w:hAnsi="宋体" w:eastAsia="宋体" w:cs="宋体"/>
          <w:sz w:val="21"/>
          <w:szCs w:val="21"/>
        </w:rPr>
        <w:t>质保期</w:t>
      </w:r>
      <w:r>
        <w:rPr>
          <w:rFonts w:hint="eastAsia" w:ascii="宋体" w:hAnsi="宋体" w:eastAsia="宋体" w:cs="宋体"/>
          <w:sz w:val="21"/>
          <w:szCs w:val="21"/>
          <w:lang w:eastAsia="zh-CN"/>
        </w:rPr>
        <w:t>按乙方投标文件中的承诺为准）</w:t>
      </w:r>
      <w:r>
        <w:rPr>
          <w:rFonts w:hint="eastAsia" w:ascii="宋体" w:hAnsi="宋体" w:eastAsia="宋体" w:cs="宋体"/>
          <w:sz w:val="21"/>
          <w:szCs w:val="21"/>
        </w:rPr>
        <w:t>。货物自身有质保期且该质保期超过约定质保期的，按照货物质保期计算，货物自身的质保期比约定的质保期短的，按约定的质保期计算。</w:t>
      </w:r>
    </w:p>
    <w:p w14:paraId="39839F51">
      <w:pPr>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sz w:val="21"/>
          <w:szCs w:val="21"/>
        </w:rPr>
        <w:t>4</w:t>
      </w:r>
      <w:r>
        <w:rPr>
          <w:rFonts w:hint="eastAsia" w:ascii="宋体" w:hAnsi="宋体" w:eastAsia="宋体" w:cs="宋体"/>
          <w:sz w:val="21"/>
          <w:szCs w:val="21"/>
          <w:lang w:val="en"/>
        </w:rPr>
        <w:t>.</w:t>
      </w:r>
      <w:r>
        <w:rPr>
          <w:rFonts w:hint="eastAsia" w:ascii="宋体" w:hAnsi="宋体" w:eastAsia="宋体" w:cs="宋体"/>
          <w:kern w:val="0"/>
          <w:sz w:val="21"/>
          <w:szCs w:val="21"/>
        </w:rPr>
        <w:t>质保期届满后，乙方对本合同项下货物提供终身维修服务，且维修时只收取所需维修部件的成本费，服务内容应与质保期内的要求相一致。</w:t>
      </w:r>
    </w:p>
    <w:p w14:paraId="19B67BEC">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val="en"/>
        </w:rPr>
        <w:t>.</w:t>
      </w:r>
      <w:r>
        <w:rPr>
          <w:rFonts w:hint="eastAsia" w:ascii="宋体" w:hAnsi="宋体" w:eastAsia="宋体" w:cs="宋体"/>
          <w:sz w:val="21"/>
          <w:szCs w:val="21"/>
        </w:rPr>
        <w:t>甲方应提供必要安装条件（如场地、电源、水源等）。</w:t>
      </w:r>
    </w:p>
    <w:p w14:paraId="5D1446F9">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lang w:val="en"/>
        </w:rPr>
        <w:t>.</w:t>
      </w:r>
      <w:r>
        <w:rPr>
          <w:rFonts w:hint="eastAsia" w:ascii="宋体" w:hAnsi="宋体" w:eastAsia="宋体" w:cs="宋体"/>
          <w:sz w:val="21"/>
          <w:szCs w:val="21"/>
        </w:rPr>
        <w:t>乙方</w:t>
      </w:r>
      <w:r>
        <w:rPr>
          <w:rFonts w:hint="eastAsia" w:ascii="宋体" w:hAnsi="宋体" w:eastAsia="宋体" w:cs="宋体"/>
          <w:sz w:val="21"/>
          <w:szCs w:val="21"/>
          <w:lang w:val="en" w:eastAsia="zh-CN"/>
        </w:rPr>
        <w:t>按</w:t>
      </w:r>
      <w:r>
        <w:rPr>
          <w:rFonts w:hint="eastAsia" w:ascii="宋体" w:hAnsi="宋体" w:eastAsia="宋体" w:cs="宋体"/>
          <w:sz w:val="21"/>
          <w:szCs w:val="21"/>
        </w:rPr>
        <w:t>投标文件承诺负责甲方有关人员的培训。</w:t>
      </w:r>
    </w:p>
    <w:p w14:paraId="7792C656">
      <w:pPr>
        <w:spacing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第八条　货物保管及风险承担</w:t>
      </w:r>
    </w:p>
    <w:p w14:paraId="7BB3C96A">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在货物交付前，货物保管责任及损毁、灭失的风险由乙方承担，货物验收合格后的风险转由甲方承担。</w:t>
      </w:r>
    </w:p>
    <w:p w14:paraId="03EF88CB">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第九条　付款方式</w:t>
      </w:r>
    </w:p>
    <w:p w14:paraId="6F84B5CE">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本合同签订后</w:t>
      </w:r>
      <w:r>
        <w:rPr>
          <w:rFonts w:hint="eastAsia" w:ascii="宋体" w:hAnsi="宋体" w:eastAsia="宋体" w:cs="宋体"/>
          <w:color w:val="auto"/>
          <w:sz w:val="21"/>
          <w:szCs w:val="21"/>
        </w:rPr>
        <w:t>10个工作日内</w:t>
      </w:r>
      <w:r>
        <w:rPr>
          <w:rFonts w:hint="eastAsia" w:ascii="宋体" w:hAnsi="宋体" w:eastAsia="宋体" w:cs="宋体"/>
          <w:kern w:val="10"/>
          <w:sz w:val="21"/>
          <w:szCs w:val="21"/>
        </w:rPr>
        <w:t>，</w:t>
      </w:r>
      <w:r>
        <w:rPr>
          <w:rFonts w:hint="eastAsia" w:ascii="宋体" w:hAnsi="宋体" w:eastAsia="宋体" w:cs="宋体"/>
          <w:sz w:val="21"/>
          <w:szCs w:val="21"/>
        </w:rPr>
        <w:t>支付合同合计金额的</w:t>
      </w:r>
      <w:r>
        <w:rPr>
          <w:rFonts w:hint="eastAsia" w:ascii="宋体" w:hAnsi="宋体" w:eastAsia="宋体" w:cs="宋体"/>
          <w:sz w:val="21"/>
          <w:szCs w:val="21"/>
          <w:u w:val="none"/>
          <w:lang w:val="en-US" w:eastAsia="zh-CN"/>
        </w:rPr>
        <w:t>30</w:t>
      </w:r>
      <w:r>
        <w:rPr>
          <w:rFonts w:hint="eastAsia" w:ascii="宋体" w:hAnsi="宋体" w:eastAsia="宋体" w:cs="宋体"/>
          <w:sz w:val="21"/>
          <w:szCs w:val="21"/>
        </w:rPr>
        <w:t>%</w:t>
      </w:r>
      <w:r>
        <w:rPr>
          <w:rFonts w:hint="eastAsia" w:ascii="宋体" w:hAnsi="宋体" w:eastAsia="宋体" w:cs="宋体"/>
          <w:color w:val="auto"/>
          <w:sz w:val="21"/>
          <w:szCs w:val="21"/>
          <w:lang w:val="en-US" w:eastAsia="zh-CN"/>
        </w:rPr>
        <w:t>作为预付款；全部货物到货后支付合同款的5</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%，安装调试</w:t>
      </w:r>
      <w:r>
        <w:rPr>
          <w:rFonts w:hint="eastAsia" w:ascii="宋体" w:hAnsi="宋体" w:cs="宋体"/>
          <w:color w:val="auto"/>
          <w:sz w:val="21"/>
          <w:szCs w:val="21"/>
          <w:lang w:val="en-US" w:eastAsia="zh-CN"/>
        </w:rPr>
        <w:t>并</w:t>
      </w:r>
      <w:r>
        <w:rPr>
          <w:rFonts w:hint="eastAsia" w:ascii="宋体" w:hAnsi="宋体" w:eastAsia="宋体" w:cs="宋体"/>
          <w:color w:val="auto"/>
          <w:sz w:val="21"/>
          <w:szCs w:val="21"/>
          <w:lang w:val="en-US" w:eastAsia="zh-CN"/>
        </w:rPr>
        <w:t>经甲方验收合格后，支付剩余合同款</w:t>
      </w:r>
      <w:r>
        <w:rPr>
          <w:rFonts w:hint="eastAsia" w:ascii="宋体" w:hAnsi="宋体" w:eastAsia="宋体" w:cs="宋体"/>
          <w:sz w:val="21"/>
          <w:szCs w:val="21"/>
        </w:rPr>
        <w:t>。</w:t>
      </w:r>
    </w:p>
    <w:p w14:paraId="55539D7B">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乙方指定以下账户为接受本合同价款的账户，并对其指定的下列账户信息真实性、安全性、准确性负责。</w:t>
      </w:r>
    </w:p>
    <w:p w14:paraId="53902951">
      <w:pPr>
        <w:spacing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账户名称：</w:t>
      </w:r>
      <w:r>
        <w:rPr>
          <w:rFonts w:hint="eastAsia" w:ascii="宋体" w:hAnsi="宋体" w:eastAsia="宋体" w:cs="宋体"/>
          <w:sz w:val="21"/>
          <w:szCs w:val="21"/>
          <w:u w:val="single"/>
        </w:rPr>
        <w:t>　　　　　　　　　　　　　　　　　　</w:t>
      </w:r>
      <w:r>
        <w:rPr>
          <w:rFonts w:hint="eastAsia" w:ascii="宋体" w:hAnsi="宋体" w:eastAsia="宋体" w:cs="宋体"/>
          <w:sz w:val="21"/>
          <w:szCs w:val="21"/>
        </w:rPr>
        <w:t>；</w:t>
      </w:r>
    </w:p>
    <w:p w14:paraId="6B44A520">
      <w:pPr>
        <w:spacing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开户银行：</w:t>
      </w:r>
      <w:r>
        <w:rPr>
          <w:rFonts w:hint="eastAsia" w:ascii="宋体" w:hAnsi="宋体" w:eastAsia="宋体" w:cs="宋体"/>
          <w:sz w:val="21"/>
          <w:szCs w:val="21"/>
          <w:u w:val="single"/>
        </w:rPr>
        <w:t>　　　　　　　　　　　　　　　　　　</w:t>
      </w:r>
      <w:r>
        <w:rPr>
          <w:rFonts w:hint="eastAsia" w:ascii="宋体" w:hAnsi="宋体" w:eastAsia="宋体" w:cs="宋体"/>
          <w:sz w:val="21"/>
          <w:szCs w:val="21"/>
        </w:rPr>
        <w:t>；</w:t>
      </w:r>
    </w:p>
    <w:p w14:paraId="4536C9CA">
      <w:pPr>
        <w:spacing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银行账号：</w:t>
      </w:r>
      <w:r>
        <w:rPr>
          <w:rFonts w:hint="eastAsia" w:ascii="宋体" w:hAnsi="宋体" w:eastAsia="宋体" w:cs="宋体"/>
          <w:sz w:val="21"/>
          <w:szCs w:val="21"/>
          <w:u w:val="single"/>
        </w:rPr>
        <w:t>　　　　　　　　　　　　　　　　　　</w:t>
      </w:r>
      <w:r>
        <w:rPr>
          <w:rFonts w:hint="eastAsia" w:ascii="宋体" w:hAnsi="宋体" w:eastAsia="宋体" w:cs="宋体"/>
          <w:sz w:val="21"/>
          <w:szCs w:val="21"/>
        </w:rPr>
        <w:t>；</w:t>
      </w:r>
    </w:p>
    <w:p w14:paraId="615F3CE1">
      <w:pPr>
        <w:spacing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联系人：</w:t>
      </w:r>
      <w:r>
        <w:rPr>
          <w:rFonts w:hint="eastAsia" w:ascii="宋体" w:hAnsi="宋体" w:eastAsia="宋体" w:cs="宋体"/>
          <w:sz w:val="21"/>
          <w:szCs w:val="21"/>
          <w:u w:val="single"/>
        </w:rPr>
        <w:t>　　　　　　　　　　　　　　　　　　　</w:t>
      </w:r>
      <w:r>
        <w:rPr>
          <w:rFonts w:hint="eastAsia" w:ascii="宋体" w:hAnsi="宋体" w:eastAsia="宋体" w:cs="宋体"/>
          <w:sz w:val="21"/>
          <w:szCs w:val="21"/>
        </w:rPr>
        <w:t>；</w:t>
      </w:r>
    </w:p>
    <w:p w14:paraId="18A65707">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联系电话：</w:t>
      </w:r>
      <w:r>
        <w:rPr>
          <w:rFonts w:hint="eastAsia" w:ascii="宋体" w:hAnsi="宋体" w:eastAsia="宋体" w:cs="宋体"/>
          <w:sz w:val="21"/>
          <w:szCs w:val="21"/>
          <w:u w:val="single"/>
        </w:rPr>
        <w:t>　　　　　　　　　　　　　　　　　　</w:t>
      </w:r>
      <w:r>
        <w:rPr>
          <w:rFonts w:hint="eastAsia" w:ascii="宋体" w:hAnsi="宋体" w:eastAsia="宋体" w:cs="宋体"/>
          <w:sz w:val="21"/>
          <w:szCs w:val="21"/>
        </w:rPr>
        <w:t>。</w:t>
      </w:r>
    </w:p>
    <w:p w14:paraId="55F82EBD">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如乙方上述账户信息发生变更，乙方应提前向甲方发送书面通知，未能提前书面通知而产生的不利后果由乙方自行承担。</w:t>
      </w:r>
    </w:p>
    <w:p w14:paraId="76149B10">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w:t>
      </w:r>
      <w:r>
        <w:rPr>
          <w:rFonts w:hint="eastAsia" w:ascii="宋体" w:hAnsi="宋体" w:eastAsia="宋体" w:cs="宋体"/>
          <w:sz w:val="21"/>
          <w:szCs w:val="21"/>
        </w:rPr>
        <w:t>乙方应持甲方签字确认的验收合格</w:t>
      </w:r>
      <w:r>
        <w:rPr>
          <w:rFonts w:hint="eastAsia" w:ascii="宋体" w:hAnsi="宋体" w:eastAsia="宋体" w:cs="宋体"/>
          <w:sz w:val="21"/>
          <w:szCs w:val="21"/>
          <w:lang w:eastAsia="zh-CN"/>
        </w:rPr>
        <w:t>材料</w:t>
      </w:r>
      <w:r>
        <w:rPr>
          <w:rFonts w:hint="eastAsia" w:ascii="宋体" w:hAnsi="宋体" w:eastAsia="宋体" w:cs="宋体"/>
          <w:sz w:val="21"/>
          <w:szCs w:val="21"/>
        </w:rPr>
        <w:t>结算货款。</w:t>
      </w:r>
    </w:p>
    <w:p w14:paraId="12A71F68">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
        </w:rPr>
        <w:t>.</w:t>
      </w:r>
      <w:r>
        <w:rPr>
          <w:rFonts w:hint="eastAsia" w:ascii="宋体" w:hAnsi="宋体" w:eastAsia="宋体" w:cs="宋体"/>
          <w:sz w:val="21"/>
          <w:szCs w:val="21"/>
        </w:rPr>
        <w:t>甲方在支付每笔款项前，乙方应当提供可供政府审计并且符合税务规定的正式发票，</w:t>
      </w:r>
      <w:r>
        <w:rPr>
          <w:rFonts w:hint="eastAsia" w:ascii="宋体" w:hAnsi="宋体" w:eastAsia="宋体" w:cs="宋体"/>
          <w:spacing w:val="-6"/>
          <w:sz w:val="21"/>
          <w:szCs w:val="21"/>
        </w:rPr>
        <w:t>否则甲方有权拒付相应款项直至乙方能提供符合规定的发票为止。</w:t>
      </w:r>
    </w:p>
    <w:p w14:paraId="04E87DF5">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第十条　履约保证金</w:t>
      </w:r>
    </w:p>
    <w:p w14:paraId="24942078">
      <w:pPr>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
        </w:rPr>
        <w:t>.履约保证金主要用于赔偿乙方违约而使甲方蒙受的损失，履约保证金不足以赔偿损失的，乙方须按实际损失赔偿</w:t>
      </w:r>
      <w:r>
        <w:rPr>
          <w:rFonts w:hint="eastAsia" w:ascii="宋体" w:hAnsi="宋体" w:eastAsia="宋体" w:cs="宋体"/>
          <w:sz w:val="21"/>
          <w:szCs w:val="21"/>
          <w:lang w:val="en-US" w:eastAsia="zh-CN"/>
        </w:rPr>
        <w:t>。</w:t>
      </w:r>
    </w:p>
    <w:p w14:paraId="29AF5E66">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乙方提供的履约保证金金额为：</w:t>
      </w:r>
      <w:r>
        <w:rPr>
          <w:rFonts w:hint="eastAsia" w:ascii="宋体" w:hAnsi="宋体" w:eastAsia="宋体" w:cs="宋体"/>
          <w:color w:val="auto"/>
          <w:szCs w:val="21"/>
          <w:highlight w:val="none"/>
        </w:rPr>
        <w:t>按</w:t>
      </w:r>
      <w:r>
        <w:rPr>
          <w:rFonts w:hint="eastAsia" w:ascii="宋体" w:hAnsi="宋体" w:cs="宋体"/>
          <w:color w:val="auto"/>
          <w:szCs w:val="21"/>
          <w:highlight w:val="none"/>
          <w:lang w:eastAsia="zh-CN"/>
        </w:rPr>
        <w:t>中标总</w:t>
      </w:r>
      <w:r>
        <w:rPr>
          <w:rFonts w:hint="eastAsia" w:ascii="宋体" w:hAnsi="宋体" w:eastAsia="宋体" w:cs="宋体"/>
          <w:color w:val="auto"/>
          <w:szCs w:val="21"/>
          <w:highlight w:val="none"/>
        </w:rPr>
        <w:t>金额的</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如乙方为中小企业的，则</w:t>
      </w:r>
      <w:r>
        <w:rPr>
          <w:rFonts w:hint="eastAsia" w:ascii="宋体" w:hAnsi="宋体" w:eastAsia="宋体" w:cs="宋体"/>
          <w:color w:val="auto"/>
          <w:szCs w:val="21"/>
          <w:highlight w:val="none"/>
        </w:rPr>
        <w:t>按</w:t>
      </w:r>
      <w:r>
        <w:rPr>
          <w:rFonts w:hint="eastAsia" w:ascii="宋体" w:hAnsi="宋体" w:cs="宋体"/>
          <w:color w:val="auto"/>
          <w:szCs w:val="21"/>
          <w:highlight w:val="none"/>
          <w:lang w:eastAsia="zh-CN"/>
        </w:rPr>
        <w:t>中标总</w:t>
      </w:r>
      <w:r>
        <w:rPr>
          <w:rFonts w:hint="eastAsia" w:ascii="宋体" w:hAnsi="宋体" w:eastAsia="宋体" w:cs="宋体"/>
          <w:color w:val="auto"/>
          <w:szCs w:val="21"/>
          <w:highlight w:val="none"/>
        </w:rPr>
        <w:t>金额的</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rPr>
        <w:t>%</w:t>
      </w:r>
      <w:r>
        <w:rPr>
          <w:rFonts w:hint="eastAsia" w:ascii="宋体" w:hAnsi="宋体" w:eastAsia="宋体" w:cs="宋体"/>
          <w:sz w:val="21"/>
          <w:szCs w:val="21"/>
        </w:rPr>
        <w:t>。</w:t>
      </w:r>
    </w:p>
    <w:p w14:paraId="170F4CA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lang w:val="en"/>
        </w:rPr>
        <w:t>.</w:t>
      </w:r>
      <w:r>
        <w:rPr>
          <w:rFonts w:hint="eastAsia" w:ascii="宋体" w:hAnsi="宋体" w:eastAsia="宋体" w:cs="宋体"/>
          <w:sz w:val="21"/>
          <w:szCs w:val="21"/>
        </w:rPr>
        <w:t>履约保证金递交方式：以银行转账、电汇或网上支付、支票、汇票、本票或者金融机构、担保机构出具的保函等非现金形式交纳。</w:t>
      </w:r>
    </w:p>
    <w:p w14:paraId="1130588E">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lang w:val="en"/>
        </w:rPr>
        <w:t>.</w:t>
      </w:r>
      <w:r>
        <w:rPr>
          <w:rFonts w:hint="eastAsia" w:ascii="宋体" w:hAnsi="宋体" w:eastAsia="宋体" w:cs="宋体"/>
          <w:sz w:val="21"/>
          <w:szCs w:val="21"/>
        </w:rPr>
        <w:t>履约保证金退付方式、时间及条件：</w:t>
      </w:r>
      <w:r>
        <w:rPr>
          <w:rFonts w:hint="eastAsia" w:ascii="宋体" w:hAnsi="宋体" w:eastAsia="宋体" w:cs="宋体"/>
          <w:sz w:val="21"/>
          <w:szCs w:val="21"/>
          <w:lang w:eastAsia="zh-CN"/>
        </w:rPr>
        <w:t>乙方按合同约定交货并安装调试完毕，经甲方验收合格后，</w:t>
      </w:r>
      <w:r>
        <w:rPr>
          <w:rFonts w:hint="eastAsia" w:ascii="宋体" w:hAnsi="宋体" w:eastAsia="宋体" w:cs="宋体"/>
          <w:sz w:val="21"/>
          <w:szCs w:val="21"/>
        </w:rPr>
        <w:t>由乙方向甲方提供《广西壮族自治区政府采购项目合同验收书》及《政府采购项目履约保证金退付意见书》，甲方在收到合格材料后五个工作日内办理退还手续（不计利息）。</w:t>
      </w:r>
    </w:p>
    <w:p w14:paraId="4A104BC1">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第十一条　税费</w:t>
      </w:r>
    </w:p>
    <w:p w14:paraId="5D5A00D2">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本合同执行中相关的一切税费均由乙方负担。</w:t>
      </w:r>
    </w:p>
    <w:p w14:paraId="4D39A3C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第十二条　违约责任</w:t>
      </w:r>
    </w:p>
    <w:p w14:paraId="5F5C05FC">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乙方仅交付部分货物的，甲方有权解除合同，退还已收货物，乙方应退还已经收取的货款，并按合同金额的</w:t>
      </w:r>
      <w:r>
        <w:rPr>
          <w:rFonts w:hint="eastAsia" w:ascii="宋体" w:hAnsi="宋体" w:eastAsia="宋体" w:cs="宋体"/>
          <w:sz w:val="21"/>
          <w:szCs w:val="21"/>
          <w:lang w:val="en-US" w:eastAsia="zh-CN"/>
        </w:rPr>
        <w:t>20</w:t>
      </w:r>
      <w:r>
        <w:rPr>
          <w:rFonts w:hint="eastAsia" w:ascii="宋体" w:hAnsi="宋体" w:eastAsia="宋体" w:cs="宋体"/>
          <w:sz w:val="21"/>
          <w:szCs w:val="21"/>
        </w:rPr>
        <w:t>%承担违约金。</w:t>
      </w:r>
    </w:p>
    <w:p w14:paraId="3834879C">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乙方逾期交付货物的，每逾期一日，</w:t>
      </w:r>
      <w:r>
        <w:rPr>
          <w:rFonts w:hint="eastAsia" w:ascii="宋体" w:hAnsi="宋体" w:eastAsia="宋体" w:cs="宋体"/>
          <w:sz w:val="21"/>
          <w:szCs w:val="21"/>
          <w:lang w:eastAsia="zh-CN"/>
        </w:rPr>
        <w:t>每日</w:t>
      </w:r>
      <w:r>
        <w:rPr>
          <w:rFonts w:hint="eastAsia" w:ascii="宋体" w:hAnsi="宋体" w:eastAsia="宋体" w:cs="宋体"/>
          <w:sz w:val="21"/>
          <w:szCs w:val="21"/>
        </w:rPr>
        <w:t>应按合同金额的</w:t>
      </w:r>
      <w:r>
        <w:rPr>
          <w:rFonts w:hint="eastAsia" w:ascii="宋体" w:hAnsi="宋体" w:eastAsia="宋体" w:cs="宋体"/>
          <w:sz w:val="21"/>
          <w:szCs w:val="21"/>
          <w:lang w:val="en-US" w:eastAsia="zh-CN"/>
        </w:rPr>
        <w:t>3</w:t>
      </w:r>
      <w:r>
        <w:rPr>
          <w:rFonts w:hint="eastAsia" w:ascii="宋体" w:hAnsi="宋体" w:eastAsia="宋体" w:cs="宋体"/>
          <w:sz w:val="21"/>
          <w:szCs w:val="21"/>
        </w:rPr>
        <w:t>‰向甲方支付逾期交付的违约金；逾期超过十</w:t>
      </w:r>
      <w:r>
        <w:rPr>
          <w:rFonts w:hint="eastAsia" w:ascii="宋体" w:hAnsi="宋体" w:eastAsia="宋体" w:cs="宋体"/>
          <w:sz w:val="21"/>
          <w:szCs w:val="21"/>
          <w:lang w:eastAsia="zh-CN"/>
        </w:rPr>
        <w:t>五</w:t>
      </w:r>
      <w:r>
        <w:rPr>
          <w:rFonts w:hint="eastAsia" w:ascii="宋体" w:hAnsi="宋体" w:eastAsia="宋体" w:cs="宋体"/>
          <w:sz w:val="21"/>
          <w:szCs w:val="21"/>
        </w:rPr>
        <w:t>日的，甲方有权单方解除合同，并要求乙方退还已收取的款项，同时乙方应按照合同金额的</w:t>
      </w:r>
      <w:r>
        <w:rPr>
          <w:rFonts w:hint="eastAsia" w:ascii="宋体" w:hAnsi="宋体" w:eastAsia="宋体" w:cs="宋体"/>
          <w:sz w:val="21"/>
          <w:szCs w:val="21"/>
          <w:lang w:val="en-US" w:eastAsia="zh-CN"/>
        </w:rPr>
        <w:t>2</w:t>
      </w:r>
      <w:r>
        <w:rPr>
          <w:rFonts w:hint="eastAsia" w:ascii="宋体" w:hAnsi="宋体" w:eastAsia="宋体" w:cs="宋体"/>
          <w:sz w:val="21"/>
          <w:szCs w:val="21"/>
        </w:rPr>
        <w:t>0%向甲方支付违约金并承担因此给甲方造成的经济损失。</w:t>
      </w:r>
    </w:p>
    <w:p w14:paraId="20AFFF12">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w:t>
      </w:r>
      <w:r>
        <w:rPr>
          <w:rFonts w:hint="eastAsia" w:ascii="宋体" w:hAnsi="宋体" w:eastAsia="宋体" w:cs="宋体"/>
          <w:sz w:val="21"/>
          <w:szCs w:val="21"/>
        </w:rPr>
        <w:t>乙方所提供的产品名称、商标品牌、生产厂家、规格型号、技术参数、质量等</w:t>
      </w:r>
      <w:r>
        <w:rPr>
          <w:rFonts w:hint="eastAsia" w:ascii="宋体" w:hAnsi="宋体" w:eastAsia="宋体" w:cs="宋体"/>
          <w:sz w:val="21"/>
          <w:szCs w:val="21"/>
          <w:lang w:eastAsia="zh-CN"/>
        </w:rPr>
        <w:t>与招标文件、投标文件不符</w:t>
      </w:r>
      <w:r>
        <w:rPr>
          <w:rFonts w:hint="eastAsia" w:ascii="宋体" w:hAnsi="宋体" w:eastAsia="宋体" w:cs="宋体"/>
          <w:sz w:val="21"/>
          <w:szCs w:val="21"/>
        </w:rPr>
        <w:t>的，应按甲方的要求、在甲方指定的期限内更换，乙方因更换造成货物逾期交付的，按乙方逾期交付承担违约责任；</w:t>
      </w:r>
      <w:r>
        <w:rPr>
          <w:rFonts w:hint="eastAsia" w:ascii="宋体" w:hAnsi="宋体" w:eastAsia="宋体" w:cs="宋体"/>
          <w:sz w:val="21"/>
          <w:szCs w:val="21"/>
          <w:lang w:eastAsia="zh-CN"/>
        </w:rPr>
        <w:t>乙方未按甲方要求及期限内更换合格的货物的，</w:t>
      </w:r>
      <w:r>
        <w:rPr>
          <w:rFonts w:hint="eastAsia" w:ascii="宋体" w:hAnsi="宋体" w:eastAsia="宋体" w:cs="宋体"/>
          <w:sz w:val="21"/>
          <w:szCs w:val="21"/>
        </w:rPr>
        <w:t>甲方有权解除合同，要求乙方退还已收取的货款，并要求乙方按合同合计金额的</w:t>
      </w:r>
      <w:r>
        <w:rPr>
          <w:rFonts w:hint="eastAsia" w:ascii="宋体" w:hAnsi="宋体" w:eastAsia="宋体" w:cs="宋体"/>
          <w:sz w:val="21"/>
          <w:szCs w:val="21"/>
          <w:lang w:val="en-US" w:eastAsia="zh-CN"/>
        </w:rPr>
        <w:t>2</w:t>
      </w:r>
      <w:r>
        <w:rPr>
          <w:rFonts w:hint="eastAsia" w:ascii="宋体" w:hAnsi="宋体" w:eastAsia="宋体" w:cs="宋体"/>
          <w:sz w:val="21"/>
          <w:szCs w:val="21"/>
        </w:rPr>
        <w:t>0%支付违约金。因包装、运输引起的货物损坏，</w:t>
      </w:r>
      <w:r>
        <w:rPr>
          <w:rFonts w:hint="eastAsia" w:ascii="宋体" w:hAnsi="宋体" w:eastAsia="宋体" w:cs="宋体"/>
          <w:sz w:val="21"/>
          <w:szCs w:val="21"/>
          <w:lang w:eastAsia="zh-CN"/>
        </w:rPr>
        <w:t>视</w:t>
      </w:r>
      <w:r>
        <w:rPr>
          <w:rFonts w:hint="eastAsia" w:ascii="宋体" w:hAnsi="宋体" w:eastAsia="宋体" w:cs="宋体"/>
          <w:sz w:val="21"/>
          <w:szCs w:val="21"/>
          <w:lang w:val="en-US" w:eastAsia="zh-CN"/>
        </w:rPr>
        <w:t>为</w:t>
      </w:r>
      <w:r>
        <w:rPr>
          <w:rFonts w:hint="eastAsia" w:ascii="宋体" w:hAnsi="宋体" w:eastAsia="宋体" w:cs="宋体"/>
          <w:sz w:val="21"/>
          <w:szCs w:val="21"/>
        </w:rPr>
        <w:t>质量不合格</w:t>
      </w:r>
      <w:r>
        <w:rPr>
          <w:rFonts w:hint="eastAsia" w:ascii="宋体" w:hAnsi="宋体" w:eastAsia="宋体" w:cs="宋体"/>
          <w:sz w:val="21"/>
          <w:szCs w:val="21"/>
          <w:lang w:eastAsia="zh-CN"/>
        </w:rPr>
        <w:t>，按本条相应要求处理</w:t>
      </w:r>
      <w:r>
        <w:rPr>
          <w:rFonts w:hint="eastAsia" w:ascii="宋体" w:hAnsi="宋体" w:eastAsia="宋体" w:cs="宋体"/>
          <w:sz w:val="21"/>
          <w:szCs w:val="21"/>
        </w:rPr>
        <w:t>。</w:t>
      </w:r>
    </w:p>
    <w:p w14:paraId="39A0708D">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
        </w:rPr>
        <w:t>.</w:t>
      </w:r>
      <w:r>
        <w:rPr>
          <w:rFonts w:hint="eastAsia" w:ascii="宋体" w:hAnsi="宋体" w:eastAsia="宋体" w:cs="宋体"/>
          <w:sz w:val="21"/>
          <w:szCs w:val="21"/>
        </w:rPr>
        <w:t>乙方提供的货物如侵犯了第三方合法权益而引发的任何纠纷或者诉讼，均由乙方负责交涉并承担全部责任，如甲方为解决纠纷矛盾先期支付了费用的，乙方应当自收到甲方要求偿还费用的函之日起五日内向甲方偿还完毕。</w:t>
      </w:r>
    </w:p>
    <w:p w14:paraId="378B5230">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val="en"/>
        </w:rPr>
        <w:t>.</w:t>
      </w:r>
      <w:r>
        <w:rPr>
          <w:rFonts w:hint="eastAsia" w:ascii="宋体" w:hAnsi="宋体" w:eastAsia="宋体" w:cs="宋体"/>
          <w:sz w:val="21"/>
          <w:szCs w:val="21"/>
        </w:rPr>
        <w:t>乙方未按本合同和招标文件、投标文件中规定的服务承诺提供售后服务的，每违约一次，应按合同合计金额的</w:t>
      </w:r>
      <w:r>
        <w:rPr>
          <w:rFonts w:hint="eastAsia" w:ascii="宋体" w:hAnsi="宋体" w:eastAsia="宋体" w:cs="宋体"/>
          <w:sz w:val="21"/>
          <w:szCs w:val="21"/>
          <w:lang w:val="en-US" w:eastAsia="zh-CN"/>
        </w:rPr>
        <w:t>5</w:t>
      </w:r>
      <w:r>
        <w:rPr>
          <w:rFonts w:hint="eastAsia" w:ascii="宋体" w:hAnsi="宋体" w:eastAsia="宋体" w:cs="宋体"/>
          <w:sz w:val="21"/>
          <w:szCs w:val="21"/>
        </w:rPr>
        <w:t>%向甲方支付违约金。</w:t>
      </w:r>
    </w:p>
    <w:p w14:paraId="5B557371">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lang w:val="en"/>
        </w:rPr>
        <w:t>.</w:t>
      </w:r>
      <w:r>
        <w:rPr>
          <w:rFonts w:hint="eastAsia" w:ascii="宋体" w:hAnsi="宋体" w:eastAsia="宋体" w:cs="宋体"/>
          <w:sz w:val="21"/>
          <w:szCs w:val="21"/>
        </w:rPr>
        <w:t>乙方支付的违约金不足以弥补甲方损失的，应承担赔偿责任，甲方有权继续向乙方追偿。乙方应支付给甲方的任何违约金</w:t>
      </w:r>
      <w:r>
        <w:rPr>
          <w:rFonts w:hint="eastAsia" w:ascii="宋体" w:hAnsi="宋体" w:eastAsia="宋体" w:cs="宋体"/>
          <w:sz w:val="21"/>
          <w:szCs w:val="21"/>
          <w:lang w:eastAsia="zh-CN"/>
        </w:rPr>
        <w:t>或赔偿</w:t>
      </w:r>
      <w:r>
        <w:rPr>
          <w:rFonts w:hint="eastAsia" w:ascii="宋体" w:hAnsi="宋体" w:eastAsia="宋体" w:cs="宋体"/>
          <w:sz w:val="21"/>
          <w:szCs w:val="21"/>
        </w:rPr>
        <w:t>，甲方有权从任何应支付未支付给乙方的款项中直接抵扣。</w:t>
      </w:r>
    </w:p>
    <w:p w14:paraId="3E5C6B0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lang w:val="en"/>
        </w:rPr>
        <w:t>.</w:t>
      </w:r>
      <w:r>
        <w:rPr>
          <w:rFonts w:hint="eastAsia" w:ascii="宋体" w:hAnsi="宋体" w:eastAsia="宋体" w:cs="宋体"/>
          <w:sz w:val="21"/>
          <w:szCs w:val="21"/>
        </w:rPr>
        <w:t>甲方延期</w:t>
      </w:r>
      <w:r>
        <w:rPr>
          <w:rFonts w:hint="eastAsia" w:ascii="宋体" w:hAnsi="宋体" w:eastAsia="宋体" w:cs="宋体"/>
          <w:sz w:val="21"/>
          <w:szCs w:val="21"/>
          <w:lang w:eastAsia="zh-CN"/>
        </w:rPr>
        <w:t>支</w:t>
      </w:r>
      <w:r>
        <w:rPr>
          <w:rFonts w:hint="eastAsia" w:ascii="宋体" w:hAnsi="宋体" w:eastAsia="宋体" w:cs="宋体"/>
          <w:sz w:val="21"/>
          <w:szCs w:val="21"/>
        </w:rPr>
        <w:t>付</w:t>
      </w:r>
      <w:r>
        <w:rPr>
          <w:rFonts w:hint="eastAsia" w:ascii="宋体" w:hAnsi="宋体" w:eastAsia="宋体" w:cs="宋体"/>
          <w:sz w:val="21"/>
          <w:szCs w:val="21"/>
          <w:lang w:eastAsia="zh-CN"/>
        </w:rPr>
        <w:t>合同金额</w:t>
      </w:r>
      <w:r>
        <w:rPr>
          <w:rFonts w:hint="eastAsia" w:ascii="宋体" w:hAnsi="宋体" w:eastAsia="宋体" w:cs="宋体"/>
          <w:sz w:val="21"/>
          <w:szCs w:val="21"/>
        </w:rPr>
        <w:t>的，每天向乙方偿付延期货款额3‰的违约金，但违约金累计不得超过延期</w:t>
      </w:r>
      <w:r>
        <w:rPr>
          <w:rFonts w:hint="eastAsia" w:ascii="宋体" w:hAnsi="宋体" w:eastAsia="宋体" w:cs="宋体"/>
          <w:sz w:val="21"/>
          <w:szCs w:val="21"/>
          <w:lang w:eastAsia="zh-CN"/>
        </w:rPr>
        <w:t>应支付合同金额</w:t>
      </w:r>
      <w:r>
        <w:rPr>
          <w:rFonts w:hint="eastAsia" w:ascii="宋体" w:hAnsi="宋体" w:eastAsia="宋体" w:cs="宋体"/>
          <w:sz w:val="21"/>
          <w:szCs w:val="21"/>
        </w:rPr>
        <w:t>的5%。</w:t>
      </w:r>
    </w:p>
    <w:p w14:paraId="62704123">
      <w:pPr>
        <w:spacing w:line="400" w:lineRule="exact"/>
        <w:ind w:firstLine="420" w:firstLineChars="200"/>
        <w:rPr>
          <w:rFonts w:hint="eastAsia" w:ascii="宋体" w:hAnsi="宋体" w:eastAsia="宋体" w:cs="宋体"/>
          <w:bCs/>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lang w:val="en"/>
        </w:rPr>
        <w:t>.</w:t>
      </w:r>
      <w:r>
        <w:rPr>
          <w:rFonts w:hint="eastAsia" w:ascii="宋体" w:hAnsi="宋体" w:eastAsia="宋体" w:cs="宋体"/>
          <w:sz w:val="21"/>
          <w:szCs w:val="21"/>
        </w:rPr>
        <w:t>本合同所称的甲方经济损失或者甲方损失，包括甲方遭受的全部直接经济损失及为此支出的合理费用（包括但不限于为此支出的调查费、诉讼费、保全费、律师费、差旅费等）。</w:t>
      </w:r>
    </w:p>
    <w:p w14:paraId="7F492EA8">
      <w:pPr>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第十三条　不可抗力事件处理</w:t>
      </w:r>
    </w:p>
    <w:p w14:paraId="2AA1B301">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在合同有效期内，任何一方因不可抗力事件导致不能履行合同，则合同履行期可延长，其延长期与不可抗力影响期相同。</w:t>
      </w:r>
    </w:p>
    <w:p w14:paraId="0FE57D36">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不可抗力事件发生后，应立即通知对方，并寄送有关权威机构出具的证明。</w:t>
      </w:r>
    </w:p>
    <w:p w14:paraId="4695310A">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w:t>
      </w:r>
      <w:r>
        <w:rPr>
          <w:rFonts w:hint="eastAsia" w:ascii="宋体" w:hAnsi="宋体" w:eastAsia="宋体" w:cs="宋体"/>
          <w:sz w:val="21"/>
          <w:szCs w:val="21"/>
        </w:rPr>
        <w:t>不可抗力事件延续一百二十天以上，甲乙双方应通过友好协商，确定是否继续履行合同。</w:t>
      </w:r>
    </w:p>
    <w:p w14:paraId="067BA50D">
      <w:pPr>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第十四条　合同争议解决</w:t>
      </w:r>
    </w:p>
    <w:p w14:paraId="2BA8CAB7">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因货物质量问题发生争议的，应提交</w:t>
      </w:r>
      <w:r>
        <w:rPr>
          <w:rFonts w:hint="eastAsia" w:ascii="宋体" w:hAnsi="宋体" w:eastAsia="宋体" w:cs="宋体"/>
          <w:sz w:val="21"/>
          <w:szCs w:val="21"/>
          <w:lang w:eastAsia="zh-CN"/>
        </w:rPr>
        <w:t>第三方</w:t>
      </w:r>
      <w:r>
        <w:rPr>
          <w:rFonts w:hint="eastAsia" w:ascii="宋体" w:hAnsi="宋体" w:eastAsia="宋体" w:cs="宋体"/>
          <w:sz w:val="21"/>
          <w:szCs w:val="21"/>
        </w:rPr>
        <w:t>具有相应资质的</w:t>
      </w:r>
      <w:r>
        <w:rPr>
          <w:rFonts w:hint="eastAsia" w:ascii="宋体" w:hAnsi="宋体" w:eastAsia="宋体" w:cs="宋体"/>
          <w:sz w:val="21"/>
          <w:szCs w:val="21"/>
          <w:lang w:eastAsia="zh-CN"/>
        </w:rPr>
        <w:t>检测或鉴定</w:t>
      </w:r>
      <w:r>
        <w:rPr>
          <w:rFonts w:hint="eastAsia" w:ascii="宋体" w:hAnsi="宋体" w:eastAsia="宋体" w:cs="宋体"/>
          <w:sz w:val="21"/>
          <w:szCs w:val="21"/>
        </w:rPr>
        <w:t>机构进行鉴定。货物符合标准的，鉴定费由甲方承担；货物不符合标准的，鉴定费由乙方承担。</w:t>
      </w:r>
    </w:p>
    <w:p w14:paraId="21F0CD89">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因履行本合同引起的或者与本合同有关的争议，甲乙双方应首先通过友好协商解决，如果协商不能解决，可向甲方所在地有管辖权的人民法院提起诉讼。</w:t>
      </w:r>
    </w:p>
    <w:p w14:paraId="2A505E07">
      <w:pPr>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第十五条　合同生效及其他</w:t>
      </w:r>
    </w:p>
    <w:p w14:paraId="0B902AE1">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合同经甲乙双方法定代表人或者授权代表签字并加盖单位公章后生效。</w:t>
      </w:r>
    </w:p>
    <w:p w14:paraId="656B103A">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合同执行中涉及采购资金和采购内容修改或者补充的，须经政府采购监管部门审批，并签书面补充协议报政府采购监管部门备案，方可作为主合同不可分割的一部分。</w:t>
      </w:r>
    </w:p>
    <w:p w14:paraId="41088877">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w:t>
      </w:r>
      <w:r>
        <w:rPr>
          <w:rFonts w:hint="eastAsia" w:ascii="宋体" w:hAnsi="宋体" w:eastAsia="宋体" w:cs="宋体"/>
          <w:sz w:val="21"/>
          <w:szCs w:val="21"/>
        </w:rPr>
        <w:t>合同未尽事宜，遵照《中华人民共和国民法典》等相关法律、法规规定有关条文执行。</w:t>
      </w:r>
    </w:p>
    <w:p w14:paraId="3928237D">
      <w:pPr>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第十六条　合同的变更、终止与转让</w:t>
      </w:r>
    </w:p>
    <w:p w14:paraId="5DEE1FE4">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除《中华人民共和国政府采购法》第五十条规定的情形外，本合同一经签订，甲乙双方不得擅自变更、中止或者终止。</w:t>
      </w:r>
    </w:p>
    <w:p w14:paraId="55558E3A">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未经甲方书面同意，乙方不得擅自转让其应履行的合同义务。</w:t>
      </w:r>
    </w:p>
    <w:p w14:paraId="67F5A6E3">
      <w:pPr>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第十七条　本合同与下列文件一起构成合同文件</w:t>
      </w:r>
    </w:p>
    <w:p w14:paraId="29A8A8B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lang w:val="en" w:eastAsia="zh-CN"/>
        </w:rPr>
        <w:t>中标</w:t>
      </w:r>
      <w:r>
        <w:rPr>
          <w:rFonts w:hint="eastAsia" w:ascii="宋体" w:hAnsi="宋体" w:eastAsia="宋体" w:cs="宋体"/>
          <w:sz w:val="21"/>
          <w:szCs w:val="21"/>
        </w:rPr>
        <w:t>通知书；</w:t>
      </w:r>
    </w:p>
    <w:p w14:paraId="088C86B8">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lang w:val="en" w:eastAsia="zh-CN"/>
        </w:rPr>
        <w:t>投标文件</w:t>
      </w:r>
      <w:r>
        <w:rPr>
          <w:rFonts w:hint="eastAsia" w:ascii="宋体" w:hAnsi="宋体" w:eastAsia="宋体" w:cs="宋体"/>
          <w:sz w:val="21"/>
          <w:szCs w:val="21"/>
        </w:rPr>
        <w:t>；</w:t>
      </w:r>
    </w:p>
    <w:p w14:paraId="52ED63EF">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w:t>
      </w:r>
      <w:r>
        <w:rPr>
          <w:rFonts w:hint="eastAsia" w:ascii="宋体" w:hAnsi="宋体" w:eastAsia="宋体" w:cs="宋体"/>
          <w:sz w:val="21"/>
          <w:szCs w:val="21"/>
          <w:lang w:val="en" w:eastAsia="zh-CN"/>
        </w:rPr>
        <w:t>招标文件</w:t>
      </w:r>
      <w:r>
        <w:rPr>
          <w:rFonts w:hint="eastAsia" w:ascii="宋体" w:hAnsi="宋体" w:eastAsia="宋体" w:cs="宋体"/>
          <w:sz w:val="21"/>
          <w:szCs w:val="21"/>
        </w:rPr>
        <w:t>；</w:t>
      </w:r>
    </w:p>
    <w:p w14:paraId="0CB0B057">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lang w:val="en"/>
        </w:rPr>
        <w:t>.</w:t>
      </w:r>
      <w:r>
        <w:rPr>
          <w:rFonts w:hint="eastAsia" w:ascii="宋体" w:hAnsi="宋体" w:eastAsia="宋体" w:cs="宋体"/>
          <w:sz w:val="21"/>
          <w:szCs w:val="21"/>
          <w:lang w:val="en" w:eastAsia="zh-CN"/>
        </w:rPr>
        <w:t>合同附件</w:t>
      </w:r>
      <w:r>
        <w:rPr>
          <w:rFonts w:hint="eastAsia" w:ascii="宋体" w:hAnsi="宋体" w:eastAsia="宋体" w:cs="宋体"/>
          <w:sz w:val="21"/>
          <w:szCs w:val="21"/>
        </w:rPr>
        <w:t>；</w:t>
      </w:r>
    </w:p>
    <w:p w14:paraId="670E8F9C">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val="en"/>
        </w:rPr>
        <w:t>.国家法律、行政法规和规章制度规定或合同约定的作为合同组成部分的其他文件</w:t>
      </w:r>
      <w:r>
        <w:rPr>
          <w:rFonts w:hint="eastAsia" w:ascii="宋体" w:hAnsi="宋体" w:eastAsia="宋体" w:cs="宋体"/>
          <w:sz w:val="21"/>
          <w:szCs w:val="21"/>
        </w:rPr>
        <w:t>。</w:t>
      </w:r>
    </w:p>
    <w:p w14:paraId="62BD1271">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上述合同文件互相补充和解释。如果合同文件之间存在矛盾或者不一致之处，以本合同、上述文件的排列顺序在先者为准。</w:t>
      </w:r>
    </w:p>
    <w:p w14:paraId="797BED03">
      <w:pPr>
        <w:spacing w:line="400" w:lineRule="exact"/>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第十八条　其他约定事项</w:t>
      </w:r>
    </w:p>
    <w:p w14:paraId="7A3F29A4">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
        </w:rPr>
        <w:t>.</w:t>
      </w:r>
      <w:r>
        <w:rPr>
          <w:rFonts w:hint="eastAsia" w:ascii="宋体" w:hAnsi="宋体" w:eastAsia="宋体" w:cs="宋体"/>
          <w:sz w:val="21"/>
          <w:szCs w:val="21"/>
        </w:rPr>
        <w:t>本合同所有附件及相关文件均为本合同的有效组成部分，与本合同具有同等法律效力。若合同附件与本合同存在不一致的，则以本合同为准。</w:t>
      </w:r>
    </w:p>
    <w:p w14:paraId="6DDAABBA">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
        </w:rPr>
        <w:t>.</w:t>
      </w:r>
      <w:r>
        <w:rPr>
          <w:rFonts w:hint="eastAsia" w:ascii="宋体" w:hAnsi="宋体" w:eastAsia="宋体" w:cs="宋体"/>
          <w:sz w:val="21"/>
          <w:szCs w:val="21"/>
        </w:rPr>
        <w:t>在履行本合同过程中，所有经甲乙双方签署确认的文件（包括会议纪要、补充协议、往来信函、电子邮件等）即成为本合同的有效组成部分。</w:t>
      </w:r>
    </w:p>
    <w:p w14:paraId="68FC5D85">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
        </w:rPr>
        <w:t>.甲乙</w:t>
      </w:r>
      <w:r>
        <w:rPr>
          <w:rFonts w:hint="eastAsia" w:ascii="宋体" w:hAnsi="宋体" w:eastAsia="宋体" w:cs="宋体"/>
          <w:sz w:val="21"/>
          <w:szCs w:val="21"/>
        </w:rPr>
        <w:t>双方确认，以下为各方真实有效通讯地址：</w:t>
      </w:r>
    </w:p>
    <w:p w14:paraId="74639869">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w:t>
      </w:r>
      <w:r>
        <w:rPr>
          <w:rFonts w:hint="eastAsia" w:ascii="宋体" w:hAnsi="宋体" w:eastAsia="宋体" w:cs="宋体"/>
          <w:sz w:val="21"/>
          <w:szCs w:val="21"/>
          <w:u w:val="single"/>
        </w:rPr>
        <w:t>　　　　　</w:t>
      </w:r>
      <w:r>
        <w:rPr>
          <w:rFonts w:hint="eastAsia" w:ascii="宋体" w:hAnsi="宋体" w:eastAsia="宋体" w:cs="宋体"/>
          <w:sz w:val="21"/>
          <w:szCs w:val="21"/>
        </w:rPr>
        <w:t>，地址：</w:t>
      </w:r>
      <w:r>
        <w:rPr>
          <w:rFonts w:hint="eastAsia" w:ascii="宋体" w:hAnsi="宋体" w:eastAsia="宋体" w:cs="宋体"/>
          <w:sz w:val="21"/>
          <w:szCs w:val="21"/>
          <w:u w:val="single"/>
        </w:rPr>
        <w:t>　　　　　　　　　　　　</w:t>
      </w:r>
      <w:r>
        <w:rPr>
          <w:rFonts w:hint="eastAsia" w:ascii="宋体" w:hAnsi="宋体" w:eastAsia="宋体" w:cs="宋体"/>
          <w:sz w:val="21"/>
          <w:szCs w:val="21"/>
        </w:rPr>
        <w:t>，收件人：</w:t>
      </w:r>
      <w:r>
        <w:rPr>
          <w:rFonts w:hint="eastAsia" w:ascii="宋体" w:hAnsi="宋体" w:eastAsia="宋体" w:cs="宋体"/>
          <w:sz w:val="21"/>
          <w:szCs w:val="21"/>
          <w:u w:val="single"/>
        </w:rPr>
        <w:t>　　　　　</w:t>
      </w:r>
      <w:r>
        <w:rPr>
          <w:rFonts w:hint="eastAsia" w:ascii="宋体" w:hAnsi="宋体" w:eastAsia="宋体" w:cs="宋体"/>
          <w:sz w:val="21"/>
          <w:szCs w:val="21"/>
        </w:rPr>
        <w:t>，联系电话：</w:t>
      </w:r>
      <w:r>
        <w:rPr>
          <w:rFonts w:hint="eastAsia" w:ascii="宋体" w:hAnsi="宋体" w:eastAsia="宋体" w:cs="宋体"/>
          <w:sz w:val="21"/>
          <w:szCs w:val="21"/>
          <w:u w:val="single"/>
        </w:rPr>
        <w:t>　　　　　　　　　　　</w:t>
      </w:r>
      <w:r>
        <w:rPr>
          <w:rFonts w:hint="eastAsia" w:ascii="宋体" w:hAnsi="宋体" w:eastAsia="宋体" w:cs="宋体"/>
          <w:sz w:val="21"/>
          <w:szCs w:val="21"/>
        </w:rPr>
        <w:t>，电子邮箱：</w:t>
      </w:r>
      <w:r>
        <w:rPr>
          <w:rFonts w:hint="eastAsia" w:ascii="宋体" w:hAnsi="宋体" w:eastAsia="宋体" w:cs="宋体"/>
          <w:sz w:val="21"/>
          <w:szCs w:val="21"/>
          <w:u w:val="single"/>
        </w:rPr>
        <w:t>　　　　　　　　　</w:t>
      </w:r>
      <w:r>
        <w:rPr>
          <w:rFonts w:hint="eastAsia" w:ascii="宋体" w:hAnsi="宋体" w:eastAsia="宋体" w:cs="宋体"/>
          <w:sz w:val="21"/>
          <w:szCs w:val="21"/>
        </w:rPr>
        <w:t>。</w:t>
      </w:r>
    </w:p>
    <w:p w14:paraId="12EF5BC1">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w:t>
      </w:r>
      <w:r>
        <w:rPr>
          <w:rFonts w:hint="eastAsia" w:ascii="宋体" w:hAnsi="宋体" w:eastAsia="宋体" w:cs="宋体"/>
          <w:sz w:val="21"/>
          <w:szCs w:val="21"/>
          <w:u w:val="single"/>
        </w:rPr>
        <w:t>　　　　　</w:t>
      </w:r>
      <w:r>
        <w:rPr>
          <w:rFonts w:hint="eastAsia" w:ascii="宋体" w:hAnsi="宋体" w:eastAsia="宋体" w:cs="宋体"/>
          <w:sz w:val="21"/>
          <w:szCs w:val="21"/>
        </w:rPr>
        <w:t>，地址：</w:t>
      </w:r>
      <w:r>
        <w:rPr>
          <w:rFonts w:hint="eastAsia" w:ascii="宋体" w:hAnsi="宋体" w:eastAsia="宋体" w:cs="宋体"/>
          <w:sz w:val="21"/>
          <w:szCs w:val="21"/>
          <w:u w:val="single"/>
        </w:rPr>
        <w:t>　　　　　　　　　　　　</w:t>
      </w:r>
      <w:r>
        <w:rPr>
          <w:rFonts w:hint="eastAsia" w:ascii="宋体" w:hAnsi="宋体" w:eastAsia="宋体" w:cs="宋体"/>
          <w:sz w:val="21"/>
          <w:szCs w:val="21"/>
        </w:rPr>
        <w:t>，收件人：</w:t>
      </w:r>
      <w:r>
        <w:rPr>
          <w:rFonts w:hint="eastAsia" w:ascii="宋体" w:hAnsi="宋体" w:eastAsia="宋体" w:cs="宋体"/>
          <w:sz w:val="21"/>
          <w:szCs w:val="21"/>
          <w:u w:val="single"/>
        </w:rPr>
        <w:t>　　　　　</w:t>
      </w:r>
      <w:r>
        <w:rPr>
          <w:rFonts w:hint="eastAsia" w:ascii="宋体" w:hAnsi="宋体" w:eastAsia="宋体" w:cs="宋体"/>
          <w:sz w:val="21"/>
          <w:szCs w:val="21"/>
        </w:rPr>
        <w:t>，联系电话：</w:t>
      </w:r>
      <w:r>
        <w:rPr>
          <w:rFonts w:hint="eastAsia" w:ascii="宋体" w:hAnsi="宋体" w:eastAsia="宋体" w:cs="宋体"/>
          <w:sz w:val="21"/>
          <w:szCs w:val="21"/>
          <w:u w:val="single"/>
        </w:rPr>
        <w:t>　　　　　　　　　　　</w:t>
      </w:r>
      <w:r>
        <w:rPr>
          <w:rFonts w:hint="eastAsia" w:ascii="宋体" w:hAnsi="宋体" w:eastAsia="宋体" w:cs="宋体"/>
          <w:sz w:val="21"/>
          <w:szCs w:val="21"/>
        </w:rPr>
        <w:t>，电子邮箱：</w:t>
      </w:r>
      <w:r>
        <w:rPr>
          <w:rFonts w:hint="eastAsia" w:ascii="宋体" w:hAnsi="宋体" w:eastAsia="宋体" w:cs="宋体"/>
          <w:sz w:val="21"/>
          <w:szCs w:val="21"/>
          <w:u w:val="single"/>
        </w:rPr>
        <w:t>　　　　　　　　　</w:t>
      </w:r>
      <w:r>
        <w:rPr>
          <w:rFonts w:hint="eastAsia" w:ascii="宋体" w:hAnsi="宋体" w:eastAsia="宋体" w:cs="宋体"/>
          <w:sz w:val="21"/>
          <w:szCs w:val="21"/>
        </w:rPr>
        <w:t>。</w:t>
      </w:r>
    </w:p>
    <w:p w14:paraId="59048AEE">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及时书面通知对方，否则上述地址仍为真实有效通讯地址。</w:t>
      </w:r>
    </w:p>
    <w:p w14:paraId="6CFAAA57">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
        </w:rPr>
        <w:t>4.</w:t>
      </w:r>
      <w:r>
        <w:rPr>
          <w:rFonts w:hint="eastAsia" w:ascii="宋体" w:hAnsi="宋体" w:eastAsia="宋体" w:cs="宋体"/>
          <w:sz w:val="21"/>
          <w:szCs w:val="21"/>
        </w:rPr>
        <w:t>本合同一式</w:t>
      </w:r>
      <w:r>
        <w:rPr>
          <w:rFonts w:hint="eastAsia" w:ascii="宋体" w:hAnsi="宋体" w:eastAsia="宋体" w:cs="宋体"/>
          <w:sz w:val="21"/>
          <w:szCs w:val="21"/>
          <w:u w:val="single"/>
        </w:rPr>
        <w:t>　　　</w:t>
      </w:r>
      <w:r>
        <w:rPr>
          <w:rFonts w:hint="eastAsia" w:ascii="宋体" w:hAnsi="宋体" w:eastAsia="宋体" w:cs="宋体"/>
          <w:sz w:val="21"/>
          <w:szCs w:val="21"/>
        </w:rPr>
        <w:t>份，具有同等法律效力，政府采购监管部门、采购代理机构各一份，甲乙双方各</w:t>
      </w:r>
      <w:r>
        <w:rPr>
          <w:rFonts w:hint="eastAsia" w:ascii="宋体" w:hAnsi="宋体" w:eastAsia="宋体" w:cs="宋体"/>
          <w:sz w:val="21"/>
          <w:szCs w:val="21"/>
          <w:u w:val="single"/>
        </w:rPr>
        <w:t>　　　</w:t>
      </w:r>
      <w:r>
        <w:rPr>
          <w:rFonts w:hint="eastAsia" w:ascii="宋体" w:hAnsi="宋体" w:eastAsia="宋体" w:cs="宋体"/>
          <w:sz w:val="21"/>
          <w:szCs w:val="21"/>
        </w:rPr>
        <w:t>份。</w:t>
      </w:r>
    </w:p>
    <w:p w14:paraId="2FCF1094">
      <w:pPr>
        <w:snapToGrid w:val="0"/>
        <w:spacing w:line="360" w:lineRule="auto"/>
        <w:rPr>
          <w:rFonts w:hint="eastAsia" w:ascii="宋体" w:hAnsi="宋体" w:eastAsia="宋体" w:cs="宋体"/>
          <w:color w:val="auto"/>
          <w:szCs w:val="21"/>
          <w:highlight w:val="none"/>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9"/>
        <w:gridCol w:w="4800"/>
      </w:tblGrid>
      <w:tr w14:paraId="40E1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6" w:hRule="atLeast"/>
        </w:trPr>
        <w:tc>
          <w:tcPr>
            <w:tcW w:w="4799" w:type="dxa"/>
            <w:noWrap w:val="0"/>
            <w:vAlign w:val="center"/>
          </w:tcPr>
          <w:p w14:paraId="0EBDC41C">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甲方（章）           </w:t>
            </w:r>
          </w:p>
          <w:p w14:paraId="031302F7">
            <w:pPr>
              <w:snapToGrid w:val="0"/>
              <w:spacing w:line="360" w:lineRule="auto"/>
              <w:rPr>
                <w:rFonts w:hint="eastAsia" w:ascii="宋体" w:hAnsi="宋体" w:eastAsia="宋体" w:cs="宋体"/>
                <w:color w:val="auto"/>
                <w:szCs w:val="21"/>
                <w:highlight w:val="none"/>
              </w:rPr>
            </w:pPr>
          </w:p>
          <w:p w14:paraId="7786B0E3">
            <w:pPr>
              <w:snapToGrid w:val="0"/>
              <w:spacing w:line="360" w:lineRule="auto"/>
              <w:ind w:firstLine="945" w:firstLineChars="45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tc>
        <w:tc>
          <w:tcPr>
            <w:tcW w:w="4800" w:type="dxa"/>
            <w:noWrap w:val="0"/>
            <w:vAlign w:val="center"/>
          </w:tcPr>
          <w:p w14:paraId="4574DFE0">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乙方（章）              </w:t>
            </w:r>
          </w:p>
          <w:p w14:paraId="25007D7E">
            <w:pPr>
              <w:snapToGrid w:val="0"/>
              <w:spacing w:line="360" w:lineRule="auto"/>
              <w:rPr>
                <w:rFonts w:hint="eastAsia" w:ascii="宋体" w:hAnsi="宋体" w:eastAsia="宋体" w:cs="宋体"/>
                <w:color w:val="auto"/>
                <w:szCs w:val="21"/>
                <w:highlight w:val="none"/>
              </w:rPr>
            </w:pPr>
          </w:p>
          <w:p w14:paraId="25AFEBF8">
            <w:pPr>
              <w:snapToGrid w:val="0"/>
              <w:spacing w:line="360" w:lineRule="auto"/>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tc>
      </w:tr>
      <w:tr w14:paraId="62EC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trPr>
        <w:tc>
          <w:tcPr>
            <w:tcW w:w="4799" w:type="dxa"/>
            <w:noWrap w:val="0"/>
            <w:vAlign w:val="center"/>
          </w:tcPr>
          <w:p w14:paraId="257311AB">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单位地址：</w:t>
            </w:r>
          </w:p>
        </w:tc>
        <w:tc>
          <w:tcPr>
            <w:tcW w:w="4800" w:type="dxa"/>
            <w:noWrap w:val="0"/>
            <w:vAlign w:val="center"/>
          </w:tcPr>
          <w:p w14:paraId="70C20C69">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单位地址：</w:t>
            </w:r>
          </w:p>
        </w:tc>
      </w:tr>
      <w:tr w14:paraId="4D81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3" w:hRule="atLeast"/>
        </w:trPr>
        <w:tc>
          <w:tcPr>
            <w:tcW w:w="4799" w:type="dxa"/>
            <w:noWrap w:val="0"/>
            <w:vAlign w:val="top"/>
          </w:tcPr>
          <w:p w14:paraId="660A3C7D">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法定代表人或者</w:t>
            </w:r>
            <w:r>
              <w:rPr>
                <w:rFonts w:hint="eastAsia" w:ascii="宋体" w:hAnsi="宋体" w:eastAsia="宋体" w:cs="宋体"/>
                <w:color w:val="auto"/>
                <w:szCs w:val="21"/>
                <w:highlight w:val="none"/>
                <w:lang w:eastAsia="zh-CN"/>
              </w:rPr>
              <w:t>其</w:t>
            </w:r>
            <w:r>
              <w:rPr>
                <w:rFonts w:hint="eastAsia" w:ascii="宋体" w:hAnsi="宋体" w:eastAsia="宋体" w:cs="宋体"/>
                <w:color w:val="auto"/>
                <w:szCs w:val="21"/>
                <w:highlight w:val="none"/>
              </w:rPr>
              <w:t>委托代理人：</w:t>
            </w:r>
          </w:p>
        </w:tc>
        <w:tc>
          <w:tcPr>
            <w:tcW w:w="4800" w:type="dxa"/>
            <w:noWrap w:val="0"/>
            <w:vAlign w:val="top"/>
          </w:tcPr>
          <w:p w14:paraId="1408EA5A">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法定代表人或者</w:t>
            </w:r>
            <w:r>
              <w:rPr>
                <w:rFonts w:hint="eastAsia" w:ascii="宋体" w:hAnsi="宋体" w:eastAsia="宋体" w:cs="宋体"/>
                <w:color w:val="auto"/>
                <w:szCs w:val="21"/>
                <w:highlight w:val="none"/>
                <w:lang w:eastAsia="zh-CN"/>
              </w:rPr>
              <w:t>其</w:t>
            </w:r>
            <w:r>
              <w:rPr>
                <w:rFonts w:hint="eastAsia" w:ascii="宋体" w:hAnsi="宋体" w:eastAsia="宋体" w:cs="宋体"/>
                <w:color w:val="auto"/>
                <w:szCs w:val="21"/>
                <w:highlight w:val="none"/>
              </w:rPr>
              <w:t>委托代理人：</w:t>
            </w:r>
          </w:p>
        </w:tc>
      </w:tr>
      <w:tr w14:paraId="5AB2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4799" w:type="dxa"/>
            <w:noWrap w:val="0"/>
            <w:vAlign w:val="center"/>
          </w:tcPr>
          <w:p w14:paraId="0EBDC7C4">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4800" w:type="dxa"/>
            <w:noWrap w:val="0"/>
            <w:vAlign w:val="center"/>
          </w:tcPr>
          <w:p w14:paraId="0C844D73">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r>
      <w:tr w14:paraId="7C76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trPr>
        <w:tc>
          <w:tcPr>
            <w:tcW w:w="4799" w:type="dxa"/>
            <w:noWrap w:val="0"/>
            <w:vAlign w:val="center"/>
          </w:tcPr>
          <w:p w14:paraId="38B93AE5">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4800" w:type="dxa"/>
            <w:noWrap w:val="0"/>
            <w:vAlign w:val="center"/>
          </w:tcPr>
          <w:p w14:paraId="61C4BBE2">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r>
      <w:tr w14:paraId="15E7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9" w:hRule="atLeast"/>
        </w:trPr>
        <w:tc>
          <w:tcPr>
            <w:tcW w:w="4799" w:type="dxa"/>
            <w:noWrap w:val="0"/>
            <w:vAlign w:val="center"/>
          </w:tcPr>
          <w:p w14:paraId="3BAF0BE0">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4800" w:type="dxa"/>
            <w:noWrap w:val="0"/>
            <w:vAlign w:val="center"/>
          </w:tcPr>
          <w:p w14:paraId="5A631779">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r>
      <w:tr w14:paraId="69D5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trPr>
        <w:tc>
          <w:tcPr>
            <w:tcW w:w="4799" w:type="dxa"/>
            <w:noWrap w:val="0"/>
            <w:vAlign w:val="center"/>
          </w:tcPr>
          <w:p w14:paraId="2BA6D332">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c>
          <w:tcPr>
            <w:tcW w:w="4800" w:type="dxa"/>
            <w:noWrap w:val="0"/>
            <w:vAlign w:val="center"/>
          </w:tcPr>
          <w:p w14:paraId="477E089A">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r>
      <w:tr w14:paraId="1982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trPr>
        <w:tc>
          <w:tcPr>
            <w:tcW w:w="4799" w:type="dxa"/>
            <w:noWrap w:val="0"/>
            <w:vAlign w:val="center"/>
          </w:tcPr>
          <w:p w14:paraId="26108127">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4800" w:type="dxa"/>
            <w:noWrap w:val="0"/>
            <w:vAlign w:val="center"/>
          </w:tcPr>
          <w:p w14:paraId="6242B3DE">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r>
    </w:tbl>
    <w:p w14:paraId="611C8E10">
      <w:pPr>
        <w:snapToGrid w:val="0"/>
        <w:spacing w:line="360" w:lineRule="auto"/>
        <w:ind w:left="420" w:hanging="420" w:hangingChars="200"/>
        <w:rPr>
          <w:rFonts w:hint="eastAsia" w:ascii="宋体" w:hAnsi="宋体" w:eastAsia="宋体" w:cs="宋体"/>
          <w:color w:val="auto"/>
          <w:szCs w:val="21"/>
          <w:highlight w:val="none"/>
        </w:rPr>
      </w:pPr>
    </w:p>
    <w:p w14:paraId="34EDCB9B">
      <w:pPr>
        <w:snapToGrid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br w:type="page"/>
      </w:r>
      <w:r>
        <w:rPr>
          <w:rFonts w:hint="eastAsia" w:ascii="宋体" w:hAnsi="宋体" w:eastAsia="宋体" w:cs="宋体"/>
          <w:b/>
          <w:color w:val="auto"/>
          <w:szCs w:val="21"/>
          <w:highlight w:val="none"/>
        </w:rPr>
        <w:t>合 同 附 件</w:t>
      </w:r>
    </w:p>
    <w:p w14:paraId="2A97172F">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一般货物类</w:t>
      </w:r>
    </w:p>
    <w:tbl>
      <w:tblPr>
        <w:tblStyle w:val="28"/>
        <w:tblW w:w="0" w:type="auto"/>
        <w:tblInd w:w="0" w:type="dxa"/>
        <w:tblLayout w:type="fixed"/>
        <w:tblCellMar>
          <w:top w:w="0" w:type="dxa"/>
          <w:left w:w="108" w:type="dxa"/>
          <w:bottom w:w="0" w:type="dxa"/>
          <w:right w:w="108" w:type="dxa"/>
        </w:tblCellMar>
      </w:tblPr>
      <w:tblGrid>
        <w:gridCol w:w="4695"/>
        <w:gridCol w:w="4725"/>
      </w:tblGrid>
      <w:tr w14:paraId="24DE2E23">
        <w:tblPrEx>
          <w:tblCellMar>
            <w:top w:w="0" w:type="dxa"/>
            <w:left w:w="108" w:type="dxa"/>
            <w:bottom w:w="0" w:type="dxa"/>
            <w:right w:w="108" w:type="dxa"/>
          </w:tblCellMar>
        </w:tblPrEx>
        <w:trPr>
          <w:trHeight w:val="1302" w:hRule="atLeast"/>
        </w:trPr>
        <w:tc>
          <w:tcPr>
            <w:tcW w:w="9420" w:type="dxa"/>
            <w:gridSpan w:val="2"/>
            <w:tcBorders>
              <w:top w:val="single" w:color="auto" w:sz="4" w:space="0"/>
              <w:left w:val="single" w:color="auto" w:sz="4" w:space="0"/>
              <w:right w:val="single" w:color="auto" w:sz="4" w:space="0"/>
            </w:tcBorders>
            <w:noWrap w:val="0"/>
            <w:vAlign w:val="top"/>
          </w:tcPr>
          <w:p w14:paraId="61D530FE">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1. </w:t>
            </w:r>
            <w:r>
              <w:rPr>
                <w:rFonts w:hint="eastAsia" w:ascii="宋体" w:hAnsi="宋体" w:cs="宋体"/>
                <w:b/>
                <w:color w:val="auto"/>
                <w:szCs w:val="21"/>
                <w:highlight w:val="none"/>
                <w:lang w:eastAsia="zh-CN"/>
              </w:rPr>
              <w:t>乙方</w:t>
            </w:r>
            <w:r>
              <w:rPr>
                <w:rFonts w:hint="eastAsia" w:ascii="宋体" w:hAnsi="宋体" w:eastAsia="宋体" w:cs="宋体"/>
                <w:b/>
                <w:color w:val="auto"/>
                <w:szCs w:val="21"/>
                <w:highlight w:val="none"/>
              </w:rPr>
              <w:t>承诺具体事项：</w:t>
            </w:r>
          </w:p>
        </w:tc>
      </w:tr>
      <w:tr w14:paraId="37F67989">
        <w:tblPrEx>
          <w:tblCellMar>
            <w:top w:w="0" w:type="dxa"/>
            <w:left w:w="108" w:type="dxa"/>
            <w:bottom w:w="0" w:type="dxa"/>
            <w:right w:w="108" w:type="dxa"/>
          </w:tblCellMar>
        </w:tblPrEx>
        <w:trPr>
          <w:trHeight w:val="1304" w:hRule="atLeast"/>
        </w:trPr>
        <w:tc>
          <w:tcPr>
            <w:tcW w:w="9420" w:type="dxa"/>
            <w:gridSpan w:val="2"/>
            <w:tcBorders>
              <w:top w:val="single" w:color="auto" w:sz="4" w:space="0"/>
              <w:left w:val="single" w:color="auto" w:sz="4" w:space="0"/>
              <w:right w:val="single" w:color="auto" w:sz="4" w:space="0"/>
            </w:tcBorders>
            <w:noWrap w:val="0"/>
            <w:vAlign w:val="top"/>
          </w:tcPr>
          <w:p w14:paraId="79CC7657">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 售后服务具体事项：</w:t>
            </w:r>
          </w:p>
        </w:tc>
      </w:tr>
      <w:tr w14:paraId="49BD4EEA">
        <w:tblPrEx>
          <w:tblCellMar>
            <w:top w:w="0" w:type="dxa"/>
            <w:left w:w="108" w:type="dxa"/>
            <w:bottom w:w="0" w:type="dxa"/>
            <w:right w:w="108" w:type="dxa"/>
          </w:tblCellMar>
        </w:tblPrEx>
        <w:trPr>
          <w:trHeight w:val="1157" w:hRule="atLeast"/>
        </w:trPr>
        <w:tc>
          <w:tcPr>
            <w:tcW w:w="9420" w:type="dxa"/>
            <w:gridSpan w:val="2"/>
            <w:tcBorders>
              <w:top w:val="single" w:color="auto" w:sz="4" w:space="0"/>
              <w:left w:val="single" w:color="auto" w:sz="4" w:space="0"/>
              <w:right w:val="single" w:color="auto" w:sz="4" w:space="0"/>
            </w:tcBorders>
            <w:noWrap w:val="0"/>
            <w:vAlign w:val="top"/>
          </w:tcPr>
          <w:p w14:paraId="0FEF7CAE">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 保修期责任：</w:t>
            </w:r>
          </w:p>
        </w:tc>
      </w:tr>
      <w:tr w14:paraId="2B9DAA29">
        <w:tblPrEx>
          <w:tblCellMar>
            <w:top w:w="0" w:type="dxa"/>
            <w:left w:w="108" w:type="dxa"/>
            <w:bottom w:w="0" w:type="dxa"/>
            <w:right w:w="108" w:type="dxa"/>
          </w:tblCellMar>
        </w:tblPrEx>
        <w:trPr>
          <w:trHeight w:val="1443" w:hRule="atLeast"/>
        </w:trPr>
        <w:tc>
          <w:tcPr>
            <w:tcW w:w="9420" w:type="dxa"/>
            <w:gridSpan w:val="2"/>
            <w:tcBorders>
              <w:top w:val="single" w:color="auto" w:sz="4" w:space="0"/>
              <w:left w:val="single" w:color="auto" w:sz="4" w:space="0"/>
              <w:right w:val="single" w:color="auto" w:sz="4" w:space="0"/>
            </w:tcBorders>
            <w:noWrap w:val="0"/>
            <w:vAlign w:val="top"/>
          </w:tcPr>
          <w:p w14:paraId="74597129">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4. </w:t>
            </w:r>
            <w:r>
              <w:rPr>
                <w:rFonts w:hint="eastAsia" w:ascii="宋体" w:hAnsi="宋体" w:eastAsia="宋体" w:cs="宋体"/>
                <w:b/>
                <w:color w:val="auto"/>
                <w:szCs w:val="21"/>
                <w:highlight w:val="none"/>
                <w:lang w:eastAsia="zh-CN"/>
              </w:rPr>
              <w:t>其他</w:t>
            </w:r>
            <w:r>
              <w:rPr>
                <w:rFonts w:hint="eastAsia" w:ascii="宋体" w:hAnsi="宋体" w:eastAsia="宋体" w:cs="宋体"/>
                <w:b/>
                <w:color w:val="auto"/>
                <w:szCs w:val="21"/>
                <w:highlight w:val="none"/>
              </w:rPr>
              <w:t>具体事项：</w:t>
            </w:r>
          </w:p>
        </w:tc>
      </w:tr>
      <w:tr w14:paraId="3735533D">
        <w:tblPrEx>
          <w:tblCellMar>
            <w:top w:w="0" w:type="dxa"/>
            <w:left w:w="108" w:type="dxa"/>
            <w:bottom w:w="0" w:type="dxa"/>
            <w:right w:w="108" w:type="dxa"/>
          </w:tblCellMar>
        </w:tblPrEx>
        <w:trPr>
          <w:trHeight w:val="1816" w:hRule="atLeast"/>
        </w:trPr>
        <w:tc>
          <w:tcPr>
            <w:tcW w:w="4695" w:type="dxa"/>
            <w:tcBorders>
              <w:top w:val="single" w:color="auto" w:sz="4" w:space="0"/>
              <w:left w:val="single" w:color="auto" w:sz="4" w:space="0"/>
              <w:bottom w:val="single" w:color="auto" w:sz="4" w:space="0"/>
              <w:right w:val="single" w:color="auto" w:sz="4" w:space="0"/>
            </w:tcBorders>
            <w:noWrap w:val="0"/>
            <w:vAlign w:val="center"/>
          </w:tcPr>
          <w:p w14:paraId="64B46220">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甲方（章）</w:t>
            </w:r>
          </w:p>
          <w:p w14:paraId="1B20AF93">
            <w:pPr>
              <w:snapToGrid w:val="0"/>
              <w:spacing w:line="360" w:lineRule="auto"/>
              <w:ind w:firstLine="422" w:firstLineChars="200"/>
              <w:rPr>
                <w:rFonts w:hint="eastAsia" w:ascii="宋体" w:hAnsi="宋体" w:eastAsia="宋体" w:cs="宋体"/>
                <w:b/>
                <w:color w:val="auto"/>
                <w:szCs w:val="21"/>
                <w:highlight w:val="none"/>
              </w:rPr>
            </w:pPr>
          </w:p>
          <w:p w14:paraId="1D25E52B">
            <w:pPr>
              <w:snapToGrid w:val="0"/>
              <w:spacing w:line="360" w:lineRule="auto"/>
              <w:rPr>
                <w:rFonts w:hint="eastAsia" w:ascii="宋体" w:hAnsi="宋体" w:eastAsia="宋体" w:cs="宋体"/>
                <w:b/>
                <w:color w:val="auto"/>
                <w:szCs w:val="21"/>
                <w:highlight w:val="none"/>
              </w:rPr>
            </w:pPr>
          </w:p>
          <w:p w14:paraId="2A6831D9">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年   月   日 </w:t>
            </w:r>
          </w:p>
        </w:tc>
        <w:tc>
          <w:tcPr>
            <w:tcW w:w="4725" w:type="dxa"/>
            <w:tcBorders>
              <w:top w:val="single" w:color="auto" w:sz="4" w:space="0"/>
              <w:left w:val="single" w:color="auto" w:sz="4" w:space="0"/>
              <w:bottom w:val="single" w:color="auto" w:sz="4" w:space="0"/>
              <w:right w:val="single" w:color="auto" w:sz="4" w:space="0"/>
            </w:tcBorders>
            <w:noWrap w:val="0"/>
            <w:vAlign w:val="center"/>
          </w:tcPr>
          <w:p w14:paraId="4D0DB8CC">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乙方（章）</w:t>
            </w:r>
          </w:p>
          <w:p w14:paraId="3C428774">
            <w:pPr>
              <w:snapToGrid w:val="0"/>
              <w:spacing w:line="360" w:lineRule="auto"/>
              <w:ind w:firstLine="422" w:firstLineChars="200"/>
              <w:rPr>
                <w:rFonts w:hint="eastAsia" w:ascii="宋体" w:hAnsi="宋体" w:eastAsia="宋体" w:cs="宋体"/>
                <w:b/>
                <w:color w:val="auto"/>
                <w:szCs w:val="21"/>
                <w:highlight w:val="none"/>
              </w:rPr>
            </w:pPr>
          </w:p>
          <w:p w14:paraId="70B3D226">
            <w:pPr>
              <w:snapToGrid w:val="0"/>
              <w:spacing w:line="360" w:lineRule="auto"/>
              <w:rPr>
                <w:rFonts w:hint="eastAsia" w:ascii="宋体" w:hAnsi="宋体" w:eastAsia="宋体" w:cs="宋体"/>
                <w:b/>
                <w:color w:val="auto"/>
                <w:szCs w:val="21"/>
                <w:highlight w:val="none"/>
              </w:rPr>
            </w:pPr>
          </w:p>
          <w:p w14:paraId="4383A4B2">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年   月   日</w:t>
            </w:r>
          </w:p>
        </w:tc>
      </w:tr>
    </w:tbl>
    <w:p w14:paraId="586F50D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注：售后服务事项填不下时可另加附页</w:t>
      </w:r>
    </w:p>
    <w:p w14:paraId="529672C2">
      <w:pPr>
        <w:snapToGrid w:val="0"/>
        <w:spacing w:line="360" w:lineRule="auto"/>
        <w:jc w:val="left"/>
        <w:rPr>
          <w:rFonts w:hint="eastAsia" w:ascii="宋体" w:hAnsi="宋体" w:eastAsia="宋体" w:cs="宋体"/>
          <w:color w:val="auto"/>
          <w:szCs w:val="21"/>
          <w:highlight w:val="none"/>
        </w:rPr>
      </w:pPr>
    </w:p>
    <w:p w14:paraId="350B72D3">
      <w:pPr>
        <w:spacing w:line="360" w:lineRule="auto"/>
        <w:ind w:left="0" w:firstLine="0" w:firstLineChars="0"/>
        <w:outlineLvl w:val="0"/>
        <w:rPr>
          <w:rFonts w:hint="eastAsia" w:ascii="宋体" w:hAnsi="宋体" w:eastAsia="宋体" w:cs="宋体"/>
          <w:b/>
          <w:color w:val="auto"/>
          <w:sz w:val="36"/>
          <w:szCs w:val="20"/>
          <w:highlight w:val="none"/>
        </w:rPr>
      </w:pPr>
    </w:p>
    <w:p w14:paraId="29A5DF1A">
      <w:pPr>
        <w:spacing w:line="360" w:lineRule="auto"/>
        <w:ind w:left="720" w:firstLine="723" w:firstLineChars="200"/>
        <w:outlineLvl w:val="0"/>
        <w:rPr>
          <w:rFonts w:hint="eastAsia" w:ascii="宋体" w:hAnsi="宋体" w:eastAsia="宋体" w:cs="宋体"/>
          <w:b/>
          <w:color w:val="auto"/>
          <w:sz w:val="36"/>
          <w:szCs w:val="20"/>
          <w:highlight w:val="none"/>
        </w:rPr>
      </w:pPr>
    </w:p>
    <w:p w14:paraId="4CE05C10">
      <w:pPr>
        <w:spacing w:line="360" w:lineRule="auto"/>
        <w:ind w:left="720" w:firstLine="723" w:firstLineChars="200"/>
        <w:outlineLvl w:val="0"/>
        <w:rPr>
          <w:rFonts w:hint="eastAsia" w:ascii="宋体" w:hAnsi="宋体" w:eastAsia="宋体" w:cs="宋体"/>
          <w:b/>
          <w:color w:val="auto"/>
          <w:sz w:val="36"/>
          <w:szCs w:val="20"/>
          <w:highlight w:val="none"/>
        </w:rPr>
      </w:pPr>
    </w:p>
    <w:p w14:paraId="11379265">
      <w:pPr>
        <w:ind w:firstLine="542"/>
        <w:rPr>
          <w:rFonts w:hAnsi="宋体" w:cs="宋体"/>
          <w:b/>
          <w:sz w:val="36"/>
          <w:highlight w:val="none"/>
        </w:rPr>
      </w:pPr>
      <w:r>
        <w:rPr>
          <w:rFonts w:hAnsi="宋体" w:cs="宋体"/>
          <w:b/>
          <w:sz w:val="36"/>
          <w:highlight w:val="none"/>
        </w:rPr>
        <w:br w:type="page"/>
      </w:r>
    </w:p>
    <w:p w14:paraId="66358196">
      <w:pPr>
        <w:ind w:firstLine="542"/>
        <w:jc w:val="center"/>
        <w:rPr>
          <w:rFonts w:hAnsi="宋体" w:cs="宋体"/>
          <w:b/>
          <w:sz w:val="36"/>
          <w:highlight w:val="none"/>
        </w:rPr>
      </w:pPr>
    </w:p>
    <w:p w14:paraId="5275B6D0">
      <w:pPr>
        <w:pStyle w:val="14"/>
        <w:tabs>
          <w:tab w:val="left" w:pos="2472"/>
        </w:tabs>
        <w:spacing w:line="460" w:lineRule="exact"/>
        <w:ind w:firstLine="542"/>
        <w:jc w:val="center"/>
        <w:rPr>
          <w:rFonts w:hAnsi="宋体" w:cs="宋体"/>
          <w:b/>
          <w:sz w:val="36"/>
          <w:highlight w:val="none"/>
        </w:rPr>
      </w:pPr>
    </w:p>
    <w:p w14:paraId="1E6DC431">
      <w:pPr>
        <w:pStyle w:val="14"/>
        <w:tabs>
          <w:tab w:val="left" w:pos="2472"/>
        </w:tabs>
        <w:spacing w:line="460" w:lineRule="exact"/>
        <w:ind w:firstLine="542"/>
        <w:jc w:val="center"/>
        <w:rPr>
          <w:rFonts w:hAnsi="宋体" w:cs="宋体"/>
          <w:b/>
          <w:sz w:val="36"/>
          <w:highlight w:val="none"/>
        </w:rPr>
      </w:pPr>
    </w:p>
    <w:p w14:paraId="27C85746">
      <w:pPr>
        <w:ind w:firstLine="542"/>
        <w:jc w:val="center"/>
        <w:rPr>
          <w:rFonts w:hAnsi="宋体" w:cs="宋体"/>
          <w:b/>
          <w:sz w:val="36"/>
          <w:highlight w:val="none"/>
        </w:rPr>
      </w:pPr>
    </w:p>
    <w:p w14:paraId="045A6F4F">
      <w:pPr>
        <w:pStyle w:val="17"/>
        <w:ind w:firstLine="542"/>
        <w:jc w:val="center"/>
        <w:rPr>
          <w:rFonts w:hAnsi="宋体" w:cs="宋体"/>
          <w:b/>
          <w:sz w:val="36"/>
          <w:highlight w:val="none"/>
        </w:rPr>
      </w:pPr>
    </w:p>
    <w:p w14:paraId="3F208625">
      <w:pPr>
        <w:jc w:val="center"/>
        <w:rPr>
          <w:highlight w:val="none"/>
        </w:rPr>
      </w:pPr>
    </w:p>
    <w:p w14:paraId="221BCB5F">
      <w:pPr>
        <w:pStyle w:val="14"/>
        <w:tabs>
          <w:tab w:val="left" w:pos="2472"/>
        </w:tabs>
        <w:spacing w:line="460" w:lineRule="exact"/>
        <w:ind w:firstLine="542"/>
        <w:jc w:val="center"/>
        <w:rPr>
          <w:rFonts w:hAnsi="宋体" w:cs="宋体"/>
          <w:b/>
          <w:sz w:val="36"/>
          <w:highlight w:val="none"/>
        </w:rPr>
      </w:pPr>
    </w:p>
    <w:p w14:paraId="1EEB086B">
      <w:pPr>
        <w:pStyle w:val="14"/>
        <w:tabs>
          <w:tab w:val="left" w:pos="2472"/>
        </w:tabs>
        <w:spacing w:line="460" w:lineRule="exact"/>
        <w:ind w:firstLine="542"/>
        <w:jc w:val="center"/>
        <w:rPr>
          <w:rFonts w:hAnsi="宋体" w:cs="宋体"/>
          <w:b/>
          <w:sz w:val="36"/>
          <w:highlight w:val="none"/>
        </w:rPr>
      </w:pPr>
    </w:p>
    <w:p w14:paraId="0338B000">
      <w:pPr>
        <w:pStyle w:val="14"/>
        <w:tabs>
          <w:tab w:val="left" w:pos="2472"/>
        </w:tabs>
        <w:spacing w:line="460" w:lineRule="exact"/>
        <w:ind w:firstLine="542"/>
        <w:jc w:val="center"/>
        <w:rPr>
          <w:rFonts w:hAnsi="宋体" w:cs="宋体"/>
          <w:b/>
          <w:sz w:val="36"/>
          <w:highlight w:val="none"/>
        </w:rPr>
      </w:pPr>
    </w:p>
    <w:p w14:paraId="1DF9E953">
      <w:pPr>
        <w:pStyle w:val="14"/>
        <w:tabs>
          <w:tab w:val="left" w:pos="2472"/>
        </w:tabs>
        <w:spacing w:line="460" w:lineRule="exact"/>
        <w:ind w:firstLine="542"/>
        <w:jc w:val="center"/>
        <w:outlineLvl w:val="0"/>
        <w:rPr>
          <w:rFonts w:hAnsi="宋体" w:cs="宋体"/>
          <w:b/>
          <w:sz w:val="36"/>
          <w:highlight w:val="none"/>
        </w:rPr>
      </w:pPr>
      <w:bookmarkStart w:id="237" w:name="_Toc23759"/>
      <w:bookmarkStart w:id="238" w:name="_Toc20288"/>
      <w:bookmarkStart w:id="239" w:name="_Toc14291"/>
      <w:bookmarkStart w:id="240" w:name="_Toc7880"/>
      <w:r>
        <w:rPr>
          <w:rFonts w:hint="eastAsia" w:hAnsi="宋体" w:cs="宋体"/>
          <w:b/>
          <w:sz w:val="36"/>
          <w:highlight w:val="none"/>
        </w:rPr>
        <w:t>第六章 投标文件格式</w:t>
      </w:r>
      <w:bookmarkEnd w:id="237"/>
      <w:bookmarkEnd w:id="238"/>
      <w:bookmarkEnd w:id="239"/>
      <w:bookmarkEnd w:id="240"/>
    </w:p>
    <w:p w14:paraId="05C722F3">
      <w:pPr>
        <w:pStyle w:val="14"/>
        <w:jc w:val="center"/>
        <w:outlineLvl w:val="1"/>
        <w:rPr>
          <w:rFonts w:hint="eastAsia" w:hAnsi="宋体" w:cs="宋体"/>
          <w:b/>
          <w:bCs/>
          <w:color w:val="auto"/>
          <w:sz w:val="28"/>
          <w:szCs w:val="28"/>
          <w:highlight w:val="none"/>
        </w:rPr>
      </w:pPr>
      <w:bookmarkStart w:id="241" w:name="_Toc5213"/>
      <w:bookmarkStart w:id="242" w:name="_Toc1470"/>
      <w:bookmarkStart w:id="243" w:name="_Toc24554"/>
      <w:bookmarkStart w:id="244" w:name="_Toc22716"/>
      <w:r>
        <w:rPr>
          <w:rFonts w:hint="eastAsia" w:hAnsi="宋体" w:cs="宋体"/>
          <w:highlight w:val="none"/>
        </w:rPr>
        <w:br w:type="page"/>
      </w:r>
      <w:bookmarkEnd w:id="241"/>
      <w:bookmarkEnd w:id="242"/>
      <w:bookmarkEnd w:id="243"/>
      <w:bookmarkEnd w:id="244"/>
      <w:bookmarkStart w:id="245" w:name="_Toc26915"/>
      <w:bookmarkStart w:id="246" w:name="_Toc29743"/>
      <w:bookmarkStart w:id="247" w:name="_Toc16447"/>
      <w:bookmarkStart w:id="248" w:name="_Toc247"/>
      <w:bookmarkStart w:id="249" w:name="_Toc30455"/>
      <w:r>
        <w:rPr>
          <w:rFonts w:hint="eastAsia" w:hAnsi="宋体" w:cs="宋体"/>
          <w:b/>
          <w:bCs/>
          <w:color w:val="auto"/>
          <w:sz w:val="28"/>
          <w:szCs w:val="28"/>
          <w:highlight w:val="none"/>
        </w:rPr>
        <w:t>第</w:t>
      </w:r>
      <w:r>
        <w:rPr>
          <w:rFonts w:hint="eastAsia" w:hAnsi="宋体" w:cs="宋体"/>
          <w:b/>
          <w:bCs/>
          <w:color w:val="auto"/>
          <w:sz w:val="28"/>
          <w:szCs w:val="28"/>
          <w:highlight w:val="none"/>
          <w:lang w:eastAsia="zh-CN"/>
        </w:rPr>
        <w:t>一</w:t>
      </w:r>
      <w:r>
        <w:rPr>
          <w:rFonts w:hint="eastAsia" w:hAnsi="宋体" w:cs="宋体"/>
          <w:b/>
          <w:bCs/>
          <w:color w:val="auto"/>
          <w:sz w:val="28"/>
          <w:szCs w:val="28"/>
          <w:highlight w:val="none"/>
        </w:rPr>
        <w:t>节 资格证明文件格式</w:t>
      </w:r>
      <w:bookmarkEnd w:id="245"/>
      <w:bookmarkEnd w:id="246"/>
      <w:bookmarkEnd w:id="247"/>
      <w:bookmarkEnd w:id="248"/>
      <w:bookmarkEnd w:id="249"/>
    </w:p>
    <w:p w14:paraId="3D43524A">
      <w:pPr>
        <w:pStyle w:val="14"/>
        <w:spacing w:line="360" w:lineRule="auto"/>
        <w:ind w:firstLine="420"/>
        <w:rPr>
          <w:rFonts w:hint="eastAsia" w:hAnsi="宋体" w:cs="宋体"/>
          <w:color w:val="auto"/>
          <w:sz w:val="24"/>
          <w:szCs w:val="24"/>
          <w:highlight w:val="none"/>
          <w:lang w:val="en-US" w:eastAsia="zh-CN"/>
        </w:rPr>
      </w:pPr>
    </w:p>
    <w:p w14:paraId="3AA7234F">
      <w:pPr>
        <w:pStyle w:val="14"/>
        <w:spacing w:line="360" w:lineRule="auto"/>
        <w:ind w:firstLine="420"/>
        <w:rPr>
          <w:rFonts w:hint="eastAsia" w:hAnsi="宋体" w:cs="宋体"/>
          <w:b/>
          <w:bCs/>
          <w:color w:val="auto"/>
          <w:sz w:val="24"/>
          <w:szCs w:val="24"/>
          <w:highlight w:val="none"/>
          <w:lang w:val="en-US" w:eastAsia="zh-CN"/>
        </w:rPr>
      </w:pPr>
      <w:r>
        <w:rPr>
          <w:rFonts w:hint="eastAsia" w:hAnsi="宋体" w:cs="宋体"/>
          <w:b/>
          <w:bCs/>
          <w:color w:val="auto"/>
          <w:sz w:val="28"/>
          <w:szCs w:val="28"/>
          <w:highlight w:val="none"/>
          <w:lang w:val="en-US" w:eastAsia="zh-CN"/>
        </w:rPr>
        <w:t>1.资格证明文件封面的格式</w:t>
      </w:r>
      <w:r>
        <w:rPr>
          <w:rFonts w:hint="eastAsia" w:ascii="宋体" w:hAnsi="宋体" w:eastAsia="宋体" w:cs="宋体"/>
          <w:b/>
          <w:color w:val="000000"/>
          <w:sz w:val="28"/>
          <w:szCs w:val="28"/>
          <w:highlight w:val="none"/>
        </w:rPr>
        <w:t>（参照此格式自拟）</w:t>
      </w:r>
      <w:r>
        <w:rPr>
          <w:rFonts w:hint="eastAsia" w:hAnsi="宋体" w:cs="宋体"/>
          <w:b/>
          <w:bCs/>
          <w:color w:val="auto"/>
          <w:sz w:val="28"/>
          <w:szCs w:val="28"/>
          <w:highlight w:val="none"/>
          <w:lang w:val="en-US" w:eastAsia="zh-CN"/>
        </w:rPr>
        <w:t>：</w:t>
      </w:r>
      <w:r>
        <w:rPr>
          <w:rFonts w:hint="eastAsia" w:hAnsi="宋体" w:cs="宋体"/>
          <w:b/>
          <w:bCs/>
          <w:color w:val="auto"/>
          <w:sz w:val="24"/>
          <w:szCs w:val="24"/>
          <w:highlight w:val="none"/>
          <w:lang w:val="en-US" w:eastAsia="zh-CN"/>
        </w:rPr>
        <w:t xml:space="preserve"> </w:t>
      </w:r>
    </w:p>
    <w:p w14:paraId="5AF13944">
      <w:pPr>
        <w:pStyle w:val="8"/>
        <w:rPr>
          <w:rFonts w:hint="eastAsia"/>
          <w:highlight w:val="none"/>
          <w:lang w:val="en-US" w:eastAsia="zh-CN"/>
        </w:rPr>
      </w:pPr>
    </w:p>
    <w:p w14:paraId="50930511">
      <w:pPr>
        <w:snapToGrid w:val="0"/>
        <w:spacing w:before="165" w:beforeLines="50" w:after="50"/>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457F9CB2">
      <w:pPr>
        <w:snapToGrid w:val="0"/>
        <w:spacing w:before="165" w:beforeLines="50" w:after="50"/>
        <w:rPr>
          <w:rFonts w:hint="eastAsia" w:ascii="宋体" w:hAnsi="宋体" w:cs="宋体"/>
          <w:color w:val="auto"/>
          <w:sz w:val="24"/>
          <w:szCs w:val="20"/>
          <w:highlight w:val="none"/>
        </w:rPr>
      </w:pPr>
    </w:p>
    <w:p w14:paraId="1BFDA0CC">
      <w:pPr>
        <w:snapToGrid w:val="0"/>
        <w:spacing w:before="165" w:beforeLines="50" w:after="50"/>
        <w:jc w:val="center"/>
        <w:rPr>
          <w:rFonts w:hint="eastAsia" w:ascii="宋体" w:hAnsi="宋体" w:cs="宋体"/>
          <w:b/>
          <w:color w:val="auto"/>
          <w:sz w:val="32"/>
          <w:szCs w:val="32"/>
          <w:highlight w:val="none"/>
        </w:rPr>
      </w:pPr>
    </w:p>
    <w:p w14:paraId="536EC830">
      <w:pPr>
        <w:snapToGrid w:val="0"/>
        <w:spacing w:before="165"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资格证明文件</w:t>
      </w:r>
    </w:p>
    <w:p w14:paraId="17776157">
      <w:pPr>
        <w:snapToGrid w:val="0"/>
        <w:spacing w:before="165" w:beforeLines="50" w:after="50"/>
        <w:rPr>
          <w:rFonts w:hint="eastAsia" w:ascii="宋体" w:hAnsi="宋体" w:cs="宋体"/>
          <w:bCs/>
          <w:color w:val="auto"/>
          <w:sz w:val="24"/>
          <w:szCs w:val="20"/>
          <w:highlight w:val="none"/>
        </w:rPr>
      </w:pPr>
    </w:p>
    <w:p w14:paraId="442FF00A">
      <w:pPr>
        <w:snapToGrid w:val="0"/>
        <w:spacing w:before="165" w:beforeLines="50" w:after="50"/>
        <w:rPr>
          <w:rFonts w:hint="eastAsia" w:ascii="宋体" w:hAnsi="宋体" w:cs="宋体"/>
          <w:bCs/>
          <w:color w:val="auto"/>
          <w:sz w:val="24"/>
          <w:szCs w:val="20"/>
          <w:highlight w:val="none"/>
        </w:rPr>
      </w:pPr>
    </w:p>
    <w:p w14:paraId="5CDE3CCB">
      <w:pPr>
        <w:snapToGrid w:val="0"/>
        <w:spacing w:before="165" w:beforeLines="50" w:after="50"/>
        <w:rPr>
          <w:rFonts w:hint="eastAsia" w:ascii="宋体" w:hAnsi="宋体" w:cs="宋体"/>
          <w:bCs/>
          <w:color w:val="auto"/>
          <w:sz w:val="24"/>
          <w:szCs w:val="20"/>
          <w:highlight w:val="none"/>
        </w:rPr>
      </w:pPr>
    </w:p>
    <w:p w14:paraId="43FDCB15">
      <w:pPr>
        <w:snapToGrid w:val="0"/>
        <w:spacing w:before="165" w:beforeLines="50" w:after="50"/>
        <w:rPr>
          <w:rFonts w:hint="eastAsia" w:ascii="宋体" w:hAnsi="宋体" w:cs="宋体"/>
          <w:bCs/>
          <w:color w:val="auto"/>
          <w:sz w:val="24"/>
          <w:szCs w:val="20"/>
          <w:highlight w:val="none"/>
        </w:rPr>
      </w:pPr>
    </w:p>
    <w:p w14:paraId="2D626BBF">
      <w:pPr>
        <w:snapToGrid w:val="0"/>
        <w:spacing w:before="165" w:beforeLines="50" w:after="50"/>
        <w:rPr>
          <w:rFonts w:hint="eastAsia" w:ascii="宋体" w:hAnsi="宋体" w:cs="宋体"/>
          <w:bCs/>
          <w:color w:val="auto"/>
          <w:sz w:val="24"/>
          <w:szCs w:val="20"/>
          <w:highlight w:val="none"/>
        </w:rPr>
      </w:pPr>
    </w:p>
    <w:p w14:paraId="31F79575">
      <w:pPr>
        <w:snapToGrid w:val="0"/>
        <w:spacing w:before="165" w:beforeLines="50" w:after="50"/>
        <w:rPr>
          <w:rFonts w:hint="eastAsia" w:ascii="宋体" w:hAnsi="宋体" w:cs="宋体"/>
          <w:bCs/>
          <w:color w:val="auto"/>
          <w:sz w:val="24"/>
          <w:szCs w:val="20"/>
          <w:highlight w:val="none"/>
        </w:rPr>
      </w:pPr>
    </w:p>
    <w:p w14:paraId="3F3ACC75">
      <w:pPr>
        <w:snapToGrid w:val="0"/>
        <w:spacing w:before="165" w:beforeLines="50" w:after="50"/>
        <w:rPr>
          <w:rFonts w:hint="eastAsia" w:ascii="宋体" w:hAnsi="宋体" w:cs="宋体"/>
          <w:bCs/>
          <w:color w:val="auto"/>
          <w:sz w:val="24"/>
          <w:szCs w:val="20"/>
          <w:highlight w:val="none"/>
        </w:rPr>
      </w:pPr>
    </w:p>
    <w:p w14:paraId="53AA55BD">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项目名称：</w:t>
      </w:r>
    </w:p>
    <w:p w14:paraId="1E132C12">
      <w:pPr>
        <w:snapToGrid w:val="0"/>
        <w:spacing w:before="165" w:beforeLines="50" w:after="50"/>
        <w:ind w:firstLine="540" w:firstLineChars="225"/>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rPr>
        <w:t>项目编号：</w:t>
      </w:r>
    </w:p>
    <w:p w14:paraId="4724BF1B">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14:paraId="1FA99F8C">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所投分标（如有则填写，无分标时填写“无”或者留空）：</w:t>
      </w:r>
    </w:p>
    <w:p w14:paraId="5B4EE9EC">
      <w:pPr>
        <w:pStyle w:val="9"/>
        <w:snapToGrid w:val="0"/>
        <w:spacing w:before="50" w:after="50"/>
        <w:ind w:firstLine="540" w:firstLineChars="225"/>
        <w:rPr>
          <w:rFonts w:hint="eastAsia" w:ascii="宋体" w:hAnsi="宋体" w:cs="宋体"/>
          <w:bCs/>
          <w:color w:val="auto"/>
          <w:sz w:val="24"/>
          <w:szCs w:val="24"/>
          <w:highlight w:val="none"/>
        </w:rPr>
      </w:pPr>
    </w:p>
    <w:p w14:paraId="03CAE829">
      <w:pPr>
        <w:pStyle w:val="9"/>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3F539D77">
      <w:pPr>
        <w:pStyle w:val="9"/>
        <w:snapToGrid w:val="0"/>
        <w:spacing w:before="50" w:after="50"/>
        <w:ind w:firstLine="540" w:firstLineChars="225"/>
        <w:rPr>
          <w:rFonts w:hint="eastAsia" w:ascii="宋体" w:hAnsi="宋体" w:cs="宋体"/>
          <w:bCs/>
          <w:color w:val="auto"/>
          <w:sz w:val="24"/>
          <w:szCs w:val="24"/>
          <w:highlight w:val="none"/>
        </w:rPr>
      </w:pPr>
    </w:p>
    <w:p w14:paraId="503FDFA7">
      <w:pPr>
        <w:pStyle w:val="9"/>
        <w:snapToGrid w:val="0"/>
        <w:spacing w:before="50" w:after="50"/>
        <w:ind w:firstLine="960" w:firstLineChars="400"/>
        <w:rPr>
          <w:rFonts w:hint="eastAsia" w:ascii="宋体" w:hAnsi="宋体" w:cs="宋体"/>
          <w:bCs/>
          <w:color w:val="auto"/>
          <w:sz w:val="24"/>
          <w:szCs w:val="24"/>
          <w:highlight w:val="none"/>
        </w:rPr>
      </w:pPr>
    </w:p>
    <w:p w14:paraId="52BE90B7">
      <w:pPr>
        <w:snapToGrid w:val="0"/>
        <w:spacing w:before="165" w:beforeLines="50" w:after="50"/>
        <w:ind w:firstLine="645"/>
        <w:jc w:val="center"/>
        <w:rPr>
          <w:rFonts w:hint="eastAsia" w:ascii="宋体" w:hAnsi="宋体" w:cs="宋体"/>
          <w:color w:val="auto"/>
          <w:sz w:val="24"/>
          <w:highlight w:val="none"/>
        </w:rPr>
      </w:pPr>
      <w:r>
        <w:rPr>
          <w:rFonts w:hint="eastAsia" w:ascii="宋体" w:hAnsi="宋体" w:cs="宋体"/>
          <w:color w:val="auto"/>
          <w:sz w:val="24"/>
          <w:highlight w:val="none"/>
        </w:rPr>
        <w:t>年  月  日</w:t>
      </w:r>
    </w:p>
    <w:p w14:paraId="3E1040FF">
      <w:pPr>
        <w:widowControl/>
        <w:spacing w:line="360" w:lineRule="auto"/>
        <w:jc w:val="left"/>
        <w:rPr>
          <w:rFonts w:hint="eastAsia" w:ascii="宋体" w:hAnsi="宋体" w:cs="宋体"/>
          <w:color w:val="auto"/>
          <w:sz w:val="30"/>
          <w:szCs w:val="20"/>
          <w:highlight w:val="none"/>
        </w:rPr>
        <w:sectPr>
          <w:footerReference r:id="rId5" w:type="default"/>
          <w:pgSz w:w="11906" w:h="16838"/>
          <w:pgMar w:top="1134" w:right="1134" w:bottom="1134" w:left="1134" w:header="720" w:footer="720" w:gutter="0"/>
          <w:pgNumType w:fmt="decimal" w:start="1"/>
          <w:cols w:space="720" w:num="1"/>
          <w:docGrid w:type="lines" w:linePitch="331" w:charSpace="0"/>
        </w:sectPr>
      </w:pPr>
    </w:p>
    <w:p w14:paraId="32582035">
      <w:pPr>
        <w:snapToGrid w:val="0"/>
        <w:spacing w:beforeLines="50" w:after="50"/>
        <w:ind w:firstLine="360"/>
        <w:jc w:val="center"/>
        <w:rPr>
          <w:rFonts w:ascii="宋体" w:hAnsi="宋体" w:cs="宋体"/>
          <w:sz w:val="24"/>
          <w:highlight w:val="none"/>
        </w:rPr>
      </w:pPr>
    </w:p>
    <w:p w14:paraId="2BD1871D">
      <w:pPr>
        <w:ind w:firstLine="422"/>
        <w:rPr>
          <w:rFonts w:ascii="宋体" w:hAnsi="宋体" w:cs="宋体"/>
          <w:b/>
          <w:kern w:val="0"/>
          <w:sz w:val="28"/>
          <w:szCs w:val="28"/>
          <w:highlight w:val="none"/>
        </w:rPr>
      </w:pPr>
      <w:r>
        <w:rPr>
          <w:rFonts w:hint="eastAsia" w:ascii="宋体" w:hAnsi="宋体" w:cs="宋体"/>
          <w:b/>
          <w:kern w:val="0"/>
          <w:sz w:val="28"/>
          <w:szCs w:val="28"/>
          <w:highlight w:val="none"/>
        </w:rPr>
        <w:t>2.资格证明文件目录</w:t>
      </w:r>
    </w:p>
    <w:p w14:paraId="0D89939E">
      <w:pPr>
        <w:snapToGrid w:val="0"/>
        <w:spacing w:line="360" w:lineRule="auto"/>
        <w:ind w:firstLine="360"/>
        <w:rPr>
          <w:rFonts w:ascii="宋体" w:hAnsi="宋体" w:cs="宋体"/>
          <w:kern w:val="0"/>
          <w:sz w:val="24"/>
          <w:highlight w:val="none"/>
        </w:rPr>
      </w:pPr>
      <w:r>
        <w:rPr>
          <w:rFonts w:hint="eastAsia" w:ascii="宋体" w:hAnsi="宋体" w:cs="宋体"/>
          <w:kern w:val="0"/>
          <w:sz w:val="24"/>
          <w:highlight w:val="none"/>
        </w:rPr>
        <w:t>根据招标文件规定及投标人提供的材料自行编写目录（部分格式后附）。</w:t>
      </w:r>
    </w:p>
    <w:p w14:paraId="0D93B325">
      <w:pPr>
        <w:snapToGrid w:val="0"/>
        <w:spacing w:line="360" w:lineRule="auto"/>
        <w:ind w:firstLine="482"/>
        <w:rPr>
          <w:rFonts w:ascii="宋体" w:hAnsi="宋体" w:cs="宋体"/>
          <w:b/>
          <w:kern w:val="0"/>
          <w:sz w:val="32"/>
          <w:szCs w:val="32"/>
          <w:highlight w:val="none"/>
          <w:lang w:val="zh-CN"/>
        </w:rPr>
      </w:pPr>
    </w:p>
    <w:p w14:paraId="05C9BD23">
      <w:pPr>
        <w:snapToGrid w:val="0"/>
        <w:spacing w:line="360" w:lineRule="auto"/>
        <w:ind w:right="480" w:firstLine="482"/>
        <w:rPr>
          <w:rFonts w:ascii="宋体" w:hAnsi="宋体" w:cs="宋体"/>
          <w:b/>
          <w:kern w:val="0"/>
          <w:sz w:val="32"/>
          <w:szCs w:val="32"/>
          <w:highlight w:val="none"/>
        </w:rPr>
      </w:pPr>
      <w:r>
        <w:rPr>
          <w:rFonts w:hint="eastAsia" w:ascii="宋体" w:hAnsi="宋体" w:cs="宋体"/>
          <w:b/>
          <w:kern w:val="0"/>
          <w:sz w:val="32"/>
          <w:szCs w:val="32"/>
          <w:highlight w:val="none"/>
        </w:rPr>
        <w:br w:type="page"/>
      </w:r>
      <w:r>
        <w:rPr>
          <w:rFonts w:hint="eastAsia" w:ascii="宋体" w:hAnsi="宋体" w:cs="宋体"/>
          <w:b/>
          <w:kern w:val="0"/>
          <w:sz w:val="32"/>
          <w:szCs w:val="32"/>
          <w:highlight w:val="none"/>
        </w:rPr>
        <w:t>3.</w:t>
      </w:r>
      <w:r>
        <w:rPr>
          <w:rFonts w:hint="eastAsia" w:ascii="宋体" w:hAnsi="宋体" w:cs="宋体"/>
          <w:b/>
          <w:sz w:val="28"/>
          <w:szCs w:val="28"/>
          <w:highlight w:val="none"/>
        </w:rPr>
        <w:t>声明函的格式</w:t>
      </w:r>
      <w:r>
        <w:rPr>
          <w:rFonts w:hint="eastAsia"/>
          <w:sz w:val="28"/>
          <w:szCs w:val="28"/>
          <w:highlight w:val="none"/>
        </w:rPr>
        <w:t>：</w:t>
      </w:r>
    </w:p>
    <w:p w14:paraId="0AB44FC1">
      <w:pPr>
        <w:snapToGrid w:val="0"/>
        <w:ind w:firstLine="270"/>
        <w:jc w:val="left"/>
        <w:rPr>
          <w:sz w:val="18"/>
          <w:szCs w:val="18"/>
          <w:highlight w:val="none"/>
        </w:rPr>
      </w:pPr>
    </w:p>
    <w:p w14:paraId="1F563782">
      <w:pPr>
        <w:snapToGrid w:val="0"/>
        <w:spacing w:before="50" w:afterLines="50"/>
        <w:ind w:firstLine="422"/>
        <w:jc w:val="center"/>
        <w:rPr>
          <w:rFonts w:ascii="宋体" w:hAnsi="宋体" w:cs="宋体"/>
          <w:b/>
          <w:sz w:val="28"/>
          <w:szCs w:val="28"/>
          <w:highlight w:val="none"/>
        </w:rPr>
      </w:pPr>
      <w:r>
        <w:rPr>
          <w:rFonts w:hint="eastAsia" w:ascii="宋体" w:hAnsi="宋体" w:cs="宋体"/>
          <w:b/>
          <w:sz w:val="28"/>
          <w:szCs w:val="28"/>
          <w:highlight w:val="none"/>
        </w:rPr>
        <w:t>声明函</w:t>
      </w:r>
    </w:p>
    <w:p w14:paraId="3EA2D9B0">
      <w:pPr>
        <w:tabs>
          <w:tab w:val="left" w:pos="7200"/>
        </w:tabs>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u w:val="single"/>
          <w:lang w:eastAsia="zh-CN"/>
        </w:rPr>
        <w:t>广西众联工程项目管理有限公司</w:t>
      </w:r>
    </w:p>
    <w:p w14:paraId="29CB5796">
      <w:pPr>
        <w:snapToGrid w:val="0"/>
        <w:spacing w:line="360" w:lineRule="auto"/>
        <w:ind w:firstLine="420" w:firstLineChars="200"/>
        <w:jc w:val="left"/>
        <w:rPr>
          <w:szCs w:val="21"/>
          <w:highlight w:val="none"/>
        </w:rPr>
      </w:pPr>
      <w:r>
        <w:rPr>
          <w:rFonts w:hint="eastAsia" w:ascii="宋体" w:hAnsi="宋体" w:cs="宋体"/>
          <w:i/>
          <w:iCs/>
          <w:szCs w:val="21"/>
          <w:highlight w:val="none"/>
          <w:u w:val="single"/>
        </w:rPr>
        <w:t>（投标人名称）</w:t>
      </w:r>
      <w:r>
        <w:rPr>
          <w:rFonts w:hint="eastAsia" w:ascii="宋体" w:hAnsi="宋体" w:cs="宋体"/>
          <w:szCs w:val="21"/>
          <w:highlight w:val="none"/>
        </w:rPr>
        <w:t>系中华人民共和国合法供应商，经营地址</w:t>
      </w:r>
      <w:r>
        <w:rPr>
          <w:rFonts w:hint="eastAsia" w:ascii="宋体" w:hAnsi="宋体" w:cs="宋体"/>
          <w:szCs w:val="21"/>
          <w:highlight w:val="none"/>
          <w:u w:val="single"/>
        </w:rPr>
        <w:t xml:space="preserve">                              </w:t>
      </w:r>
      <w:r>
        <w:rPr>
          <w:rFonts w:hint="eastAsia" w:ascii="宋体" w:hAnsi="宋体" w:cs="宋体"/>
          <w:szCs w:val="21"/>
          <w:highlight w:val="none"/>
        </w:rPr>
        <w:t>。</w:t>
      </w:r>
    </w:p>
    <w:p w14:paraId="30E39033">
      <w:pPr>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我方愿意参加贵方组织的</w:t>
      </w:r>
      <w:r>
        <w:rPr>
          <w:rFonts w:hint="eastAsia" w:ascii="宋体" w:hAnsi="宋体"/>
          <w:i/>
          <w:iCs/>
          <w:szCs w:val="21"/>
          <w:highlight w:val="none"/>
          <w:u w:val="single"/>
        </w:rPr>
        <w:t xml:space="preserve">（项目名称） </w:t>
      </w:r>
      <w:r>
        <w:rPr>
          <w:rFonts w:hint="eastAsia" w:ascii="宋体" w:hAnsi="宋体"/>
          <w:szCs w:val="21"/>
          <w:highlight w:val="none"/>
        </w:rPr>
        <w:t>（项目编号：</w:t>
      </w:r>
      <w:r>
        <w:rPr>
          <w:rFonts w:hint="eastAsia" w:ascii="宋体" w:hAnsi="宋体"/>
          <w:szCs w:val="21"/>
          <w:highlight w:val="none"/>
          <w:u w:val="single"/>
        </w:rPr>
        <w:t xml:space="preserve">           </w:t>
      </w:r>
      <w:r>
        <w:rPr>
          <w:rFonts w:hint="eastAsia" w:ascii="宋体" w:hAnsi="宋体"/>
          <w:szCs w:val="21"/>
          <w:highlight w:val="none"/>
        </w:rPr>
        <w:t xml:space="preserve"> ）项目的投标，为便于贵方公正、择优地确定中标人，我方就本次投标有关事项郑重声明如下：</w:t>
      </w:r>
    </w:p>
    <w:p w14:paraId="5FC53E51">
      <w:pPr>
        <w:snapToGrid w:val="0"/>
        <w:spacing w:line="360" w:lineRule="auto"/>
        <w:ind w:firstLine="420" w:firstLineChars="200"/>
        <w:jc w:val="left"/>
        <w:rPr>
          <w:szCs w:val="21"/>
          <w:highlight w:val="none"/>
        </w:rPr>
      </w:pPr>
      <w:r>
        <w:rPr>
          <w:rFonts w:hint="eastAsia" w:ascii="宋体" w:hAnsi="宋体" w:cs="宋体"/>
          <w:szCs w:val="21"/>
          <w:highlight w:val="none"/>
        </w:rPr>
        <w:t>1、我方向贵方提交的所有投标文件、资料都是准确的和真实的。</w:t>
      </w:r>
    </w:p>
    <w:p w14:paraId="3BDB1531">
      <w:pPr>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FE8B4D6">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3、在此，我方宣布同意如下：</w:t>
      </w:r>
    </w:p>
    <w:p w14:paraId="71AC86AD">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（1）将按招标文件的约定履行合同责任和义务；</w:t>
      </w:r>
    </w:p>
    <w:p w14:paraId="7D0DB5CF">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（2）已详细审查招标文件的全部</w:t>
      </w:r>
      <w:r>
        <w:rPr>
          <w:rFonts w:hint="eastAsia" w:ascii="宋体" w:hAnsi="宋体" w:cs="宋体"/>
          <w:kern w:val="0"/>
          <w:szCs w:val="21"/>
          <w:highlight w:val="none"/>
        </w:rPr>
        <w:t>内容</w:t>
      </w:r>
      <w:r>
        <w:rPr>
          <w:rFonts w:hint="eastAsia" w:ascii="宋体" w:hAnsi="宋体" w:cs="宋体"/>
          <w:szCs w:val="21"/>
          <w:highlight w:val="none"/>
        </w:rPr>
        <w:t>，包括澄清或者更正公告（如有）；</w:t>
      </w:r>
    </w:p>
    <w:p w14:paraId="0EEEB61E">
      <w:pPr>
        <w:spacing w:line="360" w:lineRule="auto"/>
        <w:ind w:firstLine="420" w:firstLineChars="200"/>
        <w:contextualSpacing/>
        <w:jc w:val="left"/>
        <w:rPr>
          <w:sz w:val="18"/>
          <w:szCs w:val="18"/>
          <w:highlight w:val="none"/>
        </w:rPr>
      </w:pPr>
      <w:r>
        <w:rPr>
          <w:rFonts w:hint="eastAsia" w:ascii="宋体" w:hAnsi="宋体" w:cs="宋体"/>
          <w:szCs w:val="21"/>
          <w:highlight w:val="none"/>
        </w:rPr>
        <w:t>（3）同意提供按照贵方可能要求的与投标有关的一切数据或者资料。</w:t>
      </w:r>
    </w:p>
    <w:p w14:paraId="2E40EC8A">
      <w:pPr>
        <w:spacing w:line="360" w:lineRule="auto"/>
        <w:ind w:firstLine="420" w:firstLineChars="200"/>
        <w:rPr>
          <w:rFonts w:ascii="宋体" w:hAnsi="宋体"/>
          <w:szCs w:val="21"/>
          <w:highlight w:val="none"/>
        </w:rPr>
      </w:pPr>
      <w:r>
        <w:rPr>
          <w:rFonts w:hint="eastAsia" w:ascii="宋体" w:hAnsi="宋体"/>
          <w:szCs w:val="21"/>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3FF8B9E2">
      <w:pPr>
        <w:spacing w:line="360" w:lineRule="auto"/>
        <w:ind w:firstLine="420" w:firstLineChars="200"/>
        <w:contextualSpacing/>
        <w:rPr>
          <w:rFonts w:ascii="宋体" w:hAnsi="宋体" w:cs="宋体"/>
          <w:i/>
          <w:iCs/>
          <w:szCs w:val="21"/>
          <w:highlight w:val="none"/>
        </w:rPr>
      </w:pPr>
      <w:r>
        <w:rPr>
          <w:rFonts w:hint="eastAsia" w:ascii="宋体" w:hAnsi="宋体"/>
          <w:szCs w:val="21"/>
          <w:highlight w:val="none"/>
        </w:rPr>
        <w:t>5、</w:t>
      </w:r>
      <w:r>
        <w:rPr>
          <w:rFonts w:hint="eastAsia" w:ascii="宋体" w:hAnsi="宋体" w:cs="宋体"/>
          <w:szCs w:val="21"/>
          <w:highlight w:val="none"/>
        </w:rPr>
        <w:t>根据《中华人民共和国政府采购法实施条例》第五十条要求对政府采购合同进行公告，但政府采购合同中涉及国家秘密、商业秘密的内容除外。我方就对本次投标文件进行注明如下：</w:t>
      </w:r>
      <w:r>
        <w:rPr>
          <w:rFonts w:hint="eastAsia" w:ascii="宋体" w:hAnsi="宋体" w:cs="宋体"/>
          <w:i/>
          <w:iCs/>
          <w:szCs w:val="21"/>
          <w:highlight w:val="none"/>
        </w:rPr>
        <w:t>（两项内容中必须选择一项）</w:t>
      </w:r>
    </w:p>
    <w:p w14:paraId="66F4929B">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□我方本次投标文件</w:t>
      </w:r>
      <w:r>
        <w:rPr>
          <w:rFonts w:hint="eastAsia" w:ascii="宋体" w:hAnsi="宋体" w:cs="宋体"/>
          <w:kern w:val="0"/>
          <w:szCs w:val="21"/>
          <w:highlight w:val="none"/>
        </w:rPr>
        <w:t>内容中</w:t>
      </w:r>
      <w:r>
        <w:rPr>
          <w:rFonts w:hint="eastAsia" w:ascii="宋体" w:hAnsi="宋体" w:cs="宋体"/>
          <w:szCs w:val="21"/>
          <w:highlight w:val="none"/>
        </w:rPr>
        <w:t>未</w:t>
      </w:r>
      <w:r>
        <w:rPr>
          <w:rFonts w:hint="eastAsia" w:ascii="宋体" w:hAnsi="宋体" w:cs="宋体"/>
          <w:kern w:val="0"/>
          <w:szCs w:val="21"/>
          <w:highlight w:val="none"/>
        </w:rPr>
        <w:t>涉及商业秘密。</w:t>
      </w:r>
    </w:p>
    <w:p w14:paraId="7738C9F8">
      <w:pPr>
        <w:spacing w:line="360" w:lineRule="auto"/>
        <w:ind w:firstLine="420" w:firstLineChars="200"/>
        <w:contextualSpacing/>
        <w:rPr>
          <w:rFonts w:ascii="宋体" w:hAnsi="宋体" w:cs="宋体"/>
          <w:szCs w:val="21"/>
          <w:highlight w:val="none"/>
        </w:rPr>
      </w:pPr>
      <w:r>
        <w:rPr>
          <w:rFonts w:hint="eastAsia" w:ascii="宋体" w:hAnsi="宋体" w:cs="宋体"/>
          <w:szCs w:val="21"/>
          <w:highlight w:val="none"/>
        </w:rPr>
        <w:t>□我方本次投标文件</w:t>
      </w:r>
      <w:r>
        <w:rPr>
          <w:rFonts w:hint="eastAsia" w:ascii="宋体" w:hAnsi="宋体" w:cs="宋体"/>
          <w:kern w:val="0"/>
          <w:szCs w:val="21"/>
          <w:highlight w:val="none"/>
        </w:rPr>
        <w:t>涉及商业秘密的内容有：</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53016E76">
      <w:pPr>
        <w:snapToGrid w:val="0"/>
        <w:spacing w:line="360" w:lineRule="auto"/>
        <w:ind w:firstLine="270"/>
        <w:jc w:val="left"/>
        <w:rPr>
          <w:sz w:val="18"/>
          <w:szCs w:val="18"/>
          <w:highlight w:val="none"/>
        </w:rPr>
      </w:pPr>
    </w:p>
    <w:p w14:paraId="43B4828E">
      <w:pPr>
        <w:snapToGrid w:val="0"/>
        <w:spacing w:line="360" w:lineRule="auto"/>
        <w:ind w:firstLine="420" w:firstLineChars="200"/>
        <w:jc w:val="left"/>
        <w:rPr>
          <w:rFonts w:ascii="宋体" w:hAnsi="宋体"/>
          <w:szCs w:val="21"/>
          <w:highlight w:val="none"/>
        </w:rPr>
      </w:pPr>
      <w:r>
        <w:rPr>
          <w:rFonts w:hint="eastAsia" w:ascii="宋体" w:hAnsi="宋体"/>
          <w:szCs w:val="21"/>
          <w:highlight w:val="none"/>
        </w:rPr>
        <w:t xml:space="preserve">6、以上事项如有虚假或者隐瞒，我方愿意承担一切后果，并不再寻求任何旨在减轻或者免除法律责任的辩解。 </w:t>
      </w:r>
    </w:p>
    <w:p w14:paraId="78ACF09E">
      <w:pPr>
        <w:tabs>
          <w:tab w:val="left" w:pos="939"/>
        </w:tabs>
        <w:spacing w:line="360" w:lineRule="auto"/>
        <w:ind w:left="141" w:leftChars="67" w:firstLine="315" w:firstLineChars="150"/>
        <w:contextualSpacing/>
        <w:rPr>
          <w:rFonts w:ascii="宋体" w:hAnsi="宋体" w:cs="宋体"/>
          <w:szCs w:val="21"/>
          <w:highlight w:val="none"/>
        </w:rPr>
      </w:pPr>
      <w:r>
        <w:rPr>
          <w:rFonts w:hint="eastAsia" w:ascii="宋体" w:hAnsi="宋体" w:cs="宋体"/>
          <w:szCs w:val="21"/>
          <w:highlight w:val="none"/>
        </w:rPr>
        <w:t>特此承诺。</w:t>
      </w:r>
    </w:p>
    <w:p w14:paraId="5F567506">
      <w:pPr>
        <w:snapToGrid w:val="0"/>
        <w:spacing w:before="50" w:afterLines="50" w:line="360" w:lineRule="auto"/>
        <w:ind w:firstLine="181" w:firstLineChars="100"/>
        <w:jc w:val="left"/>
        <w:rPr>
          <w:rFonts w:ascii="宋体" w:hAnsi="宋体"/>
          <w:sz w:val="18"/>
          <w:szCs w:val="18"/>
          <w:highlight w:val="none"/>
        </w:rPr>
      </w:pPr>
      <w:r>
        <w:rPr>
          <w:rFonts w:hint="eastAsia" w:ascii="宋体" w:hAnsi="宋体"/>
          <w:b/>
          <w:sz w:val="18"/>
          <w:szCs w:val="18"/>
          <w:highlight w:val="none"/>
        </w:rPr>
        <w:t xml:space="preserve">   注： 如为联合体投标，盖章处须加盖联合体各方公章，否则</w:t>
      </w:r>
      <w:r>
        <w:rPr>
          <w:rFonts w:hint="eastAsia" w:ascii="宋体" w:hAnsi="宋体" w:cs="宋体"/>
          <w:b/>
          <w:bCs/>
          <w:sz w:val="18"/>
          <w:szCs w:val="18"/>
          <w:highlight w:val="none"/>
        </w:rPr>
        <w:t>其投标文件作无效响应处理</w:t>
      </w:r>
      <w:r>
        <w:rPr>
          <w:rFonts w:hint="eastAsia" w:ascii="宋体" w:hAnsi="宋体"/>
          <w:b/>
          <w:sz w:val="18"/>
          <w:szCs w:val="18"/>
          <w:highlight w:val="none"/>
        </w:rPr>
        <w:t>。</w:t>
      </w:r>
    </w:p>
    <w:p w14:paraId="41A74D02">
      <w:pPr>
        <w:snapToGrid w:val="0"/>
        <w:spacing w:before="50" w:afterLines="100" w:line="360" w:lineRule="auto"/>
        <w:ind w:firstLine="360"/>
        <w:jc w:val="left"/>
        <w:rPr>
          <w:rFonts w:ascii="宋体" w:hAnsi="宋体" w:cs="宋体"/>
          <w:sz w:val="24"/>
          <w:highlight w:val="none"/>
        </w:rPr>
      </w:pPr>
      <w:r>
        <w:rPr>
          <w:rFonts w:hint="eastAsia" w:ascii="宋体" w:hAnsi="宋体" w:cs="宋体"/>
          <w:sz w:val="24"/>
          <w:highlight w:val="none"/>
        </w:rPr>
        <w:t xml:space="preserve">                                     </w:t>
      </w:r>
    </w:p>
    <w:p w14:paraId="11117518">
      <w:pPr>
        <w:snapToGrid w:val="0"/>
        <w:spacing w:before="50" w:afterLines="100" w:line="360" w:lineRule="auto"/>
        <w:ind w:left="7428" w:leftChars="2223" w:hanging="2760" w:hangingChars="1150"/>
        <w:jc w:val="left"/>
        <w:rPr>
          <w:rFonts w:ascii="宋体" w:hAnsi="宋体" w:cs="宋体"/>
          <w:kern w:val="0"/>
          <w:sz w:val="24"/>
          <w:highlight w:val="none"/>
          <w:lang w:val="zh-CN"/>
        </w:rPr>
      </w:pPr>
      <w:r>
        <w:rPr>
          <w:rFonts w:hint="eastAsia" w:ascii="宋体" w:hAnsi="宋体" w:cs="宋体"/>
          <w:sz w:val="24"/>
          <w:highlight w:val="none"/>
        </w:rPr>
        <w:t xml:space="preserve">  </w:t>
      </w:r>
      <w:r>
        <w:rPr>
          <w:rFonts w:hint="eastAsia" w:ascii="宋体" w:hAnsi="宋体" w:cs="宋体"/>
          <w:kern w:val="0"/>
          <w:sz w:val="24"/>
          <w:highlight w:val="none"/>
          <w:lang w:val="zh-CN"/>
        </w:rPr>
        <w:t>投标人名称(盖公章)：</w:t>
      </w:r>
      <w:r>
        <w:rPr>
          <w:rFonts w:hint="eastAsia" w:ascii="宋体" w:hAnsi="宋体" w:cs="宋体"/>
          <w:szCs w:val="21"/>
          <w:highlight w:val="none"/>
        </w:rPr>
        <w:t xml:space="preserve">                                     </w:t>
      </w:r>
      <w:r>
        <w:rPr>
          <w:rFonts w:hint="eastAsia" w:ascii="宋体" w:hAnsi="宋体" w:cs="宋体"/>
          <w:sz w:val="24"/>
          <w:highlight w:val="none"/>
        </w:rPr>
        <w:t>年    月    日</w:t>
      </w:r>
    </w:p>
    <w:p w14:paraId="3ACFCA63">
      <w:pPr>
        <w:snapToGrid w:val="0"/>
        <w:spacing w:before="50" w:afterLines="100" w:line="360" w:lineRule="auto"/>
        <w:ind w:left="8131" w:leftChars="2223" w:hanging="3463" w:hangingChars="1150"/>
        <w:jc w:val="left"/>
        <w:rPr>
          <w:rFonts w:ascii="宋体" w:hAnsi="宋体" w:cs="宋体"/>
          <w:b/>
          <w:bCs/>
          <w:sz w:val="30"/>
          <w:szCs w:val="30"/>
          <w:highlight w:val="none"/>
        </w:rPr>
      </w:pPr>
    </w:p>
    <w:p w14:paraId="4E527B58">
      <w:pPr>
        <w:snapToGrid w:val="0"/>
        <w:spacing w:line="360" w:lineRule="auto"/>
        <w:ind w:right="480" w:firstLine="422"/>
        <w:rPr>
          <w:rFonts w:ascii="宋体" w:hAnsi="宋体" w:cs="宋体"/>
          <w:b/>
          <w:kern w:val="0"/>
          <w:sz w:val="32"/>
          <w:szCs w:val="32"/>
          <w:highlight w:val="none"/>
        </w:rPr>
      </w:pPr>
      <w:r>
        <w:rPr>
          <w:rFonts w:hint="eastAsia" w:ascii="宋体" w:hAnsi="宋体" w:cs="宋体"/>
          <w:b/>
          <w:bCs/>
          <w:sz w:val="28"/>
          <w:szCs w:val="28"/>
          <w:highlight w:val="none"/>
        </w:rPr>
        <w:br w:type="page"/>
      </w:r>
      <w:r>
        <w:rPr>
          <w:rFonts w:hint="eastAsia" w:ascii="宋体" w:hAnsi="宋体" w:cs="宋体"/>
          <w:b/>
          <w:kern w:val="0"/>
          <w:sz w:val="32"/>
          <w:szCs w:val="32"/>
          <w:highlight w:val="none"/>
        </w:rPr>
        <w:t>4.</w:t>
      </w:r>
      <w:r>
        <w:rPr>
          <w:rFonts w:hint="eastAsia" w:ascii="宋体" w:hAnsi="宋体" w:cs="宋体"/>
          <w:b/>
          <w:sz w:val="28"/>
          <w:szCs w:val="28"/>
          <w:highlight w:val="none"/>
        </w:rPr>
        <w:t>投标人直接控股股东信息表的格式</w:t>
      </w:r>
      <w:r>
        <w:rPr>
          <w:rFonts w:hint="eastAsia"/>
          <w:sz w:val="28"/>
          <w:szCs w:val="28"/>
          <w:highlight w:val="none"/>
        </w:rPr>
        <w:t>：</w:t>
      </w:r>
    </w:p>
    <w:p w14:paraId="7F122590">
      <w:pPr>
        <w:snapToGrid w:val="0"/>
        <w:ind w:firstLine="270"/>
        <w:jc w:val="left"/>
        <w:rPr>
          <w:sz w:val="18"/>
          <w:szCs w:val="18"/>
          <w:highlight w:val="none"/>
        </w:rPr>
      </w:pPr>
    </w:p>
    <w:p w14:paraId="21DAABF7">
      <w:pPr>
        <w:snapToGrid w:val="0"/>
        <w:spacing w:before="50" w:afterLines="50" w:line="360" w:lineRule="auto"/>
        <w:ind w:firstLine="482"/>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投标人直接控股股东信息表</w:t>
      </w:r>
    </w:p>
    <w:tbl>
      <w:tblPr>
        <w:tblStyle w:val="28"/>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879"/>
        <w:gridCol w:w="1261"/>
      </w:tblGrid>
      <w:tr w14:paraId="1AC14D22">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E298F4F">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EE51764">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F9BB45D">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EB8B359">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A9D7C10">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备注</w:t>
            </w:r>
          </w:p>
        </w:tc>
      </w:tr>
      <w:tr w14:paraId="5C6C561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39D4CA">
            <w:pPr>
              <w:spacing w:line="360" w:lineRule="auto"/>
              <w:jc w:val="center"/>
              <w:rPr>
                <w:rFonts w:ascii="宋体" w:hAnsi="宋体" w:cs="宋体"/>
                <w:kern w:val="0"/>
                <w:sz w:val="24"/>
                <w:highlight w:val="none"/>
              </w:rPr>
            </w:pPr>
            <w:r>
              <w:rPr>
                <w:rFonts w:hint="eastAsia" w:ascii="宋体" w:hAnsi="宋体" w:cs="宋体"/>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CA12FE">
            <w:pPr>
              <w:spacing w:line="360" w:lineRule="auto"/>
              <w:jc w:val="center"/>
              <w:rPr>
                <w:rFonts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5F274C">
            <w:pPr>
              <w:spacing w:line="360" w:lineRule="auto"/>
              <w:jc w:val="center"/>
              <w:rPr>
                <w:rFonts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D9409A">
            <w:pPr>
              <w:spacing w:line="360" w:lineRule="auto"/>
              <w:jc w:val="center"/>
              <w:rPr>
                <w:rFonts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697AFA">
            <w:pPr>
              <w:spacing w:line="360" w:lineRule="auto"/>
              <w:jc w:val="center"/>
              <w:rPr>
                <w:rFonts w:ascii="宋体" w:hAnsi="宋体" w:cs="宋体"/>
                <w:kern w:val="0"/>
                <w:sz w:val="24"/>
                <w:highlight w:val="none"/>
              </w:rPr>
            </w:pPr>
          </w:p>
        </w:tc>
      </w:tr>
      <w:tr w14:paraId="52603FE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12BA04">
            <w:pPr>
              <w:spacing w:line="360" w:lineRule="auto"/>
              <w:jc w:val="center"/>
              <w:rPr>
                <w:rFonts w:ascii="宋体" w:hAnsi="宋体" w:cs="宋体"/>
                <w:kern w:val="0"/>
                <w:sz w:val="24"/>
                <w:highlight w:val="none"/>
              </w:rPr>
            </w:pPr>
            <w:r>
              <w:rPr>
                <w:rFonts w:hint="eastAsia" w:ascii="宋体" w:hAnsi="宋体" w:cs="宋体"/>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52B6DA">
            <w:pPr>
              <w:spacing w:line="360" w:lineRule="auto"/>
              <w:jc w:val="center"/>
              <w:rPr>
                <w:rFonts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0AF9F1">
            <w:pPr>
              <w:spacing w:line="360" w:lineRule="auto"/>
              <w:jc w:val="center"/>
              <w:rPr>
                <w:rFonts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DAC9D6">
            <w:pPr>
              <w:spacing w:line="360" w:lineRule="auto"/>
              <w:jc w:val="center"/>
              <w:rPr>
                <w:rFonts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AFC122">
            <w:pPr>
              <w:spacing w:line="360" w:lineRule="auto"/>
              <w:jc w:val="center"/>
              <w:rPr>
                <w:rFonts w:ascii="宋体" w:hAnsi="宋体" w:cs="宋体"/>
                <w:kern w:val="0"/>
                <w:sz w:val="24"/>
                <w:highlight w:val="none"/>
              </w:rPr>
            </w:pPr>
          </w:p>
        </w:tc>
      </w:tr>
      <w:tr w14:paraId="01872D4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91C381">
            <w:pPr>
              <w:spacing w:line="360" w:lineRule="auto"/>
              <w:jc w:val="center"/>
              <w:rPr>
                <w:rFonts w:ascii="宋体" w:hAnsi="宋体" w:cs="宋体"/>
                <w:kern w:val="0"/>
                <w:sz w:val="24"/>
                <w:highlight w:val="none"/>
              </w:rPr>
            </w:pPr>
            <w:r>
              <w:rPr>
                <w:rFonts w:hint="eastAsia" w:ascii="宋体" w:hAnsi="宋体" w:cs="宋体"/>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4647B4">
            <w:pPr>
              <w:spacing w:line="360" w:lineRule="auto"/>
              <w:jc w:val="center"/>
              <w:rPr>
                <w:rFonts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211DD1">
            <w:pPr>
              <w:spacing w:line="360" w:lineRule="auto"/>
              <w:jc w:val="center"/>
              <w:rPr>
                <w:rFonts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D74220">
            <w:pPr>
              <w:spacing w:line="360" w:lineRule="auto"/>
              <w:jc w:val="center"/>
              <w:rPr>
                <w:rFonts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6CF95E">
            <w:pPr>
              <w:spacing w:line="360" w:lineRule="auto"/>
              <w:jc w:val="center"/>
              <w:rPr>
                <w:rFonts w:ascii="宋体" w:hAnsi="宋体" w:cs="宋体"/>
                <w:kern w:val="0"/>
                <w:sz w:val="24"/>
                <w:highlight w:val="none"/>
              </w:rPr>
            </w:pPr>
          </w:p>
        </w:tc>
      </w:tr>
      <w:tr w14:paraId="77D0CC6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129FBB">
            <w:pPr>
              <w:spacing w:line="360" w:lineRule="auto"/>
              <w:jc w:val="center"/>
              <w:rPr>
                <w:rFonts w:ascii="宋体" w:hAnsi="宋体" w:cs="宋体"/>
                <w:kern w:val="0"/>
                <w:sz w:val="24"/>
                <w:highlight w:val="none"/>
              </w:rPr>
            </w:pPr>
            <w:r>
              <w:rPr>
                <w:rFonts w:hint="eastAsia" w:ascii="宋体" w:hAnsi="宋体" w:cs="宋体"/>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0C4FE4">
            <w:pPr>
              <w:spacing w:line="360" w:lineRule="auto"/>
              <w:jc w:val="center"/>
              <w:rPr>
                <w:rFonts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49399C">
            <w:pPr>
              <w:spacing w:line="360" w:lineRule="auto"/>
              <w:jc w:val="center"/>
              <w:rPr>
                <w:rFonts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7766A1">
            <w:pPr>
              <w:spacing w:line="360" w:lineRule="auto"/>
              <w:jc w:val="center"/>
              <w:rPr>
                <w:rFonts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55C7A7">
            <w:pPr>
              <w:spacing w:line="360" w:lineRule="auto"/>
              <w:jc w:val="center"/>
              <w:rPr>
                <w:rFonts w:ascii="宋体" w:hAnsi="宋体" w:cs="宋体"/>
                <w:kern w:val="0"/>
                <w:sz w:val="24"/>
                <w:highlight w:val="none"/>
              </w:rPr>
            </w:pPr>
          </w:p>
        </w:tc>
      </w:tr>
    </w:tbl>
    <w:p w14:paraId="0DAE04E6">
      <w:pPr>
        <w:snapToGrid w:val="0"/>
        <w:spacing w:line="360" w:lineRule="auto"/>
        <w:ind w:firstLine="360"/>
        <w:jc w:val="left"/>
        <w:rPr>
          <w:rFonts w:ascii="宋体" w:hAnsi="宋体"/>
          <w:sz w:val="24"/>
          <w:highlight w:val="none"/>
        </w:rPr>
      </w:pPr>
      <w:r>
        <w:rPr>
          <w:rFonts w:hint="eastAsia" w:ascii="宋体" w:hAnsi="宋体"/>
          <w:sz w:val="24"/>
          <w:highlight w:val="none"/>
        </w:rPr>
        <w:t>注：</w:t>
      </w:r>
    </w:p>
    <w:p w14:paraId="7EE937C7">
      <w:pPr>
        <w:snapToGrid w:val="0"/>
        <w:spacing w:line="360" w:lineRule="auto"/>
        <w:ind w:firstLine="360"/>
        <w:jc w:val="left"/>
        <w:rPr>
          <w:rFonts w:ascii="宋体" w:hAnsi="宋体"/>
          <w:sz w:val="24"/>
          <w:highlight w:val="none"/>
        </w:rPr>
      </w:pPr>
      <w:r>
        <w:rPr>
          <w:rFonts w:hint="eastAsia" w:ascii="宋体" w:hAnsi="宋体"/>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805AAEA">
      <w:pPr>
        <w:snapToGrid w:val="0"/>
        <w:spacing w:line="360" w:lineRule="auto"/>
        <w:ind w:firstLine="360"/>
        <w:jc w:val="left"/>
        <w:rPr>
          <w:rFonts w:ascii="宋体" w:hAnsi="宋体"/>
          <w:sz w:val="24"/>
          <w:highlight w:val="none"/>
        </w:rPr>
      </w:pPr>
      <w:r>
        <w:rPr>
          <w:rFonts w:hint="eastAsia" w:ascii="宋体" w:hAnsi="宋体"/>
          <w:sz w:val="24"/>
          <w:highlight w:val="none"/>
        </w:rPr>
        <w:t>2.本表所指的控股关系仅限于直接控股关系，不包括间接的控股关系。公司实际控制人与公司之间的关系不属于本表所指的直接控股关系。</w:t>
      </w:r>
    </w:p>
    <w:p w14:paraId="04BD3B80">
      <w:pPr>
        <w:snapToGrid w:val="0"/>
        <w:spacing w:line="360" w:lineRule="auto"/>
        <w:ind w:firstLine="360"/>
        <w:jc w:val="left"/>
        <w:rPr>
          <w:rFonts w:ascii="宋体" w:hAnsi="宋体"/>
          <w:sz w:val="24"/>
          <w:highlight w:val="none"/>
        </w:rPr>
      </w:pPr>
      <w:r>
        <w:rPr>
          <w:rFonts w:hint="eastAsia" w:ascii="宋体" w:hAnsi="宋体"/>
          <w:sz w:val="24"/>
          <w:highlight w:val="none"/>
        </w:rPr>
        <w:t>3.供应商不存在直接控股股东的，则填“无”。</w:t>
      </w:r>
    </w:p>
    <w:p w14:paraId="647348D1">
      <w:pPr>
        <w:snapToGrid w:val="0"/>
        <w:spacing w:before="50" w:afterLines="50"/>
        <w:ind w:firstLine="180" w:firstLineChars="100"/>
        <w:jc w:val="left"/>
        <w:rPr>
          <w:rFonts w:ascii="宋体" w:hAnsi="宋体"/>
          <w:sz w:val="18"/>
          <w:szCs w:val="18"/>
          <w:highlight w:val="none"/>
        </w:rPr>
      </w:pPr>
    </w:p>
    <w:p w14:paraId="7689922C">
      <w:pPr>
        <w:snapToGrid w:val="0"/>
        <w:spacing w:before="50" w:afterLines="100" w:line="360" w:lineRule="auto"/>
        <w:ind w:firstLine="360"/>
        <w:jc w:val="left"/>
        <w:rPr>
          <w:rFonts w:ascii="宋体" w:hAnsi="宋体" w:cs="宋体"/>
          <w:sz w:val="24"/>
          <w:highlight w:val="none"/>
        </w:rPr>
      </w:pPr>
      <w:r>
        <w:rPr>
          <w:rFonts w:hint="eastAsia" w:ascii="宋体" w:hAnsi="宋体" w:cs="宋体"/>
          <w:sz w:val="24"/>
          <w:highlight w:val="none"/>
        </w:rPr>
        <w:t xml:space="preserve">                                     </w:t>
      </w:r>
    </w:p>
    <w:p w14:paraId="1A091709">
      <w:pPr>
        <w:snapToGrid w:val="0"/>
        <w:spacing w:before="50" w:afterLines="100" w:line="360" w:lineRule="auto"/>
        <w:ind w:left="7428" w:leftChars="2223" w:hanging="2760" w:hangingChars="1150"/>
        <w:jc w:val="left"/>
        <w:rPr>
          <w:rFonts w:ascii="宋体" w:hAnsi="宋体" w:cs="宋体"/>
          <w:b/>
          <w:bCs/>
          <w:sz w:val="30"/>
          <w:szCs w:val="30"/>
          <w:highlight w:val="none"/>
        </w:rPr>
      </w:pPr>
      <w:r>
        <w:rPr>
          <w:rFonts w:hint="eastAsia" w:ascii="宋体" w:hAnsi="宋体" w:cs="宋体"/>
          <w:sz w:val="24"/>
          <w:highlight w:val="none"/>
        </w:rPr>
        <w:t xml:space="preserve">  </w:t>
      </w:r>
      <w:r>
        <w:rPr>
          <w:rFonts w:hint="eastAsia" w:ascii="宋体" w:hAnsi="宋体" w:cs="宋体"/>
          <w:kern w:val="0"/>
          <w:sz w:val="24"/>
          <w:highlight w:val="none"/>
          <w:lang w:val="zh-CN"/>
        </w:rPr>
        <w:t>投标人名称(盖公章)：</w:t>
      </w:r>
      <w:r>
        <w:rPr>
          <w:rFonts w:hint="eastAsia" w:ascii="宋体" w:hAnsi="宋体" w:cs="宋体"/>
          <w:szCs w:val="21"/>
          <w:highlight w:val="none"/>
        </w:rPr>
        <w:t xml:space="preserve">                                     </w:t>
      </w:r>
      <w:r>
        <w:rPr>
          <w:rFonts w:hint="eastAsia" w:ascii="宋体" w:hAnsi="宋体" w:cs="宋体"/>
          <w:sz w:val="24"/>
          <w:highlight w:val="none"/>
        </w:rPr>
        <w:t>年    月    日</w:t>
      </w:r>
    </w:p>
    <w:p w14:paraId="5EF07245">
      <w:pPr>
        <w:ind w:firstLine="422"/>
        <w:rPr>
          <w:rFonts w:ascii="宋体" w:hAnsi="宋体" w:cs="宋体"/>
          <w:b/>
          <w:bCs/>
          <w:sz w:val="28"/>
          <w:szCs w:val="28"/>
          <w:highlight w:val="none"/>
        </w:rPr>
      </w:pPr>
      <w:r>
        <w:rPr>
          <w:rFonts w:hint="eastAsia" w:ascii="宋体" w:hAnsi="宋体" w:cs="宋体"/>
          <w:b/>
          <w:bCs/>
          <w:sz w:val="28"/>
          <w:szCs w:val="28"/>
          <w:highlight w:val="none"/>
        </w:rPr>
        <w:br w:type="page"/>
      </w:r>
    </w:p>
    <w:p w14:paraId="130BE117">
      <w:pPr>
        <w:snapToGrid w:val="0"/>
        <w:spacing w:line="360" w:lineRule="auto"/>
        <w:ind w:right="480" w:firstLine="482"/>
        <w:rPr>
          <w:rFonts w:ascii="宋体" w:hAnsi="宋体" w:cs="宋体"/>
          <w:b/>
          <w:kern w:val="0"/>
          <w:sz w:val="32"/>
          <w:szCs w:val="32"/>
          <w:highlight w:val="none"/>
        </w:rPr>
      </w:pPr>
      <w:r>
        <w:rPr>
          <w:rFonts w:hint="eastAsia" w:ascii="宋体" w:hAnsi="宋体" w:cs="宋体"/>
          <w:b/>
          <w:kern w:val="0"/>
          <w:sz w:val="32"/>
          <w:szCs w:val="32"/>
          <w:highlight w:val="none"/>
        </w:rPr>
        <w:t>5.</w:t>
      </w:r>
      <w:r>
        <w:rPr>
          <w:rFonts w:hint="eastAsia" w:ascii="宋体" w:hAnsi="宋体" w:cs="宋体"/>
          <w:b/>
          <w:sz w:val="28"/>
          <w:szCs w:val="28"/>
          <w:highlight w:val="none"/>
        </w:rPr>
        <w:t>投标人直接管理关系信息表的格式</w:t>
      </w:r>
      <w:r>
        <w:rPr>
          <w:rFonts w:hint="eastAsia"/>
          <w:sz w:val="28"/>
          <w:szCs w:val="28"/>
          <w:highlight w:val="none"/>
        </w:rPr>
        <w:t>：</w:t>
      </w:r>
    </w:p>
    <w:p w14:paraId="463729B4">
      <w:pPr>
        <w:snapToGrid w:val="0"/>
        <w:ind w:firstLine="270"/>
        <w:jc w:val="left"/>
        <w:rPr>
          <w:sz w:val="18"/>
          <w:szCs w:val="18"/>
          <w:highlight w:val="none"/>
        </w:rPr>
      </w:pPr>
    </w:p>
    <w:p w14:paraId="1EDBBCFF">
      <w:pPr>
        <w:snapToGrid w:val="0"/>
        <w:spacing w:line="360" w:lineRule="auto"/>
        <w:ind w:firstLine="482"/>
        <w:jc w:val="center"/>
        <w:rPr>
          <w:rFonts w:ascii="宋体" w:hAnsi="宋体"/>
          <w:sz w:val="32"/>
          <w:szCs w:val="32"/>
          <w:highlight w:val="none"/>
        </w:rPr>
      </w:pPr>
      <w:r>
        <w:rPr>
          <w:rFonts w:hint="eastAsia" w:ascii="宋体" w:hAnsi="宋体"/>
          <w:b/>
          <w:sz w:val="32"/>
          <w:szCs w:val="32"/>
          <w:highlight w:val="none"/>
        </w:rPr>
        <w:t>投标人直接管理关系信息表</w:t>
      </w:r>
    </w:p>
    <w:tbl>
      <w:tblPr>
        <w:tblStyle w:val="28"/>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1AED629B">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D2D49C">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DFA760B">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4C361F2">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BE39C46">
            <w:pPr>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备注</w:t>
            </w:r>
          </w:p>
        </w:tc>
      </w:tr>
      <w:tr w14:paraId="192D295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427A95">
            <w:pPr>
              <w:spacing w:line="360" w:lineRule="auto"/>
              <w:jc w:val="center"/>
              <w:rPr>
                <w:rFonts w:ascii="宋体" w:hAnsi="宋体" w:cs="宋体"/>
                <w:kern w:val="0"/>
                <w:sz w:val="24"/>
                <w:highlight w:val="none"/>
              </w:rPr>
            </w:pPr>
            <w:r>
              <w:rPr>
                <w:rFonts w:hint="eastAsia" w:ascii="宋体" w:hAnsi="宋体" w:cs="宋体"/>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A8C84D">
            <w:pPr>
              <w:spacing w:line="360" w:lineRule="auto"/>
              <w:jc w:val="center"/>
              <w:rPr>
                <w:rFonts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456D0F">
            <w:pPr>
              <w:spacing w:line="360" w:lineRule="auto"/>
              <w:jc w:val="center"/>
              <w:rPr>
                <w:rFonts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88D706">
            <w:pPr>
              <w:spacing w:line="360" w:lineRule="auto"/>
              <w:jc w:val="center"/>
              <w:rPr>
                <w:rFonts w:ascii="宋体" w:hAnsi="宋体" w:cs="宋体"/>
                <w:kern w:val="0"/>
                <w:sz w:val="24"/>
                <w:highlight w:val="none"/>
              </w:rPr>
            </w:pPr>
          </w:p>
        </w:tc>
      </w:tr>
      <w:tr w14:paraId="5C58A19C">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5570F0">
            <w:pPr>
              <w:spacing w:line="360" w:lineRule="auto"/>
              <w:jc w:val="center"/>
              <w:rPr>
                <w:rFonts w:ascii="宋体" w:hAnsi="宋体" w:cs="宋体"/>
                <w:kern w:val="0"/>
                <w:sz w:val="24"/>
                <w:highlight w:val="none"/>
              </w:rPr>
            </w:pPr>
            <w:r>
              <w:rPr>
                <w:rFonts w:hint="eastAsia" w:ascii="宋体" w:hAnsi="宋体" w:cs="宋体"/>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054DDB">
            <w:pPr>
              <w:spacing w:line="360" w:lineRule="auto"/>
              <w:jc w:val="center"/>
              <w:rPr>
                <w:rFonts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494A95">
            <w:pPr>
              <w:spacing w:line="360" w:lineRule="auto"/>
              <w:jc w:val="center"/>
              <w:rPr>
                <w:rFonts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AE49C3">
            <w:pPr>
              <w:spacing w:line="360" w:lineRule="auto"/>
              <w:jc w:val="center"/>
              <w:rPr>
                <w:rFonts w:ascii="宋体" w:hAnsi="宋体" w:cs="宋体"/>
                <w:kern w:val="0"/>
                <w:sz w:val="24"/>
                <w:highlight w:val="none"/>
              </w:rPr>
            </w:pPr>
          </w:p>
        </w:tc>
      </w:tr>
      <w:tr w14:paraId="5E6D6CC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993690">
            <w:pPr>
              <w:spacing w:line="360" w:lineRule="auto"/>
              <w:jc w:val="center"/>
              <w:rPr>
                <w:rFonts w:ascii="宋体" w:hAnsi="宋体" w:cs="宋体"/>
                <w:kern w:val="0"/>
                <w:sz w:val="24"/>
                <w:highlight w:val="none"/>
              </w:rPr>
            </w:pPr>
            <w:r>
              <w:rPr>
                <w:rFonts w:hint="eastAsia" w:ascii="宋体" w:hAnsi="宋体" w:cs="宋体"/>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8971F5">
            <w:pPr>
              <w:spacing w:line="360" w:lineRule="auto"/>
              <w:jc w:val="center"/>
              <w:rPr>
                <w:rFonts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2738C2">
            <w:pPr>
              <w:spacing w:line="360" w:lineRule="auto"/>
              <w:jc w:val="center"/>
              <w:rPr>
                <w:rFonts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0CA02A">
            <w:pPr>
              <w:spacing w:line="360" w:lineRule="auto"/>
              <w:jc w:val="center"/>
              <w:rPr>
                <w:rFonts w:ascii="宋体" w:hAnsi="宋体" w:cs="宋体"/>
                <w:kern w:val="0"/>
                <w:sz w:val="24"/>
                <w:highlight w:val="none"/>
              </w:rPr>
            </w:pPr>
          </w:p>
        </w:tc>
      </w:tr>
      <w:tr w14:paraId="35534D2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7DFB7D">
            <w:pPr>
              <w:spacing w:line="360" w:lineRule="auto"/>
              <w:jc w:val="center"/>
              <w:rPr>
                <w:rFonts w:ascii="宋体" w:hAnsi="宋体" w:cs="宋体"/>
                <w:kern w:val="0"/>
                <w:sz w:val="24"/>
                <w:highlight w:val="none"/>
              </w:rPr>
            </w:pPr>
            <w:r>
              <w:rPr>
                <w:rFonts w:hint="eastAsia" w:ascii="宋体" w:hAnsi="宋体" w:cs="宋体"/>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4164AB">
            <w:pPr>
              <w:spacing w:line="360" w:lineRule="auto"/>
              <w:jc w:val="center"/>
              <w:rPr>
                <w:rFonts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2C2030">
            <w:pPr>
              <w:spacing w:line="360" w:lineRule="auto"/>
              <w:jc w:val="center"/>
              <w:rPr>
                <w:rFonts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E30769">
            <w:pPr>
              <w:spacing w:line="360" w:lineRule="auto"/>
              <w:jc w:val="center"/>
              <w:rPr>
                <w:rFonts w:ascii="宋体" w:hAnsi="宋体" w:cs="宋体"/>
                <w:kern w:val="0"/>
                <w:sz w:val="24"/>
                <w:highlight w:val="none"/>
              </w:rPr>
            </w:pPr>
          </w:p>
        </w:tc>
      </w:tr>
    </w:tbl>
    <w:p w14:paraId="2D1AB874">
      <w:pPr>
        <w:snapToGrid w:val="0"/>
        <w:spacing w:line="360" w:lineRule="auto"/>
        <w:ind w:firstLine="360"/>
        <w:jc w:val="left"/>
        <w:rPr>
          <w:rFonts w:ascii="宋体" w:hAnsi="宋体"/>
          <w:sz w:val="24"/>
          <w:highlight w:val="none"/>
        </w:rPr>
      </w:pPr>
      <w:r>
        <w:rPr>
          <w:rFonts w:hint="eastAsia" w:ascii="宋体" w:hAnsi="宋体"/>
          <w:sz w:val="24"/>
          <w:highlight w:val="none"/>
        </w:rPr>
        <w:t>注：</w:t>
      </w:r>
    </w:p>
    <w:p w14:paraId="59A6AAF3">
      <w:pPr>
        <w:snapToGrid w:val="0"/>
        <w:spacing w:line="360" w:lineRule="auto"/>
        <w:ind w:firstLine="480" w:firstLineChars="200"/>
        <w:jc w:val="left"/>
        <w:rPr>
          <w:rFonts w:ascii="宋体" w:hAnsi="宋体"/>
          <w:sz w:val="24"/>
          <w:highlight w:val="none"/>
        </w:rPr>
      </w:pPr>
      <w:r>
        <w:rPr>
          <w:rFonts w:hint="eastAsia" w:ascii="宋体" w:hAnsi="宋体"/>
          <w:sz w:val="24"/>
          <w:highlight w:val="none"/>
        </w:rPr>
        <w:t>1.管理关系：是指不具有出资持股关系的其他单位之间存在的管理与被管理关系，如一些上下级关系的事业单位和团体组织。</w:t>
      </w:r>
    </w:p>
    <w:p w14:paraId="384451BA">
      <w:pPr>
        <w:snapToGrid w:val="0"/>
        <w:spacing w:line="360" w:lineRule="auto"/>
        <w:ind w:firstLine="480" w:firstLineChars="200"/>
        <w:jc w:val="left"/>
        <w:rPr>
          <w:rFonts w:ascii="宋体" w:hAnsi="宋体"/>
          <w:sz w:val="24"/>
          <w:highlight w:val="none"/>
        </w:rPr>
      </w:pPr>
      <w:r>
        <w:rPr>
          <w:rFonts w:hint="eastAsia" w:ascii="宋体" w:hAnsi="宋体"/>
          <w:sz w:val="24"/>
          <w:highlight w:val="none"/>
        </w:rPr>
        <w:t>2.</w:t>
      </w:r>
      <w:r>
        <w:rPr>
          <w:rFonts w:hint="eastAsia" w:ascii="宋体" w:hAnsi="宋体"/>
          <w:spacing w:val="-6"/>
          <w:sz w:val="24"/>
          <w:highlight w:val="none"/>
        </w:rPr>
        <w:t>本表所指的管理关系仅限于直接管理关系，不包括间接的管理关系。</w:t>
      </w:r>
    </w:p>
    <w:p w14:paraId="3A1225D5">
      <w:pPr>
        <w:snapToGrid w:val="0"/>
        <w:spacing w:line="360" w:lineRule="auto"/>
        <w:ind w:firstLine="480" w:firstLineChars="200"/>
        <w:jc w:val="left"/>
        <w:rPr>
          <w:rFonts w:ascii="宋体" w:hAnsi="宋体"/>
          <w:sz w:val="24"/>
          <w:highlight w:val="none"/>
        </w:rPr>
      </w:pPr>
      <w:r>
        <w:rPr>
          <w:rFonts w:hint="eastAsia" w:ascii="宋体" w:hAnsi="宋体"/>
          <w:sz w:val="24"/>
          <w:highlight w:val="none"/>
        </w:rPr>
        <w:t>3.供应商不存在直接管理关系的，则填“无”。</w:t>
      </w:r>
    </w:p>
    <w:p w14:paraId="6017B5E8">
      <w:pPr>
        <w:snapToGrid w:val="0"/>
        <w:spacing w:before="50" w:afterLines="50"/>
        <w:ind w:firstLine="180" w:firstLineChars="100"/>
        <w:jc w:val="left"/>
        <w:rPr>
          <w:rFonts w:ascii="宋体" w:hAnsi="宋体"/>
          <w:sz w:val="18"/>
          <w:szCs w:val="18"/>
          <w:highlight w:val="none"/>
        </w:rPr>
      </w:pPr>
    </w:p>
    <w:p w14:paraId="3222DCF6">
      <w:pPr>
        <w:snapToGrid w:val="0"/>
        <w:spacing w:before="50" w:afterLines="100" w:line="360" w:lineRule="auto"/>
        <w:ind w:firstLine="360"/>
        <w:jc w:val="left"/>
        <w:rPr>
          <w:rFonts w:ascii="宋体" w:hAnsi="宋体" w:cs="宋体"/>
          <w:sz w:val="24"/>
          <w:highlight w:val="none"/>
        </w:rPr>
      </w:pPr>
      <w:r>
        <w:rPr>
          <w:rFonts w:hint="eastAsia" w:ascii="宋体" w:hAnsi="宋体" w:cs="宋体"/>
          <w:sz w:val="24"/>
          <w:highlight w:val="none"/>
        </w:rPr>
        <w:t xml:space="preserve">                                     </w:t>
      </w:r>
    </w:p>
    <w:p w14:paraId="3A404AC1">
      <w:pPr>
        <w:snapToGrid w:val="0"/>
        <w:spacing w:before="50" w:afterLines="100" w:line="360" w:lineRule="auto"/>
        <w:ind w:left="7428" w:leftChars="2223" w:hanging="2760" w:hangingChars="1150"/>
        <w:jc w:val="left"/>
        <w:rPr>
          <w:rFonts w:ascii="宋体" w:hAnsi="宋体" w:cs="宋体"/>
          <w:b/>
          <w:bCs/>
          <w:sz w:val="30"/>
          <w:szCs w:val="30"/>
          <w:highlight w:val="none"/>
        </w:rPr>
      </w:pPr>
      <w:r>
        <w:rPr>
          <w:rFonts w:hint="eastAsia" w:ascii="宋体" w:hAnsi="宋体" w:cs="宋体"/>
          <w:sz w:val="24"/>
          <w:highlight w:val="none"/>
        </w:rPr>
        <w:t xml:space="preserve">  </w:t>
      </w:r>
      <w:r>
        <w:rPr>
          <w:rFonts w:hint="eastAsia" w:ascii="宋体" w:hAnsi="宋体" w:cs="宋体"/>
          <w:kern w:val="0"/>
          <w:sz w:val="24"/>
          <w:highlight w:val="none"/>
          <w:lang w:val="zh-CN"/>
        </w:rPr>
        <w:t>投标人名称(盖公章)：</w:t>
      </w:r>
      <w:r>
        <w:rPr>
          <w:rFonts w:hint="eastAsia" w:ascii="宋体" w:hAnsi="宋体" w:cs="宋体"/>
          <w:szCs w:val="21"/>
          <w:highlight w:val="none"/>
        </w:rPr>
        <w:t xml:space="preserve">                                     </w:t>
      </w:r>
      <w:r>
        <w:rPr>
          <w:rFonts w:hint="eastAsia" w:ascii="宋体" w:hAnsi="宋体" w:cs="宋体"/>
          <w:sz w:val="24"/>
          <w:highlight w:val="none"/>
        </w:rPr>
        <w:t>年    月    日</w:t>
      </w:r>
    </w:p>
    <w:p w14:paraId="1273A230">
      <w:pPr>
        <w:rPr>
          <w:highlight w:val="none"/>
        </w:rPr>
      </w:pPr>
      <w:r>
        <w:rPr>
          <w:rFonts w:hint="eastAsia"/>
          <w:highlight w:val="none"/>
        </w:rPr>
        <w:br w:type="page"/>
      </w:r>
    </w:p>
    <w:p w14:paraId="199DA1D2">
      <w:pPr>
        <w:ind w:firstLine="422"/>
        <w:rPr>
          <w:rFonts w:ascii="宋体" w:hAnsi="宋体" w:cs="宋体"/>
          <w:b/>
          <w:bCs/>
          <w:sz w:val="28"/>
          <w:szCs w:val="28"/>
          <w:highlight w:val="none"/>
        </w:rPr>
      </w:pPr>
      <w:r>
        <w:rPr>
          <w:rFonts w:hint="eastAsia" w:ascii="宋体" w:hAnsi="宋体" w:cs="宋体"/>
          <w:b/>
          <w:bCs/>
          <w:sz w:val="28"/>
          <w:szCs w:val="28"/>
          <w:highlight w:val="none"/>
        </w:rPr>
        <w:t>6.联合体投标协议书的格式：</w:t>
      </w:r>
    </w:p>
    <w:p w14:paraId="15E84D15">
      <w:pPr>
        <w:spacing w:line="600" w:lineRule="exact"/>
        <w:ind w:firstLine="422"/>
        <w:jc w:val="center"/>
        <w:rPr>
          <w:rFonts w:ascii="宋体" w:hAnsi="宋体" w:cs="宋体"/>
          <w:sz w:val="28"/>
          <w:szCs w:val="28"/>
          <w:highlight w:val="none"/>
        </w:rPr>
      </w:pPr>
      <w:r>
        <w:rPr>
          <w:rFonts w:hint="eastAsia" w:ascii="宋体" w:hAnsi="宋体" w:cs="宋体"/>
          <w:b/>
          <w:bCs/>
          <w:sz w:val="28"/>
          <w:szCs w:val="28"/>
          <w:highlight w:val="none"/>
        </w:rPr>
        <w:t>联合体投标协议书</w:t>
      </w:r>
    </w:p>
    <w:p w14:paraId="1A3338FB">
      <w:pPr>
        <w:autoSpaceDE w:val="0"/>
        <w:autoSpaceDN w:val="0"/>
        <w:adjustRightInd w:val="0"/>
        <w:jc w:val="left"/>
        <w:rPr>
          <w:rFonts w:ascii="宋体" w:hAnsi="宋体" w:cs="宋体"/>
          <w:kern w:val="0"/>
          <w:szCs w:val="21"/>
          <w:highlight w:val="none"/>
          <w:u w:val="single"/>
        </w:rPr>
      </w:pPr>
    </w:p>
    <w:p w14:paraId="4C2EE73A">
      <w:pPr>
        <w:autoSpaceDE w:val="0"/>
        <w:autoSpaceDN w:val="0"/>
        <w:adjustRightInd w:val="0"/>
        <w:spacing w:line="440" w:lineRule="exact"/>
        <w:jc w:val="left"/>
        <w:rPr>
          <w:rFonts w:ascii="宋体" w:hAnsi="宋体" w:cs="宋体"/>
          <w:kern w:val="0"/>
          <w:szCs w:val="21"/>
          <w:highlight w:val="none"/>
        </w:rPr>
      </w:pPr>
      <w:r>
        <w:rPr>
          <w:rFonts w:hint="eastAsia" w:ascii="宋体" w:hAnsi="宋体" w:cs="宋体"/>
          <w:kern w:val="0"/>
          <w:szCs w:val="21"/>
          <w:highlight w:val="none"/>
          <w:u w:val="single"/>
        </w:rPr>
        <w:t xml:space="preserve">                                                  </w:t>
      </w:r>
      <w:r>
        <w:rPr>
          <w:rFonts w:hint="eastAsia" w:ascii="宋体" w:hAnsi="宋体" w:cs="宋体"/>
          <w:kern w:val="0"/>
          <w:szCs w:val="21"/>
          <w:highlight w:val="none"/>
        </w:rPr>
        <w:t>（所有成员单位名称）自愿组成联合体，共同参加</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eastAsia="zh-CN"/>
        </w:rPr>
        <w:t>广西众联工程项目管理有限公司</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组织的</w:t>
      </w:r>
      <w:r>
        <w:rPr>
          <w:rFonts w:hint="eastAsia" w:ascii="宋体" w:hAnsi="宋体" w:cs="宋体"/>
          <w:kern w:val="0"/>
          <w:szCs w:val="21"/>
          <w:highlight w:val="none"/>
          <w:u w:val="single"/>
        </w:rPr>
        <w:t xml:space="preserve">   </w:t>
      </w:r>
      <w:r>
        <w:rPr>
          <w:rFonts w:hint="eastAsia" w:ascii="宋体" w:hAnsi="宋体" w:cs="宋体"/>
          <w:i/>
          <w:iCs/>
          <w:kern w:val="0"/>
          <w:szCs w:val="21"/>
          <w:highlight w:val="none"/>
          <w:u w:val="single"/>
        </w:rPr>
        <w:t>（项目名称）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（项目编号：</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）投标。现就联合体投标事宜订立如下协议：</w:t>
      </w:r>
    </w:p>
    <w:p w14:paraId="01DA358C">
      <w:pPr>
        <w:autoSpaceDE w:val="0"/>
        <w:autoSpaceDN w:val="0"/>
        <w:adjustRightInd w:val="0"/>
        <w:spacing w:line="440" w:lineRule="exact"/>
        <w:ind w:firstLine="315"/>
        <w:jc w:val="left"/>
        <w:rPr>
          <w:rFonts w:ascii="宋体" w:hAnsi="宋体" w:cs="宋体"/>
          <w:kern w:val="0"/>
          <w:szCs w:val="21"/>
          <w:highlight w:val="none"/>
        </w:rPr>
      </w:pPr>
      <w:r>
        <w:rPr>
          <w:rFonts w:hint="eastAsia" w:ascii="宋体" w:hAnsi="宋体" w:cs="宋体"/>
          <w:kern w:val="0"/>
          <w:szCs w:val="21"/>
          <w:highlight w:val="none"/>
        </w:rPr>
        <w:t>1、</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（某成员单位名称）为联合体名称牵头人。</w:t>
      </w:r>
    </w:p>
    <w:p w14:paraId="1FDEDE1A">
      <w:pPr>
        <w:autoSpaceDE w:val="0"/>
        <w:autoSpaceDN w:val="0"/>
        <w:adjustRightInd w:val="0"/>
        <w:spacing w:line="440" w:lineRule="exact"/>
        <w:ind w:firstLine="315"/>
        <w:jc w:val="left"/>
        <w:rPr>
          <w:rFonts w:ascii="宋体" w:hAnsi="宋体" w:cs="宋体"/>
          <w:kern w:val="0"/>
          <w:szCs w:val="21"/>
          <w:highlight w:val="none"/>
        </w:rPr>
      </w:pPr>
      <w:r>
        <w:rPr>
          <w:rFonts w:hint="eastAsia" w:ascii="宋体" w:hAnsi="宋体" w:cs="宋体"/>
          <w:kern w:val="0"/>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48EAF2E9">
      <w:pPr>
        <w:autoSpaceDE w:val="0"/>
        <w:autoSpaceDN w:val="0"/>
        <w:adjustRightInd w:val="0"/>
        <w:spacing w:line="440" w:lineRule="exact"/>
        <w:ind w:firstLine="315"/>
        <w:jc w:val="left"/>
        <w:rPr>
          <w:rFonts w:ascii="宋体" w:hAnsi="宋体" w:cs="宋体"/>
          <w:kern w:val="0"/>
          <w:szCs w:val="21"/>
          <w:highlight w:val="none"/>
        </w:rPr>
      </w:pPr>
      <w:r>
        <w:rPr>
          <w:rFonts w:hint="eastAsia" w:ascii="宋体" w:hAnsi="宋体" w:cs="宋体"/>
          <w:kern w:val="0"/>
          <w:szCs w:val="21"/>
          <w:highlight w:val="none"/>
        </w:rPr>
        <w:t>3、联合体牵头人在本项目中签署和盖章的一切文件和处理的一切事宜，联合体各成员均予以承认。 联合体各成员将严格按照招标文件、投标文件和合同的要求全面履行义务，并向采购人承担连带责任。</w:t>
      </w:r>
    </w:p>
    <w:p w14:paraId="504E8500">
      <w:pPr>
        <w:autoSpaceDE w:val="0"/>
        <w:autoSpaceDN w:val="0"/>
        <w:adjustRightInd w:val="0"/>
        <w:spacing w:line="440" w:lineRule="exact"/>
        <w:ind w:firstLine="315"/>
        <w:jc w:val="left"/>
        <w:rPr>
          <w:rFonts w:ascii="宋体" w:hAnsi="宋体" w:cs="宋体"/>
          <w:kern w:val="0"/>
          <w:szCs w:val="21"/>
          <w:highlight w:val="none"/>
        </w:rPr>
      </w:pPr>
      <w:r>
        <w:rPr>
          <w:rFonts w:hint="eastAsia" w:ascii="宋体" w:hAnsi="宋体" w:cs="宋体"/>
          <w:kern w:val="0"/>
          <w:szCs w:val="21"/>
          <w:highlight w:val="none"/>
        </w:rPr>
        <w:t>4、联合体各成员单位内部的职责分工如下：</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w:t>
      </w:r>
    </w:p>
    <w:p w14:paraId="0472C6FF">
      <w:pPr>
        <w:spacing w:line="440" w:lineRule="exact"/>
        <w:ind w:firstLine="420" w:firstLineChars="200"/>
        <w:rPr>
          <w:rFonts w:ascii="宋体" w:hAnsi="宋体" w:cs="宋体"/>
          <w:szCs w:val="21"/>
          <w:highlight w:val="none"/>
        </w:rPr>
      </w:pPr>
      <w:r>
        <w:rPr>
          <w:rFonts w:hint="eastAsia" w:ascii="宋体" w:hAnsi="宋体" w:cs="宋体"/>
          <w:kern w:val="0"/>
          <w:szCs w:val="20"/>
          <w:highlight w:val="none"/>
        </w:rPr>
        <w:t>5、本联合体中，</w:t>
      </w:r>
      <w:r>
        <w:rPr>
          <w:rFonts w:hint="eastAsia" w:ascii="宋体" w:hAnsi="宋体" w:cs="宋体"/>
          <w:kern w:val="0"/>
          <w:szCs w:val="21"/>
          <w:highlight w:val="none"/>
          <w:u w:val="single"/>
        </w:rPr>
        <w:t xml:space="preserve">                                   </w:t>
      </w:r>
      <w:r>
        <w:rPr>
          <w:rFonts w:hint="eastAsia" w:ascii="宋体" w:hAnsi="宋体" w:cs="宋体"/>
          <w:kern w:val="0"/>
          <w:szCs w:val="20"/>
          <w:highlight w:val="none"/>
          <w:u w:val="single"/>
        </w:rPr>
        <w:t>（某成员单位名称）为</w:t>
      </w:r>
      <w:r>
        <w:rPr>
          <w:rFonts w:hint="eastAsia" w:ascii="宋体" w:hAnsi="宋体" w:cs="宋体"/>
          <w:kern w:val="0"/>
          <w:szCs w:val="21"/>
          <w:highlight w:val="none"/>
          <w:u w:val="single"/>
        </w:rPr>
        <w:t xml:space="preserve">        </w:t>
      </w:r>
      <w:r>
        <w:rPr>
          <w:rFonts w:hint="eastAsia" w:ascii="宋体" w:hAnsi="宋体" w:cs="宋体"/>
          <w:szCs w:val="20"/>
          <w:highlight w:val="none"/>
        </w:rPr>
        <w:t>（请填写：中型、小型、微型）企业，其协议合同金额占联合体协议合同总金额的</w:t>
      </w:r>
      <w:r>
        <w:rPr>
          <w:rFonts w:hint="eastAsia" w:ascii="宋体" w:hAnsi="宋体" w:cs="宋体"/>
          <w:kern w:val="0"/>
          <w:szCs w:val="21"/>
          <w:highlight w:val="none"/>
          <w:u w:val="single"/>
        </w:rPr>
        <w:t xml:space="preserve">        </w:t>
      </w:r>
      <w:r>
        <w:rPr>
          <w:rFonts w:hint="eastAsia" w:ascii="宋体" w:hAnsi="宋体" w:cs="宋体"/>
          <w:szCs w:val="20"/>
          <w:highlight w:val="none"/>
        </w:rPr>
        <w:t>%。【如联合体成员中有小型、微型企业的，请填写此条，否则无需填写；如联合体成员中有多个小型、微型企业的，请逐一列出。】</w:t>
      </w:r>
    </w:p>
    <w:p w14:paraId="715BF3B8">
      <w:pPr>
        <w:autoSpaceDE w:val="0"/>
        <w:autoSpaceDN w:val="0"/>
        <w:adjustRightInd w:val="0"/>
        <w:spacing w:line="440" w:lineRule="exact"/>
        <w:ind w:firstLine="315"/>
        <w:jc w:val="left"/>
        <w:rPr>
          <w:rFonts w:ascii="宋体" w:hAnsi="宋体" w:cs="宋体"/>
          <w:kern w:val="0"/>
          <w:szCs w:val="21"/>
          <w:highlight w:val="none"/>
        </w:rPr>
      </w:pPr>
      <w:r>
        <w:rPr>
          <w:rFonts w:hint="eastAsia" w:ascii="宋体" w:hAnsi="宋体" w:cs="宋体"/>
          <w:kern w:val="0"/>
          <w:szCs w:val="21"/>
          <w:highlight w:val="none"/>
        </w:rPr>
        <w:t>6、本协议书自签署之日起生效，合同履行完毕后自动失效。</w:t>
      </w:r>
    </w:p>
    <w:p w14:paraId="44C702EF">
      <w:pPr>
        <w:autoSpaceDE w:val="0"/>
        <w:autoSpaceDN w:val="0"/>
        <w:adjustRightInd w:val="0"/>
        <w:spacing w:line="440" w:lineRule="exact"/>
        <w:ind w:firstLine="315"/>
        <w:jc w:val="left"/>
        <w:rPr>
          <w:rFonts w:ascii="宋体" w:hAnsi="宋体" w:cs="宋体"/>
          <w:kern w:val="0"/>
          <w:szCs w:val="21"/>
          <w:highlight w:val="none"/>
        </w:rPr>
      </w:pPr>
      <w:r>
        <w:rPr>
          <w:rFonts w:hint="eastAsia" w:ascii="宋体" w:hAnsi="宋体" w:cs="宋体"/>
          <w:kern w:val="0"/>
          <w:szCs w:val="21"/>
          <w:highlight w:val="none"/>
        </w:rPr>
        <w:t>7、本协议书一式</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份，联合体成员和采购代理机构各执一份。</w:t>
      </w:r>
    </w:p>
    <w:p w14:paraId="53D474D4">
      <w:pPr>
        <w:autoSpaceDE w:val="0"/>
        <w:autoSpaceDN w:val="0"/>
        <w:adjustRightInd w:val="0"/>
        <w:spacing w:line="440" w:lineRule="exact"/>
        <w:ind w:firstLine="315"/>
        <w:jc w:val="left"/>
        <w:rPr>
          <w:rFonts w:ascii="宋体" w:hAnsi="宋体" w:cs="宋体"/>
          <w:kern w:val="0"/>
          <w:szCs w:val="21"/>
          <w:highlight w:val="none"/>
        </w:rPr>
      </w:pPr>
      <w:r>
        <w:rPr>
          <w:rFonts w:hint="eastAsia" w:ascii="宋体" w:hAnsi="宋体" w:cs="宋体"/>
          <w:kern w:val="0"/>
          <w:szCs w:val="21"/>
          <w:highlight w:val="none"/>
        </w:rPr>
        <w:t>注：本协议书由法定代表人签字的，应附法定代表人身份证明；本协议书由委托代理人签字的，应附法定代表人授权委托书。</w:t>
      </w:r>
    </w:p>
    <w:p w14:paraId="5466FF86">
      <w:pPr>
        <w:autoSpaceDE w:val="0"/>
        <w:autoSpaceDN w:val="0"/>
        <w:adjustRightInd w:val="0"/>
        <w:spacing w:line="440" w:lineRule="exact"/>
        <w:jc w:val="left"/>
        <w:rPr>
          <w:rFonts w:ascii="宋体" w:hAnsi="宋体" w:cs="宋体"/>
          <w:kern w:val="0"/>
          <w:szCs w:val="21"/>
          <w:highlight w:val="none"/>
        </w:rPr>
      </w:pPr>
      <w:r>
        <w:rPr>
          <w:rFonts w:hint="eastAsia" w:ascii="宋体" w:hAnsi="宋体" w:cs="宋体"/>
          <w:kern w:val="0"/>
          <w:szCs w:val="21"/>
          <w:highlight w:val="none"/>
        </w:rPr>
        <w:t>牵头人名称：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（盖公章）</w:t>
      </w:r>
    </w:p>
    <w:p w14:paraId="695132D4">
      <w:pPr>
        <w:autoSpaceDE w:val="0"/>
        <w:autoSpaceDN w:val="0"/>
        <w:adjustRightInd w:val="0"/>
        <w:spacing w:line="440" w:lineRule="exact"/>
        <w:jc w:val="left"/>
        <w:rPr>
          <w:rFonts w:ascii="宋体" w:hAnsi="宋体" w:cs="宋体"/>
          <w:kern w:val="0"/>
          <w:szCs w:val="21"/>
          <w:highlight w:val="none"/>
        </w:rPr>
      </w:pPr>
      <w:r>
        <w:rPr>
          <w:rFonts w:hint="eastAsia" w:ascii="宋体" w:hAnsi="宋体" w:cs="宋体"/>
          <w:kern w:val="0"/>
          <w:szCs w:val="21"/>
          <w:highlight w:val="none"/>
        </w:rPr>
        <w:t>法定代表人或其委托代理人：</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（签字）</w:t>
      </w:r>
    </w:p>
    <w:p w14:paraId="0A507C0D">
      <w:pPr>
        <w:autoSpaceDE w:val="0"/>
        <w:autoSpaceDN w:val="0"/>
        <w:adjustRightInd w:val="0"/>
        <w:spacing w:line="440" w:lineRule="exact"/>
        <w:jc w:val="left"/>
        <w:rPr>
          <w:rFonts w:ascii="宋体" w:hAnsi="宋体" w:cs="宋体"/>
          <w:kern w:val="0"/>
          <w:szCs w:val="21"/>
          <w:highlight w:val="none"/>
        </w:rPr>
      </w:pPr>
    </w:p>
    <w:p w14:paraId="4E123A5C">
      <w:pPr>
        <w:autoSpaceDE w:val="0"/>
        <w:autoSpaceDN w:val="0"/>
        <w:adjustRightInd w:val="0"/>
        <w:spacing w:line="440" w:lineRule="exact"/>
        <w:jc w:val="left"/>
        <w:rPr>
          <w:rFonts w:ascii="宋体" w:hAnsi="宋体" w:cs="宋体"/>
          <w:kern w:val="0"/>
          <w:szCs w:val="21"/>
          <w:highlight w:val="none"/>
        </w:rPr>
      </w:pPr>
      <w:r>
        <w:rPr>
          <w:rFonts w:hint="eastAsia" w:ascii="宋体" w:hAnsi="宋体" w:cs="宋体"/>
          <w:kern w:val="0"/>
          <w:szCs w:val="21"/>
          <w:highlight w:val="none"/>
        </w:rPr>
        <w:t>成员一名称：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（盖公章）</w:t>
      </w:r>
    </w:p>
    <w:p w14:paraId="6B97A43C">
      <w:pPr>
        <w:autoSpaceDE w:val="0"/>
        <w:autoSpaceDN w:val="0"/>
        <w:adjustRightInd w:val="0"/>
        <w:spacing w:line="440" w:lineRule="exact"/>
        <w:jc w:val="left"/>
        <w:rPr>
          <w:rFonts w:ascii="宋体" w:hAnsi="宋体" w:cs="宋体"/>
          <w:kern w:val="0"/>
          <w:szCs w:val="21"/>
          <w:highlight w:val="none"/>
        </w:rPr>
      </w:pPr>
      <w:r>
        <w:rPr>
          <w:rFonts w:hint="eastAsia" w:ascii="宋体" w:hAnsi="宋体" w:cs="宋体"/>
          <w:kern w:val="0"/>
          <w:szCs w:val="21"/>
          <w:highlight w:val="none"/>
        </w:rPr>
        <w:t>法定代表人或其委托代理人：</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（签字）</w:t>
      </w:r>
    </w:p>
    <w:p w14:paraId="27AEC6BD">
      <w:pPr>
        <w:autoSpaceDE w:val="0"/>
        <w:autoSpaceDN w:val="0"/>
        <w:adjustRightInd w:val="0"/>
        <w:spacing w:line="440" w:lineRule="exact"/>
        <w:jc w:val="left"/>
        <w:rPr>
          <w:rFonts w:ascii="宋体" w:hAnsi="宋体" w:cs="宋体"/>
          <w:kern w:val="0"/>
          <w:szCs w:val="21"/>
          <w:highlight w:val="none"/>
        </w:rPr>
      </w:pPr>
    </w:p>
    <w:p w14:paraId="37CC8EEC">
      <w:pPr>
        <w:autoSpaceDE w:val="0"/>
        <w:autoSpaceDN w:val="0"/>
        <w:adjustRightInd w:val="0"/>
        <w:spacing w:line="440" w:lineRule="exact"/>
        <w:jc w:val="left"/>
        <w:rPr>
          <w:rFonts w:ascii="宋体" w:hAnsi="宋体" w:cs="宋体"/>
          <w:kern w:val="0"/>
          <w:szCs w:val="21"/>
          <w:highlight w:val="none"/>
        </w:rPr>
      </w:pPr>
      <w:r>
        <w:rPr>
          <w:rFonts w:hint="eastAsia" w:ascii="宋体" w:hAnsi="宋体" w:cs="宋体"/>
          <w:kern w:val="0"/>
          <w:szCs w:val="21"/>
          <w:highlight w:val="none"/>
        </w:rPr>
        <w:t>成员二名称：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（盖公章）</w:t>
      </w:r>
    </w:p>
    <w:p w14:paraId="6525FE01">
      <w:pPr>
        <w:spacing w:line="440" w:lineRule="exact"/>
        <w:rPr>
          <w:rFonts w:ascii="宋体" w:hAnsi="宋体" w:cs="宋体"/>
          <w:kern w:val="0"/>
          <w:szCs w:val="21"/>
          <w:highlight w:val="none"/>
        </w:rPr>
      </w:pPr>
      <w:r>
        <w:rPr>
          <w:rFonts w:hint="eastAsia" w:ascii="宋体" w:hAnsi="宋体" w:cs="宋体"/>
          <w:kern w:val="0"/>
          <w:szCs w:val="21"/>
          <w:highlight w:val="none"/>
        </w:rPr>
        <w:t>法定代表人或其委托代理人：</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（签字）</w:t>
      </w:r>
    </w:p>
    <w:p w14:paraId="71BBACC1">
      <w:pPr>
        <w:overflowPunct w:val="0"/>
        <w:spacing w:line="440" w:lineRule="exact"/>
        <w:ind w:firstLine="420" w:firstLineChars="175"/>
        <w:rPr>
          <w:rFonts w:ascii="宋体" w:hAnsi="宋体" w:cs="宋体"/>
          <w:sz w:val="24"/>
          <w:szCs w:val="20"/>
          <w:highlight w:val="none"/>
        </w:rPr>
      </w:pPr>
      <w:r>
        <w:rPr>
          <w:rFonts w:hint="eastAsia" w:ascii="宋体" w:hAnsi="宋体" w:cs="宋体"/>
          <w:sz w:val="24"/>
          <w:szCs w:val="20"/>
          <w:highlight w:val="none"/>
        </w:rPr>
        <w:t>……</w:t>
      </w:r>
    </w:p>
    <w:p w14:paraId="3C946FC8">
      <w:pPr>
        <w:overflowPunct w:val="0"/>
        <w:spacing w:line="480" w:lineRule="exact"/>
        <w:ind w:firstLine="420" w:firstLineChars="175"/>
        <w:rPr>
          <w:rFonts w:ascii="宋体" w:hAnsi="宋体" w:cs="宋体"/>
          <w:sz w:val="24"/>
          <w:szCs w:val="20"/>
          <w:highlight w:val="none"/>
        </w:rPr>
      </w:pPr>
    </w:p>
    <w:p w14:paraId="2F8EFB73">
      <w:pPr>
        <w:overflowPunct w:val="0"/>
        <w:ind w:firstLine="7140" w:firstLineChars="2975"/>
        <w:rPr>
          <w:rFonts w:ascii="宋体" w:hAnsi="宋体" w:cs="宋体"/>
          <w:sz w:val="24"/>
          <w:szCs w:val="20"/>
          <w:highlight w:val="none"/>
        </w:rPr>
      </w:pPr>
      <w:r>
        <w:rPr>
          <w:rFonts w:hint="eastAsia" w:ascii="宋体" w:hAnsi="宋体" w:cs="宋体"/>
          <w:sz w:val="24"/>
          <w:szCs w:val="20"/>
          <w:highlight w:val="none"/>
        </w:rPr>
        <w:t xml:space="preserve"> </w:t>
      </w:r>
      <w:r>
        <w:rPr>
          <w:rFonts w:hint="eastAsia" w:ascii="宋体" w:hAnsi="宋体" w:cs="宋体"/>
          <w:sz w:val="24"/>
          <w:szCs w:val="20"/>
          <w:highlight w:val="none"/>
        </w:rPr>
        <w:tab/>
      </w:r>
      <w:r>
        <w:rPr>
          <w:rFonts w:hint="eastAsia" w:ascii="宋体" w:hAnsi="宋体" w:cs="宋体"/>
          <w:sz w:val="24"/>
          <w:szCs w:val="20"/>
          <w:highlight w:val="none"/>
        </w:rPr>
        <w:t xml:space="preserve">年  </w:t>
      </w:r>
      <w:r>
        <w:rPr>
          <w:rFonts w:hint="eastAsia" w:ascii="宋体" w:hAnsi="宋体" w:cs="宋体"/>
          <w:sz w:val="24"/>
          <w:szCs w:val="20"/>
          <w:highlight w:val="none"/>
        </w:rPr>
        <w:tab/>
      </w:r>
      <w:r>
        <w:rPr>
          <w:rFonts w:hint="eastAsia" w:ascii="宋体" w:hAnsi="宋体" w:cs="宋体"/>
          <w:sz w:val="24"/>
          <w:szCs w:val="20"/>
          <w:highlight w:val="none"/>
        </w:rPr>
        <w:t xml:space="preserve">月  </w:t>
      </w:r>
      <w:r>
        <w:rPr>
          <w:rFonts w:hint="eastAsia" w:ascii="宋体" w:hAnsi="宋体" w:cs="宋体"/>
          <w:sz w:val="24"/>
          <w:szCs w:val="20"/>
          <w:highlight w:val="none"/>
        </w:rPr>
        <w:tab/>
      </w:r>
      <w:r>
        <w:rPr>
          <w:rFonts w:hint="eastAsia" w:ascii="宋体" w:hAnsi="宋体" w:cs="宋体"/>
          <w:sz w:val="24"/>
          <w:szCs w:val="20"/>
          <w:highlight w:val="none"/>
        </w:rPr>
        <w:t>日</w:t>
      </w:r>
    </w:p>
    <w:p w14:paraId="6619F730">
      <w:pPr>
        <w:jc w:val="center"/>
        <w:outlineLvl w:val="1"/>
        <w:rPr>
          <w:rFonts w:ascii="宋体" w:hAnsi="宋体" w:cs="宋体"/>
          <w:szCs w:val="21"/>
          <w:highlight w:val="none"/>
        </w:rPr>
      </w:pPr>
      <w:r>
        <w:rPr>
          <w:rFonts w:hint="eastAsia" w:ascii="宋体" w:hAnsi="宋体" w:cs="宋体"/>
          <w:szCs w:val="21"/>
          <w:highlight w:val="none"/>
        </w:rPr>
        <w:br w:type="page"/>
      </w:r>
    </w:p>
    <w:p w14:paraId="7A1E18AE">
      <w:pPr>
        <w:ind w:firstLine="422"/>
        <w:jc w:val="center"/>
        <w:outlineLvl w:val="1"/>
        <w:rPr>
          <w:rFonts w:ascii="宋体" w:hAnsi="宋体" w:cs="宋体"/>
          <w:b/>
          <w:bCs/>
          <w:sz w:val="28"/>
          <w:szCs w:val="28"/>
          <w:highlight w:val="none"/>
        </w:rPr>
      </w:pPr>
      <w:bookmarkStart w:id="250" w:name="_Toc19686838"/>
      <w:bookmarkStart w:id="251" w:name="_Toc13859"/>
      <w:bookmarkStart w:id="252" w:name="_Toc13558"/>
      <w:bookmarkStart w:id="253" w:name="_Toc32555"/>
      <w:bookmarkStart w:id="254" w:name="_Toc22991"/>
      <w:bookmarkStart w:id="255" w:name="_Toc15031"/>
      <w:r>
        <w:rPr>
          <w:rFonts w:hint="eastAsia" w:ascii="宋体" w:hAnsi="宋体" w:cs="宋体"/>
          <w:b/>
          <w:bCs/>
          <w:sz w:val="28"/>
          <w:szCs w:val="28"/>
          <w:highlight w:val="none"/>
        </w:rPr>
        <w:t>第</w:t>
      </w:r>
      <w:r>
        <w:rPr>
          <w:rFonts w:hint="eastAsia" w:ascii="宋体" w:hAnsi="宋体" w:cs="宋体"/>
          <w:b/>
          <w:bCs/>
          <w:sz w:val="28"/>
          <w:szCs w:val="28"/>
          <w:highlight w:val="none"/>
          <w:lang w:eastAsia="zh-CN"/>
        </w:rPr>
        <w:t>二</w:t>
      </w:r>
      <w:r>
        <w:rPr>
          <w:rFonts w:hint="eastAsia" w:ascii="宋体" w:hAnsi="宋体" w:cs="宋体"/>
          <w:b/>
          <w:bCs/>
          <w:sz w:val="28"/>
          <w:szCs w:val="28"/>
          <w:highlight w:val="none"/>
        </w:rPr>
        <w:t>节 商务文件格式</w:t>
      </w:r>
      <w:bookmarkEnd w:id="250"/>
      <w:bookmarkEnd w:id="251"/>
      <w:bookmarkEnd w:id="252"/>
      <w:bookmarkEnd w:id="253"/>
      <w:bookmarkEnd w:id="254"/>
      <w:bookmarkEnd w:id="255"/>
    </w:p>
    <w:p w14:paraId="79F243FA">
      <w:pPr>
        <w:snapToGrid w:val="0"/>
        <w:spacing w:beforeLines="50" w:after="50"/>
        <w:ind w:firstLine="450"/>
        <w:rPr>
          <w:rFonts w:ascii="宋体" w:hAnsi="宋体" w:cs="宋体"/>
          <w:sz w:val="30"/>
          <w:szCs w:val="20"/>
          <w:highlight w:val="none"/>
        </w:rPr>
      </w:pPr>
    </w:p>
    <w:p w14:paraId="06E2DA7F">
      <w:pPr>
        <w:snapToGrid w:val="0"/>
        <w:spacing w:beforeLines="50" w:after="50"/>
        <w:ind w:firstLine="422"/>
        <w:rPr>
          <w:rFonts w:ascii="宋体" w:hAnsi="宋体" w:cs="宋体"/>
          <w:b/>
          <w:sz w:val="28"/>
          <w:szCs w:val="28"/>
          <w:highlight w:val="none"/>
        </w:rPr>
      </w:pPr>
      <w:r>
        <w:rPr>
          <w:rFonts w:hint="eastAsia" w:ascii="宋体" w:hAnsi="宋体" w:cs="宋体"/>
          <w:b/>
          <w:sz w:val="28"/>
          <w:szCs w:val="28"/>
          <w:highlight w:val="none"/>
        </w:rPr>
        <w:t>1.商务文件封面的格式：</w:t>
      </w:r>
    </w:p>
    <w:p w14:paraId="75E9BED5">
      <w:pPr>
        <w:snapToGrid w:val="0"/>
        <w:ind w:firstLine="270"/>
        <w:jc w:val="left"/>
        <w:rPr>
          <w:sz w:val="18"/>
          <w:szCs w:val="18"/>
          <w:highlight w:val="none"/>
        </w:rPr>
      </w:pPr>
    </w:p>
    <w:p w14:paraId="4311B419">
      <w:pPr>
        <w:snapToGrid w:val="0"/>
        <w:spacing w:beforeLines="50" w:after="50"/>
        <w:jc w:val="right"/>
        <w:rPr>
          <w:rFonts w:ascii="宋体" w:hAnsi="宋体" w:cs="宋体"/>
          <w:bCs/>
          <w:sz w:val="32"/>
          <w:szCs w:val="20"/>
          <w:highlight w:val="none"/>
        </w:rPr>
      </w:pPr>
      <w:r>
        <w:rPr>
          <w:rFonts w:hint="eastAsia" w:ascii="宋体" w:hAnsi="宋体" w:cs="宋体"/>
          <w:bCs/>
          <w:highlight w:val="none"/>
        </w:rPr>
        <w:t xml:space="preserve">             电子投标文件</w:t>
      </w:r>
    </w:p>
    <w:p w14:paraId="0CF809E2">
      <w:pPr>
        <w:snapToGrid w:val="0"/>
        <w:spacing w:beforeLines="50" w:after="50"/>
        <w:ind w:firstLine="360"/>
        <w:rPr>
          <w:rFonts w:ascii="宋体" w:hAnsi="宋体" w:cs="宋体"/>
          <w:sz w:val="24"/>
          <w:szCs w:val="20"/>
          <w:highlight w:val="none"/>
        </w:rPr>
      </w:pPr>
    </w:p>
    <w:p w14:paraId="56324A32">
      <w:pPr>
        <w:snapToGrid w:val="0"/>
        <w:spacing w:beforeLines="50" w:after="50"/>
        <w:ind w:firstLine="482"/>
        <w:jc w:val="center"/>
        <w:rPr>
          <w:rFonts w:ascii="宋体" w:hAnsi="宋体" w:cs="宋体"/>
          <w:b/>
          <w:sz w:val="32"/>
          <w:szCs w:val="32"/>
          <w:highlight w:val="none"/>
        </w:rPr>
      </w:pPr>
    </w:p>
    <w:p w14:paraId="0B66F2BD">
      <w:pPr>
        <w:snapToGrid w:val="0"/>
        <w:spacing w:beforeLines="50" w:after="50"/>
        <w:ind w:firstLine="482"/>
        <w:jc w:val="center"/>
        <w:rPr>
          <w:rFonts w:ascii="宋体" w:hAnsi="宋体" w:cs="宋体"/>
          <w:b/>
          <w:sz w:val="24"/>
          <w:szCs w:val="20"/>
          <w:highlight w:val="none"/>
        </w:rPr>
      </w:pPr>
      <w:r>
        <w:rPr>
          <w:rFonts w:hint="eastAsia" w:ascii="宋体" w:hAnsi="宋体" w:cs="宋体"/>
          <w:b/>
          <w:sz w:val="32"/>
          <w:szCs w:val="32"/>
          <w:highlight w:val="none"/>
        </w:rPr>
        <w:t>商务文件</w:t>
      </w:r>
    </w:p>
    <w:p w14:paraId="60609D86">
      <w:pPr>
        <w:snapToGrid w:val="0"/>
        <w:spacing w:beforeLines="50" w:after="50"/>
        <w:ind w:firstLine="360"/>
        <w:rPr>
          <w:rFonts w:ascii="宋体" w:hAnsi="宋体" w:cs="宋体"/>
          <w:bCs/>
          <w:sz w:val="24"/>
          <w:szCs w:val="20"/>
          <w:highlight w:val="none"/>
        </w:rPr>
      </w:pPr>
    </w:p>
    <w:p w14:paraId="0A45D34E">
      <w:pPr>
        <w:snapToGrid w:val="0"/>
        <w:spacing w:beforeLines="50" w:after="50"/>
        <w:ind w:firstLine="540" w:firstLineChars="225"/>
        <w:rPr>
          <w:rFonts w:ascii="宋体" w:hAnsi="宋体" w:cs="宋体"/>
          <w:bCs/>
          <w:sz w:val="24"/>
          <w:highlight w:val="none"/>
        </w:rPr>
      </w:pPr>
    </w:p>
    <w:p w14:paraId="41F25712">
      <w:pPr>
        <w:snapToGrid w:val="0"/>
        <w:spacing w:beforeLines="50" w:after="50"/>
        <w:ind w:firstLine="540" w:firstLineChars="225"/>
        <w:rPr>
          <w:rFonts w:ascii="宋体" w:hAnsi="宋体" w:cs="宋体"/>
          <w:bCs/>
          <w:sz w:val="24"/>
          <w:highlight w:val="none"/>
        </w:rPr>
      </w:pPr>
    </w:p>
    <w:p w14:paraId="16BD37AC">
      <w:pPr>
        <w:snapToGrid w:val="0"/>
        <w:spacing w:beforeLines="50" w:after="50"/>
        <w:ind w:firstLine="540" w:firstLineChars="225"/>
        <w:rPr>
          <w:rFonts w:ascii="宋体" w:hAnsi="宋体" w:cs="宋体"/>
          <w:bCs/>
          <w:sz w:val="24"/>
          <w:highlight w:val="none"/>
        </w:rPr>
      </w:pPr>
      <w:r>
        <w:rPr>
          <w:rFonts w:hint="eastAsia" w:ascii="宋体" w:hAnsi="宋体" w:cs="宋体"/>
          <w:bCs/>
          <w:sz w:val="24"/>
          <w:highlight w:val="none"/>
        </w:rPr>
        <w:t>项目名称：</w:t>
      </w:r>
    </w:p>
    <w:p w14:paraId="68A78CDC">
      <w:pPr>
        <w:snapToGrid w:val="0"/>
        <w:spacing w:beforeLines="50" w:after="50"/>
        <w:ind w:firstLine="540" w:firstLineChars="225"/>
        <w:rPr>
          <w:rFonts w:ascii="宋体" w:hAnsi="宋体" w:cs="宋体"/>
          <w:bCs/>
          <w:sz w:val="24"/>
          <w:szCs w:val="20"/>
          <w:highlight w:val="none"/>
        </w:rPr>
      </w:pPr>
    </w:p>
    <w:p w14:paraId="008C91A3">
      <w:pPr>
        <w:snapToGrid w:val="0"/>
        <w:spacing w:beforeLines="50" w:after="50"/>
        <w:ind w:firstLine="540" w:firstLineChars="225"/>
        <w:rPr>
          <w:rFonts w:ascii="宋体" w:hAnsi="宋体" w:cs="宋体"/>
          <w:bCs/>
          <w:sz w:val="24"/>
          <w:highlight w:val="none"/>
        </w:rPr>
      </w:pPr>
      <w:r>
        <w:rPr>
          <w:rFonts w:hint="eastAsia" w:ascii="宋体" w:hAnsi="宋体" w:cs="宋体"/>
          <w:bCs/>
          <w:sz w:val="24"/>
          <w:highlight w:val="none"/>
        </w:rPr>
        <w:t>项目编号：</w:t>
      </w:r>
    </w:p>
    <w:p w14:paraId="610BB542">
      <w:pPr>
        <w:snapToGrid w:val="0"/>
        <w:spacing w:beforeLines="50" w:after="50"/>
        <w:ind w:firstLine="540" w:firstLineChars="225"/>
        <w:rPr>
          <w:rFonts w:ascii="宋体" w:hAnsi="宋体" w:cs="宋体"/>
          <w:bCs/>
          <w:sz w:val="24"/>
          <w:szCs w:val="20"/>
          <w:highlight w:val="none"/>
        </w:rPr>
      </w:pPr>
    </w:p>
    <w:p w14:paraId="4EA7D722">
      <w:pPr>
        <w:snapToGrid w:val="0"/>
        <w:spacing w:beforeLines="50" w:after="50"/>
        <w:ind w:firstLine="540" w:firstLineChars="225"/>
        <w:rPr>
          <w:rFonts w:ascii="宋体" w:hAnsi="宋体" w:cs="宋体"/>
          <w:bCs/>
          <w:sz w:val="24"/>
          <w:highlight w:val="none"/>
        </w:rPr>
      </w:pPr>
      <w:r>
        <w:rPr>
          <w:rFonts w:hint="eastAsia" w:ascii="宋体" w:hAnsi="宋体" w:cs="宋体"/>
          <w:bCs/>
          <w:sz w:val="24"/>
          <w:highlight w:val="none"/>
        </w:rPr>
        <w:t>所投分标（如有则填写，无分标时填写“无”或者留空）：</w:t>
      </w:r>
    </w:p>
    <w:p w14:paraId="62E0EE64">
      <w:pPr>
        <w:snapToGrid w:val="0"/>
        <w:spacing w:beforeLines="50" w:after="50"/>
        <w:ind w:firstLine="540" w:firstLineChars="225"/>
        <w:rPr>
          <w:rFonts w:ascii="宋体" w:hAnsi="宋体" w:cs="宋体"/>
          <w:bCs/>
          <w:sz w:val="24"/>
          <w:szCs w:val="20"/>
          <w:highlight w:val="none"/>
        </w:rPr>
      </w:pPr>
    </w:p>
    <w:p w14:paraId="74BADC17">
      <w:pPr>
        <w:snapToGrid w:val="0"/>
        <w:spacing w:before="50" w:after="50"/>
        <w:ind w:firstLine="540" w:firstLineChars="225"/>
        <w:rPr>
          <w:rFonts w:ascii="宋体" w:hAnsi="宋体" w:cs="宋体"/>
          <w:bCs/>
          <w:sz w:val="24"/>
          <w:highlight w:val="none"/>
        </w:rPr>
      </w:pPr>
      <w:r>
        <w:rPr>
          <w:rFonts w:hint="eastAsia" w:ascii="宋体" w:hAnsi="宋体" w:cs="宋体"/>
          <w:bCs/>
          <w:sz w:val="24"/>
          <w:highlight w:val="none"/>
        </w:rPr>
        <w:t>投标人名称：</w:t>
      </w:r>
    </w:p>
    <w:p w14:paraId="7D916C7B">
      <w:pPr>
        <w:snapToGrid w:val="0"/>
        <w:spacing w:before="50" w:after="50"/>
        <w:ind w:firstLine="540" w:firstLineChars="225"/>
        <w:rPr>
          <w:rFonts w:ascii="宋体" w:hAnsi="宋体" w:cs="宋体"/>
          <w:bCs/>
          <w:sz w:val="24"/>
          <w:highlight w:val="none"/>
        </w:rPr>
      </w:pPr>
    </w:p>
    <w:p w14:paraId="759DA3F3">
      <w:pPr>
        <w:snapToGrid w:val="0"/>
        <w:spacing w:before="50" w:after="50"/>
        <w:ind w:firstLine="540" w:firstLineChars="225"/>
        <w:rPr>
          <w:rFonts w:ascii="宋体" w:hAnsi="宋体" w:cs="宋体"/>
          <w:bCs/>
          <w:sz w:val="24"/>
          <w:highlight w:val="none"/>
        </w:rPr>
      </w:pPr>
      <w:r>
        <w:rPr>
          <w:rFonts w:hint="eastAsia" w:ascii="宋体" w:hAnsi="宋体" w:cs="宋体"/>
          <w:bCs/>
          <w:sz w:val="24"/>
          <w:highlight w:val="none"/>
        </w:rPr>
        <w:t>投标人地址：</w:t>
      </w:r>
    </w:p>
    <w:p w14:paraId="3DC522CD">
      <w:pPr>
        <w:snapToGrid w:val="0"/>
        <w:spacing w:before="50" w:after="50"/>
        <w:ind w:firstLine="960" w:firstLineChars="400"/>
        <w:rPr>
          <w:rFonts w:ascii="宋体" w:hAnsi="宋体" w:cs="宋体"/>
          <w:bCs/>
          <w:sz w:val="24"/>
          <w:highlight w:val="none"/>
        </w:rPr>
      </w:pPr>
    </w:p>
    <w:p w14:paraId="2137C059">
      <w:pPr>
        <w:snapToGrid w:val="0"/>
        <w:spacing w:beforeLines="50" w:after="50"/>
        <w:ind w:firstLine="360"/>
        <w:rPr>
          <w:rFonts w:ascii="宋体" w:hAnsi="宋体" w:cs="宋体"/>
          <w:sz w:val="24"/>
          <w:highlight w:val="none"/>
        </w:rPr>
      </w:pPr>
    </w:p>
    <w:p w14:paraId="0F39DC18">
      <w:pPr>
        <w:snapToGrid w:val="0"/>
        <w:spacing w:beforeLines="50" w:after="50"/>
        <w:ind w:firstLine="360"/>
        <w:rPr>
          <w:rFonts w:ascii="宋体" w:hAnsi="宋体" w:cs="宋体"/>
          <w:sz w:val="24"/>
          <w:highlight w:val="none"/>
        </w:rPr>
      </w:pPr>
    </w:p>
    <w:p w14:paraId="3A7242FD">
      <w:pPr>
        <w:snapToGrid w:val="0"/>
        <w:spacing w:beforeLines="50" w:after="50"/>
        <w:ind w:firstLine="4329" w:firstLineChars="1804"/>
        <w:rPr>
          <w:rFonts w:ascii="宋体" w:hAnsi="宋体" w:cs="宋体"/>
          <w:sz w:val="24"/>
          <w:highlight w:val="none"/>
        </w:rPr>
      </w:pPr>
      <w:r>
        <w:rPr>
          <w:rFonts w:hint="eastAsia" w:ascii="宋体" w:hAnsi="宋体" w:cs="宋体"/>
          <w:sz w:val="24"/>
          <w:highlight w:val="none"/>
        </w:rPr>
        <w:t>年   月   日</w:t>
      </w:r>
    </w:p>
    <w:p w14:paraId="5528CAC4">
      <w:pPr>
        <w:spacing w:line="360" w:lineRule="auto"/>
        <w:ind w:right="420" w:firstLine="360"/>
        <w:rPr>
          <w:rFonts w:ascii="宋体" w:hAnsi="宋体" w:cs="宋体"/>
          <w:sz w:val="24"/>
          <w:szCs w:val="20"/>
          <w:highlight w:val="none"/>
        </w:rPr>
      </w:pPr>
    </w:p>
    <w:p w14:paraId="7DD93308">
      <w:pPr>
        <w:spacing w:line="360" w:lineRule="auto"/>
        <w:ind w:right="420" w:firstLine="422"/>
        <w:rPr>
          <w:rFonts w:ascii="宋体" w:hAnsi="宋体" w:cs="宋体"/>
          <w:sz w:val="24"/>
          <w:szCs w:val="20"/>
          <w:highlight w:val="none"/>
        </w:rPr>
      </w:pPr>
      <w:r>
        <w:rPr>
          <w:rFonts w:hint="eastAsia" w:ascii="宋体" w:hAnsi="宋体" w:cs="宋体"/>
          <w:b/>
          <w:bCs/>
          <w:sz w:val="28"/>
          <w:szCs w:val="28"/>
          <w:highlight w:val="none"/>
        </w:rPr>
        <w:br w:type="page"/>
      </w:r>
      <w:r>
        <w:rPr>
          <w:rFonts w:hint="eastAsia" w:ascii="宋体" w:hAnsi="宋体" w:cs="宋体"/>
          <w:b/>
          <w:bCs/>
          <w:sz w:val="28"/>
          <w:szCs w:val="28"/>
          <w:highlight w:val="none"/>
        </w:rPr>
        <w:t>2.商务文件目录</w:t>
      </w:r>
    </w:p>
    <w:p w14:paraId="6DF6AC8A">
      <w:pPr>
        <w:spacing w:line="360" w:lineRule="auto"/>
        <w:ind w:right="420" w:firstLine="360"/>
        <w:rPr>
          <w:rFonts w:ascii="宋体" w:hAnsi="宋体" w:cs="宋体"/>
          <w:b/>
          <w:kern w:val="0"/>
          <w:sz w:val="36"/>
          <w:szCs w:val="36"/>
          <w:highlight w:val="none"/>
        </w:rPr>
      </w:pPr>
      <w:r>
        <w:rPr>
          <w:rFonts w:hint="eastAsia" w:ascii="宋体" w:hAnsi="宋体" w:cs="宋体"/>
          <w:kern w:val="0"/>
          <w:sz w:val="24"/>
          <w:highlight w:val="none"/>
        </w:rPr>
        <w:t>根据招标文件规定及投标人提供的材料自行编写目录（部分格式后附）。</w:t>
      </w:r>
    </w:p>
    <w:p w14:paraId="53CBA567">
      <w:pPr>
        <w:ind w:firstLine="361"/>
        <w:rPr>
          <w:rFonts w:ascii="宋体" w:hAnsi="宋体" w:cs="宋体"/>
          <w:b/>
          <w:kern w:val="0"/>
          <w:sz w:val="24"/>
          <w:highlight w:val="none"/>
        </w:rPr>
      </w:pPr>
    </w:p>
    <w:p w14:paraId="0D5BBD70">
      <w:pPr>
        <w:spacing w:line="360" w:lineRule="auto"/>
        <w:ind w:firstLine="361"/>
        <w:rPr>
          <w:rFonts w:ascii="宋体" w:hAnsi="宋体" w:cs="宋体"/>
          <w:b/>
          <w:bCs/>
          <w:sz w:val="24"/>
          <w:highlight w:val="none"/>
        </w:rPr>
      </w:pPr>
    </w:p>
    <w:p w14:paraId="40EB65CC">
      <w:pPr>
        <w:snapToGrid w:val="0"/>
        <w:spacing w:beforeLines="50" w:after="50"/>
        <w:ind w:firstLine="422"/>
        <w:rPr>
          <w:rFonts w:ascii="宋体" w:hAnsi="宋体" w:cs="宋体"/>
          <w:b/>
          <w:bCs/>
          <w:sz w:val="28"/>
          <w:szCs w:val="28"/>
          <w:highlight w:val="none"/>
        </w:rPr>
      </w:pPr>
      <w:r>
        <w:rPr>
          <w:rFonts w:hint="eastAsia" w:ascii="宋体" w:hAnsi="宋体" w:cs="宋体"/>
          <w:b/>
          <w:bCs/>
          <w:sz w:val="28"/>
          <w:szCs w:val="28"/>
          <w:highlight w:val="none"/>
        </w:rPr>
        <w:br w:type="page"/>
      </w:r>
      <w:r>
        <w:rPr>
          <w:rFonts w:hint="eastAsia" w:ascii="宋体" w:hAnsi="宋体" w:cs="宋体"/>
          <w:b/>
          <w:bCs/>
          <w:sz w:val="28"/>
          <w:szCs w:val="28"/>
          <w:highlight w:val="none"/>
        </w:rPr>
        <w:t>3.无串通投标行为的承诺函的格式：</w:t>
      </w:r>
    </w:p>
    <w:p w14:paraId="00B256DB">
      <w:pPr>
        <w:snapToGrid w:val="0"/>
        <w:spacing w:beforeLines="50" w:after="50"/>
        <w:ind w:left="420" w:firstLine="422"/>
        <w:jc w:val="center"/>
        <w:rPr>
          <w:rFonts w:ascii="宋体" w:hAnsi="宋体" w:cs="宋体"/>
          <w:b/>
          <w:sz w:val="28"/>
          <w:szCs w:val="28"/>
          <w:highlight w:val="none"/>
        </w:rPr>
      </w:pPr>
    </w:p>
    <w:p w14:paraId="12189B00">
      <w:pPr>
        <w:snapToGrid w:val="0"/>
        <w:spacing w:beforeLines="50" w:after="50"/>
        <w:ind w:left="420" w:firstLine="422"/>
        <w:jc w:val="center"/>
        <w:rPr>
          <w:rFonts w:ascii="宋体" w:hAnsi="宋体" w:cs="宋体"/>
          <w:b/>
          <w:sz w:val="28"/>
          <w:szCs w:val="28"/>
          <w:highlight w:val="none"/>
        </w:rPr>
      </w:pPr>
      <w:r>
        <w:rPr>
          <w:rFonts w:hint="eastAsia" w:ascii="宋体" w:hAnsi="宋体" w:cs="宋体"/>
          <w:b/>
          <w:sz w:val="28"/>
          <w:szCs w:val="28"/>
          <w:highlight w:val="none"/>
        </w:rPr>
        <w:t>参加本项目无</w:t>
      </w:r>
      <w:r>
        <w:rPr>
          <w:rFonts w:hint="eastAsia" w:ascii="宋体" w:hAnsi="宋体" w:cs="宋体"/>
          <w:b/>
          <w:bCs/>
          <w:sz w:val="28"/>
          <w:szCs w:val="28"/>
          <w:highlight w:val="none"/>
        </w:rPr>
        <w:t>串通投标</w:t>
      </w:r>
      <w:r>
        <w:rPr>
          <w:rFonts w:hint="eastAsia" w:ascii="宋体" w:hAnsi="宋体" w:cs="宋体"/>
          <w:b/>
          <w:sz w:val="28"/>
          <w:szCs w:val="28"/>
          <w:highlight w:val="none"/>
        </w:rPr>
        <w:t>行为的承诺函</w:t>
      </w:r>
    </w:p>
    <w:p w14:paraId="5BF01A37">
      <w:pPr>
        <w:snapToGrid w:val="0"/>
        <w:spacing w:beforeLines="50" w:after="50"/>
        <w:ind w:firstLine="316"/>
        <w:rPr>
          <w:rFonts w:ascii="宋体" w:hAnsi="宋体" w:cs="宋体"/>
          <w:b/>
          <w:szCs w:val="21"/>
          <w:highlight w:val="none"/>
        </w:rPr>
      </w:pPr>
    </w:p>
    <w:p w14:paraId="2F48F4B6">
      <w:pPr>
        <w:snapToGrid w:val="0"/>
        <w:spacing w:beforeLines="50" w:after="50" w:line="360" w:lineRule="auto"/>
        <w:ind w:firstLine="316"/>
        <w:jc w:val="left"/>
        <w:rPr>
          <w:rFonts w:ascii="宋体" w:hAnsi="宋体" w:cs="宋体"/>
          <w:b/>
          <w:szCs w:val="21"/>
          <w:highlight w:val="none"/>
        </w:rPr>
      </w:pPr>
      <w:r>
        <w:rPr>
          <w:rFonts w:hint="eastAsia" w:ascii="宋体" w:hAnsi="宋体" w:cs="宋体"/>
          <w:b/>
          <w:szCs w:val="21"/>
          <w:highlight w:val="none"/>
        </w:rPr>
        <w:t>一、我方承诺无下列相互串通投标的情形：</w:t>
      </w:r>
    </w:p>
    <w:p w14:paraId="75575583">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1.不同投标人的投标文件由同一单位或者个人编制；或不同投标人报名的IP地址一致的。</w:t>
      </w:r>
    </w:p>
    <w:p w14:paraId="1FD1E5EB">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2.不同投标人委托同一单位或者个人办理投标事宜。</w:t>
      </w:r>
    </w:p>
    <w:p w14:paraId="34BCB3D4">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3.不同的投标人的投标文件载明的项目管理员为同一个人。</w:t>
      </w:r>
    </w:p>
    <w:p w14:paraId="468F436D">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4.不同投标人的投标文件异常一致或者投标报价呈规律性差异。</w:t>
      </w:r>
    </w:p>
    <w:p w14:paraId="5BA2A123">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5.不同投标人的投标文件相互混装。</w:t>
      </w:r>
    </w:p>
    <w:p w14:paraId="0215B0E6">
      <w:pPr>
        <w:snapToGrid w:val="0"/>
        <w:spacing w:beforeLines="50" w:after="50" w:line="360" w:lineRule="auto"/>
        <w:ind w:firstLine="411" w:firstLineChars="196"/>
        <w:jc w:val="left"/>
        <w:rPr>
          <w:rFonts w:ascii="宋体" w:hAnsi="宋体" w:cs="宋体"/>
          <w:szCs w:val="21"/>
          <w:highlight w:val="none"/>
        </w:rPr>
      </w:pPr>
      <w:r>
        <w:rPr>
          <w:rFonts w:ascii="宋体" w:hAnsi="宋体" w:cs="宋体"/>
          <w:szCs w:val="21"/>
          <w:highlight w:val="none"/>
        </w:rPr>
        <w:t>6</w:t>
      </w:r>
      <w:r>
        <w:rPr>
          <w:rFonts w:hint="eastAsia" w:ascii="宋体" w:hAnsi="宋体" w:cs="宋体"/>
          <w:szCs w:val="21"/>
          <w:highlight w:val="none"/>
        </w:rPr>
        <w:t>.不同投标人的投标保证金从同一单位或者个人账户转出。</w:t>
      </w:r>
    </w:p>
    <w:p w14:paraId="04B2EB4C">
      <w:pPr>
        <w:snapToGrid w:val="0"/>
        <w:spacing w:beforeLines="50" w:after="50" w:line="360" w:lineRule="auto"/>
        <w:ind w:firstLine="316"/>
        <w:jc w:val="left"/>
        <w:rPr>
          <w:rFonts w:ascii="宋体" w:hAnsi="宋体" w:cs="宋体"/>
          <w:szCs w:val="21"/>
          <w:highlight w:val="none"/>
        </w:rPr>
      </w:pPr>
      <w:r>
        <w:rPr>
          <w:rFonts w:hint="eastAsia" w:ascii="宋体" w:hAnsi="宋体" w:cs="宋体"/>
          <w:b/>
          <w:szCs w:val="21"/>
          <w:highlight w:val="none"/>
        </w:rPr>
        <w:t>二、我方承诺无下列恶意串通的情形：</w:t>
      </w:r>
    </w:p>
    <w:p w14:paraId="7B6027E6">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1.投标人直接或者间接从采购人或者采购代理机构处获得其他投标人的相关信息并修改其投标文件。</w:t>
      </w:r>
    </w:p>
    <w:p w14:paraId="3E23A20D">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2.投标人按照采购人或者采购代理机构的授意撤换、修改投标文件。</w:t>
      </w:r>
    </w:p>
    <w:p w14:paraId="609E0165">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3.投标人之间协商报价、技术方案等投标文件的实质性内容。</w:t>
      </w:r>
    </w:p>
    <w:p w14:paraId="5B1FDFFF">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4.属于同一集团、协会、商会等组织成员的投标人按照该组织要求协同参加政府采购活动。</w:t>
      </w:r>
    </w:p>
    <w:p w14:paraId="42B321D8">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5.投标人之间事先约定一致抬高或者压低投标报价，或者在招标项目中事先约定轮流以高价位或者低价位中标，或者事先约定由某一特定投标人中标，然后再参加投标。</w:t>
      </w:r>
    </w:p>
    <w:p w14:paraId="4E6C9251">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6.投标人之间商定部分投标人放弃参加政府采购活动或者放弃中标。</w:t>
      </w:r>
    </w:p>
    <w:p w14:paraId="2FF78A79">
      <w:pPr>
        <w:snapToGrid w:val="0"/>
        <w:spacing w:beforeLines="50" w:after="50" w:line="360" w:lineRule="auto"/>
        <w:ind w:firstLine="411" w:firstLineChars="196"/>
        <w:jc w:val="left"/>
        <w:rPr>
          <w:rFonts w:ascii="宋体" w:hAnsi="宋体" w:cs="宋体"/>
          <w:szCs w:val="21"/>
          <w:highlight w:val="none"/>
        </w:rPr>
      </w:pPr>
      <w:r>
        <w:rPr>
          <w:rFonts w:hint="eastAsia" w:ascii="宋体" w:hAnsi="宋体" w:cs="宋体"/>
          <w:szCs w:val="21"/>
          <w:highlight w:val="none"/>
        </w:rPr>
        <w:t>7.投标人与采购人或者采购代理机构之间、投标人相互之间，为谋求特定投标人中标或者排斥其他投标人的其他串通行为。</w:t>
      </w:r>
    </w:p>
    <w:p w14:paraId="29F3A830">
      <w:pPr>
        <w:snapToGrid w:val="0"/>
        <w:spacing w:beforeLines="50" w:after="50" w:line="360" w:lineRule="auto"/>
        <w:ind w:firstLine="413" w:firstLineChars="196"/>
        <w:jc w:val="left"/>
        <w:rPr>
          <w:rFonts w:ascii="宋体" w:hAnsi="宋体" w:cs="宋体"/>
          <w:b/>
          <w:szCs w:val="21"/>
          <w:highlight w:val="none"/>
        </w:rPr>
      </w:pPr>
      <w:r>
        <w:rPr>
          <w:rFonts w:hint="eastAsia" w:ascii="宋体" w:hAnsi="宋体" w:cs="宋体"/>
          <w:b/>
          <w:bCs/>
          <w:szCs w:val="21"/>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cs="宋体"/>
          <w:b/>
          <w:szCs w:val="21"/>
          <w:highlight w:val="none"/>
        </w:rPr>
        <w:t>。</w:t>
      </w:r>
    </w:p>
    <w:p w14:paraId="78F55F5F">
      <w:pPr>
        <w:snapToGrid w:val="0"/>
        <w:spacing w:line="360" w:lineRule="auto"/>
        <w:ind w:firstLine="5640" w:firstLineChars="2350"/>
        <w:rPr>
          <w:rFonts w:ascii="宋体" w:hAnsi="宋体" w:cs="宋体"/>
          <w:kern w:val="0"/>
          <w:sz w:val="24"/>
          <w:highlight w:val="none"/>
        </w:rPr>
      </w:pPr>
      <w:r>
        <w:rPr>
          <w:rFonts w:hint="eastAsia" w:ascii="宋体" w:hAnsi="宋体" w:cs="宋体"/>
          <w:kern w:val="0"/>
          <w:sz w:val="24"/>
          <w:highlight w:val="none"/>
          <w:lang w:val="zh-CN"/>
        </w:rPr>
        <w:t>投标人名称(盖公章)：</w:t>
      </w:r>
    </w:p>
    <w:p w14:paraId="4399F6E6">
      <w:pPr>
        <w:snapToGrid w:val="0"/>
        <w:spacing w:line="360" w:lineRule="auto"/>
        <w:ind w:firstLine="6360" w:firstLineChars="2650"/>
        <w:rPr>
          <w:rFonts w:ascii="宋体" w:hAnsi="宋体" w:cs="宋体"/>
          <w:kern w:val="0"/>
          <w:sz w:val="24"/>
          <w:highlight w:val="none"/>
          <w:lang w:val="zh-CN"/>
        </w:rPr>
      </w:pPr>
      <w:r>
        <w:rPr>
          <w:rFonts w:hint="eastAsia" w:ascii="宋体" w:hAnsi="宋体" w:cs="宋体"/>
          <w:kern w:val="0"/>
          <w:sz w:val="24"/>
          <w:highlight w:val="none"/>
          <w:lang w:val="zh-CN"/>
        </w:rPr>
        <w:t>日期</w:t>
      </w:r>
      <w:r>
        <w:rPr>
          <w:rFonts w:hint="eastAsia" w:ascii="宋体" w:hAnsi="宋体" w:cs="宋体"/>
          <w:kern w:val="0"/>
          <w:sz w:val="24"/>
          <w:highlight w:val="none"/>
        </w:rPr>
        <w:t>：  年  月  日</w:t>
      </w:r>
    </w:p>
    <w:p w14:paraId="173104DD">
      <w:pPr>
        <w:snapToGrid w:val="0"/>
        <w:spacing w:before="295" w:after="295" w:line="360" w:lineRule="auto"/>
        <w:ind w:firstLine="361"/>
        <w:rPr>
          <w:rFonts w:ascii="宋体" w:hAnsi="宋体" w:cs="宋体"/>
          <w:b/>
          <w:sz w:val="24"/>
          <w:szCs w:val="20"/>
          <w:highlight w:val="none"/>
        </w:rPr>
      </w:pPr>
      <w:r>
        <w:rPr>
          <w:rFonts w:hint="eastAsia" w:ascii="宋体" w:hAnsi="宋体" w:cs="宋体"/>
          <w:b/>
          <w:sz w:val="24"/>
          <w:szCs w:val="20"/>
          <w:highlight w:val="none"/>
        </w:rPr>
        <w:br w:type="page"/>
      </w:r>
      <w:r>
        <w:rPr>
          <w:rFonts w:hint="eastAsia" w:ascii="宋体" w:hAnsi="宋体" w:cs="宋体"/>
          <w:b/>
          <w:bCs/>
          <w:sz w:val="28"/>
          <w:szCs w:val="28"/>
          <w:highlight w:val="none"/>
        </w:rPr>
        <w:t>4.法定代表人身份证明的格式：</w:t>
      </w:r>
    </w:p>
    <w:p w14:paraId="1F7EF493">
      <w:pPr>
        <w:spacing w:beforeLines="100" w:afterLines="50"/>
        <w:ind w:left="540" w:firstLine="482"/>
        <w:jc w:val="center"/>
        <w:rPr>
          <w:rFonts w:ascii="宋体" w:hAnsi="宋体" w:cs="宋体"/>
          <w:b/>
          <w:sz w:val="32"/>
          <w:szCs w:val="32"/>
          <w:highlight w:val="none"/>
        </w:rPr>
      </w:pPr>
    </w:p>
    <w:p w14:paraId="6A6E3BCC">
      <w:pPr>
        <w:adjustRightInd w:val="0"/>
        <w:spacing w:beforeLines="100" w:afterLines="50"/>
        <w:ind w:left="539"/>
        <w:jc w:val="center"/>
        <w:rPr>
          <w:rFonts w:ascii="宋体" w:hAnsi="宋体" w:cs="宋体"/>
          <w:sz w:val="32"/>
          <w:szCs w:val="32"/>
          <w:highlight w:val="none"/>
        </w:rPr>
      </w:pPr>
      <w:r>
        <w:rPr>
          <w:rFonts w:hint="eastAsia" w:ascii="宋体" w:hAnsi="宋体" w:cs="宋体"/>
          <w:b/>
          <w:sz w:val="32"/>
          <w:szCs w:val="32"/>
          <w:highlight w:val="none"/>
        </w:rPr>
        <w:t>法定代表人身份证明</w:t>
      </w:r>
    </w:p>
    <w:p w14:paraId="4D7FAC22">
      <w:pPr>
        <w:adjustRightInd w:val="0"/>
        <w:spacing w:line="500" w:lineRule="exact"/>
        <w:ind w:left="539"/>
        <w:rPr>
          <w:rFonts w:ascii="宋体" w:hAnsi="宋体" w:cs="宋体"/>
          <w:sz w:val="24"/>
          <w:highlight w:val="none"/>
        </w:rPr>
      </w:pPr>
      <w:r>
        <w:rPr>
          <w:rFonts w:hint="eastAsia" w:ascii="宋体" w:hAnsi="宋体" w:cs="宋体"/>
          <w:sz w:val="24"/>
          <w:highlight w:val="none"/>
        </w:rPr>
        <w:t>投 标 人：</w:t>
      </w:r>
      <w:r>
        <w:rPr>
          <w:rFonts w:hint="eastAsia" w:ascii="宋体" w:hAnsi="宋体" w:cs="宋体"/>
          <w:sz w:val="24"/>
          <w:highlight w:val="none"/>
          <w:u w:val="single"/>
        </w:rPr>
        <w:t xml:space="preserve">                                                        </w:t>
      </w:r>
    </w:p>
    <w:p w14:paraId="0937AC1D">
      <w:pPr>
        <w:adjustRightInd w:val="0"/>
        <w:spacing w:line="500" w:lineRule="exact"/>
        <w:ind w:left="539"/>
        <w:rPr>
          <w:rFonts w:ascii="宋体" w:hAnsi="宋体" w:cs="宋体"/>
          <w:sz w:val="24"/>
          <w:highlight w:val="none"/>
        </w:rPr>
      </w:pPr>
      <w:r>
        <w:rPr>
          <w:rFonts w:hint="eastAsia" w:ascii="宋体" w:hAnsi="宋体" w:cs="宋体"/>
          <w:sz w:val="24"/>
          <w:highlight w:val="none"/>
        </w:rPr>
        <w:t>地    址：</w:t>
      </w:r>
      <w:r>
        <w:rPr>
          <w:rFonts w:hint="eastAsia" w:ascii="宋体" w:hAnsi="宋体" w:cs="宋体"/>
          <w:sz w:val="24"/>
          <w:highlight w:val="none"/>
          <w:u w:val="single"/>
        </w:rPr>
        <w:t xml:space="preserve">                                                        </w:t>
      </w:r>
    </w:p>
    <w:p w14:paraId="4E1C3546">
      <w:pPr>
        <w:adjustRightInd w:val="0"/>
        <w:spacing w:line="500" w:lineRule="exact"/>
        <w:ind w:left="539"/>
        <w:rPr>
          <w:rFonts w:ascii="宋体" w:hAnsi="宋体" w:cs="宋体"/>
          <w:sz w:val="24"/>
          <w:highlight w:val="none"/>
        </w:rPr>
      </w:pPr>
      <w:r>
        <w:rPr>
          <w:rFonts w:hint="eastAsia" w:ascii="宋体" w:hAnsi="宋体" w:cs="宋体"/>
          <w:sz w:val="24"/>
          <w:highlight w:val="none"/>
        </w:rPr>
        <w:t>姓    名：</w:t>
      </w:r>
      <w:r>
        <w:rPr>
          <w:rFonts w:hint="eastAsia" w:ascii="宋体" w:hAnsi="宋体" w:cs="宋体"/>
          <w:sz w:val="24"/>
          <w:highlight w:val="none"/>
          <w:u w:val="single"/>
        </w:rPr>
        <w:t xml:space="preserve">                          </w:t>
      </w:r>
      <w:r>
        <w:rPr>
          <w:rFonts w:hint="eastAsia" w:ascii="宋体" w:hAnsi="宋体" w:cs="宋体"/>
          <w:sz w:val="24"/>
          <w:highlight w:val="none"/>
        </w:rPr>
        <w:t>性      别：</w:t>
      </w:r>
      <w:r>
        <w:rPr>
          <w:rFonts w:hint="eastAsia" w:ascii="宋体" w:hAnsi="宋体" w:cs="宋体"/>
          <w:sz w:val="24"/>
          <w:highlight w:val="none"/>
          <w:u w:val="single"/>
        </w:rPr>
        <w:t xml:space="preserve">                </w:t>
      </w:r>
    </w:p>
    <w:p w14:paraId="3243D5C1">
      <w:pPr>
        <w:adjustRightInd w:val="0"/>
        <w:spacing w:line="500" w:lineRule="exact"/>
        <w:ind w:left="539"/>
        <w:rPr>
          <w:rFonts w:ascii="宋体" w:hAnsi="宋体" w:cs="宋体"/>
          <w:sz w:val="24"/>
          <w:highlight w:val="none"/>
          <w:u w:val="single"/>
        </w:rPr>
      </w:pPr>
      <w:r>
        <w:rPr>
          <w:rFonts w:hint="eastAsia" w:ascii="宋体" w:hAnsi="宋体" w:cs="宋体"/>
          <w:sz w:val="24"/>
          <w:highlight w:val="none"/>
        </w:rPr>
        <w:t>年    龄：</w:t>
      </w:r>
      <w:r>
        <w:rPr>
          <w:rFonts w:hint="eastAsia" w:ascii="宋体" w:hAnsi="宋体" w:cs="宋体"/>
          <w:sz w:val="24"/>
          <w:highlight w:val="none"/>
          <w:u w:val="single"/>
        </w:rPr>
        <w:t xml:space="preserve">                          </w:t>
      </w:r>
      <w:r>
        <w:rPr>
          <w:rFonts w:hint="eastAsia" w:ascii="宋体" w:hAnsi="宋体" w:cs="宋体"/>
          <w:sz w:val="24"/>
          <w:highlight w:val="none"/>
        </w:rPr>
        <w:t>职      务：</w:t>
      </w:r>
      <w:r>
        <w:rPr>
          <w:rFonts w:hint="eastAsia" w:ascii="宋体" w:hAnsi="宋体" w:cs="宋体"/>
          <w:sz w:val="24"/>
          <w:highlight w:val="none"/>
          <w:u w:val="single"/>
        </w:rPr>
        <w:t xml:space="preserve">                </w:t>
      </w:r>
    </w:p>
    <w:p w14:paraId="51914273">
      <w:pPr>
        <w:adjustRightInd w:val="0"/>
        <w:spacing w:line="500" w:lineRule="exact"/>
        <w:ind w:left="539"/>
        <w:rPr>
          <w:rFonts w:ascii="宋体" w:hAnsi="宋体" w:cs="宋体"/>
          <w:sz w:val="24"/>
          <w:highlight w:val="none"/>
        </w:rPr>
      </w:pPr>
      <w:r>
        <w:rPr>
          <w:rFonts w:hint="eastAsia" w:ascii="宋体" w:hAnsi="宋体" w:cs="宋体"/>
          <w:sz w:val="24"/>
          <w:highlight w:val="none"/>
        </w:rPr>
        <w:t>身份证号码：</w:t>
      </w:r>
      <w:r>
        <w:rPr>
          <w:rFonts w:hint="eastAsia" w:ascii="宋体" w:hAnsi="宋体" w:cs="宋体"/>
          <w:sz w:val="24"/>
          <w:highlight w:val="none"/>
          <w:u w:val="single"/>
        </w:rPr>
        <w:t xml:space="preserve">                                 </w:t>
      </w:r>
    </w:p>
    <w:p w14:paraId="621AEC13">
      <w:pPr>
        <w:adjustRightInd w:val="0"/>
        <w:spacing w:line="500" w:lineRule="exact"/>
        <w:ind w:left="539"/>
        <w:rPr>
          <w:rFonts w:ascii="宋体" w:hAnsi="宋体" w:cs="宋体"/>
          <w:sz w:val="24"/>
          <w:highlight w:val="none"/>
        </w:rPr>
      </w:pPr>
      <w:r>
        <w:rPr>
          <w:rFonts w:hint="eastAsia" w:ascii="宋体" w:hAnsi="宋体" w:cs="宋体"/>
          <w:sz w:val="24"/>
          <w:highlight w:val="none"/>
        </w:rPr>
        <w:t>系</w:t>
      </w:r>
      <w:r>
        <w:rPr>
          <w:rFonts w:hint="eastAsia" w:ascii="宋体" w:hAnsi="宋体" w:cs="宋体"/>
          <w:sz w:val="24"/>
          <w:highlight w:val="none"/>
          <w:u w:val="single"/>
        </w:rPr>
        <w:t xml:space="preserve">            （投标人名称）              </w:t>
      </w:r>
      <w:r>
        <w:rPr>
          <w:rFonts w:hint="eastAsia" w:ascii="宋体" w:hAnsi="宋体" w:cs="宋体"/>
          <w:sz w:val="24"/>
          <w:highlight w:val="none"/>
        </w:rPr>
        <w:t>的法定代表人。</w:t>
      </w:r>
    </w:p>
    <w:p w14:paraId="574C16F8">
      <w:pPr>
        <w:adjustRightInd w:val="0"/>
        <w:spacing w:line="500" w:lineRule="exact"/>
        <w:ind w:left="539"/>
        <w:rPr>
          <w:rFonts w:ascii="宋体" w:hAnsi="宋体" w:cs="宋体"/>
          <w:sz w:val="24"/>
          <w:highlight w:val="none"/>
        </w:rPr>
      </w:pPr>
      <w:r>
        <w:rPr>
          <w:rFonts w:hint="eastAsia" w:ascii="宋体" w:hAnsi="宋体" w:cs="宋体"/>
          <w:sz w:val="24"/>
          <w:highlight w:val="none"/>
        </w:rPr>
        <w:t>特此证明。</w:t>
      </w:r>
    </w:p>
    <w:p w14:paraId="07BA3E33">
      <w:pPr>
        <w:adjustRightInd w:val="0"/>
        <w:spacing w:line="500" w:lineRule="exact"/>
        <w:ind w:left="539"/>
        <w:rPr>
          <w:rFonts w:ascii="宋体" w:hAnsi="宋体" w:cs="宋体"/>
          <w:sz w:val="24"/>
          <w:highlight w:val="none"/>
        </w:rPr>
      </w:pPr>
    </w:p>
    <w:p w14:paraId="00F7349B">
      <w:pPr>
        <w:adjustRightInd w:val="0"/>
        <w:spacing w:line="500" w:lineRule="exact"/>
        <w:ind w:left="539"/>
        <w:rPr>
          <w:rFonts w:ascii="宋体" w:hAnsi="宋体" w:cs="宋体"/>
          <w:sz w:val="24"/>
          <w:highlight w:val="none"/>
        </w:rPr>
      </w:pPr>
    </w:p>
    <w:p w14:paraId="19B2D6C5">
      <w:pPr>
        <w:adjustRightInd w:val="0"/>
        <w:spacing w:line="500" w:lineRule="exact"/>
        <w:ind w:left="539"/>
        <w:rPr>
          <w:rFonts w:ascii="宋体" w:hAnsi="宋体" w:cs="宋体"/>
          <w:sz w:val="24"/>
          <w:highlight w:val="none"/>
        </w:rPr>
      </w:pPr>
      <w:r>
        <w:rPr>
          <w:rFonts w:hint="eastAsia" w:ascii="宋体" w:hAnsi="宋体" w:cs="宋体"/>
          <w:sz w:val="24"/>
          <w:highlight w:val="none"/>
        </w:rPr>
        <w:t>附件：法定代表人有效身份证正反面复印件</w:t>
      </w:r>
    </w:p>
    <w:p w14:paraId="5942D903">
      <w:pPr>
        <w:spacing w:line="500" w:lineRule="exact"/>
        <w:ind w:left="540" w:firstLine="360"/>
        <w:rPr>
          <w:rFonts w:ascii="宋体" w:hAnsi="宋体" w:cs="宋体"/>
          <w:sz w:val="24"/>
          <w:highlight w:val="none"/>
        </w:rPr>
      </w:pPr>
    </w:p>
    <w:p w14:paraId="1713820C">
      <w:pPr>
        <w:snapToGrid w:val="0"/>
        <w:spacing w:line="360" w:lineRule="auto"/>
        <w:ind w:firstLine="4935" w:firstLineChars="2350"/>
        <w:rPr>
          <w:rFonts w:ascii="宋体" w:hAnsi="宋体" w:cs="宋体"/>
          <w:kern w:val="0"/>
          <w:sz w:val="24"/>
          <w:highlight w:val="none"/>
        </w:rPr>
      </w:pPr>
      <w:r>
        <w:rPr>
          <w:rFonts w:hint="eastAsia" w:ascii="宋体" w:hAnsi="宋体" w:cs="宋体"/>
          <w:szCs w:val="21"/>
          <w:highlight w:val="none"/>
        </w:rPr>
        <w:t xml:space="preserve">  </w:t>
      </w:r>
      <w:r>
        <w:rPr>
          <w:rFonts w:hint="eastAsia" w:ascii="宋体" w:hAnsi="宋体" w:cs="宋体"/>
          <w:kern w:val="0"/>
          <w:sz w:val="24"/>
          <w:highlight w:val="none"/>
          <w:lang w:val="zh-CN"/>
        </w:rPr>
        <w:t>投标人名称(盖公章)：</w:t>
      </w:r>
    </w:p>
    <w:p w14:paraId="6E985CC5">
      <w:pPr>
        <w:snapToGrid w:val="0"/>
        <w:spacing w:line="360" w:lineRule="auto"/>
        <w:ind w:firstLine="5160" w:firstLineChars="2150"/>
        <w:rPr>
          <w:rFonts w:ascii="宋体" w:hAnsi="宋体" w:cs="宋体"/>
          <w:kern w:val="0"/>
          <w:sz w:val="24"/>
          <w:highlight w:val="none"/>
          <w:lang w:val="zh-CN"/>
        </w:rPr>
      </w:pP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14:paraId="06BB7A89">
      <w:pPr>
        <w:snapToGrid w:val="0"/>
        <w:spacing w:beforeLines="50" w:after="50"/>
        <w:ind w:firstLine="361"/>
        <w:jc w:val="center"/>
        <w:rPr>
          <w:rFonts w:ascii="宋体" w:hAnsi="宋体" w:cs="宋体"/>
          <w:b/>
          <w:sz w:val="24"/>
          <w:highlight w:val="none"/>
        </w:rPr>
      </w:pPr>
    </w:p>
    <w:p w14:paraId="39B4FF20">
      <w:pPr>
        <w:snapToGrid w:val="0"/>
        <w:spacing w:beforeLines="50" w:after="50"/>
        <w:ind w:firstLine="600" w:firstLineChars="250"/>
        <w:jc w:val="left"/>
        <w:rPr>
          <w:rFonts w:ascii="宋体" w:hAnsi="宋体" w:cs="宋体"/>
          <w:sz w:val="24"/>
          <w:highlight w:val="none"/>
        </w:rPr>
      </w:pPr>
      <w:r>
        <w:rPr>
          <w:rFonts w:hint="eastAsia" w:ascii="宋体" w:hAnsi="宋体" w:cs="宋体"/>
          <w:sz w:val="24"/>
          <w:highlight w:val="none"/>
        </w:rPr>
        <w:t>注：自然人投标的无需提供</w:t>
      </w:r>
    </w:p>
    <w:p w14:paraId="10408894">
      <w:pPr>
        <w:snapToGrid w:val="0"/>
        <w:spacing w:beforeLines="50" w:after="50"/>
        <w:ind w:firstLine="600" w:firstLineChars="250"/>
        <w:jc w:val="left"/>
        <w:rPr>
          <w:rFonts w:ascii="宋体" w:hAnsi="宋体" w:cs="宋体"/>
          <w:sz w:val="24"/>
          <w:highlight w:val="none"/>
        </w:rPr>
      </w:pPr>
    </w:p>
    <w:p w14:paraId="7962977F">
      <w:pPr>
        <w:snapToGrid w:val="0"/>
        <w:spacing w:beforeLines="50" w:after="50"/>
        <w:ind w:firstLine="602" w:firstLineChars="250"/>
        <w:jc w:val="left"/>
        <w:rPr>
          <w:rFonts w:ascii="宋体" w:hAnsi="宋体" w:cs="宋体"/>
          <w:b/>
          <w:sz w:val="24"/>
          <w:szCs w:val="20"/>
          <w:highlight w:val="none"/>
        </w:rPr>
      </w:pPr>
    </w:p>
    <w:tbl>
      <w:tblPr>
        <w:tblStyle w:val="28"/>
        <w:tblpPr w:leftFromText="180" w:rightFromText="180" w:vertAnchor="text" w:horzAnchor="margin" w:tblpY="1169"/>
        <w:tblW w:w="9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8"/>
      </w:tblGrid>
      <w:tr w14:paraId="718C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9748" w:type="dxa"/>
            <w:tcBorders>
              <w:top w:val="single" w:color="auto" w:sz="4" w:space="0"/>
              <w:left w:val="single" w:color="auto" w:sz="4" w:space="0"/>
              <w:bottom w:val="single" w:color="auto" w:sz="4" w:space="0"/>
              <w:right w:val="single" w:color="auto" w:sz="4" w:space="0"/>
            </w:tcBorders>
            <w:noWrap/>
          </w:tcPr>
          <w:p w14:paraId="48A3614F">
            <w:pPr>
              <w:spacing w:line="360" w:lineRule="auto"/>
              <w:ind w:firstLine="361"/>
              <w:rPr>
                <w:rFonts w:ascii="宋体" w:hAnsi="宋体" w:cs="宋体"/>
                <w:b/>
                <w:sz w:val="24"/>
                <w:highlight w:val="none"/>
              </w:rPr>
            </w:pPr>
          </w:p>
          <w:p w14:paraId="52CB16FD">
            <w:pPr>
              <w:spacing w:line="360" w:lineRule="auto"/>
              <w:ind w:firstLine="361"/>
              <w:rPr>
                <w:rFonts w:ascii="宋体" w:hAnsi="宋体" w:cs="宋体"/>
                <w:b/>
                <w:sz w:val="24"/>
                <w:highlight w:val="none"/>
              </w:rPr>
            </w:pPr>
            <w:r>
              <w:rPr>
                <w:rFonts w:hint="eastAsia" w:ascii="宋体" w:hAnsi="宋体" w:cs="宋体"/>
                <w:b/>
                <w:sz w:val="24"/>
                <w:highlight w:val="none"/>
              </w:rPr>
              <w:t>法定代表人有效身份证复印件粘贴处（正、反面）</w:t>
            </w:r>
          </w:p>
        </w:tc>
      </w:tr>
    </w:tbl>
    <w:p w14:paraId="03FF831E">
      <w:pPr>
        <w:snapToGrid w:val="0"/>
        <w:spacing w:before="295" w:after="295" w:line="360" w:lineRule="auto"/>
        <w:ind w:firstLine="361"/>
        <w:jc w:val="left"/>
        <w:rPr>
          <w:rFonts w:ascii="宋体" w:hAnsi="宋体" w:cs="宋体"/>
          <w:b/>
          <w:sz w:val="24"/>
          <w:szCs w:val="20"/>
          <w:highlight w:val="none"/>
        </w:rPr>
      </w:pPr>
      <w:r>
        <w:rPr>
          <w:rFonts w:hint="eastAsia" w:ascii="宋体" w:hAnsi="宋体" w:cs="宋体"/>
          <w:b/>
          <w:sz w:val="24"/>
          <w:szCs w:val="20"/>
          <w:highlight w:val="none"/>
        </w:rPr>
        <w:t>附件：</w:t>
      </w:r>
      <w:r>
        <w:rPr>
          <w:rFonts w:hint="eastAsia" w:ascii="宋体" w:hAnsi="宋体" w:cs="宋体"/>
          <w:b/>
          <w:sz w:val="24"/>
          <w:szCs w:val="20"/>
          <w:highlight w:val="none"/>
        </w:rPr>
        <w:br w:type="page"/>
      </w:r>
      <w:r>
        <w:rPr>
          <w:rFonts w:hint="eastAsia" w:ascii="宋体" w:hAnsi="宋体" w:cs="宋体"/>
          <w:b/>
          <w:bCs/>
          <w:sz w:val="30"/>
          <w:szCs w:val="30"/>
          <w:highlight w:val="none"/>
        </w:rPr>
        <w:t>5.法定代表人授权委托书的格式：</w:t>
      </w:r>
    </w:p>
    <w:p w14:paraId="608E9A55">
      <w:pPr>
        <w:snapToGrid w:val="0"/>
        <w:spacing w:beforeLines="50" w:after="50"/>
        <w:ind w:firstLine="482"/>
        <w:jc w:val="center"/>
        <w:rPr>
          <w:rFonts w:ascii="宋体" w:hAnsi="宋体" w:cs="宋体"/>
          <w:b/>
          <w:sz w:val="32"/>
          <w:szCs w:val="32"/>
          <w:highlight w:val="none"/>
        </w:rPr>
      </w:pPr>
      <w:r>
        <w:rPr>
          <w:rFonts w:hint="eastAsia" w:ascii="宋体" w:hAnsi="宋体" w:cs="宋体"/>
          <w:b/>
          <w:sz w:val="32"/>
          <w:szCs w:val="32"/>
          <w:highlight w:val="none"/>
        </w:rPr>
        <w:t>法定代表人授权委托书</w:t>
      </w:r>
      <w:r>
        <w:rPr>
          <w:rFonts w:hint="eastAsia" w:ascii="宋体" w:hAnsi="宋体" w:cs="宋体"/>
          <w:b/>
          <w:bCs/>
          <w:sz w:val="30"/>
          <w:szCs w:val="30"/>
          <w:highlight w:val="none"/>
        </w:rPr>
        <w:t>（如有委托时）</w:t>
      </w:r>
    </w:p>
    <w:p w14:paraId="5B216710">
      <w:pPr>
        <w:snapToGrid w:val="0"/>
        <w:spacing w:beforeLines="50" w:after="50"/>
        <w:ind w:firstLine="361"/>
        <w:jc w:val="center"/>
        <w:rPr>
          <w:rFonts w:ascii="宋体" w:hAnsi="宋体" w:cs="宋体"/>
          <w:b/>
          <w:sz w:val="24"/>
          <w:highlight w:val="none"/>
        </w:rPr>
      </w:pPr>
    </w:p>
    <w:p w14:paraId="79B315A6">
      <w:pPr>
        <w:spacing w:line="440" w:lineRule="exact"/>
        <w:ind w:firstLine="420" w:firstLineChars="200"/>
        <w:rPr>
          <w:rFonts w:hint="eastAsia" w:ascii="宋体" w:hAnsi="宋体" w:eastAsia="宋体" w:cs="宋体"/>
          <w:szCs w:val="20"/>
          <w:highlight w:val="none"/>
          <w:lang w:eastAsia="zh-CN"/>
        </w:rPr>
      </w:pPr>
      <w:r>
        <w:rPr>
          <w:rFonts w:hint="eastAsia" w:ascii="宋体" w:hAnsi="宋体" w:cs="宋体"/>
          <w:szCs w:val="20"/>
          <w:highlight w:val="none"/>
        </w:rPr>
        <w:t>致：</w:t>
      </w:r>
      <w:r>
        <w:rPr>
          <w:rFonts w:hint="eastAsia" w:ascii="宋体" w:hAnsi="宋体" w:cs="宋体"/>
          <w:szCs w:val="20"/>
          <w:highlight w:val="none"/>
          <w:u w:val="single"/>
          <w:lang w:eastAsia="zh-CN"/>
        </w:rPr>
        <w:t>广西众联工程项目管理有限公司</w:t>
      </w:r>
    </w:p>
    <w:p w14:paraId="42CA0828">
      <w:pPr>
        <w:spacing w:line="440" w:lineRule="exact"/>
        <w:ind w:firstLine="420" w:firstLineChars="200"/>
        <w:rPr>
          <w:rFonts w:ascii="宋体" w:hAnsi="宋体" w:cs="宋体"/>
          <w:szCs w:val="20"/>
          <w:highlight w:val="none"/>
        </w:rPr>
      </w:pPr>
      <w:r>
        <w:rPr>
          <w:rFonts w:hint="eastAsia" w:ascii="宋体" w:hAnsi="宋体" w:cs="宋体"/>
          <w:szCs w:val="20"/>
          <w:highlight w:val="none"/>
        </w:rPr>
        <w:t>本人</w:t>
      </w:r>
      <w:r>
        <w:rPr>
          <w:rFonts w:hint="eastAsia" w:ascii="宋体" w:hAnsi="宋体" w:cs="宋体"/>
          <w:szCs w:val="20"/>
          <w:highlight w:val="none"/>
          <w:u w:val="single"/>
          <w:lang w:val="en-US" w:eastAsia="zh-CN"/>
        </w:rPr>
        <w:t xml:space="preserve">       </w:t>
      </w:r>
      <w:r>
        <w:rPr>
          <w:rFonts w:hint="eastAsia" w:ascii="宋体" w:hAnsi="宋体" w:cs="宋体"/>
          <w:szCs w:val="20"/>
          <w:highlight w:val="none"/>
        </w:rPr>
        <w:t>（姓名）系</w:t>
      </w:r>
      <w:r>
        <w:rPr>
          <w:rFonts w:hint="eastAsia" w:ascii="宋体" w:hAnsi="宋体" w:cs="宋体"/>
          <w:szCs w:val="20"/>
          <w:highlight w:val="none"/>
          <w:u w:val="single"/>
          <w:lang w:val="en-US" w:eastAsia="zh-CN"/>
        </w:rPr>
        <w:t xml:space="preserve">                             </w:t>
      </w:r>
      <w:r>
        <w:rPr>
          <w:rFonts w:hint="eastAsia" w:ascii="宋体" w:hAnsi="宋体" w:cs="宋体"/>
          <w:szCs w:val="20"/>
          <w:highlight w:val="none"/>
        </w:rPr>
        <w:t>（投标人名称）的法定代表人，现授权我单位在职正式员工</w:t>
      </w:r>
      <w:r>
        <w:rPr>
          <w:rFonts w:hint="eastAsia" w:ascii="宋体" w:hAnsi="宋体" w:cs="宋体"/>
          <w:szCs w:val="20"/>
          <w:highlight w:val="none"/>
          <w:u w:val="single"/>
          <w:lang w:val="en-US" w:eastAsia="zh-CN"/>
        </w:rPr>
        <w:t xml:space="preserve">                </w:t>
      </w:r>
      <w:r>
        <w:rPr>
          <w:rFonts w:hint="eastAsia" w:ascii="宋体" w:hAnsi="宋体" w:cs="宋体"/>
          <w:szCs w:val="20"/>
          <w:highlight w:val="none"/>
        </w:rPr>
        <w:t>（姓名和职务）为我方代理人。代理人根据授权，以我方名义签署、澄清、说明、补正、递交、撤回、修改贵方组织的</w:t>
      </w:r>
      <w:r>
        <w:rPr>
          <w:rFonts w:hint="eastAsia" w:ascii="宋体" w:hAnsi="宋体" w:cs="宋体"/>
          <w:i/>
          <w:iCs/>
          <w:szCs w:val="20"/>
          <w:highlight w:val="none"/>
          <w:u w:val="single"/>
        </w:rPr>
        <w:t>（项目名称）</w:t>
      </w:r>
      <w:r>
        <w:rPr>
          <w:rFonts w:hint="eastAsia" w:ascii="宋体" w:hAnsi="宋体" w:cs="宋体"/>
          <w:szCs w:val="20"/>
          <w:highlight w:val="none"/>
        </w:rPr>
        <w:t>项目（项目编号：</w:t>
      </w:r>
      <w:r>
        <w:rPr>
          <w:rFonts w:hint="eastAsia" w:ascii="宋体" w:hAnsi="宋体" w:cs="宋体"/>
          <w:szCs w:val="20"/>
          <w:highlight w:val="none"/>
          <w:u w:val="single"/>
        </w:rPr>
        <w:t xml:space="preserve">            </w:t>
      </w:r>
      <w:r>
        <w:rPr>
          <w:rFonts w:hint="eastAsia" w:ascii="宋体" w:hAnsi="宋体" w:cs="宋体"/>
          <w:szCs w:val="20"/>
          <w:highlight w:val="none"/>
        </w:rPr>
        <w:t>）的投标文件、签订合同和处理一切有关事宜，其法律后果由我方承担。</w:t>
      </w:r>
    </w:p>
    <w:p w14:paraId="47EE9FE1">
      <w:pPr>
        <w:spacing w:line="440" w:lineRule="exact"/>
        <w:ind w:firstLine="420" w:firstLineChars="200"/>
        <w:rPr>
          <w:rFonts w:ascii="宋体" w:hAnsi="宋体" w:cs="宋体"/>
          <w:szCs w:val="20"/>
          <w:highlight w:val="none"/>
        </w:rPr>
      </w:pPr>
      <w:r>
        <w:rPr>
          <w:rFonts w:hint="eastAsia" w:ascii="宋体" w:hAnsi="宋体" w:cs="宋体"/>
          <w:szCs w:val="20"/>
          <w:highlight w:val="none"/>
        </w:rPr>
        <w:t>本授权书于</w:t>
      </w:r>
      <w:r>
        <w:rPr>
          <w:rFonts w:hint="eastAsia" w:ascii="宋体" w:hAnsi="宋体" w:cs="宋体"/>
          <w:szCs w:val="20"/>
          <w:highlight w:val="none"/>
          <w:u w:val="single"/>
        </w:rPr>
        <w:t xml:space="preserve"> </w:t>
      </w:r>
      <w:r>
        <w:rPr>
          <w:rFonts w:hint="eastAsia" w:ascii="宋体" w:hAnsi="宋体" w:cs="宋体"/>
          <w:szCs w:val="20"/>
          <w:highlight w:val="none"/>
          <w:u w:val="single"/>
          <w:lang w:val="en-US" w:eastAsia="zh-CN"/>
        </w:rPr>
        <w:t xml:space="preserve">    </w:t>
      </w:r>
      <w:r>
        <w:rPr>
          <w:rFonts w:hint="eastAsia" w:ascii="宋体" w:hAnsi="宋体" w:cs="宋体"/>
          <w:szCs w:val="20"/>
          <w:highlight w:val="none"/>
          <w:u w:val="single"/>
        </w:rPr>
        <w:t xml:space="preserve"> </w:t>
      </w:r>
      <w:r>
        <w:rPr>
          <w:rFonts w:hint="eastAsia" w:ascii="宋体" w:hAnsi="宋体" w:cs="宋体"/>
          <w:szCs w:val="20"/>
          <w:highlight w:val="none"/>
        </w:rPr>
        <w:t>年</w:t>
      </w:r>
      <w:r>
        <w:rPr>
          <w:rFonts w:hint="eastAsia" w:ascii="宋体" w:hAnsi="宋体" w:cs="宋体"/>
          <w:szCs w:val="20"/>
          <w:highlight w:val="none"/>
          <w:u w:val="single"/>
        </w:rPr>
        <w:t xml:space="preserve"> </w:t>
      </w:r>
      <w:r>
        <w:rPr>
          <w:rFonts w:hint="eastAsia" w:ascii="宋体" w:hAnsi="宋体" w:cs="宋体"/>
          <w:szCs w:val="20"/>
          <w:highlight w:val="none"/>
          <w:u w:val="single"/>
          <w:lang w:val="en-US" w:eastAsia="zh-CN"/>
        </w:rPr>
        <w:t xml:space="preserve">  </w:t>
      </w:r>
      <w:r>
        <w:rPr>
          <w:rFonts w:hint="eastAsia" w:ascii="宋体" w:hAnsi="宋体" w:cs="宋体"/>
          <w:szCs w:val="20"/>
          <w:highlight w:val="none"/>
          <w:u w:val="single"/>
        </w:rPr>
        <w:t xml:space="preserve"> </w:t>
      </w:r>
      <w:r>
        <w:rPr>
          <w:rFonts w:hint="eastAsia" w:ascii="宋体" w:hAnsi="宋体" w:cs="宋体"/>
          <w:szCs w:val="20"/>
          <w:highlight w:val="none"/>
        </w:rPr>
        <w:t>月</w:t>
      </w:r>
      <w:r>
        <w:rPr>
          <w:rFonts w:hint="eastAsia" w:ascii="宋体" w:hAnsi="宋体" w:cs="宋体"/>
          <w:szCs w:val="20"/>
          <w:highlight w:val="none"/>
          <w:u w:val="single"/>
        </w:rPr>
        <w:t xml:space="preserve">  </w:t>
      </w:r>
      <w:r>
        <w:rPr>
          <w:rFonts w:hint="eastAsia" w:ascii="宋体" w:hAnsi="宋体" w:cs="宋体"/>
          <w:szCs w:val="20"/>
          <w:highlight w:val="none"/>
          <w:u w:val="single"/>
          <w:lang w:val="en-US" w:eastAsia="zh-CN"/>
        </w:rPr>
        <w:t xml:space="preserve">   </w:t>
      </w:r>
      <w:r>
        <w:rPr>
          <w:rFonts w:hint="eastAsia" w:ascii="宋体" w:hAnsi="宋体" w:cs="宋体"/>
          <w:szCs w:val="20"/>
          <w:highlight w:val="none"/>
        </w:rPr>
        <w:t>日签字生效，委托期限：</w:t>
      </w:r>
      <w:r>
        <w:rPr>
          <w:rFonts w:hint="eastAsia" w:ascii="宋体" w:hAnsi="宋体" w:cs="宋体"/>
          <w:szCs w:val="20"/>
          <w:highlight w:val="none"/>
          <w:u w:val="single"/>
        </w:rPr>
        <w:t xml:space="preserve">            </w:t>
      </w:r>
      <w:r>
        <w:rPr>
          <w:rFonts w:hint="eastAsia" w:ascii="宋体" w:hAnsi="宋体" w:cs="宋体"/>
          <w:szCs w:val="20"/>
          <w:highlight w:val="none"/>
        </w:rPr>
        <w:t xml:space="preserve"> 。</w:t>
      </w:r>
    </w:p>
    <w:p w14:paraId="6B69C929">
      <w:pPr>
        <w:spacing w:line="360" w:lineRule="auto"/>
        <w:ind w:firstLine="315"/>
        <w:rPr>
          <w:rFonts w:ascii="宋体" w:hAnsi="宋体" w:cs="宋体"/>
          <w:szCs w:val="20"/>
          <w:highlight w:val="none"/>
        </w:rPr>
      </w:pPr>
      <w:r>
        <w:rPr>
          <w:rFonts w:hint="eastAsia" w:ascii="宋体" w:hAnsi="宋体" w:cs="宋体"/>
          <w:szCs w:val="20"/>
          <w:highlight w:val="none"/>
        </w:rPr>
        <w:t>代理人无转委托权。</w:t>
      </w:r>
    </w:p>
    <w:p w14:paraId="373DC087">
      <w:pPr>
        <w:spacing w:line="360" w:lineRule="auto"/>
        <w:ind w:firstLine="315"/>
        <w:rPr>
          <w:rFonts w:ascii="宋体" w:hAnsi="宋体" w:cs="宋体"/>
          <w:szCs w:val="20"/>
          <w:highlight w:val="none"/>
        </w:rPr>
      </w:pPr>
    </w:p>
    <w:p w14:paraId="591817C9">
      <w:pPr>
        <w:spacing w:line="360" w:lineRule="auto"/>
        <w:ind w:firstLine="315"/>
        <w:rPr>
          <w:rFonts w:ascii="宋体" w:hAnsi="宋体" w:cs="宋体"/>
          <w:szCs w:val="20"/>
          <w:highlight w:val="none"/>
          <w:u w:val="single"/>
        </w:rPr>
      </w:pPr>
      <w:r>
        <w:rPr>
          <w:rFonts w:hint="eastAsia" w:ascii="宋体" w:hAnsi="宋体" w:cs="宋体"/>
          <w:szCs w:val="20"/>
          <w:highlight w:val="none"/>
        </w:rPr>
        <w:t>投标人（盖公章）：</w:t>
      </w:r>
    </w:p>
    <w:p w14:paraId="0DBB5F2B">
      <w:pPr>
        <w:spacing w:line="360" w:lineRule="auto"/>
        <w:ind w:firstLine="315"/>
        <w:rPr>
          <w:rFonts w:ascii="宋体" w:hAnsi="宋体" w:cs="宋体"/>
          <w:szCs w:val="20"/>
          <w:highlight w:val="none"/>
          <w:u w:val="single"/>
        </w:rPr>
      </w:pPr>
      <w:r>
        <w:rPr>
          <w:rFonts w:hint="eastAsia" w:ascii="宋体" w:hAnsi="宋体" w:cs="宋体"/>
          <w:szCs w:val="20"/>
          <w:highlight w:val="none"/>
        </w:rPr>
        <w:t>法定代表人（签字）：</w:t>
      </w:r>
    </w:p>
    <w:p w14:paraId="623ED2B3">
      <w:pPr>
        <w:spacing w:line="360" w:lineRule="auto"/>
        <w:ind w:firstLine="315"/>
        <w:rPr>
          <w:rFonts w:ascii="宋体" w:hAnsi="宋体" w:cs="宋体"/>
          <w:szCs w:val="20"/>
          <w:highlight w:val="none"/>
          <w:u w:val="single"/>
        </w:rPr>
      </w:pPr>
      <w:r>
        <w:rPr>
          <w:rFonts w:hint="eastAsia" w:ascii="宋体" w:hAnsi="宋体" w:cs="宋体"/>
          <w:szCs w:val="20"/>
          <w:highlight w:val="none"/>
        </w:rPr>
        <w:t>法定代表人身份证号码：</w:t>
      </w:r>
    </w:p>
    <w:p w14:paraId="57376C54">
      <w:pPr>
        <w:spacing w:line="360" w:lineRule="auto"/>
        <w:ind w:left="0" w:leftChars="0" w:firstLine="298" w:firstLineChars="142"/>
        <w:rPr>
          <w:rFonts w:ascii="宋体" w:hAnsi="宋体" w:cs="宋体"/>
          <w:szCs w:val="20"/>
          <w:highlight w:val="none"/>
        </w:rPr>
      </w:pPr>
      <w:r>
        <w:rPr>
          <w:rFonts w:hint="eastAsia" w:ascii="宋体" w:hAnsi="宋体" w:cs="宋体"/>
          <w:szCs w:val="20"/>
          <w:highlight w:val="none"/>
        </w:rPr>
        <w:t>委托代理人（签字）：</w:t>
      </w:r>
    </w:p>
    <w:p w14:paraId="48BE76D9">
      <w:pPr>
        <w:spacing w:line="360" w:lineRule="auto"/>
        <w:ind w:firstLine="315"/>
        <w:rPr>
          <w:rFonts w:ascii="宋体" w:hAnsi="宋体" w:cs="宋体"/>
          <w:szCs w:val="20"/>
          <w:highlight w:val="none"/>
          <w:u w:val="single"/>
        </w:rPr>
      </w:pPr>
      <w:r>
        <w:rPr>
          <w:rFonts w:hint="eastAsia" w:ascii="宋体" w:hAnsi="宋体" w:cs="宋体"/>
          <w:szCs w:val="20"/>
          <w:highlight w:val="none"/>
        </w:rPr>
        <w:t>委托代理人身份证号码：</w:t>
      </w:r>
    </w:p>
    <w:p w14:paraId="5797F7BC">
      <w:pPr>
        <w:spacing w:line="360" w:lineRule="auto"/>
        <w:ind w:firstLine="315"/>
        <w:rPr>
          <w:rFonts w:ascii="宋体" w:hAnsi="宋体" w:cs="宋体"/>
          <w:szCs w:val="20"/>
          <w:highlight w:val="none"/>
          <w:u w:val="single"/>
        </w:rPr>
      </w:pPr>
    </w:p>
    <w:p w14:paraId="5B126A73">
      <w:pPr>
        <w:snapToGrid w:val="0"/>
        <w:spacing w:line="360" w:lineRule="auto"/>
        <w:ind w:firstLine="5640" w:firstLineChars="2350"/>
        <w:rPr>
          <w:rFonts w:ascii="宋体" w:hAnsi="宋体" w:cs="宋体"/>
          <w:kern w:val="0"/>
          <w:sz w:val="24"/>
          <w:highlight w:val="none"/>
        </w:rPr>
      </w:pPr>
      <w:r>
        <w:rPr>
          <w:rFonts w:hint="eastAsia" w:ascii="宋体" w:hAnsi="宋体" w:cs="宋体"/>
          <w:kern w:val="0"/>
          <w:sz w:val="24"/>
          <w:highlight w:val="none"/>
          <w:lang w:val="zh-CN"/>
        </w:rPr>
        <w:t>投标人名称(盖公章)：</w:t>
      </w:r>
    </w:p>
    <w:p w14:paraId="760F484F">
      <w:pPr>
        <w:snapToGrid w:val="0"/>
        <w:spacing w:line="360" w:lineRule="auto"/>
        <w:ind w:firstLine="5880" w:firstLineChars="2450"/>
        <w:rPr>
          <w:rFonts w:ascii="宋体" w:hAnsi="宋体" w:cs="宋体"/>
          <w:kern w:val="0"/>
          <w:sz w:val="24"/>
          <w:highlight w:val="none"/>
          <w:lang w:val="zh-CN"/>
        </w:rPr>
      </w:pPr>
      <w:r>
        <w:rPr>
          <w:rFonts w:hint="eastAsia" w:ascii="宋体" w:hAnsi="宋体" w:cs="宋体"/>
          <w:kern w:val="0"/>
          <w:sz w:val="24"/>
          <w:highlight w:val="none"/>
          <w:lang w:val="zh-CN"/>
        </w:rPr>
        <w:t>日期</w:t>
      </w:r>
      <w:r>
        <w:rPr>
          <w:rFonts w:hint="eastAsia" w:ascii="宋体" w:hAnsi="宋体" w:cs="宋体"/>
          <w:kern w:val="0"/>
          <w:sz w:val="24"/>
          <w:highlight w:val="none"/>
        </w:rPr>
        <w:t>：  年  月  日</w:t>
      </w:r>
    </w:p>
    <w:p w14:paraId="76817207">
      <w:pPr>
        <w:spacing w:line="360" w:lineRule="auto"/>
        <w:ind w:firstLine="315"/>
        <w:rPr>
          <w:rFonts w:ascii="宋体" w:hAnsi="宋体" w:cs="宋体"/>
          <w:szCs w:val="20"/>
          <w:highlight w:val="none"/>
          <w:u w:val="single"/>
        </w:rPr>
      </w:pPr>
    </w:p>
    <w:p w14:paraId="275B1FC9">
      <w:pPr>
        <w:spacing w:line="360" w:lineRule="auto"/>
        <w:rPr>
          <w:rFonts w:ascii="宋体" w:hAnsi="宋体" w:cs="宋体"/>
          <w:szCs w:val="21"/>
          <w:highlight w:val="none"/>
        </w:rPr>
      </w:pPr>
      <w:r>
        <w:rPr>
          <w:rFonts w:hint="eastAsia" w:ascii="宋体" w:hAnsi="宋体" w:cs="宋体"/>
          <w:szCs w:val="21"/>
          <w:highlight w:val="none"/>
        </w:rPr>
        <w:t>注：</w:t>
      </w:r>
    </w:p>
    <w:p w14:paraId="6C5A463C">
      <w:pPr>
        <w:snapToGrid w:val="0"/>
        <w:spacing w:before="50" w:afterLines="50" w:line="360" w:lineRule="auto"/>
        <w:jc w:val="left"/>
        <w:rPr>
          <w:rFonts w:ascii="宋体" w:hAnsi="宋体" w:cs="宋体"/>
          <w:szCs w:val="21"/>
          <w:highlight w:val="none"/>
        </w:rPr>
      </w:pPr>
      <w:r>
        <w:rPr>
          <w:rFonts w:hint="eastAsia" w:ascii="宋体" w:hAnsi="宋体" w:cs="宋体"/>
          <w:szCs w:val="21"/>
          <w:highlight w:val="none"/>
        </w:rPr>
        <w:t>1.法定代表人和委托代理人必须在授权委托书上签字，</w:t>
      </w:r>
      <w:r>
        <w:rPr>
          <w:rFonts w:hint="eastAsia" w:ascii="宋体" w:hAnsi="宋体" w:cs="宋体"/>
          <w:b/>
          <w:bCs/>
          <w:szCs w:val="21"/>
          <w:highlight w:val="none"/>
        </w:rPr>
        <w:t>否则作无效投标处理</w:t>
      </w:r>
      <w:r>
        <w:rPr>
          <w:rFonts w:hint="eastAsia" w:ascii="宋体" w:hAnsi="宋体" w:cs="宋体"/>
          <w:szCs w:val="21"/>
          <w:highlight w:val="none"/>
        </w:rPr>
        <w:t>；</w:t>
      </w:r>
    </w:p>
    <w:p w14:paraId="6A10DF3C">
      <w:pPr>
        <w:snapToGrid w:val="0"/>
        <w:spacing w:before="50" w:afterLines="50" w:line="360" w:lineRule="auto"/>
        <w:jc w:val="left"/>
        <w:rPr>
          <w:rFonts w:ascii="宋体" w:hAnsi="宋体" w:cs="宋体"/>
          <w:szCs w:val="21"/>
          <w:highlight w:val="none"/>
        </w:rPr>
      </w:pPr>
      <w:r>
        <w:rPr>
          <w:rFonts w:hint="eastAsia" w:ascii="宋体" w:hAnsi="宋体" w:cs="宋体"/>
          <w:szCs w:val="21"/>
          <w:highlight w:val="none"/>
        </w:rPr>
        <w:t>2.以联合体形式投标的，本授权委托书应由联合体牵头人的法定代表人按上述规定签署。</w:t>
      </w:r>
    </w:p>
    <w:p w14:paraId="6E6E0577">
      <w:pPr>
        <w:snapToGrid w:val="0"/>
        <w:spacing w:before="50" w:afterLines="50" w:line="360" w:lineRule="auto"/>
        <w:jc w:val="left"/>
        <w:rPr>
          <w:rFonts w:ascii="宋体" w:hAnsi="宋体" w:cs="宋体"/>
          <w:szCs w:val="21"/>
          <w:highlight w:val="none"/>
        </w:rPr>
      </w:pPr>
      <w:r>
        <w:rPr>
          <w:rFonts w:hint="eastAsia" w:ascii="宋体" w:hAnsi="宋体" w:cs="宋体"/>
          <w:szCs w:val="21"/>
          <w:highlight w:val="none"/>
        </w:rPr>
        <w:t>3. 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4120EA2B">
      <w:pPr>
        <w:snapToGrid w:val="0"/>
        <w:spacing w:before="50" w:afterLines="50" w:line="360" w:lineRule="auto"/>
        <w:jc w:val="left"/>
        <w:rPr>
          <w:rFonts w:ascii="宋体" w:hAnsi="宋体" w:cs="宋体"/>
          <w:szCs w:val="21"/>
          <w:highlight w:val="none"/>
        </w:rPr>
      </w:pPr>
      <w:r>
        <w:rPr>
          <w:rFonts w:hint="eastAsia" w:ascii="宋体" w:hAnsi="宋体" w:cs="宋体"/>
          <w:szCs w:val="21"/>
          <w:highlight w:val="none"/>
        </w:rPr>
        <w:t>4. 若为联合体投标须各方签字或盖章。</w:t>
      </w:r>
    </w:p>
    <w:p w14:paraId="18E7B683">
      <w:pPr>
        <w:spacing w:line="360" w:lineRule="auto"/>
        <w:ind w:firstLine="361"/>
        <w:rPr>
          <w:rFonts w:ascii="宋体" w:hAnsi="宋体" w:cs="宋体"/>
          <w:b/>
          <w:sz w:val="24"/>
          <w:highlight w:val="none"/>
        </w:rPr>
      </w:pPr>
    </w:p>
    <w:p w14:paraId="03551F3D">
      <w:pPr>
        <w:spacing w:line="360" w:lineRule="auto"/>
        <w:ind w:firstLine="361"/>
        <w:rPr>
          <w:rFonts w:ascii="宋体" w:hAnsi="宋体" w:cs="宋体"/>
          <w:b/>
          <w:sz w:val="24"/>
          <w:highlight w:val="none"/>
        </w:rPr>
      </w:pPr>
      <w:r>
        <w:rPr>
          <w:rFonts w:hint="eastAsia" w:ascii="宋体" w:hAnsi="宋体" w:cs="宋体"/>
          <w:b/>
          <w:sz w:val="24"/>
          <w:highlight w:val="none"/>
        </w:rPr>
        <w:br w:type="page"/>
      </w:r>
      <w:r>
        <w:rPr>
          <w:rFonts w:hint="eastAsia" w:ascii="宋体" w:hAnsi="宋体" w:cs="宋体"/>
          <w:b/>
          <w:sz w:val="24"/>
          <w:highlight w:val="none"/>
        </w:rPr>
        <w:t>附件：</w:t>
      </w:r>
    </w:p>
    <w:tbl>
      <w:tblPr>
        <w:tblStyle w:val="28"/>
        <w:tblpPr w:leftFromText="180" w:rightFromText="180" w:vertAnchor="text" w:horzAnchor="margin" w:tblpY="263"/>
        <w:tblW w:w="97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4"/>
      </w:tblGrid>
      <w:tr w14:paraId="62D0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9724" w:type="dxa"/>
            <w:tcBorders>
              <w:top w:val="single" w:color="auto" w:sz="4" w:space="0"/>
              <w:left w:val="single" w:color="auto" w:sz="4" w:space="0"/>
              <w:bottom w:val="single" w:color="auto" w:sz="4" w:space="0"/>
              <w:right w:val="single" w:color="auto" w:sz="4" w:space="0"/>
            </w:tcBorders>
            <w:noWrap/>
          </w:tcPr>
          <w:p w14:paraId="14730381">
            <w:pPr>
              <w:spacing w:line="360" w:lineRule="auto"/>
              <w:ind w:firstLine="361"/>
              <w:rPr>
                <w:rFonts w:ascii="宋体" w:hAnsi="宋体" w:cs="宋体"/>
                <w:b/>
                <w:sz w:val="24"/>
                <w:highlight w:val="none"/>
              </w:rPr>
            </w:pPr>
          </w:p>
          <w:p w14:paraId="4E12104A">
            <w:pPr>
              <w:spacing w:line="360" w:lineRule="auto"/>
              <w:ind w:firstLine="361"/>
              <w:rPr>
                <w:rFonts w:ascii="宋体" w:hAnsi="宋体" w:cs="宋体"/>
                <w:b/>
                <w:sz w:val="24"/>
                <w:highlight w:val="none"/>
              </w:rPr>
            </w:pPr>
            <w:r>
              <w:rPr>
                <w:rFonts w:hint="eastAsia" w:ascii="宋体" w:hAnsi="宋体" w:cs="宋体"/>
                <w:b/>
                <w:bCs/>
                <w:sz w:val="24"/>
                <w:highlight w:val="none"/>
              </w:rPr>
              <w:t>委托代理人有效</w:t>
            </w:r>
            <w:r>
              <w:rPr>
                <w:rFonts w:hint="eastAsia" w:ascii="宋体" w:hAnsi="宋体" w:cs="宋体"/>
                <w:b/>
                <w:sz w:val="24"/>
                <w:highlight w:val="none"/>
              </w:rPr>
              <w:t>身份证复印件粘贴处（正、反面）</w:t>
            </w:r>
          </w:p>
        </w:tc>
      </w:tr>
    </w:tbl>
    <w:p w14:paraId="4B1A0C92">
      <w:pPr>
        <w:ind w:firstLine="360"/>
        <w:rPr>
          <w:rFonts w:ascii="宋体" w:hAnsi="宋体" w:cs="宋体"/>
          <w:b/>
          <w:sz w:val="24"/>
          <w:szCs w:val="20"/>
          <w:highlight w:val="none"/>
        </w:rPr>
      </w:pPr>
      <w:r>
        <w:rPr>
          <w:rFonts w:hint="eastAsia" w:ascii="宋体" w:hAnsi="宋体" w:cs="宋体"/>
          <w:sz w:val="24"/>
          <w:highlight w:val="none"/>
        </w:rPr>
        <w:br w:type="page"/>
      </w:r>
      <w:r>
        <w:rPr>
          <w:rFonts w:hint="eastAsia" w:ascii="宋体" w:hAnsi="宋体" w:cs="宋体"/>
          <w:b/>
          <w:sz w:val="28"/>
          <w:szCs w:val="28"/>
          <w:highlight w:val="none"/>
        </w:rPr>
        <w:t>6.商务条款偏离表的格式：</w:t>
      </w:r>
    </w:p>
    <w:p w14:paraId="0BD3146D">
      <w:pPr>
        <w:snapToGrid w:val="0"/>
        <w:spacing w:beforeLines="50" w:after="50"/>
        <w:rPr>
          <w:rFonts w:ascii="宋体" w:hAnsi="宋体" w:cs="宋体"/>
          <w:highlight w:val="none"/>
        </w:rPr>
      </w:pPr>
    </w:p>
    <w:p w14:paraId="4C736B86">
      <w:pPr>
        <w:ind w:firstLine="452"/>
        <w:jc w:val="center"/>
        <w:rPr>
          <w:rFonts w:ascii="宋体" w:hAnsi="宋体" w:cs="宋体"/>
          <w:b/>
          <w:bCs/>
          <w:sz w:val="30"/>
          <w:szCs w:val="30"/>
          <w:highlight w:val="none"/>
        </w:rPr>
      </w:pPr>
      <w:r>
        <w:rPr>
          <w:rFonts w:hint="eastAsia" w:ascii="宋体" w:hAnsi="宋体" w:cs="宋体"/>
          <w:b/>
          <w:bCs/>
          <w:sz w:val="30"/>
          <w:szCs w:val="30"/>
          <w:highlight w:val="none"/>
        </w:rPr>
        <w:t>商务条款偏离表</w:t>
      </w:r>
    </w:p>
    <w:p w14:paraId="328A2155">
      <w:pPr>
        <w:ind w:firstLine="450"/>
        <w:jc w:val="center"/>
        <w:rPr>
          <w:rFonts w:ascii="宋体" w:hAnsi="宋体" w:cs="宋体"/>
          <w:sz w:val="30"/>
          <w:szCs w:val="20"/>
          <w:highlight w:val="none"/>
        </w:rPr>
      </w:pPr>
    </w:p>
    <w:p w14:paraId="73E51D9D">
      <w:pPr>
        <w:snapToGrid w:val="0"/>
        <w:spacing w:before="50" w:after="50" w:line="480" w:lineRule="auto"/>
        <w:rPr>
          <w:rFonts w:ascii="宋体" w:hAnsi="宋体" w:cs="宋体"/>
          <w:szCs w:val="21"/>
          <w:highlight w:val="none"/>
        </w:rPr>
      </w:pPr>
      <w:r>
        <w:rPr>
          <w:rFonts w:hint="eastAsia" w:ascii="宋体" w:hAnsi="宋体" w:cs="宋体"/>
          <w:szCs w:val="21"/>
          <w:highlight w:val="none"/>
        </w:rPr>
        <w:t>项目名称：</w:t>
      </w:r>
      <w:r>
        <w:rPr>
          <w:rFonts w:hint="eastAsia" w:ascii="宋体" w:hAnsi="宋体" w:cs="宋体"/>
          <w:bCs/>
          <w:szCs w:val="21"/>
          <w:highlight w:val="none"/>
          <w:u w:val="single"/>
        </w:rPr>
        <w:t xml:space="preserve">                              </w:t>
      </w:r>
    </w:p>
    <w:p w14:paraId="73C1B546">
      <w:pPr>
        <w:snapToGrid w:val="0"/>
        <w:spacing w:before="50" w:after="50" w:line="480" w:lineRule="auto"/>
        <w:rPr>
          <w:rFonts w:ascii="宋体" w:hAnsi="宋体" w:cs="宋体"/>
          <w:szCs w:val="21"/>
          <w:highlight w:val="none"/>
          <w:u w:val="single"/>
        </w:rPr>
      </w:pPr>
      <w:r>
        <w:rPr>
          <w:rFonts w:hint="eastAsia" w:ascii="宋体" w:hAnsi="宋体" w:cs="宋体"/>
          <w:szCs w:val="21"/>
          <w:highlight w:val="none"/>
        </w:rPr>
        <w:t>项目编号：</w:t>
      </w:r>
      <w:r>
        <w:rPr>
          <w:rFonts w:hint="eastAsia" w:ascii="宋体" w:hAnsi="宋体" w:cs="宋体"/>
          <w:bCs/>
          <w:szCs w:val="21"/>
          <w:highlight w:val="none"/>
          <w:u w:val="single"/>
        </w:rPr>
        <w:t xml:space="preserve">                              </w:t>
      </w:r>
    </w:p>
    <w:p w14:paraId="1639D1E8">
      <w:pPr>
        <w:spacing w:line="360" w:lineRule="auto"/>
        <w:rPr>
          <w:rFonts w:ascii="宋体" w:hAnsi="宋体" w:cs="宋体"/>
          <w:b/>
          <w:szCs w:val="21"/>
          <w:highlight w:val="none"/>
        </w:rPr>
      </w:pPr>
      <w:r>
        <w:rPr>
          <w:rFonts w:hint="eastAsia" w:ascii="宋体" w:hAnsi="宋体" w:cs="宋体"/>
          <w:bCs/>
          <w:szCs w:val="21"/>
          <w:highlight w:val="none"/>
        </w:rPr>
        <w:t>所投分标（此处有分标时填写具体分标号，无分标时填写“无”）：</w:t>
      </w:r>
      <w:r>
        <w:rPr>
          <w:rFonts w:hint="eastAsia" w:ascii="宋体" w:hAnsi="宋体" w:cs="宋体"/>
          <w:bCs/>
          <w:szCs w:val="21"/>
          <w:highlight w:val="none"/>
          <w:u w:val="single"/>
        </w:rPr>
        <w:t xml:space="preserve">    </w:t>
      </w:r>
    </w:p>
    <w:tbl>
      <w:tblPr>
        <w:tblStyle w:val="28"/>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731"/>
        <w:gridCol w:w="3731"/>
        <w:gridCol w:w="1561"/>
      </w:tblGrid>
      <w:tr w14:paraId="728A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24" w:type="dxa"/>
            <w:tcBorders>
              <w:top w:val="single" w:color="auto" w:sz="4" w:space="0"/>
              <w:left w:val="single" w:color="auto" w:sz="4" w:space="0"/>
              <w:bottom w:val="single" w:color="auto" w:sz="4" w:space="0"/>
              <w:right w:val="single" w:color="auto" w:sz="4" w:space="0"/>
            </w:tcBorders>
            <w:noWrap/>
            <w:vAlign w:val="center"/>
          </w:tcPr>
          <w:p w14:paraId="703221E7">
            <w:pPr>
              <w:spacing w:line="340" w:lineRule="exact"/>
              <w:jc w:val="center"/>
              <w:rPr>
                <w:rFonts w:ascii="宋体" w:hAnsi="宋体" w:cs="宋体"/>
                <w:szCs w:val="21"/>
                <w:highlight w:val="none"/>
              </w:rPr>
            </w:pPr>
            <w:r>
              <w:rPr>
                <w:rFonts w:hint="eastAsia" w:ascii="宋体" w:hAnsi="宋体" w:cs="宋体"/>
                <w:szCs w:val="21"/>
                <w:highlight w:val="none"/>
              </w:rPr>
              <w:t>项号</w:t>
            </w:r>
          </w:p>
        </w:tc>
        <w:tc>
          <w:tcPr>
            <w:tcW w:w="3731" w:type="dxa"/>
            <w:tcBorders>
              <w:top w:val="single" w:color="auto" w:sz="4" w:space="0"/>
              <w:left w:val="single" w:color="auto" w:sz="4" w:space="0"/>
              <w:bottom w:val="single" w:color="auto" w:sz="4" w:space="0"/>
              <w:right w:val="single" w:color="auto" w:sz="4" w:space="0"/>
            </w:tcBorders>
            <w:noWrap/>
            <w:vAlign w:val="center"/>
          </w:tcPr>
          <w:p w14:paraId="38ED24B6">
            <w:pPr>
              <w:spacing w:line="34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rPr>
              <w:t>招标文件的商务条款</w:t>
            </w:r>
            <w:r>
              <w:rPr>
                <w:rFonts w:hint="eastAsia" w:ascii="宋体" w:hAnsi="宋体" w:cs="宋体"/>
                <w:szCs w:val="21"/>
                <w:highlight w:val="none"/>
                <w:lang w:eastAsia="zh-CN"/>
              </w:rPr>
              <w:t>要求</w:t>
            </w:r>
          </w:p>
        </w:tc>
        <w:tc>
          <w:tcPr>
            <w:tcW w:w="3731" w:type="dxa"/>
            <w:tcBorders>
              <w:top w:val="single" w:color="auto" w:sz="4" w:space="0"/>
              <w:left w:val="single" w:color="auto" w:sz="4" w:space="0"/>
              <w:bottom w:val="single" w:color="auto" w:sz="4" w:space="0"/>
              <w:right w:val="single" w:color="auto" w:sz="4" w:space="0"/>
            </w:tcBorders>
            <w:noWrap/>
            <w:vAlign w:val="center"/>
          </w:tcPr>
          <w:p w14:paraId="58E34529">
            <w:pPr>
              <w:spacing w:line="340" w:lineRule="exact"/>
              <w:jc w:val="center"/>
              <w:rPr>
                <w:rFonts w:ascii="宋体" w:hAnsi="宋体" w:cs="宋体"/>
                <w:szCs w:val="21"/>
                <w:highlight w:val="none"/>
              </w:rPr>
            </w:pPr>
            <w:r>
              <w:rPr>
                <w:rFonts w:hint="eastAsia" w:ascii="宋体" w:hAnsi="宋体" w:cs="宋体"/>
                <w:szCs w:val="21"/>
                <w:highlight w:val="none"/>
              </w:rPr>
              <w:t>投标文件的商务条款响应</w:t>
            </w:r>
          </w:p>
        </w:tc>
        <w:tc>
          <w:tcPr>
            <w:tcW w:w="1561" w:type="dxa"/>
            <w:tcBorders>
              <w:top w:val="single" w:color="auto" w:sz="4" w:space="0"/>
              <w:left w:val="single" w:color="auto" w:sz="4" w:space="0"/>
              <w:bottom w:val="single" w:color="auto" w:sz="4" w:space="0"/>
              <w:right w:val="single" w:color="auto" w:sz="4" w:space="0"/>
            </w:tcBorders>
            <w:noWrap/>
            <w:vAlign w:val="center"/>
          </w:tcPr>
          <w:p w14:paraId="2C9D9C57">
            <w:pPr>
              <w:spacing w:line="340" w:lineRule="exact"/>
              <w:jc w:val="center"/>
              <w:rPr>
                <w:rFonts w:ascii="宋体" w:hAnsi="宋体" w:cs="宋体"/>
                <w:szCs w:val="21"/>
                <w:highlight w:val="none"/>
              </w:rPr>
            </w:pPr>
            <w:r>
              <w:rPr>
                <w:rFonts w:hint="eastAsia" w:ascii="宋体" w:hAnsi="宋体" w:cs="宋体"/>
                <w:szCs w:val="21"/>
                <w:highlight w:val="none"/>
              </w:rPr>
              <w:t>偏离说明</w:t>
            </w:r>
          </w:p>
        </w:tc>
      </w:tr>
      <w:tr w14:paraId="4BFE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724" w:type="dxa"/>
            <w:tcBorders>
              <w:top w:val="single" w:color="auto" w:sz="4" w:space="0"/>
              <w:left w:val="single" w:color="auto" w:sz="4" w:space="0"/>
              <w:bottom w:val="single" w:color="auto" w:sz="4" w:space="0"/>
              <w:right w:val="single" w:color="auto" w:sz="4" w:space="0"/>
            </w:tcBorders>
            <w:noWrap/>
          </w:tcPr>
          <w:p w14:paraId="393A9DC3">
            <w:pPr>
              <w:spacing w:line="340" w:lineRule="exact"/>
              <w:rPr>
                <w:rFonts w:ascii="宋体" w:hAnsi="宋体" w:cs="宋体"/>
                <w:szCs w:val="21"/>
                <w:highlight w:val="none"/>
              </w:rPr>
            </w:pPr>
            <w:r>
              <w:rPr>
                <w:rFonts w:hint="eastAsia" w:ascii="宋体" w:hAnsi="宋体" w:cs="宋体"/>
                <w:szCs w:val="21"/>
                <w:highlight w:val="none"/>
              </w:rPr>
              <w:t>一</w:t>
            </w:r>
          </w:p>
        </w:tc>
        <w:tc>
          <w:tcPr>
            <w:tcW w:w="3731" w:type="dxa"/>
            <w:tcBorders>
              <w:top w:val="single" w:color="auto" w:sz="4" w:space="0"/>
              <w:left w:val="single" w:color="auto" w:sz="4" w:space="0"/>
              <w:bottom w:val="single" w:color="auto" w:sz="4" w:space="0"/>
              <w:right w:val="single" w:color="auto" w:sz="4" w:space="0"/>
            </w:tcBorders>
            <w:noWrap/>
          </w:tcPr>
          <w:p w14:paraId="4702D99C">
            <w:pPr>
              <w:spacing w:line="340" w:lineRule="exact"/>
              <w:rPr>
                <w:rFonts w:ascii="宋体" w:hAnsi="宋体" w:cs="宋体"/>
                <w:szCs w:val="21"/>
                <w:highlight w:val="none"/>
              </w:rPr>
            </w:pPr>
          </w:p>
        </w:tc>
        <w:tc>
          <w:tcPr>
            <w:tcW w:w="3731" w:type="dxa"/>
            <w:tcBorders>
              <w:top w:val="single" w:color="auto" w:sz="4" w:space="0"/>
              <w:left w:val="single" w:color="auto" w:sz="4" w:space="0"/>
              <w:bottom w:val="single" w:color="auto" w:sz="4" w:space="0"/>
              <w:right w:val="single" w:color="auto" w:sz="4" w:space="0"/>
            </w:tcBorders>
            <w:noWrap/>
          </w:tcPr>
          <w:p w14:paraId="504BC5F6">
            <w:pPr>
              <w:spacing w:line="340" w:lineRule="exact"/>
              <w:rPr>
                <w:rFonts w:ascii="宋体" w:hAnsi="宋体" w:cs="宋体"/>
                <w:szCs w:val="21"/>
                <w:highlight w:val="none"/>
              </w:rPr>
            </w:pPr>
          </w:p>
        </w:tc>
        <w:tc>
          <w:tcPr>
            <w:tcW w:w="1561" w:type="dxa"/>
            <w:tcBorders>
              <w:top w:val="single" w:color="auto" w:sz="4" w:space="0"/>
              <w:left w:val="single" w:color="auto" w:sz="4" w:space="0"/>
              <w:bottom w:val="single" w:color="auto" w:sz="4" w:space="0"/>
              <w:right w:val="single" w:color="auto" w:sz="4" w:space="0"/>
            </w:tcBorders>
            <w:noWrap/>
          </w:tcPr>
          <w:p w14:paraId="55EFC413">
            <w:pPr>
              <w:spacing w:line="300" w:lineRule="exact"/>
              <w:rPr>
                <w:rFonts w:ascii="宋体" w:hAnsi="宋体" w:cs="宋体"/>
                <w:szCs w:val="21"/>
                <w:highlight w:val="none"/>
              </w:rPr>
            </w:pPr>
          </w:p>
        </w:tc>
      </w:tr>
      <w:tr w14:paraId="06E2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724" w:type="dxa"/>
            <w:tcBorders>
              <w:top w:val="single" w:color="auto" w:sz="4" w:space="0"/>
              <w:left w:val="single" w:color="auto" w:sz="4" w:space="0"/>
              <w:bottom w:val="single" w:color="auto" w:sz="4" w:space="0"/>
              <w:right w:val="single" w:color="auto" w:sz="4" w:space="0"/>
            </w:tcBorders>
            <w:noWrap/>
          </w:tcPr>
          <w:p w14:paraId="74354CA2">
            <w:pPr>
              <w:spacing w:line="340" w:lineRule="exact"/>
              <w:rPr>
                <w:rFonts w:ascii="宋体" w:hAnsi="宋体" w:cs="宋体"/>
                <w:szCs w:val="21"/>
                <w:highlight w:val="none"/>
              </w:rPr>
            </w:pPr>
            <w:r>
              <w:rPr>
                <w:rFonts w:hint="eastAsia" w:ascii="宋体" w:hAnsi="宋体" w:cs="宋体"/>
                <w:szCs w:val="21"/>
                <w:highlight w:val="none"/>
              </w:rPr>
              <w:t>二</w:t>
            </w:r>
          </w:p>
        </w:tc>
        <w:tc>
          <w:tcPr>
            <w:tcW w:w="3731" w:type="dxa"/>
            <w:tcBorders>
              <w:top w:val="single" w:color="auto" w:sz="4" w:space="0"/>
              <w:left w:val="single" w:color="auto" w:sz="4" w:space="0"/>
              <w:bottom w:val="single" w:color="auto" w:sz="4" w:space="0"/>
              <w:right w:val="single" w:color="auto" w:sz="4" w:space="0"/>
            </w:tcBorders>
            <w:noWrap/>
          </w:tcPr>
          <w:p w14:paraId="1C335C97">
            <w:pPr>
              <w:spacing w:line="340" w:lineRule="exact"/>
              <w:rPr>
                <w:rFonts w:ascii="宋体" w:hAnsi="宋体" w:cs="宋体"/>
                <w:szCs w:val="21"/>
                <w:highlight w:val="none"/>
              </w:rPr>
            </w:pPr>
          </w:p>
        </w:tc>
        <w:tc>
          <w:tcPr>
            <w:tcW w:w="3731" w:type="dxa"/>
            <w:tcBorders>
              <w:top w:val="single" w:color="auto" w:sz="4" w:space="0"/>
              <w:left w:val="single" w:color="auto" w:sz="4" w:space="0"/>
              <w:bottom w:val="single" w:color="auto" w:sz="4" w:space="0"/>
              <w:right w:val="single" w:color="auto" w:sz="4" w:space="0"/>
            </w:tcBorders>
            <w:noWrap/>
          </w:tcPr>
          <w:p w14:paraId="19431F60">
            <w:pPr>
              <w:spacing w:line="340" w:lineRule="exact"/>
              <w:rPr>
                <w:rFonts w:ascii="宋体" w:hAnsi="宋体" w:cs="宋体"/>
                <w:szCs w:val="21"/>
                <w:highlight w:val="none"/>
              </w:rPr>
            </w:pPr>
          </w:p>
        </w:tc>
        <w:tc>
          <w:tcPr>
            <w:tcW w:w="1561" w:type="dxa"/>
            <w:tcBorders>
              <w:top w:val="single" w:color="auto" w:sz="4" w:space="0"/>
              <w:left w:val="single" w:color="auto" w:sz="4" w:space="0"/>
              <w:bottom w:val="single" w:color="auto" w:sz="4" w:space="0"/>
              <w:right w:val="single" w:color="auto" w:sz="4" w:space="0"/>
            </w:tcBorders>
            <w:noWrap/>
          </w:tcPr>
          <w:p w14:paraId="492DE072">
            <w:pPr>
              <w:spacing w:line="300" w:lineRule="exact"/>
              <w:rPr>
                <w:rFonts w:ascii="宋体" w:hAnsi="宋体" w:cs="宋体"/>
                <w:szCs w:val="21"/>
                <w:highlight w:val="none"/>
              </w:rPr>
            </w:pPr>
          </w:p>
        </w:tc>
      </w:tr>
      <w:tr w14:paraId="4496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724" w:type="dxa"/>
            <w:tcBorders>
              <w:top w:val="single" w:color="auto" w:sz="4" w:space="0"/>
              <w:left w:val="single" w:color="auto" w:sz="4" w:space="0"/>
              <w:bottom w:val="single" w:color="auto" w:sz="4" w:space="0"/>
              <w:right w:val="single" w:color="auto" w:sz="4" w:space="0"/>
            </w:tcBorders>
            <w:noWrap/>
          </w:tcPr>
          <w:p w14:paraId="2CA6D0EA">
            <w:pPr>
              <w:spacing w:line="340" w:lineRule="exact"/>
              <w:rPr>
                <w:rFonts w:ascii="宋体" w:hAnsi="宋体" w:cs="宋体"/>
                <w:szCs w:val="21"/>
                <w:highlight w:val="none"/>
              </w:rPr>
            </w:pPr>
            <w:r>
              <w:rPr>
                <w:rFonts w:hint="eastAsia" w:ascii="宋体" w:hAnsi="宋体" w:cs="宋体"/>
                <w:szCs w:val="21"/>
                <w:highlight w:val="none"/>
              </w:rPr>
              <w:t>...</w:t>
            </w:r>
          </w:p>
        </w:tc>
        <w:tc>
          <w:tcPr>
            <w:tcW w:w="3731" w:type="dxa"/>
            <w:tcBorders>
              <w:top w:val="single" w:color="auto" w:sz="4" w:space="0"/>
              <w:left w:val="single" w:color="auto" w:sz="4" w:space="0"/>
              <w:bottom w:val="single" w:color="auto" w:sz="4" w:space="0"/>
              <w:right w:val="single" w:color="auto" w:sz="4" w:space="0"/>
            </w:tcBorders>
            <w:noWrap/>
          </w:tcPr>
          <w:p w14:paraId="6F6587EE">
            <w:pPr>
              <w:spacing w:line="340" w:lineRule="exact"/>
              <w:rPr>
                <w:rFonts w:ascii="宋体" w:hAnsi="宋体" w:cs="宋体"/>
                <w:szCs w:val="21"/>
                <w:highlight w:val="none"/>
              </w:rPr>
            </w:pPr>
          </w:p>
        </w:tc>
        <w:tc>
          <w:tcPr>
            <w:tcW w:w="3731" w:type="dxa"/>
            <w:tcBorders>
              <w:top w:val="single" w:color="auto" w:sz="4" w:space="0"/>
              <w:left w:val="single" w:color="auto" w:sz="4" w:space="0"/>
              <w:bottom w:val="single" w:color="auto" w:sz="4" w:space="0"/>
              <w:right w:val="single" w:color="auto" w:sz="4" w:space="0"/>
            </w:tcBorders>
            <w:noWrap/>
          </w:tcPr>
          <w:p w14:paraId="5A0A3F81">
            <w:pPr>
              <w:spacing w:line="340" w:lineRule="exact"/>
              <w:rPr>
                <w:rFonts w:ascii="宋体" w:hAnsi="宋体" w:cs="宋体"/>
                <w:szCs w:val="21"/>
                <w:highlight w:val="none"/>
              </w:rPr>
            </w:pPr>
          </w:p>
        </w:tc>
        <w:tc>
          <w:tcPr>
            <w:tcW w:w="1561" w:type="dxa"/>
            <w:tcBorders>
              <w:top w:val="single" w:color="auto" w:sz="4" w:space="0"/>
              <w:left w:val="single" w:color="auto" w:sz="4" w:space="0"/>
              <w:bottom w:val="single" w:color="auto" w:sz="4" w:space="0"/>
              <w:right w:val="single" w:color="auto" w:sz="4" w:space="0"/>
            </w:tcBorders>
            <w:noWrap/>
          </w:tcPr>
          <w:p w14:paraId="468BF26C">
            <w:pPr>
              <w:spacing w:line="300" w:lineRule="exact"/>
              <w:rPr>
                <w:rFonts w:ascii="宋体" w:hAnsi="宋体" w:cs="宋体"/>
                <w:szCs w:val="21"/>
                <w:highlight w:val="none"/>
              </w:rPr>
            </w:pPr>
          </w:p>
        </w:tc>
      </w:tr>
    </w:tbl>
    <w:p w14:paraId="1AE9BF9E">
      <w:pPr>
        <w:spacing w:line="360" w:lineRule="auto"/>
        <w:ind w:left="-708" w:leftChars="-337"/>
        <w:rPr>
          <w:rFonts w:ascii="宋体" w:hAnsi="宋体" w:cs="宋体"/>
          <w:szCs w:val="20"/>
          <w:highlight w:val="none"/>
        </w:rPr>
      </w:pPr>
    </w:p>
    <w:p w14:paraId="41828862">
      <w:pPr>
        <w:spacing w:line="360" w:lineRule="auto"/>
        <w:ind w:left="-8" w:firstLine="315"/>
        <w:rPr>
          <w:rFonts w:ascii="宋体" w:hAnsi="宋体" w:cs="宋体"/>
          <w:szCs w:val="20"/>
          <w:highlight w:val="none"/>
        </w:rPr>
      </w:pPr>
      <w:r>
        <w:rPr>
          <w:rFonts w:hint="eastAsia" w:ascii="宋体" w:hAnsi="宋体" w:cs="宋体"/>
          <w:szCs w:val="20"/>
          <w:highlight w:val="none"/>
        </w:rPr>
        <w:t>注：</w:t>
      </w:r>
    </w:p>
    <w:p w14:paraId="5BD4AEC7">
      <w:pPr>
        <w:spacing w:line="360" w:lineRule="auto"/>
        <w:ind w:left="-8" w:firstLine="315"/>
        <w:rPr>
          <w:rFonts w:ascii="宋体" w:hAnsi="宋体" w:cs="宋体"/>
          <w:szCs w:val="20"/>
          <w:highlight w:val="none"/>
        </w:rPr>
      </w:pPr>
      <w:r>
        <w:rPr>
          <w:rFonts w:hint="eastAsia" w:ascii="宋体" w:hAnsi="宋体" w:cs="宋体"/>
          <w:szCs w:val="20"/>
          <w:highlight w:val="none"/>
        </w:rPr>
        <w:t>1.表格内容均需按要求填写并加盖投标人公章。</w:t>
      </w:r>
    </w:p>
    <w:p w14:paraId="764BF1ED">
      <w:pPr>
        <w:spacing w:line="360" w:lineRule="auto"/>
        <w:ind w:left="-8" w:firstLine="315"/>
        <w:rPr>
          <w:rFonts w:ascii="宋体" w:hAnsi="宋体" w:cs="宋体"/>
          <w:szCs w:val="20"/>
          <w:highlight w:val="none"/>
        </w:rPr>
      </w:pPr>
      <w:r>
        <w:rPr>
          <w:rFonts w:hint="eastAsia" w:ascii="宋体" w:hAnsi="宋体" w:cs="宋体"/>
          <w:szCs w:val="20"/>
          <w:highlight w:val="none"/>
        </w:rPr>
        <w:t>2.请逐条对应本项目招标文件“第二章  采购需求”中“商务条款”的要求，详细填写相应的具体内容。“偏离说明”一栏应当选择“正偏离”或“负偏离”或“无偏离”进行填写。</w:t>
      </w:r>
    </w:p>
    <w:p w14:paraId="6C6BE00F">
      <w:pPr>
        <w:spacing w:line="360" w:lineRule="auto"/>
        <w:ind w:left="-8" w:firstLine="315"/>
        <w:rPr>
          <w:rFonts w:ascii="宋体" w:hAnsi="宋体" w:cs="宋体"/>
          <w:szCs w:val="20"/>
          <w:highlight w:val="none"/>
        </w:rPr>
      </w:pPr>
      <w:r>
        <w:rPr>
          <w:rFonts w:hint="eastAsia" w:ascii="宋体" w:hAnsi="宋体" w:cs="宋体"/>
          <w:szCs w:val="20"/>
          <w:highlight w:val="none"/>
        </w:rPr>
        <w:t>3.当投标文件的商务内容低于招标文件要求时，投标人应当如实写明“负偏离”。</w:t>
      </w:r>
    </w:p>
    <w:p w14:paraId="6006EED2">
      <w:pPr>
        <w:snapToGrid w:val="0"/>
        <w:spacing w:before="50" w:after="50"/>
        <w:ind w:firstLine="360"/>
        <w:rPr>
          <w:rFonts w:ascii="宋体" w:hAnsi="宋体" w:cs="宋体"/>
          <w:sz w:val="24"/>
          <w:highlight w:val="none"/>
        </w:rPr>
      </w:pPr>
    </w:p>
    <w:p w14:paraId="183DAAB3">
      <w:pPr>
        <w:snapToGrid w:val="0"/>
        <w:spacing w:line="360" w:lineRule="auto"/>
        <w:ind w:firstLine="5640" w:firstLineChars="2350"/>
        <w:rPr>
          <w:rFonts w:ascii="宋体" w:hAnsi="宋体" w:cs="宋体"/>
          <w:kern w:val="0"/>
          <w:sz w:val="24"/>
          <w:highlight w:val="none"/>
        </w:rPr>
      </w:pPr>
      <w:r>
        <w:rPr>
          <w:rFonts w:hint="eastAsia" w:ascii="宋体" w:hAnsi="宋体" w:cs="宋体"/>
          <w:kern w:val="0"/>
          <w:sz w:val="24"/>
          <w:highlight w:val="none"/>
          <w:lang w:val="zh-CN"/>
        </w:rPr>
        <w:t>投标人名称(盖公章)：</w:t>
      </w:r>
    </w:p>
    <w:p w14:paraId="7EB81B05">
      <w:pPr>
        <w:snapToGrid w:val="0"/>
        <w:spacing w:line="360" w:lineRule="auto"/>
        <w:ind w:firstLine="5880" w:firstLineChars="2450"/>
        <w:rPr>
          <w:rFonts w:ascii="宋体" w:hAnsi="宋体" w:cs="宋体"/>
          <w:kern w:val="0"/>
          <w:sz w:val="24"/>
          <w:highlight w:val="none"/>
          <w:lang w:val="zh-CN"/>
        </w:rPr>
      </w:pPr>
      <w:r>
        <w:rPr>
          <w:rFonts w:hint="eastAsia" w:ascii="宋体" w:hAnsi="宋体" w:cs="宋体"/>
          <w:kern w:val="0"/>
          <w:sz w:val="24"/>
          <w:highlight w:val="none"/>
          <w:lang w:val="zh-CN"/>
        </w:rPr>
        <w:t>日期</w:t>
      </w:r>
      <w:r>
        <w:rPr>
          <w:rFonts w:hint="eastAsia" w:ascii="宋体" w:hAnsi="宋体" w:cs="宋体"/>
          <w:kern w:val="0"/>
          <w:sz w:val="24"/>
          <w:highlight w:val="none"/>
        </w:rPr>
        <w:t>：  年  月  日</w:t>
      </w:r>
    </w:p>
    <w:p w14:paraId="74ACE107">
      <w:pPr>
        <w:ind w:firstLine="422"/>
        <w:jc w:val="center"/>
        <w:outlineLvl w:val="1"/>
        <w:rPr>
          <w:rFonts w:ascii="宋体" w:hAnsi="宋体" w:cs="宋体"/>
          <w:b/>
          <w:bCs/>
          <w:sz w:val="28"/>
          <w:szCs w:val="28"/>
          <w:highlight w:val="none"/>
        </w:rPr>
      </w:pPr>
      <w:bookmarkStart w:id="256" w:name="_Toc11965"/>
      <w:bookmarkStart w:id="257" w:name="_Toc18262"/>
      <w:bookmarkStart w:id="258" w:name="_Toc352"/>
      <w:bookmarkStart w:id="259" w:name="_Toc8712"/>
      <w:bookmarkStart w:id="260" w:name="_Toc19686839"/>
      <w:bookmarkStart w:id="261" w:name="_Toc5911"/>
      <w:r>
        <w:rPr>
          <w:rFonts w:hint="eastAsia" w:ascii="宋体" w:hAnsi="宋体" w:cs="宋体"/>
          <w:b/>
          <w:bCs/>
          <w:sz w:val="28"/>
          <w:szCs w:val="28"/>
          <w:highlight w:val="none"/>
        </w:rPr>
        <w:br w:type="page"/>
      </w:r>
      <w:r>
        <w:rPr>
          <w:rFonts w:hint="eastAsia" w:ascii="宋体" w:hAnsi="宋体" w:cs="宋体"/>
          <w:b/>
          <w:bCs/>
          <w:sz w:val="28"/>
          <w:szCs w:val="28"/>
          <w:highlight w:val="none"/>
        </w:rPr>
        <w:t>第</w:t>
      </w:r>
      <w:r>
        <w:rPr>
          <w:rFonts w:hint="eastAsia" w:ascii="宋体" w:hAnsi="宋体" w:cs="宋体"/>
          <w:b/>
          <w:bCs/>
          <w:sz w:val="28"/>
          <w:szCs w:val="28"/>
          <w:highlight w:val="none"/>
          <w:lang w:eastAsia="zh-CN"/>
        </w:rPr>
        <w:t>三</w:t>
      </w:r>
      <w:r>
        <w:rPr>
          <w:rFonts w:hint="eastAsia" w:ascii="宋体" w:hAnsi="宋体" w:cs="宋体"/>
          <w:b/>
          <w:bCs/>
          <w:sz w:val="28"/>
          <w:szCs w:val="28"/>
          <w:highlight w:val="none"/>
        </w:rPr>
        <w:t>节 技术文件格式</w:t>
      </w:r>
      <w:bookmarkEnd w:id="256"/>
      <w:bookmarkEnd w:id="257"/>
      <w:bookmarkEnd w:id="258"/>
      <w:bookmarkEnd w:id="259"/>
      <w:bookmarkEnd w:id="260"/>
      <w:bookmarkEnd w:id="261"/>
    </w:p>
    <w:p w14:paraId="6B010256">
      <w:pPr>
        <w:snapToGrid w:val="0"/>
        <w:spacing w:beforeLines="50" w:after="50"/>
        <w:ind w:firstLine="360"/>
        <w:rPr>
          <w:rFonts w:ascii="宋体" w:hAnsi="宋体" w:cs="宋体"/>
          <w:sz w:val="24"/>
          <w:highlight w:val="none"/>
        </w:rPr>
      </w:pPr>
    </w:p>
    <w:p w14:paraId="6EE31A84">
      <w:pPr>
        <w:snapToGrid w:val="0"/>
        <w:spacing w:beforeLines="50" w:after="50"/>
        <w:ind w:left="142" w:firstLine="422"/>
        <w:jc w:val="left"/>
        <w:rPr>
          <w:rFonts w:ascii="宋体" w:hAnsi="宋体" w:cs="宋体"/>
          <w:b/>
          <w:sz w:val="28"/>
          <w:szCs w:val="28"/>
          <w:highlight w:val="none"/>
        </w:rPr>
      </w:pPr>
      <w:r>
        <w:rPr>
          <w:rFonts w:hint="eastAsia" w:ascii="宋体" w:hAnsi="宋体" w:cs="宋体"/>
          <w:b/>
          <w:sz w:val="28"/>
          <w:szCs w:val="28"/>
          <w:highlight w:val="none"/>
        </w:rPr>
        <w:t xml:space="preserve">1. 技术文件封面的格式： </w:t>
      </w:r>
    </w:p>
    <w:p w14:paraId="06BD4DE3">
      <w:pPr>
        <w:snapToGrid w:val="0"/>
        <w:spacing w:beforeLines="50" w:after="50"/>
        <w:ind w:firstLine="360"/>
        <w:rPr>
          <w:rFonts w:ascii="宋体" w:hAnsi="宋体" w:cs="宋体"/>
          <w:sz w:val="24"/>
          <w:highlight w:val="none"/>
        </w:rPr>
      </w:pPr>
    </w:p>
    <w:p w14:paraId="7222001F">
      <w:pPr>
        <w:snapToGrid w:val="0"/>
        <w:spacing w:beforeLines="50" w:after="50"/>
        <w:ind w:firstLine="6300" w:firstLineChars="3000"/>
        <w:rPr>
          <w:rFonts w:ascii="宋体" w:hAnsi="宋体" w:cs="宋体"/>
          <w:bCs/>
          <w:sz w:val="32"/>
          <w:szCs w:val="20"/>
          <w:highlight w:val="none"/>
        </w:rPr>
      </w:pPr>
      <w:r>
        <w:rPr>
          <w:rFonts w:hint="eastAsia" w:ascii="宋体" w:hAnsi="宋体" w:cs="宋体"/>
          <w:bCs/>
          <w:highlight w:val="none"/>
        </w:rPr>
        <w:t>电子投标文件</w:t>
      </w:r>
    </w:p>
    <w:p w14:paraId="4D1224FB">
      <w:pPr>
        <w:snapToGrid w:val="0"/>
        <w:spacing w:beforeLines="50" w:after="50"/>
        <w:ind w:firstLine="360"/>
        <w:rPr>
          <w:rFonts w:ascii="宋体" w:hAnsi="宋体" w:cs="宋体"/>
          <w:sz w:val="24"/>
          <w:szCs w:val="20"/>
          <w:highlight w:val="none"/>
        </w:rPr>
      </w:pPr>
    </w:p>
    <w:p w14:paraId="602FEAC5">
      <w:pPr>
        <w:snapToGrid w:val="0"/>
        <w:spacing w:beforeLines="50" w:after="50"/>
        <w:ind w:firstLine="482"/>
        <w:jc w:val="center"/>
        <w:rPr>
          <w:rFonts w:ascii="宋体" w:hAnsi="宋体" w:cs="宋体"/>
          <w:b/>
          <w:bCs/>
          <w:sz w:val="32"/>
          <w:szCs w:val="32"/>
          <w:highlight w:val="none"/>
        </w:rPr>
      </w:pPr>
    </w:p>
    <w:p w14:paraId="5DE07344">
      <w:pPr>
        <w:snapToGrid w:val="0"/>
        <w:spacing w:beforeLines="50" w:after="50"/>
        <w:ind w:firstLine="482"/>
        <w:jc w:val="center"/>
        <w:rPr>
          <w:rFonts w:ascii="宋体" w:hAnsi="宋体" w:cs="宋体"/>
          <w:b/>
          <w:bCs/>
          <w:sz w:val="32"/>
          <w:szCs w:val="32"/>
          <w:highlight w:val="none"/>
        </w:rPr>
      </w:pPr>
      <w:r>
        <w:rPr>
          <w:rFonts w:hint="eastAsia" w:ascii="宋体" w:hAnsi="宋体" w:cs="宋体"/>
          <w:b/>
          <w:bCs/>
          <w:sz w:val="32"/>
          <w:szCs w:val="32"/>
          <w:highlight w:val="none"/>
        </w:rPr>
        <w:t>技术文件</w:t>
      </w:r>
    </w:p>
    <w:p w14:paraId="52B9572A">
      <w:pPr>
        <w:snapToGrid w:val="0"/>
        <w:spacing w:beforeLines="50" w:after="50"/>
        <w:ind w:firstLine="360"/>
        <w:rPr>
          <w:rFonts w:ascii="宋体" w:hAnsi="宋体" w:cs="宋体"/>
          <w:bCs/>
          <w:sz w:val="24"/>
          <w:szCs w:val="20"/>
          <w:highlight w:val="none"/>
        </w:rPr>
      </w:pPr>
    </w:p>
    <w:p w14:paraId="2E53A7E0">
      <w:pPr>
        <w:snapToGrid w:val="0"/>
        <w:spacing w:beforeLines="50" w:after="50" w:line="400" w:lineRule="exact"/>
        <w:ind w:firstLine="360" w:firstLineChars="150"/>
        <w:rPr>
          <w:rFonts w:ascii="宋体" w:hAnsi="宋体" w:cs="宋体"/>
          <w:bCs/>
          <w:sz w:val="24"/>
          <w:highlight w:val="none"/>
        </w:rPr>
      </w:pPr>
    </w:p>
    <w:p w14:paraId="44545517">
      <w:pPr>
        <w:snapToGrid w:val="0"/>
        <w:spacing w:beforeLines="50" w:after="50" w:line="400" w:lineRule="exact"/>
        <w:ind w:firstLine="360" w:firstLineChars="150"/>
        <w:rPr>
          <w:rFonts w:ascii="宋体" w:hAnsi="宋体" w:cs="宋体"/>
          <w:bCs/>
          <w:sz w:val="24"/>
          <w:szCs w:val="20"/>
          <w:highlight w:val="none"/>
        </w:rPr>
      </w:pPr>
      <w:r>
        <w:rPr>
          <w:rFonts w:hint="eastAsia" w:ascii="宋体" w:hAnsi="宋体" w:cs="宋体"/>
          <w:bCs/>
          <w:sz w:val="24"/>
          <w:highlight w:val="none"/>
        </w:rPr>
        <w:t xml:space="preserve">项目名称：  </w:t>
      </w:r>
    </w:p>
    <w:p w14:paraId="2B1CCCCF">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 xml:space="preserve">项目编号：  </w:t>
      </w:r>
    </w:p>
    <w:p w14:paraId="27EA503E">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所投分标（如有则填写，无分标时填写“无”或者留空）：</w:t>
      </w:r>
    </w:p>
    <w:p w14:paraId="5952A56F">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投标人名称：</w:t>
      </w:r>
    </w:p>
    <w:p w14:paraId="7E66B95F">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投标人地址：</w:t>
      </w:r>
    </w:p>
    <w:p w14:paraId="70E649A3">
      <w:pPr>
        <w:snapToGrid w:val="0"/>
        <w:spacing w:beforeLines="50" w:after="50"/>
        <w:ind w:firstLine="360"/>
        <w:jc w:val="center"/>
        <w:rPr>
          <w:rFonts w:ascii="宋体" w:hAnsi="宋体" w:cs="宋体"/>
          <w:sz w:val="24"/>
          <w:highlight w:val="none"/>
        </w:rPr>
      </w:pPr>
    </w:p>
    <w:p w14:paraId="6101CBD8">
      <w:pPr>
        <w:snapToGrid w:val="0"/>
        <w:spacing w:beforeLines="50" w:after="50"/>
        <w:ind w:firstLine="360"/>
        <w:jc w:val="center"/>
        <w:rPr>
          <w:rFonts w:ascii="宋体" w:hAnsi="宋体" w:cs="宋体"/>
          <w:sz w:val="24"/>
          <w:highlight w:val="none"/>
        </w:rPr>
      </w:pPr>
    </w:p>
    <w:p w14:paraId="54CFCC6B">
      <w:pPr>
        <w:snapToGrid w:val="0"/>
        <w:spacing w:beforeLines="50" w:after="50"/>
        <w:ind w:firstLine="360"/>
        <w:jc w:val="center"/>
        <w:rPr>
          <w:rFonts w:ascii="宋体" w:hAnsi="宋体" w:cs="宋体"/>
          <w:sz w:val="24"/>
          <w:highlight w:val="none"/>
        </w:rPr>
      </w:pPr>
    </w:p>
    <w:p w14:paraId="7CF2AD04">
      <w:pPr>
        <w:snapToGrid w:val="0"/>
        <w:spacing w:beforeLines="50" w:after="50"/>
        <w:ind w:firstLine="360"/>
        <w:jc w:val="center"/>
        <w:rPr>
          <w:rFonts w:ascii="宋体" w:hAnsi="宋体" w:cs="宋体"/>
          <w:sz w:val="24"/>
          <w:highlight w:val="none"/>
        </w:rPr>
      </w:pPr>
    </w:p>
    <w:p w14:paraId="619DEC2B">
      <w:pPr>
        <w:snapToGrid w:val="0"/>
        <w:spacing w:beforeLines="50" w:after="50"/>
        <w:ind w:firstLine="3840" w:firstLineChars="1600"/>
        <w:rPr>
          <w:rFonts w:ascii="宋体" w:hAnsi="宋体" w:cs="宋体"/>
          <w:sz w:val="24"/>
          <w:highlight w:val="none"/>
        </w:rPr>
      </w:pPr>
      <w:r>
        <w:rPr>
          <w:rFonts w:hint="eastAsia" w:ascii="宋体" w:hAnsi="宋体" w:cs="宋体"/>
          <w:sz w:val="24"/>
          <w:highlight w:val="none"/>
        </w:rPr>
        <w:t xml:space="preserve">  年    月    日</w:t>
      </w:r>
    </w:p>
    <w:p w14:paraId="5DA96859">
      <w:pPr>
        <w:snapToGrid w:val="0"/>
        <w:spacing w:beforeLines="50" w:after="50"/>
        <w:ind w:firstLine="360"/>
        <w:jc w:val="center"/>
        <w:rPr>
          <w:rFonts w:ascii="宋体" w:hAnsi="宋体" w:cs="宋体"/>
          <w:sz w:val="24"/>
          <w:szCs w:val="20"/>
          <w:highlight w:val="none"/>
        </w:rPr>
      </w:pPr>
    </w:p>
    <w:p w14:paraId="5146CB0F">
      <w:pPr>
        <w:snapToGrid w:val="0"/>
        <w:spacing w:beforeLines="50" w:after="50"/>
        <w:ind w:left="142" w:firstLine="361"/>
        <w:jc w:val="left"/>
        <w:rPr>
          <w:rFonts w:ascii="宋体" w:hAnsi="宋体" w:cs="宋体"/>
          <w:b/>
          <w:bCs/>
          <w:sz w:val="24"/>
          <w:highlight w:val="none"/>
        </w:rPr>
      </w:pPr>
      <w:r>
        <w:rPr>
          <w:rFonts w:hint="eastAsia" w:ascii="宋体" w:hAnsi="宋体" w:cs="宋体"/>
          <w:b/>
          <w:bCs/>
          <w:sz w:val="24"/>
          <w:highlight w:val="none"/>
        </w:rPr>
        <w:br w:type="page"/>
      </w:r>
      <w:r>
        <w:rPr>
          <w:rFonts w:hint="eastAsia" w:ascii="宋体" w:hAnsi="宋体" w:cs="宋体"/>
          <w:b/>
          <w:bCs/>
          <w:sz w:val="28"/>
          <w:szCs w:val="28"/>
          <w:highlight w:val="none"/>
        </w:rPr>
        <w:t>2. 技术文件目录</w:t>
      </w:r>
    </w:p>
    <w:p w14:paraId="18A00D1C">
      <w:pPr>
        <w:spacing w:line="360" w:lineRule="auto"/>
        <w:ind w:right="420" w:firstLine="360"/>
        <w:rPr>
          <w:rFonts w:ascii="宋体" w:hAnsi="宋体" w:cs="宋体"/>
          <w:b/>
          <w:kern w:val="0"/>
          <w:sz w:val="36"/>
          <w:szCs w:val="36"/>
          <w:highlight w:val="none"/>
        </w:rPr>
      </w:pPr>
      <w:r>
        <w:rPr>
          <w:rFonts w:hint="eastAsia" w:ascii="宋体" w:hAnsi="宋体" w:cs="宋体"/>
          <w:kern w:val="0"/>
          <w:sz w:val="24"/>
          <w:highlight w:val="none"/>
        </w:rPr>
        <w:t>根据招标文件规定及投标人提供的材料自行编写目录（部分格式后附）。</w:t>
      </w:r>
    </w:p>
    <w:p w14:paraId="66D73CE1">
      <w:pPr>
        <w:snapToGrid w:val="0"/>
        <w:spacing w:beforeLines="50" w:after="50"/>
        <w:ind w:firstLine="361"/>
        <w:jc w:val="left"/>
        <w:rPr>
          <w:rFonts w:ascii="宋体" w:hAnsi="宋体" w:cs="宋体"/>
          <w:b/>
          <w:sz w:val="24"/>
          <w:highlight w:val="none"/>
        </w:rPr>
      </w:pPr>
    </w:p>
    <w:p w14:paraId="20084B01">
      <w:pPr>
        <w:spacing w:line="500" w:lineRule="exact"/>
        <w:ind w:firstLine="452"/>
        <w:jc w:val="left"/>
        <w:rPr>
          <w:rFonts w:ascii="宋体" w:hAnsi="宋体" w:cs="宋体"/>
          <w:b/>
          <w:bCs/>
          <w:sz w:val="30"/>
          <w:szCs w:val="30"/>
          <w:highlight w:val="none"/>
        </w:rPr>
      </w:pPr>
      <w:r>
        <w:rPr>
          <w:rFonts w:hint="eastAsia" w:ascii="宋体" w:hAnsi="宋体" w:cs="宋体"/>
          <w:b/>
          <w:bCs/>
          <w:sz w:val="30"/>
          <w:szCs w:val="30"/>
          <w:highlight w:val="none"/>
        </w:rPr>
        <w:br w:type="page"/>
      </w:r>
      <w:r>
        <w:rPr>
          <w:rFonts w:hint="eastAsia" w:ascii="宋体" w:hAnsi="宋体" w:cs="宋体"/>
          <w:b/>
          <w:sz w:val="28"/>
          <w:szCs w:val="28"/>
          <w:highlight w:val="none"/>
        </w:rPr>
        <w:t>3. 技术性能、参数偏离表的格式：</w:t>
      </w:r>
    </w:p>
    <w:p w14:paraId="4BB4E191">
      <w:pPr>
        <w:spacing w:line="500" w:lineRule="exact"/>
        <w:ind w:firstLine="452"/>
        <w:jc w:val="center"/>
        <w:rPr>
          <w:rFonts w:ascii="宋体" w:hAnsi="宋体" w:cs="宋体"/>
          <w:b/>
          <w:bCs/>
          <w:sz w:val="30"/>
          <w:szCs w:val="30"/>
          <w:highlight w:val="none"/>
        </w:rPr>
      </w:pPr>
      <w:r>
        <w:rPr>
          <w:rFonts w:hint="eastAsia" w:ascii="宋体" w:hAnsi="宋体" w:cs="宋体"/>
          <w:b/>
          <w:bCs/>
          <w:sz w:val="30"/>
          <w:szCs w:val="30"/>
          <w:highlight w:val="none"/>
        </w:rPr>
        <w:t>技术性能、参数偏离表</w:t>
      </w:r>
    </w:p>
    <w:p w14:paraId="6138A21D">
      <w:pPr>
        <w:spacing w:line="440" w:lineRule="exact"/>
        <w:ind w:firstLine="420" w:firstLineChars="200"/>
        <w:rPr>
          <w:rFonts w:ascii="宋体" w:hAnsi="宋体" w:cs="宋体"/>
          <w:szCs w:val="20"/>
          <w:highlight w:val="none"/>
        </w:rPr>
      </w:pPr>
    </w:p>
    <w:p w14:paraId="44CABB5F">
      <w:pPr>
        <w:snapToGrid w:val="0"/>
        <w:spacing w:before="50" w:after="50" w:line="480" w:lineRule="auto"/>
        <w:rPr>
          <w:rFonts w:ascii="宋体" w:hAnsi="宋体" w:cs="宋体"/>
          <w:szCs w:val="21"/>
          <w:highlight w:val="none"/>
        </w:rPr>
      </w:pPr>
      <w:r>
        <w:rPr>
          <w:rFonts w:hint="eastAsia" w:ascii="宋体" w:hAnsi="宋体" w:cs="宋体"/>
          <w:szCs w:val="21"/>
          <w:highlight w:val="none"/>
        </w:rPr>
        <w:t>项目名称：</w:t>
      </w:r>
      <w:r>
        <w:rPr>
          <w:rFonts w:hint="eastAsia" w:ascii="宋体" w:hAnsi="宋体" w:cs="宋体"/>
          <w:bCs/>
          <w:szCs w:val="21"/>
          <w:highlight w:val="none"/>
          <w:u w:val="single"/>
        </w:rPr>
        <w:t xml:space="preserve">                              </w:t>
      </w:r>
    </w:p>
    <w:p w14:paraId="36960BCD">
      <w:pPr>
        <w:snapToGrid w:val="0"/>
        <w:spacing w:before="50" w:after="50" w:line="480" w:lineRule="auto"/>
        <w:rPr>
          <w:rFonts w:ascii="宋体" w:hAnsi="宋体" w:cs="宋体"/>
          <w:szCs w:val="21"/>
          <w:highlight w:val="none"/>
          <w:u w:val="single"/>
        </w:rPr>
      </w:pPr>
      <w:r>
        <w:rPr>
          <w:rFonts w:hint="eastAsia" w:ascii="宋体" w:hAnsi="宋体" w:cs="宋体"/>
          <w:szCs w:val="21"/>
          <w:highlight w:val="none"/>
        </w:rPr>
        <w:t>项目编号：</w:t>
      </w:r>
      <w:r>
        <w:rPr>
          <w:rFonts w:hint="eastAsia" w:ascii="宋体" w:hAnsi="宋体" w:cs="宋体"/>
          <w:bCs/>
          <w:szCs w:val="21"/>
          <w:highlight w:val="none"/>
          <w:u w:val="single"/>
        </w:rPr>
        <w:t xml:space="preserve">                              </w:t>
      </w:r>
    </w:p>
    <w:p w14:paraId="154B0ADF">
      <w:pPr>
        <w:pStyle w:val="14"/>
        <w:spacing w:line="480" w:lineRule="auto"/>
        <w:rPr>
          <w:highlight w:val="none"/>
        </w:rPr>
      </w:pPr>
      <w:r>
        <w:rPr>
          <w:rFonts w:hint="eastAsia" w:hAnsi="宋体" w:cs="宋体"/>
          <w:bCs/>
          <w:szCs w:val="21"/>
          <w:highlight w:val="none"/>
        </w:rPr>
        <w:t>所投分标（此处有分标时填写具体分标号，无分标时填写“无”）：</w:t>
      </w:r>
      <w:r>
        <w:rPr>
          <w:rFonts w:hint="eastAsia" w:hAnsi="宋体" w:cs="宋体"/>
          <w:bCs/>
          <w:szCs w:val="21"/>
          <w:highlight w:val="none"/>
          <w:u w:val="single"/>
        </w:rPr>
        <w:t xml:space="preserve">    </w:t>
      </w:r>
    </w:p>
    <w:tbl>
      <w:tblPr>
        <w:tblStyle w:val="2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058"/>
        <w:gridCol w:w="3280"/>
        <w:gridCol w:w="3612"/>
        <w:gridCol w:w="1130"/>
      </w:tblGrid>
      <w:tr w14:paraId="378C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14:paraId="3144A20C">
            <w:pPr>
              <w:widowControl/>
              <w:jc w:val="left"/>
              <w:rPr>
                <w:rFonts w:ascii="宋体" w:hAnsi="宋体" w:cs="宋体"/>
                <w:szCs w:val="21"/>
                <w:highlight w:val="none"/>
              </w:rPr>
            </w:pPr>
            <w:r>
              <w:rPr>
                <w:rFonts w:hint="eastAsia" w:ascii="宋体" w:hAnsi="宋体" w:cs="宋体"/>
                <w:szCs w:val="21"/>
                <w:highlight w:val="none"/>
              </w:rPr>
              <w:t>项号</w:t>
            </w:r>
          </w:p>
        </w:tc>
        <w:tc>
          <w:tcPr>
            <w:tcW w:w="1058" w:type="dxa"/>
            <w:tcBorders>
              <w:top w:val="single" w:color="auto" w:sz="4" w:space="0"/>
              <w:left w:val="single" w:color="auto" w:sz="4" w:space="0"/>
              <w:bottom w:val="single" w:color="auto" w:sz="4" w:space="0"/>
              <w:right w:val="single" w:color="auto" w:sz="4" w:space="0"/>
            </w:tcBorders>
            <w:vAlign w:val="center"/>
          </w:tcPr>
          <w:p w14:paraId="38CB3146">
            <w:pPr>
              <w:jc w:val="center"/>
              <w:rPr>
                <w:rFonts w:ascii="宋体" w:hAnsi="宋体" w:cs="宋体"/>
                <w:szCs w:val="21"/>
                <w:highlight w:val="none"/>
              </w:rPr>
            </w:pPr>
            <w:r>
              <w:rPr>
                <w:rFonts w:hint="eastAsia" w:ascii="宋体" w:hAnsi="宋体" w:cs="宋体"/>
                <w:szCs w:val="21"/>
                <w:highlight w:val="none"/>
              </w:rPr>
              <w:t>标的名称</w:t>
            </w:r>
          </w:p>
        </w:tc>
        <w:tc>
          <w:tcPr>
            <w:tcW w:w="3280" w:type="dxa"/>
            <w:tcBorders>
              <w:top w:val="single" w:color="auto" w:sz="4" w:space="0"/>
              <w:left w:val="single" w:color="auto" w:sz="4" w:space="0"/>
              <w:bottom w:val="single" w:color="auto" w:sz="4" w:space="0"/>
              <w:right w:val="single" w:color="auto" w:sz="4" w:space="0"/>
            </w:tcBorders>
            <w:vAlign w:val="center"/>
          </w:tcPr>
          <w:p w14:paraId="60D5B114">
            <w:pPr>
              <w:jc w:val="center"/>
              <w:rPr>
                <w:rFonts w:hint="eastAsia" w:ascii="宋体" w:hAnsi="宋体" w:eastAsia="宋体" w:cs="宋体"/>
                <w:szCs w:val="21"/>
                <w:highlight w:val="none"/>
                <w:lang w:eastAsia="zh-CN"/>
              </w:rPr>
            </w:pPr>
            <w:r>
              <w:rPr>
                <w:rFonts w:hint="eastAsia" w:ascii="宋体" w:hAnsi="宋体"/>
                <w:szCs w:val="21"/>
                <w:highlight w:val="none"/>
              </w:rPr>
              <w:t>招标文件采购需求中的技术性能、参数</w:t>
            </w:r>
            <w:r>
              <w:rPr>
                <w:rFonts w:hint="eastAsia" w:ascii="宋体" w:hAnsi="宋体"/>
                <w:szCs w:val="21"/>
                <w:highlight w:val="none"/>
                <w:lang w:eastAsia="zh-CN"/>
              </w:rPr>
              <w:t>要求</w:t>
            </w:r>
          </w:p>
        </w:tc>
        <w:tc>
          <w:tcPr>
            <w:tcW w:w="3612" w:type="dxa"/>
            <w:tcBorders>
              <w:top w:val="single" w:color="auto" w:sz="4" w:space="0"/>
              <w:left w:val="single" w:color="auto" w:sz="4" w:space="0"/>
              <w:bottom w:val="single" w:color="auto" w:sz="4" w:space="0"/>
              <w:right w:val="single" w:color="auto" w:sz="4" w:space="0"/>
            </w:tcBorders>
            <w:vAlign w:val="center"/>
          </w:tcPr>
          <w:p w14:paraId="7640E8C6">
            <w:pPr>
              <w:jc w:val="center"/>
              <w:rPr>
                <w:rFonts w:ascii="宋体" w:hAnsi="宋体" w:cs="宋体"/>
                <w:szCs w:val="21"/>
                <w:highlight w:val="none"/>
              </w:rPr>
            </w:pPr>
            <w:r>
              <w:rPr>
                <w:rFonts w:hint="eastAsia" w:ascii="宋体" w:hAnsi="宋体"/>
                <w:szCs w:val="21"/>
                <w:highlight w:val="none"/>
              </w:rPr>
              <w:t>投标文件响应的技术性能、参数</w:t>
            </w:r>
          </w:p>
        </w:tc>
        <w:tc>
          <w:tcPr>
            <w:tcW w:w="1130" w:type="dxa"/>
            <w:tcBorders>
              <w:top w:val="single" w:color="auto" w:sz="4" w:space="0"/>
              <w:left w:val="single" w:color="auto" w:sz="4" w:space="0"/>
              <w:bottom w:val="single" w:color="auto" w:sz="4" w:space="0"/>
              <w:right w:val="single" w:color="auto" w:sz="4" w:space="0"/>
            </w:tcBorders>
            <w:vAlign w:val="center"/>
          </w:tcPr>
          <w:p w14:paraId="0856D2C7">
            <w:pPr>
              <w:widowControl/>
              <w:jc w:val="left"/>
              <w:rPr>
                <w:rFonts w:ascii="宋体" w:hAnsi="宋体" w:cs="宋体"/>
                <w:szCs w:val="21"/>
                <w:highlight w:val="none"/>
              </w:rPr>
            </w:pPr>
            <w:r>
              <w:rPr>
                <w:rFonts w:hint="eastAsia" w:ascii="宋体" w:hAnsi="宋体"/>
                <w:szCs w:val="21"/>
                <w:highlight w:val="none"/>
              </w:rPr>
              <w:t>偏离说明</w:t>
            </w:r>
          </w:p>
        </w:tc>
      </w:tr>
      <w:tr w14:paraId="4D7B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14:paraId="52EE6516">
            <w:pPr>
              <w:jc w:val="center"/>
              <w:rPr>
                <w:rFonts w:ascii="宋体" w:hAnsi="宋体" w:cs="宋体"/>
                <w:szCs w:val="21"/>
                <w:highlight w:val="none"/>
              </w:rPr>
            </w:pPr>
            <w:r>
              <w:rPr>
                <w:rFonts w:hint="eastAsia" w:ascii="宋体" w:hAnsi="宋体" w:cs="宋体"/>
                <w:szCs w:val="21"/>
                <w:highlight w:val="none"/>
              </w:rPr>
              <w:t>1</w:t>
            </w:r>
          </w:p>
        </w:tc>
        <w:tc>
          <w:tcPr>
            <w:tcW w:w="1058" w:type="dxa"/>
            <w:tcBorders>
              <w:top w:val="single" w:color="auto" w:sz="4" w:space="0"/>
              <w:left w:val="single" w:color="auto" w:sz="4" w:space="0"/>
              <w:bottom w:val="single" w:color="auto" w:sz="4" w:space="0"/>
              <w:right w:val="single" w:color="auto" w:sz="4" w:space="0"/>
            </w:tcBorders>
            <w:vAlign w:val="center"/>
          </w:tcPr>
          <w:p w14:paraId="7CCA2CA6">
            <w:pPr>
              <w:rPr>
                <w:rFonts w:ascii="宋体" w:hAnsi="宋体" w:cs="宋体"/>
                <w:szCs w:val="21"/>
                <w:highlight w:val="none"/>
              </w:rPr>
            </w:pPr>
          </w:p>
        </w:tc>
        <w:tc>
          <w:tcPr>
            <w:tcW w:w="3280" w:type="dxa"/>
            <w:tcBorders>
              <w:top w:val="single" w:color="auto" w:sz="4" w:space="0"/>
              <w:left w:val="single" w:color="auto" w:sz="4" w:space="0"/>
              <w:bottom w:val="single" w:color="auto" w:sz="4" w:space="0"/>
              <w:right w:val="single" w:color="auto" w:sz="4" w:space="0"/>
            </w:tcBorders>
            <w:vAlign w:val="center"/>
          </w:tcPr>
          <w:p w14:paraId="789D05F5">
            <w:pPr>
              <w:rPr>
                <w:rFonts w:ascii="宋体" w:hAnsi="宋体" w:cs="宋体"/>
                <w:szCs w:val="21"/>
                <w:highlight w:val="none"/>
              </w:rPr>
            </w:pPr>
          </w:p>
        </w:tc>
        <w:tc>
          <w:tcPr>
            <w:tcW w:w="3612" w:type="dxa"/>
            <w:tcBorders>
              <w:top w:val="single" w:color="auto" w:sz="4" w:space="0"/>
              <w:left w:val="single" w:color="auto" w:sz="4" w:space="0"/>
              <w:bottom w:val="single" w:color="auto" w:sz="4" w:space="0"/>
              <w:right w:val="single" w:color="auto" w:sz="4" w:space="0"/>
            </w:tcBorders>
            <w:vAlign w:val="center"/>
          </w:tcPr>
          <w:p w14:paraId="0231B8B2">
            <w:pPr>
              <w:rPr>
                <w:rFonts w:ascii="宋体" w:hAnsi="宋体" w:cs="宋体"/>
                <w:szCs w:val="21"/>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14:paraId="55D74FE3">
            <w:pPr>
              <w:rPr>
                <w:rFonts w:ascii="宋体" w:hAnsi="宋体" w:cs="宋体"/>
                <w:szCs w:val="21"/>
                <w:highlight w:val="none"/>
              </w:rPr>
            </w:pPr>
          </w:p>
        </w:tc>
      </w:tr>
      <w:tr w14:paraId="2688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14:paraId="516A7D84">
            <w:pPr>
              <w:jc w:val="center"/>
              <w:rPr>
                <w:rFonts w:ascii="宋体" w:hAnsi="宋体" w:cs="宋体"/>
                <w:szCs w:val="21"/>
                <w:highlight w:val="none"/>
              </w:rPr>
            </w:pPr>
            <w:r>
              <w:rPr>
                <w:rFonts w:hint="eastAsia" w:ascii="宋体" w:hAnsi="宋体" w:cs="宋体"/>
                <w:szCs w:val="21"/>
                <w:highlight w:val="none"/>
              </w:rPr>
              <w:t>2</w:t>
            </w:r>
          </w:p>
        </w:tc>
        <w:tc>
          <w:tcPr>
            <w:tcW w:w="1058" w:type="dxa"/>
            <w:tcBorders>
              <w:top w:val="single" w:color="auto" w:sz="4" w:space="0"/>
              <w:left w:val="single" w:color="auto" w:sz="4" w:space="0"/>
              <w:bottom w:val="single" w:color="auto" w:sz="4" w:space="0"/>
              <w:right w:val="single" w:color="auto" w:sz="4" w:space="0"/>
            </w:tcBorders>
            <w:vAlign w:val="center"/>
          </w:tcPr>
          <w:p w14:paraId="367BFB06">
            <w:pPr>
              <w:rPr>
                <w:rFonts w:ascii="宋体" w:hAnsi="宋体" w:cs="宋体"/>
                <w:szCs w:val="21"/>
                <w:highlight w:val="none"/>
              </w:rPr>
            </w:pPr>
          </w:p>
        </w:tc>
        <w:tc>
          <w:tcPr>
            <w:tcW w:w="3280" w:type="dxa"/>
            <w:tcBorders>
              <w:top w:val="single" w:color="auto" w:sz="4" w:space="0"/>
              <w:left w:val="single" w:color="auto" w:sz="4" w:space="0"/>
              <w:bottom w:val="single" w:color="auto" w:sz="4" w:space="0"/>
              <w:right w:val="single" w:color="auto" w:sz="4" w:space="0"/>
            </w:tcBorders>
            <w:vAlign w:val="center"/>
          </w:tcPr>
          <w:p w14:paraId="4D1A2EB3">
            <w:pPr>
              <w:rPr>
                <w:rFonts w:ascii="宋体" w:hAnsi="宋体" w:cs="宋体"/>
                <w:szCs w:val="21"/>
                <w:highlight w:val="none"/>
              </w:rPr>
            </w:pPr>
          </w:p>
        </w:tc>
        <w:tc>
          <w:tcPr>
            <w:tcW w:w="3612" w:type="dxa"/>
            <w:tcBorders>
              <w:top w:val="single" w:color="auto" w:sz="4" w:space="0"/>
              <w:left w:val="single" w:color="auto" w:sz="4" w:space="0"/>
              <w:bottom w:val="single" w:color="auto" w:sz="4" w:space="0"/>
              <w:right w:val="single" w:color="auto" w:sz="4" w:space="0"/>
            </w:tcBorders>
            <w:vAlign w:val="center"/>
          </w:tcPr>
          <w:p w14:paraId="4ACB18C5">
            <w:pPr>
              <w:rPr>
                <w:rFonts w:ascii="宋体" w:hAnsi="宋体" w:cs="宋体"/>
                <w:szCs w:val="21"/>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14:paraId="0653A02B">
            <w:pPr>
              <w:rPr>
                <w:rFonts w:ascii="宋体" w:hAnsi="宋体" w:cs="宋体"/>
                <w:szCs w:val="21"/>
                <w:highlight w:val="none"/>
              </w:rPr>
            </w:pPr>
          </w:p>
        </w:tc>
      </w:tr>
      <w:tr w14:paraId="4F90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14:paraId="29A27122">
            <w:pPr>
              <w:rPr>
                <w:rFonts w:ascii="宋体" w:hAnsi="宋体" w:cs="宋体"/>
                <w:szCs w:val="21"/>
                <w:highlight w:val="none"/>
              </w:rPr>
            </w:pPr>
            <w:r>
              <w:rPr>
                <w:rFonts w:hint="eastAsia" w:ascii="宋体" w:hAnsi="宋体" w:cs="宋体"/>
                <w:szCs w:val="21"/>
                <w:highlight w:val="none"/>
              </w:rPr>
              <w:t>...</w:t>
            </w:r>
          </w:p>
        </w:tc>
        <w:tc>
          <w:tcPr>
            <w:tcW w:w="1058" w:type="dxa"/>
            <w:tcBorders>
              <w:top w:val="single" w:color="auto" w:sz="4" w:space="0"/>
              <w:left w:val="single" w:color="auto" w:sz="4" w:space="0"/>
              <w:bottom w:val="single" w:color="auto" w:sz="4" w:space="0"/>
              <w:right w:val="single" w:color="auto" w:sz="4" w:space="0"/>
            </w:tcBorders>
            <w:vAlign w:val="center"/>
          </w:tcPr>
          <w:p w14:paraId="76412871">
            <w:pPr>
              <w:rPr>
                <w:rFonts w:ascii="宋体" w:hAnsi="宋体" w:cs="宋体"/>
                <w:szCs w:val="21"/>
                <w:highlight w:val="none"/>
              </w:rPr>
            </w:pPr>
          </w:p>
        </w:tc>
        <w:tc>
          <w:tcPr>
            <w:tcW w:w="3280" w:type="dxa"/>
            <w:tcBorders>
              <w:top w:val="single" w:color="auto" w:sz="4" w:space="0"/>
              <w:left w:val="single" w:color="auto" w:sz="4" w:space="0"/>
              <w:bottom w:val="single" w:color="auto" w:sz="4" w:space="0"/>
              <w:right w:val="single" w:color="auto" w:sz="4" w:space="0"/>
            </w:tcBorders>
            <w:vAlign w:val="center"/>
          </w:tcPr>
          <w:p w14:paraId="2C1C3B07">
            <w:pPr>
              <w:rPr>
                <w:rFonts w:ascii="宋体" w:hAnsi="宋体" w:cs="宋体"/>
                <w:szCs w:val="21"/>
                <w:highlight w:val="none"/>
              </w:rPr>
            </w:pPr>
          </w:p>
        </w:tc>
        <w:tc>
          <w:tcPr>
            <w:tcW w:w="3612" w:type="dxa"/>
            <w:tcBorders>
              <w:top w:val="single" w:color="auto" w:sz="4" w:space="0"/>
              <w:left w:val="single" w:color="auto" w:sz="4" w:space="0"/>
              <w:bottom w:val="single" w:color="auto" w:sz="4" w:space="0"/>
              <w:right w:val="single" w:color="auto" w:sz="4" w:space="0"/>
            </w:tcBorders>
            <w:vAlign w:val="center"/>
          </w:tcPr>
          <w:p w14:paraId="5B5A8C20">
            <w:pPr>
              <w:rPr>
                <w:rFonts w:ascii="宋体" w:hAnsi="宋体" w:cs="宋体"/>
                <w:szCs w:val="21"/>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14:paraId="660412B6">
            <w:pPr>
              <w:rPr>
                <w:rFonts w:ascii="宋体" w:hAnsi="宋体" w:cs="宋体"/>
                <w:szCs w:val="21"/>
                <w:highlight w:val="none"/>
              </w:rPr>
            </w:pPr>
          </w:p>
        </w:tc>
      </w:tr>
    </w:tbl>
    <w:p w14:paraId="22C7B55B">
      <w:pPr>
        <w:pStyle w:val="46"/>
        <w:rPr>
          <w:rFonts w:hAnsi="宋体"/>
          <w:color w:val="auto"/>
          <w:szCs w:val="21"/>
          <w:highlight w:val="none"/>
        </w:rPr>
      </w:pPr>
    </w:p>
    <w:p w14:paraId="6BDD57B3">
      <w:pPr>
        <w:spacing w:line="360" w:lineRule="auto"/>
        <w:rPr>
          <w:rFonts w:ascii="宋体" w:hAnsi="宋体" w:cs="宋体"/>
          <w:szCs w:val="21"/>
          <w:highlight w:val="none"/>
        </w:rPr>
      </w:pPr>
      <w:r>
        <w:rPr>
          <w:rFonts w:hint="eastAsia" w:ascii="宋体" w:hAnsi="宋体" w:cs="宋体"/>
          <w:szCs w:val="21"/>
          <w:highlight w:val="none"/>
        </w:rPr>
        <w:t>注：</w:t>
      </w:r>
    </w:p>
    <w:p w14:paraId="7413647E">
      <w:pPr>
        <w:spacing w:line="360" w:lineRule="auto"/>
        <w:ind w:firstLine="420" w:firstLineChars="200"/>
        <w:rPr>
          <w:rFonts w:ascii="宋体" w:hAnsi="宋体" w:cs="宋体"/>
          <w:szCs w:val="21"/>
          <w:highlight w:val="none"/>
        </w:rPr>
      </w:pPr>
      <w:r>
        <w:rPr>
          <w:rFonts w:hint="eastAsia" w:ascii="宋体" w:hAnsi="宋体" w:cs="宋体"/>
          <w:szCs w:val="21"/>
          <w:highlight w:val="none"/>
        </w:rPr>
        <w:t>1.表格内容均需按要求填写并加盖投标人公章。</w:t>
      </w:r>
    </w:p>
    <w:p w14:paraId="333CA3BC">
      <w:pPr>
        <w:spacing w:line="360" w:lineRule="auto"/>
        <w:ind w:firstLine="420" w:firstLineChars="200"/>
        <w:rPr>
          <w:rFonts w:ascii="宋体" w:hAnsi="宋体" w:cs="宋体"/>
          <w:szCs w:val="21"/>
          <w:highlight w:val="none"/>
        </w:rPr>
      </w:pPr>
      <w:r>
        <w:rPr>
          <w:rFonts w:hint="eastAsia" w:ascii="宋体" w:hAnsi="宋体" w:cs="宋体"/>
          <w:bCs/>
          <w:szCs w:val="21"/>
          <w:highlight w:val="none"/>
        </w:rPr>
        <w:t>2.</w:t>
      </w:r>
      <w:r>
        <w:rPr>
          <w:rFonts w:hint="eastAsia" w:ascii="宋体" w:hAnsi="宋体" w:cs="宋体"/>
          <w:szCs w:val="21"/>
          <w:highlight w:val="none"/>
        </w:rPr>
        <w:t>请根据所投货物的实际技术</w:t>
      </w:r>
      <w:r>
        <w:rPr>
          <w:rFonts w:hint="eastAsia" w:ascii="宋体" w:hAnsi="宋体"/>
          <w:szCs w:val="21"/>
          <w:highlight w:val="none"/>
        </w:rPr>
        <w:t>性能、参数</w:t>
      </w:r>
      <w:r>
        <w:rPr>
          <w:rFonts w:hint="eastAsia" w:ascii="宋体" w:hAnsi="宋体" w:cs="宋体"/>
          <w:szCs w:val="21"/>
          <w:highlight w:val="none"/>
        </w:rPr>
        <w:t>，逐条对应本项目招标文件“第二章 采购需求”中“</w:t>
      </w:r>
      <w:r>
        <w:rPr>
          <w:rFonts w:hint="eastAsia" w:ascii="宋体" w:hAnsi="宋体" w:eastAsia="宋体" w:cs="宋体"/>
          <w:b/>
          <w:bCs/>
          <w:color w:val="auto"/>
          <w:sz w:val="21"/>
          <w:szCs w:val="21"/>
          <w:highlight w:val="none"/>
        </w:rPr>
        <w:t>技术性能、参数及有关要求</w:t>
      </w:r>
      <w:r>
        <w:rPr>
          <w:rFonts w:hint="eastAsia" w:ascii="宋体" w:hAnsi="宋体" w:cs="宋体"/>
          <w:szCs w:val="21"/>
          <w:highlight w:val="none"/>
        </w:rPr>
        <w:t>”的条款</w:t>
      </w:r>
      <w:r>
        <w:rPr>
          <w:rFonts w:hint="eastAsia" w:ascii="宋体" w:hAnsi="宋体" w:cs="宋体"/>
          <w:kern w:val="0"/>
          <w:szCs w:val="21"/>
          <w:highlight w:val="none"/>
          <w:lang w:val="zh-CN"/>
        </w:rPr>
        <w:t>作出明确响应，并作出偏离说明</w:t>
      </w:r>
      <w:r>
        <w:rPr>
          <w:rFonts w:hint="eastAsia" w:ascii="宋体" w:hAnsi="宋体" w:cs="宋体"/>
          <w:szCs w:val="21"/>
          <w:highlight w:val="none"/>
        </w:rPr>
        <w:t>。“偏离说明”一栏应当选择“正偏离”或“负偏离”或“无偏离”进行填写。</w:t>
      </w:r>
    </w:p>
    <w:p w14:paraId="5F790EEA">
      <w:pPr>
        <w:spacing w:line="360" w:lineRule="auto"/>
        <w:ind w:firstLine="420" w:firstLineChars="200"/>
        <w:rPr>
          <w:rFonts w:ascii="宋体" w:hAnsi="宋体" w:cs="宋体"/>
          <w:szCs w:val="21"/>
          <w:highlight w:val="none"/>
        </w:rPr>
      </w:pPr>
      <w:r>
        <w:rPr>
          <w:rFonts w:hint="eastAsia" w:ascii="宋体" w:hAnsi="宋体" w:cs="宋体"/>
          <w:bCs/>
          <w:szCs w:val="21"/>
          <w:highlight w:val="none"/>
        </w:rPr>
        <w:t>3.当投标文件的</w:t>
      </w:r>
      <w:r>
        <w:rPr>
          <w:rFonts w:hint="eastAsia" w:ascii="宋体" w:hAnsi="宋体" w:cs="宋体"/>
          <w:szCs w:val="21"/>
          <w:highlight w:val="none"/>
        </w:rPr>
        <w:t>技术</w:t>
      </w:r>
      <w:r>
        <w:rPr>
          <w:rFonts w:hint="eastAsia" w:ascii="宋体" w:hAnsi="宋体"/>
          <w:szCs w:val="21"/>
          <w:highlight w:val="none"/>
        </w:rPr>
        <w:t>性能、参数</w:t>
      </w:r>
      <w:r>
        <w:rPr>
          <w:rFonts w:hint="eastAsia" w:ascii="宋体" w:hAnsi="宋体" w:cs="宋体"/>
          <w:bCs/>
          <w:szCs w:val="21"/>
          <w:highlight w:val="none"/>
        </w:rPr>
        <w:t>内容低于招标文件要求时，投标人应当如实写明“负偏离”。</w:t>
      </w:r>
    </w:p>
    <w:p w14:paraId="46F065DB">
      <w:pPr>
        <w:spacing w:line="360" w:lineRule="auto"/>
        <w:rPr>
          <w:rFonts w:ascii="宋体" w:hAnsi="宋体" w:cs="宋体"/>
          <w:szCs w:val="21"/>
          <w:highlight w:val="none"/>
        </w:rPr>
      </w:pPr>
    </w:p>
    <w:p w14:paraId="5E11DE7F">
      <w:pPr>
        <w:snapToGrid w:val="0"/>
        <w:spacing w:line="360" w:lineRule="auto"/>
        <w:ind w:firstLine="5640" w:firstLineChars="2350"/>
        <w:rPr>
          <w:rFonts w:ascii="宋体" w:hAnsi="宋体" w:cs="宋体"/>
          <w:kern w:val="0"/>
          <w:sz w:val="24"/>
          <w:highlight w:val="none"/>
          <w:lang w:val="zh-CN"/>
        </w:rPr>
      </w:pPr>
    </w:p>
    <w:p w14:paraId="3A869A0F">
      <w:pPr>
        <w:snapToGrid w:val="0"/>
        <w:ind w:firstLine="270"/>
        <w:jc w:val="left"/>
        <w:rPr>
          <w:sz w:val="18"/>
          <w:szCs w:val="18"/>
          <w:highlight w:val="none"/>
          <w:lang w:val="zh-CN"/>
        </w:rPr>
      </w:pPr>
    </w:p>
    <w:p w14:paraId="3B070ECD">
      <w:pPr>
        <w:snapToGrid w:val="0"/>
        <w:spacing w:line="360" w:lineRule="auto"/>
        <w:ind w:firstLine="5880" w:firstLineChars="2450"/>
        <w:rPr>
          <w:rFonts w:ascii="宋体" w:hAnsi="宋体" w:cs="宋体"/>
          <w:kern w:val="0"/>
          <w:sz w:val="24"/>
          <w:highlight w:val="none"/>
        </w:rPr>
      </w:pPr>
      <w:r>
        <w:rPr>
          <w:rFonts w:hint="eastAsia" w:ascii="宋体" w:hAnsi="宋体" w:cs="宋体"/>
          <w:kern w:val="0"/>
          <w:sz w:val="24"/>
          <w:highlight w:val="none"/>
          <w:lang w:val="zh-CN"/>
        </w:rPr>
        <w:t>投标人名称(盖公章)：</w:t>
      </w:r>
    </w:p>
    <w:p w14:paraId="69E53BA6">
      <w:pPr>
        <w:snapToGrid w:val="0"/>
        <w:spacing w:line="360" w:lineRule="auto"/>
        <w:ind w:firstLine="5880" w:firstLineChars="2450"/>
        <w:rPr>
          <w:rFonts w:ascii="宋体" w:hAnsi="宋体" w:cs="宋体"/>
          <w:kern w:val="0"/>
          <w:sz w:val="24"/>
          <w:highlight w:val="none"/>
          <w:lang w:val="zh-CN"/>
        </w:rPr>
      </w:pPr>
      <w:r>
        <w:rPr>
          <w:rFonts w:hint="eastAsia" w:ascii="宋体" w:hAnsi="宋体" w:cs="宋体"/>
          <w:kern w:val="0"/>
          <w:sz w:val="24"/>
          <w:highlight w:val="none"/>
          <w:lang w:val="zh-CN"/>
        </w:rPr>
        <w:t>日期</w:t>
      </w:r>
      <w:r>
        <w:rPr>
          <w:rFonts w:hint="eastAsia" w:ascii="宋体" w:hAnsi="宋体" w:cs="宋体"/>
          <w:kern w:val="0"/>
          <w:sz w:val="24"/>
          <w:highlight w:val="none"/>
        </w:rPr>
        <w:t>：  年  月  日</w:t>
      </w:r>
    </w:p>
    <w:p w14:paraId="1704041D">
      <w:pPr>
        <w:rPr>
          <w:highlight w:val="none"/>
        </w:rPr>
      </w:pPr>
      <w:r>
        <w:rPr>
          <w:highlight w:val="none"/>
        </w:rPr>
        <w:br w:type="page"/>
      </w:r>
    </w:p>
    <w:p w14:paraId="63C4C01E">
      <w:pPr>
        <w:snapToGrid w:val="0"/>
        <w:ind w:firstLine="422"/>
        <w:jc w:val="left"/>
        <w:rPr>
          <w:rFonts w:ascii="宋体" w:hAnsi="宋体" w:cs="宋体"/>
          <w:b/>
          <w:sz w:val="28"/>
          <w:szCs w:val="28"/>
          <w:highlight w:val="none"/>
        </w:rPr>
      </w:pPr>
      <w:r>
        <w:rPr>
          <w:rFonts w:hint="eastAsia" w:ascii="宋体" w:hAnsi="宋体" w:cs="宋体"/>
          <w:b/>
          <w:sz w:val="28"/>
          <w:szCs w:val="28"/>
          <w:highlight w:val="none"/>
        </w:rPr>
        <w:t>4、售后服务方案</w:t>
      </w:r>
    </w:p>
    <w:p w14:paraId="10AE16CE">
      <w:pPr>
        <w:snapToGrid w:val="0"/>
        <w:spacing w:beforeLines="50" w:after="50"/>
        <w:ind w:firstLine="452"/>
        <w:jc w:val="center"/>
        <w:rPr>
          <w:rFonts w:ascii="宋体" w:hAnsi="宋体" w:cs="宋体"/>
          <w:b/>
          <w:sz w:val="30"/>
          <w:szCs w:val="30"/>
          <w:highlight w:val="none"/>
        </w:rPr>
      </w:pPr>
      <w:r>
        <w:rPr>
          <w:rFonts w:hint="eastAsia" w:ascii="宋体" w:hAnsi="宋体" w:cs="宋体"/>
          <w:b/>
          <w:sz w:val="30"/>
          <w:szCs w:val="30"/>
          <w:highlight w:val="none"/>
        </w:rPr>
        <w:t>售后服务方案</w:t>
      </w:r>
    </w:p>
    <w:p w14:paraId="1502A90A">
      <w:pPr>
        <w:snapToGrid w:val="0"/>
        <w:spacing w:beforeLines="50" w:after="50"/>
        <w:ind w:firstLine="420" w:firstLineChars="200"/>
        <w:rPr>
          <w:rFonts w:ascii="宋体" w:hAnsi="宋体" w:cs="宋体"/>
          <w:b/>
          <w:szCs w:val="21"/>
          <w:highlight w:val="none"/>
        </w:rPr>
      </w:pPr>
      <w:r>
        <w:rPr>
          <w:rFonts w:hint="eastAsia" w:ascii="宋体" w:hAnsi="宋体" w:cs="宋体"/>
          <w:szCs w:val="21"/>
          <w:highlight w:val="none"/>
        </w:rPr>
        <w:t>由投标人按本项目招标文件“第二章采购需求”中商务条款部分的售后服务要求自行填写，其中要包含售后服务承诺书。</w:t>
      </w:r>
    </w:p>
    <w:p w14:paraId="5E482C1A">
      <w:pPr>
        <w:autoSpaceDE w:val="0"/>
        <w:autoSpaceDN w:val="0"/>
        <w:ind w:firstLine="316"/>
        <w:rPr>
          <w:rFonts w:ascii="宋体" w:hAnsi="宋体" w:cs="宋体"/>
          <w:b/>
          <w:szCs w:val="21"/>
          <w:highlight w:val="none"/>
        </w:rPr>
      </w:pPr>
      <w:r>
        <w:rPr>
          <w:rFonts w:hint="eastAsia" w:ascii="宋体" w:hAnsi="宋体" w:cs="宋体"/>
          <w:b/>
          <w:szCs w:val="21"/>
          <w:highlight w:val="none"/>
        </w:rPr>
        <w:t>附表A：售后服务机构情况表</w:t>
      </w:r>
      <w:r>
        <w:rPr>
          <w:rFonts w:hint="eastAsia" w:ascii="宋体" w:hAnsi="宋体" w:cs="宋体"/>
          <w:szCs w:val="21"/>
          <w:highlight w:val="none"/>
        </w:rPr>
        <w:t>（按此格式自制）</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332"/>
        <w:gridCol w:w="1091"/>
        <w:gridCol w:w="1241"/>
        <w:gridCol w:w="1973"/>
        <w:gridCol w:w="1255"/>
      </w:tblGrid>
      <w:tr w14:paraId="5547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5" w:type="dxa"/>
            <w:vAlign w:val="center"/>
          </w:tcPr>
          <w:p w14:paraId="4CF27B13">
            <w:pPr>
              <w:autoSpaceDE w:val="0"/>
              <w:autoSpaceDN w:val="0"/>
              <w:jc w:val="center"/>
              <w:rPr>
                <w:rFonts w:ascii="宋体" w:hAnsi="宋体" w:cs="宋体"/>
                <w:b/>
                <w:szCs w:val="21"/>
                <w:highlight w:val="none"/>
              </w:rPr>
            </w:pPr>
            <w:r>
              <w:rPr>
                <w:rFonts w:hint="eastAsia" w:ascii="宋体" w:hAnsi="宋体" w:cs="宋体"/>
                <w:b/>
                <w:szCs w:val="21"/>
                <w:highlight w:val="none"/>
              </w:rPr>
              <w:t>序号</w:t>
            </w:r>
          </w:p>
        </w:tc>
        <w:tc>
          <w:tcPr>
            <w:tcW w:w="2332" w:type="dxa"/>
            <w:vAlign w:val="center"/>
          </w:tcPr>
          <w:p w14:paraId="36E6DD81">
            <w:pPr>
              <w:autoSpaceDE w:val="0"/>
              <w:autoSpaceDN w:val="0"/>
              <w:jc w:val="center"/>
              <w:rPr>
                <w:rFonts w:ascii="宋体" w:hAnsi="宋体" w:cs="宋体"/>
                <w:b/>
                <w:szCs w:val="21"/>
                <w:highlight w:val="none"/>
              </w:rPr>
            </w:pPr>
            <w:r>
              <w:rPr>
                <w:rFonts w:hint="eastAsia" w:ascii="宋体" w:hAnsi="宋体" w:cs="宋体"/>
                <w:b/>
                <w:szCs w:val="21"/>
                <w:highlight w:val="none"/>
              </w:rPr>
              <w:t>机构名称</w:t>
            </w:r>
          </w:p>
        </w:tc>
        <w:tc>
          <w:tcPr>
            <w:tcW w:w="1091" w:type="dxa"/>
            <w:vAlign w:val="center"/>
          </w:tcPr>
          <w:p w14:paraId="2E8F0228">
            <w:pPr>
              <w:autoSpaceDE w:val="0"/>
              <w:autoSpaceDN w:val="0"/>
              <w:jc w:val="center"/>
              <w:rPr>
                <w:rFonts w:ascii="宋体" w:hAnsi="宋体" w:cs="宋体"/>
                <w:b/>
                <w:szCs w:val="21"/>
                <w:highlight w:val="none"/>
              </w:rPr>
            </w:pPr>
            <w:r>
              <w:rPr>
                <w:rFonts w:hint="eastAsia" w:ascii="宋体" w:hAnsi="宋体" w:cs="宋体"/>
                <w:b/>
                <w:szCs w:val="21"/>
                <w:highlight w:val="none"/>
              </w:rPr>
              <w:t>机构性质</w:t>
            </w:r>
          </w:p>
        </w:tc>
        <w:tc>
          <w:tcPr>
            <w:tcW w:w="1241" w:type="dxa"/>
            <w:vAlign w:val="center"/>
          </w:tcPr>
          <w:p w14:paraId="7A05D4D8">
            <w:pPr>
              <w:autoSpaceDE w:val="0"/>
              <w:autoSpaceDN w:val="0"/>
              <w:jc w:val="center"/>
              <w:rPr>
                <w:rFonts w:ascii="宋体" w:hAnsi="宋体" w:cs="宋体"/>
                <w:b/>
                <w:szCs w:val="21"/>
                <w:highlight w:val="none"/>
              </w:rPr>
            </w:pPr>
            <w:r>
              <w:rPr>
                <w:rFonts w:hint="eastAsia" w:ascii="宋体" w:hAnsi="宋体" w:cs="宋体"/>
                <w:b/>
                <w:szCs w:val="21"/>
                <w:highlight w:val="none"/>
              </w:rPr>
              <w:t>注册地址</w:t>
            </w:r>
          </w:p>
        </w:tc>
        <w:tc>
          <w:tcPr>
            <w:tcW w:w="1973" w:type="dxa"/>
            <w:vAlign w:val="center"/>
          </w:tcPr>
          <w:p w14:paraId="6B107927">
            <w:pPr>
              <w:autoSpaceDE w:val="0"/>
              <w:autoSpaceDN w:val="0"/>
              <w:jc w:val="center"/>
              <w:rPr>
                <w:rFonts w:ascii="宋体" w:hAnsi="宋体" w:cs="宋体"/>
                <w:b/>
                <w:szCs w:val="21"/>
                <w:highlight w:val="none"/>
              </w:rPr>
            </w:pPr>
            <w:r>
              <w:rPr>
                <w:rFonts w:hint="eastAsia" w:ascii="宋体" w:hAnsi="宋体" w:cs="宋体"/>
                <w:b/>
                <w:szCs w:val="21"/>
                <w:highlight w:val="none"/>
              </w:rPr>
              <w:t>货物技术人员数量</w:t>
            </w:r>
          </w:p>
        </w:tc>
        <w:tc>
          <w:tcPr>
            <w:tcW w:w="1255" w:type="dxa"/>
            <w:vAlign w:val="center"/>
          </w:tcPr>
          <w:p w14:paraId="672983C3">
            <w:pPr>
              <w:autoSpaceDE w:val="0"/>
              <w:autoSpaceDN w:val="0"/>
              <w:jc w:val="center"/>
              <w:rPr>
                <w:rFonts w:ascii="宋体" w:hAnsi="宋体" w:cs="宋体"/>
                <w:b/>
                <w:szCs w:val="21"/>
                <w:highlight w:val="none"/>
              </w:rPr>
            </w:pPr>
            <w:r>
              <w:rPr>
                <w:rFonts w:hint="eastAsia" w:ascii="宋体" w:hAnsi="宋体" w:cs="宋体"/>
                <w:b/>
                <w:szCs w:val="21"/>
                <w:highlight w:val="none"/>
              </w:rPr>
              <w:t>联系电话</w:t>
            </w:r>
          </w:p>
        </w:tc>
      </w:tr>
      <w:tr w14:paraId="2065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5" w:type="dxa"/>
            <w:vAlign w:val="center"/>
          </w:tcPr>
          <w:p w14:paraId="2F1C572F">
            <w:pPr>
              <w:autoSpaceDE w:val="0"/>
              <w:autoSpaceDN w:val="0"/>
              <w:jc w:val="center"/>
              <w:rPr>
                <w:rFonts w:ascii="宋体" w:hAnsi="宋体" w:cs="宋体"/>
                <w:szCs w:val="21"/>
                <w:highlight w:val="none"/>
              </w:rPr>
            </w:pPr>
          </w:p>
        </w:tc>
        <w:tc>
          <w:tcPr>
            <w:tcW w:w="2332" w:type="dxa"/>
            <w:vAlign w:val="center"/>
          </w:tcPr>
          <w:p w14:paraId="53A38CDF">
            <w:pPr>
              <w:autoSpaceDE w:val="0"/>
              <w:autoSpaceDN w:val="0"/>
              <w:jc w:val="center"/>
              <w:rPr>
                <w:rFonts w:ascii="宋体" w:hAnsi="宋体" w:cs="宋体"/>
                <w:szCs w:val="21"/>
                <w:highlight w:val="none"/>
              </w:rPr>
            </w:pPr>
          </w:p>
        </w:tc>
        <w:tc>
          <w:tcPr>
            <w:tcW w:w="1091" w:type="dxa"/>
            <w:vAlign w:val="center"/>
          </w:tcPr>
          <w:p w14:paraId="3621EF5B">
            <w:pPr>
              <w:autoSpaceDE w:val="0"/>
              <w:autoSpaceDN w:val="0"/>
              <w:jc w:val="center"/>
              <w:rPr>
                <w:rFonts w:ascii="宋体" w:hAnsi="宋体" w:cs="宋体"/>
                <w:szCs w:val="21"/>
                <w:highlight w:val="none"/>
              </w:rPr>
            </w:pPr>
          </w:p>
        </w:tc>
        <w:tc>
          <w:tcPr>
            <w:tcW w:w="1241" w:type="dxa"/>
            <w:vAlign w:val="center"/>
          </w:tcPr>
          <w:p w14:paraId="06C89FDC">
            <w:pPr>
              <w:autoSpaceDE w:val="0"/>
              <w:autoSpaceDN w:val="0"/>
              <w:jc w:val="center"/>
              <w:rPr>
                <w:rFonts w:ascii="宋体" w:hAnsi="宋体" w:cs="宋体"/>
                <w:szCs w:val="21"/>
                <w:highlight w:val="none"/>
              </w:rPr>
            </w:pPr>
          </w:p>
        </w:tc>
        <w:tc>
          <w:tcPr>
            <w:tcW w:w="1973" w:type="dxa"/>
            <w:vAlign w:val="center"/>
          </w:tcPr>
          <w:p w14:paraId="264C041D">
            <w:pPr>
              <w:autoSpaceDE w:val="0"/>
              <w:autoSpaceDN w:val="0"/>
              <w:jc w:val="center"/>
              <w:rPr>
                <w:rFonts w:ascii="宋体" w:hAnsi="宋体" w:cs="宋体"/>
                <w:szCs w:val="21"/>
                <w:highlight w:val="none"/>
              </w:rPr>
            </w:pPr>
          </w:p>
        </w:tc>
        <w:tc>
          <w:tcPr>
            <w:tcW w:w="1255" w:type="dxa"/>
            <w:vAlign w:val="center"/>
          </w:tcPr>
          <w:p w14:paraId="35F6E957">
            <w:pPr>
              <w:autoSpaceDE w:val="0"/>
              <w:autoSpaceDN w:val="0"/>
              <w:jc w:val="center"/>
              <w:rPr>
                <w:rFonts w:ascii="宋体" w:hAnsi="宋体" w:cs="宋体"/>
                <w:szCs w:val="21"/>
                <w:highlight w:val="none"/>
              </w:rPr>
            </w:pPr>
          </w:p>
        </w:tc>
      </w:tr>
      <w:tr w14:paraId="4B17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5" w:type="dxa"/>
            <w:vAlign w:val="center"/>
          </w:tcPr>
          <w:p w14:paraId="646E880F">
            <w:pPr>
              <w:autoSpaceDE w:val="0"/>
              <w:autoSpaceDN w:val="0"/>
              <w:jc w:val="center"/>
              <w:rPr>
                <w:rFonts w:ascii="宋体" w:hAnsi="宋体" w:cs="宋体"/>
                <w:szCs w:val="21"/>
                <w:highlight w:val="none"/>
              </w:rPr>
            </w:pPr>
          </w:p>
        </w:tc>
        <w:tc>
          <w:tcPr>
            <w:tcW w:w="2332" w:type="dxa"/>
            <w:vAlign w:val="center"/>
          </w:tcPr>
          <w:p w14:paraId="554CE2F0">
            <w:pPr>
              <w:autoSpaceDE w:val="0"/>
              <w:autoSpaceDN w:val="0"/>
              <w:jc w:val="center"/>
              <w:rPr>
                <w:rFonts w:ascii="宋体" w:hAnsi="宋体" w:cs="宋体"/>
                <w:szCs w:val="21"/>
                <w:highlight w:val="none"/>
              </w:rPr>
            </w:pPr>
          </w:p>
        </w:tc>
        <w:tc>
          <w:tcPr>
            <w:tcW w:w="1091" w:type="dxa"/>
            <w:vAlign w:val="center"/>
          </w:tcPr>
          <w:p w14:paraId="390E98C0">
            <w:pPr>
              <w:autoSpaceDE w:val="0"/>
              <w:autoSpaceDN w:val="0"/>
              <w:jc w:val="center"/>
              <w:rPr>
                <w:rFonts w:ascii="宋体" w:hAnsi="宋体" w:cs="宋体"/>
                <w:szCs w:val="21"/>
                <w:highlight w:val="none"/>
              </w:rPr>
            </w:pPr>
          </w:p>
        </w:tc>
        <w:tc>
          <w:tcPr>
            <w:tcW w:w="1241" w:type="dxa"/>
            <w:vAlign w:val="center"/>
          </w:tcPr>
          <w:p w14:paraId="35CAB6B0">
            <w:pPr>
              <w:autoSpaceDE w:val="0"/>
              <w:autoSpaceDN w:val="0"/>
              <w:jc w:val="center"/>
              <w:rPr>
                <w:rFonts w:ascii="宋体" w:hAnsi="宋体" w:cs="宋体"/>
                <w:szCs w:val="21"/>
                <w:highlight w:val="none"/>
              </w:rPr>
            </w:pPr>
          </w:p>
        </w:tc>
        <w:tc>
          <w:tcPr>
            <w:tcW w:w="1973" w:type="dxa"/>
            <w:vAlign w:val="center"/>
          </w:tcPr>
          <w:p w14:paraId="6FD75F3B">
            <w:pPr>
              <w:autoSpaceDE w:val="0"/>
              <w:autoSpaceDN w:val="0"/>
              <w:jc w:val="center"/>
              <w:rPr>
                <w:rFonts w:ascii="宋体" w:hAnsi="宋体" w:cs="宋体"/>
                <w:szCs w:val="21"/>
                <w:highlight w:val="none"/>
              </w:rPr>
            </w:pPr>
          </w:p>
        </w:tc>
        <w:tc>
          <w:tcPr>
            <w:tcW w:w="1255" w:type="dxa"/>
            <w:vAlign w:val="center"/>
          </w:tcPr>
          <w:p w14:paraId="391B307E">
            <w:pPr>
              <w:autoSpaceDE w:val="0"/>
              <w:autoSpaceDN w:val="0"/>
              <w:jc w:val="center"/>
              <w:rPr>
                <w:rFonts w:ascii="宋体" w:hAnsi="宋体" w:cs="宋体"/>
                <w:szCs w:val="21"/>
                <w:highlight w:val="none"/>
              </w:rPr>
            </w:pPr>
          </w:p>
        </w:tc>
      </w:tr>
      <w:tr w14:paraId="10C2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25" w:type="dxa"/>
            <w:vAlign w:val="center"/>
          </w:tcPr>
          <w:p w14:paraId="5A5DD2A9">
            <w:pPr>
              <w:autoSpaceDE w:val="0"/>
              <w:autoSpaceDN w:val="0"/>
              <w:jc w:val="center"/>
              <w:rPr>
                <w:rFonts w:ascii="宋体" w:hAnsi="宋体" w:cs="宋体"/>
                <w:szCs w:val="21"/>
                <w:highlight w:val="none"/>
              </w:rPr>
            </w:pPr>
          </w:p>
        </w:tc>
        <w:tc>
          <w:tcPr>
            <w:tcW w:w="2332" w:type="dxa"/>
            <w:vAlign w:val="center"/>
          </w:tcPr>
          <w:p w14:paraId="3B97A526">
            <w:pPr>
              <w:autoSpaceDE w:val="0"/>
              <w:autoSpaceDN w:val="0"/>
              <w:jc w:val="center"/>
              <w:rPr>
                <w:rFonts w:ascii="宋体" w:hAnsi="宋体" w:cs="宋体"/>
                <w:szCs w:val="21"/>
                <w:highlight w:val="none"/>
              </w:rPr>
            </w:pPr>
          </w:p>
        </w:tc>
        <w:tc>
          <w:tcPr>
            <w:tcW w:w="1091" w:type="dxa"/>
            <w:vAlign w:val="center"/>
          </w:tcPr>
          <w:p w14:paraId="6C17F9CA">
            <w:pPr>
              <w:autoSpaceDE w:val="0"/>
              <w:autoSpaceDN w:val="0"/>
              <w:jc w:val="center"/>
              <w:rPr>
                <w:rFonts w:ascii="宋体" w:hAnsi="宋体" w:cs="宋体"/>
                <w:szCs w:val="21"/>
                <w:highlight w:val="none"/>
              </w:rPr>
            </w:pPr>
          </w:p>
        </w:tc>
        <w:tc>
          <w:tcPr>
            <w:tcW w:w="1241" w:type="dxa"/>
            <w:vAlign w:val="center"/>
          </w:tcPr>
          <w:p w14:paraId="7C8EC792">
            <w:pPr>
              <w:autoSpaceDE w:val="0"/>
              <w:autoSpaceDN w:val="0"/>
              <w:jc w:val="center"/>
              <w:rPr>
                <w:rFonts w:ascii="宋体" w:hAnsi="宋体" w:cs="宋体"/>
                <w:szCs w:val="21"/>
                <w:highlight w:val="none"/>
              </w:rPr>
            </w:pPr>
          </w:p>
        </w:tc>
        <w:tc>
          <w:tcPr>
            <w:tcW w:w="1973" w:type="dxa"/>
            <w:vAlign w:val="center"/>
          </w:tcPr>
          <w:p w14:paraId="42D0C7B6">
            <w:pPr>
              <w:autoSpaceDE w:val="0"/>
              <w:autoSpaceDN w:val="0"/>
              <w:jc w:val="center"/>
              <w:rPr>
                <w:rFonts w:ascii="宋体" w:hAnsi="宋体" w:cs="宋体"/>
                <w:szCs w:val="21"/>
                <w:highlight w:val="none"/>
              </w:rPr>
            </w:pPr>
          </w:p>
        </w:tc>
        <w:tc>
          <w:tcPr>
            <w:tcW w:w="1255" w:type="dxa"/>
            <w:vAlign w:val="center"/>
          </w:tcPr>
          <w:p w14:paraId="64D67C40">
            <w:pPr>
              <w:autoSpaceDE w:val="0"/>
              <w:autoSpaceDN w:val="0"/>
              <w:jc w:val="center"/>
              <w:rPr>
                <w:rFonts w:ascii="宋体" w:hAnsi="宋体" w:cs="宋体"/>
                <w:szCs w:val="21"/>
                <w:highlight w:val="none"/>
              </w:rPr>
            </w:pPr>
          </w:p>
        </w:tc>
      </w:tr>
    </w:tbl>
    <w:p w14:paraId="3704AB71">
      <w:pPr>
        <w:autoSpaceDE w:val="0"/>
        <w:autoSpaceDN w:val="0"/>
        <w:ind w:firstLine="316"/>
        <w:rPr>
          <w:rFonts w:ascii="宋体" w:hAnsi="宋体" w:cs="宋体"/>
          <w:kern w:val="0"/>
          <w:szCs w:val="21"/>
          <w:highlight w:val="none"/>
        </w:rPr>
      </w:pPr>
      <w:r>
        <w:rPr>
          <w:rFonts w:hint="eastAsia" w:ascii="宋体" w:hAnsi="宋体" w:cs="宋体"/>
          <w:b/>
          <w:szCs w:val="21"/>
          <w:highlight w:val="none"/>
        </w:rPr>
        <w:t>注：关于项目涉及的所有售后服务机构均在本表注明，包括供应商本单位和符合条件的第三方货物机构；</w:t>
      </w:r>
    </w:p>
    <w:tbl>
      <w:tblPr>
        <w:tblStyle w:val="28"/>
        <w:tblpPr w:leftFromText="180" w:rightFromText="180" w:vertAnchor="text" w:horzAnchor="page" w:tblpX="1062" w:tblpY="401"/>
        <w:tblOverlap w:val="never"/>
        <w:tblW w:w="10002" w:type="dxa"/>
        <w:tblInd w:w="0" w:type="dxa"/>
        <w:tblLayout w:type="fixed"/>
        <w:tblCellMar>
          <w:top w:w="0" w:type="dxa"/>
          <w:left w:w="108" w:type="dxa"/>
          <w:bottom w:w="0" w:type="dxa"/>
          <w:right w:w="108" w:type="dxa"/>
        </w:tblCellMar>
      </w:tblPr>
      <w:tblGrid>
        <w:gridCol w:w="646"/>
        <w:gridCol w:w="746"/>
        <w:gridCol w:w="787"/>
        <w:gridCol w:w="685"/>
        <w:gridCol w:w="705"/>
        <w:gridCol w:w="1002"/>
        <w:gridCol w:w="1080"/>
        <w:gridCol w:w="1080"/>
        <w:gridCol w:w="1098"/>
        <w:gridCol w:w="1062"/>
        <w:gridCol w:w="1111"/>
      </w:tblGrid>
      <w:tr w14:paraId="27B1C1FB">
        <w:tblPrEx>
          <w:tblCellMar>
            <w:top w:w="0" w:type="dxa"/>
            <w:left w:w="108" w:type="dxa"/>
            <w:bottom w:w="0" w:type="dxa"/>
            <w:right w:w="108" w:type="dxa"/>
          </w:tblCellMar>
        </w:tblPrEx>
        <w:tc>
          <w:tcPr>
            <w:tcW w:w="646" w:type="dxa"/>
            <w:tcBorders>
              <w:top w:val="single" w:color="auto" w:sz="6" w:space="0"/>
              <w:left w:val="single" w:color="auto" w:sz="6" w:space="0"/>
              <w:bottom w:val="single" w:color="auto" w:sz="6" w:space="0"/>
              <w:right w:val="single" w:color="auto" w:sz="4" w:space="0"/>
            </w:tcBorders>
            <w:vAlign w:val="center"/>
          </w:tcPr>
          <w:p w14:paraId="39AA5934">
            <w:pPr>
              <w:autoSpaceDE w:val="0"/>
              <w:autoSpaceDN w:val="0"/>
              <w:jc w:val="center"/>
              <w:rPr>
                <w:rFonts w:ascii="宋体" w:hAnsi="宋体" w:cs="宋体"/>
                <w:szCs w:val="21"/>
                <w:highlight w:val="none"/>
              </w:rPr>
            </w:pPr>
            <w:r>
              <w:rPr>
                <w:rFonts w:hint="eastAsia" w:ascii="宋体" w:hAnsi="宋体" w:cs="宋体"/>
                <w:szCs w:val="21"/>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7E25BB5">
            <w:pPr>
              <w:autoSpaceDE w:val="0"/>
              <w:autoSpaceDN w:val="0"/>
              <w:jc w:val="center"/>
              <w:rPr>
                <w:rFonts w:ascii="宋体" w:hAnsi="宋体" w:cs="宋体"/>
                <w:szCs w:val="21"/>
                <w:highlight w:val="none"/>
              </w:rPr>
            </w:pPr>
            <w:r>
              <w:rPr>
                <w:rFonts w:hint="eastAsia" w:ascii="宋体" w:hAnsi="宋体" w:cs="宋体"/>
                <w:szCs w:val="21"/>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A79F3FF">
            <w:pPr>
              <w:autoSpaceDE w:val="0"/>
              <w:autoSpaceDN w:val="0"/>
              <w:jc w:val="center"/>
              <w:rPr>
                <w:rFonts w:ascii="宋体" w:hAnsi="宋体" w:cs="宋体"/>
                <w:szCs w:val="21"/>
                <w:highlight w:val="none"/>
              </w:rPr>
            </w:pPr>
            <w:r>
              <w:rPr>
                <w:rFonts w:hint="eastAsia" w:ascii="宋体" w:hAnsi="宋体" w:cs="宋体"/>
                <w:szCs w:val="21"/>
                <w:highlight w:val="none"/>
              </w:rPr>
              <w:t>姓名</w:t>
            </w:r>
          </w:p>
        </w:tc>
        <w:tc>
          <w:tcPr>
            <w:tcW w:w="685" w:type="dxa"/>
            <w:tcBorders>
              <w:top w:val="single" w:color="auto" w:sz="6" w:space="0"/>
              <w:left w:val="single" w:color="auto" w:sz="6" w:space="0"/>
              <w:bottom w:val="single" w:color="auto" w:sz="6" w:space="0"/>
              <w:right w:val="single" w:color="auto" w:sz="6" w:space="0"/>
            </w:tcBorders>
            <w:vAlign w:val="center"/>
          </w:tcPr>
          <w:p w14:paraId="591F0D5B">
            <w:pPr>
              <w:autoSpaceDE w:val="0"/>
              <w:autoSpaceDN w:val="0"/>
              <w:jc w:val="center"/>
              <w:rPr>
                <w:rFonts w:ascii="宋体" w:hAnsi="宋体" w:cs="宋体"/>
                <w:szCs w:val="21"/>
                <w:highlight w:val="none"/>
              </w:rPr>
            </w:pPr>
            <w:r>
              <w:rPr>
                <w:rFonts w:hint="eastAsia" w:ascii="宋体" w:hAnsi="宋体" w:cs="宋体"/>
                <w:szCs w:val="21"/>
                <w:highlight w:val="none"/>
              </w:rPr>
              <w:t>性别</w:t>
            </w:r>
          </w:p>
        </w:tc>
        <w:tc>
          <w:tcPr>
            <w:tcW w:w="705" w:type="dxa"/>
            <w:tcBorders>
              <w:top w:val="single" w:color="auto" w:sz="6" w:space="0"/>
              <w:left w:val="single" w:color="auto" w:sz="6" w:space="0"/>
              <w:bottom w:val="single" w:color="auto" w:sz="6" w:space="0"/>
              <w:right w:val="single" w:color="auto" w:sz="6" w:space="0"/>
            </w:tcBorders>
            <w:vAlign w:val="center"/>
          </w:tcPr>
          <w:p w14:paraId="5DBA7398">
            <w:pPr>
              <w:autoSpaceDE w:val="0"/>
              <w:autoSpaceDN w:val="0"/>
              <w:jc w:val="center"/>
              <w:rPr>
                <w:rFonts w:ascii="宋体" w:hAnsi="宋体" w:cs="宋体"/>
                <w:szCs w:val="21"/>
                <w:highlight w:val="none"/>
              </w:rPr>
            </w:pPr>
            <w:r>
              <w:rPr>
                <w:rFonts w:hint="eastAsia" w:ascii="宋体" w:hAnsi="宋体" w:cs="宋体"/>
                <w:szCs w:val="21"/>
                <w:highlight w:val="none"/>
              </w:rPr>
              <w:t>年龄</w:t>
            </w:r>
          </w:p>
        </w:tc>
        <w:tc>
          <w:tcPr>
            <w:tcW w:w="1002" w:type="dxa"/>
            <w:tcBorders>
              <w:top w:val="single" w:color="auto" w:sz="6" w:space="0"/>
              <w:left w:val="single" w:color="auto" w:sz="6" w:space="0"/>
              <w:bottom w:val="single" w:color="auto" w:sz="6" w:space="0"/>
              <w:right w:val="single" w:color="auto" w:sz="6" w:space="0"/>
            </w:tcBorders>
            <w:vAlign w:val="center"/>
          </w:tcPr>
          <w:p w14:paraId="6C5AAD9F">
            <w:pPr>
              <w:autoSpaceDE w:val="0"/>
              <w:autoSpaceDN w:val="0"/>
              <w:jc w:val="center"/>
              <w:rPr>
                <w:rFonts w:ascii="宋体" w:hAnsi="宋体" w:cs="宋体"/>
                <w:szCs w:val="21"/>
                <w:highlight w:val="none"/>
              </w:rPr>
            </w:pPr>
            <w:r>
              <w:rPr>
                <w:rFonts w:hint="eastAsia" w:ascii="宋体" w:hAnsi="宋体" w:cs="宋体"/>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4E874F1">
            <w:pPr>
              <w:autoSpaceDE w:val="0"/>
              <w:autoSpaceDN w:val="0"/>
              <w:jc w:val="center"/>
              <w:rPr>
                <w:rFonts w:ascii="宋体" w:hAnsi="宋体" w:cs="宋体"/>
                <w:szCs w:val="21"/>
                <w:highlight w:val="none"/>
              </w:rPr>
            </w:pPr>
            <w:r>
              <w:rPr>
                <w:rFonts w:hint="eastAsia" w:ascii="宋体" w:hAnsi="宋体" w:cs="宋体"/>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2927D08">
            <w:pPr>
              <w:autoSpaceDE w:val="0"/>
              <w:autoSpaceDN w:val="0"/>
              <w:jc w:val="center"/>
              <w:rPr>
                <w:rFonts w:ascii="宋体" w:hAnsi="宋体" w:cs="宋体"/>
                <w:szCs w:val="21"/>
                <w:highlight w:val="none"/>
              </w:rPr>
            </w:pPr>
            <w:r>
              <w:rPr>
                <w:rFonts w:hint="eastAsia" w:ascii="宋体" w:hAnsi="宋体" w:cs="宋体"/>
                <w:szCs w:val="21"/>
                <w:highlight w:val="none"/>
              </w:rPr>
              <w:t>职称</w:t>
            </w:r>
          </w:p>
        </w:tc>
        <w:tc>
          <w:tcPr>
            <w:tcW w:w="1098" w:type="dxa"/>
            <w:tcBorders>
              <w:top w:val="single" w:color="auto" w:sz="6" w:space="0"/>
              <w:left w:val="single" w:color="auto" w:sz="6" w:space="0"/>
              <w:bottom w:val="single" w:color="auto" w:sz="6" w:space="0"/>
              <w:right w:val="single" w:color="auto" w:sz="6" w:space="0"/>
            </w:tcBorders>
            <w:vAlign w:val="center"/>
          </w:tcPr>
          <w:p w14:paraId="2C6F8959">
            <w:pPr>
              <w:autoSpaceDE w:val="0"/>
              <w:autoSpaceDN w:val="0"/>
              <w:jc w:val="center"/>
              <w:rPr>
                <w:rFonts w:ascii="宋体" w:hAnsi="宋体" w:cs="宋体"/>
                <w:szCs w:val="21"/>
                <w:highlight w:val="none"/>
              </w:rPr>
            </w:pPr>
            <w:r>
              <w:rPr>
                <w:rFonts w:hint="eastAsia" w:ascii="宋体" w:hAnsi="宋体" w:cs="宋体"/>
                <w:szCs w:val="21"/>
                <w:highlight w:val="none"/>
              </w:rPr>
              <w:t>本项目中的职责</w:t>
            </w:r>
          </w:p>
        </w:tc>
        <w:tc>
          <w:tcPr>
            <w:tcW w:w="1062" w:type="dxa"/>
            <w:tcBorders>
              <w:top w:val="single" w:color="auto" w:sz="6" w:space="0"/>
              <w:left w:val="single" w:color="auto" w:sz="6" w:space="0"/>
              <w:bottom w:val="single" w:color="auto" w:sz="6" w:space="0"/>
              <w:right w:val="single" w:color="auto" w:sz="6" w:space="0"/>
            </w:tcBorders>
            <w:vAlign w:val="center"/>
          </w:tcPr>
          <w:p w14:paraId="41D2F9A8">
            <w:pPr>
              <w:autoSpaceDE w:val="0"/>
              <w:autoSpaceDN w:val="0"/>
              <w:jc w:val="center"/>
              <w:rPr>
                <w:rFonts w:ascii="宋体" w:hAnsi="宋体" w:cs="宋体"/>
                <w:szCs w:val="21"/>
                <w:highlight w:val="none"/>
              </w:rPr>
            </w:pPr>
            <w:r>
              <w:rPr>
                <w:rFonts w:hint="eastAsia" w:ascii="宋体" w:hAnsi="宋体" w:cs="宋体"/>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215F3043">
            <w:pPr>
              <w:autoSpaceDE w:val="0"/>
              <w:autoSpaceDN w:val="0"/>
              <w:jc w:val="center"/>
              <w:rPr>
                <w:rFonts w:ascii="宋体" w:hAnsi="宋体" w:cs="宋体"/>
                <w:szCs w:val="21"/>
                <w:highlight w:val="none"/>
              </w:rPr>
            </w:pPr>
            <w:r>
              <w:rPr>
                <w:rFonts w:hint="eastAsia" w:ascii="宋体" w:hAnsi="宋体" w:cs="宋体"/>
                <w:szCs w:val="21"/>
                <w:highlight w:val="none"/>
              </w:rPr>
              <w:t>到达现场时间</w:t>
            </w:r>
          </w:p>
        </w:tc>
      </w:tr>
      <w:tr w14:paraId="6BCC3D99">
        <w:tblPrEx>
          <w:tblCellMar>
            <w:top w:w="0" w:type="dxa"/>
            <w:left w:w="108" w:type="dxa"/>
            <w:bottom w:w="0" w:type="dxa"/>
            <w:right w:w="108" w:type="dxa"/>
          </w:tblCellMar>
        </w:tblPrEx>
        <w:trPr>
          <w:trHeight w:val="607" w:hRule="atLeast"/>
        </w:trPr>
        <w:tc>
          <w:tcPr>
            <w:tcW w:w="646" w:type="dxa"/>
            <w:tcBorders>
              <w:top w:val="single" w:color="auto" w:sz="6" w:space="0"/>
              <w:left w:val="single" w:color="auto" w:sz="6" w:space="0"/>
              <w:bottom w:val="single" w:color="auto" w:sz="6" w:space="0"/>
              <w:right w:val="single" w:color="auto" w:sz="4" w:space="0"/>
            </w:tcBorders>
            <w:vAlign w:val="center"/>
          </w:tcPr>
          <w:p w14:paraId="25BF3741">
            <w:pPr>
              <w:autoSpaceDE w:val="0"/>
              <w:autoSpaceDN w:val="0"/>
              <w:jc w:val="center"/>
              <w:rPr>
                <w:rFonts w:ascii="宋体" w:hAnsi="宋体" w:cs="宋体"/>
                <w:szCs w:val="21"/>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13388CCD">
            <w:pPr>
              <w:autoSpaceDE w:val="0"/>
              <w:autoSpaceDN w:val="0"/>
              <w:jc w:val="center"/>
              <w:rPr>
                <w:rFonts w:ascii="宋体" w:hAnsi="宋体" w:cs="宋体"/>
                <w:szCs w:val="21"/>
                <w:highlight w:val="none"/>
              </w:rPr>
            </w:pPr>
            <w:r>
              <w:rPr>
                <w:rFonts w:hint="eastAsia" w:ascii="宋体" w:hAnsi="宋体" w:cs="宋体"/>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vAlign w:val="center"/>
          </w:tcPr>
          <w:p w14:paraId="4101C3FC">
            <w:pPr>
              <w:autoSpaceDE w:val="0"/>
              <w:autoSpaceDN w:val="0"/>
              <w:rPr>
                <w:rFonts w:ascii="宋体" w:hAnsi="宋体" w:cs="宋体"/>
                <w:szCs w:val="21"/>
                <w:highlight w:val="none"/>
              </w:rPr>
            </w:pPr>
          </w:p>
        </w:tc>
        <w:tc>
          <w:tcPr>
            <w:tcW w:w="685" w:type="dxa"/>
            <w:tcBorders>
              <w:top w:val="single" w:color="auto" w:sz="6" w:space="0"/>
              <w:left w:val="single" w:color="auto" w:sz="6" w:space="0"/>
              <w:bottom w:val="single" w:color="auto" w:sz="6" w:space="0"/>
              <w:right w:val="single" w:color="auto" w:sz="6" w:space="0"/>
            </w:tcBorders>
            <w:vAlign w:val="center"/>
          </w:tcPr>
          <w:p w14:paraId="72237CD3">
            <w:pPr>
              <w:autoSpaceDE w:val="0"/>
              <w:autoSpaceDN w:val="0"/>
              <w:rPr>
                <w:rFonts w:ascii="宋体" w:hAnsi="宋体" w:cs="宋体"/>
                <w:szCs w:val="21"/>
                <w:highlight w:val="none"/>
              </w:rPr>
            </w:pPr>
          </w:p>
        </w:tc>
        <w:tc>
          <w:tcPr>
            <w:tcW w:w="705" w:type="dxa"/>
            <w:tcBorders>
              <w:top w:val="single" w:color="auto" w:sz="6" w:space="0"/>
              <w:left w:val="single" w:color="auto" w:sz="6" w:space="0"/>
              <w:bottom w:val="single" w:color="auto" w:sz="6" w:space="0"/>
              <w:right w:val="single" w:color="auto" w:sz="6" w:space="0"/>
            </w:tcBorders>
            <w:vAlign w:val="center"/>
          </w:tcPr>
          <w:p w14:paraId="69B109B1">
            <w:pPr>
              <w:autoSpaceDE w:val="0"/>
              <w:autoSpaceDN w:val="0"/>
              <w:rPr>
                <w:rFonts w:ascii="宋体" w:hAnsi="宋体" w:cs="宋体"/>
                <w:szCs w:val="21"/>
                <w:highlight w:val="none"/>
              </w:rPr>
            </w:pPr>
          </w:p>
        </w:tc>
        <w:tc>
          <w:tcPr>
            <w:tcW w:w="1002" w:type="dxa"/>
            <w:tcBorders>
              <w:top w:val="single" w:color="auto" w:sz="6" w:space="0"/>
              <w:left w:val="single" w:color="auto" w:sz="6" w:space="0"/>
              <w:bottom w:val="single" w:color="auto" w:sz="6" w:space="0"/>
              <w:right w:val="single" w:color="auto" w:sz="6" w:space="0"/>
            </w:tcBorders>
            <w:vAlign w:val="center"/>
          </w:tcPr>
          <w:p w14:paraId="46E95397">
            <w:pPr>
              <w:autoSpaceDE w:val="0"/>
              <w:autoSpaceDN w:val="0"/>
              <w:rPr>
                <w:rFonts w:ascii="宋体" w:hAnsi="宋体" w:cs="宋体"/>
                <w:szCs w:val="21"/>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77399785">
            <w:pPr>
              <w:autoSpaceDE w:val="0"/>
              <w:autoSpaceDN w:val="0"/>
              <w:rPr>
                <w:rFonts w:ascii="宋体" w:hAnsi="宋体" w:cs="宋体"/>
                <w:szCs w:val="21"/>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144AE5B9">
            <w:pPr>
              <w:autoSpaceDE w:val="0"/>
              <w:autoSpaceDN w:val="0"/>
              <w:rPr>
                <w:rFonts w:ascii="宋体" w:hAnsi="宋体" w:cs="宋体"/>
                <w:szCs w:val="21"/>
                <w:highlight w:val="none"/>
              </w:rPr>
            </w:pPr>
          </w:p>
        </w:tc>
        <w:tc>
          <w:tcPr>
            <w:tcW w:w="1098" w:type="dxa"/>
            <w:tcBorders>
              <w:top w:val="single" w:color="auto" w:sz="6" w:space="0"/>
              <w:left w:val="single" w:color="auto" w:sz="6" w:space="0"/>
              <w:bottom w:val="single" w:color="auto" w:sz="6" w:space="0"/>
              <w:right w:val="single" w:color="auto" w:sz="6" w:space="0"/>
            </w:tcBorders>
            <w:vAlign w:val="center"/>
          </w:tcPr>
          <w:p w14:paraId="6988692E">
            <w:pPr>
              <w:autoSpaceDE w:val="0"/>
              <w:autoSpaceDN w:val="0"/>
              <w:rPr>
                <w:rFonts w:ascii="宋体" w:hAnsi="宋体" w:cs="宋体"/>
                <w:szCs w:val="21"/>
                <w:highlight w:val="none"/>
              </w:rPr>
            </w:pPr>
          </w:p>
        </w:tc>
        <w:tc>
          <w:tcPr>
            <w:tcW w:w="1062" w:type="dxa"/>
            <w:tcBorders>
              <w:top w:val="single" w:color="auto" w:sz="6" w:space="0"/>
              <w:left w:val="single" w:color="auto" w:sz="6" w:space="0"/>
              <w:bottom w:val="single" w:color="auto" w:sz="6" w:space="0"/>
              <w:right w:val="single" w:color="auto" w:sz="6" w:space="0"/>
            </w:tcBorders>
            <w:vAlign w:val="center"/>
          </w:tcPr>
          <w:p w14:paraId="30EB8A8D">
            <w:pPr>
              <w:autoSpaceDE w:val="0"/>
              <w:autoSpaceDN w:val="0"/>
              <w:rPr>
                <w:rFonts w:ascii="宋体" w:hAnsi="宋体" w:cs="宋体"/>
                <w:szCs w:val="21"/>
                <w:highlight w:val="none"/>
              </w:rPr>
            </w:pPr>
          </w:p>
        </w:tc>
        <w:tc>
          <w:tcPr>
            <w:tcW w:w="1111" w:type="dxa"/>
            <w:tcBorders>
              <w:top w:val="single" w:color="auto" w:sz="6" w:space="0"/>
              <w:left w:val="single" w:color="auto" w:sz="6" w:space="0"/>
              <w:bottom w:val="single" w:color="auto" w:sz="6" w:space="0"/>
              <w:right w:val="single" w:color="auto" w:sz="6" w:space="0"/>
            </w:tcBorders>
            <w:vAlign w:val="center"/>
          </w:tcPr>
          <w:p w14:paraId="5A71426B">
            <w:pPr>
              <w:autoSpaceDE w:val="0"/>
              <w:autoSpaceDN w:val="0"/>
              <w:rPr>
                <w:rFonts w:ascii="宋体" w:hAnsi="宋体" w:cs="宋体"/>
                <w:szCs w:val="21"/>
                <w:highlight w:val="none"/>
              </w:rPr>
            </w:pPr>
          </w:p>
        </w:tc>
      </w:tr>
      <w:tr w14:paraId="13A23757">
        <w:tblPrEx>
          <w:tblCellMar>
            <w:top w:w="0" w:type="dxa"/>
            <w:left w:w="108" w:type="dxa"/>
            <w:bottom w:w="0" w:type="dxa"/>
            <w:right w:w="108" w:type="dxa"/>
          </w:tblCellMar>
        </w:tblPrEx>
        <w:trPr>
          <w:trHeight w:val="595" w:hRule="atLeast"/>
        </w:trPr>
        <w:tc>
          <w:tcPr>
            <w:tcW w:w="646" w:type="dxa"/>
            <w:tcBorders>
              <w:top w:val="single" w:color="auto" w:sz="6" w:space="0"/>
              <w:left w:val="single" w:color="auto" w:sz="6" w:space="0"/>
              <w:bottom w:val="single" w:color="auto" w:sz="6" w:space="0"/>
              <w:right w:val="single" w:color="auto" w:sz="4" w:space="0"/>
            </w:tcBorders>
            <w:vAlign w:val="center"/>
          </w:tcPr>
          <w:p w14:paraId="6CEBEF2C">
            <w:pPr>
              <w:autoSpaceDE w:val="0"/>
              <w:autoSpaceDN w:val="0"/>
              <w:jc w:val="center"/>
              <w:rPr>
                <w:rFonts w:ascii="宋体" w:hAnsi="宋体" w:cs="宋体"/>
                <w:szCs w:val="21"/>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5BA635B9">
            <w:pPr>
              <w:autoSpaceDE w:val="0"/>
              <w:autoSpaceDN w:val="0"/>
              <w:jc w:val="center"/>
              <w:rPr>
                <w:rFonts w:ascii="宋体" w:hAnsi="宋体" w:cs="宋体"/>
                <w:szCs w:val="21"/>
                <w:highlight w:val="none"/>
              </w:rPr>
            </w:pPr>
            <w:r>
              <w:rPr>
                <w:rFonts w:hint="eastAsia" w:ascii="宋体" w:hAnsi="宋体" w:cs="宋体"/>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vAlign w:val="center"/>
          </w:tcPr>
          <w:p w14:paraId="1BDE36FA">
            <w:pPr>
              <w:autoSpaceDE w:val="0"/>
              <w:autoSpaceDN w:val="0"/>
              <w:rPr>
                <w:rFonts w:ascii="宋体" w:hAnsi="宋体" w:cs="宋体"/>
                <w:szCs w:val="21"/>
                <w:highlight w:val="none"/>
              </w:rPr>
            </w:pPr>
          </w:p>
        </w:tc>
        <w:tc>
          <w:tcPr>
            <w:tcW w:w="685" w:type="dxa"/>
            <w:tcBorders>
              <w:top w:val="single" w:color="auto" w:sz="6" w:space="0"/>
              <w:left w:val="single" w:color="auto" w:sz="6" w:space="0"/>
              <w:bottom w:val="single" w:color="auto" w:sz="6" w:space="0"/>
              <w:right w:val="single" w:color="auto" w:sz="6" w:space="0"/>
            </w:tcBorders>
            <w:vAlign w:val="center"/>
          </w:tcPr>
          <w:p w14:paraId="097AF8C1">
            <w:pPr>
              <w:autoSpaceDE w:val="0"/>
              <w:autoSpaceDN w:val="0"/>
              <w:rPr>
                <w:rFonts w:ascii="宋体" w:hAnsi="宋体" w:cs="宋体"/>
                <w:szCs w:val="21"/>
                <w:highlight w:val="none"/>
              </w:rPr>
            </w:pPr>
          </w:p>
        </w:tc>
        <w:tc>
          <w:tcPr>
            <w:tcW w:w="705" w:type="dxa"/>
            <w:tcBorders>
              <w:top w:val="single" w:color="auto" w:sz="6" w:space="0"/>
              <w:left w:val="single" w:color="auto" w:sz="6" w:space="0"/>
              <w:bottom w:val="single" w:color="auto" w:sz="6" w:space="0"/>
              <w:right w:val="single" w:color="auto" w:sz="6" w:space="0"/>
            </w:tcBorders>
            <w:vAlign w:val="center"/>
          </w:tcPr>
          <w:p w14:paraId="79178B1A">
            <w:pPr>
              <w:autoSpaceDE w:val="0"/>
              <w:autoSpaceDN w:val="0"/>
              <w:rPr>
                <w:rFonts w:ascii="宋体" w:hAnsi="宋体" w:cs="宋体"/>
                <w:szCs w:val="21"/>
                <w:highlight w:val="none"/>
              </w:rPr>
            </w:pPr>
          </w:p>
        </w:tc>
        <w:tc>
          <w:tcPr>
            <w:tcW w:w="1002" w:type="dxa"/>
            <w:tcBorders>
              <w:top w:val="single" w:color="auto" w:sz="6" w:space="0"/>
              <w:left w:val="single" w:color="auto" w:sz="6" w:space="0"/>
              <w:bottom w:val="single" w:color="auto" w:sz="6" w:space="0"/>
              <w:right w:val="single" w:color="auto" w:sz="6" w:space="0"/>
            </w:tcBorders>
            <w:vAlign w:val="center"/>
          </w:tcPr>
          <w:p w14:paraId="358A5D5C">
            <w:pPr>
              <w:autoSpaceDE w:val="0"/>
              <w:autoSpaceDN w:val="0"/>
              <w:rPr>
                <w:rFonts w:ascii="宋体" w:hAnsi="宋体" w:cs="宋体"/>
                <w:szCs w:val="21"/>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129A0427">
            <w:pPr>
              <w:autoSpaceDE w:val="0"/>
              <w:autoSpaceDN w:val="0"/>
              <w:rPr>
                <w:rFonts w:ascii="宋体" w:hAnsi="宋体" w:cs="宋体"/>
                <w:szCs w:val="21"/>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3217BFE8">
            <w:pPr>
              <w:autoSpaceDE w:val="0"/>
              <w:autoSpaceDN w:val="0"/>
              <w:rPr>
                <w:rFonts w:ascii="宋体" w:hAnsi="宋体" w:cs="宋体"/>
                <w:szCs w:val="21"/>
                <w:highlight w:val="none"/>
              </w:rPr>
            </w:pPr>
          </w:p>
        </w:tc>
        <w:tc>
          <w:tcPr>
            <w:tcW w:w="1098" w:type="dxa"/>
            <w:tcBorders>
              <w:top w:val="single" w:color="auto" w:sz="6" w:space="0"/>
              <w:left w:val="single" w:color="auto" w:sz="6" w:space="0"/>
              <w:bottom w:val="single" w:color="auto" w:sz="6" w:space="0"/>
              <w:right w:val="single" w:color="auto" w:sz="6" w:space="0"/>
            </w:tcBorders>
            <w:vAlign w:val="center"/>
          </w:tcPr>
          <w:p w14:paraId="139CDF16">
            <w:pPr>
              <w:autoSpaceDE w:val="0"/>
              <w:autoSpaceDN w:val="0"/>
              <w:rPr>
                <w:rFonts w:ascii="宋体" w:hAnsi="宋体" w:cs="宋体"/>
                <w:szCs w:val="21"/>
                <w:highlight w:val="none"/>
              </w:rPr>
            </w:pPr>
          </w:p>
        </w:tc>
        <w:tc>
          <w:tcPr>
            <w:tcW w:w="1062" w:type="dxa"/>
            <w:tcBorders>
              <w:top w:val="single" w:color="auto" w:sz="6" w:space="0"/>
              <w:left w:val="single" w:color="auto" w:sz="6" w:space="0"/>
              <w:bottom w:val="single" w:color="auto" w:sz="6" w:space="0"/>
              <w:right w:val="single" w:color="auto" w:sz="6" w:space="0"/>
            </w:tcBorders>
            <w:vAlign w:val="center"/>
          </w:tcPr>
          <w:p w14:paraId="3A3287FB">
            <w:pPr>
              <w:autoSpaceDE w:val="0"/>
              <w:autoSpaceDN w:val="0"/>
              <w:rPr>
                <w:rFonts w:ascii="宋体" w:hAnsi="宋体" w:cs="宋体"/>
                <w:szCs w:val="21"/>
                <w:highlight w:val="none"/>
              </w:rPr>
            </w:pPr>
          </w:p>
        </w:tc>
        <w:tc>
          <w:tcPr>
            <w:tcW w:w="1111" w:type="dxa"/>
            <w:tcBorders>
              <w:top w:val="single" w:color="auto" w:sz="6" w:space="0"/>
              <w:left w:val="single" w:color="auto" w:sz="6" w:space="0"/>
              <w:bottom w:val="single" w:color="auto" w:sz="6" w:space="0"/>
              <w:right w:val="single" w:color="auto" w:sz="6" w:space="0"/>
            </w:tcBorders>
            <w:vAlign w:val="center"/>
          </w:tcPr>
          <w:p w14:paraId="3ECC2A85">
            <w:pPr>
              <w:autoSpaceDE w:val="0"/>
              <w:autoSpaceDN w:val="0"/>
              <w:rPr>
                <w:rFonts w:ascii="宋体" w:hAnsi="宋体" w:cs="宋体"/>
                <w:szCs w:val="21"/>
                <w:highlight w:val="none"/>
              </w:rPr>
            </w:pPr>
          </w:p>
        </w:tc>
      </w:tr>
    </w:tbl>
    <w:p w14:paraId="2418FAD2">
      <w:pPr>
        <w:autoSpaceDE w:val="0"/>
        <w:autoSpaceDN w:val="0"/>
        <w:ind w:firstLine="316"/>
        <w:rPr>
          <w:rFonts w:ascii="宋体" w:hAnsi="宋体" w:cs="宋体"/>
          <w:kern w:val="0"/>
          <w:szCs w:val="21"/>
          <w:highlight w:val="none"/>
        </w:rPr>
      </w:pPr>
      <w:r>
        <w:rPr>
          <w:rFonts w:hint="eastAsia" w:ascii="宋体" w:hAnsi="宋体" w:cs="宋体"/>
          <w:b/>
          <w:kern w:val="0"/>
          <w:szCs w:val="21"/>
          <w:highlight w:val="none"/>
        </w:rPr>
        <w:t>附表B：售后服务人员情况表</w:t>
      </w:r>
      <w:r>
        <w:rPr>
          <w:rFonts w:hint="eastAsia" w:ascii="宋体" w:hAnsi="宋体" w:cs="宋体"/>
          <w:szCs w:val="21"/>
          <w:highlight w:val="none"/>
        </w:rPr>
        <w:t>（按此格式自制）</w:t>
      </w:r>
    </w:p>
    <w:p w14:paraId="0B998810">
      <w:pPr>
        <w:pStyle w:val="27"/>
        <w:ind w:left="0" w:leftChars="0" w:firstLine="0" w:firstLineChars="0"/>
        <w:rPr>
          <w:rFonts w:ascii="宋体" w:hAnsi="宋体" w:cs="宋体"/>
          <w:szCs w:val="21"/>
          <w:highlight w:val="none"/>
        </w:rPr>
      </w:pPr>
    </w:p>
    <w:p w14:paraId="5434F45E">
      <w:pPr>
        <w:pStyle w:val="27"/>
        <w:spacing w:line="240" w:lineRule="auto"/>
        <w:ind w:left="0" w:leftChars="0" w:firstLine="0" w:firstLineChars="0"/>
        <w:rPr>
          <w:rFonts w:ascii="宋体" w:hAnsi="宋体" w:cs="宋体"/>
          <w:b/>
          <w:kern w:val="0"/>
          <w:szCs w:val="21"/>
          <w:highlight w:val="none"/>
        </w:rPr>
      </w:pPr>
      <w:r>
        <w:rPr>
          <w:rFonts w:hint="eastAsia" w:ascii="宋体" w:hAnsi="宋体" w:cs="宋体"/>
          <w:b/>
          <w:kern w:val="0"/>
          <w:szCs w:val="21"/>
          <w:highlight w:val="none"/>
        </w:rPr>
        <w:t>附表C：维保期满后售后服务</w:t>
      </w:r>
      <w:r>
        <w:rPr>
          <w:rFonts w:hint="eastAsia" w:ascii="宋体" w:hAnsi="宋体" w:cs="宋体"/>
          <w:szCs w:val="21"/>
          <w:highlight w:val="none"/>
        </w:rPr>
        <w:t>（按此格式自制）</w:t>
      </w:r>
    </w:p>
    <w:tbl>
      <w:tblPr>
        <w:tblStyle w:val="28"/>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58"/>
        <w:gridCol w:w="1293"/>
        <w:gridCol w:w="1023"/>
        <w:gridCol w:w="826"/>
        <w:gridCol w:w="813"/>
        <w:gridCol w:w="1399"/>
        <w:gridCol w:w="1108"/>
        <w:gridCol w:w="1222"/>
      </w:tblGrid>
      <w:tr w14:paraId="737C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177" w:type="dxa"/>
            <w:gridSpan w:val="5"/>
            <w:tcBorders>
              <w:top w:val="single" w:color="auto" w:sz="4" w:space="0"/>
              <w:left w:val="single" w:color="auto" w:sz="4" w:space="0"/>
              <w:bottom w:val="single" w:color="auto" w:sz="4" w:space="0"/>
              <w:right w:val="single" w:color="auto" w:sz="4" w:space="0"/>
            </w:tcBorders>
            <w:vAlign w:val="center"/>
          </w:tcPr>
          <w:p w14:paraId="6C545468">
            <w:pPr>
              <w:jc w:val="center"/>
              <w:rPr>
                <w:rFonts w:ascii="宋体" w:hAnsi="宋体" w:cs="宋体"/>
                <w:snapToGrid w:val="0"/>
                <w:szCs w:val="21"/>
                <w:highlight w:val="none"/>
              </w:rPr>
            </w:pPr>
            <w:r>
              <w:rPr>
                <w:rFonts w:hint="eastAsia" w:ascii="宋体" w:hAnsi="宋体" w:cs="宋体"/>
                <w:snapToGrid w:val="0"/>
                <w:szCs w:val="21"/>
                <w:highlight w:val="none"/>
              </w:rPr>
              <w:t>厂家信息</w:t>
            </w:r>
          </w:p>
        </w:tc>
        <w:tc>
          <w:tcPr>
            <w:tcW w:w="4542" w:type="dxa"/>
            <w:gridSpan w:val="4"/>
            <w:tcBorders>
              <w:top w:val="single" w:color="auto" w:sz="4" w:space="0"/>
              <w:left w:val="single" w:color="auto" w:sz="4" w:space="0"/>
              <w:bottom w:val="single" w:color="auto" w:sz="4" w:space="0"/>
              <w:right w:val="single" w:color="auto" w:sz="4" w:space="0"/>
            </w:tcBorders>
            <w:vAlign w:val="center"/>
          </w:tcPr>
          <w:p w14:paraId="1EC7B71D">
            <w:pPr>
              <w:widowControl/>
              <w:jc w:val="center"/>
              <w:textAlignment w:val="center"/>
              <w:rPr>
                <w:rFonts w:ascii="宋体" w:hAnsi="宋体" w:cs="宋体"/>
                <w:snapToGrid w:val="0"/>
                <w:szCs w:val="21"/>
                <w:highlight w:val="none"/>
              </w:rPr>
            </w:pPr>
            <w:r>
              <w:rPr>
                <w:rFonts w:hint="eastAsia" w:ascii="宋体" w:hAnsi="宋体" w:cs="宋体"/>
                <w:snapToGrid w:val="0"/>
                <w:szCs w:val="21"/>
                <w:highlight w:val="none"/>
              </w:rPr>
              <w:t>授权</w:t>
            </w:r>
            <w:r>
              <w:rPr>
                <w:rFonts w:hint="eastAsia" w:ascii="宋体" w:hAnsi="宋体" w:cs="宋体"/>
                <w:szCs w:val="21"/>
                <w:highlight w:val="none"/>
              </w:rPr>
              <w:t>售后</w:t>
            </w:r>
            <w:r>
              <w:rPr>
                <w:rFonts w:hint="eastAsia" w:ascii="宋体" w:hAnsi="宋体" w:cs="宋体"/>
                <w:snapToGrid w:val="0"/>
                <w:szCs w:val="21"/>
                <w:highlight w:val="none"/>
              </w:rPr>
              <w:t>代理商（如有）</w:t>
            </w:r>
          </w:p>
        </w:tc>
      </w:tr>
      <w:tr w14:paraId="5D99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77" w:type="dxa"/>
            <w:tcBorders>
              <w:top w:val="single" w:color="auto" w:sz="4" w:space="0"/>
              <w:left w:val="single" w:color="auto" w:sz="4" w:space="0"/>
              <w:bottom w:val="single" w:color="auto" w:sz="4" w:space="0"/>
              <w:right w:val="single" w:color="auto" w:sz="4" w:space="0"/>
            </w:tcBorders>
            <w:vAlign w:val="center"/>
          </w:tcPr>
          <w:p w14:paraId="01DEBC1E">
            <w:pPr>
              <w:pStyle w:val="14"/>
              <w:wordWrap w:val="0"/>
              <w:snapToGrid w:val="0"/>
              <w:jc w:val="center"/>
              <w:rPr>
                <w:rFonts w:hAnsi="宋体" w:cs="宋体"/>
                <w:spacing w:val="-20"/>
                <w:highlight w:val="none"/>
              </w:rPr>
            </w:pPr>
            <w:r>
              <w:rPr>
                <w:rFonts w:hint="eastAsia" w:hAnsi="宋体" w:cs="宋体"/>
                <w:spacing w:val="-20"/>
                <w:highlight w:val="none"/>
              </w:rPr>
              <w:t>序号</w:t>
            </w:r>
          </w:p>
        </w:tc>
        <w:tc>
          <w:tcPr>
            <w:tcW w:w="1458" w:type="dxa"/>
            <w:tcBorders>
              <w:top w:val="single" w:color="auto" w:sz="4" w:space="0"/>
              <w:left w:val="single" w:color="auto" w:sz="4" w:space="0"/>
              <w:bottom w:val="single" w:color="auto" w:sz="4" w:space="0"/>
              <w:right w:val="single" w:color="auto" w:sz="4" w:space="0"/>
            </w:tcBorders>
            <w:vAlign w:val="center"/>
          </w:tcPr>
          <w:p w14:paraId="7FAB9430">
            <w:pPr>
              <w:wordWrap w:val="0"/>
              <w:topLinePunct/>
              <w:jc w:val="center"/>
              <w:rPr>
                <w:rFonts w:ascii="宋体" w:hAnsi="宋体" w:cs="宋体"/>
                <w:szCs w:val="21"/>
                <w:highlight w:val="none"/>
              </w:rPr>
            </w:pPr>
            <w:r>
              <w:rPr>
                <w:rFonts w:hint="eastAsia" w:ascii="宋体" w:hAnsi="宋体" w:cs="宋体"/>
                <w:szCs w:val="21"/>
                <w:highlight w:val="none"/>
              </w:rPr>
              <w:t>物品名称</w:t>
            </w:r>
          </w:p>
          <w:p w14:paraId="04A64662">
            <w:pPr>
              <w:wordWrap w:val="0"/>
              <w:topLinePunct/>
              <w:jc w:val="center"/>
              <w:rPr>
                <w:rFonts w:ascii="宋体" w:hAnsi="宋体" w:cs="宋体"/>
                <w:snapToGrid w:val="0"/>
                <w:szCs w:val="21"/>
                <w:highlight w:val="none"/>
              </w:rPr>
            </w:pPr>
          </w:p>
        </w:tc>
        <w:tc>
          <w:tcPr>
            <w:tcW w:w="1293" w:type="dxa"/>
            <w:tcBorders>
              <w:top w:val="single" w:color="auto" w:sz="4" w:space="0"/>
              <w:left w:val="single" w:color="auto" w:sz="4" w:space="0"/>
              <w:bottom w:val="single" w:color="auto" w:sz="4" w:space="0"/>
              <w:right w:val="single" w:color="auto" w:sz="4" w:space="0"/>
            </w:tcBorders>
            <w:vAlign w:val="center"/>
          </w:tcPr>
          <w:p w14:paraId="33DB49D7">
            <w:pPr>
              <w:jc w:val="center"/>
              <w:rPr>
                <w:rFonts w:ascii="宋体" w:hAnsi="宋体" w:cs="宋体"/>
                <w:snapToGrid w:val="0"/>
                <w:szCs w:val="21"/>
                <w:highlight w:val="none"/>
              </w:rPr>
            </w:pPr>
            <w:r>
              <w:rPr>
                <w:rFonts w:hint="eastAsia" w:ascii="宋体" w:hAnsi="宋体" w:cs="宋体"/>
                <w:szCs w:val="21"/>
                <w:highlight w:val="none"/>
              </w:rPr>
              <w:t>生产厂家名称</w:t>
            </w:r>
          </w:p>
        </w:tc>
        <w:tc>
          <w:tcPr>
            <w:tcW w:w="1023" w:type="dxa"/>
            <w:tcBorders>
              <w:top w:val="single" w:color="auto" w:sz="4" w:space="0"/>
              <w:left w:val="single" w:color="auto" w:sz="4" w:space="0"/>
              <w:bottom w:val="single" w:color="auto" w:sz="4" w:space="0"/>
              <w:right w:val="single" w:color="auto" w:sz="4" w:space="0"/>
            </w:tcBorders>
            <w:vAlign w:val="center"/>
          </w:tcPr>
          <w:p w14:paraId="3280E8D8">
            <w:pPr>
              <w:jc w:val="center"/>
              <w:rPr>
                <w:rFonts w:ascii="宋体" w:hAnsi="宋体" w:cs="宋体"/>
                <w:snapToGrid w:val="0"/>
                <w:szCs w:val="21"/>
                <w:highlight w:val="none"/>
              </w:rPr>
            </w:pPr>
            <w:r>
              <w:rPr>
                <w:rFonts w:hint="eastAsia" w:ascii="宋体" w:hAnsi="宋体" w:cs="宋体"/>
                <w:szCs w:val="21"/>
                <w:highlight w:val="none"/>
              </w:rPr>
              <w:t>厂家工程师</w:t>
            </w:r>
          </w:p>
        </w:tc>
        <w:tc>
          <w:tcPr>
            <w:tcW w:w="826" w:type="dxa"/>
            <w:tcBorders>
              <w:top w:val="single" w:color="auto" w:sz="4" w:space="0"/>
              <w:left w:val="single" w:color="auto" w:sz="4" w:space="0"/>
              <w:bottom w:val="single" w:color="auto" w:sz="4" w:space="0"/>
              <w:right w:val="single" w:color="auto" w:sz="4" w:space="0"/>
            </w:tcBorders>
            <w:vAlign w:val="center"/>
          </w:tcPr>
          <w:p w14:paraId="4AE54AD1">
            <w:pPr>
              <w:jc w:val="center"/>
              <w:rPr>
                <w:rFonts w:ascii="宋体" w:hAnsi="宋体" w:cs="宋体"/>
                <w:snapToGrid w:val="0"/>
                <w:szCs w:val="21"/>
                <w:highlight w:val="none"/>
              </w:rPr>
            </w:pPr>
            <w:r>
              <w:rPr>
                <w:rFonts w:hint="eastAsia" w:ascii="宋体" w:hAnsi="宋体" w:cs="宋体"/>
                <w:szCs w:val="21"/>
                <w:highlight w:val="none"/>
              </w:rPr>
              <w:t>联系方式</w:t>
            </w:r>
          </w:p>
        </w:tc>
        <w:tc>
          <w:tcPr>
            <w:tcW w:w="813" w:type="dxa"/>
            <w:tcBorders>
              <w:top w:val="single" w:color="auto" w:sz="4" w:space="0"/>
              <w:left w:val="single" w:color="auto" w:sz="4" w:space="0"/>
              <w:bottom w:val="single" w:color="auto" w:sz="4" w:space="0"/>
              <w:right w:val="single" w:color="auto" w:sz="4" w:space="0"/>
            </w:tcBorders>
            <w:vAlign w:val="center"/>
          </w:tcPr>
          <w:p w14:paraId="44F21C10">
            <w:pPr>
              <w:jc w:val="center"/>
              <w:rPr>
                <w:rFonts w:ascii="宋体" w:hAnsi="宋体" w:cs="宋体"/>
                <w:szCs w:val="21"/>
                <w:highlight w:val="none"/>
              </w:rPr>
            </w:pPr>
            <w:r>
              <w:rPr>
                <w:rFonts w:hint="eastAsia" w:ascii="宋体" w:hAnsi="宋体" w:cs="宋体"/>
                <w:szCs w:val="21"/>
                <w:highlight w:val="none"/>
              </w:rPr>
              <w:t>序号</w:t>
            </w:r>
          </w:p>
        </w:tc>
        <w:tc>
          <w:tcPr>
            <w:tcW w:w="1399" w:type="dxa"/>
            <w:tcBorders>
              <w:top w:val="single" w:color="auto" w:sz="4" w:space="0"/>
              <w:left w:val="single" w:color="auto" w:sz="4" w:space="0"/>
              <w:bottom w:val="single" w:color="auto" w:sz="4" w:space="0"/>
              <w:right w:val="single" w:color="auto" w:sz="4" w:space="0"/>
            </w:tcBorders>
            <w:vAlign w:val="center"/>
          </w:tcPr>
          <w:p w14:paraId="064F7BDA">
            <w:pPr>
              <w:pStyle w:val="14"/>
              <w:wordWrap w:val="0"/>
              <w:snapToGrid w:val="0"/>
              <w:jc w:val="center"/>
              <w:rPr>
                <w:rFonts w:hAnsi="宋体" w:cs="宋体"/>
                <w:snapToGrid w:val="0"/>
                <w:highlight w:val="none"/>
              </w:rPr>
            </w:pPr>
            <w:r>
              <w:rPr>
                <w:rFonts w:hint="eastAsia" w:hAnsi="宋体" w:cs="宋体"/>
                <w:highlight w:val="none"/>
              </w:rPr>
              <w:t>授权售后代理商名称（维修、配件供应及服务）</w:t>
            </w:r>
          </w:p>
        </w:tc>
        <w:tc>
          <w:tcPr>
            <w:tcW w:w="1108" w:type="dxa"/>
            <w:tcBorders>
              <w:top w:val="single" w:color="auto" w:sz="4" w:space="0"/>
              <w:left w:val="single" w:color="auto" w:sz="4" w:space="0"/>
              <w:bottom w:val="single" w:color="auto" w:sz="4" w:space="0"/>
              <w:right w:val="single" w:color="auto" w:sz="4" w:space="0"/>
            </w:tcBorders>
            <w:vAlign w:val="center"/>
          </w:tcPr>
          <w:p w14:paraId="71577E8A">
            <w:pPr>
              <w:widowControl/>
              <w:jc w:val="center"/>
              <w:textAlignment w:val="center"/>
              <w:rPr>
                <w:rFonts w:ascii="宋体" w:hAnsi="宋体" w:cs="宋体"/>
                <w:snapToGrid w:val="0"/>
                <w:szCs w:val="21"/>
                <w:highlight w:val="none"/>
              </w:rPr>
            </w:pPr>
            <w:r>
              <w:rPr>
                <w:rFonts w:hint="eastAsia" w:ascii="宋体" w:hAnsi="宋体" w:cs="宋体"/>
                <w:kern w:val="0"/>
                <w:szCs w:val="21"/>
                <w:highlight w:val="none"/>
              </w:rPr>
              <w:t>代理商联系人</w:t>
            </w:r>
          </w:p>
        </w:tc>
        <w:tc>
          <w:tcPr>
            <w:tcW w:w="1222" w:type="dxa"/>
            <w:tcBorders>
              <w:top w:val="single" w:color="auto" w:sz="4" w:space="0"/>
              <w:left w:val="single" w:color="auto" w:sz="4" w:space="0"/>
              <w:bottom w:val="single" w:color="auto" w:sz="4" w:space="0"/>
              <w:right w:val="single" w:color="auto" w:sz="4" w:space="0"/>
            </w:tcBorders>
            <w:vAlign w:val="center"/>
          </w:tcPr>
          <w:p w14:paraId="76922554">
            <w:pPr>
              <w:widowControl/>
              <w:jc w:val="center"/>
              <w:textAlignment w:val="center"/>
              <w:rPr>
                <w:rFonts w:ascii="宋体" w:hAnsi="宋体" w:cs="宋体"/>
                <w:snapToGrid w:val="0"/>
                <w:szCs w:val="21"/>
                <w:highlight w:val="none"/>
              </w:rPr>
            </w:pPr>
            <w:r>
              <w:rPr>
                <w:rFonts w:hint="eastAsia" w:ascii="宋体" w:hAnsi="宋体" w:cs="宋体"/>
                <w:kern w:val="0"/>
                <w:szCs w:val="21"/>
                <w:highlight w:val="none"/>
              </w:rPr>
              <w:t>联系方式</w:t>
            </w:r>
          </w:p>
        </w:tc>
      </w:tr>
      <w:tr w14:paraId="70DF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tcPr>
          <w:p w14:paraId="441DD1E7">
            <w:pPr>
              <w:wordWrap w:val="0"/>
              <w:adjustRightInd w:val="0"/>
              <w:snapToGrid w:val="0"/>
              <w:jc w:val="center"/>
              <w:rPr>
                <w:rFonts w:ascii="宋体" w:hAnsi="宋体" w:cs="宋体"/>
                <w:snapToGrid w:val="0"/>
                <w:szCs w:val="21"/>
                <w:highlight w:val="none"/>
              </w:rPr>
            </w:pPr>
            <w:r>
              <w:rPr>
                <w:rFonts w:hint="eastAsia" w:ascii="宋体" w:hAnsi="宋体" w:cs="宋体"/>
                <w:snapToGrid w:val="0"/>
                <w:szCs w:val="21"/>
                <w:highlight w:val="none"/>
              </w:rPr>
              <w:t>1</w:t>
            </w:r>
          </w:p>
        </w:tc>
        <w:tc>
          <w:tcPr>
            <w:tcW w:w="1458" w:type="dxa"/>
            <w:vMerge w:val="restart"/>
            <w:tcBorders>
              <w:top w:val="single" w:color="auto" w:sz="4" w:space="0"/>
              <w:left w:val="single" w:color="auto" w:sz="4" w:space="0"/>
              <w:right w:val="single" w:color="auto" w:sz="4" w:space="0"/>
            </w:tcBorders>
          </w:tcPr>
          <w:p w14:paraId="5E64DC53">
            <w:pPr>
              <w:wordWrap w:val="0"/>
              <w:adjustRightInd w:val="0"/>
              <w:snapToGrid w:val="0"/>
              <w:rPr>
                <w:rFonts w:ascii="宋体" w:hAnsi="宋体" w:cs="宋体"/>
                <w:szCs w:val="21"/>
                <w:highlight w:val="none"/>
              </w:rPr>
            </w:pPr>
          </w:p>
        </w:tc>
        <w:tc>
          <w:tcPr>
            <w:tcW w:w="1293" w:type="dxa"/>
            <w:vMerge w:val="restart"/>
            <w:tcBorders>
              <w:top w:val="single" w:color="auto" w:sz="4" w:space="0"/>
              <w:left w:val="single" w:color="auto" w:sz="4" w:space="0"/>
              <w:right w:val="single" w:color="auto" w:sz="4" w:space="0"/>
            </w:tcBorders>
          </w:tcPr>
          <w:p w14:paraId="6A983E75">
            <w:pPr>
              <w:wordWrap w:val="0"/>
              <w:adjustRightInd w:val="0"/>
              <w:snapToGrid w:val="0"/>
              <w:rPr>
                <w:rFonts w:ascii="宋体" w:hAnsi="宋体" w:cs="宋体"/>
                <w:szCs w:val="21"/>
                <w:highlight w:val="none"/>
              </w:rPr>
            </w:pPr>
          </w:p>
        </w:tc>
        <w:tc>
          <w:tcPr>
            <w:tcW w:w="1023" w:type="dxa"/>
            <w:vMerge w:val="restart"/>
            <w:tcBorders>
              <w:top w:val="single" w:color="auto" w:sz="4" w:space="0"/>
              <w:left w:val="single" w:color="auto" w:sz="4" w:space="0"/>
              <w:right w:val="single" w:color="auto" w:sz="4" w:space="0"/>
            </w:tcBorders>
          </w:tcPr>
          <w:p w14:paraId="378376BD">
            <w:pPr>
              <w:wordWrap w:val="0"/>
              <w:adjustRightInd w:val="0"/>
              <w:snapToGrid w:val="0"/>
              <w:rPr>
                <w:rFonts w:ascii="宋体" w:hAnsi="宋体" w:cs="宋体"/>
                <w:szCs w:val="21"/>
                <w:highlight w:val="none"/>
              </w:rPr>
            </w:pPr>
          </w:p>
        </w:tc>
        <w:tc>
          <w:tcPr>
            <w:tcW w:w="826" w:type="dxa"/>
            <w:vMerge w:val="restart"/>
            <w:tcBorders>
              <w:top w:val="single" w:color="auto" w:sz="4" w:space="0"/>
              <w:left w:val="single" w:color="auto" w:sz="4" w:space="0"/>
              <w:right w:val="single" w:color="auto" w:sz="4" w:space="0"/>
            </w:tcBorders>
          </w:tcPr>
          <w:p w14:paraId="00C6AFB1">
            <w:pPr>
              <w:wordWrap w:val="0"/>
              <w:adjustRightInd w:val="0"/>
              <w:snapToGrid w:val="0"/>
              <w:rPr>
                <w:rFonts w:ascii="宋体" w:hAnsi="宋体" w:cs="宋体"/>
                <w:szCs w:val="21"/>
                <w:highlight w:val="none"/>
              </w:rPr>
            </w:pPr>
          </w:p>
        </w:tc>
        <w:tc>
          <w:tcPr>
            <w:tcW w:w="813" w:type="dxa"/>
            <w:tcBorders>
              <w:top w:val="single" w:color="auto" w:sz="4" w:space="0"/>
              <w:left w:val="single" w:color="auto" w:sz="4" w:space="0"/>
              <w:bottom w:val="single" w:color="auto" w:sz="4" w:space="0"/>
              <w:right w:val="single" w:color="auto" w:sz="4" w:space="0"/>
            </w:tcBorders>
          </w:tcPr>
          <w:p w14:paraId="37DB2685">
            <w:pPr>
              <w:wordWrap w:val="0"/>
              <w:adjustRightInd w:val="0"/>
              <w:snapToGrid w:val="0"/>
              <w:rPr>
                <w:rFonts w:ascii="宋体" w:hAnsi="宋体" w:cs="宋体"/>
                <w:szCs w:val="21"/>
                <w:highlight w:val="none"/>
              </w:rPr>
            </w:pPr>
            <w:r>
              <w:rPr>
                <w:rFonts w:hint="eastAsia" w:ascii="宋体" w:hAnsi="宋体" w:cs="宋体"/>
                <w:szCs w:val="21"/>
                <w:highlight w:val="none"/>
              </w:rPr>
              <w:t>1</w:t>
            </w:r>
          </w:p>
        </w:tc>
        <w:tc>
          <w:tcPr>
            <w:tcW w:w="1399" w:type="dxa"/>
            <w:tcBorders>
              <w:top w:val="single" w:color="auto" w:sz="4" w:space="0"/>
              <w:left w:val="single" w:color="auto" w:sz="4" w:space="0"/>
              <w:bottom w:val="single" w:color="auto" w:sz="4" w:space="0"/>
              <w:right w:val="single" w:color="auto" w:sz="4" w:space="0"/>
            </w:tcBorders>
          </w:tcPr>
          <w:p w14:paraId="32BD42CA">
            <w:pPr>
              <w:wordWrap w:val="0"/>
              <w:adjustRightInd w:val="0"/>
              <w:snapToGrid w:val="0"/>
              <w:rPr>
                <w:rFonts w:ascii="宋体" w:hAnsi="宋体" w:cs="宋体"/>
                <w:szCs w:val="21"/>
                <w:highlight w:val="none"/>
              </w:rPr>
            </w:pPr>
          </w:p>
        </w:tc>
        <w:tc>
          <w:tcPr>
            <w:tcW w:w="1108" w:type="dxa"/>
            <w:tcBorders>
              <w:top w:val="single" w:color="auto" w:sz="4" w:space="0"/>
              <w:left w:val="single" w:color="auto" w:sz="4" w:space="0"/>
              <w:bottom w:val="single" w:color="auto" w:sz="4" w:space="0"/>
              <w:right w:val="single" w:color="auto" w:sz="4" w:space="0"/>
            </w:tcBorders>
          </w:tcPr>
          <w:p w14:paraId="4698988B">
            <w:pPr>
              <w:wordWrap w:val="0"/>
              <w:adjustRightInd w:val="0"/>
              <w:snapToGrid w:val="0"/>
              <w:rPr>
                <w:rFonts w:ascii="宋体" w:hAnsi="宋体" w:cs="宋体"/>
                <w:szCs w:val="21"/>
                <w:highlight w:val="none"/>
              </w:rPr>
            </w:pPr>
          </w:p>
        </w:tc>
        <w:tc>
          <w:tcPr>
            <w:tcW w:w="1222" w:type="dxa"/>
            <w:tcBorders>
              <w:top w:val="single" w:color="auto" w:sz="4" w:space="0"/>
              <w:left w:val="single" w:color="auto" w:sz="4" w:space="0"/>
              <w:bottom w:val="single" w:color="auto" w:sz="4" w:space="0"/>
              <w:right w:val="single" w:color="auto" w:sz="4" w:space="0"/>
            </w:tcBorders>
          </w:tcPr>
          <w:p w14:paraId="27581B1A">
            <w:pPr>
              <w:wordWrap w:val="0"/>
              <w:adjustRightInd w:val="0"/>
              <w:snapToGrid w:val="0"/>
              <w:rPr>
                <w:rFonts w:ascii="宋体" w:hAnsi="宋体" w:cs="宋体"/>
                <w:szCs w:val="21"/>
                <w:highlight w:val="none"/>
              </w:rPr>
            </w:pPr>
          </w:p>
        </w:tc>
      </w:tr>
      <w:tr w14:paraId="5973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tcPr>
          <w:p w14:paraId="63987159">
            <w:pPr>
              <w:wordWrap w:val="0"/>
              <w:adjustRightInd w:val="0"/>
              <w:snapToGrid w:val="0"/>
              <w:jc w:val="center"/>
              <w:rPr>
                <w:rFonts w:ascii="宋体" w:hAnsi="宋体" w:cs="宋体"/>
                <w:snapToGrid w:val="0"/>
                <w:szCs w:val="21"/>
                <w:highlight w:val="none"/>
              </w:rPr>
            </w:pPr>
          </w:p>
        </w:tc>
        <w:tc>
          <w:tcPr>
            <w:tcW w:w="1458" w:type="dxa"/>
            <w:vMerge w:val="continue"/>
            <w:tcBorders>
              <w:left w:val="single" w:color="auto" w:sz="4" w:space="0"/>
              <w:right w:val="single" w:color="auto" w:sz="4" w:space="0"/>
            </w:tcBorders>
          </w:tcPr>
          <w:p w14:paraId="029171FF">
            <w:pPr>
              <w:wordWrap w:val="0"/>
              <w:adjustRightInd w:val="0"/>
              <w:snapToGrid w:val="0"/>
              <w:rPr>
                <w:rFonts w:ascii="宋体" w:hAnsi="宋体" w:cs="宋体"/>
                <w:szCs w:val="21"/>
                <w:highlight w:val="none"/>
              </w:rPr>
            </w:pPr>
          </w:p>
        </w:tc>
        <w:tc>
          <w:tcPr>
            <w:tcW w:w="1293" w:type="dxa"/>
            <w:vMerge w:val="continue"/>
            <w:tcBorders>
              <w:left w:val="single" w:color="auto" w:sz="4" w:space="0"/>
              <w:right w:val="single" w:color="auto" w:sz="4" w:space="0"/>
            </w:tcBorders>
          </w:tcPr>
          <w:p w14:paraId="4F1FC5EC">
            <w:pPr>
              <w:wordWrap w:val="0"/>
              <w:adjustRightInd w:val="0"/>
              <w:snapToGrid w:val="0"/>
              <w:rPr>
                <w:rFonts w:ascii="宋体" w:hAnsi="宋体" w:cs="宋体"/>
                <w:szCs w:val="21"/>
                <w:highlight w:val="none"/>
              </w:rPr>
            </w:pPr>
          </w:p>
        </w:tc>
        <w:tc>
          <w:tcPr>
            <w:tcW w:w="1023" w:type="dxa"/>
            <w:vMerge w:val="continue"/>
            <w:tcBorders>
              <w:left w:val="single" w:color="auto" w:sz="4" w:space="0"/>
              <w:right w:val="single" w:color="auto" w:sz="4" w:space="0"/>
            </w:tcBorders>
          </w:tcPr>
          <w:p w14:paraId="0CE16AD3">
            <w:pPr>
              <w:wordWrap w:val="0"/>
              <w:adjustRightInd w:val="0"/>
              <w:snapToGrid w:val="0"/>
              <w:rPr>
                <w:rFonts w:ascii="宋体" w:hAnsi="宋体" w:cs="宋体"/>
                <w:szCs w:val="21"/>
                <w:highlight w:val="none"/>
              </w:rPr>
            </w:pPr>
          </w:p>
        </w:tc>
        <w:tc>
          <w:tcPr>
            <w:tcW w:w="826" w:type="dxa"/>
            <w:vMerge w:val="continue"/>
            <w:tcBorders>
              <w:left w:val="single" w:color="auto" w:sz="4" w:space="0"/>
              <w:right w:val="single" w:color="auto" w:sz="4" w:space="0"/>
            </w:tcBorders>
          </w:tcPr>
          <w:p w14:paraId="0002C0AF">
            <w:pPr>
              <w:wordWrap w:val="0"/>
              <w:adjustRightInd w:val="0"/>
              <w:snapToGrid w:val="0"/>
              <w:rPr>
                <w:rFonts w:ascii="宋体" w:hAnsi="宋体" w:cs="宋体"/>
                <w:szCs w:val="21"/>
                <w:highlight w:val="none"/>
              </w:rPr>
            </w:pPr>
          </w:p>
        </w:tc>
        <w:tc>
          <w:tcPr>
            <w:tcW w:w="813" w:type="dxa"/>
            <w:tcBorders>
              <w:top w:val="single" w:color="auto" w:sz="4" w:space="0"/>
              <w:left w:val="single" w:color="auto" w:sz="4" w:space="0"/>
              <w:bottom w:val="single" w:color="auto" w:sz="4" w:space="0"/>
              <w:right w:val="single" w:color="auto" w:sz="4" w:space="0"/>
            </w:tcBorders>
          </w:tcPr>
          <w:p w14:paraId="5E88ECE4">
            <w:pPr>
              <w:wordWrap w:val="0"/>
              <w:adjustRightInd w:val="0"/>
              <w:snapToGrid w:val="0"/>
              <w:rPr>
                <w:rFonts w:ascii="宋体" w:hAnsi="宋体" w:cs="宋体"/>
                <w:szCs w:val="21"/>
                <w:highlight w:val="none"/>
              </w:rPr>
            </w:pPr>
            <w:r>
              <w:rPr>
                <w:rFonts w:hint="eastAsia" w:ascii="宋体" w:hAnsi="宋体" w:cs="宋体"/>
                <w:szCs w:val="21"/>
                <w:highlight w:val="none"/>
              </w:rPr>
              <w:t>2</w:t>
            </w:r>
          </w:p>
        </w:tc>
        <w:tc>
          <w:tcPr>
            <w:tcW w:w="1399" w:type="dxa"/>
            <w:tcBorders>
              <w:top w:val="single" w:color="auto" w:sz="4" w:space="0"/>
              <w:left w:val="single" w:color="auto" w:sz="4" w:space="0"/>
              <w:bottom w:val="single" w:color="auto" w:sz="4" w:space="0"/>
              <w:right w:val="single" w:color="auto" w:sz="4" w:space="0"/>
            </w:tcBorders>
          </w:tcPr>
          <w:p w14:paraId="4057119D">
            <w:pPr>
              <w:wordWrap w:val="0"/>
              <w:adjustRightInd w:val="0"/>
              <w:snapToGrid w:val="0"/>
              <w:rPr>
                <w:rFonts w:ascii="宋体" w:hAnsi="宋体" w:cs="宋体"/>
                <w:szCs w:val="21"/>
                <w:highlight w:val="none"/>
              </w:rPr>
            </w:pPr>
          </w:p>
        </w:tc>
        <w:tc>
          <w:tcPr>
            <w:tcW w:w="1108" w:type="dxa"/>
            <w:tcBorders>
              <w:top w:val="single" w:color="auto" w:sz="4" w:space="0"/>
              <w:left w:val="single" w:color="auto" w:sz="4" w:space="0"/>
              <w:bottom w:val="single" w:color="auto" w:sz="4" w:space="0"/>
              <w:right w:val="single" w:color="auto" w:sz="4" w:space="0"/>
            </w:tcBorders>
          </w:tcPr>
          <w:p w14:paraId="3C74C627">
            <w:pPr>
              <w:wordWrap w:val="0"/>
              <w:adjustRightInd w:val="0"/>
              <w:snapToGrid w:val="0"/>
              <w:rPr>
                <w:rFonts w:ascii="宋体" w:hAnsi="宋体" w:cs="宋体"/>
                <w:szCs w:val="21"/>
                <w:highlight w:val="none"/>
              </w:rPr>
            </w:pPr>
          </w:p>
        </w:tc>
        <w:tc>
          <w:tcPr>
            <w:tcW w:w="1222" w:type="dxa"/>
            <w:tcBorders>
              <w:top w:val="single" w:color="auto" w:sz="4" w:space="0"/>
              <w:left w:val="single" w:color="auto" w:sz="4" w:space="0"/>
              <w:bottom w:val="single" w:color="auto" w:sz="4" w:space="0"/>
              <w:right w:val="single" w:color="auto" w:sz="4" w:space="0"/>
            </w:tcBorders>
          </w:tcPr>
          <w:p w14:paraId="1C2A64F6">
            <w:pPr>
              <w:wordWrap w:val="0"/>
              <w:adjustRightInd w:val="0"/>
              <w:snapToGrid w:val="0"/>
              <w:rPr>
                <w:rFonts w:ascii="宋体" w:hAnsi="宋体" w:cs="宋体"/>
                <w:szCs w:val="21"/>
                <w:highlight w:val="none"/>
              </w:rPr>
            </w:pPr>
          </w:p>
        </w:tc>
      </w:tr>
      <w:tr w14:paraId="3558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bottom w:val="single" w:color="auto" w:sz="4" w:space="0"/>
              <w:right w:val="single" w:color="auto" w:sz="4" w:space="0"/>
            </w:tcBorders>
          </w:tcPr>
          <w:p w14:paraId="46E414AE">
            <w:pPr>
              <w:wordWrap w:val="0"/>
              <w:adjustRightInd w:val="0"/>
              <w:snapToGrid w:val="0"/>
              <w:jc w:val="center"/>
              <w:rPr>
                <w:rFonts w:ascii="宋体" w:hAnsi="宋体" w:cs="宋体"/>
                <w:snapToGrid w:val="0"/>
                <w:szCs w:val="21"/>
                <w:highlight w:val="none"/>
              </w:rPr>
            </w:pPr>
          </w:p>
        </w:tc>
        <w:tc>
          <w:tcPr>
            <w:tcW w:w="1458" w:type="dxa"/>
            <w:vMerge w:val="continue"/>
            <w:tcBorders>
              <w:left w:val="single" w:color="auto" w:sz="4" w:space="0"/>
              <w:bottom w:val="single" w:color="auto" w:sz="4" w:space="0"/>
              <w:right w:val="single" w:color="auto" w:sz="4" w:space="0"/>
            </w:tcBorders>
          </w:tcPr>
          <w:p w14:paraId="2F3A6EF1">
            <w:pPr>
              <w:wordWrap w:val="0"/>
              <w:adjustRightInd w:val="0"/>
              <w:snapToGrid w:val="0"/>
              <w:rPr>
                <w:rFonts w:ascii="宋体" w:hAnsi="宋体" w:cs="宋体"/>
                <w:szCs w:val="21"/>
                <w:highlight w:val="none"/>
              </w:rPr>
            </w:pPr>
          </w:p>
        </w:tc>
        <w:tc>
          <w:tcPr>
            <w:tcW w:w="1293" w:type="dxa"/>
            <w:vMerge w:val="continue"/>
            <w:tcBorders>
              <w:left w:val="single" w:color="auto" w:sz="4" w:space="0"/>
              <w:bottom w:val="single" w:color="auto" w:sz="4" w:space="0"/>
              <w:right w:val="single" w:color="auto" w:sz="4" w:space="0"/>
            </w:tcBorders>
          </w:tcPr>
          <w:p w14:paraId="43CFA0EA">
            <w:pPr>
              <w:wordWrap w:val="0"/>
              <w:adjustRightInd w:val="0"/>
              <w:snapToGrid w:val="0"/>
              <w:rPr>
                <w:rFonts w:ascii="宋体" w:hAnsi="宋体" w:cs="宋体"/>
                <w:szCs w:val="21"/>
                <w:highlight w:val="none"/>
              </w:rPr>
            </w:pPr>
          </w:p>
        </w:tc>
        <w:tc>
          <w:tcPr>
            <w:tcW w:w="1023" w:type="dxa"/>
            <w:vMerge w:val="continue"/>
            <w:tcBorders>
              <w:left w:val="single" w:color="auto" w:sz="4" w:space="0"/>
              <w:bottom w:val="single" w:color="auto" w:sz="4" w:space="0"/>
              <w:right w:val="single" w:color="auto" w:sz="4" w:space="0"/>
            </w:tcBorders>
          </w:tcPr>
          <w:p w14:paraId="470AB9F3">
            <w:pPr>
              <w:wordWrap w:val="0"/>
              <w:adjustRightInd w:val="0"/>
              <w:snapToGrid w:val="0"/>
              <w:rPr>
                <w:rFonts w:ascii="宋体" w:hAnsi="宋体" w:cs="宋体"/>
                <w:szCs w:val="21"/>
                <w:highlight w:val="none"/>
              </w:rPr>
            </w:pPr>
          </w:p>
        </w:tc>
        <w:tc>
          <w:tcPr>
            <w:tcW w:w="826" w:type="dxa"/>
            <w:vMerge w:val="continue"/>
            <w:tcBorders>
              <w:left w:val="single" w:color="auto" w:sz="4" w:space="0"/>
              <w:bottom w:val="single" w:color="auto" w:sz="4" w:space="0"/>
              <w:right w:val="single" w:color="auto" w:sz="4" w:space="0"/>
            </w:tcBorders>
          </w:tcPr>
          <w:p w14:paraId="370E09D7">
            <w:pPr>
              <w:wordWrap w:val="0"/>
              <w:adjustRightInd w:val="0"/>
              <w:snapToGrid w:val="0"/>
              <w:rPr>
                <w:rFonts w:ascii="宋体" w:hAnsi="宋体" w:cs="宋体"/>
                <w:szCs w:val="21"/>
                <w:highlight w:val="none"/>
              </w:rPr>
            </w:pPr>
          </w:p>
        </w:tc>
        <w:tc>
          <w:tcPr>
            <w:tcW w:w="813" w:type="dxa"/>
            <w:tcBorders>
              <w:top w:val="single" w:color="auto" w:sz="4" w:space="0"/>
              <w:left w:val="single" w:color="auto" w:sz="4" w:space="0"/>
              <w:bottom w:val="single" w:color="auto" w:sz="4" w:space="0"/>
              <w:right w:val="single" w:color="auto" w:sz="4" w:space="0"/>
            </w:tcBorders>
          </w:tcPr>
          <w:p w14:paraId="6DD8D6DD">
            <w:pPr>
              <w:tabs>
                <w:tab w:val="left" w:pos="320"/>
              </w:tabs>
              <w:wordWrap w:val="0"/>
              <w:adjustRightInd w:val="0"/>
              <w:snapToGrid w:val="0"/>
              <w:rPr>
                <w:rFonts w:ascii="宋体" w:hAnsi="宋体" w:cs="宋体"/>
                <w:szCs w:val="21"/>
                <w:highlight w:val="none"/>
              </w:rPr>
            </w:pPr>
            <w:r>
              <w:rPr>
                <w:rFonts w:hint="eastAsia" w:ascii="宋体" w:hAnsi="宋体" w:cs="宋体"/>
                <w:szCs w:val="21"/>
                <w:highlight w:val="none"/>
              </w:rPr>
              <w:t>...</w:t>
            </w:r>
          </w:p>
        </w:tc>
        <w:tc>
          <w:tcPr>
            <w:tcW w:w="1399" w:type="dxa"/>
            <w:tcBorders>
              <w:top w:val="single" w:color="auto" w:sz="4" w:space="0"/>
              <w:left w:val="single" w:color="auto" w:sz="4" w:space="0"/>
              <w:bottom w:val="single" w:color="auto" w:sz="4" w:space="0"/>
              <w:right w:val="single" w:color="auto" w:sz="4" w:space="0"/>
            </w:tcBorders>
          </w:tcPr>
          <w:p w14:paraId="4A3EDB35">
            <w:pPr>
              <w:wordWrap w:val="0"/>
              <w:adjustRightInd w:val="0"/>
              <w:snapToGrid w:val="0"/>
              <w:rPr>
                <w:rFonts w:ascii="宋体" w:hAnsi="宋体" w:cs="宋体"/>
                <w:szCs w:val="21"/>
                <w:highlight w:val="none"/>
              </w:rPr>
            </w:pPr>
          </w:p>
        </w:tc>
        <w:tc>
          <w:tcPr>
            <w:tcW w:w="1108" w:type="dxa"/>
            <w:tcBorders>
              <w:top w:val="single" w:color="auto" w:sz="4" w:space="0"/>
              <w:left w:val="single" w:color="auto" w:sz="4" w:space="0"/>
              <w:bottom w:val="single" w:color="auto" w:sz="4" w:space="0"/>
              <w:right w:val="single" w:color="auto" w:sz="4" w:space="0"/>
            </w:tcBorders>
          </w:tcPr>
          <w:p w14:paraId="2077D1A1">
            <w:pPr>
              <w:wordWrap w:val="0"/>
              <w:adjustRightInd w:val="0"/>
              <w:snapToGrid w:val="0"/>
              <w:rPr>
                <w:rFonts w:ascii="宋体" w:hAnsi="宋体" w:cs="宋体"/>
                <w:szCs w:val="21"/>
                <w:highlight w:val="none"/>
              </w:rPr>
            </w:pPr>
          </w:p>
        </w:tc>
        <w:tc>
          <w:tcPr>
            <w:tcW w:w="1222" w:type="dxa"/>
            <w:tcBorders>
              <w:top w:val="single" w:color="auto" w:sz="4" w:space="0"/>
              <w:left w:val="single" w:color="auto" w:sz="4" w:space="0"/>
              <w:bottom w:val="single" w:color="auto" w:sz="4" w:space="0"/>
              <w:right w:val="single" w:color="auto" w:sz="4" w:space="0"/>
            </w:tcBorders>
          </w:tcPr>
          <w:p w14:paraId="612FF661">
            <w:pPr>
              <w:wordWrap w:val="0"/>
              <w:adjustRightInd w:val="0"/>
              <w:snapToGrid w:val="0"/>
              <w:rPr>
                <w:rFonts w:ascii="宋体" w:hAnsi="宋体" w:cs="宋体"/>
                <w:szCs w:val="21"/>
                <w:highlight w:val="none"/>
              </w:rPr>
            </w:pPr>
          </w:p>
        </w:tc>
      </w:tr>
      <w:tr w14:paraId="04A4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tcPr>
          <w:p w14:paraId="7AAB98CD">
            <w:pPr>
              <w:wordWrap w:val="0"/>
              <w:adjustRightInd w:val="0"/>
              <w:snapToGrid w:val="0"/>
              <w:jc w:val="center"/>
              <w:rPr>
                <w:rFonts w:ascii="宋体" w:hAnsi="宋体" w:cs="宋体"/>
                <w:snapToGrid w:val="0"/>
                <w:szCs w:val="21"/>
                <w:highlight w:val="none"/>
              </w:rPr>
            </w:pPr>
            <w:r>
              <w:rPr>
                <w:rFonts w:hint="eastAsia" w:ascii="宋体" w:hAnsi="宋体" w:cs="宋体"/>
                <w:snapToGrid w:val="0"/>
                <w:szCs w:val="21"/>
                <w:highlight w:val="none"/>
              </w:rPr>
              <w:t>2</w:t>
            </w:r>
          </w:p>
        </w:tc>
        <w:tc>
          <w:tcPr>
            <w:tcW w:w="1458" w:type="dxa"/>
            <w:vMerge w:val="restart"/>
            <w:tcBorders>
              <w:top w:val="single" w:color="auto" w:sz="4" w:space="0"/>
              <w:left w:val="single" w:color="auto" w:sz="4" w:space="0"/>
              <w:right w:val="single" w:color="auto" w:sz="4" w:space="0"/>
            </w:tcBorders>
          </w:tcPr>
          <w:p w14:paraId="62E30204">
            <w:pPr>
              <w:wordWrap w:val="0"/>
              <w:adjustRightInd w:val="0"/>
              <w:snapToGrid w:val="0"/>
              <w:rPr>
                <w:rFonts w:ascii="宋体" w:hAnsi="宋体" w:cs="宋体"/>
                <w:szCs w:val="21"/>
                <w:highlight w:val="none"/>
              </w:rPr>
            </w:pPr>
          </w:p>
        </w:tc>
        <w:tc>
          <w:tcPr>
            <w:tcW w:w="1293" w:type="dxa"/>
            <w:vMerge w:val="restart"/>
            <w:tcBorders>
              <w:top w:val="single" w:color="auto" w:sz="4" w:space="0"/>
              <w:left w:val="single" w:color="auto" w:sz="4" w:space="0"/>
              <w:right w:val="single" w:color="auto" w:sz="4" w:space="0"/>
            </w:tcBorders>
          </w:tcPr>
          <w:p w14:paraId="24FF11C0">
            <w:pPr>
              <w:wordWrap w:val="0"/>
              <w:adjustRightInd w:val="0"/>
              <w:snapToGrid w:val="0"/>
              <w:rPr>
                <w:rFonts w:ascii="宋体" w:hAnsi="宋体" w:cs="宋体"/>
                <w:szCs w:val="21"/>
                <w:highlight w:val="none"/>
              </w:rPr>
            </w:pPr>
          </w:p>
        </w:tc>
        <w:tc>
          <w:tcPr>
            <w:tcW w:w="1023" w:type="dxa"/>
            <w:vMerge w:val="restart"/>
            <w:tcBorders>
              <w:top w:val="single" w:color="auto" w:sz="4" w:space="0"/>
              <w:left w:val="single" w:color="auto" w:sz="4" w:space="0"/>
              <w:right w:val="single" w:color="auto" w:sz="4" w:space="0"/>
            </w:tcBorders>
          </w:tcPr>
          <w:p w14:paraId="54277CEB">
            <w:pPr>
              <w:wordWrap w:val="0"/>
              <w:adjustRightInd w:val="0"/>
              <w:snapToGrid w:val="0"/>
              <w:rPr>
                <w:rFonts w:ascii="宋体" w:hAnsi="宋体" w:cs="宋体"/>
                <w:szCs w:val="21"/>
                <w:highlight w:val="none"/>
              </w:rPr>
            </w:pPr>
          </w:p>
        </w:tc>
        <w:tc>
          <w:tcPr>
            <w:tcW w:w="826" w:type="dxa"/>
            <w:vMerge w:val="restart"/>
            <w:tcBorders>
              <w:top w:val="single" w:color="auto" w:sz="4" w:space="0"/>
              <w:left w:val="single" w:color="auto" w:sz="4" w:space="0"/>
              <w:right w:val="single" w:color="auto" w:sz="4" w:space="0"/>
            </w:tcBorders>
          </w:tcPr>
          <w:p w14:paraId="73858CFF">
            <w:pPr>
              <w:wordWrap w:val="0"/>
              <w:adjustRightInd w:val="0"/>
              <w:snapToGrid w:val="0"/>
              <w:rPr>
                <w:rFonts w:ascii="宋体" w:hAnsi="宋体" w:cs="宋体"/>
                <w:szCs w:val="21"/>
                <w:highlight w:val="none"/>
              </w:rPr>
            </w:pPr>
          </w:p>
        </w:tc>
        <w:tc>
          <w:tcPr>
            <w:tcW w:w="813" w:type="dxa"/>
            <w:tcBorders>
              <w:top w:val="single" w:color="auto" w:sz="4" w:space="0"/>
              <w:left w:val="single" w:color="auto" w:sz="4" w:space="0"/>
              <w:bottom w:val="single" w:color="auto" w:sz="4" w:space="0"/>
              <w:right w:val="single" w:color="auto" w:sz="4" w:space="0"/>
            </w:tcBorders>
          </w:tcPr>
          <w:p w14:paraId="3C2DA1EC">
            <w:pPr>
              <w:wordWrap w:val="0"/>
              <w:adjustRightInd w:val="0"/>
              <w:snapToGrid w:val="0"/>
              <w:rPr>
                <w:rFonts w:ascii="宋体" w:hAnsi="宋体" w:cs="宋体"/>
                <w:szCs w:val="21"/>
                <w:highlight w:val="none"/>
              </w:rPr>
            </w:pPr>
            <w:r>
              <w:rPr>
                <w:rFonts w:hint="eastAsia" w:ascii="宋体" w:hAnsi="宋体" w:cs="宋体"/>
                <w:szCs w:val="21"/>
                <w:highlight w:val="none"/>
              </w:rPr>
              <w:t>1</w:t>
            </w:r>
          </w:p>
        </w:tc>
        <w:tc>
          <w:tcPr>
            <w:tcW w:w="1399" w:type="dxa"/>
            <w:tcBorders>
              <w:top w:val="single" w:color="auto" w:sz="4" w:space="0"/>
              <w:left w:val="single" w:color="auto" w:sz="4" w:space="0"/>
              <w:bottom w:val="single" w:color="auto" w:sz="4" w:space="0"/>
              <w:right w:val="single" w:color="auto" w:sz="4" w:space="0"/>
            </w:tcBorders>
          </w:tcPr>
          <w:p w14:paraId="3ECB3AEA">
            <w:pPr>
              <w:wordWrap w:val="0"/>
              <w:adjustRightInd w:val="0"/>
              <w:snapToGrid w:val="0"/>
              <w:rPr>
                <w:rFonts w:ascii="宋体" w:hAnsi="宋体" w:cs="宋体"/>
                <w:szCs w:val="21"/>
                <w:highlight w:val="none"/>
              </w:rPr>
            </w:pPr>
          </w:p>
        </w:tc>
        <w:tc>
          <w:tcPr>
            <w:tcW w:w="1108" w:type="dxa"/>
            <w:tcBorders>
              <w:top w:val="single" w:color="auto" w:sz="4" w:space="0"/>
              <w:left w:val="single" w:color="auto" w:sz="4" w:space="0"/>
              <w:bottom w:val="single" w:color="auto" w:sz="4" w:space="0"/>
              <w:right w:val="single" w:color="auto" w:sz="4" w:space="0"/>
            </w:tcBorders>
          </w:tcPr>
          <w:p w14:paraId="5F2AEEEC">
            <w:pPr>
              <w:wordWrap w:val="0"/>
              <w:adjustRightInd w:val="0"/>
              <w:snapToGrid w:val="0"/>
              <w:rPr>
                <w:rFonts w:ascii="宋体" w:hAnsi="宋体" w:cs="宋体"/>
                <w:szCs w:val="21"/>
                <w:highlight w:val="none"/>
              </w:rPr>
            </w:pPr>
          </w:p>
        </w:tc>
        <w:tc>
          <w:tcPr>
            <w:tcW w:w="1222" w:type="dxa"/>
            <w:tcBorders>
              <w:top w:val="single" w:color="auto" w:sz="4" w:space="0"/>
              <w:left w:val="single" w:color="auto" w:sz="4" w:space="0"/>
              <w:bottom w:val="single" w:color="auto" w:sz="4" w:space="0"/>
              <w:right w:val="single" w:color="auto" w:sz="4" w:space="0"/>
            </w:tcBorders>
          </w:tcPr>
          <w:p w14:paraId="2ADF4442">
            <w:pPr>
              <w:wordWrap w:val="0"/>
              <w:adjustRightInd w:val="0"/>
              <w:snapToGrid w:val="0"/>
              <w:rPr>
                <w:rFonts w:ascii="宋体" w:hAnsi="宋体" w:cs="宋体"/>
                <w:szCs w:val="21"/>
                <w:highlight w:val="none"/>
              </w:rPr>
            </w:pPr>
          </w:p>
        </w:tc>
      </w:tr>
      <w:tr w14:paraId="6BEB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tcPr>
          <w:p w14:paraId="5FB0934B">
            <w:pPr>
              <w:wordWrap w:val="0"/>
              <w:adjustRightInd w:val="0"/>
              <w:snapToGrid w:val="0"/>
              <w:jc w:val="center"/>
              <w:rPr>
                <w:rFonts w:ascii="宋体" w:hAnsi="宋体" w:cs="宋体"/>
                <w:snapToGrid w:val="0"/>
                <w:szCs w:val="21"/>
                <w:highlight w:val="none"/>
              </w:rPr>
            </w:pPr>
          </w:p>
        </w:tc>
        <w:tc>
          <w:tcPr>
            <w:tcW w:w="1458" w:type="dxa"/>
            <w:vMerge w:val="continue"/>
            <w:tcBorders>
              <w:left w:val="single" w:color="auto" w:sz="4" w:space="0"/>
              <w:right w:val="single" w:color="auto" w:sz="4" w:space="0"/>
            </w:tcBorders>
          </w:tcPr>
          <w:p w14:paraId="4663DBA7">
            <w:pPr>
              <w:wordWrap w:val="0"/>
              <w:adjustRightInd w:val="0"/>
              <w:snapToGrid w:val="0"/>
              <w:rPr>
                <w:rFonts w:ascii="宋体" w:hAnsi="宋体" w:cs="宋体"/>
                <w:szCs w:val="21"/>
                <w:highlight w:val="none"/>
              </w:rPr>
            </w:pPr>
          </w:p>
        </w:tc>
        <w:tc>
          <w:tcPr>
            <w:tcW w:w="1293" w:type="dxa"/>
            <w:vMerge w:val="continue"/>
            <w:tcBorders>
              <w:left w:val="single" w:color="auto" w:sz="4" w:space="0"/>
              <w:right w:val="single" w:color="auto" w:sz="4" w:space="0"/>
            </w:tcBorders>
          </w:tcPr>
          <w:p w14:paraId="405E005F">
            <w:pPr>
              <w:wordWrap w:val="0"/>
              <w:adjustRightInd w:val="0"/>
              <w:snapToGrid w:val="0"/>
              <w:rPr>
                <w:rFonts w:ascii="宋体" w:hAnsi="宋体" w:cs="宋体"/>
                <w:szCs w:val="21"/>
                <w:highlight w:val="none"/>
              </w:rPr>
            </w:pPr>
          </w:p>
        </w:tc>
        <w:tc>
          <w:tcPr>
            <w:tcW w:w="1023" w:type="dxa"/>
            <w:vMerge w:val="continue"/>
            <w:tcBorders>
              <w:left w:val="single" w:color="auto" w:sz="4" w:space="0"/>
              <w:right w:val="single" w:color="auto" w:sz="4" w:space="0"/>
            </w:tcBorders>
          </w:tcPr>
          <w:p w14:paraId="0CD8FECB">
            <w:pPr>
              <w:wordWrap w:val="0"/>
              <w:adjustRightInd w:val="0"/>
              <w:snapToGrid w:val="0"/>
              <w:rPr>
                <w:rFonts w:ascii="宋体" w:hAnsi="宋体" w:cs="宋体"/>
                <w:szCs w:val="21"/>
                <w:highlight w:val="none"/>
              </w:rPr>
            </w:pPr>
          </w:p>
        </w:tc>
        <w:tc>
          <w:tcPr>
            <w:tcW w:w="826" w:type="dxa"/>
            <w:vMerge w:val="continue"/>
            <w:tcBorders>
              <w:left w:val="single" w:color="auto" w:sz="4" w:space="0"/>
              <w:right w:val="single" w:color="auto" w:sz="4" w:space="0"/>
            </w:tcBorders>
          </w:tcPr>
          <w:p w14:paraId="748DD656">
            <w:pPr>
              <w:wordWrap w:val="0"/>
              <w:adjustRightInd w:val="0"/>
              <w:snapToGrid w:val="0"/>
              <w:rPr>
                <w:rFonts w:ascii="宋体" w:hAnsi="宋体" w:cs="宋体"/>
                <w:szCs w:val="21"/>
                <w:highlight w:val="none"/>
              </w:rPr>
            </w:pPr>
          </w:p>
        </w:tc>
        <w:tc>
          <w:tcPr>
            <w:tcW w:w="813" w:type="dxa"/>
            <w:tcBorders>
              <w:top w:val="single" w:color="auto" w:sz="4" w:space="0"/>
              <w:left w:val="single" w:color="auto" w:sz="4" w:space="0"/>
              <w:bottom w:val="single" w:color="auto" w:sz="4" w:space="0"/>
              <w:right w:val="single" w:color="auto" w:sz="4" w:space="0"/>
            </w:tcBorders>
          </w:tcPr>
          <w:p w14:paraId="518570C8">
            <w:pPr>
              <w:wordWrap w:val="0"/>
              <w:adjustRightInd w:val="0"/>
              <w:snapToGrid w:val="0"/>
              <w:rPr>
                <w:rFonts w:ascii="宋体" w:hAnsi="宋体" w:cs="宋体"/>
                <w:szCs w:val="21"/>
                <w:highlight w:val="none"/>
              </w:rPr>
            </w:pPr>
            <w:r>
              <w:rPr>
                <w:rFonts w:hint="eastAsia" w:ascii="宋体" w:hAnsi="宋体" w:cs="宋体"/>
                <w:szCs w:val="21"/>
                <w:highlight w:val="none"/>
              </w:rPr>
              <w:t>2</w:t>
            </w:r>
          </w:p>
        </w:tc>
        <w:tc>
          <w:tcPr>
            <w:tcW w:w="1399" w:type="dxa"/>
            <w:tcBorders>
              <w:top w:val="single" w:color="auto" w:sz="4" w:space="0"/>
              <w:left w:val="single" w:color="auto" w:sz="4" w:space="0"/>
              <w:bottom w:val="single" w:color="auto" w:sz="4" w:space="0"/>
              <w:right w:val="single" w:color="auto" w:sz="4" w:space="0"/>
            </w:tcBorders>
          </w:tcPr>
          <w:p w14:paraId="75256856">
            <w:pPr>
              <w:wordWrap w:val="0"/>
              <w:adjustRightInd w:val="0"/>
              <w:snapToGrid w:val="0"/>
              <w:rPr>
                <w:rFonts w:ascii="宋体" w:hAnsi="宋体" w:cs="宋体"/>
                <w:szCs w:val="21"/>
                <w:highlight w:val="none"/>
              </w:rPr>
            </w:pPr>
          </w:p>
        </w:tc>
        <w:tc>
          <w:tcPr>
            <w:tcW w:w="1108" w:type="dxa"/>
            <w:tcBorders>
              <w:top w:val="single" w:color="auto" w:sz="4" w:space="0"/>
              <w:left w:val="single" w:color="auto" w:sz="4" w:space="0"/>
              <w:bottom w:val="single" w:color="auto" w:sz="4" w:space="0"/>
              <w:right w:val="single" w:color="auto" w:sz="4" w:space="0"/>
            </w:tcBorders>
          </w:tcPr>
          <w:p w14:paraId="5FA9F783">
            <w:pPr>
              <w:wordWrap w:val="0"/>
              <w:adjustRightInd w:val="0"/>
              <w:snapToGrid w:val="0"/>
              <w:rPr>
                <w:rFonts w:ascii="宋体" w:hAnsi="宋体" w:cs="宋体"/>
                <w:szCs w:val="21"/>
                <w:highlight w:val="none"/>
              </w:rPr>
            </w:pPr>
          </w:p>
        </w:tc>
        <w:tc>
          <w:tcPr>
            <w:tcW w:w="1222" w:type="dxa"/>
            <w:tcBorders>
              <w:top w:val="single" w:color="auto" w:sz="4" w:space="0"/>
              <w:left w:val="single" w:color="auto" w:sz="4" w:space="0"/>
              <w:bottom w:val="single" w:color="auto" w:sz="4" w:space="0"/>
              <w:right w:val="single" w:color="auto" w:sz="4" w:space="0"/>
            </w:tcBorders>
          </w:tcPr>
          <w:p w14:paraId="6270CFD1">
            <w:pPr>
              <w:wordWrap w:val="0"/>
              <w:adjustRightInd w:val="0"/>
              <w:snapToGrid w:val="0"/>
              <w:rPr>
                <w:rFonts w:ascii="宋体" w:hAnsi="宋体" w:cs="宋体"/>
                <w:szCs w:val="21"/>
                <w:highlight w:val="none"/>
              </w:rPr>
            </w:pPr>
          </w:p>
        </w:tc>
      </w:tr>
      <w:tr w14:paraId="1720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tcPr>
          <w:p w14:paraId="711DE56E">
            <w:pPr>
              <w:wordWrap w:val="0"/>
              <w:adjustRightInd w:val="0"/>
              <w:snapToGrid w:val="0"/>
              <w:rPr>
                <w:rFonts w:ascii="宋体" w:hAnsi="宋体" w:cs="宋体"/>
                <w:snapToGrid w:val="0"/>
                <w:szCs w:val="21"/>
                <w:highlight w:val="none"/>
              </w:rPr>
            </w:pPr>
          </w:p>
        </w:tc>
        <w:tc>
          <w:tcPr>
            <w:tcW w:w="1458" w:type="dxa"/>
            <w:vMerge w:val="continue"/>
            <w:tcBorders>
              <w:left w:val="single" w:color="auto" w:sz="4" w:space="0"/>
              <w:right w:val="single" w:color="auto" w:sz="4" w:space="0"/>
            </w:tcBorders>
          </w:tcPr>
          <w:p w14:paraId="01EF3407">
            <w:pPr>
              <w:wordWrap w:val="0"/>
              <w:adjustRightInd w:val="0"/>
              <w:snapToGrid w:val="0"/>
              <w:rPr>
                <w:rFonts w:ascii="宋体" w:hAnsi="宋体" w:cs="宋体"/>
                <w:szCs w:val="21"/>
                <w:highlight w:val="none"/>
              </w:rPr>
            </w:pPr>
          </w:p>
        </w:tc>
        <w:tc>
          <w:tcPr>
            <w:tcW w:w="1293" w:type="dxa"/>
            <w:vMerge w:val="continue"/>
            <w:tcBorders>
              <w:left w:val="single" w:color="auto" w:sz="4" w:space="0"/>
              <w:right w:val="single" w:color="auto" w:sz="4" w:space="0"/>
            </w:tcBorders>
          </w:tcPr>
          <w:p w14:paraId="703C5350">
            <w:pPr>
              <w:wordWrap w:val="0"/>
              <w:adjustRightInd w:val="0"/>
              <w:snapToGrid w:val="0"/>
              <w:rPr>
                <w:rFonts w:ascii="宋体" w:hAnsi="宋体" w:cs="宋体"/>
                <w:szCs w:val="21"/>
                <w:highlight w:val="none"/>
              </w:rPr>
            </w:pPr>
          </w:p>
        </w:tc>
        <w:tc>
          <w:tcPr>
            <w:tcW w:w="1023" w:type="dxa"/>
            <w:vMerge w:val="continue"/>
            <w:tcBorders>
              <w:left w:val="single" w:color="auto" w:sz="4" w:space="0"/>
              <w:right w:val="single" w:color="auto" w:sz="4" w:space="0"/>
            </w:tcBorders>
          </w:tcPr>
          <w:p w14:paraId="3AB996EB">
            <w:pPr>
              <w:wordWrap w:val="0"/>
              <w:adjustRightInd w:val="0"/>
              <w:snapToGrid w:val="0"/>
              <w:rPr>
                <w:rFonts w:ascii="宋体" w:hAnsi="宋体" w:cs="宋体"/>
                <w:szCs w:val="21"/>
                <w:highlight w:val="none"/>
              </w:rPr>
            </w:pPr>
          </w:p>
        </w:tc>
        <w:tc>
          <w:tcPr>
            <w:tcW w:w="826" w:type="dxa"/>
            <w:vMerge w:val="continue"/>
            <w:tcBorders>
              <w:left w:val="single" w:color="auto" w:sz="4" w:space="0"/>
              <w:right w:val="single" w:color="auto" w:sz="4" w:space="0"/>
            </w:tcBorders>
          </w:tcPr>
          <w:p w14:paraId="34F9947F">
            <w:pPr>
              <w:wordWrap w:val="0"/>
              <w:adjustRightInd w:val="0"/>
              <w:snapToGrid w:val="0"/>
              <w:rPr>
                <w:rFonts w:ascii="宋体" w:hAnsi="宋体" w:cs="宋体"/>
                <w:szCs w:val="21"/>
                <w:highlight w:val="none"/>
              </w:rPr>
            </w:pPr>
          </w:p>
        </w:tc>
        <w:tc>
          <w:tcPr>
            <w:tcW w:w="813" w:type="dxa"/>
            <w:tcBorders>
              <w:top w:val="single" w:color="auto" w:sz="4" w:space="0"/>
              <w:left w:val="single" w:color="auto" w:sz="4" w:space="0"/>
              <w:bottom w:val="single" w:color="auto" w:sz="4" w:space="0"/>
              <w:right w:val="single" w:color="auto" w:sz="4" w:space="0"/>
            </w:tcBorders>
          </w:tcPr>
          <w:p w14:paraId="48588A95">
            <w:pPr>
              <w:wordWrap w:val="0"/>
              <w:adjustRightInd w:val="0"/>
              <w:snapToGrid w:val="0"/>
              <w:rPr>
                <w:rFonts w:ascii="宋体" w:hAnsi="宋体" w:cs="宋体"/>
                <w:szCs w:val="21"/>
                <w:highlight w:val="none"/>
              </w:rPr>
            </w:pPr>
            <w:r>
              <w:rPr>
                <w:rFonts w:hint="eastAsia" w:ascii="宋体" w:hAnsi="宋体" w:cs="宋体"/>
                <w:szCs w:val="21"/>
                <w:highlight w:val="none"/>
              </w:rPr>
              <w:t>...</w:t>
            </w:r>
          </w:p>
        </w:tc>
        <w:tc>
          <w:tcPr>
            <w:tcW w:w="1399" w:type="dxa"/>
            <w:tcBorders>
              <w:top w:val="single" w:color="auto" w:sz="4" w:space="0"/>
              <w:left w:val="single" w:color="auto" w:sz="4" w:space="0"/>
              <w:bottom w:val="single" w:color="auto" w:sz="4" w:space="0"/>
              <w:right w:val="single" w:color="auto" w:sz="4" w:space="0"/>
            </w:tcBorders>
          </w:tcPr>
          <w:p w14:paraId="3C11E922">
            <w:pPr>
              <w:wordWrap w:val="0"/>
              <w:adjustRightInd w:val="0"/>
              <w:snapToGrid w:val="0"/>
              <w:rPr>
                <w:rFonts w:ascii="宋体" w:hAnsi="宋体" w:cs="宋体"/>
                <w:szCs w:val="21"/>
                <w:highlight w:val="none"/>
              </w:rPr>
            </w:pPr>
          </w:p>
        </w:tc>
        <w:tc>
          <w:tcPr>
            <w:tcW w:w="1108" w:type="dxa"/>
            <w:tcBorders>
              <w:top w:val="single" w:color="auto" w:sz="4" w:space="0"/>
              <w:left w:val="single" w:color="auto" w:sz="4" w:space="0"/>
              <w:bottom w:val="single" w:color="auto" w:sz="4" w:space="0"/>
              <w:right w:val="single" w:color="auto" w:sz="4" w:space="0"/>
            </w:tcBorders>
          </w:tcPr>
          <w:p w14:paraId="065E92F7">
            <w:pPr>
              <w:wordWrap w:val="0"/>
              <w:adjustRightInd w:val="0"/>
              <w:snapToGrid w:val="0"/>
              <w:rPr>
                <w:rFonts w:ascii="宋体" w:hAnsi="宋体" w:cs="宋体"/>
                <w:szCs w:val="21"/>
                <w:highlight w:val="none"/>
              </w:rPr>
            </w:pPr>
          </w:p>
        </w:tc>
        <w:tc>
          <w:tcPr>
            <w:tcW w:w="1222" w:type="dxa"/>
            <w:tcBorders>
              <w:top w:val="single" w:color="auto" w:sz="4" w:space="0"/>
              <w:left w:val="single" w:color="auto" w:sz="4" w:space="0"/>
              <w:bottom w:val="single" w:color="auto" w:sz="4" w:space="0"/>
              <w:right w:val="single" w:color="auto" w:sz="4" w:space="0"/>
            </w:tcBorders>
          </w:tcPr>
          <w:p w14:paraId="48D6F0A1">
            <w:pPr>
              <w:wordWrap w:val="0"/>
              <w:adjustRightInd w:val="0"/>
              <w:snapToGrid w:val="0"/>
              <w:rPr>
                <w:rFonts w:ascii="宋体" w:hAnsi="宋体" w:cs="宋体"/>
                <w:szCs w:val="21"/>
                <w:highlight w:val="none"/>
              </w:rPr>
            </w:pPr>
          </w:p>
        </w:tc>
      </w:tr>
      <w:tr w14:paraId="7F59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77" w:type="dxa"/>
            <w:tcBorders>
              <w:left w:val="single" w:color="auto" w:sz="4" w:space="0"/>
              <w:bottom w:val="single" w:color="auto" w:sz="4" w:space="0"/>
              <w:right w:val="single" w:color="auto" w:sz="4" w:space="0"/>
            </w:tcBorders>
          </w:tcPr>
          <w:p w14:paraId="75FA31C5">
            <w:pPr>
              <w:wordWrap w:val="0"/>
              <w:adjustRightInd w:val="0"/>
              <w:snapToGrid w:val="0"/>
              <w:rPr>
                <w:rFonts w:ascii="宋体" w:hAnsi="宋体" w:cs="宋体"/>
                <w:snapToGrid w:val="0"/>
                <w:szCs w:val="21"/>
                <w:highlight w:val="none"/>
              </w:rPr>
            </w:pPr>
            <w:r>
              <w:rPr>
                <w:rFonts w:hint="eastAsia" w:ascii="宋体" w:hAnsi="宋体" w:cs="宋体"/>
                <w:snapToGrid w:val="0"/>
                <w:szCs w:val="21"/>
                <w:highlight w:val="none"/>
              </w:rPr>
              <w:t>...</w:t>
            </w:r>
          </w:p>
        </w:tc>
        <w:tc>
          <w:tcPr>
            <w:tcW w:w="1458" w:type="dxa"/>
            <w:tcBorders>
              <w:left w:val="single" w:color="auto" w:sz="4" w:space="0"/>
              <w:bottom w:val="single" w:color="auto" w:sz="4" w:space="0"/>
              <w:right w:val="single" w:color="auto" w:sz="4" w:space="0"/>
            </w:tcBorders>
          </w:tcPr>
          <w:p w14:paraId="7C94BF5B">
            <w:pPr>
              <w:wordWrap w:val="0"/>
              <w:adjustRightInd w:val="0"/>
              <w:snapToGrid w:val="0"/>
              <w:rPr>
                <w:rFonts w:ascii="宋体" w:hAnsi="宋体" w:cs="宋体"/>
                <w:szCs w:val="21"/>
                <w:highlight w:val="none"/>
              </w:rPr>
            </w:pPr>
          </w:p>
        </w:tc>
        <w:tc>
          <w:tcPr>
            <w:tcW w:w="1293" w:type="dxa"/>
            <w:tcBorders>
              <w:left w:val="single" w:color="auto" w:sz="4" w:space="0"/>
              <w:bottom w:val="single" w:color="auto" w:sz="4" w:space="0"/>
              <w:right w:val="single" w:color="auto" w:sz="4" w:space="0"/>
            </w:tcBorders>
          </w:tcPr>
          <w:p w14:paraId="7100A9F5">
            <w:pPr>
              <w:wordWrap w:val="0"/>
              <w:adjustRightInd w:val="0"/>
              <w:snapToGrid w:val="0"/>
              <w:rPr>
                <w:rFonts w:ascii="宋体" w:hAnsi="宋体" w:cs="宋体"/>
                <w:szCs w:val="21"/>
                <w:highlight w:val="none"/>
              </w:rPr>
            </w:pPr>
          </w:p>
        </w:tc>
        <w:tc>
          <w:tcPr>
            <w:tcW w:w="1023" w:type="dxa"/>
            <w:tcBorders>
              <w:left w:val="single" w:color="auto" w:sz="4" w:space="0"/>
              <w:bottom w:val="single" w:color="auto" w:sz="4" w:space="0"/>
              <w:right w:val="single" w:color="auto" w:sz="4" w:space="0"/>
            </w:tcBorders>
          </w:tcPr>
          <w:p w14:paraId="74DD0575">
            <w:pPr>
              <w:wordWrap w:val="0"/>
              <w:adjustRightInd w:val="0"/>
              <w:snapToGrid w:val="0"/>
              <w:rPr>
                <w:rFonts w:ascii="宋体" w:hAnsi="宋体" w:cs="宋体"/>
                <w:szCs w:val="21"/>
                <w:highlight w:val="none"/>
              </w:rPr>
            </w:pPr>
          </w:p>
        </w:tc>
        <w:tc>
          <w:tcPr>
            <w:tcW w:w="826" w:type="dxa"/>
            <w:tcBorders>
              <w:left w:val="single" w:color="auto" w:sz="4" w:space="0"/>
              <w:bottom w:val="single" w:color="auto" w:sz="4" w:space="0"/>
              <w:right w:val="single" w:color="auto" w:sz="4" w:space="0"/>
            </w:tcBorders>
          </w:tcPr>
          <w:p w14:paraId="1C6A3188">
            <w:pPr>
              <w:wordWrap w:val="0"/>
              <w:adjustRightInd w:val="0"/>
              <w:snapToGrid w:val="0"/>
              <w:rPr>
                <w:rFonts w:ascii="宋体" w:hAnsi="宋体" w:cs="宋体"/>
                <w:szCs w:val="21"/>
                <w:highlight w:val="none"/>
              </w:rPr>
            </w:pPr>
          </w:p>
        </w:tc>
        <w:tc>
          <w:tcPr>
            <w:tcW w:w="813" w:type="dxa"/>
            <w:tcBorders>
              <w:top w:val="single" w:color="auto" w:sz="4" w:space="0"/>
              <w:left w:val="single" w:color="auto" w:sz="4" w:space="0"/>
              <w:bottom w:val="single" w:color="auto" w:sz="4" w:space="0"/>
              <w:right w:val="single" w:color="auto" w:sz="4" w:space="0"/>
            </w:tcBorders>
          </w:tcPr>
          <w:p w14:paraId="6BB1E8ED">
            <w:pPr>
              <w:wordWrap w:val="0"/>
              <w:adjustRightInd w:val="0"/>
              <w:snapToGrid w:val="0"/>
              <w:rPr>
                <w:rFonts w:ascii="宋体" w:hAnsi="宋体" w:cs="宋体"/>
                <w:szCs w:val="21"/>
                <w:highlight w:val="none"/>
              </w:rPr>
            </w:pPr>
          </w:p>
        </w:tc>
        <w:tc>
          <w:tcPr>
            <w:tcW w:w="1399" w:type="dxa"/>
            <w:tcBorders>
              <w:top w:val="single" w:color="auto" w:sz="4" w:space="0"/>
              <w:left w:val="single" w:color="auto" w:sz="4" w:space="0"/>
              <w:bottom w:val="single" w:color="auto" w:sz="4" w:space="0"/>
              <w:right w:val="single" w:color="auto" w:sz="4" w:space="0"/>
            </w:tcBorders>
          </w:tcPr>
          <w:p w14:paraId="65C60CC3">
            <w:pPr>
              <w:wordWrap w:val="0"/>
              <w:adjustRightInd w:val="0"/>
              <w:snapToGrid w:val="0"/>
              <w:rPr>
                <w:rFonts w:ascii="宋体" w:hAnsi="宋体" w:cs="宋体"/>
                <w:szCs w:val="21"/>
                <w:highlight w:val="none"/>
              </w:rPr>
            </w:pPr>
          </w:p>
        </w:tc>
        <w:tc>
          <w:tcPr>
            <w:tcW w:w="1108" w:type="dxa"/>
            <w:tcBorders>
              <w:top w:val="single" w:color="auto" w:sz="4" w:space="0"/>
              <w:left w:val="single" w:color="auto" w:sz="4" w:space="0"/>
              <w:bottom w:val="single" w:color="auto" w:sz="4" w:space="0"/>
              <w:right w:val="single" w:color="auto" w:sz="4" w:space="0"/>
            </w:tcBorders>
          </w:tcPr>
          <w:p w14:paraId="2BCBDB24">
            <w:pPr>
              <w:wordWrap w:val="0"/>
              <w:adjustRightInd w:val="0"/>
              <w:snapToGrid w:val="0"/>
              <w:rPr>
                <w:rFonts w:ascii="宋体" w:hAnsi="宋体" w:cs="宋体"/>
                <w:szCs w:val="21"/>
                <w:highlight w:val="none"/>
              </w:rPr>
            </w:pPr>
          </w:p>
        </w:tc>
        <w:tc>
          <w:tcPr>
            <w:tcW w:w="1222" w:type="dxa"/>
            <w:tcBorders>
              <w:top w:val="single" w:color="auto" w:sz="4" w:space="0"/>
              <w:left w:val="single" w:color="auto" w:sz="4" w:space="0"/>
              <w:bottom w:val="single" w:color="auto" w:sz="4" w:space="0"/>
              <w:right w:val="single" w:color="auto" w:sz="4" w:space="0"/>
            </w:tcBorders>
          </w:tcPr>
          <w:p w14:paraId="422E541A">
            <w:pPr>
              <w:wordWrap w:val="0"/>
              <w:adjustRightInd w:val="0"/>
              <w:snapToGrid w:val="0"/>
              <w:rPr>
                <w:rFonts w:ascii="宋体" w:hAnsi="宋体" w:cs="宋体"/>
                <w:szCs w:val="21"/>
                <w:highlight w:val="none"/>
              </w:rPr>
            </w:pPr>
          </w:p>
        </w:tc>
      </w:tr>
    </w:tbl>
    <w:p w14:paraId="6C244595">
      <w:pPr>
        <w:pStyle w:val="27"/>
        <w:ind w:left="0" w:leftChars="0" w:firstLine="0" w:firstLineChars="0"/>
        <w:rPr>
          <w:rFonts w:ascii="宋体" w:hAnsi="宋体" w:cs="宋体"/>
          <w:kern w:val="0"/>
          <w:szCs w:val="21"/>
          <w:highlight w:val="none"/>
        </w:rPr>
      </w:pPr>
    </w:p>
    <w:p w14:paraId="55D5A301">
      <w:pPr>
        <w:rPr>
          <w:highlight w:val="none"/>
        </w:rPr>
      </w:pPr>
      <w:r>
        <w:rPr>
          <w:rFonts w:hint="eastAsia"/>
          <w:highlight w:val="none"/>
        </w:rPr>
        <w:t>填表说明：</w:t>
      </w:r>
    </w:p>
    <w:p w14:paraId="0EB85442">
      <w:pPr>
        <w:rPr>
          <w:highlight w:val="none"/>
        </w:rPr>
      </w:pPr>
      <w:r>
        <w:rPr>
          <w:rFonts w:hint="eastAsia"/>
          <w:highlight w:val="none"/>
        </w:rPr>
        <w:t>1.若为厂家直接售后，则无需填写授权售后代理商；</w:t>
      </w:r>
    </w:p>
    <w:p w14:paraId="0BD21747">
      <w:pPr>
        <w:rPr>
          <w:highlight w:val="none"/>
        </w:rPr>
      </w:pPr>
      <w:r>
        <w:rPr>
          <w:rFonts w:hint="eastAsia"/>
          <w:highlight w:val="none"/>
        </w:rPr>
        <w:t>2.所报授权售后代理商为设备维修、配件供应、维保期满后维保服务采购的重要依据；</w:t>
      </w:r>
    </w:p>
    <w:p w14:paraId="365F5090">
      <w:pPr>
        <w:rPr>
          <w:highlight w:val="none"/>
        </w:rPr>
      </w:pPr>
      <w:r>
        <w:rPr>
          <w:rFonts w:hint="eastAsia"/>
          <w:highlight w:val="none"/>
        </w:rPr>
        <w:t>3.若售后代理商更换，请及时联系采购单位进行修改，提供更正说明。</w:t>
      </w:r>
    </w:p>
    <w:p w14:paraId="6D04EDB4">
      <w:pPr>
        <w:ind w:firstLine="480"/>
        <w:rPr>
          <w:rFonts w:ascii="宋体" w:hAnsi="宋体" w:cs="宋体"/>
          <w:sz w:val="32"/>
          <w:szCs w:val="32"/>
          <w:highlight w:val="none"/>
        </w:rPr>
      </w:pPr>
    </w:p>
    <w:p w14:paraId="24BA29A7">
      <w:pPr>
        <w:autoSpaceDE w:val="0"/>
        <w:autoSpaceDN w:val="0"/>
        <w:ind w:left="4335" w:leftChars="1950" w:hanging="240" w:hangingChars="100"/>
        <w:rPr>
          <w:rFonts w:ascii="宋体" w:hAnsi="宋体" w:cs="宋体"/>
          <w:kern w:val="0"/>
          <w:sz w:val="24"/>
          <w:highlight w:val="none"/>
        </w:rPr>
      </w:pPr>
      <w:r>
        <w:rPr>
          <w:rFonts w:hint="eastAsia" w:ascii="宋体" w:hAnsi="宋体" w:cs="宋体"/>
          <w:kern w:val="0"/>
          <w:sz w:val="24"/>
          <w:highlight w:val="none"/>
        </w:rPr>
        <w:t>供应商名称（电子签章）：</w:t>
      </w:r>
    </w:p>
    <w:p w14:paraId="42DB5630">
      <w:pPr>
        <w:ind w:firstLine="360"/>
        <w:contextualSpacing/>
        <w:jc w:val="right"/>
        <w:rPr>
          <w:rFonts w:ascii="宋体" w:hAnsi="宋体" w:cs="宋体"/>
          <w:kern w:val="0"/>
          <w:sz w:val="24"/>
          <w:highlight w:val="none"/>
          <w:lang w:val="zh-CN"/>
        </w:rPr>
      </w:pPr>
      <w:r>
        <w:rPr>
          <w:rFonts w:hint="eastAsia" w:ascii="宋体" w:hAnsi="宋体" w:cs="宋体"/>
          <w:kern w:val="0"/>
          <w:sz w:val="24"/>
          <w:highlight w:val="none"/>
          <w:lang w:val="zh-CN"/>
        </w:rPr>
        <w:t>日期：  年  月   日</w:t>
      </w:r>
    </w:p>
    <w:p w14:paraId="4F89F190">
      <w:pPr>
        <w:rPr>
          <w:highlight w:val="none"/>
        </w:rPr>
      </w:pPr>
    </w:p>
    <w:p w14:paraId="55394BF9">
      <w:pPr>
        <w:ind w:firstLine="361"/>
        <w:jc w:val="center"/>
        <w:outlineLvl w:val="1"/>
        <w:rPr>
          <w:rFonts w:ascii="宋体" w:hAnsi="宋体" w:cs="宋体"/>
          <w:b/>
          <w:bCs/>
          <w:sz w:val="28"/>
          <w:szCs w:val="28"/>
          <w:highlight w:val="none"/>
        </w:rPr>
      </w:pPr>
      <w:r>
        <w:rPr>
          <w:rFonts w:hint="eastAsia" w:ascii="宋体" w:hAnsi="宋体" w:cs="宋体"/>
          <w:b/>
          <w:bCs/>
          <w:sz w:val="24"/>
          <w:highlight w:val="none"/>
        </w:rPr>
        <w:br w:type="page"/>
      </w:r>
      <w:bookmarkStart w:id="262" w:name="_Toc17482"/>
      <w:bookmarkStart w:id="263" w:name="_Toc27076"/>
      <w:bookmarkStart w:id="264" w:name="_Toc31296"/>
      <w:bookmarkStart w:id="265" w:name="_Toc21638"/>
      <w:bookmarkStart w:id="266" w:name="_Toc10710"/>
      <w:r>
        <w:rPr>
          <w:rFonts w:hint="eastAsia" w:ascii="宋体" w:hAnsi="宋体" w:cs="宋体"/>
          <w:b/>
          <w:bCs/>
          <w:sz w:val="28"/>
          <w:szCs w:val="28"/>
          <w:highlight w:val="none"/>
        </w:rPr>
        <w:t>第五节 报价文件格式</w:t>
      </w:r>
      <w:bookmarkEnd w:id="262"/>
      <w:bookmarkEnd w:id="263"/>
      <w:bookmarkEnd w:id="264"/>
      <w:bookmarkEnd w:id="265"/>
      <w:bookmarkEnd w:id="266"/>
    </w:p>
    <w:p w14:paraId="0731C019">
      <w:pPr>
        <w:snapToGrid w:val="0"/>
        <w:spacing w:beforeLines="50" w:after="50" w:line="400" w:lineRule="exact"/>
        <w:ind w:firstLine="360"/>
        <w:jc w:val="left"/>
        <w:rPr>
          <w:rFonts w:ascii="宋体" w:hAnsi="宋体" w:cs="宋体"/>
          <w:sz w:val="24"/>
          <w:highlight w:val="none"/>
        </w:rPr>
      </w:pPr>
    </w:p>
    <w:p w14:paraId="6DD75090">
      <w:pPr>
        <w:snapToGrid w:val="0"/>
        <w:spacing w:beforeLines="50" w:after="50" w:line="400" w:lineRule="exact"/>
        <w:ind w:firstLine="422"/>
        <w:jc w:val="left"/>
        <w:rPr>
          <w:rFonts w:ascii="宋体" w:hAnsi="宋体" w:cs="宋体"/>
          <w:b/>
          <w:bCs/>
          <w:sz w:val="28"/>
          <w:szCs w:val="28"/>
          <w:highlight w:val="none"/>
        </w:rPr>
      </w:pPr>
      <w:r>
        <w:rPr>
          <w:rFonts w:hint="eastAsia" w:ascii="宋体" w:hAnsi="宋体" w:cs="宋体"/>
          <w:b/>
          <w:bCs/>
          <w:sz w:val="28"/>
          <w:szCs w:val="28"/>
          <w:highlight w:val="none"/>
        </w:rPr>
        <w:t xml:space="preserve">1.报价文件封面的格式： </w:t>
      </w:r>
    </w:p>
    <w:p w14:paraId="623ED2A8">
      <w:pPr>
        <w:snapToGrid w:val="0"/>
        <w:spacing w:beforeLines="50" w:after="50" w:line="400" w:lineRule="exact"/>
        <w:ind w:firstLine="422"/>
        <w:jc w:val="left"/>
        <w:rPr>
          <w:rFonts w:ascii="宋体" w:hAnsi="宋体" w:cs="宋体"/>
          <w:b/>
          <w:bCs/>
          <w:sz w:val="28"/>
          <w:szCs w:val="28"/>
          <w:highlight w:val="none"/>
        </w:rPr>
      </w:pPr>
    </w:p>
    <w:p w14:paraId="4E1C585C">
      <w:pPr>
        <w:snapToGrid w:val="0"/>
        <w:spacing w:beforeLines="50" w:after="50" w:line="400" w:lineRule="exact"/>
        <w:ind w:firstLine="360"/>
        <w:jc w:val="left"/>
        <w:rPr>
          <w:rFonts w:ascii="宋体" w:hAnsi="宋体" w:cs="宋体"/>
          <w:sz w:val="24"/>
          <w:highlight w:val="none"/>
        </w:rPr>
      </w:pPr>
    </w:p>
    <w:p w14:paraId="0A3CE5AC">
      <w:pPr>
        <w:snapToGrid w:val="0"/>
        <w:spacing w:beforeLines="50" w:after="50" w:line="400" w:lineRule="exact"/>
        <w:ind w:firstLine="5040" w:firstLineChars="2400"/>
        <w:jc w:val="right"/>
        <w:rPr>
          <w:rFonts w:ascii="宋体" w:hAnsi="宋体" w:cs="宋体"/>
          <w:bCs/>
          <w:sz w:val="32"/>
          <w:szCs w:val="20"/>
          <w:highlight w:val="none"/>
        </w:rPr>
      </w:pPr>
      <w:r>
        <w:rPr>
          <w:rFonts w:hint="eastAsia" w:ascii="宋体" w:hAnsi="宋体" w:cs="宋体"/>
          <w:bCs/>
          <w:highlight w:val="none"/>
        </w:rPr>
        <w:t>电子投标文件</w:t>
      </w:r>
    </w:p>
    <w:p w14:paraId="241F3ACF">
      <w:pPr>
        <w:snapToGrid w:val="0"/>
        <w:spacing w:beforeLines="50" w:after="50" w:line="400" w:lineRule="exact"/>
        <w:ind w:firstLine="360"/>
        <w:jc w:val="center"/>
        <w:rPr>
          <w:rFonts w:ascii="宋体" w:hAnsi="宋体" w:cs="宋体"/>
          <w:bCs/>
          <w:sz w:val="24"/>
          <w:szCs w:val="20"/>
          <w:highlight w:val="none"/>
        </w:rPr>
      </w:pPr>
    </w:p>
    <w:p w14:paraId="21967305">
      <w:pPr>
        <w:snapToGrid w:val="0"/>
        <w:spacing w:beforeLines="50" w:after="50" w:line="400" w:lineRule="exact"/>
        <w:ind w:firstLine="482"/>
        <w:jc w:val="center"/>
        <w:rPr>
          <w:rFonts w:ascii="宋体" w:hAnsi="宋体" w:cs="宋体"/>
          <w:b/>
          <w:bCs/>
          <w:sz w:val="32"/>
          <w:szCs w:val="32"/>
          <w:highlight w:val="none"/>
        </w:rPr>
      </w:pPr>
    </w:p>
    <w:p w14:paraId="4F41D1E4">
      <w:pPr>
        <w:snapToGrid w:val="0"/>
        <w:spacing w:beforeLines="50" w:after="50" w:line="400" w:lineRule="exact"/>
        <w:ind w:firstLine="482"/>
        <w:jc w:val="center"/>
        <w:rPr>
          <w:rFonts w:ascii="宋体" w:hAnsi="宋体" w:cs="宋体"/>
          <w:b/>
          <w:bCs/>
          <w:sz w:val="32"/>
          <w:szCs w:val="32"/>
          <w:highlight w:val="none"/>
        </w:rPr>
      </w:pPr>
      <w:r>
        <w:rPr>
          <w:rFonts w:hint="eastAsia" w:ascii="宋体" w:hAnsi="宋体" w:cs="宋体"/>
          <w:b/>
          <w:bCs/>
          <w:sz w:val="32"/>
          <w:szCs w:val="32"/>
          <w:highlight w:val="none"/>
        </w:rPr>
        <w:t>报价文件</w:t>
      </w:r>
    </w:p>
    <w:p w14:paraId="685E44D4">
      <w:pPr>
        <w:snapToGrid w:val="0"/>
        <w:spacing w:beforeLines="50" w:after="50" w:line="400" w:lineRule="exact"/>
        <w:ind w:firstLine="360"/>
        <w:rPr>
          <w:rFonts w:ascii="宋体" w:hAnsi="宋体" w:cs="宋体"/>
          <w:bCs/>
          <w:sz w:val="24"/>
          <w:szCs w:val="20"/>
          <w:highlight w:val="none"/>
        </w:rPr>
      </w:pPr>
    </w:p>
    <w:p w14:paraId="1667B521">
      <w:pPr>
        <w:snapToGrid w:val="0"/>
        <w:spacing w:beforeLines="50" w:after="50" w:line="400" w:lineRule="exact"/>
        <w:ind w:firstLine="360"/>
        <w:rPr>
          <w:rFonts w:ascii="宋体" w:hAnsi="宋体" w:cs="宋体"/>
          <w:bCs/>
          <w:sz w:val="24"/>
          <w:szCs w:val="20"/>
          <w:highlight w:val="none"/>
        </w:rPr>
      </w:pPr>
    </w:p>
    <w:p w14:paraId="0A686C4A">
      <w:pPr>
        <w:snapToGrid w:val="0"/>
        <w:spacing w:beforeLines="50" w:after="50" w:line="400" w:lineRule="exact"/>
        <w:ind w:firstLine="360"/>
        <w:rPr>
          <w:rFonts w:ascii="宋体" w:hAnsi="宋体" w:cs="宋体"/>
          <w:bCs/>
          <w:sz w:val="24"/>
          <w:szCs w:val="20"/>
          <w:highlight w:val="none"/>
        </w:rPr>
      </w:pPr>
    </w:p>
    <w:p w14:paraId="54CF64D3">
      <w:pPr>
        <w:snapToGrid w:val="0"/>
        <w:spacing w:beforeLines="50" w:after="50" w:line="400" w:lineRule="exact"/>
        <w:ind w:firstLine="360"/>
        <w:rPr>
          <w:rFonts w:ascii="宋体" w:hAnsi="宋体" w:cs="宋体"/>
          <w:bCs/>
          <w:sz w:val="24"/>
          <w:szCs w:val="20"/>
          <w:highlight w:val="none"/>
        </w:rPr>
      </w:pPr>
    </w:p>
    <w:p w14:paraId="1F60F3FF">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 xml:space="preserve">项目名称： </w:t>
      </w:r>
    </w:p>
    <w:p w14:paraId="280E2215">
      <w:pPr>
        <w:snapToGrid w:val="0"/>
        <w:spacing w:beforeLines="50" w:after="50" w:line="400" w:lineRule="exact"/>
        <w:ind w:firstLine="360" w:firstLineChars="150"/>
        <w:rPr>
          <w:rFonts w:ascii="宋体" w:hAnsi="宋体" w:cs="宋体"/>
          <w:bCs/>
          <w:sz w:val="24"/>
          <w:highlight w:val="none"/>
        </w:rPr>
      </w:pPr>
    </w:p>
    <w:p w14:paraId="4925F530">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 xml:space="preserve">项目编号： </w:t>
      </w:r>
    </w:p>
    <w:p w14:paraId="3D21E7FE">
      <w:pPr>
        <w:snapToGrid w:val="0"/>
        <w:spacing w:beforeLines="50" w:after="50" w:line="400" w:lineRule="exact"/>
        <w:ind w:firstLine="360" w:firstLineChars="150"/>
        <w:rPr>
          <w:rFonts w:ascii="宋体" w:hAnsi="宋体" w:cs="宋体"/>
          <w:bCs/>
          <w:sz w:val="24"/>
          <w:highlight w:val="none"/>
        </w:rPr>
      </w:pPr>
    </w:p>
    <w:p w14:paraId="3525E7A8">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所投分标（如有则填写，无分标时填写“无”或者留空）：</w:t>
      </w:r>
    </w:p>
    <w:p w14:paraId="16520FAB">
      <w:pPr>
        <w:snapToGrid w:val="0"/>
        <w:spacing w:beforeLines="50" w:after="50" w:line="400" w:lineRule="exact"/>
        <w:ind w:firstLine="360" w:firstLineChars="150"/>
        <w:rPr>
          <w:rFonts w:ascii="宋体" w:hAnsi="宋体" w:cs="宋体"/>
          <w:bCs/>
          <w:sz w:val="24"/>
          <w:highlight w:val="none"/>
        </w:rPr>
      </w:pPr>
    </w:p>
    <w:p w14:paraId="4C4D7A2D">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投标人名称：</w:t>
      </w:r>
    </w:p>
    <w:p w14:paraId="5F26DCA1">
      <w:pPr>
        <w:snapToGrid w:val="0"/>
        <w:spacing w:beforeLines="50" w:after="50" w:line="400" w:lineRule="exact"/>
        <w:ind w:firstLine="360" w:firstLineChars="150"/>
        <w:rPr>
          <w:rFonts w:ascii="宋体" w:hAnsi="宋体" w:cs="宋体"/>
          <w:bCs/>
          <w:sz w:val="24"/>
          <w:highlight w:val="none"/>
        </w:rPr>
      </w:pPr>
    </w:p>
    <w:p w14:paraId="47366B70">
      <w:pPr>
        <w:snapToGrid w:val="0"/>
        <w:spacing w:beforeLines="50" w:after="50" w:line="400" w:lineRule="exact"/>
        <w:ind w:firstLine="360" w:firstLineChars="150"/>
        <w:rPr>
          <w:rFonts w:ascii="宋体" w:hAnsi="宋体" w:cs="宋体"/>
          <w:bCs/>
          <w:sz w:val="24"/>
          <w:highlight w:val="none"/>
        </w:rPr>
      </w:pPr>
      <w:r>
        <w:rPr>
          <w:rFonts w:hint="eastAsia" w:ascii="宋体" w:hAnsi="宋体" w:cs="宋体"/>
          <w:bCs/>
          <w:sz w:val="24"/>
          <w:highlight w:val="none"/>
        </w:rPr>
        <w:t>投标人地址：</w:t>
      </w:r>
    </w:p>
    <w:p w14:paraId="78969E64">
      <w:pPr>
        <w:snapToGrid w:val="0"/>
        <w:spacing w:before="50" w:after="50" w:line="400" w:lineRule="exact"/>
        <w:ind w:firstLine="960" w:firstLineChars="400"/>
        <w:rPr>
          <w:rFonts w:ascii="宋体" w:hAnsi="宋体" w:cs="宋体"/>
          <w:bCs/>
          <w:sz w:val="24"/>
          <w:highlight w:val="none"/>
        </w:rPr>
      </w:pPr>
    </w:p>
    <w:p w14:paraId="6056FC7B">
      <w:pPr>
        <w:snapToGrid w:val="0"/>
        <w:spacing w:beforeLines="50" w:after="50" w:line="400" w:lineRule="exact"/>
        <w:ind w:firstLine="360"/>
        <w:rPr>
          <w:rFonts w:ascii="宋体" w:hAnsi="宋体" w:cs="宋体"/>
          <w:sz w:val="24"/>
          <w:highlight w:val="none"/>
        </w:rPr>
      </w:pPr>
      <w:r>
        <w:rPr>
          <w:rFonts w:hint="eastAsia" w:ascii="宋体" w:hAnsi="宋体" w:cs="宋体"/>
          <w:sz w:val="24"/>
          <w:highlight w:val="none"/>
        </w:rPr>
        <w:t xml:space="preserve">                                      年   月   日</w:t>
      </w:r>
    </w:p>
    <w:p w14:paraId="4D9B31E4">
      <w:pPr>
        <w:snapToGrid w:val="0"/>
        <w:spacing w:beforeLines="50" w:after="50" w:line="360" w:lineRule="auto"/>
        <w:ind w:firstLine="422"/>
        <w:jc w:val="left"/>
        <w:rPr>
          <w:rFonts w:ascii="宋体" w:hAnsi="宋体" w:cs="宋体"/>
          <w:sz w:val="28"/>
          <w:szCs w:val="28"/>
          <w:highlight w:val="none"/>
        </w:rPr>
      </w:pPr>
      <w:r>
        <w:rPr>
          <w:rFonts w:hint="eastAsia" w:ascii="宋体" w:hAnsi="宋体" w:cs="宋体"/>
          <w:b/>
          <w:sz w:val="28"/>
          <w:szCs w:val="28"/>
          <w:highlight w:val="none"/>
        </w:rPr>
        <w:br w:type="page"/>
      </w:r>
      <w:r>
        <w:rPr>
          <w:rFonts w:hint="eastAsia" w:ascii="宋体" w:hAnsi="宋体" w:cs="宋体"/>
          <w:b/>
          <w:sz w:val="28"/>
          <w:szCs w:val="28"/>
          <w:highlight w:val="none"/>
        </w:rPr>
        <w:t>2.</w:t>
      </w:r>
      <w:r>
        <w:rPr>
          <w:rFonts w:hint="eastAsia" w:ascii="宋体" w:hAnsi="宋体" w:cs="宋体"/>
          <w:b/>
          <w:bCs/>
          <w:sz w:val="28"/>
          <w:szCs w:val="28"/>
          <w:highlight w:val="none"/>
        </w:rPr>
        <w:t>报价文件目录</w:t>
      </w:r>
    </w:p>
    <w:p w14:paraId="15A57024">
      <w:pPr>
        <w:snapToGrid w:val="0"/>
        <w:spacing w:before="50" w:afterLines="50" w:line="360" w:lineRule="auto"/>
        <w:ind w:firstLine="420"/>
        <w:jc w:val="left"/>
        <w:rPr>
          <w:rFonts w:ascii="宋体" w:hAnsi="宋体" w:cs="宋体"/>
          <w:b/>
          <w:sz w:val="28"/>
          <w:szCs w:val="28"/>
          <w:highlight w:val="none"/>
        </w:rPr>
      </w:pPr>
      <w:r>
        <w:rPr>
          <w:rFonts w:hint="eastAsia" w:ascii="宋体" w:hAnsi="宋体" w:cs="宋体"/>
          <w:sz w:val="28"/>
          <w:szCs w:val="28"/>
          <w:highlight w:val="none"/>
        </w:rPr>
        <w:t>根据招标文件规定及投标人提供的材料自行编写目录</w:t>
      </w:r>
      <w:r>
        <w:rPr>
          <w:rFonts w:hint="eastAsia" w:ascii="宋体" w:hAnsi="宋体" w:cs="宋体"/>
          <w:kern w:val="0"/>
          <w:sz w:val="28"/>
          <w:szCs w:val="28"/>
          <w:highlight w:val="none"/>
        </w:rPr>
        <w:t>（部分格式后附）</w:t>
      </w:r>
      <w:r>
        <w:rPr>
          <w:rFonts w:hint="eastAsia" w:ascii="宋体" w:hAnsi="宋体" w:cs="宋体"/>
          <w:sz w:val="28"/>
          <w:szCs w:val="28"/>
          <w:highlight w:val="none"/>
        </w:rPr>
        <w:t>。</w:t>
      </w:r>
    </w:p>
    <w:p w14:paraId="6D40A061">
      <w:pPr>
        <w:spacing w:line="360" w:lineRule="auto"/>
        <w:ind w:firstLine="360"/>
        <w:rPr>
          <w:rFonts w:ascii="宋体" w:hAnsi="宋体" w:cs="宋体"/>
          <w:sz w:val="24"/>
          <w:highlight w:val="none"/>
        </w:rPr>
      </w:pPr>
      <w:r>
        <w:rPr>
          <w:rFonts w:hint="eastAsia" w:ascii="宋体" w:hAnsi="宋体" w:cs="宋体"/>
          <w:sz w:val="24"/>
          <w:highlight w:val="none"/>
        </w:rPr>
        <w:br w:type="page"/>
      </w:r>
      <w:r>
        <w:rPr>
          <w:rFonts w:hint="eastAsia" w:ascii="宋体" w:hAnsi="宋体" w:cs="宋体"/>
          <w:b/>
          <w:bCs/>
          <w:sz w:val="28"/>
          <w:szCs w:val="28"/>
          <w:highlight w:val="none"/>
        </w:rPr>
        <w:t>3.投标函的格式：</w:t>
      </w:r>
    </w:p>
    <w:p w14:paraId="27539212">
      <w:pPr>
        <w:spacing w:line="500" w:lineRule="exact"/>
        <w:ind w:firstLine="452"/>
        <w:jc w:val="center"/>
        <w:rPr>
          <w:rFonts w:ascii="宋体" w:hAnsi="宋体" w:cs="宋体"/>
          <w:b/>
          <w:bCs/>
          <w:sz w:val="30"/>
          <w:szCs w:val="30"/>
          <w:highlight w:val="none"/>
        </w:rPr>
      </w:pPr>
      <w:r>
        <w:rPr>
          <w:rFonts w:hint="eastAsia" w:ascii="宋体" w:hAnsi="宋体" w:cs="宋体"/>
          <w:b/>
          <w:bCs/>
          <w:sz w:val="30"/>
          <w:szCs w:val="30"/>
          <w:highlight w:val="none"/>
        </w:rPr>
        <w:t>投标函</w:t>
      </w:r>
    </w:p>
    <w:p w14:paraId="612DE9C1">
      <w:pPr>
        <w:spacing w:line="360" w:lineRule="auto"/>
        <w:ind w:firstLine="420" w:firstLineChars="200"/>
        <w:rPr>
          <w:rFonts w:ascii="宋体" w:hAnsi="宋体" w:cs="宋体"/>
          <w:szCs w:val="20"/>
          <w:highlight w:val="none"/>
        </w:rPr>
      </w:pPr>
    </w:p>
    <w:p w14:paraId="17DD5901">
      <w:pPr>
        <w:spacing w:line="360" w:lineRule="auto"/>
        <w:ind w:firstLine="420" w:firstLineChars="200"/>
        <w:rPr>
          <w:rFonts w:ascii="宋体" w:hAnsi="宋体" w:cs="宋体"/>
          <w:szCs w:val="20"/>
          <w:highlight w:val="none"/>
        </w:rPr>
      </w:pPr>
      <w:r>
        <w:rPr>
          <w:rFonts w:hint="eastAsia" w:ascii="宋体" w:hAnsi="宋体" w:cs="宋体"/>
          <w:szCs w:val="20"/>
          <w:highlight w:val="none"/>
        </w:rPr>
        <w:t>致：</w:t>
      </w:r>
      <w:r>
        <w:rPr>
          <w:rFonts w:hint="eastAsia" w:ascii="宋体" w:hAnsi="宋体" w:cs="宋体"/>
          <w:szCs w:val="20"/>
          <w:highlight w:val="none"/>
          <w:u w:val="single"/>
          <w:lang w:eastAsia="zh-CN"/>
        </w:rPr>
        <w:t>广西众联工程项目管理有限公司</w:t>
      </w:r>
      <w:r>
        <w:rPr>
          <w:rFonts w:hint="eastAsia" w:ascii="宋体" w:hAnsi="宋体" w:cs="宋体"/>
          <w:szCs w:val="20"/>
          <w:highlight w:val="none"/>
        </w:rPr>
        <w:t xml:space="preserve"> </w:t>
      </w:r>
    </w:p>
    <w:p w14:paraId="02678746">
      <w:pPr>
        <w:spacing w:line="360" w:lineRule="auto"/>
        <w:ind w:firstLine="420" w:firstLineChars="200"/>
        <w:rPr>
          <w:rFonts w:ascii="宋体" w:hAnsi="宋体" w:cs="宋体"/>
          <w:szCs w:val="20"/>
          <w:highlight w:val="none"/>
        </w:rPr>
      </w:pPr>
      <w:r>
        <w:rPr>
          <w:rFonts w:hint="eastAsia" w:ascii="宋体" w:hAnsi="宋体" w:cs="宋体"/>
          <w:szCs w:val="20"/>
          <w:highlight w:val="none"/>
        </w:rPr>
        <w:t>我方已仔细阅读了贵方组织的</w:t>
      </w:r>
      <w:r>
        <w:rPr>
          <w:rFonts w:hint="eastAsia" w:ascii="宋体" w:hAnsi="宋体" w:cs="宋体"/>
          <w:szCs w:val="20"/>
          <w:highlight w:val="none"/>
          <w:u w:val="single"/>
        </w:rPr>
        <w:t xml:space="preserve">  </w:t>
      </w:r>
      <w:r>
        <w:rPr>
          <w:rFonts w:hint="eastAsia" w:ascii="宋体" w:hAnsi="宋体" w:cs="宋体"/>
          <w:i/>
          <w:iCs/>
          <w:szCs w:val="20"/>
          <w:highlight w:val="none"/>
          <w:u w:val="single"/>
        </w:rPr>
        <w:t>（项目名称）</w:t>
      </w:r>
      <w:r>
        <w:rPr>
          <w:rFonts w:hint="eastAsia" w:ascii="宋体" w:hAnsi="宋体" w:cs="宋体"/>
          <w:szCs w:val="20"/>
          <w:highlight w:val="none"/>
          <w:u w:val="single"/>
        </w:rPr>
        <w:t xml:space="preserve">  </w:t>
      </w:r>
      <w:r>
        <w:rPr>
          <w:rFonts w:hint="eastAsia" w:ascii="宋体" w:hAnsi="宋体" w:cs="宋体"/>
          <w:szCs w:val="20"/>
          <w:highlight w:val="none"/>
        </w:rPr>
        <w:t>项目（项目编号：</w:t>
      </w:r>
      <w:r>
        <w:rPr>
          <w:rFonts w:hint="eastAsia" w:ascii="宋体" w:hAnsi="宋体" w:cs="宋体"/>
          <w:szCs w:val="20"/>
          <w:highlight w:val="none"/>
          <w:u w:val="single"/>
        </w:rPr>
        <w:t xml:space="preserve">        </w:t>
      </w:r>
      <w:r>
        <w:rPr>
          <w:rFonts w:hint="eastAsia" w:ascii="宋体" w:hAnsi="宋体" w:cs="宋体"/>
          <w:szCs w:val="20"/>
          <w:highlight w:val="none"/>
        </w:rPr>
        <w:t>）的招标文件的全部内容，授权</w:t>
      </w:r>
      <w:r>
        <w:rPr>
          <w:rFonts w:hint="eastAsia" w:ascii="宋体" w:hAnsi="宋体" w:cs="宋体"/>
          <w:szCs w:val="20"/>
          <w:highlight w:val="none"/>
          <w:u w:val="single"/>
        </w:rPr>
        <w:t xml:space="preserve">                      </w:t>
      </w:r>
      <w:r>
        <w:rPr>
          <w:rFonts w:hint="eastAsia" w:ascii="宋体" w:hAnsi="宋体" w:cs="宋体"/>
          <w:szCs w:val="20"/>
          <w:highlight w:val="none"/>
        </w:rPr>
        <w:t>(全权代表姓名)</w:t>
      </w:r>
      <w:r>
        <w:rPr>
          <w:rFonts w:hint="eastAsia" w:ascii="宋体" w:hAnsi="宋体" w:cs="宋体"/>
          <w:szCs w:val="20"/>
          <w:highlight w:val="none"/>
          <w:u w:val="single"/>
        </w:rPr>
        <w:t xml:space="preserve">          </w:t>
      </w:r>
      <w:r>
        <w:rPr>
          <w:rFonts w:hint="eastAsia" w:ascii="宋体" w:hAnsi="宋体" w:cs="宋体"/>
          <w:szCs w:val="20"/>
          <w:highlight w:val="none"/>
        </w:rPr>
        <w:t xml:space="preserve"> (职务、职称)为全权代表，现正式递交下述文件参加贵方组织的本次政府采购活动： </w:t>
      </w:r>
    </w:p>
    <w:p w14:paraId="37B8B344">
      <w:pPr>
        <w:spacing w:line="360" w:lineRule="auto"/>
        <w:ind w:left="0" w:leftChars="0" w:firstLine="319" w:firstLineChars="152"/>
        <w:rPr>
          <w:rFonts w:ascii="宋体" w:hAnsi="宋体" w:cs="宋体"/>
          <w:szCs w:val="20"/>
          <w:highlight w:val="none"/>
        </w:rPr>
      </w:pPr>
      <w:r>
        <w:rPr>
          <w:rFonts w:hint="eastAsia" w:ascii="宋体" w:hAnsi="宋体" w:cs="宋体"/>
          <w:szCs w:val="20"/>
          <w:highlight w:val="none"/>
        </w:rPr>
        <w:t>一、报价文件电子版（包含按投标人须知前附表要求提交的全部文件）；</w:t>
      </w:r>
    </w:p>
    <w:p w14:paraId="68778B0E">
      <w:pPr>
        <w:spacing w:line="360" w:lineRule="auto"/>
        <w:ind w:firstLine="315"/>
        <w:rPr>
          <w:rFonts w:ascii="宋体" w:hAnsi="宋体" w:cs="宋体"/>
          <w:szCs w:val="20"/>
          <w:highlight w:val="none"/>
        </w:rPr>
      </w:pPr>
      <w:r>
        <w:rPr>
          <w:rFonts w:hint="eastAsia" w:ascii="宋体" w:hAnsi="宋体" w:cs="宋体"/>
          <w:szCs w:val="20"/>
          <w:highlight w:val="none"/>
        </w:rPr>
        <w:t>二、资格文件电子版（包含按投标人须知前附表要求提交的全部文件）；</w:t>
      </w:r>
    </w:p>
    <w:p w14:paraId="64935B2B">
      <w:pPr>
        <w:spacing w:line="360" w:lineRule="auto"/>
        <w:ind w:firstLine="315"/>
        <w:rPr>
          <w:rFonts w:ascii="宋体" w:hAnsi="宋体" w:cs="宋体"/>
          <w:szCs w:val="20"/>
          <w:highlight w:val="none"/>
        </w:rPr>
      </w:pPr>
      <w:r>
        <w:rPr>
          <w:rFonts w:hint="eastAsia" w:ascii="宋体" w:hAnsi="宋体" w:cs="宋体"/>
          <w:szCs w:val="20"/>
          <w:highlight w:val="none"/>
        </w:rPr>
        <w:t>三、技术文件电子版（包含按投标人须知前附表要求提交的全部文件）；</w:t>
      </w:r>
    </w:p>
    <w:p w14:paraId="08E8CBDA">
      <w:pPr>
        <w:spacing w:line="360" w:lineRule="auto"/>
        <w:ind w:firstLine="315"/>
        <w:rPr>
          <w:rFonts w:ascii="宋体" w:hAnsi="宋体" w:cs="宋体"/>
          <w:szCs w:val="20"/>
          <w:highlight w:val="none"/>
        </w:rPr>
      </w:pPr>
      <w:r>
        <w:rPr>
          <w:rFonts w:hint="eastAsia" w:ascii="宋体" w:hAnsi="宋体" w:cs="宋体"/>
          <w:szCs w:val="20"/>
          <w:highlight w:val="none"/>
        </w:rPr>
        <w:t>四、商务文件电子版（包含按投标人须知前附表要求提交的全部文件）；</w:t>
      </w:r>
    </w:p>
    <w:p w14:paraId="74A9DD99">
      <w:pPr>
        <w:spacing w:line="360" w:lineRule="auto"/>
        <w:ind w:firstLine="315"/>
        <w:rPr>
          <w:rFonts w:ascii="宋体" w:hAnsi="宋体" w:cs="宋体"/>
          <w:szCs w:val="20"/>
          <w:highlight w:val="none"/>
        </w:rPr>
      </w:pPr>
      <w:r>
        <w:rPr>
          <w:rFonts w:hint="eastAsia" w:ascii="宋体" w:hAnsi="宋体" w:cs="宋体"/>
          <w:szCs w:val="20"/>
          <w:highlight w:val="none"/>
        </w:rPr>
        <w:t>据此函，我方兹宣布：</w:t>
      </w:r>
    </w:p>
    <w:p w14:paraId="1AB60427">
      <w:pPr>
        <w:spacing w:line="360" w:lineRule="auto"/>
        <w:ind w:firstLine="420" w:firstLineChars="200"/>
        <w:rPr>
          <w:rFonts w:ascii="宋体" w:hAnsi="宋体" w:cs="宋体"/>
          <w:szCs w:val="20"/>
          <w:highlight w:val="none"/>
          <w:u w:val="single"/>
        </w:rPr>
      </w:pPr>
      <w:r>
        <w:rPr>
          <w:rFonts w:hint="eastAsia" w:ascii="宋体" w:hAnsi="宋体" w:cs="宋体"/>
          <w:szCs w:val="20"/>
          <w:highlight w:val="none"/>
        </w:rPr>
        <w:t>1、我方愿意以投标时提供的开标一览表中的投标总</w:t>
      </w:r>
      <w:r>
        <w:rPr>
          <w:rFonts w:hint="eastAsia" w:ascii="宋体" w:hAnsi="宋体" w:cs="宋体"/>
          <w:szCs w:val="22"/>
          <w:highlight w:val="none"/>
        </w:rPr>
        <w:t>报价，在承诺的交付时间内</w:t>
      </w:r>
      <w:r>
        <w:rPr>
          <w:rFonts w:hint="eastAsia" w:ascii="宋体" w:hAnsi="宋体" w:cs="宋体"/>
          <w:szCs w:val="20"/>
          <w:highlight w:val="none"/>
        </w:rPr>
        <w:t>提供本项目招标文件“第二章  采购需求”相应的采购内容，具体详见开标一览表。</w:t>
      </w:r>
    </w:p>
    <w:p w14:paraId="5CE13841">
      <w:pPr>
        <w:spacing w:line="360" w:lineRule="auto"/>
        <w:ind w:firstLine="420" w:firstLineChars="200"/>
        <w:rPr>
          <w:rFonts w:ascii="宋体" w:hAnsi="宋体" w:cs="宋体"/>
          <w:szCs w:val="20"/>
          <w:highlight w:val="none"/>
          <w:u w:val="single"/>
        </w:rPr>
      </w:pPr>
      <w:r>
        <w:rPr>
          <w:rFonts w:hint="eastAsia" w:ascii="宋体" w:hAnsi="宋体" w:cs="宋体"/>
          <w:szCs w:val="20"/>
          <w:highlight w:val="none"/>
        </w:rPr>
        <w:t>2、我方同意自本项目招标文件“第三章 投标人须知”第一节 投标人须知前附表 第21.1项规定的投标截止时间（开标时间）起遵循本投标函，并承诺在“投标人须知前附表”第17.2项规定的投标有效期内不修改、撤销投标文件。</w:t>
      </w:r>
    </w:p>
    <w:p w14:paraId="2EC71E80">
      <w:pPr>
        <w:spacing w:line="360" w:lineRule="auto"/>
        <w:ind w:firstLine="420" w:firstLineChars="200"/>
        <w:rPr>
          <w:rFonts w:ascii="宋体" w:hAnsi="宋体" w:cs="宋体"/>
          <w:szCs w:val="20"/>
          <w:highlight w:val="none"/>
          <w:u w:val="single"/>
        </w:rPr>
      </w:pPr>
      <w:r>
        <w:rPr>
          <w:rFonts w:hint="eastAsia" w:ascii="宋体" w:hAnsi="宋体" w:cs="宋体"/>
          <w:szCs w:val="20"/>
          <w:highlight w:val="none"/>
        </w:rPr>
        <w:t>3、我方所递交的投标文件及有关资料都是内容完整、真实和准确的。</w:t>
      </w:r>
    </w:p>
    <w:p w14:paraId="1AE99A86">
      <w:pPr>
        <w:spacing w:line="360" w:lineRule="auto"/>
        <w:ind w:left="0" w:leftChars="0" w:firstLine="420" w:firstLineChars="0"/>
        <w:rPr>
          <w:rFonts w:ascii="宋体" w:hAnsi="宋体" w:cs="宋体"/>
          <w:szCs w:val="20"/>
          <w:highlight w:val="none"/>
        </w:rPr>
      </w:pPr>
      <w:r>
        <w:rPr>
          <w:rFonts w:hint="eastAsia" w:ascii="宋体" w:hAnsi="宋体" w:cs="宋体"/>
          <w:szCs w:val="20"/>
          <w:highlight w:val="none"/>
        </w:rPr>
        <w:t>4、</w:t>
      </w:r>
      <w:r>
        <w:rPr>
          <w:rFonts w:hint="eastAsia" w:ascii="宋体" w:hAnsi="宋体" w:cs="宋体"/>
          <w:szCs w:val="21"/>
          <w:highlight w:val="none"/>
        </w:rPr>
        <w:t>如本项目采购内容涉及须符合国家强制规定的，我方承诺我方本次投标（包括资格条件和所投产品）均符合国家有关强制规定。</w:t>
      </w:r>
    </w:p>
    <w:p w14:paraId="124A8D0B">
      <w:pPr>
        <w:spacing w:line="360" w:lineRule="auto"/>
        <w:ind w:firstLine="420" w:firstLineChars="200"/>
        <w:rPr>
          <w:rFonts w:ascii="宋体" w:hAnsi="宋体" w:cs="宋体"/>
          <w:szCs w:val="20"/>
          <w:highlight w:val="none"/>
        </w:rPr>
      </w:pPr>
      <w:r>
        <w:rPr>
          <w:rFonts w:hint="eastAsia" w:ascii="宋体" w:hAnsi="宋体" w:cs="宋体"/>
          <w:szCs w:val="20"/>
          <w:highlight w:val="none"/>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74670C4E">
      <w:pPr>
        <w:spacing w:line="360" w:lineRule="auto"/>
        <w:ind w:firstLine="420" w:firstLineChars="200"/>
        <w:rPr>
          <w:rFonts w:ascii="宋体" w:hAnsi="宋体" w:cs="宋体"/>
          <w:szCs w:val="20"/>
          <w:highlight w:val="none"/>
        </w:rPr>
      </w:pPr>
      <w:r>
        <w:rPr>
          <w:rFonts w:hint="eastAsia" w:ascii="宋体" w:hAnsi="宋体" w:cs="宋体"/>
          <w:szCs w:val="20"/>
          <w:highlight w:val="none"/>
        </w:rPr>
        <w:t>6、我方已详细审核招标文件，我方知道必须放弃提出含糊不清或误解问题的权利。</w:t>
      </w:r>
    </w:p>
    <w:p w14:paraId="46B3C3FF">
      <w:pPr>
        <w:spacing w:line="360" w:lineRule="auto"/>
        <w:ind w:firstLine="420" w:firstLineChars="200"/>
        <w:rPr>
          <w:rFonts w:ascii="宋体" w:hAnsi="宋体" w:cs="宋体"/>
          <w:szCs w:val="20"/>
          <w:highlight w:val="none"/>
        </w:rPr>
      </w:pPr>
      <w:r>
        <w:rPr>
          <w:rFonts w:hint="eastAsia" w:ascii="宋体" w:hAnsi="宋体" w:cs="宋体"/>
          <w:szCs w:val="20"/>
          <w:highlight w:val="none"/>
        </w:rPr>
        <w:t>7、我方同意应贵方要求提供与本投标有关的任何数据或资料。若贵方需要，我方愿意提供我方作出的一切承诺的证明材料。</w:t>
      </w:r>
    </w:p>
    <w:p w14:paraId="4CE9C490">
      <w:pPr>
        <w:spacing w:line="360" w:lineRule="auto"/>
        <w:ind w:firstLine="420" w:firstLineChars="200"/>
        <w:rPr>
          <w:rFonts w:ascii="宋体" w:hAnsi="宋体" w:cs="宋体"/>
          <w:szCs w:val="20"/>
          <w:highlight w:val="none"/>
        </w:rPr>
      </w:pPr>
      <w:r>
        <w:rPr>
          <w:rFonts w:hint="eastAsia" w:ascii="宋体" w:hAnsi="宋体" w:cs="宋体"/>
          <w:szCs w:val="20"/>
          <w:highlight w:val="none"/>
        </w:rPr>
        <w:t>8、我方完全理解贵方不一定接受投标报价最低的投标人为中标人的行为。</w:t>
      </w:r>
    </w:p>
    <w:p w14:paraId="234E1EE3">
      <w:pPr>
        <w:spacing w:line="360" w:lineRule="auto"/>
        <w:ind w:firstLine="420" w:firstLineChars="200"/>
        <w:rPr>
          <w:rFonts w:ascii="宋体" w:hAnsi="宋体" w:cs="宋体"/>
          <w:szCs w:val="20"/>
          <w:highlight w:val="none"/>
        </w:rPr>
      </w:pPr>
      <w:r>
        <w:rPr>
          <w:rFonts w:hint="eastAsia" w:ascii="宋体" w:hAnsi="宋体" w:cs="宋体"/>
          <w:szCs w:val="20"/>
          <w:highlight w:val="none"/>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CEA6366">
      <w:pPr>
        <w:numPr>
          <w:ilvl w:val="0"/>
          <w:numId w:val="10"/>
        </w:numPr>
        <w:spacing w:line="360" w:lineRule="auto"/>
        <w:rPr>
          <w:rFonts w:ascii="宋体" w:hAnsi="宋体" w:cs="宋体"/>
          <w:szCs w:val="20"/>
          <w:highlight w:val="none"/>
        </w:rPr>
      </w:pPr>
      <w:r>
        <w:rPr>
          <w:rFonts w:hint="eastAsia" w:ascii="宋体" w:hAnsi="宋体" w:cs="宋体"/>
          <w:szCs w:val="20"/>
          <w:highlight w:val="none"/>
        </w:rPr>
        <w:t>提供虚假材料谋取中标、成交的；</w:t>
      </w:r>
    </w:p>
    <w:p w14:paraId="2242748C">
      <w:pPr>
        <w:numPr>
          <w:ilvl w:val="0"/>
          <w:numId w:val="10"/>
        </w:numPr>
        <w:spacing w:line="360" w:lineRule="auto"/>
        <w:rPr>
          <w:rFonts w:ascii="宋体" w:hAnsi="宋体" w:cs="宋体"/>
          <w:szCs w:val="20"/>
          <w:highlight w:val="none"/>
        </w:rPr>
      </w:pPr>
      <w:r>
        <w:rPr>
          <w:rFonts w:hint="eastAsia" w:ascii="宋体" w:hAnsi="宋体" w:cs="宋体"/>
          <w:szCs w:val="20"/>
          <w:highlight w:val="none"/>
        </w:rPr>
        <w:t>采取不正当手段诋毁、排挤其他供应商的；</w:t>
      </w:r>
    </w:p>
    <w:p w14:paraId="03667085">
      <w:pPr>
        <w:numPr>
          <w:ilvl w:val="0"/>
          <w:numId w:val="10"/>
        </w:numPr>
        <w:spacing w:line="360" w:lineRule="auto"/>
        <w:rPr>
          <w:rFonts w:ascii="宋体" w:hAnsi="宋体" w:cs="宋体"/>
          <w:szCs w:val="20"/>
          <w:highlight w:val="none"/>
        </w:rPr>
      </w:pPr>
      <w:r>
        <w:rPr>
          <w:rFonts w:hint="eastAsia" w:ascii="宋体" w:hAnsi="宋体" w:cs="宋体"/>
          <w:szCs w:val="20"/>
          <w:highlight w:val="none"/>
        </w:rPr>
        <w:t>与采购人、其他供应商或者采购代理机构恶意串通的；</w:t>
      </w:r>
    </w:p>
    <w:p w14:paraId="20A93F73">
      <w:pPr>
        <w:numPr>
          <w:ilvl w:val="0"/>
          <w:numId w:val="10"/>
        </w:numPr>
        <w:spacing w:line="360" w:lineRule="auto"/>
        <w:rPr>
          <w:rFonts w:ascii="宋体" w:hAnsi="宋体" w:cs="宋体"/>
          <w:szCs w:val="20"/>
          <w:highlight w:val="none"/>
        </w:rPr>
      </w:pPr>
      <w:r>
        <w:rPr>
          <w:rFonts w:hint="eastAsia" w:ascii="宋体" w:hAnsi="宋体" w:cs="宋体"/>
          <w:szCs w:val="20"/>
          <w:highlight w:val="none"/>
        </w:rPr>
        <w:t>向采购人、采购代理机构行贿或者提供其他不正当利益的；</w:t>
      </w:r>
    </w:p>
    <w:p w14:paraId="5227FEE3">
      <w:pPr>
        <w:numPr>
          <w:ilvl w:val="0"/>
          <w:numId w:val="10"/>
        </w:numPr>
        <w:spacing w:line="360" w:lineRule="auto"/>
        <w:rPr>
          <w:rFonts w:ascii="宋体" w:hAnsi="宋体" w:cs="宋体"/>
          <w:szCs w:val="20"/>
          <w:highlight w:val="none"/>
        </w:rPr>
      </w:pPr>
      <w:r>
        <w:rPr>
          <w:rFonts w:hint="eastAsia" w:ascii="宋体" w:hAnsi="宋体" w:cs="宋体"/>
          <w:szCs w:val="20"/>
          <w:highlight w:val="none"/>
        </w:rPr>
        <w:t>在招标采购过程中与采购人进行协商谈判的；</w:t>
      </w:r>
    </w:p>
    <w:p w14:paraId="33C5747C">
      <w:pPr>
        <w:numPr>
          <w:ilvl w:val="0"/>
          <w:numId w:val="10"/>
        </w:numPr>
        <w:spacing w:line="360" w:lineRule="auto"/>
        <w:rPr>
          <w:rFonts w:ascii="宋体" w:hAnsi="宋体" w:cs="宋体"/>
          <w:szCs w:val="20"/>
          <w:highlight w:val="none"/>
        </w:rPr>
      </w:pPr>
      <w:r>
        <w:rPr>
          <w:rFonts w:hint="eastAsia" w:ascii="宋体" w:hAnsi="宋体" w:cs="宋体"/>
          <w:szCs w:val="20"/>
          <w:highlight w:val="none"/>
        </w:rPr>
        <w:t>拒绝有关部门监督检查或提供虚假情况的。</w:t>
      </w:r>
    </w:p>
    <w:p w14:paraId="6C823D61">
      <w:pPr>
        <w:spacing w:line="360" w:lineRule="auto"/>
        <w:ind w:firstLine="315"/>
        <w:rPr>
          <w:rFonts w:ascii="宋体" w:hAnsi="宋体" w:cs="宋体"/>
          <w:szCs w:val="20"/>
          <w:highlight w:val="none"/>
        </w:rPr>
      </w:pPr>
      <w:r>
        <w:rPr>
          <w:rFonts w:hint="eastAsia" w:ascii="宋体" w:hAnsi="宋体" w:cs="宋体"/>
          <w:szCs w:val="20"/>
          <w:highlight w:val="none"/>
        </w:rPr>
        <w:t>10、以上事项如有虚假或者隐瞒，我方愿意承担一切后果，并不再寻求任何旨在减轻或者免除法律责任的辩解。</w:t>
      </w:r>
    </w:p>
    <w:p w14:paraId="44B29370">
      <w:pPr>
        <w:spacing w:line="360" w:lineRule="auto"/>
        <w:ind w:firstLine="315"/>
        <w:rPr>
          <w:rFonts w:ascii="宋体" w:hAnsi="宋体" w:cs="宋体"/>
          <w:szCs w:val="20"/>
          <w:highlight w:val="none"/>
        </w:rPr>
      </w:pPr>
      <w:r>
        <w:rPr>
          <w:rFonts w:hint="eastAsia" w:ascii="宋体" w:hAnsi="宋体" w:cs="宋体"/>
          <w:szCs w:val="20"/>
          <w:highlight w:val="none"/>
        </w:rPr>
        <w:t>11、与本投标有关的一切正式往来信函请寄：</w:t>
      </w:r>
    </w:p>
    <w:p w14:paraId="70809849">
      <w:pPr>
        <w:spacing w:line="360" w:lineRule="auto"/>
        <w:ind w:firstLine="315"/>
        <w:rPr>
          <w:rFonts w:ascii="宋体" w:hAnsi="宋体" w:cs="宋体"/>
          <w:szCs w:val="20"/>
          <w:highlight w:val="none"/>
        </w:rPr>
      </w:pPr>
      <w:r>
        <w:rPr>
          <w:rFonts w:hint="eastAsia" w:ascii="宋体" w:hAnsi="宋体" w:cs="宋体"/>
          <w:szCs w:val="20"/>
          <w:highlight w:val="none"/>
        </w:rPr>
        <w:t>地址：</w:t>
      </w:r>
      <w:r>
        <w:rPr>
          <w:rFonts w:hint="eastAsia" w:ascii="宋体" w:hAnsi="宋体" w:cs="宋体"/>
          <w:szCs w:val="20"/>
          <w:highlight w:val="none"/>
          <w:u w:val="single"/>
        </w:rPr>
        <w:t xml:space="preserve">                                                        </w:t>
      </w:r>
      <w:r>
        <w:rPr>
          <w:rFonts w:hint="eastAsia" w:ascii="宋体" w:hAnsi="宋体" w:cs="宋体"/>
          <w:szCs w:val="20"/>
          <w:highlight w:val="none"/>
        </w:rPr>
        <w:t xml:space="preserve"> </w:t>
      </w:r>
    </w:p>
    <w:p w14:paraId="37D5CB74">
      <w:pPr>
        <w:spacing w:line="360" w:lineRule="auto"/>
        <w:ind w:firstLine="315"/>
        <w:rPr>
          <w:rFonts w:ascii="宋体" w:hAnsi="宋体" w:cs="宋体"/>
          <w:szCs w:val="20"/>
          <w:highlight w:val="none"/>
          <w:u w:val="single"/>
        </w:rPr>
      </w:pPr>
      <w:r>
        <w:rPr>
          <w:rFonts w:hint="eastAsia" w:ascii="宋体" w:hAnsi="宋体" w:cs="宋体"/>
          <w:szCs w:val="20"/>
          <w:highlight w:val="none"/>
        </w:rPr>
        <w:t>电话：</w:t>
      </w:r>
      <w:r>
        <w:rPr>
          <w:rFonts w:hint="eastAsia" w:ascii="宋体" w:hAnsi="宋体" w:cs="宋体"/>
          <w:szCs w:val="20"/>
          <w:highlight w:val="none"/>
          <w:u w:val="single"/>
        </w:rPr>
        <w:t xml:space="preserve">                                      　　　　　　　　　</w:t>
      </w:r>
    </w:p>
    <w:p w14:paraId="310C8DD7">
      <w:pPr>
        <w:spacing w:line="360" w:lineRule="auto"/>
        <w:ind w:firstLine="315"/>
        <w:rPr>
          <w:rFonts w:ascii="宋体" w:hAnsi="宋体" w:cs="宋体"/>
          <w:szCs w:val="20"/>
          <w:highlight w:val="none"/>
          <w:u w:val="single"/>
        </w:rPr>
      </w:pPr>
      <w:r>
        <w:rPr>
          <w:rFonts w:hint="eastAsia" w:ascii="宋体" w:hAnsi="宋体" w:cs="宋体"/>
          <w:szCs w:val="20"/>
          <w:highlight w:val="none"/>
        </w:rPr>
        <w:t>传真：</w:t>
      </w:r>
      <w:r>
        <w:rPr>
          <w:rFonts w:hint="eastAsia" w:ascii="宋体" w:hAnsi="宋体" w:cs="宋体"/>
          <w:szCs w:val="20"/>
          <w:highlight w:val="none"/>
          <w:u w:val="single"/>
        </w:rPr>
        <w:t>　　　　　　　　　　　　　　　　　　　　　　　　　　　　</w:t>
      </w:r>
    </w:p>
    <w:p w14:paraId="1E7D882F">
      <w:pPr>
        <w:spacing w:line="360" w:lineRule="auto"/>
        <w:ind w:firstLine="300"/>
        <w:rPr>
          <w:rFonts w:ascii="宋体" w:hAnsi="宋体" w:cs="宋体"/>
          <w:highlight w:val="none"/>
          <w:u w:val="single"/>
        </w:rPr>
      </w:pPr>
      <w:r>
        <w:rPr>
          <w:rFonts w:hint="eastAsia" w:ascii="宋体" w:hAnsi="宋体" w:cs="宋体"/>
          <w:kern w:val="0"/>
          <w:sz w:val="20"/>
          <w:szCs w:val="21"/>
          <w:highlight w:val="none"/>
        </w:rPr>
        <w:t>电子邮箱：</w:t>
      </w:r>
      <w:r>
        <w:rPr>
          <w:rFonts w:hint="eastAsia" w:ascii="宋体" w:hAnsi="宋体" w:cs="宋体"/>
          <w:kern w:val="0"/>
          <w:sz w:val="20"/>
          <w:szCs w:val="21"/>
          <w:highlight w:val="none"/>
          <w:u w:val="single"/>
        </w:rPr>
        <w:t>　　　　　　　　　　　　　　　　　　　　　　　　　　　　</w:t>
      </w:r>
    </w:p>
    <w:p w14:paraId="38518C8A">
      <w:pPr>
        <w:spacing w:line="360" w:lineRule="auto"/>
        <w:ind w:firstLine="315"/>
        <w:rPr>
          <w:rFonts w:ascii="宋体" w:hAnsi="宋体" w:cs="宋体"/>
          <w:szCs w:val="20"/>
          <w:highlight w:val="none"/>
          <w:u w:val="single"/>
        </w:rPr>
      </w:pPr>
      <w:r>
        <w:rPr>
          <w:rFonts w:hint="eastAsia" w:ascii="宋体" w:hAnsi="宋体" w:cs="宋体"/>
          <w:szCs w:val="20"/>
          <w:highlight w:val="none"/>
        </w:rPr>
        <w:t>邮政编码：</w:t>
      </w:r>
      <w:r>
        <w:rPr>
          <w:rFonts w:hint="eastAsia" w:ascii="宋体" w:hAnsi="宋体" w:cs="宋体"/>
          <w:szCs w:val="20"/>
          <w:highlight w:val="none"/>
          <w:u w:val="single"/>
        </w:rPr>
        <w:t xml:space="preserve">                                                    </w:t>
      </w:r>
    </w:p>
    <w:p w14:paraId="6F0E6C17">
      <w:pPr>
        <w:spacing w:line="360" w:lineRule="auto"/>
        <w:ind w:firstLine="315"/>
        <w:rPr>
          <w:rFonts w:ascii="宋体" w:hAnsi="宋体" w:cs="宋体"/>
          <w:szCs w:val="20"/>
          <w:highlight w:val="none"/>
          <w:u w:val="single"/>
        </w:rPr>
      </w:pPr>
      <w:r>
        <w:rPr>
          <w:rFonts w:hint="eastAsia" w:ascii="宋体" w:hAnsi="宋体" w:cs="宋体"/>
          <w:szCs w:val="20"/>
          <w:highlight w:val="none"/>
        </w:rPr>
        <w:t>开户名称：</w:t>
      </w:r>
      <w:r>
        <w:rPr>
          <w:rFonts w:hint="eastAsia" w:ascii="宋体" w:hAnsi="宋体" w:cs="宋体"/>
          <w:szCs w:val="20"/>
          <w:highlight w:val="none"/>
          <w:u w:val="single"/>
        </w:rPr>
        <w:t xml:space="preserve">                                                    </w:t>
      </w:r>
    </w:p>
    <w:p w14:paraId="33BAB7BC">
      <w:pPr>
        <w:spacing w:line="360" w:lineRule="auto"/>
        <w:ind w:firstLine="315"/>
        <w:rPr>
          <w:rFonts w:ascii="宋体" w:hAnsi="宋体" w:cs="宋体"/>
          <w:szCs w:val="20"/>
          <w:highlight w:val="none"/>
          <w:u w:val="single"/>
        </w:rPr>
      </w:pPr>
      <w:r>
        <w:rPr>
          <w:rFonts w:hint="eastAsia" w:ascii="宋体" w:hAnsi="宋体" w:cs="宋体"/>
          <w:szCs w:val="20"/>
          <w:highlight w:val="none"/>
        </w:rPr>
        <w:t>开户银行：</w:t>
      </w:r>
      <w:r>
        <w:rPr>
          <w:rFonts w:hint="eastAsia" w:ascii="宋体" w:hAnsi="宋体" w:cs="宋体"/>
          <w:szCs w:val="20"/>
          <w:highlight w:val="none"/>
          <w:u w:val="single"/>
        </w:rPr>
        <w:t xml:space="preserve">                                                    </w:t>
      </w:r>
    </w:p>
    <w:p w14:paraId="4E23AE1C">
      <w:pPr>
        <w:spacing w:line="360" w:lineRule="auto"/>
        <w:ind w:firstLine="315"/>
        <w:rPr>
          <w:rFonts w:ascii="宋体" w:hAnsi="宋体" w:cs="宋体"/>
          <w:szCs w:val="20"/>
          <w:highlight w:val="none"/>
          <w:u w:val="single"/>
        </w:rPr>
      </w:pPr>
      <w:r>
        <w:rPr>
          <w:rFonts w:hint="eastAsia" w:ascii="宋体" w:hAnsi="宋体" w:cs="宋体"/>
          <w:szCs w:val="20"/>
          <w:highlight w:val="none"/>
        </w:rPr>
        <w:t>银行账号：</w:t>
      </w:r>
      <w:r>
        <w:rPr>
          <w:rFonts w:hint="eastAsia" w:ascii="宋体" w:hAnsi="宋体" w:cs="宋体"/>
          <w:szCs w:val="20"/>
          <w:highlight w:val="none"/>
          <w:u w:val="single"/>
        </w:rPr>
        <w:t xml:space="preserve">                                                    </w:t>
      </w:r>
    </w:p>
    <w:p w14:paraId="20D6A233">
      <w:pPr>
        <w:snapToGrid w:val="0"/>
        <w:spacing w:line="360" w:lineRule="auto"/>
        <w:ind w:firstLine="5040" w:firstLineChars="2100"/>
        <w:rPr>
          <w:rFonts w:ascii="宋体" w:hAnsi="宋体" w:cs="宋体"/>
          <w:kern w:val="0"/>
          <w:sz w:val="24"/>
          <w:highlight w:val="none"/>
          <w:lang w:val="zh-CN"/>
        </w:rPr>
      </w:pPr>
    </w:p>
    <w:p w14:paraId="580046FE">
      <w:pPr>
        <w:snapToGrid w:val="0"/>
        <w:spacing w:line="360" w:lineRule="auto"/>
        <w:ind w:firstLine="5040" w:firstLineChars="2100"/>
        <w:rPr>
          <w:rFonts w:ascii="宋体" w:hAnsi="宋体" w:cs="宋体"/>
          <w:kern w:val="0"/>
          <w:sz w:val="24"/>
          <w:highlight w:val="none"/>
          <w:lang w:val="zh-CN"/>
        </w:rPr>
      </w:pPr>
    </w:p>
    <w:p w14:paraId="04154C74">
      <w:pPr>
        <w:snapToGrid w:val="0"/>
        <w:spacing w:line="360" w:lineRule="auto"/>
        <w:ind w:firstLine="4410" w:firstLineChars="2100"/>
        <w:rPr>
          <w:rFonts w:ascii="宋体" w:hAnsi="宋体" w:cs="宋体"/>
          <w:kern w:val="0"/>
          <w:szCs w:val="21"/>
          <w:highlight w:val="none"/>
        </w:rPr>
      </w:pPr>
      <w:r>
        <w:rPr>
          <w:rFonts w:hint="eastAsia" w:ascii="宋体" w:hAnsi="宋体" w:cs="宋体"/>
          <w:kern w:val="0"/>
          <w:szCs w:val="21"/>
          <w:highlight w:val="none"/>
          <w:lang w:val="zh-CN"/>
        </w:rPr>
        <w:t>投标人名称(盖公章)：</w:t>
      </w:r>
    </w:p>
    <w:p w14:paraId="1C6BC669">
      <w:pPr>
        <w:snapToGrid w:val="0"/>
        <w:spacing w:line="360" w:lineRule="auto"/>
        <w:ind w:firstLine="4515" w:firstLineChars="2150"/>
        <w:rPr>
          <w:rFonts w:ascii="宋体" w:hAnsi="宋体" w:cs="宋体"/>
          <w:kern w:val="0"/>
          <w:sz w:val="24"/>
          <w:highlight w:val="none"/>
          <w:lang w:val="zh-CN"/>
        </w:rPr>
      </w:pPr>
      <w:r>
        <w:rPr>
          <w:rFonts w:hint="eastAsia" w:ascii="宋体" w:hAnsi="宋体" w:cs="宋体"/>
          <w:kern w:val="0"/>
          <w:szCs w:val="21"/>
          <w:highlight w:val="none"/>
          <w:lang w:val="zh-CN"/>
        </w:rPr>
        <w:t>日期</w:t>
      </w:r>
      <w:r>
        <w:rPr>
          <w:rFonts w:hint="eastAsia" w:ascii="宋体" w:hAnsi="宋体" w:cs="宋体"/>
          <w:kern w:val="0"/>
          <w:szCs w:val="21"/>
          <w:highlight w:val="none"/>
        </w:rPr>
        <w:t>：  年  月  日</w:t>
      </w:r>
    </w:p>
    <w:p w14:paraId="783528A7">
      <w:pPr>
        <w:spacing w:line="360" w:lineRule="auto"/>
        <w:ind w:firstLine="422"/>
        <w:jc w:val="left"/>
        <w:rPr>
          <w:rFonts w:ascii="宋体" w:hAnsi="宋体" w:cs="宋体"/>
          <w:b/>
          <w:sz w:val="28"/>
          <w:szCs w:val="28"/>
          <w:highlight w:val="none"/>
        </w:rPr>
      </w:pPr>
      <w:r>
        <w:rPr>
          <w:rFonts w:hint="eastAsia" w:ascii="宋体" w:hAnsi="宋体" w:cs="宋体"/>
          <w:b/>
          <w:sz w:val="28"/>
          <w:szCs w:val="28"/>
          <w:highlight w:val="none"/>
        </w:rPr>
        <w:br w:type="page"/>
      </w:r>
      <w:r>
        <w:rPr>
          <w:rFonts w:hint="eastAsia" w:ascii="宋体" w:hAnsi="宋体" w:cs="宋体"/>
          <w:b/>
          <w:sz w:val="28"/>
          <w:szCs w:val="28"/>
          <w:highlight w:val="none"/>
        </w:rPr>
        <w:t>4. 开标一览表的格式：</w:t>
      </w:r>
    </w:p>
    <w:p w14:paraId="3BE4EFC1">
      <w:pPr>
        <w:spacing w:line="360" w:lineRule="auto"/>
        <w:ind w:firstLine="452"/>
        <w:jc w:val="center"/>
        <w:rPr>
          <w:rFonts w:ascii="宋体" w:hAnsi="宋体" w:cs="宋体"/>
          <w:b/>
          <w:sz w:val="30"/>
          <w:szCs w:val="30"/>
          <w:highlight w:val="none"/>
        </w:rPr>
      </w:pPr>
      <w:r>
        <w:rPr>
          <w:rFonts w:hint="eastAsia" w:ascii="宋体" w:hAnsi="宋体" w:cs="宋体"/>
          <w:b/>
          <w:sz w:val="30"/>
          <w:szCs w:val="30"/>
          <w:highlight w:val="none"/>
        </w:rPr>
        <w:t>开标一览表</w:t>
      </w:r>
    </w:p>
    <w:p w14:paraId="33A0AAEE">
      <w:pPr>
        <w:snapToGrid w:val="0"/>
        <w:spacing w:before="50" w:after="50" w:line="480" w:lineRule="auto"/>
        <w:rPr>
          <w:rFonts w:ascii="宋体" w:hAnsi="宋体" w:cs="宋体"/>
          <w:szCs w:val="21"/>
          <w:highlight w:val="none"/>
        </w:rPr>
      </w:pPr>
      <w:r>
        <w:rPr>
          <w:rFonts w:hint="eastAsia" w:ascii="宋体" w:hAnsi="宋体" w:cs="宋体"/>
          <w:szCs w:val="21"/>
          <w:highlight w:val="none"/>
        </w:rPr>
        <w:t>项目名称：</w:t>
      </w:r>
      <w:r>
        <w:rPr>
          <w:rFonts w:hint="eastAsia" w:ascii="宋体" w:hAnsi="宋体" w:cs="宋体"/>
          <w:bCs/>
          <w:szCs w:val="21"/>
          <w:highlight w:val="none"/>
          <w:u w:val="single"/>
        </w:rPr>
        <w:t xml:space="preserve">                              </w:t>
      </w:r>
    </w:p>
    <w:p w14:paraId="0DB4E4F6">
      <w:pPr>
        <w:snapToGrid w:val="0"/>
        <w:spacing w:before="50" w:after="50" w:line="480" w:lineRule="auto"/>
        <w:rPr>
          <w:rFonts w:ascii="宋体" w:hAnsi="宋体" w:cs="宋体"/>
          <w:szCs w:val="21"/>
          <w:highlight w:val="none"/>
          <w:u w:val="single"/>
        </w:rPr>
      </w:pPr>
      <w:r>
        <w:rPr>
          <w:rFonts w:hint="eastAsia" w:ascii="宋体" w:hAnsi="宋体" w:cs="宋体"/>
          <w:szCs w:val="21"/>
          <w:highlight w:val="none"/>
        </w:rPr>
        <w:t>项目编号：</w:t>
      </w:r>
      <w:r>
        <w:rPr>
          <w:rFonts w:hint="eastAsia" w:ascii="宋体" w:hAnsi="宋体" w:cs="宋体"/>
          <w:bCs/>
          <w:szCs w:val="21"/>
          <w:highlight w:val="none"/>
          <w:u w:val="single"/>
        </w:rPr>
        <w:t xml:space="preserve">                              </w:t>
      </w:r>
    </w:p>
    <w:p w14:paraId="4A822CC2">
      <w:pPr>
        <w:spacing w:line="360" w:lineRule="auto"/>
        <w:rPr>
          <w:rFonts w:ascii="宋体" w:hAnsi="宋体" w:cs="宋体"/>
          <w:b/>
          <w:sz w:val="32"/>
          <w:szCs w:val="20"/>
          <w:highlight w:val="none"/>
        </w:rPr>
      </w:pPr>
      <w:r>
        <w:rPr>
          <w:rFonts w:hint="eastAsia" w:ascii="宋体" w:hAnsi="宋体" w:cs="宋体"/>
          <w:szCs w:val="21"/>
          <w:highlight w:val="none"/>
        </w:rPr>
        <w:t>所投分标（如有则填写，无分标时填写“无”或者留空）：</w:t>
      </w:r>
      <w:r>
        <w:rPr>
          <w:rFonts w:hint="eastAsia" w:ascii="宋体" w:hAnsi="宋体" w:cs="宋体"/>
          <w:szCs w:val="21"/>
          <w:highlight w:val="none"/>
          <w:u w:val="single"/>
        </w:rPr>
        <w:t xml:space="preserve">      </w:t>
      </w:r>
    </w:p>
    <w:tbl>
      <w:tblPr>
        <w:tblStyle w:val="28"/>
        <w:tblW w:w="967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443"/>
        <w:gridCol w:w="1167"/>
        <w:gridCol w:w="975"/>
        <w:gridCol w:w="656"/>
        <w:gridCol w:w="753"/>
        <w:gridCol w:w="1313"/>
        <w:gridCol w:w="2012"/>
        <w:gridCol w:w="816"/>
      </w:tblGrid>
      <w:tr w14:paraId="5039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4" w:hRule="atLeast"/>
        </w:trPr>
        <w:tc>
          <w:tcPr>
            <w:tcW w:w="536" w:type="dxa"/>
            <w:tcBorders>
              <w:top w:val="single" w:color="auto" w:sz="4" w:space="0"/>
              <w:left w:val="single" w:color="auto" w:sz="4" w:space="0"/>
              <w:bottom w:val="single" w:color="auto" w:sz="4" w:space="0"/>
              <w:right w:val="single" w:color="auto" w:sz="4" w:space="0"/>
            </w:tcBorders>
            <w:noWrap/>
            <w:vAlign w:val="center"/>
          </w:tcPr>
          <w:p w14:paraId="44291193">
            <w:pPr>
              <w:jc w:val="center"/>
              <w:rPr>
                <w:rFonts w:ascii="宋体" w:hAnsi="宋体" w:cs="宋体"/>
                <w:szCs w:val="22"/>
                <w:highlight w:val="none"/>
              </w:rPr>
            </w:pPr>
            <w:r>
              <w:rPr>
                <w:rFonts w:hint="eastAsia" w:ascii="宋体" w:hAnsi="宋体" w:cs="宋体"/>
                <w:szCs w:val="22"/>
                <w:highlight w:val="none"/>
              </w:rPr>
              <w:t>序号</w:t>
            </w:r>
          </w:p>
        </w:tc>
        <w:tc>
          <w:tcPr>
            <w:tcW w:w="1443" w:type="dxa"/>
            <w:tcBorders>
              <w:top w:val="single" w:color="auto" w:sz="4" w:space="0"/>
              <w:left w:val="single" w:color="auto" w:sz="4" w:space="0"/>
              <w:bottom w:val="single" w:color="auto" w:sz="4" w:space="0"/>
              <w:right w:val="single" w:color="auto" w:sz="4" w:space="0"/>
            </w:tcBorders>
            <w:noWrap/>
            <w:vAlign w:val="center"/>
          </w:tcPr>
          <w:p w14:paraId="42D9E3C3">
            <w:pPr>
              <w:jc w:val="center"/>
              <w:rPr>
                <w:rFonts w:ascii="宋体" w:hAnsi="宋体" w:cs="宋体"/>
                <w:szCs w:val="22"/>
                <w:highlight w:val="none"/>
              </w:rPr>
            </w:pPr>
            <w:r>
              <w:rPr>
                <w:rFonts w:hint="eastAsia" w:ascii="宋体" w:hAnsi="宋体" w:cs="宋体"/>
                <w:szCs w:val="22"/>
                <w:highlight w:val="none"/>
              </w:rPr>
              <w:t>标的名称</w:t>
            </w:r>
          </w:p>
        </w:tc>
        <w:tc>
          <w:tcPr>
            <w:tcW w:w="1167" w:type="dxa"/>
            <w:tcBorders>
              <w:top w:val="single" w:color="auto" w:sz="4" w:space="0"/>
              <w:left w:val="single" w:color="auto" w:sz="4" w:space="0"/>
              <w:bottom w:val="single" w:color="auto" w:sz="4" w:space="0"/>
              <w:right w:val="single" w:color="auto" w:sz="4" w:space="0"/>
            </w:tcBorders>
            <w:noWrap/>
            <w:vAlign w:val="center"/>
          </w:tcPr>
          <w:p w14:paraId="790FD9DC">
            <w:pPr>
              <w:jc w:val="center"/>
              <w:rPr>
                <w:rFonts w:ascii="宋体" w:hAnsi="宋体" w:cs="宋体"/>
                <w:szCs w:val="22"/>
                <w:highlight w:val="none"/>
              </w:rPr>
            </w:pPr>
            <w:r>
              <w:rPr>
                <w:rFonts w:hint="eastAsia" w:ascii="宋体" w:hAnsi="宋体" w:cs="宋体"/>
                <w:szCs w:val="22"/>
                <w:highlight w:val="none"/>
              </w:rPr>
              <w:t>规格型号</w:t>
            </w:r>
          </w:p>
        </w:tc>
        <w:tc>
          <w:tcPr>
            <w:tcW w:w="975" w:type="dxa"/>
            <w:tcBorders>
              <w:top w:val="single" w:color="auto" w:sz="4" w:space="0"/>
              <w:left w:val="single" w:color="auto" w:sz="4" w:space="0"/>
              <w:bottom w:val="single" w:color="auto" w:sz="4" w:space="0"/>
              <w:right w:val="single" w:color="auto" w:sz="4" w:space="0"/>
            </w:tcBorders>
            <w:noWrap/>
            <w:vAlign w:val="center"/>
          </w:tcPr>
          <w:p w14:paraId="3EF8D9AF">
            <w:pPr>
              <w:jc w:val="center"/>
              <w:rPr>
                <w:rFonts w:ascii="宋体" w:hAnsi="宋体" w:cs="宋体"/>
                <w:szCs w:val="22"/>
                <w:highlight w:val="none"/>
              </w:rPr>
            </w:pPr>
            <w:r>
              <w:rPr>
                <w:rFonts w:hint="eastAsia" w:ascii="宋体" w:hAnsi="宋体" w:cs="宋体"/>
                <w:szCs w:val="22"/>
                <w:highlight w:val="none"/>
              </w:rPr>
              <w:t>品牌（如有）、国别及制造商</w:t>
            </w:r>
          </w:p>
        </w:tc>
        <w:tc>
          <w:tcPr>
            <w:tcW w:w="656" w:type="dxa"/>
            <w:tcBorders>
              <w:top w:val="single" w:color="auto" w:sz="4" w:space="0"/>
              <w:left w:val="single" w:color="auto" w:sz="4" w:space="0"/>
              <w:bottom w:val="single" w:color="auto" w:sz="4" w:space="0"/>
              <w:right w:val="single" w:color="auto" w:sz="4" w:space="0"/>
            </w:tcBorders>
            <w:noWrap/>
            <w:vAlign w:val="center"/>
          </w:tcPr>
          <w:p w14:paraId="6235C4E6">
            <w:pPr>
              <w:jc w:val="center"/>
              <w:rPr>
                <w:rFonts w:ascii="宋体" w:hAnsi="宋体" w:cs="宋体"/>
                <w:szCs w:val="22"/>
                <w:highlight w:val="none"/>
              </w:rPr>
            </w:pPr>
            <w:r>
              <w:rPr>
                <w:rFonts w:hint="eastAsia" w:ascii="宋体" w:hAnsi="宋体" w:cs="宋体"/>
                <w:szCs w:val="22"/>
                <w:highlight w:val="none"/>
              </w:rPr>
              <w:t>单位</w:t>
            </w:r>
          </w:p>
        </w:tc>
        <w:tc>
          <w:tcPr>
            <w:tcW w:w="753" w:type="dxa"/>
            <w:tcBorders>
              <w:top w:val="single" w:color="auto" w:sz="4" w:space="0"/>
              <w:left w:val="single" w:color="auto" w:sz="4" w:space="0"/>
              <w:bottom w:val="single" w:color="auto" w:sz="4" w:space="0"/>
              <w:right w:val="single" w:color="auto" w:sz="4" w:space="0"/>
            </w:tcBorders>
            <w:noWrap/>
            <w:vAlign w:val="center"/>
          </w:tcPr>
          <w:p w14:paraId="636CBE59">
            <w:pPr>
              <w:jc w:val="center"/>
              <w:rPr>
                <w:rFonts w:ascii="宋体" w:hAnsi="宋体" w:cs="宋体"/>
                <w:szCs w:val="22"/>
                <w:highlight w:val="none"/>
              </w:rPr>
            </w:pPr>
            <w:r>
              <w:rPr>
                <w:rFonts w:hint="eastAsia" w:ascii="宋体" w:hAnsi="宋体" w:cs="宋体"/>
                <w:szCs w:val="22"/>
                <w:highlight w:val="none"/>
              </w:rPr>
              <w:t>数量①</w:t>
            </w:r>
          </w:p>
        </w:tc>
        <w:tc>
          <w:tcPr>
            <w:tcW w:w="1313" w:type="dxa"/>
            <w:tcBorders>
              <w:top w:val="single" w:color="auto" w:sz="4" w:space="0"/>
              <w:left w:val="single" w:color="auto" w:sz="4" w:space="0"/>
              <w:bottom w:val="single" w:color="auto" w:sz="4" w:space="0"/>
              <w:right w:val="single" w:color="auto" w:sz="4" w:space="0"/>
            </w:tcBorders>
            <w:noWrap/>
            <w:vAlign w:val="center"/>
          </w:tcPr>
          <w:p w14:paraId="6050E11F">
            <w:pPr>
              <w:jc w:val="center"/>
              <w:rPr>
                <w:rFonts w:ascii="宋体" w:hAnsi="宋体" w:cs="宋体"/>
                <w:szCs w:val="22"/>
                <w:highlight w:val="none"/>
              </w:rPr>
            </w:pPr>
            <w:r>
              <w:rPr>
                <w:rFonts w:hint="eastAsia" w:ascii="宋体" w:hAnsi="宋体" w:cs="宋体"/>
                <w:szCs w:val="22"/>
                <w:highlight w:val="none"/>
              </w:rPr>
              <w:t>单价(元)</w:t>
            </w:r>
          </w:p>
          <w:p w14:paraId="339A67D3">
            <w:pPr>
              <w:jc w:val="center"/>
              <w:rPr>
                <w:rFonts w:ascii="宋体" w:hAnsi="宋体" w:cs="宋体"/>
                <w:szCs w:val="22"/>
                <w:highlight w:val="none"/>
              </w:rPr>
            </w:pPr>
            <w:r>
              <w:rPr>
                <w:rFonts w:hint="eastAsia" w:ascii="宋体" w:hAnsi="宋体" w:cs="宋体"/>
                <w:szCs w:val="22"/>
                <w:highlight w:val="none"/>
              </w:rPr>
              <w:t>②</w:t>
            </w:r>
          </w:p>
        </w:tc>
        <w:tc>
          <w:tcPr>
            <w:tcW w:w="2012" w:type="dxa"/>
            <w:tcBorders>
              <w:top w:val="single" w:color="auto" w:sz="4" w:space="0"/>
              <w:left w:val="single" w:color="auto" w:sz="4" w:space="0"/>
              <w:bottom w:val="single" w:color="auto" w:sz="4" w:space="0"/>
              <w:right w:val="single" w:color="auto" w:sz="4" w:space="0"/>
            </w:tcBorders>
            <w:noWrap/>
            <w:vAlign w:val="center"/>
          </w:tcPr>
          <w:p w14:paraId="1BA23C03">
            <w:pPr>
              <w:jc w:val="center"/>
              <w:rPr>
                <w:rFonts w:ascii="宋体" w:hAnsi="宋体" w:cs="宋体"/>
                <w:szCs w:val="22"/>
                <w:highlight w:val="none"/>
              </w:rPr>
            </w:pPr>
            <w:r>
              <w:rPr>
                <w:rFonts w:hint="eastAsia" w:ascii="宋体" w:hAnsi="宋体" w:cs="宋体"/>
                <w:szCs w:val="22"/>
                <w:highlight w:val="none"/>
              </w:rPr>
              <w:t>单项合计（元）</w:t>
            </w:r>
          </w:p>
          <w:p w14:paraId="47FD7FEA">
            <w:pPr>
              <w:jc w:val="center"/>
              <w:rPr>
                <w:rFonts w:ascii="宋体" w:hAnsi="宋体" w:cs="宋体"/>
                <w:szCs w:val="22"/>
                <w:highlight w:val="none"/>
              </w:rPr>
            </w:pPr>
            <w:r>
              <w:rPr>
                <w:rFonts w:hint="eastAsia" w:ascii="宋体" w:hAnsi="宋体" w:cs="宋体"/>
                <w:szCs w:val="22"/>
                <w:highlight w:val="none"/>
              </w:rPr>
              <w:t>③＝①×②</w:t>
            </w:r>
          </w:p>
        </w:tc>
        <w:tc>
          <w:tcPr>
            <w:tcW w:w="816" w:type="dxa"/>
            <w:tcBorders>
              <w:top w:val="single" w:color="auto" w:sz="4" w:space="0"/>
              <w:left w:val="single" w:color="auto" w:sz="4" w:space="0"/>
              <w:bottom w:val="single" w:color="auto" w:sz="4" w:space="0"/>
              <w:right w:val="single" w:color="auto" w:sz="4" w:space="0"/>
            </w:tcBorders>
            <w:noWrap/>
            <w:vAlign w:val="center"/>
          </w:tcPr>
          <w:p w14:paraId="5184F89D">
            <w:pPr>
              <w:jc w:val="center"/>
              <w:rPr>
                <w:rFonts w:hint="eastAsia" w:eastAsia="宋体"/>
                <w:highlight w:val="none"/>
                <w:lang w:eastAsia="zh-CN"/>
              </w:rPr>
            </w:pPr>
            <w:r>
              <w:rPr>
                <w:rFonts w:hint="eastAsia"/>
                <w:highlight w:val="none"/>
              </w:rPr>
              <w:t>备注</w:t>
            </w:r>
          </w:p>
        </w:tc>
      </w:tr>
      <w:tr w14:paraId="31AC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36" w:type="dxa"/>
            <w:tcBorders>
              <w:top w:val="single" w:color="auto" w:sz="4" w:space="0"/>
              <w:left w:val="single" w:color="auto" w:sz="4" w:space="0"/>
              <w:bottom w:val="single" w:color="auto" w:sz="4" w:space="0"/>
              <w:right w:val="single" w:color="auto" w:sz="4" w:space="0"/>
            </w:tcBorders>
            <w:noWrap/>
            <w:vAlign w:val="center"/>
          </w:tcPr>
          <w:p w14:paraId="2F563967">
            <w:pPr>
              <w:jc w:val="center"/>
              <w:rPr>
                <w:rFonts w:ascii="宋体" w:hAnsi="宋体" w:cs="宋体"/>
                <w:szCs w:val="22"/>
                <w:highlight w:val="none"/>
              </w:rPr>
            </w:pPr>
            <w:r>
              <w:rPr>
                <w:rFonts w:hint="eastAsia" w:ascii="宋体" w:hAnsi="宋体" w:cs="宋体"/>
                <w:szCs w:val="22"/>
                <w:highlight w:val="none"/>
              </w:rPr>
              <w:t>1</w:t>
            </w:r>
          </w:p>
        </w:tc>
        <w:tc>
          <w:tcPr>
            <w:tcW w:w="1443" w:type="dxa"/>
            <w:tcBorders>
              <w:top w:val="single" w:color="auto" w:sz="4" w:space="0"/>
              <w:left w:val="single" w:color="auto" w:sz="4" w:space="0"/>
              <w:bottom w:val="single" w:color="auto" w:sz="4" w:space="0"/>
              <w:right w:val="single" w:color="auto" w:sz="4" w:space="0"/>
            </w:tcBorders>
            <w:noWrap/>
            <w:vAlign w:val="center"/>
          </w:tcPr>
          <w:p w14:paraId="0598AC76">
            <w:pPr>
              <w:rPr>
                <w:rFonts w:ascii="宋体" w:hAnsi="宋体" w:cs="宋体"/>
                <w:szCs w:val="22"/>
                <w:highlight w:val="none"/>
              </w:rPr>
            </w:pPr>
          </w:p>
        </w:tc>
        <w:tc>
          <w:tcPr>
            <w:tcW w:w="1167" w:type="dxa"/>
            <w:tcBorders>
              <w:top w:val="single" w:color="auto" w:sz="4" w:space="0"/>
              <w:left w:val="single" w:color="auto" w:sz="4" w:space="0"/>
              <w:bottom w:val="single" w:color="auto" w:sz="4" w:space="0"/>
              <w:right w:val="single" w:color="auto" w:sz="4" w:space="0"/>
            </w:tcBorders>
            <w:noWrap/>
            <w:vAlign w:val="center"/>
          </w:tcPr>
          <w:p w14:paraId="68C56ED6">
            <w:pPr>
              <w:rPr>
                <w:rFonts w:ascii="宋体" w:hAnsi="宋体" w:cs="宋体"/>
                <w:szCs w:val="22"/>
                <w:highlight w:val="none"/>
              </w:rPr>
            </w:pPr>
          </w:p>
        </w:tc>
        <w:tc>
          <w:tcPr>
            <w:tcW w:w="975" w:type="dxa"/>
            <w:tcBorders>
              <w:top w:val="single" w:color="auto" w:sz="4" w:space="0"/>
              <w:left w:val="single" w:color="auto" w:sz="4" w:space="0"/>
              <w:bottom w:val="single" w:color="auto" w:sz="4" w:space="0"/>
              <w:right w:val="single" w:color="auto" w:sz="4" w:space="0"/>
            </w:tcBorders>
            <w:noWrap/>
            <w:vAlign w:val="center"/>
          </w:tcPr>
          <w:p w14:paraId="4BC12910">
            <w:pPr>
              <w:rPr>
                <w:rFonts w:ascii="宋体" w:hAnsi="宋体" w:cs="宋体"/>
                <w:szCs w:val="22"/>
                <w:highlight w:val="none"/>
              </w:rPr>
            </w:pPr>
          </w:p>
        </w:tc>
        <w:tc>
          <w:tcPr>
            <w:tcW w:w="656" w:type="dxa"/>
            <w:tcBorders>
              <w:top w:val="single" w:color="auto" w:sz="4" w:space="0"/>
              <w:left w:val="single" w:color="auto" w:sz="4" w:space="0"/>
              <w:bottom w:val="single" w:color="auto" w:sz="4" w:space="0"/>
              <w:right w:val="single" w:color="auto" w:sz="4" w:space="0"/>
            </w:tcBorders>
            <w:noWrap/>
            <w:vAlign w:val="center"/>
          </w:tcPr>
          <w:p w14:paraId="08C0BAA2">
            <w:pPr>
              <w:rPr>
                <w:rFonts w:ascii="宋体" w:hAnsi="宋体" w:cs="宋体"/>
                <w:szCs w:val="22"/>
                <w:highlight w:val="none"/>
              </w:rPr>
            </w:pPr>
          </w:p>
        </w:tc>
        <w:tc>
          <w:tcPr>
            <w:tcW w:w="753" w:type="dxa"/>
            <w:tcBorders>
              <w:top w:val="single" w:color="auto" w:sz="4" w:space="0"/>
              <w:left w:val="single" w:color="auto" w:sz="4" w:space="0"/>
              <w:bottom w:val="single" w:color="auto" w:sz="4" w:space="0"/>
              <w:right w:val="single" w:color="auto" w:sz="4" w:space="0"/>
            </w:tcBorders>
            <w:noWrap/>
            <w:vAlign w:val="center"/>
          </w:tcPr>
          <w:p w14:paraId="3E14A86B">
            <w:pPr>
              <w:rPr>
                <w:rFonts w:ascii="宋体" w:hAnsi="宋体" w:cs="宋体"/>
                <w:szCs w:val="22"/>
                <w:highlight w:val="none"/>
              </w:rPr>
            </w:pPr>
          </w:p>
        </w:tc>
        <w:tc>
          <w:tcPr>
            <w:tcW w:w="1313" w:type="dxa"/>
            <w:tcBorders>
              <w:top w:val="single" w:color="auto" w:sz="4" w:space="0"/>
              <w:left w:val="single" w:color="auto" w:sz="4" w:space="0"/>
              <w:bottom w:val="single" w:color="auto" w:sz="4" w:space="0"/>
              <w:right w:val="single" w:color="auto" w:sz="4" w:space="0"/>
            </w:tcBorders>
            <w:noWrap/>
            <w:vAlign w:val="center"/>
          </w:tcPr>
          <w:p w14:paraId="7BA2AC34">
            <w:pPr>
              <w:rPr>
                <w:rFonts w:ascii="宋体" w:hAnsi="宋体" w:cs="宋体"/>
                <w:szCs w:val="22"/>
                <w:highlight w:val="none"/>
              </w:rPr>
            </w:pPr>
          </w:p>
        </w:tc>
        <w:tc>
          <w:tcPr>
            <w:tcW w:w="2012" w:type="dxa"/>
            <w:tcBorders>
              <w:top w:val="single" w:color="auto" w:sz="4" w:space="0"/>
              <w:left w:val="single" w:color="auto" w:sz="4" w:space="0"/>
              <w:bottom w:val="single" w:color="auto" w:sz="4" w:space="0"/>
              <w:right w:val="single" w:color="auto" w:sz="4" w:space="0"/>
            </w:tcBorders>
            <w:noWrap/>
            <w:vAlign w:val="center"/>
          </w:tcPr>
          <w:p w14:paraId="2AE1FAAD">
            <w:pPr>
              <w:rPr>
                <w:rFonts w:ascii="宋体" w:hAnsi="宋体" w:cs="宋体"/>
                <w:szCs w:val="22"/>
                <w:highlight w:val="none"/>
              </w:rPr>
            </w:pPr>
          </w:p>
        </w:tc>
        <w:tc>
          <w:tcPr>
            <w:tcW w:w="816" w:type="dxa"/>
            <w:tcBorders>
              <w:top w:val="single" w:color="auto" w:sz="4" w:space="0"/>
              <w:left w:val="single" w:color="auto" w:sz="4" w:space="0"/>
              <w:bottom w:val="single" w:color="auto" w:sz="4" w:space="0"/>
              <w:right w:val="single" w:color="auto" w:sz="4" w:space="0"/>
            </w:tcBorders>
            <w:noWrap/>
          </w:tcPr>
          <w:p w14:paraId="24EEAD41">
            <w:pPr>
              <w:rPr>
                <w:rFonts w:ascii="宋体" w:hAnsi="宋体" w:cs="宋体"/>
                <w:szCs w:val="22"/>
                <w:highlight w:val="none"/>
              </w:rPr>
            </w:pPr>
          </w:p>
        </w:tc>
      </w:tr>
      <w:tr w14:paraId="1978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36" w:type="dxa"/>
            <w:tcBorders>
              <w:top w:val="single" w:color="auto" w:sz="4" w:space="0"/>
              <w:left w:val="single" w:color="auto" w:sz="4" w:space="0"/>
              <w:bottom w:val="single" w:color="auto" w:sz="4" w:space="0"/>
              <w:right w:val="single" w:color="auto" w:sz="4" w:space="0"/>
            </w:tcBorders>
            <w:noWrap/>
            <w:vAlign w:val="center"/>
          </w:tcPr>
          <w:p w14:paraId="6800E76B">
            <w:pPr>
              <w:jc w:val="center"/>
              <w:rPr>
                <w:rFonts w:ascii="宋体" w:hAnsi="宋体" w:cs="宋体"/>
                <w:szCs w:val="22"/>
                <w:highlight w:val="none"/>
              </w:rPr>
            </w:pPr>
            <w:r>
              <w:rPr>
                <w:rFonts w:hint="eastAsia" w:ascii="宋体" w:hAnsi="宋体" w:cs="宋体"/>
                <w:szCs w:val="22"/>
                <w:highlight w:val="none"/>
              </w:rPr>
              <w:t>2</w:t>
            </w:r>
          </w:p>
        </w:tc>
        <w:tc>
          <w:tcPr>
            <w:tcW w:w="1443" w:type="dxa"/>
            <w:tcBorders>
              <w:top w:val="single" w:color="auto" w:sz="4" w:space="0"/>
              <w:left w:val="single" w:color="auto" w:sz="4" w:space="0"/>
              <w:bottom w:val="single" w:color="auto" w:sz="4" w:space="0"/>
              <w:right w:val="single" w:color="auto" w:sz="4" w:space="0"/>
            </w:tcBorders>
            <w:noWrap/>
            <w:vAlign w:val="center"/>
          </w:tcPr>
          <w:p w14:paraId="5B794188">
            <w:pPr>
              <w:rPr>
                <w:rFonts w:ascii="宋体" w:hAnsi="宋体" w:cs="宋体"/>
                <w:szCs w:val="22"/>
                <w:highlight w:val="none"/>
              </w:rPr>
            </w:pPr>
          </w:p>
        </w:tc>
        <w:tc>
          <w:tcPr>
            <w:tcW w:w="1167" w:type="dxa"/>
            <w:tcBorders>
              <w:top w:val="single" w:color="auto" w:sz="4" w:space="0"/>
              <w:left w:val="single" w:color="auto" w:sz="4" w:space="0"/>
              <w:bottom w:val="single" w:color="auto" w:sz="4" w:space="0"/>
              <w:right w:val="single" w:color="auto" w:sz="4" w:space="0"/>
            </w:tcBorders>
            <w:noWrap/>
            <w:vAlign w:val="center"/>
          </w:tcPr>
          <w:p w14:paraId="05A1DF75">
            <w:pPr>
              <w:rPr>
                <w:rFonts w:ascii="宋体" w:hAnsi="宋体" w:cs="宋体"/>
                <w:szCs w:val="22"/>
                <w:highlight w:val="none"/>
              </w:rPr>
            </w:pPr>
          </w:p>
        </w:tc>
        <w:tc>
          <w:tcPr>
            <w:tcW w:w="975" w:type="dxa"/>
            <w:tcBorders>
              <w:top w:val="single" w:color="auto" w:sz="4" w:space="0"/>
              <w:left w:val="single" w:color="auto" w:sz="4" w:space="0"/>
              <w:bottom w:val="single" w:color="auto" w:sz="4" w:space="0"/>
              <w:right w:val="single" w:color="auto" w:sz="4" w:space="0"/>
            </w:tcBorders>
            <w:noWrap/>
            <w:vAlign w:val="center"/>
          </w:tcPr>
          <w:p w14:paraId="3DF9606E">
            <w:pPr>
              <w:rPr>
                <w:rFonts w:ascii="宋体" w:hAnsi="宋体" w:cs="宋体"/>
                <w:szCs w:val="22"/>
                <w:highlight w:val="none"/>
              </w:rPr>
            </w:pPr>
          </w:p>
        </w:tc>
        <w:tc>
          <w:tcPr>
            <w:tcW w:w="656" w:type="dxa"/>
            <w:tcBorders>
              <w:top w:val="single" w:color="auto" w:sz="4" w:space="0"/>
              <w:left w:val="single" w:color="auto" w:sz="4" w:space="0"/>
              <w:bottom w:val="single" w:color="auto" w:sz="4" w:space="0"/>
              <w:right w:val="single" w:color="auto" w:sz="4" w:space="0"/>
            </w:tcBorders>
            <w:noWrap/>
            <w:vAlign w:val="center"/>
          </w:tcPr>
          <w:p w14:paraId="74ED33EB">
            <w:pPr>
              <w:rPr>
                <w:rFonts w:ascii="宋体" w:hAnsi="宋体" w:cs="宋体"/>
                <w:szCs w:val="22"/>
                <w:highlight w:val="none"/>
              </w:rPr>
            </w:pPr>
          </w:p>
        </w:tc>
        <w:tc>
          <w:tcPr>
            <w:tcW w:w="753" w:type="dxa"/>
            <w:tcBorders>
              <w:top w:val="single" w:color="auto" w:sz="4" w:space="0"/>
              <w:left w:val="single" w:color="auto" w:sz="4" w:space="0"/>
              <w:bottom w:val="single" w:color="auto" w:sz="4" w:space="0"/>
              <w:right w:val="single" w:color="auto" w:sz="4" w:space="0"/>
            </w:tcBorders>
            <w:noWrap/>
            <w:vAlign w:val="center"/>
          </w:tcPr>
          <w:p w14:paraId="08C9694C">
            <w:pPr>
              <w:rPr>
                <w:rFonts w:ascii="宋体" w:hAnsi="宋体" w:cs="宋体"/>
                <w:szCs w:val="22"/>
                <w:highlight w:val="none"/>
              </w:rPr>
            </w:pPr>
          </w:p>
        </w:tc>
        <w:tc>
          <w:tcPr>
            <w:tcW w:w="1313" w:type="dxa"/>
            <w:tcBorders>
              <w:top w:val="single" w:color="auto" w:sz="4" w:space="0"/>
              <w:left w:val="single" w:color="auto" w:sz="4" w:space="0"/>
              <w:bottom w:val="single" w:color="auto" w:sz="4" w:space="0"/>
              <w:right w:val="single" w:color="auto" w:sz="4" w:space="0"/>
            </w:tcBorders>
            <w:noWrap/>
            <w:vAlign w:val="center"/>
          </w:tcPr>
          <w:p w14:paraId="6E39ED84">
            <w:pPr>
              <w:rPr>
                <w:rFonts w:ascii="宋体" w:hAnsi="宋体" w:cs="宋体"/>
                <w:szCs w:val="22"/>
                <w:highlight w:val="none"/>
              </w:rPr>
            </w:pPr>
          </w:p>
        </w:tc>
        <w:tc>
          <w:tcPr>
            <w:tcW w:w="2012" w:type="dxa"/>
            <w:tcBorders>
              <w:top w:val="single" w:color="auto" w:sz="4" w:space="0"/>
              <w:left w:val="single" w:color="auto" w:sz="4" w:space="0"/>
              <w:bottom w:val="single" w:color="auto" w:sz="4" w:space="0"/>
              <w:right w:val="single" w:color="auto" w:sz="4" w:space="0"/>
            </w:tcBorders>
            <w:noWrap/>
            <w:vAlign w:val="center"/>
          </w:tcPr>
          <w:p w14:paraId="2E150253">
            <w:pPr>
              <w:rPr>
                <w:rFonts w:ascii="宋体" w:hAnsi="宋体" w:cs="宋体"/>
                <w:szCs w:val="22"/>
                <w:highlight w:val="none"/>
              </w:rPr>
            </w:pPr>
          </w:p>
        </w:tc>
        <w:tc>
          <w:tcPr>
            <w:tcW w:w="816" w:type="dxa"/>
            <w:tcBorders>
              <w:top w:val="single" w:color="auto" w:sz="4" w:space="0"/>
              <w:left w:val="single" w:color="auto" w:sz="4" w:space="0"/>
              <w:bottom w:val="single" w:color="auto" w:sz="4" w:space="0"/>
              <w:right w:val="single" w:color="auto" w:sz="4" w:space="0"/>
            </w:tcBorders>
            <w:noWrap/>
          </w:tcPr>
          <w:p w14:paraId="4F74BE31">
            <w:pPr>
              <w:rPr>
                <w:rFonts w:ascii="宋体" w:hAnsi="宋体" w:cs="宋体"/>
                <w:szCs w:val="22"/>
                <w:highlight w:val="none"/>
              </w:rPr>
            </w:pPr>
          </w:p>
        </w:tc>
      </w:tr>
      <w:tr w14:paraId="253F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36" w:type="dxa"/>
            <w:tcBorders>
              <w:top w:val="single" w:color="auto" w:sz="4" w:space="0"/>
              <w:left w:val="single" w:color="auto" w:sz="4" w:space="0"/>
              <w:bottom w:val="single" w:color="auto" w:sz="4" w:space="0"/>
              <w:right w:val="single" w:color="auto" w:sz="4" w:space="0"/>
            </w:tcBorders>
            <w:noWrap/>
            <w:vAlign w:val="center"/>
          </w:tcPr>
          <w:p w14:paraId="007B3FBB">
            <w:pPr>
              <w:jc w:val="center"/>
              <w:rPr>
                <w:rFonts w:ascii="宋体" w:hAnsi="宋体" w:cs="宋体"/>
                <w:szCs w:val="22"/>
                <w:highlight w:val="none"/>
              </w:rPr>
            </w:pPr>
            <w:r>
              <w:rPr>
                <w:rFonts w:hint="eastAsia" w:ascii="宋体" w:hAnsi="宋体" w:cs="宋体"/>
                <w:szCs w:val="22"/>
                <w:highlight w:val="none"/>
              </w:rPr>
              <w:t>...</w:t>
            </w:r>
          </w:p>
        </w:tc>
        <w:tc>
          <w:tcPr>
            <w:tcW w:w="1443" w:type="dxa"/>
            <w:tcBorders>
              <w:top w:val="single" w:color="auto" w:sz="4" w:space="0"/>
              <w:left w:val="single" w:color="auto" w:sz="4" w:space="0"/>
              <w:bottom w:val="single" w:color="auto" w:sz="4" w:space="0"/>
              <w:right w:val="single" w:color="auto" w:sz="4" w:space="0"/>
            </w:tcBorders>
            <w:noWrap/>
            <w:vAlign w:val="center"/>
          </w:tcPr>
          <w:p w14:paraId="6D8FC63B">
            <w:pPr>
              <w:rPr>
                <w:rFonts w:ascii="宋体" w:hAnsi="宋体" w:cs="宋体"/>
                <w:szCs w:val="22"/>
                <w:highlight w:val="none"/>
              </w:rPr>
            </w:pPr>
          </w:p>
        </w:tc>
        <w:tc>
          <w:tcPr>
            <w:tcW w:w="1167" w:type="dxa"/>
            <w:tcBorders>
              <w:top w:val="single" w:color="auto" w:sz="4" w:space="0"/>
              <w:left w:val="single" w:color="auto" w:sz="4" w:space="0"/>
              <w:bottom w:val="single" w:color="auto" w:sz="4" w:space="0"/>
              <w:right w:val="single" w:color="auto" w:sz="4" w:space="0"/>
            </w:tcBorders>
            <w:noWrap/>
            <w:vAlign w:val="center"/>
          </w:tcPr>
          <w:p w14:paraId="085DD0EB">
            <w:pPr>
              <w:rPr>
                <w:rFonts w:ascii="宋体" w:hAnsi="宋体" w:cs="宋体"/>
                <w:szCs w:val="22"/>
                <w:highlight w:val="none"/>
              </w:rPr>
            </w:pPr>
          </w:p>
        </w:tc>
        <w:tc>
          <w:tcPr>
            <w:tcW w:w="975" w:type="dxa"/>
            <w:tcBorders>
              <w:top w:val="single" w:color="auto" w:sz="4" w:space="0"/>
              <w:left w:val="single" w:color="auto" w:sz="4" w:space="0"/>
              <w:bottom w:val="single" w:color="auto" w:sz="4" w:space="0"/>
              <w:right w:val="single" w:color="auto" w:sz="4" w:space="0"/>
            </w:tcBorders>
            <w:noWrap/>
            <w:vAlign w:val="center"/>
          </w:tcPr>
          <w:p w14:paraId="5605841B">
            <w:pPr>
              <w:rPr>
                <w:rFonts w:ascii="宋体" w:hAnsi="宋体" w:cs="宋体"/>
                <w:szCs w:val="22"/>
                <w:highlight w:val="none"/>
              </w:rPr>
            </w:pPr>
          </w:p>
        </w:tc>
        <w:tc>
          <w:tcPr>
            <w:tcW w:w="656" w:type="dxa"/>
            <w:tcBorders>
              <w:top w:val="single" w:color="auto" w:sz="4" w:space="0"/>
              <w:left w:val="single" w:color="auto" w:sz="4" w:space="0"/>
              <w:bottom w:val="single" w:color="auto" w:sz="4" w:space="0"/>
              <w:right w:val="single" w:color="auto" w:sz="4" w:space="0"/>
            </w:tcBorders>
            <w:noWrap/>
            <w:vAlign w:val="center"/>
          </w:tcPr>
          <w:p w14:paraId="01A1BA52">
            <w:pPr>
              <w:rPr>
                <w:rFonts w:ascii="宋体" w:hAnsi="宋体" w:cs="宋体"/>
                <w:szCs w:val="22"/>
                <w:highlight w:val="none"/>
              </w:rPr>
            </w:pPr>
          </w:p>
        </w:tc>
        <w:tc>
          <w:tcPr>
            <w:tcW w:w="753" w:type="dxa"/>
            <w:tcBorders>
              <w:top w:val="single" w:color="auto" w:sz="4" w:space="0"/>
              <w:left w:val="single" w:color="auto" w:sz="4" w:space="0"/>
              <w:bottom w:val="single" w:color="auto" w:sz="4" w:space="0"/>
              <w:right w:val="single" w:color="auto" w:sz="4" w:space="0"/>
            </w:tcBorders>
            <w:noWrap/>
            <w:vAlign w:val="center"/>
          </w:tcPr>
          <w:p w14:paraId="22328E27">
            <w:pPr>
              <w:rPr>
                <w:rFonts w:ascii="宋体" w:hAnsi="宋体" w:cs="宋体"/>
                <w:szCs w:val="22"/>
                <w:highlight w:val="none"/>
              </w:rPr>
            </w:pPr>
          </w:p>
        </w:tc>
        <w:tc>
          <w:tcPr>
            <w:tcW w:w="1313" w:type="dxa"/>
            <w:tcBorders>
              <w:top w:val="single" w:color="auto" w:sz="4" w:space="0"/>
              <w:left w:val="single" w:color="auto" w:sz="4" w:space="0"/>
              <w:bottom w:val="single" w:color="auto" w:sz="4" w:space="0"/>
              <w:right w:val="single" w:color="auto" w:sz="4" w:space="0"/>
            </w:tcBorders>
            <w:noWrap/>
            <w:vAlign w:val="center"/>
          </w:tcPr>
          <w:p w14:paraId="17B51DC4">
            <w:pPr>
              <w:rPr>
                <w:rFonts w:ascii="宋体" w:hAnsi="宋体" w:cs="宋体"/>
                <w:szCs w:val="22"/>
                <w:highlight w:val="none"/>
              </w:rPr>
            </w:pPr>
          </w:p>
        </w:tc>
        <w:tc>
          <w:tcPr>
            <w:tcW w:w="2012" w:type="dxa"/>
            <w:tcBorders>
              <w:top w:val="single" w:color="auto" w:sz="4" w:space="0"/>
              <w:left w:val="single" w:color="auto" w:sz="4" w:space="0"/>
              <w:bottom w:val="single" w:color="auto" w:sz="4" w:space="0"/>
              <w:right w:val="single" w:color="auto" w:sz="4" w:space="0"/>
            </w:tcBorders>
            <w:noWrap/>
            <w:vAlign w:val="center"/>
          </w:tcPr>
          <w:p w14:paraId="279BFF34">
            <w:pPr>
              <w:rPr>
                <w:rFonts w:ascii="宋体" w:hAnsi="宋体" w:cs="宋体"/>
                <w:szCs w:val="22"/>
                <w:highlight w:val="none"/>
              </w:rPr>
            </w:pPr>
          </w:p>
        </w:tc>
        <w:tc>
          <w:tcPr>
            <w:tcW w:w="816" w:type="dxa"/>
            <w:tcBorders>
              <w:top w:val="single" w:color="auto" w:sz="4" w:space="0"/>
              <w:left w:val="single" w:color="auto" w:sz="4" w:space="0"/>
              <w:bottom w:val="single" w:color="auto" w:sz="4" w:space="0"/>
              <w:right w:val="single" w:color="auto" w:sz="4" w:space="0"/>
            </w:tcBorders>
            <w:noWrap/>
          </w:tcPr>
          <w:p w14:paraId="379A8BB8">
            <w:pPr>
              <w:rPr>
                <w:rFonts w:ascii="宋体" w:hAnsi="宋体" w:cs="宋体"/>
                <w:szCs w:val="22"/>
                <w:highlight w:val="none"/>
              </w:rPr>
            </w:pPr>
          </w:p>
        </w:tc>
      </w:tr>
      <w:tr w14:paraId="28AD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9" w:hRule="atLeast"/>
        </w:trPr>
        <w:tc>
          <w:tcPr>
            <w:tcW w:w="9671" w:type="dxa"/>
            <w:gridSpan w:val="9"/>
            <w:tcBorders>
              <w:top w:val="single" w:color="auto" w:sz="4" w:space="0"/>
              <w:left w:val="single" w:color="auto" w:sz="4" w:space="0"/>
              <w:bottom w:val="single" w:color="auto" w:sz="4" w:space="0"/>
              <w:right w:val="single" w:color="auto" w:sz="4" w:space="0"/>
            </w:tcBorders>
            <w:noWrap/>
            <w:vAlign w:val="center"/>
          </w:tcPr>
          <w:p w14:paraId="01B87E68">
            <w:pPr>
              <w:spacing w:line="360" w:lineRule="auto"/>
              <w:jc w:val="both"/>
              <w:rPr>
                <w:rFonts w:hint="default" w:ascii="宋体" w:hAnsi="宋体" w:eastAsia="宋体" w:cs="宋体"/>
                <w:szCs w:val="22"/>
                <w:highlight w:val="none"/>
                <w:u w:val="single"/>
                <w:lang w:val="en-US" w:eastAsia="zh-CN"/>
              </w:rPr>
            </w:pPr>
            <w:r>
              <w:rPr>
                <w:rFonts w:hint="eastAsia" w:ascii="宋体" w:hAnsi="宋体" w:cs="宋体"/>
                <w:szCs w:val="22"/>
                <w:highlight w:val="none"/>
              </w:rPr>
              <w:t>报价合计（包含税费等所有费用）：（大写）人民币</w:t>
            </w:r>
            <w:r>
              <w:rPr>
                <w:rFonts w:hint="eastAsia" w:ascii="宋体" w:hAnsi="宋体" w:cs="宋体"/>
                <w:szCs w:val="22"/>
                <w:highlight w:val="none"/>
                <w:u w:val="single"/>
                <w:lang w:val="en-US" w:eastAsia="zh-CN"/>
              </w:rPr>
              <w:t xml:space="preserve">                 </w:t>
            </w:r>
            <w:r>
              <w:rPr>
                <w:rFonts w:hint="eastAsia" w:ascii="宋体" w:hAnsi="宋体" w:cs="宋体"/>
                <w:szCs w:val="22"/>
                <w:highlight w:val="none"/>
              </w:rPr>
              <w:t xml:space="preserve"> （小写）¥ </w:t>
            </w:r>
            <w:r>
              <w:rPr>
                <w:rFonts w:hint="eastAsia" w:ascii="宋体" w:hAnsi="宋体" w:cs="宋体"/>
                <w:szCs w:val="22"/>
                <w:highlight w:val="none"/>
                <w:u w:val="single"/>
                <w:lang w:val="en-US" w:eastAsia="zh-CN"/>
              </w:rPr>
              <w:t xml:space="preserve">              </w:t>
            </w:r>
            <w:r>
              <w:rPr>
                <w:rFonts w:hint="eastAsia" w:ascii="宋体" w:hAnsi="宋体" w:cs="宋体"/>
                <w:szCs w:val="22"/>
                <w:highlight w:val="none"/>
                <w:u w:val="none"/>
                <w:lang w:val="en-US" w:eastAsia="zh-CN"/>
              </w:rPr>
              <w:t>；</w:t>
            </w:r>
          </w:p>
          <w:p w14:paraId="5FF427E6">
            <w:pPr>
              <w:spacing w:line="360" w:lineRule="auto"/>
              <w:jc w:val="both"/>
              <w:rPr>
                <w:rFonts w:ascii="宋体" w:hAnsi="宋体" w:cs="宋体"/>
                <w:szCs w:val="22"/>
                <w:highlight w:val="none"/>
              </w:rPr>
            </w:pPr>
            <w:r>
              <w:rPr>
                <w:rFonts w:hint="eastAsia" w:ascii="宋体" w:hAnsi="宋体" w:cs="宋体"/>
                <w:szCs w:val="21"/>
                <w:highlight w:val="none"/>
                <w:u w:val="single"/>
              </w:rPr>
              <w:t xml:space="preserve">投标货物中，属于优先采购节能产品总值为¥       （具体明细详见附表，附表格式自拟），占本投标报价的比例为    %。属于优先采购环境标志产品总值为¥       （具体明细详见附表，附表格式自拟），占本投标报价的比例为 </w:t>
            </w:r>
            <w:r>
              <w:rPr>
                <w:rFonts w:hint="eastAsia" w:ascii="宋体" w:hAnsi="宋体" w:cs="宋体"/>
                <w:szCs w:val="21"/>
                <w:highlight w:val="none"/>
                <w:u w:val="single"/>
                <w:lang w:val="en-US" w:eastAsia="zh-CN"/>
              </w:rPr>
              <w:t xml:space="preserve">     %。</w:t>
            </w:r>
          </w:p>
        </w:tc>
      </w:tr>
      <w:tr w14:paraId="1B07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71" w:type="dxa"/>
            <w:gridSpan w:val="9"/>
            <w:tcBorders>
              <w:top w:val="single" w:color="auto" w:sz="4" w:space="0"/>
              <w:left w:val="single" w:color="auto" w:sz="4" w:space="0"/>
              <w:bottom w:val="single" w:color="auto" w:sz="4" w:space="0"/>
              <w:right w:val="single" w:color="auto" w:sz="4" w:space="0"/>
            </w:tcBorders>
            <w:noWrap/>
            <w:vAlign w:val="center"/>
          </w:tcPr>
          <w:p w14:paraId="1F3987D1">
            <w:pPr>
              <w:rPr>
                <w:rFonts w:ascii="宋体" w:hAnsi="宋体" w:cs="宋体"/>
                <w:szCs w:val="22"/>
                <w:highlight w:val="none"/>
              </w:rPr>
            </w:pPr>
            <w:r>
              <w:rPr>
                <w:rFonts w:hint="eastAsia" w:ascii="宋体" w:hAnsi="宋体" w:cs="宋体"/>
                <w:szCs w:val="22"/>
                <w:highlight w:val="none"/>
              </w:rPr>
              <w:t>交货时间：</w:t>
            </w:r>
          </w:p>
        </w:tc>
      </w:tr>
    </w:tbl>
    <w:p w14:paraId="32EA4ABD">
      <w:pPr>
        <w:snapToGrid w:val="0"/>
        <w:spacing w:before="50" w:after="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 xml:space="preserve">注： </w:t>
      </w:r>
    </w:p>
    <w:p w14:paraId="3E69502F">
      <w:pPr>
        <w:snapToGrid w:val="0"/>
        <w:spacing w:before="50" w:after="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1、 投标人需按本表格式填写，不得自行更改，也不得留空（备注除外），如有多分标，按分标分别提供开标一览表，必须加盖投标人有效公章，</w:t>
      </w:r>
      <w:r>
        <w:rPr>
          <w:rFonts w:hint="eastAsia" w:ascii="宋体" w:hAnsi="宋体" w:cs="宋体"/>
          <w:b/>
          <w:kern w:val="0"/>
          <w:szCs w:val="21"/>
          <w:highlight w:val="none"/>
          <w:lang w:val="zh-CN"/>
        </w:rPr>
        <w:t>否则其投标作无效标处理。</w:t>
      </w:r>
    </w:p>
    <w:p w14:paraId="06715FEA">
      <w:pPr>
        <w:snapToGrid w:val="0"/>
        <w:spacing w:before="50" w:after="50"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2、本表内容均不能涂改，</w:t>
      </w:r>
      <w:r>
        <w:rPr>
          <w:rFonts w:hint="eastAsia" w:ascii="宋体" w:hAnsi="宋体" w:cs="宋体"/>
          <w:b/>
          <w:kern w:val="0"/>
          <w:szCs w:val="21"/>
          <w:highlight w:val="none"/>
          <w:lang w:val="zh-CN"/>
        </w:rPr>
        <w:t>否则其投标作无效标处理。</w:t>
      </w:r>
    </w:p>
    <w:p w14:paraId="1A1B3406">
      <w:pPr>
        <w:snapToGrid w:val="0"/>
        <w:spacing w:before="50" w:after="50" w:line="360" w:lineRule="auto"/>
        <w:ind w:firstLine="420" w:firstLineChars="200"/>
        <w:jc w:val="left"/>
        <w:rPr>
          <w:rFonts w:ascii="宋体" w:hAnsi="宋体" w:cs="宋体"/>
          <w:b/>
          <w:kern w:val="0"/>
          <w:szCs w:val="21"/>
          <w:highlight w:val="none"/>
          <w:lang w:val="zh-CN"/>
        </w:rPr>
      </w:pPr>
      <w:r>
        <w:rPr>
          <w:rFonts w:hint="eastAsia" w:ascii="宋体" w:hAnsi="宋体" w:cs="宋体"/>
          <w:kern w:val="0"/>
          <w:szCs w:val="21"/>
          <w:highlight w:val="none"/>
          <w:lang w:val="zh-CN"/>
        </w:rPr>
        <w:t>3、如为联合体投标，“投标人名称”处必须列明联合体各方名称，并标注联合体牵头人名称，且盖章处须加盖联合体各方公章，</w:t>
      </w:r>
      <w:r>
        <w:rPr>
          <w:rFonts w:hint="eastAsia" w:ascii="宋体" w:hAnsi="宋体" w:cs="宋体"/>
          <w:b/>
          <w:kern w:val="0"/>
          <w:szCs w:val="21"/>
          <w:highlight w:val="none"/>
          <w:lang w:val="zh-CN"/>
        </w:rPr>
        <w:t>否则其投标作无效标处理。</w:t>
      </w:r>
    </w:p>
    <w:p w14:paraId="1152BE4C">
      <w:pPr>
        <w:snapToGrid w:val="0"/>
        <w:spacing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4、以上表格要求细分项目及报价，在“标的名称”一栏中，填写具体货物，在“规格型号”一栏中，填写具体货物规格和型号，如为定制产品写“定制”，</w:t>
      </w:r>
      <w:r>
        <w:rPr>
          <w:rFonts w:hint="eastAsia" w:ascii="宋体" w:hAnsi="宋体" w:cs="宋体"/>
          <w:b/>
          <w:kern w:val="0"/>
          <w:szCs w:val="21"/>
          <w:highlight w:val="none"/>
          <w:lang w:val="zh-CN"/>
        </w:rPr>
        <w:t>否则其投标作无效标处理。</w:t>
      </w:r>
    </w:p>
    <w:p w14:paraId="7E21FF76">
      <w:pPr>
        <w:snapToGrid w:val="0"/>
        <w:spacing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5、特别提示：采购代理机构将对项目名称和项目编号，中标人名称、地址和中标金额，主要中标标的的名称、规格型号、数量、单价等予以公示。</w:t>
      </w:r>
    </w:p>
    <w:p w14:paraId="5C21287F">
      <w:pPr>
        <w:snapToGrid w:val="0"/>
        <w:spacing w:line="360" w:lineRule="auto"/>
        <w:ind w:firstLine="420" w:firstLineChars="200"/>
        <w:jc w:val="left"/>
        <w:rPr>
          <w:rFonts w:ascii="宋体" w:hAnsi="宋体" w:cs="宋体"/>
          <w:kern w:val="0"/>
          <w:szCs w:val="21"/>
          <w:highlight w:val="none"/>
          <w:lang w:val="zh-CN"/>
        </w:rPr>
      </w:pPr>
      <w:r>
        <w:rPr>
          <w:rFonts w:hint="eastAsia" w:ascii="宋体" w:hAnsi="宋体" w:cs="宋体"/>
          <w:kern w:val="0"/>
          <w:szCs w:val="21"/>
          <w:highlight w:val="none"/>
          <w:lang w:val="zh-CN"/>
        </w:rPr>
        <w:t>6、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34D52DF">
      <w:pPr>
        <w:snapToGrid w:val="0"/>
        <w:spacing w:line="360" w:lineRule="auto"/>
        <w:ind w:firstLine="420" w:firstLineChars="200"/>
        <w:jc w:val="left"/>
        <w:rPr>
          <w:rFonts w:ascii="宋体" w:hAnsi="宋体" w:cs="宋体"/>
          <w:kern w:val="0"/>
          <w:szCs w:val="21"/>
          <w:highlight w:val="none"/>
          <w:lang w:val="zh-CN"/>
        </w:rPr>
      </w:pPr>
    </w:p>
    <w:p w14:paraId="173A208B">
      <w:pPr>
        <w:snapToGrid w:val="0"/>
        <w:spacing w:line="360" w:lineRule="auto"/>
        <w:ind w:firstLine="5760" w:firstLineChars="2400"/>
        <w:rPr>
          <w:rFonts w:ascii="宋体" w:hAnsi="宋体" w:cs="宋体"/>
          <w:kern w:val="0"/>
          <w:sz w:val="24"/>
          <w:highlight w:val="none"/>
        </w:rPr>
      </w:pPr>
      <w:r>
        <w:rPr>
          <w:rFonts w:hint="eastAsia" w:ascii="宋体" w:hAnsi="宋体" w:cs="宋体"/>
          <w:kern w:val="0"/>
          <w:sz w:val="24"/>
          <w:highlight w:val="none"/>
          <w:lang w:val="zh-CN"/>
        </w:rPr>
        <w:t>投标人名称(盖公章)：</w:t>
      </w:r>
    </w:p>
    <w:p w14:paraId="30DF4BBE">
      <w:pPr>
        <w:spacing w:line="360" w:lineRule="auto"/>
        <w:ind w:firstLine="360"/>
        <w:jc w:val="right"/>
        <w:rPr>
          <w:rFonts w:ascii="宋体" w:hAnsi="宋体" w:cs="宋体"/>
          <w:kern w:val="0"/>
          <w:sz w:val="24"/>
          <w:highlight w:val="none"/>
        </w:rPr>
      </w:pPr>
      <w:r>
        <w:rPr>
          <w:rFonts w:hint="eastAsia" w:ascii="宋体" w:hAnsi="宋体" w:cs="宋体"/>
          <w:kern w:val="0"/>
          <w:sz w:val="24"/>
          <w:highlight w:val="none"/>
          <w:lang w:val="zh-CN"/>
        </w:rPr>
        <w:t>日期</w:t>
      </w:r>
      <w:r>
        <w:rPr>
          <w:rFonts w:hint="eastAsia" w:ascii="宋体" w:hAnsi="宋体" w:cs="宋体"/>
          <w:kern w:val="0"/>
          <w:sz w:val="24"/>
          <w:highlight w:val="none"/>
        </w:rPr>
        <w:t>：  年  月  日</w:t>
      </w:r>
    </w:p>
    <w:p w14:paraId="74A1382F">
      <w:pPr>
        <w:ind w:firstLine="360"/>
        <w:rPr>
          <w:rFonts w:ascii="宋体" w:hAnsi="宋体" w:cs="宋体"/>
          <w:b/>
          <w:bCs/>
          <w:sz w:val="28"/>
          <w:szCs w:val="28"/>
          <w:highlight w:val="none"/>
        </w:rPr>
      </w:pPr>
      <w:bookmarkStart w:id="267" w:name="_Toc8131"/>
      <w:bookmarkStart w:id="268" w:name="_Toc26722"/>
      <w:bookmarkStart w:id="269" w:name="_Toc24690"/>
      <w:bookmarkStart w:id="270" w:name="_Toc19036"/>
      <w:bookmarkStart w:id="271" w:name="_Toc12749"/>
      <w:bookmarkStart w:id="272" w:name="_Toc19686840"/>
      <w:r>
        <w:rPr>
          <w:rFonts w:hint="eastAsia" w:ascii="宋体" w:hAnsi="宋体" w:cs="宋体"/>
          <w:b/>
          <w:bCs/>
          <w:sz w:val="28"/>
          <w:szCs w:val="28"/>
          <w:highlight w:val="none"/>
        </w:rPr>
        <w:t>第六节 其他文书、文件格式</w:t>
      </w:r>
      <w:bookmarkEnd w:id="267"/>
      <w:bookmarkEnd w:id="268"/>
      <w:bookmarkEnd w:id="269"/>
      <w:bookmarkEnd w:id="270"/>
      <w:bookmarkEnd w:id="271"/>
      <w:bookmarkEnd w:id="272"/>
    </w:p>
    <w:p w14:paraId="17EA0CA8">
      <w:pPr>
        <w:ind w:firstLine="422"/>
        <w:jc w:val="left"/>
        <w:rPr>
          <w:rFonts w:ascii="宋体" w:hAnsi="宋体" w:cs="宋体"/>
          <w:b/>
          <w:sz w:val="28"/>
          <w:szCs w:val="28"/>
          <w:highlight w:val="none"/>
        </w:rPr>
      </w:pPr>
    </w:p>
    <w:p w14:paraId="75F96A40">
      <w:pPr>
        <w:ind w:firstLine="422"/>
        <w:jc w:val="left"/>
        <w:rPr>
          <w:rFonts w:ascii="宋体" w:hAnsi="宋体" w:cs="宋体"/>
          <w:b/>
          <w:sz w:val="28"/>
          <w:szCs w:val="28"/>
          <w:highlight w:val="none"/>
        </w:rPr>
      </w:pPr>
      <w:r>
        <w:rPr>
          <w:rFonts w:hint="eastAsia" w:ascii="宋体" w:hAnsi="宋体" w:cs="宋体"/>
          <w:b/>
          <w:sz w:val="28"/>
          <w:szCs w:val="28"/>
          <w:highlight w:val="none"/>
        </w:rPr>
        <w:t>1.中小企业声明函的格式：</w:t>
      </w:r>
    </w:p>
    <w:p w14:paraId="64641857">
      <w:pPr>
        <w:ind w:firstLine="452"/>
        <w:rPr>
          <w:rFonts w:ascii="宋体" w:hAnsi="宋体" w:cs="宋体"/>
          <w:b/>
          <w:sz w:val="30"/>
          <w:szCs w:val="30"/>
          <w:highlight w:val="none"/>
        </w:rPr>
      </w:pPr>
    </w:p>
    <w:p w14:paraId="493B5CE3">
      <w:pPr>
        <w:ind w:firstLine="452"/>
        <w:jc w:val="center"/>
        <w:rPr>
          <w:b/>
          <w:sz w:val="30"/>
          <w:szCs w:val="30"/>
          <w:highlight w:val="none"/>
        </w:rPr>
      </w:pPr>
      <w:r>
        <w:rPr>
          <w:rFonts w:hint="eastAsia"/>
          <w:b/>
          <w:sz w:val="30"/>
          <w:szCs w:val="30"/>
          <w:highlight w:val="none"/>
        </w:rPr>
        <w:t>中小企业声明函</w:t>
      </w:r>
    </w:p>
    <w:p w14:paraId="335DE7DF">
      <w:pPr>
        <w:ind w:firstLine="404" w:firstLineChars="200"/>
        <w:rPr>
          <w:rFonts w:hAnsi="宋体"/>
          <w:spacing w:val="-4"/>
          <w:szCs w:val="21"/>
          <w:highlight w:val="none"/>
        </w:rPr>
      </w:pPr>
    </w:p>
    <w:p w14:paraId="1D758203">
      <w:pPr>
        <w:spacing w:line="360" w:lineRule="exact"/>
        <w:ind w:firstLine="404" w:firstLineChars="200"/>
        <w:rPr>
          <w:rFonts w:ascii="宋体" w:hAnsi="宋体" w:cs="宋体"/>
          <w:spacing w:val="-4"/>
          <w:szCs w:val="21"/>
          <w:highlight w:val="none"/>
        </w:rPr>
      </w:pPr>
    </w:p>
    <w:p w14:paraId="70531858">
      <w:pPr>
        <w:spacing w:after="120" w:line="360" w:lineRule="exact"/>
        <w:ind w:left="0" w:leftChars="0" w:right="142" w:firstLine="420" w:firstLineChars="200"/>
        <w:contextualSpacing/>
        <w:rPr>
          <w:rFonts w:ascii="宋体" w:hAnsi="宋体" w:cs="宋体"/>
          <w:kern w:val="24"/>
          <w:sz w:val="21"/>
          <w:szCs w:val="21"/>
          <w:highlight w:val="none"/>
        </w:rPr>
      </w:pPr>
      <w:r>
        <w:rPr>
          <w:rFonts w:hint="eastAsia" w:ascii="宋体" w:hAnsi="宋体" w:cs="宋体"/>
          <w:kern w:val="24"/>
          <w:sz w:val="21"/>
          <w:szCs w:val="21"/>
          <w:highlight w:val="none"/>
        </w:rPr>
        <w:t>本公司（联合体）郑重声明，根据《政府采购促进中小企业发展管理办法》（财库﹝2020﹞46号）的规定，本公司（联合体）参加</w:t>
      </w:r>
      <w:r>
        <w:rPr>
          <w:rFonts w:hint="eastAsia" w:ascii="宋体" w:hAnsi="宋体" w:cs="宋体"/>
          <w:i/>
          <w:iCs/>
          <w:kern w:val="24"/>
          <w:sz w:val="21"/>
          <w:szCs w:val="21"/>
          <w:highlight w:val="none"/>
          <w:u w:val="single"/>
        </w:rPr>
        <w:t>（单位名称）</w:t>
      </w:r>
      <w:r>
        <w:rPr>
          <w:rFonts w:hint="eastAsia" w:ascii="宋体" w:hAnsi="宋体" w:cs="宋体"/>
          <w:kern w:val="24"/>
          <w:sz w:val="21"/>
          <w:szCs w:val="21"/>
          <w:highlight w:val="none"/>
        </w:rPr>
        <w:t>的</w:t>
      </w:r>
      <w:r>
        <w:rPr>
          <w:rFonts w:hint="eastAsia" w:ascii="宋体" w:hAnsi="宋体" w:cs="宋体"/>
          <w:i/>
          <w:iCs/>
          <w:kern w:val="24"/>
          <w:sz w:val="21"/>
          <w:szCs w:val="21"/>
          <w:highlight w:val="none"/>
          <w:u w:val="single"/>
        </w:rPr>
        <w:t>（项目名称）</w:t>
      </w:r>
      <w:r>
        <w:rPr>
          <w:rFonts w:hint="eastAsia" w:ascii="宋体" w:hAnsi="宋体" w:cs="宋体"/>
          <w:kern w:val="24"/>
          <w:sz w:val="21"/>
          <w:szCs w:val="21"/>
          <w:highlight w:val="none"/>
        </w:rPr>
        <w:t>采购活动，提供的货物全部由符合政策要求的中小企业制造。相关企业（含联合体中的中小企业、签订分包意向协议的中小企业）的具体情况如下：</w:t>
      </w:r>
    </w:p>
    <w:p w14:paraId="1962BA24">
      <w:pPr>
        <w:tabs>
          <w:tab w:val="left" w:pos="1384"/>
          <w:tab w:val="left" w:pos="4562"/>
          <w:tab w:val="left" w:pos="6803"/>
        </w:tabs>
        <w:spacing w:line="360" w:lineRule="exact"/>
        <w:ind w:left="0" w:leftChars="0" w:right="-58" w:firstLine="420" w:firstLineChars="200"/>
        <w:contextualSpacing/>
        <w:rPr>
          <w:rFonts w:ascii="宋体" w:hAnsi="宋体" w:cs="宋体"/>
          <w:kern w:val="24"/>
          <w:sz w:val="21"/>
          <w:szCs w:val="21"/>
          <w:highlight w:val="none"/>
        </w:rPr>
      </w:pPr>
      <w:r>
        <w:rPr>
          <w:rFonts w:hint="eastAsia" w:ascii="宋体" w:hAnsi="宋体" w:cs="宋体"/>
          <w:kern w:val="24"/>
          <w:sz w:val="21"/>
          <w:szCs w:val="21"/>
          <w:highlight w:val="none"/>
        </w:rPr>
        <w:t>1.</w:t>
      </w:r>
      <w:r>
        <w:rPr>
          <w:rFonts w:hint="eastAsia" w:ascii="宋体" w:hAnsi="宋体" w:cs="宋体"/>
          <w:i/>
          <w:iCs/>
          <w:kern w:val="24"/>
          <w:sz w:val="21"/>
          <w:szCs w:val="21"/>
          <w:highlight w:val="none"/>
          <w:u w:val="single"/>
        </w:rPr>
        <w:t>（标的名称）</w:t>
      </w:r>
      <w:r>
        <w:rPr>
          <w:rFonts w:hint="eastAsia" w:ascii="宋体" w:hAnsi="宋体" w:cs="宋体"/>
          <w:kern w:val="24"/>
          <w:sz w:val="21"/>
          <w:szCs w:val="21"/>
          <w:highlight w:val="none"/>
        </w:rPr>
        <w:t>，属于</w:t>
      </w:r>
      <w:r>
        <w:rPr>
          <w:rFonts w:hint="eastAsia" w:ascii="宋体" w:hAnsi="宋体" w:cs="宋体"/>
          <w:i/>
          <w:iCs/>
          <w:kern w:val="24"/>
          <w:sz w:val="21"/>
          <w:szCs w:val="21"/>
          <w:highlight w:val="none"/>
          <w:u w:val="single"/>
        </w:rPr>
        <w:t>（采购文件中明确的所属行业）行业</w:t>
      </w:r>
      <w:r>
        <w:rPr>
          <w:rFonts w:hint="eastAsia" w:ascii="宋体" w:hAnsi="宋体" w:cs="宋体"/>
          <w:kern w:val="24"/>
          <w:sz w:val="21"/>
          <w:szCs w:val="21"/>
          <w:highlight w:val="none"/>
        </w:rPr>
        <w:t>；制造商为</w:t>
      </w:r>
      <w:r>
        <w:rPr>
          <w:rFonts w:hint="eastAsia" w:ascii="宋体" w:hAnsi="宋体" w:cs="宋体"/>
          <w:i/>
          <w:iCs/>
          <w:kern w:val="24"/>
          <w:sz w:val="21"/>
          <w:szCs w:val="21"/>
          <w:highlight w:val="none"/>
          <w:u w:val="single"/>
        </w:rPr>
        <w:t>（企业名称）</w:t>
      </w:r>
      <w:r>
        <w:rPr>
          <w:rFonts w:hint="eastAsia" w:ascii="宋体" w:hAnsi="宋体" w:cs="宋体"/>
          <w:kern w:val="24"/>
          <w:sz w:val="21"/>
          <w:szCs w:val="21"/>
          <w:highlight w:val="none"/>
        </w:rPr>
        <w:t>，从业人员</w:t>
      </w:r>
      <w:r>
        <w:rPr>
          <w:rFonts w:hint="eastAsia" w:ascii="宋体" w:hAnsi="宋体" w:cs="宋体"/>
          <w:kern w:val="24"/>
          <w:sz w:val="21"/>
          <w:szCs w:val="21"/>
          <w:highlight w:val="none"/>
          <w:u w:val="single"/>
        </w:rPr>
        <w:t xml:space="preserve">      </w:t>
      </w:r>
      <w:r>
        <w:rPr>
          <w:rFonts w:hint="eastAsia" w:ascii="宋体" w:hAnsi="宋体" w:cs="宋体"/>
          <w:kern w:val="24"/>
          <w:sz w:val="21"/>
          <w:szCs w:val="21"/>
          <w:highlight w:val="none"/>
        </w:rPr>
        <w:t>人，营业收入为</w:t>
      </w:r>
      <w:r>
        <w:rPr>
          <w:rFonts w:hint="eastAsia" w:ascii="宋体" w:hAnsi="宋体" w:cs="宋体"/>
          <w:kern w:val="24"/>
          <w:sz w:val="21"/>
          <w:szCs w:val="21"/>
          <w:highlight w:val="none"/>
          <w:u w:val="single"/>
        </w:rPr>
        <w:t xml:space="preserve">      </w:t>
      </w:r>
      <w:r>
        <w:rPr>
          <w:rFonts w:hint="eastAsia" w:ascii="宋体" w:hAnsi="宋体" w:cs="宋体"/>
          <w:kern w:val="24"/>
          <w:sz w:val="21"/>
          <w:szCs w:val="21"/>
          <w:highlight w:val="none"/>
        </w:rPr>
        <w:t>万元，资产总额为</w:t>
      </w:r>
      <w:r>
        <w:rPr>
          <w:rFonts w:hint="eastAsia" w:ascii="宋体" w:hAnsi="宋体" w:cs="宋体"/>
          <w:kern w:val="24"/>
          <w:sz w:val="21"/>
          <w:szCs w:val="21"/>
          <w:highlight w:val="none"/>
          <w:u w:val="single"/>
        </w:rPr>
        <w:t xml:space="preserve">      </w:t>
      </w:r>
      <w:r>
        <w:rPr>
          <w:rFonts w:hint="eastAsia" w:ascii="宋体" w:hAnsi="宋体" w:cs="宋体"/>
          <w:kern w:val="24"/>
          <w:sz w:val="21"/>
          <w:szCs w:val="21"/>
          <w:highlight w:val="none"/>
        </w:rPr>
        <w:t>万元，属于</w:t>
      </w:r>
      <w:r>
        <w:rPr>
          <w:rFonts w:hint="eastAsia" w:ascii="宋体" w:hAnsi="宋体" w:cs="宋体"/>
          <w:i/>
          <w:iCs/>
          <w:kern w:val="24"/>
          <w:sz w:val="21"/>
          <w:szCs w:val="21"/>
          <w:highlight w:val="none"/>
          <w:u w:val="single"/>
        </w:rPr>
        <w:t>（中型企业、小型企业、微型企业）</w:t>
      </w:r>
      <w:r>
        <w:rPr>
          <w:rFonts w:hint="eastAsia" w:ascii="宋体" w:hAnsi="宋体" w:cs="宋体"/>
          <w:kern w:val="24"/>
          <w:sz w:val="21"/>
          <w:szCs w:val="21"/>
          <w:highlight w:val="none"/>
        </w:rPr>
        <w:t>；</w:t>
      </w:r>
    </w:p>
    <w:p w14:paraId="4B420ED9">
      <w:pPr>
        <w:tabs>
          <w:tab w:val="left" w:pos="1065"/>
          <w:tab w:val="left" w:pos="6477"/>
        </w:tabs>
        <w:spacing w:line="360" w:lineRule="exact"/>
        <w:ind w:left="0" w:leftChars="0" w:right="-58" w:firstLine="420" w:firstLineChars="200"/>
        <w:contextualSpacing/>
        <w:rPr>
          <w:rFonts w:ascii="宋体" w:hAnsi="宋体" w:cs="宋体"/>
          <w:kern w:val="24"/>
          <w:sz w:val="21"/>
          <w:szCs w:val="21"/>
          <w:highlight w:val="none"/>
        </w:rPr>
      </w:pPr>
      <w:r>
        <w:rPr>
          <w:rFonts w:hint="eastAsia" w:ascii="宋体" w:hAnsi="宋体" w:cs="宋体"/>
          <w:kern w:val="24"/>
          <w:sz w:val="21"/>
          <w:szCs w:val="21"/>
          <w:highlight w:val="none"/>
        </w:rPr>
        <w:t>2.</w:t>
      </w:r>
      <w:r>
        <w:rPr>
          <w:rFonts w:hint="eastAsia" w:ascii="宋体" w:hAnsi="宋体" w:cs="宋体"/>
          <w:i/>
          <w:iCs/>
          <w:kern w:val="24"/>
          <w:sz w:val="21"/>
          <w:szCs w:val="21"/>
          <w:highlight w:val="none"/>
          <w:u w:val="single"/>
        </w:rPr>
        <w:t>（标的名称）</w:t>
      </w:r>
      <w:r>
        <w:rPr>
          <w:rFonts w:hint="eastAsia" w:ascii="宋体" w:hAnsi="宋体" w:cs="宋体"/>
          <w:kern w:val="24"/>
          <w:sz w:val="21"/>
          <w:szCs w:val="21"/>
          <w:highlight w:val="none"/>
        </w:rPr>
        <w:t>，属于</w:t>
      </w:r>
      <w:r>
        <w:rPr>
          <w:rFonts w:hint="eastAsia" w:ascii="宋体" w:hAnsi="宋体" w:cs="宋体"/>
          <w:i/>
          <w:iCs/>
          <w:kern w:val="24"/>
          <w:sz w:val="21"/>
          <w:szCs w:val="21"/>
          <w:highlight w:val="none"/>
          <w:u w:val="single"/>
        </w:rPr>
        <w:t>（采购文件中明确的所属行业）行业</w:t>
      </w:r>
      <w:r>
        <w:rPr>
          <w:rFonts w:hint="eastAsia" w:ascii="宋体" w:hAnsi="宋体" w:cs="宋体"/>
          <w:kern w:val="24"/>
          <w:sz w:val="21"/>
          <w:szCs w:val="21"/>
          <w:highlight w:val="none"/>
        </w:rPr>
        <w:t>；制造商为</w:t>
      </w:r>
      <w:r>
        <w:rPr>
          <w:rFonts w:hint="eastAsia" w:ascii="宋体" w:hAnsi="宋体" w:cs="宋体"/>
          <w:i/>
          <w:iCs/>
          <w:kern w:val="24"/>
          <w:sz w:val="21"/>
          <w:szCs w:val="21"/>
          <w:highlight w:val="none"/>
          <w:u w:val="single"/>
        </w:rPr>
        <w:t>（企业名称）</w:t>
      </w:r>
      <w:r>
        <w:rPr>
          <w:rFonts w:hint="eastAsia" w:ascii="宋体" w:hAnsi="宋体" w:cs="宋体"/>
          <w:kern w:val="24"/>
          <w:sz w:val="21"/>
          <w:szCs w:val="21"/>
          <w:highlight w:val="none"/>
        </w:rPr>
        <w:t>，从业人员</w:t>
      </w:r>
      <w:r>
        <w:rPr>
          <w:rFonts w:hint="eastAsia" w:ascii="宋体" w:hAnsi="宋体" w:cs="宋体"/>
          <w:kern w:val="24"/>
          <w:sz w:val="21"/>
          <w:szCs w:val="21"/>
          <w:highlight w:val="none"/>
          <w:u w:val="single"/>
        </w:rPr>
        <w:t xml:space="preserve">      </w:t>
      </w:r>
      <w:r>
        <w:rPr>
          <w:rFonts w:hint="eastAsia" w:ascii="宋体" w:hAnsi="宋体" w:cs="宋体"/>
          <w:kern w:val="24"/>
          <w:sz w:val="21"/>
          <w:szCs w:val="21"/>
          <w:highlight w:val="none"/>
        </w:rPr>
        <w:t>人，营业收入为</w:t>
      </w:r>
      <w:r>
        <w:rPr>
          <w:rFonts w:hint="eastAsia" w:ascii="宋体" w:hAnsi="宋体" w:cs="宋体"/>
          <w:kern w:val="24"/>
          <w:sz w:val="21"/>
          <w:szCs w:val="21"/>
          <w:highlight w:val="none"/>
          <w:u w:val="single"/>
        </w:rPr>
        <w:t xml:space="preserve">      </w:t>
      </w:r>
      <w:r>
        <w:rPr>
          <w:rFonts w:hint="eastAsia" w:ascii="宋体" w:hAnsi="宋体" w:cs="宋体"/>
          <w:kern w:val="24"/>
          <w:sz w:val="21"/>
          <w:szCs w:val="21"/>
          <w:highlight w:val="none"/>
        </w:rPr>
        <w:t>万元，资产总额为</w:t>
      </w:r>
      <w:r>
        <w:rPr>
          <w:rFonts w:hint="eastAsia" w:ascii="宋体" w:hAnsi="宋体" w:cs="宋体"/>
          <w:kern w:val="24"/>
          <w:sz w:val="21"/>
          <w:szCs w:val="21"/>
          <w:highlight w:val="none"/>
          <w:u w:val="single"/>
        </w:rPr>
        <w:t xml:space="preserve">      </w:t>
      </w:r>
      <w:r>
        <w:rPr>
          <w:rFonts w:hint="eastAsia" w:ascii="宋体" w:hAnsi="宋体" w:cs="宋体"/>
          <w:kern w:val="24"/>
          <w:sz w:val="21"/>
          <w:szCs w:val="21"/>
          <w:highlight w:val="none"/>
        </w:rPr>
        <w:t>万元，属于</w:t>
      </w:r>
      <w:r>
        <w:rPr>
          <w:rFonts w:hint="eastAsia" w:ascii="宋体" w:hAnsi="宋体" w:cs="宋体"/>
          <w:i/>
          <w:iCs/>
          <w:kern w:val="24"/>
          <w:sz w:val="21"/>
          <w:szCs w:val="21"/>
          <w:highlight w:val="none"/>
          <w:u w:val="single"/>
        </w:rPr>
        <w:t>（中型企业、小型企业、微型企业）</w:t>
      </w:r>
      <w:r>
        <w:rPr>
          <w:rFonts w:hint="eastAsia" w:ascii="宋体" w:hAnsi="宋体" w:cs="宋体"/>
          <w:kern w:val="24"/>
          <w:sz w:val="21"/>
          <w:szCs w:val="21"/>
          <w:highlight w:val="none"/>
        </w:rPr>
        <w:t>；</w:t>
      </w:r>
    </w:p>
    <w:p w14:paraId="0D71AD43">
      <w:pPr>
        <w:spacing w:after="120" w:line="360" w:lineRule="exact"/>
        <w:ind w:left="0" w:leftChars="0" w:right="142" w:firstLine="420" w:firstLineChars="200"/>
        <w:contextualSpacing/>
        <w:rPr>
          <w:rFonts w:ascii="宋体" w:hAnsi="宋体" w:cs="宋体"/>
          <w:kern w:val="24"/>
          <w:sz w:val="21"/>
          <w:szCs w:val="21"/>
          <w:highlight w:val="none"/>
        </w:rPr>
      </w:pPr>
      <w:r>
        <w:rPr>
          <w:rFonts w:hint="eastAsia" w:ascii="宋体" w:hAnsi="宋体" w:cs="宋体"/>
          <w:kern w:val="24"/>
          <w:sz w:val="21"/>
          <w:szCs w:val="21"/>
          <w:highlight w:val="none"/>
        </w:rPr>
        <w:t xml:space="preserve">…… </w:t>
      </w:r>
    </w:p>
    <w:p w14:paraId="3E62A035">
      <w:pPr>
        <w:spacing w:after="120" w:line="360" w:lineRule="exact"/>
        <w:ind w:left="0" w:leftChars="0" w:right="142" w:firstLine="420" w:firstLineChars="200"/>
        <w:contextualSpacing/>
        <w:rPr>
          <w:rFonts w:ascii="宋体" w:hAnsi="宋体" w:cs="宋体"/>
          <w:kern w:val="24"/>
          <w:sz w:val="21"/>
          <w:szCs w:val="21"/>
          <w:highlight w:val="none"/>
        </w:rPr>
      </w:pPr>
      <w:r>
        <w:rPr>
          <w:rFonts w:hint="eastAsia" w:ascii="宋体" w:hAnsi="宋体" w:cs="宋体"/>
          <w:kern w:val="24"/>
          <w:sz w:val="21"/>
          <w:szCs w:val="21"/>
          <w:highlight w:val="none"/>
        </w:rPr>
        <w:t>以上企业，不属于大企业的分支机构，不存在控股股东为大企业的情形，也不存在与大企业的负责人为同一人的情形。</w:t>
      </w:r>
    </w:p>
    <w:p w14:paraId="6942F4EB">
      <w:pPr>
        <w:spacing w:after="120" w:line="360" w:lineRule="exact"/>
        <w:ind w:left="0" w:leftChars="0" w:right="142" w:firstLine="420" w:firstLineChars="200"/>
        <w:contextualSpacing/>
        <w:rPr>
          <w:rFonts w:ascii="宋体" w:hAnsi="宋体" w:cs="宋体"/>
          <w:kern w:val="24"/>
          <w:sz w:val="21"/>
          <w:szCs w:val="21"/>
          <w:highlight w:val="none"/>
        </w:rPr>
      </w:pPr>
      <w:r>
        <w:rPr>
          <w:rFonts w:hint="eastAsia" w:ascii="宋体" w:hAnsi="宋体" w:cs="宋体"/>
          <w:kern w:val="24"/>
          <w:sz w:val="21"/>
          <w:szCs w:val="21"/>
          <w:highlight w:val="none"/>
        </w:rPr>
        <w:t>本企业对上述声明内容的真实性负责。如有虚假，将依法承担相应责任。</w:t>
      </w:r>
    </w:p>
    <w:p w14:paraId="43859551">
      <w:pPr>
        <w:spacing w:line="360" w:lineRule="auto"/>
        <w:ind w:left="0" w:leftChars="0" w:firstLine="420" w:firstLineChars="200"/>
        <w:rPr>
          <w:rFonts w:ascii="宋体" w:hAnsi="宋体" w:cs="宋体"/>
          <w:sz w:val="21"/>
          <w:szCs w:val="21"/>
          <w:highlight w:val="none"/>
        </w:rPr>
      </w:pPr>
    </w:p>
    <w:p w14:paraId="1AAFBF58">
      <w:pPr>
        <w:spacing w:line="360" w:lineRule="auto"/>
        <w:ind w:left="0" w:leftChars="0" w:firstLine="420" w:firstLineChars="200"/>
        <w:rPr>
          <w:rFonts w:ascii="宋体" w:hAnsi="宋体" w:cs="宋体"/>
          <w:sz w:val="21"/>
          <w:szCs w:val="21"/>
          <w:highlight w:val="none"/>
        </w:rPr>
      </w:pPr>
    </w:p>
    <w:p w14:paraId="2ED9421C">
      <w:pPr>
        <w:snapToGrid w:val="0"/>
        <w:spacing w:line="360" w:lineRule="auto"/>
        <w:ind w:left="0" w:leftChars="0" w:firstLine="420" w:firstLineChars="200"/>
        <w:rPr>
          <w:rFonts w:ascii="宋体" w:hAnsi="宋体" w:cs="宋体"/>
          <w:kern w:val="0"/>
          <w:sz w:val="21"/>
          <w:szCs w:val="21"/>
          <w:highlight w:val="none"/>
        </w:rPr>
      </w:pPr>
      <w:r>
        <w:rPr>
          <w:rFonts w:hint="eastAsia" w:ascii="宋体" w:hAnsi="宋体" w:cs="宋体"/>
          <w:kern w:val="0"/>
          <w:sz w:val="21"/>
          <w:szCs w:val="21"/>
          <w:highlight w:val="none"/>
          <w:lang w:val="zh-CN"/>
        </w:rPr>
        <w:t>投标人名称(盖公章)：</w:t>
      </w:r>
    </w:p>
    <w:p w14:paraId="11252534">
      <w:pPr>
        <w:snapToGrid w:val="0"/>
        <w:spacing w:line="360" w:lineRule="auto"/>
        <w:ind w:left="0" w:leftChars="0" w:firstLine="420" w:firstLineChars="200"/>
        <w:rPr>
          <w:rFonts w:ascii="宋体" w:hAnsi="宋体" w:cs="宋体"/>
          <w:kern w:val="0"/>
          <w:sz w:val="21"/>
          <w:szCs w:val="21"/>
          <w:highlight w:val="none"/>
          <w:lang w:val="zh-CN"/>
        </w:rPr>
      </w:pPr>
      <w:r>
        <w:rPr>
          <w:rFonts w:hint="eastAsia" w:ascii="宋体" w:hAnsi="宋体" w:cs="宋体"/>
          <w:kern w:val="0"/>
          <w:sz w:val="21"/>
          <w:szCs w:val="21"/>
          <w:highlight w:val="none"/>
          <w:lang w:val="zh-CN"/>
        </w:rPr>
        <w:t>日期</w:t>
      </w:r>
      <w:r>
        <w:rPr>
          <w:rFonts w:hint="eastAsia" w:ascii="宋体" w:hAnsi="宋体" w:cs="宋体"/>
          <w:kern w:val="0"/>
          <w:sz w:val="21"/>
          <w:szCs w:val="21"/>
          <w:highlight w:val="none"/>
        </w:rPr>
        <w:t xml:space="preserve">：  年  </w:t>
      </w:r>
      <w:r>
        <w:rPr>
          <w:rFonts w:hint="eastAsia" w:ascii="宋体" w:hAnsi="宋体" w:cs="宋体"/>
          <w:kern w:val="0"/>
          <w:sz w:val="21"/>
          <w:szCs w:val="21"/>
          <w:highlight w:val="none"/>
          <w:lang w:val="zh-CN"/>
        </w:rPr>
        <w:t>月</w:t>
      </w:r>
      <w:r>
        <w:rPr>
          <w:rFonts w:hint="eastAsia" w:ascii="宋体" w:hAnsi="宋体" w:cs="宋体"/>
          <w:kern w:val="0"/>
          <w:sz w:val="21"/>
          <w:szCs w:val="21"/>
          <w:highlight w:val="none"/>
        </w:rPr>
        <w:t xml:space="preserve">   </w:t>
      </w:r>
      <w:r>
        <w:rPr>
          <w:rFonts w:hint="eastAsia" w:ascii="宋体" w:hAnsi="宋体" w:cs="宋体"/>
          <w:kern w:val="0"/>
          <w:sz w:val="21"/>
          <w:szCs w:val="21"/>
          <w:highlight w:val="none"/>
          <w:lang w:val="zh-CN"/>
        </w:rPr>
        <w:t>日</w:t>
      </w:r>
    </w:p>
    <w:p w14:paraId="5C24F4A8">
      <w:pPr>
        <w:spacing w:line="360" w:lineRule="auto"/>
        <w:ind w:firstLine="420" w:firstLineChars="200"/>
        <w:rPr>
          <w:rFonts w:ascii="宋体" w:hAnsi="宋体" w:cs="宋体"/>
          <w:szCs w:val="21"/>
          <w:highlight w:val="none"/>
        </w:rPr>
      </w:pPr>
    </w:p>
    <w:p w14:paraId="6DA6418C">
      <w:pPr>
        <w:spacing w:before="50" w:afterLines="50" w:line="360" w:lineRule="auto"/>
        <w:ind w:firstLine="404" w:firstLineChars="200"/>
        <w:rPr>
          <w:rFonts w:ascii="宋体" w:hAnsi="宋体" w:cs="宋体"/>
          <w:spacing w:val="-4"/>
          <w:szCs w:val="21"/>
          <w:highlight w:val="none"/>
        </w:rPr>
      </w:pPr>
      <w:r>
        <w:rPr>
          <w:rFonts w:hint="eastAsia" w:ascii="宋体" w:hAnsi="宋体" w:cs="宋体"/>
          <w:spacing w:val="-4"/>
          <w:szCs w:val="21"/>
          <w:highlight w:val="none"/>
        </w:rPr>
        <w:t>注：</w:t>
      </w:r>
    </w:p>
    <w:p w14:paraId="24FE94E0">
      <w:pPr>
        <w:spacing w:before="50" w:afterLines="50" w:line="360" w:lineRule="auto"/>
        <w:ind w:firstLine="404" w:firstLineChars="200"/>
        <w:rPr>
          <w:rFonts w:ascii="宋体" w:hAnsi="宋体" w:cs="宋体"/>
          <w:spacing w:val="-4"/>
          <w:szCs w:val="21"/>
          <w:highlight w:val="none"/>
        </w:rPr>
      </w:pPr>
      <w:r>
        <w:rPr>
          <w:rFonts w:hint="eastAsia" w:ascii="宋体" w:hAnsi="宋体" w:cs="宋体"/>
          <w:spacing w:val="-4"/>
          <w:szCs w:val="21"/>
          <w:highlight w:val="none"/>
        </w:rPr>
        <w:t>1、从业人员、营业收入、资产总额填报上一年度数据，无上一年度数据的新成立企业可不填报。</w:t>
      </w:r>
    </w:p>
    <w:p w14:paraId="75E7F270">
      <w:pPr>
        <w:spacing w:line="360" w:lineRule="auto"/>
        <w:ind w:firstLine="404" w:firstLineChars="200"/>
        <w:rPr>
          <w:rFonts w:ascii="宋体" w:hAnsi="宋体" w:cs="宋体"/>
          <w:spacing w:val="-4"/>
          <w:szCs w:val="21"/>
          <w:highlight w:val="none"/>
        </w:rPr>
      </w:pPr>
      <w:r>
        <w:rPr>
          <w:rFonts w:hint="eastAsia" w:ascii="宋体" w:hAnsi="宋体" w:cs="宋体"/>
          <w:spacing w:val="-4"/>
          <w:szCs w:val="21"/>
          <w:highlight w:val="none"/>
        </w:rPr>
        <w:t>2、请根据自己的真实情况出具《中小企业声明函》。依法享受中小企业扶持政策的，采购人或者采购代理机构在公告中标结果时，同时公告其《中小企业声明函》，接受社会监督。</w:t>
      </w:r>
    </w:p>
    <w:p w14:paraId="2B9F4952">
      <w:pPr>
        <w:spacing w:line="360" w:lineRule="auto"/>
        <w:ind w:firstLine="406" w:firstLineChars="200"/>
        <w:rPr>
          <w:rFonts w:ascii="宋体" w:hAnsi="宋体" w:cs="宋体"/>
          <w:b/>
          <w:bCs/>
          <w:spacing w:val="-4"/>
          <w:szCs w:val="21"/>
          <w:highlight w:val="none"/>
        </w:rPr>
      </w:pPr>
      <w:r>
        <w:rPr>
          <w:rFonts w:hint="eastAsia" w:ascii="宋体" w:hAnsi="宋体" w:cs="宋体"/>
          <w:b/>
          <w:bCs/>
          <w:spacing w:val="-4"/>
          <w:szCs w:val="21"/>
          <w:highlight w:val="none"/>
        </w:rPr>
        <w:t>3、本声明函主要供参加政府采购活动的中小企业填写，非中小企业无需填写。</w:t>
      </w:r>
    </w:p>
    <w:p w14:paraId="1B122A23">
      <w:pPr>
        <w:spacing w:line="360" w:lineRule="auto"/>
        <w:ind w:firstLine="406" w:firstLineChars="200"/>
        <w:rPr>
          <w:rFonts w:ascii="宋体" w:hAnsi="宋体" w:cs="宋体"/>
          <w:b/>
          <w:bCs/>
          <w:spacing w:val="-4"/>
          <w:szCs w:val="21"/>
          <w:highlight w:val="none"/>
        </w:rPr>
      </w:pPr>
      <w:r>
        <w:rPr>
          <w:rFonts w:hint="eastAsia" w:ascii="宋体" w:hAnsi="宋体" w:cs="宋体"/>
          <w:b/>
          <w:bCs/>
          <w:spacing w:val="-4"/>
          <w:szCs w:val="21"/>
          <w:highlight w:val="none"/>
        </w:rPr>
        <w:t>4、小型、微型企业提供中型企业提供的货物的，视同为中型企业。</w:t>
      </w:r>
    </w:p>
    <w:p w14:paraId="794BA4C4">
      <w:pPr>
        <w:ind w:firstLine="452"/>
        <w:rPr>
          <w:rFonts w:ascii="宋体" w:hAnsi="宋体" w:cs="宋体"/>
          <w:b/>
          <w:sz w:val="30"/>
          <w:szCs w:val="30"/>
          <w:highlight w:val="none"/>
        </w:rPr>
      </w:pPr>
      <w:r>
        <w:rPr>
          <w:rFonts w:hint="eastAsia" w:ascii="宋体" w:hAnsi="宋体" w:cs="宋体"/>
          <w:b/>
          <w:sz w:val="30"/>
          <w:szCs w:val="30"/>
          <w:highlight w:val="none"/>
        </w:rPr>
        <w:br w:type="page"/>
      </w:r>
    </w:p>
    <w:p w14:paraId="42B7A4AB">
      <w:pPr>
        <w:ind w:firstLine="422"/>
        <w:rPr>
          <w:rFonts w:ascii="宋体" w:hAnsi="宋体" w:cs="宋体"/>
          <w:b/>
          <w:sz w:val="28"/>
          <w:szCs w:val="28"/>
          <w:highlight w:val="none"/>
        </w:rPr>
      </w:pPr>
      <w:r>
        <w:rPr>
          <w:rFonts w:hint="eastAsia" w:ascii="宋体" w:hAnsi="宋体" w:cs="宋体"/>
          <w:b/>
          <w:sz w:val="28"/>
          <w:szCs w:val="28"/>
          <w:highlight w:val="none"/>
        </w:rPr>
        <w:t>2.残疾人福利性单位声明函的格式：</w:t>
      </w:r>
    </w:p>
    <w:p w14:paraId="63DC4C81">
      <w:pPr>
        <w:spacing w:line="360" w:lineRule="auto"/>
        <w:ind w:firstLine="452"/>
        <w:jc w:val="center"/>
        <w:rPr>
          <w:rFonts w:ascii="宋体" w:hAnsi="宋体" w:cs="宋体"/>
          <w:b/>
          <w:sz w:val="30"/>
          <w:szCs w:val="30"/>
          <w:highlight w:val="none"/>
        </w:rPr>
      </w:pPr>
    </w:p>
    <w:p w14:paraId="52146E80">
      <w:pPr>
        <w:spacing w:line="360" w:lineRule="auto"/>
        <w:ind w:firstLine="452"/>
        <w:jc w:val="center"/>
        <w:rPr>
          <w:rFonts w:ascii="宋体" w:hAnsi="宋体" w:cs="宋体"/>
          <w:b/>
          <w:sz w:val="30"/>
          <w:szCs w:val="30"/>
          <w:highlight w:val="none"/>
        </w:rPr>
      </w:pPr>
      <w:r>
        <w:rPr>
          <w:rFonts w:hint="eastAsia" w:ascii="宋体" w:hAnsi="宋体" w:cs="宋体"/>
          <w:b/>
          <w:sz w:val="30"/>
          <w:szCs w:val="30"/>
          <w:highlight w:val="none"/>
        </w:rPr>
        <w:t>残疾人福利性单位声明函</w:t>
      </w:r>
    </w:p>
    <w:p w14:paraId="490792D5">
      <w:pPr>
        <w:spacing w:line="360" w:lineRule="auto"/>
        <w:ind w:firstLine="452"/>
        <w:jc w:val="center"/>
        <w:rPr>
          <w:rFonts w:ascii="宋体" w:hAnsi="宋体" w:cs="宋体"/>
          <w:b/>
          <w:sz w:val="30"/>
          <w:szCs w:val="30"/>
          <w:highlight w:val="none"/>
        </w:rPr>
      </w:pPr>
    </w:p>
    <w:p w14:paraId="6485237A">
      <w:pPr>
        <w:spacing w:line="360" w:lineRule="auto"/>
        <w:ind w:firstLine="420" w:firstLineChars="200"/>
        <w:contextualSpacing/>
        <w:rPr>
          <w:rFonts w:ascii="宋体" w:hAnsi="宋体" w:cs="宋体"/>
          <w:sz w:val="21"/>
          <w:szCs w:val="21"/>
          <w:highlight w:val="none"/>
        </w:rPr>
      </w:pPr>
      <w:r>
        <w:rPr>
          <w:rFonts w:hint="eastAsia" w:ascii="宋体" w:hAnsi="宋体" w:cs="宋体"/>
          <w:sz w:val="21"/>
          <w:szCs w:val="21"/>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3E468826">
      <w:pPr>
        <w:spacing w:line="360" w:lineRule="auto"/>
        <w:ind w:firstLine="420" w:firstLineChars="200"/>
        <w:jc w:val="left"/>
        <w:rPr>
          <w:rFonts w:ascii="宋体" w:hAnsi="宋体" w:cs="宋体"/>
          <w:sz w:val="21"/>
          <w:szCs w:val="21"/>
          <w:highlight w:val="none"/>
        </w:rPr>
      </w:pPr>
      <w:r>
        <w:rPr>
          <w:rFonts w:hint="eastAsia" w:ascii="宋体" w:hAnsi="宋体" w:cs="宋体"/>
          <w:sz w:val="21"/>
          <w:szCs w:val="21"/>
          <w:highlight w:val="none"/>
        </w:rPr>
        <w:t>本单位对上述声明的真实性负责。如有虚假，将依法承担相应责任。</w:t>
      </w:r>
    </w:p>
    <w:p w14:paraId="4EA365D1">
      <w:pPr>
        <w:spacing w:line="360" w:lineRule="auto"/>
        <w:ind w:firstLine="316"/>
        <w:jc w:val="left"/>
        <w:rPr>
          <w:rFonts w:ascii="宋体" w:hAnsi="宋体" w:cs="宋体"/>
          <w:b/>
          <w:szCs w:val="21"/>
          <w:highlight w:val="none"/>
        </w:rPr>
      </w:pPr>
    </w:p>
    <w:p w14:paraId="53744436">
      <w:pPr>
        <w:spacing w:line="360" w:lineRule="auto"/>
        <w:ind w:firstLine="316"/>
        <w:jc w:val="left"/>
        <w:rPr>
          <w:rFonts w:ascii="宋体" w:hAnsi="宋体" w:cs="宋体"/>
          <w:b/>
          <w:szCs w:val="21"/>
          <w:highlight w:val="none"/>
        </w:rPr>
      </w:pPr>
    </w:p>
    <w:p w14:paraId="3135D5CD">
      <w:pPr>
        <w:snapToGrid w:val="0"/>
        <w:spacing w:line="360" w:lineRule="auto"/>
        <w:ind w:left="5626" w:leftChars="1736" w:hanging="1980" w:hangingChars="825"/>
        <w:rPr>
          <w:rFonts w:ascii="宋体" w:hAnsi="宋体" w:cs="宋体"/>
          <w:kern w:val="0"/>
          <w:sz w:val="24"/>
          <w:highlight w:val="none"/>
        </w:rPr>
      </w:pPr>
      <w:r>
        <w:rPr>
          <w:rFonts w:hint="eastAsia" w:ascii="宋体" w:hAnsi="宋体" w:cs="宋体"/>
          <w:kern w:val="0"/>
          <w:sz w:val="24"/>
          <w:highlight w:val="none"/>
          <w:lang w:val="zh-CN"/>
        </w:rPr>
        <w:t>投标人名称(盖公章)：</w:t>
      </w:r>
    </w:p>
    <w:p w14:paraId="63A463E4">
      <w:pPr>
        <w:snapToGrid w:val="0"/>
        <w:spacing w:line="360" w:lineRule="auto"/>
        <w:ind w:firstLine="5160" w:firstLineChars="2150"/>
        <w:rPr>
          <w:rFonts w:ascii="宋体" w:hAnsi="宋体" w:cs="宋体"/>
          <w:kern w:val="0"/>
          <w:sz w:val="24"/>
          <w:highlight w:val="none"/>
          <w:lang w:val="zh-CN"/>
        </w:rPr>
      </w:pPr>
      <w:r>
        <w:rPr>
          <w:rFonts w:hint="eastAsia" w:ascii="宋体" w:hAnsi="宋体" w:cs="宋体"/>
          <w:kern w:val="0"/>
          <w:sz w:val="24"/>
          <w:highlight w:val="none"/>
          <w:lang w:val="zh-CN"/>
        </w:rPr>
        <w:t>日期</w:t>
      </w:r>
      <w:r>
        <w:rPr>
          <w:rFonts w:hint="eastAsia" w:ascii="宋体" w:hAnsi="宋体" w:cs="宋体"/>
          <w:kern w:val="0"/>
          <w:sz w:val="24"/>
          <w:highlight w:val="none"/>
        </w:rPr>
        <w:t>：  年  月  日</w:t>
      </w:r>
    </w:p>
    <w:p w14:paraId="21A00FBA">
      <w:pPr>
        <w:spacing w:line="360" w:lineRule="auto"/>
        <w:ind w:left="5132" w:leftChars="1979" w:hanging="976" w:hangingChars="488"/>
        <w:rPr>
          <w:rFonts w:ascii="宋体" w:hAnsi="宋体" w:cs="宋体"/>
          <w:sz w:val="20"/>
          <w:szCs w:val="20"/>
          <w:highlight w:val="none"/>
        </w:rPr>
      </w:pPr>
    </w:p>
    <w:p w14:paraId="5A670F65">
      <w:pPr>
        <w:spacing w:line="360" w:lineRule="auto"/>
        <w:ind w:right="420" w:firstLine="420" w:firstLineChars="200"/>
        <w:rPr>
          <w:rFonts w:ascii="宋体" w:hAnsi="宋体" w:cs="宋体"/>
          <w:szCs w:val="21"/>
          <w:highlight w:val="none"/>
        </w:rPr>
      </w:pPr>
      <w:r>
        <w:rPr>
          <w:rFonts w:hint="eastAsia" w:ascii="宋体" w:hAnsi="宋体" w:cs="宋体"/>
          <w:szCs w:val="21"/>
          <w:highlight w:val="none"/>
        </w:rPr>
        <w:t>注：请根据自己的真实情况出具《残疾人福利性单位声明函》。依法享受中小企业扶持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0B6019E">
      <w:pPr>
        <w:shd w:val="clear" w:color="auto" w:fill="FFFFFF"/>
        <w:spacing w:line="480" w:lineRule="atLeast"/>
        <w:jc w:val="left"/>
        <w:rPr>
          <w:highlight w:val="none"/>
        </w:rPr>
      </w:pPr>
      <w:r>
        <w:rPr>
          <w:rFonts w:hint="eastAsia" w:ascii="宋体" w:hAnsi="宋体" w:cs="宋体"/>
          <w:szCs w:val="21"/>
          <w:highlight w:val="none"/>
        </w:rPr>
        <w:br w:type="page"/>
      </w:r>
      <w:r>
        <w:rPr>
          <w:rFonts w:hint="eastAsia" w:ascii="宋体" w:hAnsi="宋体" w:cs="宋体"/>
          <w:b/>
          <w:sz w:val="28"/>
          <w:szCs w:val="28"/>
          <w:highlight w:val="none"/>
        </w:rPr>
        <w:t>3.广西壮族自治区政府采购项目合同验收书的格式：</w:t>
      </w:r>
    </w:p>
    <w:p w14:paraId="0FDF303B">
      <w:pPr>
        <w:shd w:val="clear" w:color="auto" w:fill="FFFFFF"/>
        <w:spacing w:line="480" w:lineRule="atLeast"/>
        <w:ind w:firstLine="480"/>
        <w:jc w:val="center"/>
        <w:rPr>
          <w:rFonts w:ascii="宋体" w:hAnsi="宋体" w:cs="宋体"/>
          <w:kern w:val="0"/>
          <w:sz w:val="32"/>
          <w:szCs w:val="32"/>
          <w:highlight w:val="none"/>
        </w:rPr>
      </w:pPr>
    </w:p>
    <w:p w14:paraId="75AB4360">
      <w:pPr>
        <w:shd w:val="clear" w:color="auto" w:fill="FFFFFF"/>
        <w:spacing w:line="480" w:lineRule="atLeast"/>
        <w:ind w:firstLine="480"/>
        <w:jc w:val="center"/>
        <w:rPr>
          <w:rFonts w:ascii="宋体" w:hAnsi="宋体" w:cs="宋体"/>
          <w:kern w:val="0"/>
          <w:sz w:val="32"/>
          <w:szCs w:val="32"/>
          <w:highlight w:val="none"/>
        </w:rPr>
      </w:pPr>
      <w:r>
        <w:rPr>
          <w:rFonts w:hint="eastAsia" w:ascii="宋体" w:hAnsi="宋体" w:cs="宋体"/>
          <w:kern w:val="0"/>
          <w:sz w:val="32"/>
          <w:szCs w:val="32"/>
          <w:highlight w:val="none"/>
        </w:rPr>
        <w:t>广西壮族自治区政府采购项目合同验收书</w:t>
      </w:r>
    </w:p>
    <w:p w14:paraId="74DF7533">
      <w:pPr>
        <w:shd w:val="clear" w:color="auto" w:fill="FFFFFF"/>
        <w:spacing w:line="480" w:lineRule="atLeast"/>
        <w:ind w:firstLine="480"/>
        <w:jc w:val="center"/>
        <w:rPr>
          <w:rFonts w:ascii="宋体" w:hAnsi="宋体" w:cs="宋体"/>
          <w:kern w:val="0"/>
          <w:sz w:val="32"/>
          <w:szCs w:val="32"/>
          <w:highlight w:val="none"/>
        </w:rPr>
      </w:pPr>
    </w:p>
    <w:p w14:paraId="02C8D7CE">
      <w:pPr>
        <w:shd w:val="clear" w:color="auto" w:fill="FFFFFF"/>
        <w:snapToGrid w:val="0"/>
        <w:spacing w:line="320" w:lineRule="atLeast"/>
        <w:ind w:firstLine="315"/>
        <w:jc w:val="left"/>
        <w:rPr>
          <w:rFonts w:ascii="宋体" w:hAnsi="宋体" w:cs="宋体"/>
          <w:kern w:val="0"/>
          <w:szCs w:val="21"/>
          <w:highlight w:val="none"/>
        </w:rPr>
      </w:pPr>
      <w:r>
        <w:rPr>
          <w:rFonts w:hint="eastAsia" w:ascii="宋体" w:hAnsi="宋体" w:cs="宋体"/>
          <w:kern w:val="0"/>
          <w:szCs w:val="21"/>
          <w:highlight w:val="none"/>
        </w:rPr>
        <w:t>根据政府采购项目（</w:t>
      </w:r>
      <w:r>
        <w:rPr>
          <w:rFonts w:hint="eastAsia" w:ascii="宋体" w:hAnsi="宋体" w:cs="宋体"/>
          <w:kern w:val="0"/>
          <w:szCs w:val="21"/>
          <w:highlight w:val="none"/>
          <w:u w:val="single"/>
        </w:rPr>
        <w:t>采购合同编号：</w:t>
      </w:r>
      <w:r>
        <w:rPr>
          <w:rFonts w:hint="eastAsia" w:ascii="宋体" w:hAnsi="宋体" w:cs="宋体"/>
          <w:kern w:val="0"/>
          <w:szCs w:val="21"/>
          <w:highlight w:val="none"/>
          <w:u w:val="single"/>
        </w:rPr>
        <w:softHyphen/>
      </w:r>
      <w:r>
        <w:rPr>
          <w:rFonts w:hint="eastAsia" w:ascii="宋体" w:hAnsi="宋体" w:cs="宋体"/>
          <w:kern w:val="0"/>
          <w:szCs w:val="21"/>
          <w:highlight w:val="none"/>
        </w:rPr>
        <w:t>）的约定，我单位对（</w:t>
      </w:r>
      <w:r>
        <w:rPr>
          <w:rFonts w:hint="eastAsia" w:ascii="宋体" w:hAnsi="宋体" w:cs="宋体"/>
          <w:kern w:val="0"/>
          <w:szCs w:val="21"/>
          <w:highlight w:val="none"/>
          <w:u w:val="single"/>
        </w:rPr>
        <w:t xml:space="preserve"> 项目名称 </w:t>
      </w:r>
      <w:r>
        <w:rPr>
          <w:rFonts w:hint="eastAsia" w:ascii="宋体" w:hAnsi="宋体" w:cs="宋体"/>
          <w:kern w:val="0"/>
          <w:szCs w:val="21"/>
          <w:highlight w:val="none"/>
        </w:rPr>
        <w:t>） 政府采购项目中标（或者成交）投标人（</w:t>
      </w:r>
      <w:r>
        <w:rPr>
          <w:rFonts w:hint="eastAsia" w:ascii="宋体" w:hAnsi="宋体" w:cs="宋体"/>
          <w:kern w:val="0"/>
          <w:szCs w:val="21"/>
          <w:highlight w:val="none"/>
          <w:u w:val="single"/>
        </w:rPr>
        <w:t xml:space="preserve"> 公司名称 </w:t>
      </w:r>
      <w:r>
        <w:rPr>
          <w:rFonts w:hint="eastAsia" w:ascii="宋体" w:hAnsi="宋体" w:cs="宋体"/>
          <w:kern w:val="0"/>
          <w:szCs w:val="21"/>
          <w:highlight w:val="none"/>
        </w:rPr>
        <w:t>） 提供的货物（或者工程、服务）进行了验收，验收情况如下：</w:t>
      </w:r>
    </w:p>
    <w:tbl>
      <w:tblPr>
        <w:tblStyle w:val="28"/>
        <w:tblW w:w="9371" w:type="dxa"/>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21ECF8E2">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ign w:val="center"/>
          </w:tcPr>
          <w:p w14:paraId="381AB90A">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ign w:val="center"/>
          </w:tcPr>
          <w:p w14:paraId="5D924C8A">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□自行验收 □委托验收</w:t>
            </w:r>
          </w:p>
        </w:tc>
      </w:tr>
      <w:tr w14:paraId="075AF86B">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ign w:val="center"/>
          </w:tcPr>
          <w:p w14:paraId="4941645C">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序号</w:t>
            </w:r>
          </w:p>
        </w:tc>
        <w:tc>
          <w:tcPr>
            <w:tcW w:w="1921" w:type="dxa"/>
            <w:tcBorders>
              <w:top w:val="nil"/>
              <w:left w:val="nil"/>
              <w:bottom w:val="single" w:color="auto" w:sz="8" w:space="0"/>
              <w:right w:val="single" w:color="auto" w:sz="8" w:space="0"/>
            </w:tcBorders>
            <w:noWrap/>
            <w:vAlign w:val="center"/>
          </w:tcPr>
          <w:p w14:paraId="47DF87A2">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名 称</w:t>
            </w:r>
          </w:p>
        </w:tc>
        <w:tc>
          <w:tcPr>
            <w:tcW w:w="2902" w:type="dxa"/>
            <w:gridSpan w:val="3"/>
            <w:tcBorders>
              <w:top w:val="nil"/>
              <w:left w:val="nil"/>
              <w:bottom w:val="single" w:color="auto" w:sz="8" w:space="0"/>
              <w:right w:val="single" w:color="auto" w:sz="8" w:space="0"/>
            </w:tcBorders>
            <w:noWrap/>
            <w:vAlign w:val="center"/>
          </w:tcPr>
          <w:p w14:paraId="4667913D">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ign w:val="center"/>
          </w:tcPr>
          <w:p w14:paraId="3D5AEEAE">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数量</w:t>
            </w:r>
          </w:p>
        </w:tc>
        <w:tc>
          <w:tcPr>
            <w:tcW w:w="2354" w:type="dxa"/>
            <w:tcBorders>
              <w:top w:val="nil"/>
              <w:left w:val="nil"/>
              <w:bottom w:val="single" w:color="auto" w:sz="8" w:space="0"/>
              <w:right w:val="single" w:color="auto" w:sz="8" w:space="0"/>
            </w:tcBorders>
            <w:noWrap/>
            <w:vAlign w:val="center"/>
          </w:tcPr>
          <w:p w14:paraId="71E9E77C">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金 额</w:t>
            </w:r>
          </w:p>
        </w:tc>
      </w:tr>
      <w:tr w14:paraId="0A953751">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55BD410C">
            <w:pPr>
              <w:spacing w:before="100" w:beforeAutospacing="1" w:after="100" w:afterAutospacing="1" w:line="240" w:lineRule="atLeast"/>
              <w:jc w:val="center"/>
              <w:rPr>
                <w:rFonts w:ascii="宋体" w:hAnsi="宋体" w:cs="宋体"/>
                <w:kern w:val="0"/>
                <w:szCs w:val="21"/>
                <w:highlight w:val="none"/>
              </w:rPr>
            </w:pPr>
          </w:p>
        </w:tc>
        <w:tc>
          <w:tcPr>
            <w:tcW w:w="1921" w:type="dxa"/>
            <w:tcBorders>
              <w:top w:val="nil"/>
              <w:left w:val="nil"/>
              <w:bottom w:val="single" w:color="auto" w:sz="8" w:space="0"/>
              <w:right w:val="single" w:color="auto" w:sz="8" w:space="0"/>
            </w:tcBorders>
            <w:noWrap/>
            <w:vAlign w:val="center"/>
          </w:tcPr>
          <w:p w14:paraId="58B9E1BB">
            <w:pPr>
              <w:spacing w:before="100" w:beforeAutospacing="1" w:after="100" w:afterAutospacing="1" w:line="240" w:lineRule="atLeast"/>
              <w:jc w:val="center"/>
              <w:rPr>
                <w:rFonts w:ascii="宋体" w:hAnsi="宋体" w:cs="宋体"/>
                <w:kern w:val="0"/>
                <w:szCs w:val="21"/>
                <w:highlight w:val="none"/>
              </w:rPr>
            </w:pPr>
          </w:p>
        </w:tc>
        <w:tc>
          <w:tcPr>
            <w:tcW w:w="2902" w:type="dxa"/>
            <w:gridSpan w:val="3"/>
            <w:tcBorders>
              <w:top w:val="nil"/>
              <w:left w:val="nil"/>
              <w:bottom w:val="single" w:color="auto" w:sz="8" w:space="0"/>
              <w:right w:val="single" w:color="auto" w:sz="8" w:space="0"/>
            </w:tcBorders>
            <w:noWrap/>
            <w:vAlign w:val="center"/>
          </w:tcPr>
          <w:p w14:paraId="7D7C069A">
            <w:pPr>
              <w:spacing w:before="100" w:beforeAutospacing="1" w:after="100" w:afterAutospacing="1" w:line="240" w:lineRule="atLeast"/>
              <w:jc w:val="center"/>
              <w:rPr>
                <w:rFonts w:ascii="宋体" w:hAnsi="宋体" w:cs="宋体"/>
                <w:kern w:val="0"/>
                <w:szCs w:val="21"/>
                <w:highlight w:val="none"/>
              </w:rPr>
            </w:pPr>
          </w:p>
        </w:tc>
        <w:tc>
          <w:tcPr>
            <w:tcW w:w="863" w:type="dxa"/>
            <w:gridSpan w:val="2"/>
            <w:tcBorders>
              <w:top w:val="nil"/>
              <w:left w:val="nil"/>
              <w:bottom w:val="single" w:color="auto" w:sz="8" w:space="0"/>
              <w:right w:val="single" w:color="auto" w:sz="8" w:space="0"/>
            </w:tcBorders>
            <w:noWrap/>
            <w:vAlign w:val="center"/>
          </w:tcPr>
          <w:p w14:paraId="49C15517">
            <w:pPr>
              <w:spacing w:before="100" w:beforeAutospacing="1" w:after="100" w:afterAutospacing="1" w:line="240" w:lineRule="atLeast"/>
              <w:jc w:val="center"/>
              <w:rPr>
                <w:rFonts w:ascii="宋体" w:hAnsi="宋体" w:cs="宋体"/>
                <w:kern w:val="0"/>
                <w:szCs w:val="21"/>
                <w:highlight w:val="none"/>
              </w:rPr>
            </w:pPr>
          </w:p>
        </w:tc>
        <w:tc>
          <w:tcPr>
            <w:tcW w:w="2354" w:type="dxa"/>
            <w:tcBorders>
              <w:top w:val="nil"/>
              <w:left w:val="nil"/>
              <w:bottom w:val="single" w:color="auto" w:sz="8" w:space="0"/>
              <w:right w:val="single" w:color="auto" w:sz="8" w:space="0"/>
            </w:tcBorders>
            <w:noWrap/>
            <w:vAlign w:val="center"/>
          </w:tcPr>
          <w:p w14:paraId="2709E16D">
            <w:pPr>
              <w:spacing w:before="100" w:beforeAutospacing="1" w:after="100" w:afterAutospacing="1" w:line="240" w:lineRule="atLeast"/>
              <w:jc w:val="center"/>
              <w:rPr>
                <w:rFonts w:ascii="宋体" w:hAnsi="宋体" w:cs="宋体"/>
                <w:kern w:val="0"/>
                <w:szCs w:val="21"/>
                <w:highlight w:val="none"/>
              </w:rPr>
            </w:pPr>
          </w:p>
        </w:tc>
      </w:tr>
      <w:tr w14:paraId="4463C350">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0F6D88F6">
            <w:pPr>
              <w:spacing w:before="100" w:beforeAutospacing="1" w:after="100" w:afterAutospacing="1" w:line="240" w:lineRule="atLeast"/>
              <w:jc w:val="center"/>
              <w:rPr>
                <w:rFonts w:ascii="宋体" w:hAnsi="宋体" w:cs="宋体"/>
                <w:kern w:val="0"/>
                <w:szCs w:val="21"/>
                <w:highlight w:val="none"/>
              </w:rPr>
            </w:pPr>
          </w:p>
        </w:tc>
        <w:tc>
          <w:tcPr>
            <w:tcW w:w="1921" w:type="dxa"/>
            <w:tcBorders>
              <w:top w:val="nil"/>
              <w:left w:val="nil"/>
              <w:bottom w:val="single" w:color="auto" w:sz="8" w:space="0"/>
              <w:right w:val="single" w:color="auto" w:sz="8" w:space="0"/>
            </w:tcBorders>
            <w:noWrap/>
            <w:vAlign w:val="center"/>
          </w:tcPr>
          <w:p w14:paraId="5DDE8502">
            <w:pPr>
              <w:spacing w:before="100" w:beforeAutospacing="1" w:after="100" w:afterAutospacing="1" w:line="240" w:lineRule="atLeast"/>
              <w:jc w:val="center"/>
              <w:rPr>
                <w:rFonts w:ascii="宋体" w:hAnsi="宋体" w:cs="宋体"/>
                <w:kern w:val="0"/>
                <w:szCs w:val="21"/>
                <w:highlight w:val="none"/>
              </w:rPr>
            </w:pPr>
          </w:p>
        </w:tc>
        <w:tc>
          <w:tcPr>
            <w:tcW w:w="2902" w:type="dxa"/>
            <w:gridSpan w:val="3"/>
            <w:tcBorders>
              <w:top w:val="nil"/>
              <w:left w:val="nil"/>
              <w:bottom w:val="single" w:color="auto" w:sz="8" w:space="0"/>
              <w:right w:val="single" w:color="auto" w:sz="8" w:space="0"/>
            </w:tcBorders>
            <w:noWrap/>
            <w:vAlign w:val="center"/>
          </w:tcPr>
          <w:p w14:paraId="3D08A4E3">
            <w:pPr>
              <w:spacing w:before="100" w:beforeAutospacing="1" w:after="100" w:afterAutospacing="1" w:line="240" w:lineRule="atLeast"/>
              <w:jc w:val="center"/>
              <w:rPr>
                <w:rFonts w:ascii="宋体" w:hAnsi="宋体" w:cs="宋体"/>
                <w:kern w:val="0"/>
                <w:szCs w:val="21"/>
                <w:highlight w:val="none"/>
              </w:rPr>
            </w:pPr>
          </w:p>
        </w:tc>
        <w:tc>
          <w:tcPr>
            <w:tcW w:w="863" w:type="dxa"/>
            <w:gridSpan w:val="2"/>
            <w:tcBorders>
              <w:top w:val="nil"/>
              <w:left w:val="nil"/>
              <w:bottom w:val="single" w:color="auto" w:sz="8" w:space="0"/>
              <w:right w:val="single" w:color="auto" w:sz="8" w:space="0"/>
            </w:tcBorders>
            <w:noWrap/>
            <w:vAlign w:val="center"/>
          </w:tcPr>
          <w:p w14:paraId="1141219F">
            <w:pPr>
              <w:spacing w:before="100" w:beforeAutospacing="1" w:after="100" w:afterAutospacing="1" w:line="240" w:lineRule="atLeast"/>
              <w:jc w:val="center"/>
              <w:rPr>
                <w:rFonts w:ascii="宋体" w:hAnsi="宋体" w:cs="宋体"/>
                <w:kern w:val="0"/>
                <w:szCs w:val="21"/>
                <w:highlight w:val="none"/>
              </w:rPr>
            </w:pPr>
          </w:p>
        </w:tc>
        <w:tc>
          <w:tcPr>
            <w:tcW w:w="2354" w:type="dxa"/>
            <w:tcBorders>
              <w:top w:val="nil"/>
              <w:left w:val="nil"/>
              <w:bottom w:val="single" w:color="auto" w:sz="8" w:space="0"/>
              <w:right w:val="single" w:color="auto" w:sz="8" w:space="0"/>
            </w:tcBorders>
            <w:noWrap/>
            <w:vAlign w:val="center"/>
          </w:tcPr>
          <w:p w14:paraId="1C579912">
            <w:pPr>
              <w:spacing w:before="100" w:beforeAutospacing="1" w:after="100" w:afterAutospacing="1" w:line="240" w:lineRule="atLeast"/>
              <w:jc w:val="center"/>
              <w:rPr>
                <w:rFonts w:ascii="宋体" w:hAnsi="宋体" w:cs="宋体"/>
                <w:kern w:val="0"/>
                <w:szCs w:val="21"/>
                <w:highlight w:val="none"/>
              </w:rPr>
            </w:pPr>
          </w:p>
        </w:tc>
      </w:tr>
      <w:tr w14:paraId="11B5C059">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0DD92B30">
            <w:pPr>
              <w:spacing w:before="100" w:beforeAutospacing="1" w:after="100" w:afterAutospacing="1" w:line="240" w:lineRule="atLeast"/>
              <w:jc w:val="center"/>
              <w:rPr>
                <w:rFonts w:ascii="宋体" w:hAnsi="宋体" w:cs="宋体"/>
                <w:kern w:val="0"/>
                <w:szCs w:val="21"/>
                <w:highlight w:val="none"/>
              </w:rPr>
            </w:pPr>
          </w:p>
        </w:tc>
        <w:tc>
          <w:tcPr>
            <w:tcW w:w="1921" w:type="dxa"/>
            <w:tcBorders>
              <w:top w:val="nil"/>
              <w:left w:val="nil"/>
              <w:bottom w:val="single" w:color="auto" w:sz="8" w:space="0"/>
              <w:right w:val="single" w:color="auto" w:sz="8" w:space="0"/>
            </w:tcBorders>
            <w:noWrap/>
            <w:vAlign w:val="center"/>
          </w:tcPr>
          <w:p w14:paraId="42E8D1E2">
            <w:pPr>
              <w:spacing w:before="100" w:beforeAutospacing="1" w:after="100" w:afterAutospacing="1" w:line="240" w:lineRule="atLeast"/>
              <w:jc w:val="center"/>
              <w:rPr>
                <w:rFonts w:ascii="宋体" w:hAnsi="宋体" w:cs="宋体"/>
                <w:kern w:val="0"/>
                <w:szCs w:val="21"/>
                <w:highlight w:val="none"/>
              </w:rPr>
            </w:pPr>
          </w:p>
        </w:tc>
        <w:tc>
          <w:tcPr>
            <w:tcW w:w="2902" w:type="dxa"/>
            <w:gridSpan w:val="3"/>
            <w:tcBorders>
              <w:top w:val="nil"/>
              <w:left w:val="nil"/>
              <w:bottom w:val="single" w:color="auto" w:sz="8" w:space="0"/>
              <w:right w:val="single" w:color="auto" w:sz="8" w:space="0"/>
            </w:tcBorders>
            <w:noWrap/>
            <w:vAlign w:val="center"/>
          </w:tcPr>
          <w:p w14:paraId="3A039BA6">
            <w:pPr>
              <w:spacing w:before="100" w:beforeAutospacing="1" w:after="100" w:afterAutospacing="1" w:line="240" w:lineRule="atLeast"/>
              <w:jc w:val="center"/>
              <w:rPr>
                <w:rFonts w:ascii="宋体" w:hAnsi="宋体" w:cs="宋体"/>
                <w:kern w:val="0"/>
                <w:szCs w:val="21"/>
                <w:highlight w:val="none"/>
              </w:rPr>
            </w:pPr>
          </w:p>
        </w:tc>
        <w:tc>
          <w:tcPr>
            <w:tcW w:w="863" w:type="dxa"/>
            <w:gridSpan w:val="2"/>
            <w:tcBorders>
              <w:top w:val="nil"/>
              <w:left w:val="nil"/>
              <w:bottom w:val="single" w:color="auto" w:sz="8" w:space="0"/>
              <w:right w:val="single" w:color="auto" w:sz="8" w:space="0"/>
            </w:tcBorders>
            <w:noWrap/>
            <w:vAlign w:val="center"/>
          </w:tcPr>
          <w:p w14:paraId="771B5494">
            <w:pPr>
              <w:spacing w:before="100" w:beforeAutospacing="1" w:after="100" w:afterAutospacing="1" w:line="240" w:lineRule="atLeast"/>
              <w:jc w:val="center"/>
              <w:rPr>
                <w:rFonts w:ascii="宋体" w:hAnsi="宋体" w:cs="宋体"/>
                <w:kern w:val="0"/>
                <w:szCs w:val="21"/>
                <w:highlight w:val="none"/>
              </w:rPr>
            </w:pPr>
          </w:p>
        </w:tc>
        <w:tc>
          <w:tcPr>
            <w:tcW w:w="2354" w:type="dxa"/>
            <w:tcBorders>
              <w:top w:val="nil"/>
              <w:left w:val="nil"/>
              <w:bottom w:val="single" w:color="auto" w:sz="8" w:space="0"/>
              <w:right w:val="single" w:color="auto" w:sz="8" w:space="0"/>
            </w:tcBorders>
            <w:noWrap/>
            <w:vAlign w:val="center"/>
          </w:tcPr>
          <w:p w14:paraId="523DCCBA">
            <w:pPr>
              <w:spacing w:before="100" w:beforeAutospacing="1" w:after="100" w:afterAutospacing="1" w:line="240" w:lineRule="atLeast"/>
              <w:jc w:val="center"/>
              <w:rPr>
                <w:rFonts w:ascii="宋体" w:hAnsi="宋体" w:cs="宋体"/>
                <w:kern w:val="0"/>
                <w:szCs w:val="21"/>
                <w:highlight w:val="none"/>
              </w:rPr>
            </w:pPr>
          </w:p>
        </w:tc>
      </w:tr>
      <w:tr w14:paraId="73C2F9B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ign w:val="center"/>
          </w:tcPr>
          <w:p w14:paraId="4D9FA5A3">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合 计</w:t>
            </w:r>
          </w:p>
        </w:tc>
        <w:tc>
          <w:tcPr>
            <w:tcW w:w="863" w:type="dxa"/>
            <w:gridSpan w:val="2"/>
            <w:tcBorders>
              <w:top w:val="nil"/>
              <w:left w:val="nil"/>
              <w:bottom w:val="single" w:color="auto" w:sz="8" w:space="0"/>
              <w:right w:val="single" w:color="auto" w:sz="8" w:space="0"/>
            </w:tcBorders>
            <w:noWrap/>
            <w:vAlign w:val="center"/>
          </w:tcPr>
          <w:p w14:paraId="423DAF4E">
            <w:pPr>
              <w:spacing w:before="100" w:beforeAutospacing="1" w:after="100" w:afterAutospacing="1" w:line="240" w:lineRule="atLeast"/>
              <w:jc w:val="center"/>
              <w:rPr>
                <w:rFonts w:ascii="宋体" w:hAnsi="宋体" w:cs="宋体"/>
                <w:kern w:val="0"/>
                <w:szCs w:val="21"/>
                <w:highlight w:val="none"/>
              </w:rPr>
            </w:pPr>
          </w:p>
        </w:tc>
        <w:tc>
          <w:tcPr>
            <w:tcW w:w="2354" w:type="dxa"/>
            <w:tcBorders>
              <w:top w:val="nil"/>
              <w:left w:val="nil"/>
              <w:bottom w:val="single" w:color="auto" w:sz="8" w:space="0"/>
              <w:right w:val="single" w:color="auto" w:sz="8" w:space="0"/>
            </w:tcBorders>
            <w:noWrap/>
            <w:vAlign w:val="center"/>
          </w:tcPr>
          <w:p w14:paraId="665FD6FF">
            <w:pPr>
              <w:spacing w:before="100" w:beforeAutospacing="1" w:after="100" w:afterAutospacing="1" w:line="240" w:lineRule="atLeast"/>
              <w:jc w:val="center"/>
              <w:rPr>
                <w:rFonts w:ascii="宋体" w:hAnsi="宋体" w:cs="宋体"/>
                <w:kern w:val="0"/>
                <w:szCs w:val="21"/>
                <w:highlight w:val="none"/>
              </w:rPr>
            </w:pPr>
          </w:p>
        </w:tc>
      </w:tr>
      <w:tr w14:paraId="08D545F3">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ign w:val="center"/>
          </w:tcPr>
          <w:p w14:paraId="30C5DC02">
            <w:pPr>
              <w:snapToGrid w:val="0"/>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合计大写金额： 亿 仟 佰 拾 万 仟 佰 拾 元</w:t>
            </w:r>
          </w:p>
        </w:tc>
      </w:tr>
      <w:tr w14:paraId="22A5BECB">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ign w:val="center"/>
          </w:tcPr>
          <w:p w14:paraId="660D75D7">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实际供货日期</w:t>
            </w:r>
          </w:p>
        </w:tc>
        <w:tc>
          <w:tcPr>
            <w:tcW w:w="2719" w:type="dxa"/>
            <w:gridSpan w:val="2"/>
            <w:tcBorders>
              <w:top w:val="nil"/>
              <w:left w:val="nil"/>
              <w:bottom w:val="single" w:color="auto" w:sz="8" w:space="0"/>
              <w:right w:val="single" w:color="auto" w:sz="8" w:space="0"/>
            </w:tcBorders>
            <w:noWrap/>
            <w:vAlign w:val="center"/>
          </w:tcPr>
          <w:p w14:paraId="5F3F4D3D">
            <w:pPr>
              <w:spacing w:before="100" w:beforeAutospacing="1" w:after="100" w:afterAutospacing="1" w:line="240" w:lineRule="atLeast"/>
              <w:jc w:val="center"/>
              <w:rPr>
                <w:rFonts w:ascii="宋体" w:hAnsi="宋体" w:cs="宋体"/>
                <w:kern w:val="0"/>
                <w:szCs w:val="21"/>
                <w:highlight w:val="none"/>
              </w:rPr>
            </w:pPr>
          </w:p>
        </w:tc>
        <w:tc>
          <w:tcPr>
            <w:tcW w:w="2282" w:type="dxa"/>
            <w:gridSpan w:val="3"/>
            <w:tcBorders>
              <w:top w:val="nil"/>
              <w:left w:val="nil"/>
              <w:bottom w:val="single" w:color="auto" w:sz="8" w:space="0"/>
              <w:right w:val="single" w:color="auto" w:sz="8" w:space="0"/>
            </w:tcBorders>
            <w:noWrap/>
            <w:vAlign w:val="center"/>
          </w:tcPr>
          <w:p w14:paraId="6F55E3E3">
            <w:pPr>
              <w:snapToGrid w:val="0"/>
              <w:spacing w:before="100" w:beforeAutospacing="1" w:after="100" w:afterAutospacing="1" w:line="320" w:lineRule="atLeast"/>
              <w:jc w:val="center"/>
              <w:rPr>
                <w:rFonts w:ascii="宋体" w:hAnsi="宋体" w:cs="宋体"/>
                <w:kern w:val="0"/>
                <w:szCs w:val="21"/>
                <w:highlight w:val="none"/>
              </w:rPr>
            </w:pPr>
            <w:r>
              <w:rPr>
                <w:rFonts w:hint="eastAsia" w:ascii="宋体" w:hAnsi="宋体" w:cs="宋体"/>
                <w:kern w:val="0"/>
                <w:szCs w:val="21"/>
                <w:highlight w:val="none"/>
              </w:rPr>
              <w:t>合同交货验收日期</w:t>
            </w:r>
          </w:p>
        </w:tc>
        <w:tc>
          <w:tcPr>
            <w:tcW w:w="3039" w:type="dxa"/>
            <w:gridSpan w:val="2"/>
            <w:tcBorders>
              <w:top w:val="nil"/>
              <w:left w:val="nil"/>
              <w:bottom w:val="single" w:color="auto" w:sz="8" w:space="0"/>
              <w:right w:val="single" w:color="auto" w:sz="8" w:space="0"/>
            </w:tcBorders>
            <w:noWrap/>
            <w:vAlign w:val="center"/>
          </w:tcPr>
          <w:p w14:paraId="069F8B6A">
            <w:pPr>
              <w:spacing w:before="100" w:beforeAutospacing="1" w:after="100" w:afterAutospacing="1" w:line="240" w:lineRule="atLeast"/>
              <w:jc w:val="center"/>
              <w:rPr>
                <w:rFonts w:ascii="宋体" w:hAnsi="宋体" w:cs="宋体"/>
                <w:kern w:val="0"/>
                <w:szCs w:val="21"/>
                <w:highlight w:val="none"/>
              </w:rPr>
            </w:pPr>
          </w:p>
        </w:tc>
      </w:tr>
      <w:tr w14:paraId="2901B1C6">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ign w:val="center"/>
          </w:tcPr>
          <w:p w14:paraId="4917D16B">
            <w:pPr>
              <w:spacing w:before="100" w:beforeAutospacing="1" w:after="100" w:afterAutospacing="1" w:line="240" w:lineRule="atLeast"/>
              <w:jc w:val="center"/>
              <w:rPr>
                <w:rFonts w:ascii="宋体" w:hAnsi="宋体" w:cs="宋体"/>
                <w:kern w:val="0"/>
                <w:szCs w:val="21"/>
                <w:highlight w:val="none"/>
              </w:rPr>
            </w:pPr>
          </w:p>
        </w:tc>
        <w:tc>
          <w:tcPr>
            <w:tcW w:w="2719" w:type="dxa"/>
            <w:gridSpan w:val="2"/>
            <w:tcBorders>
              <w:top w:val="nil"/>
              <w:left w:val="nil"/>
              <w:bottom w:val="single" w:color="auto" w:sz="8" w:space="0"/>
              <w:right w:val="single" w:color="auto" w:sz="8" w:space="0"/>
            </w:tcBorders>
            <w:noWrap/>
            <w:vAlign w:val="center"/>
          </w:tcPr>
          <w:p w14:paraId="39421BB0">
            <w:pPr>
              <w:spacing w:before="100" w:beforeAutospacing="1" w:after="100" w:afterAutospacing="1" w:line="240" w:lineRule="atLeast"/>
              <w:jc w:val="center"/>
              <w:rPr>
                <w:rFonts w:ascii="宋体" w:hAnsi="宋体" w:cs="宋体"/>
                <w:kern w:val="0"/>
                <w:szCs w:val="21"/>
                <w:highlight w:val="none"/>
              </w:rPr>
            </w:pPr>
          </w:p>
        </w:tc>
        <w:tc>
          <w:tcPr>
            <w:tcW w:w="2282" w:type="dxa"/>
            <w:gridSpan w:val="3"/>
            <w:tcBorders>
              <w:top w:val="nil"/>
              <w:left w:val="nil"/>
              <w:bottom w:val="single" w:color="auto" w:sz="8" w:space="0"/>
              <w:right w:val="single" w:color="auto" w:sz="8" w:space="0"/>
            </w:tcBorders>
            <w:noWrap/>
            <w:vAlign w:val="center"/>
          </w:tcPr>
          <w:p w14:paraId="43E2BB20">
            <w:pPr>
              <w:spacing w:before="100" w:beforeAutospacing="1" w:after="100" w:afterAutospacing="1" w:line="240" w:lineRule="atLeast"/>
              <w:jc w:val="center"/>
              <w:rPr>
                <w:rFonts w:ascii="宋体" w:hAnsi="宋体" w:cs="宋体"/>
                <w:kern w:val="0"/>
                <w:szCs w:val="21"/>
                <w:highlight w:val="none"/>
              </w:rPr>
            </w:pPr>
          </w:p>
        </w:tc>
        <w:tc>
          <w:tcPr>
            <w:tcW w:w="3039" w:type="dxa"/>
            <w:gridSpan w:val="2"/>
            <w:tcBorders>
              <w:top w:val="nil"/>
              <w:left w:val="nil"/>
              <w:bottom w:val="single" w:color="auto" w:sz="8" w:space="0"/>
              <w:right w:val="single" w:color="auto" w:sz="8" w:space="0"/>
            </w:tcBorders>
            <w:noWrap/>
            <w:vAlign w:val="center"/>
          </w:tcPr>
          <w:p w14:paraId="60FB0710">
            <w:pPr>
              <w:spacing w:before="100" w:beforeAutospacing="1" w:after="100" w:afterAutospacing="1" w:line="240" w:lineRule="atLeast"/>
              <w:jc w:val="center"/>
              <w:rPr>
                <w:rFonts w:ascii="宋体" w:hAnsi="宋体" w:cs="宋体"/>
                <w:kern w:val="0"/>
                <w:szCs w:val="21"/>
                <w:highlight w:val="none"/>
              </w:rPr>
            </w:pPr>
          </w:p>
        </w:tc>
      </w:tr>
      <w:tr w14:paraId="7FBDF66A">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FAB2114">
            <w:pPr>
              <w:snapToGrid w:val="0"/>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验收具体内容</w:t>
            </w:r>
          </w:p>
        </w:tc>
        <w:tc>
          <w:tcPr>
            <w:tcW w:w="8040" w:type="dxa"/>
            <w:gridSpan w:val="7"/>
            <w:tcBorders>
              <w:top w:val="nil"/>
              <w:left w:val="nil"/>
              <w:bottom w:val="single" w:color="auto" w:sz="8" w:space="0"/>
              <w:right w:val="single" w:color="auto" w:sz="8" w:space="0"/>
            </w:tcBorders>
            <w:noWrap/>
            <w:tcMar>
              <w:top w:w="0" w:type="dxa"/>
              <w:left w:w="108" w:type="dxa"/>
              <w:bottom w:w="0" w:type="dxa"/>
              <w:right w:w="108" w:type="dxa"/>
            </w:tcMar>
            <w:vAlign w:val="center"/>
          </w:tcPr>
          <w:p w14:paraId="5DEC68CA">
            <w:pPr>
              <w:snapToGrid w:val="0"/>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2E4AC2AC">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28F4331B">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验收小组意见</w:t>
            </w:r>
          </w:p>
        </w:tc>
        <w:tc>
          <w:tcPr>
            <w:tcW w:w="8040" w:type="dxa"/>
            <w:gridSpan w:val="7"/>
            <w:tcBorders>
              <w:top w:val="nil"/>
              <w:left w:val="nil"/>
              <w:bottom w:val="single" w:color="auto" w:sz="8" w:space="0"/>
              <w:right w:val="single" w:color="auto" w:sz="8" w:space="0"/>
            </w:tcBorders>
            <w:noWrap/>
            <w:vAlign w:val="center"/>
          </w:tcPr>
          <w:p w14:paraId="1F86E108">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验收结论性意见：</w:t>
            </w:r>
          </w:p>
        </w:tc>
      </w:tr>
      <w:tr w14:paraId="6E12A650">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ign w:val="center"/>
          </w:tcPr>
          <w:p w14:paraId="5500FB71">
            <w:pPr>
              <w:jc w:val="left"/>
              <w:rPr>
                <w:rFonts w:ascii="宋体" w:hAnsi="宋体" w:cs="宋体"/>
                <w:kern w:val="0"/>
                <w:szCs w:val="21"/>
                <w:highlight w:val="none"/>
              </w:rPr>
            </w:pPr>
          </w:p>
        </w:tc>
        <w:tc>
          <w:tcPr>
            <w:tcW w:w="8040" w:type="dxa"/>
            <w:gridSpan w:val="7"/>
            <w:tcBorders>
              <w:top w:val="nil"/>
              <w:left w:val="nil"/>
              <w:bottom w:val="single" w:color="auto" w:sz="8" w:space="0"/>
              <w:right w:val="single" w:color="auto" w:sz="8" w:space="0"/>
            </w:tcBorders>
            <w:noWrap/>
            <w:vAlign w:val="center"/>
          </w:tcPr>
          <w:p w14:paraId="0569935F">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有异议的意见和说明理由：</w:t>
            </w:r>
          </w:p>
          <w:p w14:paraId="402F7676">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签字：</w:t>
            </w:r>
          </w:p>
        </w:tc>
      </w:tr>
      <w:tr w14:paraId="47EEA069">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592FC31">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验收小组成员签字：</w:t>
            </w:r>
          </w:p>
        </w:tc>
      </w:tr>
      <w:tr w14:paraId="076E4A38">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01CC477">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监督人员或者其他相关人员签字：</w:t>
            </w:r>
          </w:p>
          <w:p w14:paraId="00C5A619">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或者受邀机构的意见（盖章）：</w:t>
            </w:r>
          </w:p>
        </w:tc>
      </w:tr>
      <w:tr w14:paraId="08D249B3">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tcMar>
              <w:top w:w="0" w:type="dxa"/>
              <w:left w:w="108" w:type="dxa"/>
              <w:bottom w:w="0" w:type="dxa"/>
              <w:right w:w="108" w:type="dxa"/>
            </w:tcMar>
            <w:vAlign w:val="center"/>
          </w:tcPr>
          <w:p w14:paraId="40F935F6">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中标或者成交人负责人签字或者盖章：</w:t>
            </w:r>
          </w:p>
          <w:p w14:paraId="696B253F">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ign w:val="center"/>
          </w:tcPr>
          <w:p w14:paraId="5CC72463">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采购人或者受托机构的意见（盖章）：</w:t>
            </w:r>
          </w:p>
          <w:p w14:paraId="2AE29AF7">
            <w:pPr>
              <w:spacing w:before="100" w:beforeAutospacing="1" w:after="100" w:afterAutospacing="1" w:line="320" w:lineRule="atLeast"/>
              <w:jc w:val="left"/>
              <w:rPr>
                <w:rFonts w:ascii="宋体" w:hAnsi="宋体" w:cs="宋体"/>
                <w:kern w:val="0"/>
                <w:szCs w:val="21"/>
                <w:highlight w:val="none"/>
              </w:rPr>
            </w:pPr>
            <w:r>
              <w:rPr>
                <w:rFonts w:hint="eastAsia" w:ascii="宋体" w:hAnsi="宋体" w:cs="宋体"/>
                <w:kern w:val="0"/>
                <w:szCs w:val="21"/>
                <w:highlight w:val="none"/>
              </w:rPr>
              <w:t>联系电话： 年 月 日</w:t>
            </w:r>
          </w:p>
        </w:tc>
      </w:tr>
    </w:tbl>
    <w:p w14:paraId="53C0D6D9">
      <w:pPr>
        <w:jc w:val="left"/>
        <w:rPr>
          <w:rFonts w:ascii="宋体" w:hAnsi="宋体" w:cs="宋体"/>
          <w:highlight w:val="none"/>
        </w:rPr>
      </w:pPr>
      <w:r>
        <w:rPr>
          <w:rFonts w:hint="eastAsia" w:ascii="宋体" w:hAnsi="宋体" w:cs="宋体"/>
          <w:highlight w:val="none"/>
        </w:rPr>
        <w:br w:type="page"/>
      </w:r>
      <w:r>
        <w:rPr>
          <w:rFonts w:hint="eastAsia" w:ascii="宋体" w:hAnsi="宋体" w:cs="宋体"/>
          <w:b/>
          <w:bCs/>
          <w:sz w:val="28"/>
          <w:szCs w:val="28"/>
          <w:highlight w:val="none"/>
        </w:rPr>
        <w:t>4.政府采购项目履约保证金退付意见书的格式：</w:t>
      </w:r>
    </w:p>
    <w:p w14:paraId="20A9DB31">
      <w:pPr>
        <w:ind w:firstLine="480"/>
        <w:jc w:val="center"/>
        <w:rPr>
          <w:rFonts w:ascii="宋体" w:hAnsi="宋体" w:cs="宋体"/>
          <w:sz w:val="32"/>
          <w:szCs w:val="32"/>
          <w:highlight w:val="none"/>
        </w:rPr>
      </w:pPr>
    </w:p>
    <w:p w14:paraId="29BBD7C0">
      <w:pPr>
        <w:ind w:firstLine="480"/>
        <w:jc w:val="center"/>
        <w:rPr>
          <w:rFonts w:ascii="宋体" w:hAnsi="宋体" w:cs="宋体"/>
          <w:sz w:val="32"/>
          <w:szCs w:val="32"/>
          <w:highlight w:val="none"/>
        </w:rPr>
      </w:pPr>
      <w:r>
        <w:rPr>
          <w:rFonts w:hint="eastAsia" w:ascii="宋体" w:hAnsi="宋体" w:cs="宋体"/>
          <w:sz w:val="32"/>
          <w:szCs w:val="32"/>
          <w:highlight w:val="none"/>
        </w:rPr>
        <w:t>政府采购项目履约保证金退付意见书（参考）</w:t>
      </w:r>
    </w:p>
    <w:p w14:paraId="3080DCDE">
      <w:pPr>
        <w:ind w:firstLine="540"/>
        <w:jc w:val="center"/>
        <w:rPr>
          <w:rFonts w:ascii="宋体" w:hAnsi="宋体" w:cs="宋体"/>
          <w:sz w:val="36"/>
          <w:szCs w:val="36"/>
          <w:highlight w:val="none"/>
        </w:rPr>
      </w:pPr>
    </w:p>
    <w:tbl>
      <w:tblPr>
        <w:tblStyle w:val="28"/>
        <w:tblW w:w="94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724E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ign w:val="center"/>
          </w:tcPr>
          <w:p w14:paraId="4828ED29">
            <w:pPr>
              <w:jc w:val="center"/>
              <w:rPr>
                <w:rFonts w:ascii="宋体" w:hAnsi="宋体" w:cs="宋体"/>
                <w:sz w:val="24"/>
                <w:highlight w:val="none"/>
              </w:rPr>
            </w:pPr>
            <w:r>
              <w:rPr>
                <w:rFonts w:hint="eastAsia" w:ascii="宋体" w:hAnsi="宋体" w:cs="宋体"/>
                <w:sz w:val="24"/>
                <w:highlight w:val="none"/>
              </w:rPr>
              <w:t>供</w:t>
            </w:r>
          </w:p>
          <w:p w14:paraId="0007D3F4">
            <w:pPr>
              <w:jc w:val="center"/>
              <w:rPr>
                <w:rFonts w:ascii="宋体" w:hAnsi="宋体" w:cs="宋体"/>
                <w:sz w:val="24"/>
                <w:highlight w:val="none"/>
              </w:rPr>
            </w:pPr>
            <w:r>
              <w:rPr>
                <w:rFonts w:hint="eastAsia" w:ascii="宋体" w:hAnsi="宋体" w:cs="宋体"/>
                <w:sz w:val="24"/>
                <w:highlight w:val="none"/>
              </w:rPr>
              <w:t>应</w:t>
            </w:r>
          </w:p>
          <w:p w14:paraId="19482A5C">
            <w:pPr>
              <w:jc w:val="center"/>
              <w:rPr>
                <w:rFonts w:ascii="宋体" w:hAnsi="宋体" w:cs="宋体"/>
                <w:sz w:val="24"/>
                <w:highlight w:val="none"/>
              </w:rPr>
            </w:pPr>
            <w:r>
              <w:rPr>
                <w:rFonts w:hint="eastAsia" w:ascii="宋体" w:hAnsi="宋体" w:cs="宋体"/>
                <w:sz w:val="24"/>
                <w:highlight w:val="none"/>
              </w:rPr>
              <w:t>商</w:t>
            </w:r>
          </w:p>
          <w:p w14:paraId="21870388">
            <w:pPr>
              <w:jc w:val="center"/>
              <w:rPr>
                <w:rFonts w:ascii="宋体" w:hAnsi="宋体" w:cs="宋体"/>
                <w:sz w:val="24"/>
                <w:highlight w:val="none"/>
              </w:rPr>
            </w:pPr>
            <w:r>
              <w:rPr>
                <w:rFonts w:hint="eastAsia" w:ascii="宋体" w:hAnsi="宋体" w:cs="宋体"/>
                <w:sz w:val="24"/>
                <w:highlight w:val="none"/>
              </w:rPr>
              <w:t>申</w:t>
            </w:r>
          </w:p>
          <w:p w14:paraId="1E648ECE">
            <w:pPr>
              <w:jc w:val="center"/>
              <w:rPr>
                <w:rFonts w:ascii="宋体" w:hAnsi="宋体" w:cs="宋体"/>
                <w:sz w:val="24"/>
                <w:highlight w:val="none"/>
              </w:rPr>
            </w:pPr>
            <w:r>
              <w:rPr>
                <w:rFonts w:hint="eastAsia" w:ascii="宋体" w:hAnsi="宋体" w:cs="宋体"/>
                <w:sz w:val="24"/>
                <w:highlight w:val="none"/>
              </w:rPr>
              <w:t>请</w:t>
            </w:r>
          </w:p>
        </w:tc>
        <w:tc>
          <w:tcPr>
            <w:tcW w:w="8456" w:type="dxa"/>
            <w:noWrap/>
            <w:vAlign w:val="center"/>
          </w:tcPr>
          <w:p w14:paraId="0EDD7FCD">
            <w:pPr>
              <w:rPr>
                <w:rFonts w:ascii="宋体" w:hAnsi="宋体" w:cs="宋体"/>
                <w:sz w:val="24"/>
                <w:highlight w:val="none"/>
              </w:rPr>
            </w:pPr>
            <w:r>
              <w:rPr>
                <w:rFonts w:hint="eastAsia" w:ascii="宋体" w:hAnsi="宋体" w:cs="宋体"/>
                <w:sz w:val="24"/>
                <w:highlight w:val="none"/>
              </w:rPr>
              <w:t>项目编号：</w:t>
            </w:r>
          </w:p>
        </w:tc>
      </w:tr>
      <w:tr w14:paraId="76AE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ign w:val="center"/>
          </w:tcPr>
          <w:p w14:paraId="6CA55921">
            <w:pPr>
              <w:rPr>
                <w:rFonts w:ascii="宋体" w:hAnsi="宋体" w:cs="宋体"/>
                <w:sz w:val="24"/>
                <w:highlight w:val="none"/>
              </w:rPr>
            </w:pPr>
          </w:p>
        </w:tc>
        <w:tc>
          <w:tcPr>
            <w:tcW w:w="8456" w:type="dxa"/>
            <w:noWrap/>
            <w:vAlign w:val="center"/>
          </w:tcPr>
          <w:p w14:paraId="0324572C">
            <w:pPr>
              <w:rPr>
                <w:rFonts w:ascii="宋体" w:hAnsi="宋体" w:cs="宋体"/>
                <w:sz w:val="24"/>
                <w:highlight w:val="none"/>
              </w:rPr>
            </w:pPr>
            <w:r>
              <w:rPr>
                <w:rFonts w:hint="eastAsia" w:ascii="宋体" w:hAnsi="宋体" w:cs="宋体"/>
                <w:sz w:val="24"/>
                <w:highlight w:val="none"/>
              </w:rPr>
              <w:t>项目名称：</w:t>
            </w:r>
          </w:p>
        </w:tc>
      </w:tr>
      <w:tr w14:paraId="4E09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tcPr>
          <w:p w14:paraId="1C7D7B20">
            <w:pPr>
              <w:rPr>
                <w:rFonts w:ascii="宋体" w:hAnsi="宋体" w:cs="宋体"/>
                <w:sz w:val="24"/>
                <w:highlight w:val="none"/>
              </w:rPr>
            </w:pPr>
          </w:p>
        </w:tc>
        <w:tc>
          <w:tcPr>
            <w:tcW w:w="8456" w:type="dxa"/>
            <w:noWrap/>
          </w:tcPr>
          <w:p w14:paraId="3F84ABF9">
            <w:pPr>
              <w:rPr>
                <w:rFonts w:ascii="宋体" w:hAnsi="宋体" w:cs="宋体"/>
                <w:sz w:val="24"/>
                <w:highlight w:val="none"/>
              </w:rPr>
            </w:pPr>
          </w:p>
          <w:p w14:paraId="093D2E1E">
            <w:pPr>
              <w:spacing w:line="400" w:lineRule="exact"/>
              <w:ind w:firstLine="480" w:firstLineChars="200"/>
              <w:rPr>
                <w:rFonts w:ascii="宋体" w:hAnsi="宋体" w:cs="宋体"/>
                <w:sz w:val="24"/>
                <w:highlight w:val="none"/>
              </w:rPr>
            </w:pPr>
            <w:r>
              <w:rPr>
                <w:rFonts w:hint="eastAsia" w:ascii="宋体" w:hAnsi="宋体" w:cs="宋体"/>
                <w:sz w:val="24"/>
                <w:highlight w:val="none"/>
              </w:rPr>
              <w:t>该项目已于年月日验收并交付使用。根据合同规定，该项目的履约保证金期限于年月日已满，请将履约保证金（大写）人民币                              （小写）¥退付到达以下账户。</w:t>
            </w:r>
          </w:p>
          <w:p w14:paraId="287A94A2">
            <w:pPr>
              <w:spacing w:line="400" w:lineRule="exact"/>
              <w:rPr>
                <w:rFonts w:ascii="宋体" w:hAnsi="宋体" w:cs="宋体"/>
                <w:sz w:val="24"/>
                <w:highlight w:val="none"/>
              </w:rPr>
            </w:pPr>
          </w:p>
          <w:p w14:paraId="39C26A4D">
            <w:pPr>
              <w:spacing w:line="400" w:lineRule="exact"/>
              <w:ind w:firstLine="480" w:firstLineChars="200"/>
              <w:rPr>
                <w:rFonts w:ascii="宋体" w:hAnsi="宋体" w:cs="宋体"/>
                <w:sz w:val="24"/>
                <w:highlight w:val="none"/>
              </w:rPr>
            </w:pPr>
            <w:r>
              <w:rPr>
                <w:rFonts w:hint="eastAsia" w:ascii="宋体" w:hAnsi="宋体" w:cs="宋体"/>
                <w:sz w:val="24"/>
                <w:highlight w:val="none"/>
              </w:rPr>
              <w:t>单位名称：</w:t>
            </w:r>
          </w:p>
          <w:p w14:paraId="1DC0A950">
            <w:pPr>
              <w:spacing w:line="400" w:lineRule="exact"/>
              <w:ind w:firstLine="480" w:firstLineChars="200"/>
              <w:rPr>
                <w:rFonts w:ascii="宋体" w:hAnsi="宋体" w:cs="宋体"/>
                <w:sz w:val="24"/>
                <w:highlight w:val="none"/>
              </w:rPr>
            </w:pPr>
            <w:r>
              <w:rPr>
                <w:rFonts w:hint="eastAsia" w:ascii="宋体" w:hAnsi="宋体" w:cs="宋体"/>
                <w:sz w:val="24"/>
                <w:highlight w:val="none"/>
              </w:rPr>
              <w:t>开户银行：</w:t>
            </w:r>
          </w:p>
          <w:p w14:paraId="06DD5B91">
            <w:pPr>
              <w:spacing w:line="400" w:lineRule="exact"/>
              <w:ind w:firstLine="480" w:firstLineChars="200"/>
              <w:rPr>
                <w:rFonts w:ascii="宋体" w:hAnsi="宋体" w:cs="宋体"/>
                <w:sz w:val="24"/>
                <w:highlight w:val="none"/>
              </w:rPr>
            </w:pPr>
            <w:r>
              <w:rPr>
                <w:rFonts w:hint="eastAsia" w:ascii="宋体" w:hAnsi="宋体" w:cs="宋体"/>
                <w:sz w:val="24"/>
                <w:highlight w:val="none"/>
              </w:rPr>
              <w:t>账   号：</w:t>
            </w:r>
          </w:p>
          <w:p w14:paraId="78886F00">
            <w:pPr>
              <w:spacing w:line="400" w:lineRule="exact"/>
              <w:ind w:firstLine="480" w:firstLineChars="200"/>
              <w:rPr>
                <w:rFonts w:ascii="宋体" w:hAnsi="宋体" w:cs="宋体"/>
                <w:sz w:val="24"/>
                <w:highlight w:val="none"/>
              </w:rPr>
            </w:pPr>
            <w:r>
              <w:rPr>
                <w:rFonts w:hint="eastAsia" w:ascii="宋体" w:hAnsi="宋体" w:cs="宋体"/>
                <w:sz w:val="24"/>
                <w:highlight w:val="none"/>
              </w:rPr>
              <w:t>联系人及电话：</w:t>
            </w:r>
          </w:p>
          <w:p w14:paraId="61BCE800">
            <w:pPr>
              <w:spacing w:line="400" w:lineRule="exact"/>
              <w:rPr>
                <w:rFonts w:ascii="宋体" w:hAnsi="宋体" w:cs="宋体"/>
                <w:sz w:val="24"/>
                <w:highlight w:val="none"/>
              </w:rPr>
            </w:pPr>
          </w:p>
          <w:p w14:paraId="40D3A1CE">
            <w:pPr>
              <w:spacing w:line="520" w:lineRule="exact"/>
              <w:jc w:val="center"/>
              <w:rPr>
                <w:rFonts w:ascii="宋体" w:hAnsi="宋体" w:cs="宋体"/>
                <w:sz w:val="24"/>
                <w:highlight w:val="none"/>
              </w:rPr>
            </w:pPr>
            <w:r>
              <w:rPr>
                <w:rFonts w:hint="eastAsia" w:ascii="宋体" w:hAnsi="宋体" w:cs="宋体"/>
                <w:sz w:val="24"/>
                <w:highlight w:val="none"/>
              </w:rPr>
              <w:t xml:space="preserve">         投标人签章：</w:t>
            </w:r>
          </w:p>
          <w:p w14:paraId="282ABB87">
            <w:pPr>
              <w:spacing w:line="520" w:lineRule="exact"/>
              <w:jc w:val="center"/>
              <w:rPr>
                <w:rFonts w:ascii="宋体" w:hAnsi="宋体" w:cs="宋体"/>
                <w:sz w:val="24"/>
                <w:highlight w:val="none"/>
              </w:rPr>
            </w:pPr>
            <w:r>
              <w:rPr>
                <w:rFonts w:hint="eastAsia" w:ascii="宋体" w:hAnsi="宋体" w:cs="宋体"/>
                <w:sz w:val="24"/>
                <w:highlight w:val="none"/>
              </w:rPr>
              <w:t xml:space="preserve">                           年    月     日</w:t>
            </w:r>
          </w:p>
        </w:tc>
      </w:tr>
      <w:tr w14:paraId="195A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1008" w:type="dxa"/>
            <w:noWrap/>
            <w:vAlign w:val="center"/>
          </w:tcPr>
          <w:p w14:paraId="655B545F">
            <w:pPr>
              <w:jc w:val="center"/>
              <w:rPr>
                <w:rFonts w:ascii="宋体" w:hAnsi="宋体" w:cs="宋体"/>
                <w:sz w:val="24"/>
                <w:highlight w:val="none"/>
              </w:rPr>
            </w:pPr>
            <w:r>
              <w:rPr>
                <w:rFonts w:hint="eastAsia" w:ascii="宋体" w:hAnsi="宋体" w:cs="宋体"/>
                <w:sz w:val="24"/>
                <w:highlight w:val="none"/>
              </w:rPr>
              <w:t>采</w:t>
            </w:r>
          </w:p>
          <w:p w14:paraId="7C5ADFEC">
            <w:pPr>
              <w:jc w:val="center"/>
              <w:rPr>
                <w:rFonts w:ascii="宋体" w:hAnsi="宋体" w:cs="宋体"/>
                <w:sz w:val="24"/>
                <w:highlight w:val="none"/>
              </w:rPr>
            </w:pPr>
            <w:r>
              <w:rPr>
                <w:rFonts w:hint="eastAsia" w:ascii="宋体" w:hAnsi="宋体" w:cs="宋体"/>
                <w:sz w:val="24"/>
                <w:highlight w:val="none"/>
              </w:rPr>
              <w:t>购</w:t>
            </w:r>
          </w:p>
          <w:p w14:paraId="092468BB">
            <w:pPr>
              <w:jc w:val="center"/>
              <w:rPr>
                <w:rFonts w:ascii="宋体" w:hAnsi="宋体" w:cs="宋体"/>
                <w:sz w:val="24"/>
                <w:highlight w:val="none"/>
              </w:rPr>
            </w:pPr>
            <w:r>
              <w:rPr>
                <w:rFonts w:hint="eastAsia" w:ascii="宋体" w:hAnsi="宋体" w:cs="宋体"/>
                <w:sz w:val="24"/>
                <w:highlight w:val="none"/>
              </w:rPr>
              <w:t>人</w:t>
            </w:r>
          </w:p>
          <w:p w14:paraId="7E94494A">
            <w:pPr>
              <w:jc w:val="center"/>
              <w:rPr>
                <w:rFonts w:ascii="宋体" w:hAnsi="宋体" w:cs="宋体"/>
                <w:sz w:val="24"/>
                <w:highlight w:val="none"/>
              </w:rPr>
            </w:pPr>
            <w:r>
              <w:rPr>
                <w:rFonts w:hint="eastAsia" w:ascii="宋体" w:hAnsi="宋体" w:cs="宋体"/>
                <w:sz w:val="24"/>
                <w:highlight w:val="none"/>
              </w:rPr>
              <w:t>意</w:t>
            </w:r>
          </w:p>
          <w:p w14:paraId="64A39296">
            <w:pPr>
              <w:jc w:val="center"/>
              <w:rPr>
                <w:rFonts w:ascii="宋体" w:hAnsi="宋体" w:cs="宋体"/>
                <w:sz w:val="24"/>
                <w:highlight w:val="none"/>
              </w:rPr>
            </w:pPr>
            <w:r>
              <w:rPr>
                <w:rFonts w:hint="eastAsia" w:ascii="宋体" w:hAnsi="宋体" w:cs="宋体"/>
                <w:sz w:val="24"/>
                <w:highlight w:val="none"/>
              </w:rPr>
              <w:t>见</w:t>
            </w:r>
          </w:p>
        </w:tc>
        <w:tc>
          <w:tcPr>
            <w:tcW w:w="8456" w:type="dxa"/>
            <w:noWrap/>
          </w:tcPr>
          <w:p w14:paraId="3D23CBD5">
            <w:pPr>
              <w:rPr>
                <w:rFonts w:ascii="宋体" w:hAnsi="宋体" w:cs="宋体"/>
                <w:sz w:val="24"/>
                <w:highlight w:val="none"/>
              </w:rPr>
            </w:pPr>
          </w:p>
          <w:p w14:paraId="342E3F67">
            <w:pPr>
              <w:rPr>
                <w:rFonts w:ascii="宋体" w:hAnsi="宋体" w:cs="宋体"/>
                <w:sz w:val="24"/>
                <w:highlight w:val="none"/>
              </w:rPr>
            </w:pPr>
            <w:r>
              <w:rPr>
                <w:rFonts w:hint="eastAsia" w:ascii="宋体" w:hAnsi="宋体" w:cs="宋体"/>
                <w:sz w:val="24"/>
                <w:highlight w:val="none"/>
              </w:rPr>
              <w:t>退付意见：（是否同意退付履约保证金及退付金额）</w:t>
            </w:r>
          </w:p>
          <w:p w14:paraId="50CD57F9">
            <w:pPr>
              <w:rPr>
                <w:rFonts w:ascii="宋体" w:hAnsi="宋体" w:cs="宋体"/>
                <w:sz w:val="24"/>
                <w:highlight w:val="none"/>
              </w:rPr>
            </w:pPr>
          </w:p>
          <w:p w14:paraId="27A3930D">
            <w:pPr>
              <w:rPr>
                <w:rFonts w:ascii="宋体" w:hAnsi="宋体" w:cs="宋体"/>
                <w:sz w:val="24"/>
                <w:highlight w:val="none"/>
              </w:rPr>
            </w:pPr>
          </w:p>
          <w:p w14:paraId="2ABE215F">
            <w:pPr>
              <w:rPr>
                <w:rFonts w:ascii="宋体" w:hAnsi="宋体" w:cs="宋体"/>
                <w:sz w:val="24"/>
                <w:highlight w:val="none"/>
              </w:rPr>
            </w:pPr>
          </w:p>
          <w:p w14:paraId="55ABF1C9">
            <w:pPr>
              <w:rPr>
                <w:rFonts w:ascii="宋体" w:hAnsi="宋体" w:cs="宋体"/>
                <w:sz w:val="24"/>
                <w:highlight w:val="none"/>
              </w:rPr>
            </w:pPr>
          </w:p>
          <w:p w14:paraId="4C1FEAD7">
            <w:pPr>
              <w:spacing w:line="520" w:lineRule="exact"/>
              <w:rPr>
                <w:rFonts w:ascii="宋体" w:hAnsi="宋体" w:cs="宋体"/>
                <w:sz w:val="24"/>
                <w:highlight w:val="none"/>
              </w:rPr>
            </w:pPr>
            <w:r>
              <w:rPr>
                <w:rFonts w:hint="eastAsia" w:ascii="宋体" w:hAnsi="宋体" w:cs="宋体"/>
                <w:sz w:val="24"/>
                <w:highlight w:val="none"/>
              </w:rPr>
              <w:t>联系人及电话：                         采购人签章</w:t>
            </w:r>
          </w:p>
          <w:p w14:paraId="3A7C9757">
            <w:pPr>
              <w:spacing w:line="520" w:lineRule="exact"/>
              <w:jc w:val="center"/>
              <w:rPr>
                <w:rFonts w:ascii="宋体" w:hAnsi="宋体" w:cs="宋体"/>
                <w:sz w:val="24"/>
                <w:highlight w:val="none"/>
              </w:rPr>
            </w:pPr>
            <w:r>
              <w:rPr>
                <w:rFonts w:hint="eastAsia" w:ascii="宋体" w:hAnsi="宋体" w:cs="宋体"/>
                <w:sz w:val="24"/>
                <w:highlight w:val="none"/>
              </w:rPr>
              <w:t xml:space="preserve">                                        年    月     日</w:t>
            </w:r>
          </w:p>
        </w:tc>
      </w:tr>
      <w:tr w14:paraId="3EED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008" w:type="dxa"/>
            <w:noWrap/>
            <w:vAlign w:val="center"/>
          </w:tcPr>
          <w:p w14:paraId="214BC948">
            <w:pPr>
              <w:jc w:val="center"/>
              <w:rPr>
                <w:rFonts w:ascii="宋体" w:hAnsi="宋体" w:cs="宋体"/>
                <w:sz w:val="24"/>
                <w:highlight w:val="none"/>
              </w:rPr>
            </w:pPr>
            <w:r>
              <w:rPr>
                <w:rFonts w:hint="eastAsia" w:ascii="宋体" w:hAnsi="宋体" w:cs="宋体"/>
                <w:sz w:val="24"/>
                <w:highlight w:val="none"/>
              </w:rPr>
              <w:t>备注</w:t>
            </w:r>
          </w:p>
        </w:tc>
        <w:tc>
          <w:tcPr>
            <w:tcW w:w="8456" w:type="dxa"/>
            <w:noWrap/>
          </w:tcPr>
          <w:p w14:paraId="0D12E99A">
            <w:pPr>
              <w:rPr>
                <w:rFonts w:ascii="宋体" w:hAnsi="宋体" w:cs="宋体"/>
                <w:sz w:val="24"/>
                <w:highlight w:val="none"/>
              </w:rPr>
            </w:pPr>
          </w:p>
        </w:tc>
      </w:tr>
    </w:tbl>
    <w:p w14:paraId="3A8AAA4E">
      <w:pPr>
        <w:spacing w:after="120"/>
        <w:ind w:left="420" w:leftChars="114" w:hanging="181" w:hangingChars="100"/>
        <w:rPr>
          <w:rFonts w:ascii="宋体" w:hAnsi="宋体" w:cs="宋体"/>
          <w:b/>
          <w:bCs/>
          <w:sz w:val="18"/>
          <w:highlight w:val="none"/>
        </w:rPr>
      </w:pPr>
      <w:r>
        <w:rPr>
          <w:rFonts w:hint="eastAsia" w:ascii="宋体" w:hAnsi="宋体" w:cs="宋体"/>
          <w:b/>
          <w:bCs/>
          <w:sz w:val="18"/>
          <w:highlight w:val="none"/>
        </w:rPr>
        <w:t>注：投标人凭经采购人审批的退付意见书到履约保证金收取单位办理履约保证金退付事宜。</w:t>
      </w:r>
    </w:p>
    <w:p w14:paraId="2F8A1DB4">
      <w:pPr>
        <w:rPr>
          <w:rFonts w:ascii="宋体" w:hAnsi="宋体" w:cs="宋体"/>
          <w:sz w:val="20"/>
          <w:highlight w:val="none"/>
        </w:rPr>
      </w:pPr>
      <w:r>
        <w:rPr>
          <w:rFonts w:hint="eastAsia" w:ascii="宋体" w:hAnsi="宋体" w:cs="宋体"/>
          <w:szCs w:val="21"/>
          <w:highlight w:val="none"/>
        </w:rPr>
        <w:br w:type="page"/>
      </w:r>
    </w:p>
    <w:p w14:paraId="5560C469">
      <w:pPr>
        <w:pStyle w:val="14"/>
        <w:tabs>
          <w:tab w:val="left" w:pos="2472"/>
        </w:tabs>
        <w:spacing w:line="460" w:lineRule="exact"/>
        <w:ind w:firstLine="542"/>
        <w:jc w:val="center"/>
        <w:rPr>
          <w:rFonts w:hAnsi="宋体" w:cs="宋体"/>
          <w:b/>
          <w:sz w:val="36"/>
          <w:highlight w:val="none"/>
        </w:rPr>
      </w:pPr>
    </w:p>
    <w:p w14:paraId="1821ED90">
      <w:pPr>
        <w:pStyle w:val="14"/>
        <w:tabs>
          <w:tab w:val="left" w:pos="2472"/>
        </w:tabs>
        <w:spacing w:line="460" w:lineRule="exact"/>
        <w:ind w:firstLine="542"/>
        <w:jc w:val="center"/>
        <w:rPr>
          <w:rFonts w:hAnsi="宋体" w:cs="宋体"/>
          <w:b/>
          <w:sz w:val="36"/>
          <w:highlight w:val="none"/>
        </w:rPr>
      </w:pPr>
    </w:p>
    <w:p w14:paraId="40AD750E">
      <w:pPr>
        <w:pStyle w:val="14"/>
        <w:tabs>
          <w:tab w:val="left" w:pos="2472"/>
        </w:tabs>
        <w:spacing w:line="460" w:lineRule="exact"/>
        <w:ind w:firstLine="542"/>
        <w:jc w:val="center"/>
        <w:rPr>
          <w:rFonts w:hAnsi="宋体" w:cs="宋体"/>
          <w:b/>
          <w:sz w:val="36"/>
          <w:highlight w:val="none"/>
        </w:rPr>
      </w:pPr>
    </w:p>
    <w:p w14:paraId="63F97619">
      <w:pPr>
        <w:pStyle w:val="14"/>
        <w:tabs>
          <w:tab w:val="left" w:pos="2472"/>
        </w:tabs>
        <w:spacing w:line="460" w:lineRule="exact"/>
        <w:ind w:firstLine="542"/>
        <w:jc w:val="center"/>
        <w:rPr>
          <w:rFonts w:hAnsi="宋体" w:cs="宋体"/>
          <w:b/>
          <w:sz w:val="36"/>
          <w:highlight w:val="none"/>
        </w:rPr>
      </w:pPr>
    </w:p>
    <w:p w14:paraId="187B2AC1">
      <w:pPr>
        <w:pStyle w:val="14"/>
        <w:tabs>
          <w:tab w:val="left" w:pos="2472"/>
        </w:tabs>
        <w:spacing w:line="460" w:lineRule="exact"/>
        <w:ind w:firstLine="542"/>
        <w:jc w:val="center"/>
        <w:rPr>
          <w:rFonts w:hAnsi="宋体" w:cs="宋体"/>
          <w:b/>
          <w:sz w:val="36"/>
          <w:highlight w:val="none"/>
        </w:rPr>
      </w:pPr>
    </w:p>
    <w:p w14:paraId="53F66986">
      <w:pPr>
        <w:pStyle w:val="14"/>
        <w:tabs>
          <w:tab w:val="left" w:pos="2472"/>
        </w:tabs>
        <w:spacing w:line="460" w:lineRule="exact"/>
        <w:ind w:firstLine="542"/>
        <w:jc w:val="center"/>
        <w:rPr>
          <w:rFonts w:hAnsi="宋体" w:cs="宋体"/>
          <w:b/>
          <w:sz w:val="36"/>
          <w:highlight w:val="none"/>
        </w:rPr>
      </w:pPr>
    </w:p>
    <w:p w14:paraId="7FFB5B95">
      <w:pPr>
        <w:tabs>
          <w:tab w:val="left" w:pos="2472"/>
        </w:tabs>
        <w:spacing w:line="460" w:lineRule="exact"/>
        <w:ind w:firstLine="542"/>
        <w:jc w:val="center"/>
        <w:rPr>
          <w:rFonts w:ascii="宋体" w:hAnsi="宋体" w:cs="宋体"/>
          <w:b/>
          <w:sz w:val="36"/>
          <w:szCs w:val="20"/>
          <w:highlight w:val="none"/>
        </w:rPr>
      </w:pPr>
    </w:p>
    <w:p w14:paraId="5197185F">
      <w:pPr>
        <w:tabs>
          <w:tab w:val="left" w:pos="2472"/>
        </w:tabs>
        <w:spacing w:line="460" w:lineRule="exact"/>
        <w:ind w:firstLine="542"/>
        <w:jc w:val="center"/>
        <w:rPr>
          <w:rFonts w:ascii="宋体" w:hAnsi="宋体" w:cs="宋体"/>
          <w:b/>
          <w:sz w:val="36"/>
          <w:szCs w:val="20"/>
          <w:highlight w:val="none"/>
        </w:rPr>
      </w:pPr>
    </w:p>
    <w:p w14:paraId="6C5A25FA">
      <w:pPr>
        <w:tabs>
          <w:tab w:val="left" w:pos="2472"/>
        </w:tabs>
        <w:spacing w:line="460" w:lineRule="exact"/>
        <w:ind w:firstLine="542"/>
        <w:jc w:val="center"/>
        <w:rPr>
          <w:rFonts w:ascii="宋体" w:hAnsi="宋体" w:cs="宋体"/>
          <w:b/>
          <w:sz w:val="36"/>
          <w:szCs w:val="20"/>
          <w:highlight w:val="none"/>
        </w:rPr>
      </w:pPr>
    </w:p>
    <w:p w14:paraId="7F33A805">
      <w:pPr>
        <w:tabs>
          <w:tab w:val="left" w:pos="2472"/>
        </w:tabs>
        <w:spacing w:line="460" w:lineRule="exact"/>
        <w:ind w:firstLine="542"/>
        <w:jc w:val="center"/>
        <w:rPr>
          <w:rFonts w:ascii="宋体" w:hAnsi="宋体" w:cs="宋体"/>
          <w:b/>
          <w:sz w:val="36"/>
          <w:szCs w:val="20"/>
          <w:highlight w:val="none"/>
        </w:rPr>
      </w:pPr>
    </w:p>
    <w:p w14:paraId="731BDB35">
      <w:pPr>
        <w:tabs>
          <w:tab w:val="left" w:pos="2472"/>
        </w:tabs>
        <w:spacing w:line="460" w:lineRule="exact"/>
        <w:ind w:firstLine="542"/>
        <w:jc w:val="center"/>
        <w:rPr>
          <w:rFonts w:ascii="宋体" w:hAnsi="宋体" w:cs="宋体"/>
          <w:b/>
          <w:sz w:val="36"/>
          <w:szCs w:val="20"/>
          <w:highlight w:val="none"/>
        </w:rPr>
      </w:pPr>
    </w:p>
    <w:p w14:paraId="41073320">
      <w:pPr>
        <w:pStyle w:val="14"/>
        <w:tabs>
          <w:tab w:val="left" w:pos="2472"/>
        </w:tabs>
        <w:spacing w:line="460" w:lineRule="exact"/>
        <w:ind w:firstLine="542"/>
        <w:jc w:val="center"/>
        <w:rPr>
          <w:rFonts w:hAnsi="宋体" w:cs="宋体"/>
          <w:b/>
          <w:sz w:val="36"/>
          <w:highlight w:val="none"/>
        </w:rPr>
      </w:pPr>
    </w:p>
    <w:p w14:paraId="6751495F">
      <w:pPr>
        <w:pStyle w:val="14"/>
        <w:tabs>
          <w:tab w:val="left" w:pos="2472"/>
        </w:tabs>
        <w:spacing w:line="460" w:lineRule="exact"/>
        <w:ind w:firstLine="542"/>
        <w:jc w:val="center"/>
        <w:outlineLvl w:val="0"/>
        <w:rPr>
          <w:rFonts w:hAnsi="宋体" w:cs="宋体"/>
          <w:highlight w:val="none"/>
        </w:rPr>
      </w:pPr>
      <w:bookmarkStart w:id="273" w:name="_Toc19823"/>
      <w:bookmarkStart w:id="274" w:name="_Toc30176"/>
      <w:bookmarkStart w:id="275" w:name="_Toc8663"/>
      <w:bookmarkStart w:id="276" w:name="_Toc15281"/>
      <w:r>
        <w:rPr>
          <w:rFonts w:hint="eastAsia" w:hAnsi="宋体" w:cs="宋体"/>
          <w:b/>
          <w:sz w:val="36"/>
          <w:highlight w:val="none"/>
        </w:rPr>
        <w:t>第七章 质疑、投诉材料格</w:t>
      </w:r>
      <w:bookmarkEnd w:id="273"/>
      <w:bookmarkEnd w:id="274"/>
      <w:bookmarkEnd w:id="275"/>
      <w:r>
        <w:rPr>
          <w:rFonts w:hint="eastAsia" w:hAnsi="宋体" w:cs="宋体"/>
          <w:b/>
          <w:sz w:val="36"/>
          <w:highlight w:val="none"/>
        </w:rPr>
        <w:t>式</w:t>
      </w:r>
      <w:bookmarkEnd w:id="276"/>
      <w:bookmarkStart w:id="277" w:name="_Toc12534"/>
      <w:bookmarkStart w:id="278" w:name="_Toc19413"/>
      <w:bookmarkStart w:id="279" w:name="_Toc18910"/>
      <w:bookmarkStart w:id="280" w:name="_Toc5790"/>
      <w:r>
        <w:rPr>
          <w:rFonts w:hint="eastAsia" w:hAnsi="宋体" w:cs="宋体"/>
          <w:sz w:val="20"/>
          <w:highlight w:val="none"/>
        </w:rPr>
        <w:br w:type="page"/>
      </w:r>
      <w:r>
        <w:rPr>
          <w:rFonts w:hint="eastAsia" w:hAnsi="宋体" w:cs="宋体"/>
          <w:sz w:val="32"/>
          <w:szCs w:val="32"/>
          <w:highlight w:val="none"/>
        </w:rPr>
        <w:t>第一节 质疑函（格式）</w:t>
      </w:r>
      <w:bookmarkEnd w:id="277"/>
      <w:bookmarkEnd w:id="278"/>
      <w:bookmarkEnd w:id="279"/>
      <w:bookmarkEnd w:id="280"/>
    </w:p>
    <w:p w14:paraId="0231E3D6">
      <w:pPr>
        <w:ind w:firstLine="452"/>
        <w:jc w:val="center"/>
        <w:rPr>
          <w:rFonts w:ascii="宋体" w:hAnsi="宋体" w:cs="宋体"/>
          <w:b/>
          <w:bCs/>
          <w:sz w:val="44"/>
          <w:szCs w:val="44"/>
          <w:highlight w:val="none"/>
        </w:rPr>
      </w:pPr>
      <w:r>
        <w:rPr>
          <w:rFonts w:hint="eastAsia" w:ascii="宋体" w:hAnsi="宋体" w:cs="宋体"/>
          <w:b/>
          <w:bCs/>
          <w:sz w:val="30"/>
          <w:szCs w:val="30"/>
          <w:highlight w:val="none"/>
        </w:rPr>
        <w:t>质疑函</w:t>
      </w:r>
    </w:p>
    <w:p w14:paraId="1F54881B">
      <w:pPr>
        <w:adjustRightInd w:val="0"/>
        <w:snapToGrid w:val="0"/>
        <w:spacing w:beforeLines="100" w:line="360" w:lineRule="auto"/>
        <w:ind w:firstLine="360"/>
        <w:rPr>
          <w:rFonts w:ascii="宋体" w:hAnsi="宋体" w:cs="宋体"/>
          <w:bCs/>
          <w:sz w:val="24"/>
          <w:highlight w:val="none"/>
        </w:rPr>
      </w:pPr>
      <w:r>
        <w:rPr>
          <w:rFonts w:hint="eastAsia" w:ascii="宋体" w:hAnsi="宋体" w:cs="宋体"/>
          <w:bCs/>
          <w:sz w:val="24"/>
          <w:highlight w:val="none"/>
        </w:rPr>
        <w:t>一、质疑供应商基本信息</w:t>
      </w:r>
    </w:p>
    <w:p w14:paraId="3E02D56D">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质疑供应商：</w:t>
      </w:r>
    </w:p>
    <w:p w14:paraId="5248A610">
      <w:pPr>
        <w:adjustRightInd w:val="0"/>
        <w:snapToGrid w:val="0"/>
        <w:spacing w:line="360" w:lineRule="auto"/>
        <w:ind w:firstLine="360"/>
        <w:rPr>
          <w:rFonts w:ascii="宋体" w:hAnsi="宋体" w:cs="宋体"/>
          <w:sz w:val="24"/>
          <w:highlight w:val="none"/>
        </w:rPr>
      </w:pPr>
      <w:r>
        <w:rPr>
          <w:rFonts w:hint="eastAsia" w:ascii="宋体" w:hAnsi="宋体" w:cs="宋体"/>
          <w:sz w:val="24"/>
          <w:highlight w:val="none"/>
        </w:rPr>
        <w:t>地址：    邮编：</w:t>
      </w:r>
    </w:p>
    <w:p w14:paraId="73C3DC7F">
      <w:pPr>
        <w:adjustRightInd w:val="0"/>
        <w:snapToGrid w:val="0"/>
        <w:spacing w:line="360" w:lineRule="auto"/>
        <w:ind w:firstLine="360"/>
        <w:rPr>
          <w:rFonts w:ascii="宋体" w:hAnsi="宋体" w:cs="宋体"/>
          <w:sz w:val="24"/>
          <w:highlight w:val="none"/>
        </w:rPr>
      </w:pPr>
      <w:r>
        <w:rPr>
          <w:rFonts w:hint="eastAsia" w:ascii="宋体" w:hAnsi="宋体" w:cs="宋体"/>
          <w:sz w:val="24"/>
          <w:highlight w:val="none"/>
        </w:rPr>
        <w:t>联系人：联系电话：</w:t>
      </w:r>
    </w:p>
    <w:p w14:paraId="53F81242">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授权代表：</w:t>
      </w:r>
    </w:p>
    <w:p w14:paraId="4F27D22E">
      <w:pPr>
        <w:adjustRightInd w:val="0"/>
        <w:snapToGrid w:val="0"/>
        <w:spacing w:line="360" w:lineRule="auto"/>
        <w:ind w:firstLine="360"/>
        <w:rPr>
          <w:rFonts w:ascii="宋体" w:hAnsi="宋体" w:cs="宋体"/>
          <w:sz w:val="24"/>
          <w:highlight w:val="none"/>
        </w:rPr>
      </w:pPr>
      <w:r>
        <w:rPr>
          <w:rFonts w:hint="eastAsia" w:ascii="宋体" w:hAnsi="宋体" w:cs="宋体"/>
          <w:sz w:val="24"/>
          <w:highlight w:val="none"/>
        </w:rPr>
        <w:t>联系电话：</w:t>
      </w:r>
    </w:p>
    <w:p w14:paraId="758860A7">
      <w:pPr>
        <w:adjustRightInd w:val="0"/>
        <w:snapToGrid w:val="0"/>
        <w:spacing w:line="360" w:lineRule="auto"/>
        <w:ind w:firstLine="360"/>
        <w:rPr>
          <w:rFonts w:ascii="宋体" w:hAnsi="宋体" w:cs="宋体"/>
          <w:sz w:val="24"/>
          <w:highlight w:val="none"/>
        </w:rPr>
      </w:pPr>
      <w:r>
        <w:rPr>
          <w:rFonts w:hint="eastAsia" w:ascii="宋体" w:hAnsi="宋体" w:cs="宋体"/>
          <w:sz w:val="24"/>
          <w:highlight w:val="none"/>
        </w:rPr>
        <w:t>地址：     邮编：</w:t>
      </w:r>
    </w:p>
    <w:p w14:paraId="1FD5EE57">
      <w:pPr>
        <w:adjustRightInd w:val="0"/>
        <w:snapToGrid w:val="0"/>
        <w:spacing w:line="360" w:lineRule="auto"/>
        <w:ind w:firstLine="360"/>
        <w:rPr>
          <w:rFonts w:ascii="宋体" w:hAnsi="宋体" w:cs="宋体"/>
          <w:bCs/>
          <w:sz w:val="24"/>
          <w:highlight w:val="none"/>
        </w:rPr>
      </w:pPr>
      <w:r>
        <w:rPr>
          <w:rFonts w:hint="eastAsia" w:ascii="宋体" w:hAnsi="宋体" w:cs="宋体"/>
          <w:bCs/>
          <w:sz w:val="24"/>
          <w:highlight w:val="none"/>
        </w:rPr>
        <w:t>二、质疑项目基本情况</w:t>
      </w:r>
    </w:p>
    <w:p w14:paraId="7EB00B60">
      <w:pPr>
        <w:adjustRightInd w:val="0"/>
        <w:snapToGrid w:val="0"/>
        <w:spacing w:line="360" w:lineRule="auto"/>
        <w:ind w:firstLine="360"/>
        <w:rPr>
          <w:rFonts w:ascii="宋体" w:hAnsi="宋体" w:cs="宋体"/>
          <w:sz w:val="24"/>
          <w:highlight w:val="none"/>
        </w:rPr>
      </w:pPr>
      <w:r>
        <w:rPr>
          <w:rFonts w:hint="eastAsia" w:ascii="宋体" w:hAnsi="宋体" w:cs="宋体"/>
          <w:sz w:val="24"/>
          <w:highlight w:val="none"/>
        </w:rPr>
        <w:t>质疑项目的名称：</w:t>
      </w:r>
    </w:p>
    <w:p w14:paraId="50B2E0C0">
      <w:pPr>
        <w:adjustRightInd w:val="0"/>
        <w:snapToGrid w:val="0"/>
        <w:spacing w:line="360" w:lineRule="auto"/>
        <w:ind w:firstLine="360"/>
        <w:rPr>
          <w:rFonts w:ascii="宋体" w:hAnsi="宋体" w:cs="宋体"/>
          <w:sz w:val="24"/>
          <w:highlight w:val="none"/>
        </w:rPr>
      </w:pPr>
      <w:r>
        <w:rPr>
          <w:rFonts w:hint="eastAsia" w:ascii="宋体" w:hAnsi="宋体" w:cs="宋体"/>
          <w:sz w:val="24"/>
          <w:highlight w:val="none"/>
        </w:rPr>
        <w:t>质疑项目的编号：      包号：</w:t>
      </w:r>
    </w:p>
    <w:p w14:paraId="332C2DC7">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采购人名称：</w:t>
      </w:r>
      <w:bookmarkStart w:id="281" w:name="PO_3000001867_PM026_5"/>
      <w:bookmarkEnd w:id="281"/>
    </w:p>
    <w:p w14:paraId="71734183">
      <w:pPr>
        <w:adjustRightInd w:val="0"/>
        <w:snapToGrid w:val="0"/>
        <w:spacing w:line="360" w:lineRule="auto"/>
        <w:ind w:firstLine="360"/>
        <w:rPr>
          <w:rFonts w:ascii="宋体" w:hAnsi="宋体" w:cs="宋体"/>
          <w:sz w:val="24"/>
          <w:highlight w:val="none"/>
          <w:lang w:val="zh-CN"/>
        </w:rPr>
      </w:pPr>
      <w:r>
        <w:rPr>
          <w:rFonts w:hint="eastAsia" w:ascii="宋体" w:hAnsi="宋体" w:cs="宋体"/>
          <w:sz w:val="24"/>
          <w:highlight w:val="none"/>
          <w:lang w:val="zh-CN"/>
        </w:rPr>
        <w:t>质疑事项：</w:t>
      </w:r>
    </w:p>
    <w:p w14:paraId="39CFAA74">
      <w:pPr>
        <w:adjustRightInd w:val="0"/>
        <w:snapToGrid w:val="0"/>
        <w:spacing w:line="360" w:lineRule="auto"/>
        <w:ind w:firstLine="360"/>
        <w:rPr>
          <w:rFonts w:ascii="宋体" w:hAnsi="宋体" w:cs="宋体"/>
          <w:sz w:val="24"/>
          <w:highlight w:val="none"/>
          <w:lang w:val="zh-CN"/>
        </w:rPr>
      </w:pPr>
      <w:r>
        <w:rPr>
          <w:rFonts w:hint="eastAsia" w:ascii="宋体" w:hAnsi="宋体" w:cs="宋体"/>
          <w:sz w:val="24"/>
          <w:highlight w:val="none"/>
          <w:lang w:val="zh-CN"/>
        </w:rPr>
        <w:t>□采购文件   采购文件获取日期：</w:t>
      </w:r>
    </w:p>
    <w:p w14:paraId="68091A3D">
      <w:pPr>
        <w:adjustRightInd w:val="0"/>
        <w:snapToGrid w:val="0"/>
        <w:spacing w:line="360" w:lineRule="auto"/>
        <w:ind w:firstLine="360"/>
        <w:rPr>
          <w:rFonts w:ascii="宋体" w:hAnsi="宋体" w:cs="宋体"/>
          <w:sz w:val="24"/>
          <w:highlight w:val="none"/>
          <w:lang w:val="zh-CN"/>
        </w:rPr>
      </w:pPr>
      <w:r>
        <w:rPr>
          <w:rFonts w:hint="eastAsia" w:ascii="宋体" w:hAnsi="宋体" w:cs="宋体"/>
          <w:sz w:val="24"/>
          <w:highlight w:val="none"/>
          <w:lang w:val="zh-CN"/>
        </w:rPr>
        <w:t xml:space="preserve">□采购过程   </w:t>
      </w:r>
    </w:p>
    <w:p w14:paraId="29CAD1D6">
      <w:pPr>
        <w:adjustRightInd w:val="0"/>
        <w:snapToGrid w:val="0"/>
        <w:spacing w:line="360" w:lineRule="auto"/>
        <w:ind w:firstLine="360"/>
        <w:rPr>
          <w:rFonts w:ascii="宋体" w:hAnsi="宋体" w:cs="宋体"/>
          <w:sz w:val="24"/>
          <w:highlight w:val="none"/>
          <w:lang w:val="zh-CN"/>
        </w:rPr>
      </w:pPr>
      <w:r>
        <w:rPr>
          <w:rFonts w:hint="eastAsia" w:ascii="宋体" w:hAnsi="宋体" w:cs="宋体"/>
          <w:sz w:val="24"/>
          <w:highlight w:val="none"/>
          <w:lang w:val="zh-CN"/>
        </w:rPr>
        <w:t xml:space="preserve">□中标结果   </w:t>
      </w:r>
    </w:p>
    <w:p w14:paraId="663A1C73">
      <w:pPr>
        <w:adjustRightInd w:val="0"/>
        <w:snapToGrid w:val="0"/>
        <w:spacing w:line="360" w:lineRule="auto"/>
        <w:ind w:firstLine="360"/>
        <w:rPr>
          <w:rFonts w:ascii="宋体" w:hAnsi="宋体" w:cs="宋体"/>
          <w:bCs/>
          <w:sz w:val="24"/>
          <w:highlight w:val="none"/>
        </w:rPr>
      </w:pPr>
      <w:r>
        <w:rPr>
          <w:rFonts w:hint="eastAsia" w:ascii="宋体" w:hAnsi="宋体" w:cs="宋体"/>
          <w:bCs/>
          <w:sz w:val="24"/>
          <w:highlight w:val="none"/>
        </w:rPr>
        <w:t>三、质疑事项具体内容</w:t>
      </w:r>
    </w:p>
    <w:p w14:paraId="3C89E9F8">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质疑事项1：</w:t>
      </w:r>
    </w:p>
    <w:p w14:paraId="1758D37F">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事实依据：</w:t>
      </w:r>
    </w:p>
    <w:p w14:paraId="702AA128">
      <w:pPr>
        <w:adjustRightInd w:val="0"/>
        <w:snapToGrid w:val="0"/>
        <w:spacing w:line="360" w:lineRule="auto"/>
        <w:ind w:firstLine="360"/>
        <w:rPr>
          <w:rFonts w:ascii="宋体" w:hAnsi="宋体" w:cs="宋体"/>
          <w:sz w:val="24"/>
          <w:highlight w:val="none"/>
        </w:rPr>
      </w:pPr>
    </w:p>
    <w:p w14:paraId="5C466DE0">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法律依据：</w:t>
      </w:r>
    </w:p>
    <w:p w14:paraId="39826743">
      <w:pPr>
        <w:adjustRightInd w:val="0"/>
        <w:snapToGrid w:val="0"/>
        <w:spacing w:line="360" w:lineRule="auto"/>
        <w:ind w:firstLine="360"/>
        <w:rPr>
          <w:rFonts w:ascii="宋体" w:hAnsi="宋体" w:cs="宋体"/>
          <w:sz w:val="24"/>
          <w:highlight w:val="none"/>
          <w:u w:val="dotted"/>
        </w:rPr>
      </w:pPr>
    </w:p>
    <w:p w14:paraId="6379FC5B">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质疑事项2</w:t>
      </w:r>
    </w:p>
    <w:p w14:paraId="2F26B676">
      <w:pPr>
        <w:adjustRightInd w:val="0"/>
        <w:snapToGrid w:val="0"/>
        <w:spacing w:line="360" w:lineRule="auto"/>
        <w:ind w:firstLine="360"/>
        <w:rPr>
          <w:rFonts w:ascii="宋体" w:hAnsi="宋体" w:cs="宋体"/>
          <w:sz w:val="24"/>
          <w:highlight w:val="none"/>
        </w:rPr>
      </w:pPr>
      <w:r>
        <w:rPr>
          <w:rFonts w:hint="eastAsia" w:ascii="宋体" w:hAnsi="宋体" w:cs="宋体"/>
          <w:sz w:val="24"/>
          <w:highlight w:val="none"/>
        </w:rPr>
        <w:t>……</w:t>
      </w:r>
    </w:p>
    <w:p w14:paraId="7C530AC7">
      <w:pPr>
        <w:adjustRightInd w:val="0"/>
        <w:snapToGrid w:val="0"/>
        <w:spacing w:line="360" w:lineRule="auto"/>
        <w:ind w:firstLine="360"/>
        <w:rPr>
          <w:rFonts w:ascii="宋体" w:hAnsi="宋体" w:cs="宋体"/>
          <w:bCs/>
          <w:sz w:val="24"/>
          <w:highlight w:val="none"/>
        </w:rPr>
      </w:pPr>
      <w:r>
        <w:rPr>
          <w:rFonts w:hint="eastAsia" w:ascii="宋体" w:hAnsi="宋体" w:cs="宋体"/>
          <w:bCs/>
          <w:sz w:val="24"/>
          <w:highlight w:val="none"/>
        </w:rPr>
        <w:t>四、与质疑事项相关的质疑请求</w:t>
      </w:r>
    </w:p>
    <w:p w14:paraId="64EFD6D0">
      <w:pPr>
        <w:adjustRightInd w:val="0"/>
        <w:snapToGrid w:val="0"/>
        <w:spacing w:line="360" w:lineRule="auto"/>
        <w:ind w:firstLine="360"/>
        <w:rPr>
          <w:rFonts w:ascii="宋体" w:hAnsi="宋体" w:cs="宋体"/>
          <w:sz w:val="24"/>
          <w:highlight w:val="none"/>
          <w:u w:val="dotted"/>
        </w:rPr>
      </w:pPr>
      <w:r>
        <w:rPr>
          <w:rFonts w:hint="eastAsia" w:ascii="宋体" w:hAnsi="宋体" w:cs="宋体"/>
          <w:sz w:val="24"/>
          <w:highlight w:val="none"/>
        </w:rPr>
        <w:t>请求：</w:t>
      </w:r>
    </w:p>
    <w:p w14:paraId="6328CF6D">
      <w:pPr>
        <w:ind w:firstLine="360"/>
        <w:rPr>
          <w:rFonts w:ascii="宋体" w:hAnsi="宋体" w:cs="宋体"/>
          <w:sz w:val="24"/>
          <w:highlight w:val="none"/>
        </w:rPr>
      </w:pPr>
      <w:r>
        <w:rPr>
          <w:rFonts w:hint="eastAsia" w:ascii="宋体" w:hAnsi="宋体" w:cs="宋体"/>
          <w:sz w:val="24"/>
          <w:highlight w:val="none"/>
        </w:rPr>
        <w:t xml:space="preserve">签字(签章)：                   公章：                      </w:t>
      </w:r>
    </w:p>
    <w:p w14:paraId="79563D9A">
      <w:pPr>
        <w:ind w:firstLine="6240" w:firstLineChars="2600"/>
        <w:rPr>
          <w:rFonts w:ascii="宋体" w:hAnsi="宋体" w:cs="宋体"/>
          <w:sz w:val="24"/>
          <w:highlight w:val="none"/>
        </w:rPr>
      </w:pPr>
      <w:r>
        <w:rPr>
          <w:rFonts w:hint="eastAsia" w:ascii="宋体" w:hAnsi="宋体" w:cs="宋体"/>
          <w:sz w:val="24"/>
          <w:highlight w:val="none"/>
        </w:rPr>
        <w:t xml:space="preserve">日期：    </w:t>
      </w:r>
    </w:p>
    <w:p w14:paraId="2BD67B0B">
      <w:pPr>
        <w:ind w:firstLine="361"/>
        <w:rPr>
          <w:rFonts w:ascii="宋体" w:hAnsi="宋体" w:cs="宋体"/>
          <w:b/>
          <w:sz w:val="24"/>
          <w:highlight w:val="none"/>
        </w:rPr>
      </w:pPr>
    </w:p>
    <w:p w14:paraId="6AC6CAAF">
      <w:pPr>
        <w:spacing w:line="360" w:lineRule="auto"/>
        <w:ind w:firstLine="361"/>
        <w:rPr>
          <w:rFonts w:ascii="宋体" w:hAnsi="宋体" w:cs="宋体"/>
          <w:b/>
          <w:sz w:val="24"/>
          <w:highlight w:val="none"/>
        </w:rPr>
      </w:pPr>
      <w:r>
        <w:rPr>
          <w:rFonts w:hint="eastAsia" w:ascii="宋体" w:hAnsi="宋体" w:cs="宋体"/>
          <w:b/>
          <w:sz w:val="24"/>
          <w:highlight w:val="none"/>
        </w:rPr>
        <w:t>质疑函制作说明：</w:t>
      </w:r>
    </w:p>
    <w:p w14:paraId="632D1A63">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1.供应商提出质疑时，应提交质疑函和必要的证明材料。</w:t>
      </w:r>
    </w:p>
    <w:p w14:paraId="3A0CB061">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2.质疑供应商若委托代理人进行质疑的，质疑函应按要求列明“授权代表”的有关内容，并在附件中提交由质疑</w:t>
      </w:r>
      <w:r>
        <w:rPr>
          <w:rFonts w:hint="eastAsia" w:ascii="宋体" w:hAnsi="宋体" w:cs="宋体"/>
          <w:kern w:val="0"/>
          <w:szCs w:val="21"/>
          <w:highlight w:val="none"/>
        </w:rPr>
        <w:t>供应商签署的授权委托书。授权委托书应载明代理人的姓名或者名称、代理事项、具体权限、期限和相关事项。</w:t>
      </w:r>
    </w:p>
    <w:p w14:paraId="4E9F29F7">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3.质疑供应商若对项目的某一分包进行质疑，质疑函中应列明具体分包号。</w:t>
      </w:r>
    </w:p>
    <w:p w14:paraId="7DB2081A">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4.质疑函的质疑事项应具体、明确，并有必要的事实依据和法律依据。</w:t>
      </w:r>
    </w:p>
    <w:p w14:paraId="3ED6454A">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5.质疑函的质疑请求应与质疑事项相关。</w:t>
      </w:r>
    </w:p>
    <w:p w14:paraId="14830562">
      <w:pPr>
        <w:widowControl/>
        <w:spacing w:line="360" w:lineRule="auto"/>
        <w:ind w:firstLine="420" w:firstLineChars="200"/>
        <w:jc w:val="left"/>
        <w:rPr>
          <w:rFonts w:ascii="宋体" w:hAnsi="宋体" w:cs="宋体"/>
          <w:sz w:val="28"/>
          <w:szCs w:val="28"/>
          <w:highlight w:val="none"/>
        </w:rPr>
      </w:pPr>
      <w:r>
        <w:rPr>
          <w:rFonts w:hint="eastAsia" w:ascii="宋体" w:hAnsi="宋体" w:cs="宋体"/>
          <w:szCs w:val="21"/>
          <w:highlight w:val="none"/>
        </w:rPr>
        <w:t>6.质疑供应商为自然人的，质疑函应由本人签字。质疑供应商为法人或者其他组织的，质疑函应由法定代表人、主要负责人，或者其授权代表签字或者盖章，并加盖公章。</w:t>
      </w:r>
    </w:p>
    <w:p w14:paraId="3B2DC9C9">
      <w:pPr>
        <w:pStyle w:val="17"/>
        <w:ind w:firstLine="270"/>
        <w:rPr>
          <w:rFonts w:ascii="宋体" w:hAnsi="宋体" w:cs="宋体"/>
          <w:highlight w:val="none"/>
        </w:rPr>
      </w:pPr>
      <w:bookmarkStart w:id="282" w:name="_Toc11085"/>
      <w:bookmarkStart w:id="283" w:name="_Toc31115"/>
    </w:p>
    <w:p w14:paraId="19DBF89A">
      <w:pPr>
        <w:pStyle w:val="17"/>
        <w:ind w:firstLine="270"/>
        <w:rPr>
          <w:rFonts w:ascii="宋体" w:hAnsi="宋体" w:cs="宋体"/>
          <w:highlight w:val="none"/>
        </w:rPr>
      </w:pPr>
      <w:r>
        <w:rPr>
          <w:rFonts w:hint="eastAsia" w:ascii="宋体" w:hAnsi="宋体" w:cs="宋体"/>
          <w:highlight w:val="none"/>
        </w:rPr>
        <w:br w:type="page"/>
      </w:r>
    </w:p>
    <w:p w14:paraId="6363F26E">
      <w:pPr>
        <w:pStyle w:val="3"/>
        <w:ind w:firstLine="480"/>
        <w:jc w:val="center"/>
        <w:rPr>
          <w:rFonts w:ascii="宋体" w:hAnsi="宋体" w:eastAsia="宋体" w:cs="宋体"/>
          <w:b w:val="0"/>
          <w:bCs w:val="0"/>
          <w:highlight w:val="none"/>
        </w:rPr>
      </w:pPr>
      <w:bookmarkStart w:id="284" w:name="_Toc11120"/>
      <w:bookmarkStart w:id="285" w:name="_Toc22163"/>
      <w:r>
        <w:rPr>
          <w:rFonts w:hint="eastAsia" w:ascii="宋体" w:hAnsi="宋体" w:eastAsia="宋体" w:cs="宋体"/>
          <w:b w:val="0"/>
          <w:bCs w:val="0"/>
          <w:highlight w:val="none"/>
        </w:rPr>
        <w:t>第二节 投诉书（格式）</w:t>
      </w:r>
      <w:bookmarkEnd w:id="282"/>
      <w:bookmarkEnd w:id="283"/>
      <w:bookmarkEnd w:id="284"/>
      <w:bookmarkEnd w:id="285"/>
    </w:p>
    <w:p w14:paraId="6B5FE632">
      <w:pPr>
        <w:ind w:firstLine="452"/>
        <w:jc w:val="center"/>
        <w:rPr>
          <w:rFonts w:ascii="宋体" w:hAnsi="宋体" w:cs="宋体"/>
          <w:b/>
          <w:sz w:val="44"/>
          <w:szCs w:val="44"/>
          <w:highlight w:val="none"/>
        </w:rPr>
      </w:pPr>
      <w:r>
        <w:rPr>
          <w:rFonts w:hint="eastAsia" w:ascii="宋体" w:hAnsi="宋体" w:cs="宋体"/>
          <w:b/>
          <w:sz w:val="30"/>
          <w:szCs w:val="30"/>
          <w:highlight w:val="none"/>
        </w:rPr>
        <w:t>投诉书</w:t>
      </w:r>
    </w:p>
    <w:p w14:paraId="18A2672B">
      <w:pPr>
        <w:spacing w:line="360" w:lineRule="auto"/>
        <w:ind w:firstLine="360"/>
        <w:rPr>
          <w:rFonts w:ascii="宋体" w:hAnsi="宋体" w:cs="宋体"/>
          <w:sz w:val="24"/>
          <w:highlight w:val="none"/>
        </w:rPr>
      </w:pPr>
      <w:r>
        <w:rPr>
          <w:rFonts w:hint="eastAsia" w:ascii="宋体" w:hAnsi="宋体" w:cs="宋体"/>
          <w:sz w:val="24"/>
          <w:highlight w:val="none"/>
        </w:rPr>
        <w:t>一、投诉相关主体基本情况</w:t>
      </w:r>
    </w:p>
    <w:p w14:paraId="0B47D72A">
      <w:pPr>
        <w:spacing w:line="360" w:lineRule="auto"/>
        <w:ind w:firstLine="360"/>
        <w:rPr>
          <w:rFonts w:ascii="宋体" w:hAnsi="宋体" w:cs="宋体"/>
          <w:sz w:val="24"/>
          <w:highlight w:val="none"/>
          <w:u w:val="dotted"/>
        </w:rPr>
      </w:pPr>
      <w:r>
        <w:rPr>
          <w:rFonts w:hint="eastAsia" w:ascii="宋体" w:hAnsi="宋体" w:cs="宋体"/>
          <w:sz w:val="24"/>
          <w:highlight w:val="none"/>
        </w:rPr>
        <w:t>投诉人：</w:t>
      </w:r>
    </w:p>
    <w:p w14:paraId="4CB89018">
      <w:pPr>
        <w:spacing w:line="360" w:lineRule="auto"/>
        <w:ind w:firstLine="360"/>
        <w:rPr>
          <w:rFonts w:ascii="宋体" w:hAnsi="宋体" w:cs="宋体"/>
          <w:sz w:val="24"/>
          <w:highlight w:val="none"/>
          <w:u w:val="single"/>
        </w:rPr>
      </w:pPr>
      <w:r>
        <w:rPr>
          <w:rFonts w:hint="eastAsia" w:ascii="宋体" w:hAnsi="宋体" w:cs="宋体"/>
          <w:sz w:val="24"/>
          <w:highlight w:val="none"/>
        </w:rPr>
        <w:t>地     址：    邮编：</w:t>
      </w:r>
    </w:p>
    <w:p w14:paraId="7F1F1BFE">
      <w:pPr>
        <w:tabs>
          <w:tab w:val="left" w:pos="6510"/>
        </w:tabs>
        <w:spacing w:line="360" w:lineRule="auto"/>
        <w:ind w:firstLine="360"/>
        <w:jc w:val="left"/>
        <w:rPr>
          <w:rFonts w:ascii="宋体" w:hAnsi="宋体" w:cs="宋体"/>
          <w:sz w:val="24"/>
          <w:highlight w:val="none"/>
        </w:rPr>
      </w:pPr>
      <w:r>
        <w:rPr>
          <w:rFonts w:hint="eastAsia" w:ascii="宋体" w:hAnsi="宋体" w:cs="宋体"/>
          <w:sz w:val="24"/>
          <w:highlight w:val="none"/>
        </w:rPr>
        <w:t>法定代表人/主要负责人：</w:t>
      </w:r>
    </w:p>
    <w:p w14:paraId="7B5CD6D2">
      <w:pPr>
        <w:tabs>
          <w:tab w:val="left" w:pos="6510"/>
        </w:tabs>
        <w:spacing w:line="360" w:lineRule="auto"/>
        <w:ind w:firstLine="360"/>
        <w:rPr>
          <w:rFonts w:ascii="宋体" w:hAnsi="宋体" w:cs="宋体"/>
          <w:sz w:val="24"/>
          <w:highlight w:val="none"/>
          <w:u w:val="dotted"/>
        </w:rPr>
      </w:pPr>
      <w:r>
        <w:rPr>
          <w:rFonts w:hint="eastAsia" w:ascii="宋体" w:hAnsi="宋体" w:cs="宋体"/>
          <w:sz w:val="24"/>
          <w:highlight w:val="none"/>
        </w:rPr>
        <w:t>联系电话：</w:t>
      </w:r>
    </w:p>
    <w:p w14:paraId="536A9033">
      <w:pPr>
        <w:spacing w:line="360" w:lineRule="auto"/>
        <w:ind w:firstLine="360"/>
        <w:rPr>
          <w:rFonts w:ascii="宋体" w:hAnsi="宋体" w:cs="宋体"/>
          <w:sz w:val="24"/>
          <w:highlight w:val="none"/>
          <w:u w:val="dotted"/>
        </w:rPr>
      </w:pPr>
      <w:r>
        <w:rPr>
          <w:rFonts w:hint="eastAsia" w:ascii="宋体" w:hAnsi="宋体" w:cs="宋体"/>
          <w:sz w:val="24"/>
          <w:highlight w:val="none"/>
        </w:rPr>
        <w:t>授权代表：联系电话：</w:t>
      </w:r>
    </w:p>
    <w:p w14:paraId="1887780C">
      <w:pPr>
        <w:spacing w:line="360" w:lineRule="auto"/>
        <w:ind w:firstLine="360"/>
        <w:rPr>
          <w:rFonts w:ascii="宋体" w:hAnsi="宋体" w:cs="宋体"/>
          <w:sz w:val="24"/>
          <w:highlight w:val="none"/>
          <w:u w:val="dotted"/>
        </w:rPr>
      </w:pPr>
      <w:r>
        <w:rPr>
          <w:rFonts w:hint="eastAsia" w:ascii="宋体" w:hAnsi="宋体" w:cs="宋体"/>
          <w:sz w:val="24"/>
          <w:highlight w:val="none"/>
        </w:rPr>
        <w:t>地     址：    邮编：</w:t>
      </w:r>
    </w:p>
    <w:p w14:paraId="5667E9C7">
      <w:pPr>
        <w:spacing w:line="360" w:lineRule="auto"/>
        <w:ind w:firstLine="360"/>
        <w:rPr>
          <w:rFonts w:ascii="宋体" w:hAnsi="宋体" w:cs="宋体"/>
          <w:sz w:val="24"/>
          <w:highlight w:val="none"/>
          <w:u w:val="single"/>
        </w:rPr>
      </w:pPr>
      <w:r>
        <w:rPr>
          <w:rFonts w:hint="eastAsia" w:ascii="宋体" w:hAnsi="宋体" w:cs="宋体"/>
          <w:sz w:val="24"/>
          <w:highlight w:val="none"/>
        </w:rPr>
        <w:t>被投诉人1：</w:t>
      </w:r>
    </w:p>
    <w:p w14:paraId="708CC73A">
      <w:pPr>
        <w:spacing w:line="360" w:lineRule="auto"/>
        <w:ind w:firstLine="360"/>
        <w:rPr>
          <w:rFonts w:ascii="宋体" w:hAnsi="宋体" w:cs="宋体"/>
          <w:sz w:val="24"/>
          <w:highlight w:val="none"/>
          <w:u w:val="single"/>
        </w:rPr>
      </w:pPr>
      <w:r>
        <w:rPr>
          <w:rFonts w:hint="eastAsia" w:ascii="宋体" w:hAnsi="宋体" w:cs="宋体"/>
          <w:sz w:val="24"/>
          <w:highlight w:val="none"/>
        </w:rPr>
        <w:t>地     址：    邮编：</w:t>
      </w:r>
    </w:p>
    <w:p w14:paraId="5DB274DC">
      <w:pPr>
        <w:spacing w:line="360" w:lineRule="auto"/>
        <w:ind w:firstLine="360"/>
        <w:rPr>
          <w:rFonts w:ascii="宋体" w:hAnsi="宋体" w:cs="宋体"/>
          <w:sz w:val="24"/>
          <w:highlight w:val="none"/>
          <w:u w:val="single"/>
        </w:rPr>
      </w:pPr>
      <w:r>
        <w:rPr>
          <w:rFonts w:hint="eastAsia" w:ascii="宋体" w:hAnsi="宋体" w:cs="宋体"/>
          <w:sz w:val="24"/>
          <w:highlight w:val="none"/>
        </w:rPr>
        <w:t>联系人：联系电话：</w:t>
      </w:r>
    </w:p>
    <w:p w14:paraId="2FBFFA6E">
      <w:pPr>
        <w:spacing w:line="360" w:lineRule="auto"/>
        <w:ind w:firstLine="360"/>
        <w:rPr>
          <w:rFonts w:ascii="宋体" w:hAnsi="宋体" w:cs="宋体"/>
          <w:sz w:val="24"/>
          <w:highlight w:val="none"/>
        </w:rPr>
      </w:pPr>
      <w:r>
        <w:rPr>
          <w:rFonts w:hint="eastAsia" w:ascii="宋体" w:hAnsi="宋体" w:cs="宋体"/>
          <w:sz w:val="24"/>
          <w:highlight w:val="none"/>
        </w:rPr>
        <w:t>被投诉人2</w:t>
      </w:r>
    </w:p>
    <w:p w14:paraId="109CEE88">
      <w:pPr>
        <w:spacing w:line="360" w:lineRule="auto"/>
        <w:ind w:firstLine="360"/>
        <w:rPr>
          <w:rFonts w:ascii="宋体" w:hAnsi="宋体" w:cs="宋体"/>
          <w:sz w:val="24"/>
          <w:highlight w:val="none"/>
          <w:u w:val="dotted"/>
        </w:rPr>
      </w:pPr>
      <w:r>
        <w:rPr>
          <w:rFonts w:hint="eastAsia" w:ascii="宋体" w:hAnsi="宋体" w:cs="宋体"/>
          <w:sz w:val="24"/>
          <w:highlight w:val="none"/>
        </w:rPr>
        <w:t>……</w:t>
      </w:r>
    </w:p>
    <w:p w14:paraId="0AD32121">
      <w:pPr>
        <w:spacing w:line="360" w:lineRule="auto"/>
        <w:ind w:firstLine="360"/>
        <w:rPr>
          <w:rFonts w:ascii="宋体" w:hAnsi="宋体" w:cs="宋体"/>
          <w:sz w:val="24"/>
          <w:highlight w:val="none"/>
          <w:u w:val="single"/>
        </w:rPr>
      </w:pPr>
      <w:r>
        <w:rPr>
          <w:rFonts w:hint="eastAsia" w:ascii="宋体" w:hAnsi="宋体" w:cs="宋体"/>
          <w:sz w:val="24"/>
          <w:highlight w:val="none"/>
        </w:rPr>
        <w:t>相关供应商：</w:t>
      </w:r>
    </w:p>
    <w:p w14:paraId="65E372E9">
      <w:pPr>
        <w:spacing w:line="360" w:lineRule="auto"/>
        <w:ind w:firstLine="360"/>
        <w:rPr>
          <w:rFonts w:ascii="宋体" w:hAnsi="宋体" w:cs="宋体"/>
          <w:sz w:val="24"/>
          <w:highlight w:val="none"/>
          <w:u w:val="single"/>
        </w:rPr>
      </w:pPr>
      <w:r>
        <w:rPr>
          <w:rFonts w:hint="eastAsia" w:ascii="宋体" w:hAnsi="宋体" w:cs="宋体"/>
          <w:sz w:val="24"/>
          <w:highlight w:val="none"/>
        </w:rPr>
        <w:t>地     址：邮编：</w:t>
      </w:r>
    </w:p>
    <w:p w14:paraId="222BD179">
      <w:pPr>
        <w:spacing w:line="360" w:lineRule="auto"/>
        <w:ind w:firstLine="360"/>
        <w:rPr>
          <w:rFonts w:ascii="宋体" w:hAnsi="宋体" w:cs="宋体"/>
          <w:sz w:val="24"/>
          <w:highlight w:val="none"/>
          <w:u w:val="single"/>
        </w:rPr>
      </w:pPr>
      <w:r>
        <w:rPr>
          <w:rFonts w:hint="eastAsia" w:ascii="宋体" w:hAnsi="宋体" w:cs="宋体"/>
          <w:sz w:val="24"/>
          <w:highlight w:val="none"/>
        </w:rPr>
        <w:t>联系人：联系电话：</w:t>
      </w:r>
    </w:p>
    <w:p w14:paraId="67576130">
      <w:pPr>
        <w:spacing w:line="360" w:lineRule="auto"/>
        <w:ind w:firstLine="360"/>
        <w:rPr>
          <w:rFonts w:ascii="宋体" w:hAnsi="宋体" w:cs="宋体"/>
          <w:sz w:val="24"/>
          <w:highlight w:val="none"/>
        </w:rPr>
      </w:pPr>
      <w:r>
        <w:rPr>
          <w:rFonts w:hint="eastAsia" w:ascii="宋体" w:hAnsi="宋体" w:cs="宋体"/>
          <w:sz w:val="24"/>
          <w:highlight w:val="none"/>
        </w:rPr>
        <w:t>二、投诉项目基本情况</w:t>
      </w:r>
    </w:p>
    <w:p w14:paraId="24B6287A">
      <w:pPr>
        <w:spacing w:line="360" w:lineRule="auto"/>
        <w:ind w:firstLine="360"/>
        <w:rPr>
          <w:rFonts w:ascii="宋体" w:hAnsi="宋体" w:cs="宋体"/>
          <w:sz w:val="24"/>
          <w:highlight w:val="none"/>
          <w:u w:val="dotted"/>
        </w:rPr>
      </w:pPr>
      <w:r>
        <w:rPr>
          <w:rFonts w:hint="eastAsia" w:ascii="宋体" w:hAnsi="宋体" w:cs="宋体"/>
          <w:sz w:val="24"/>
          <w:highlight w:val="none"/>
        </w:rPr>
        <w:t>采购项目名称：</w:t>
      </w:r>
      <w:bookmarkStart w:id="286" w:name="PO_3000001867_PM002_12"/>
      <w:bookmarkEnd w:id="286"/>
    </w:p>
    <w:p w14:paraId="46BCFE21">
      <w:pPr>
        <w:spacing w:line="360" w:lineRule="auto"/>
        <w:ind w:firstLine="360"/>
        <w:rPr>
          <w:rFonts w:ascii="宋体" w:hAnsi="宋体" w:cs="宋体"/>
          <w:sz w:val="24"/>
          <w:highlight w:val="none"/>
          <w:u w:val="single"/>
        </w:rPr>
      </w:pPr>
      <w:r>
        <w:rPr>
          <w:rFonts w:hint="eastAsia" w:ascii="宋体" w:hAnsi="宋体" w:cs="宋体"/>
          <w:sz w:val="24"/>
          <w:highlight w:val="none"/>
        </w:rPr>
        <w:t>采购项目编号：</w:t>
      </w:r>
      <w:bookmarkStart w:id="287" w:name="PO_3000001867_PM001_9"/>
      <w:bookmarkEnd w:id="287"/>
      <w:r>
        <w:rPr>
          <w:rFonts w:hint="eastAsia" w:ascii="宋体" w:hAnsi="宋体" w:cs="宋体"/>
          <w:sz w:val="24"/>
          <w:highlight w:val="none"/>
        </w:rPr>
        <w:t>包号：</w:t>
      </w:r>
    </w:p>
    <w:p w14:paraId="6325EC7F">
      <w:pPr>
        <w:spacing w:line="360" w:lineRule="auto"/>
        <w:ind w:firstLine="360"/>
        <w:rPr>
          <w:rFonts w:ascii="宋体" w:hAnsi="宋体" w:cs="宋体"/>
          <w:sz w:val="24"/>
          <w:highlight w:val="none"/>
        </w:rPr>
      </w:pPr>
      <w:r>
        <w:rPr>
          <w:rFonts w:hint="eastAsia" w:ascii="宋体" w:hAnsi="宋体" w:cs="宋体"/>
          <w:sz w:val="24"/>
          <w:highlight w:val="none"/>
        </w:rPr>
        <w:t>采购人名称：</w:t>
      </w:r>
      <w:bookmarkStart w:id="288" w:name="PO_3000001867_PM026_6"/>
      <w:bookmarkEnd w:id="288"/>
    </w:p>
    <w:p w14:paraId="52809797">
      <w:pPr>
        <w:spacing w:line="360" w:lineRule="auto"/>
        <w:ind w:firstLine="360"/>
        <w:rPr>
          <w:rFonts w:ascii="宋体" w:hAnsi="宋体" w:cs="宋体"/>
          <w:sz w:val="24"/>
          <w:highlight w:val="none"/>
          <w:u w:val="single"/>
        </w:rPr>
      </w:pPr>
      <w:r>
        <w:rPr>
          <w:rFonts w:hint="eastAsia" w:ascii="宋体" w:hAnsi="宋体" w:cs="宋体"/>
          <w:sz w:val="24"/>
          <w:highlight w:val="none"/>
        </w:rPr>
        <w:t>代理机构名称：</w:t>
      </w:r>
    </w:p>
    <w:p w14:paraId="3AFED3EB">
      <w:pPr>
        <w:spacing w:line="360" w:lineRule="auto"/>
        <w:ind w:firstLine="360"/>
        <w:rPr>
          <w:rFonts w:ascii="宋体" w:hAnsi="宋体" w:cs="宋体"/>
          <w:sz w:val="24"/>
          <w:highlight w:val="none"/>
          <w:u w:val="dotted"/>
        </w:rPr>
      </w:pPr>
      <w:r>
        <w:rPr>
          <w:rFonts w:hint="eastAsia" w:ascii="宋体" w:hAnsi="宋体" w:cs="宋体"/>
          <w:sz w:val="24"/>
          <w:highlight w:val="none"/>
        </w:rPr>
        <w:t>采购文件公告: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p>
    <w:p w14:paraId="07F8FE3C">
      <w:pPr>
        <w:spacing w:line="360" w:lineRule="auto"/>
        <w:ind w:firstLine="360"/>
        <w:rPr>
          <w:rFonts w:ascii="宋体" w:hAnsi="宋体" w:cs="宋体"/>
          <w:sz w:val="24"/>
          <w:highlight w:val="none"/>
          <w:u w:val="single"/>
        </w:rPr>
      </w:pPr>
      <w:r>
        <w:rPr>
          <w:rFonts w:hint="eastAsia" w:ascii="宋体" w:hAnsi="宋体" w:cs="宋体"/>
          <w:sz w:val="24"/>
          <w:highlight w:val="none"/>
        </w:rPr>
        <w:t>采购结果公告: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p>
    <w:p w14:paraId="3069B5E5">
      <w:pPr>
        <w:spacing w:line="360" w:lineRule="auto"/>
        <w:ind w:firstLine="360"/>
        <w:rPr>
          <w:rFonts w:ascii="宋体" w:hAnsi="宋体" w:cs="宋体"/>
          <w:sz w:val="24"/>
          <w:highlight w:val="none"/>
        </w:rPr>
      </w:pPr>
      <w:r>
        <w:rPr>
          <w:rFonts w:hint="eastAsia" w:ascii="宋体" w:hAnsi="宋体" w:cs="宋体"/>
          <w:sz w:val="24"/>
          <w:highlight w:val="none"/>
        </w:rPr>
        <w:t>三、质疑基本情况</w:t>
      </w:r>
    </w:p>
    <w:p w14:paraId="60DB658C">
      <w:pPr>
        <w:spacing w:line="360" w:lineRule="auto"/>
        <w:ind w:firstLine="480" w:firstLineChars="200"/>
        <w:rPr>
          <w:rFonts w:ascii="宋体" w:hAnsi="宋体" w:cs="宋体"/>
          <w:sz w:val="24"/>
          <w:highlight w:val="none"/>
          <w:u w:val="dotted"/>
        </w:rPr>
      </w:pPr>
      <w:r>
        <w:rPr>
          <w:rFonts w:hint="eastAsia" w:ascii="宋体" w:hAnsi="宋体" w:cs="宋体"/>
          <w:sz w:val="24"/>
          <w:highlight w:val="none"/>
        </w:rPr>
        <w:t>投诉人于    年    月    日,向        提出质疑，质疑事项为：</w:t>
      </w:r>
    </w:p>
    <w:p w14:paraId="359CFC75">
      <w:pPr>
        <w:spacing w:line="360" w:lineRule="auto"/>
        <w:ind w:firstLine="360"/>
        <w:rPr>
          <w:rFonts w:ascii="宋体" w:hAnsi="宋体" w:cs="宋体"/>
          <w:sz w:val="24"/>
          <w:highlight w:val="none"/>
          <w:u w:val="dotted"/>
        </w:rPr>
      </w:pPr>
    </w:p>
    <w:p w14:paraId="5D21752C">
      <w:pPr>
        <w:spacing w:line="360" w:lineRule="auto"/>
        <w:ind w:firstLine="360" w:firstLineChars="150"/>
        <w:rPr>
          <w:rFonts w:ascii="宋体" w:hAnsi="宋体" w:cs="宋体"/>
          <w:sz w:val="24"/>
          <w:highlight w:val="none"/>
        </w:rPr>
      </w:pPr>
      <w:r>
        <w:rPr>
          <w:rFonts w:hint="eastAsia" w:ascii="宋体" w:hAnsi="宋体" w:cs="宋体"/>
          <w:sz w:val="24"/>
          <w:highlight w:val="none"/>
          <w:u w:val="dotted"/>
        </w:rPr>
        <w:t>采购人/代理机构</w:t>
      </w:r>
      <w:r>
        <w:rPr>
          <w:rFonts w:hint="eastAsia" w:ascii="宋体" w:hAnsi="宋体" w:cs="宋体"/>
          <w:sz w:val="24"/>
          <w:highlight w:val="none"/>
        </w:rPr>
        <w:t>于   年  月  日,就质疑事项作出了答复/没有在法定期限内作出答复。</w:t>
      </w:r>
    </w:p>
    <w:p w14:paraId="7D8D2D6A">
      <w:pPr>
        <w:spacing w:line="360" w:lineRule="auto"/>
        <w:ind w:firstLine="360"/>
        <w:rPr>
          <w:rFonts w:ascii="宋体" w:hAnsi="宋体" w:cs="宋体"/>
          <w:sz w:val="24"/>
          <w:highlight w:val="none"/>
        </w:rPr>
      </w:pPr>
      <w:r>
        <w:rPr>
          <w:rFonts w:hint="eastAsia" w:ascii="宋体" w:hAnsi="宋体" w:cs="宋体"/>
          <w:sz w:val="24"/>
          <w:highlight w:val="none"/>
        </w:rPr>
        <w:t>四、投诉事项具体内容</w:t>
      </w:r>
    </w:p>
    <w:p w14:paraId="1AFFB6A1">
      <w:pPr>
        <w:spacing w:line="360" w:lineRule="auto"/>
        <w:ind w:firstLine="360"/>
        <w:rPr>
          <w:rFonts w:ascii="宋体" w:hAnsi="宋体" w:cs="宋体"/>
          <w:sz w:val="24"/>
          <w:highlight w:val="none"/>
          <w:u w:val="single"/>
        </w:rPr>
      </w:pPr>
      <w:r>
        <w:rPr>
          <w:rFonts w:hint="eastAsia" w:ascii="宋体" w:hAnsi="宋体" w:cs="宋体"/>
          <w:sz w:val="24"/>
          <w:highlight w:val="none"/>
        </w:rPr>
        <w:t>投诉事项 1：</w:t>
      </w:r>
    </w:p>
    <w:p w14:paraId="086D5978">
      <w:pPr>
        <w:spacing w:line="360" w:lineRule="auto"/>
        <w:ind w:firstLine="360"/>
        <w:rPr>
          <w:rFonts w:ascii="宋体" w:hAnsi="宋体" w:cs="宋体"/>
          <w:sz w:val="24"/>
          <w:highlight w:val="none"/>
        </w:rPr>
      </w:pPr>
      <w:r>
        <w:rPr>
          <w:rFonts w:hint="eastAsia" w:ascii="宋体" w:hAnsi="宋体" w:cs="宋体"/>
          <w:sz w:val="24"/>
          <w:highlight w:val="none"/>
        </w:rPr>
        <w:t>事实依据：</w:t>
      </w:r>
    </w:p>
    <w:p w14:paraId="2947ED8E">
      <w:pPr>
        <w:spacing w:line="360" w:lineRule="auto"/>
        <w:ind w:firstLine="360"/>
        <w:rPr>
          <w:rFonts w:ascii="宋体" w:hAnsi="宋体" w:cs="宋体"/>
          <w:sz w:val="24"/>
          <w:highlight w:val="none"/>
          <w:u w:val="dotted"/>
        </w:rPr>
      </w:pPr>
    </w:p>
    <w:p w14:paraId="40DC6801">
      <w:pPr>
        <w:spacing w:line="360" w:lineRule="auto"/>
        <w:ind w:firstLine="360"/>
        <w:rPr>
          <w:rFonts w:ascii="宋体" w:hAnsi="宋体" w:cs="宋体"/>
          <w:sz w:val="24"/>
          <w:highlight w:val="none"/>
          <w:u w:val="single"/>
        </w:rPr>
      </w:pPr>
      <w:r>
        <w:rPr>
          <w:rFonts w:hint="eastAsia" w:ascii="宋体" w:hAnsi="宋体" w:cs="宋体"/>
          <w:sz w:val="24"/>
          <w:highlight w:val="none"/>
        </w:rPr>
        <w:t>法律依据：</w:t>
      </w:r>
    </w:p>
    <w:p w14:paraId="3BA92350">
      <w:pPr>
        <w:spacing w:line="360" w:lineRule="auto"/>
        <w:ind w:firstLine="360"/>
        <w:rPr>
          <w:rFonts w:ascii="宋体" w:hAnsi="宋体" w:cs="宋体"/>
          <w:sz w:val="24"/>
          <w:highlight w:val="none"/>
          <w:u w:val="dotted"/>
        </w:rPr>
      </w:pPr>
    </w:p>
    <w:p w14:paraId="491AA955">
      <w:pPr>
        <w:spacing w:line="360" w:lineRule="auto"/>
        <w:ind w:firstLine="360"/>
        <w:rPr>
          <w:rFonts w:ascii="宋体" w:hAnsi="宋体" w:cs="宋体"/>
          <w:sz w:val="24"/>
          <w:highlight w:val="none"/>
        </w:rPr>
      </w:pPr>
      <w:r>
        <w:rPr>
          <w:rFonts w:hint="eastAsia" w:ascii="宋体" w:hAnsi="宋体" w:cs="宋体"/>
          <w:sz w:val="24"/>
          <w:highlight w:val="none"/>
        </w:rPr>
        <w:t>投诉事项2</w:t>
      </w:r>
    </w:p>
    <w:p w14:paraId="61D991E1">
      <w:pPr>
        <w:spacing w:line="360" w:lineRule="auto"/>
        <w:ind w:firstLine="360"/>
        <w:rPr>
          <w:rFonts w:ascii="宋体" w:hAnsi="宋体" w:cs="宋体"/>
          <w:sz w:val="24"/>
          <w:highlight w:val="none"/>
          <w:u w:val="dotted"/>
        </w:rPr>
      </w:pPr>
      <w:r>
        <w:rPr>
          <w:rFonts w:hint="eastAsia" w:ascii="宋体" w:hAnsi="宋体" w:cs="宋体"/>
          <w:sz w:val="24"/>
          <w:highlight w:val="none"/>
        </w:rPr>
        <w:t>……</w:t>
      </w:r>
    </w:p>
    <w:p w14:paraId="520276F9">
      <w:pPr>
        <w:spacing w:line="360" w:lineRule="auto"/>
        <w:ind w:firstLine="360"/>
        <w:rPr>
          <w:rFonts w:ascii="宋体" w:hAnsi="宋体" w:cs="宋体"/>
          <w:sz w:val="24"/>
          <w:highlight w:val="none"/>
        </w:rPr>
      </w:pPr>
      <w:r>
        <w:rPr>
          <w:rFonts w:hint="eastAsia" w:ascii="宋体" w:hAnsi="宋体" w:cs="宋体"/>
          <w:sz w:val="24"/>
          <w:highlight w:val="none"/>
        </w:rPr>
        <w:t>五、与投诉事项相关的投诉请求</w:t>
      </w:r>
    </w:p>
    <w:p w14:paraId="4906DD26">
      <w:pPr>
        <w:spacing w:line="360" w:lineRule="auto"/>
        <w:ind w:firstLine="360"/>
        <w:rPr>
          <w:rFonts w:ascii="宋体" w:hAnsi="宋体" w:cs="宋体"/>
          <w:sz w:val="24"/>
          <w:highlight w:val="none"/>
        </w:rPr>
      </w:pPr>
      <w:r>
        <w:rPr>
          <w:rFonts w:hint="eastAsia" w:ascii="宋体" w:hAnsi="宋体" w:cs="宋体"/>
          <w:sz w:val="24"/>
          <w:highlight w:val="none"/>
        </w:rPr>
        <w:t>请求：</w:t>
      </w:r>
    </w:p>
    <w:p w14:paraId="2D1F65FA">
      <w:pPr>
        <w:spacing w:line="360" w:lineRule="auto"/>
        <w:ind w:firstLine="360"/>
        <w:rPr>
          <w:rFonts w:ascii="宋体" w:hAnsi="宋体" w:cs="宋体"/>
          <w:sz w:val="24"/>
          <w:highlight w:val="none"/>
          <w:u w:val="single"/>
        </w:rPr>
      </w:pPr>
    </w:p>
    <w:p w14:paraId="05D46198">
      <w:pPr>
        <w:spacing w:line="360" w:lineRule="auto"/>
        <w:ind w:firstLine="360"/>
        <w:rPr>
          <w:rFonts w:ascii="宋体" w:hAnsi="宋体" w:cs="宋体"/>
          <w:sz w:val="24"/>
          <w:highlight w:val="none"/>
        </w:rPr>
      </w:pPr>
      <w:r>
        <w:rPr>
          <w:rFonts w:hint="eastAsia" w:ascii="宋体" w:hAnsi="宋体" w:cs="宋体"/>
          <w:sz w:val="24"/>
          <w:highlight w:val="none"/>
        </w:rPr>
        <w:t xml:space="preserve">签字(签章)：                   公章：                      </w:t>
      </w:r>
    </w:p>
    <w:p w14:paraId="74BE68C9">
      <w:pPr>
        <w:spacing w:line="360" w:lineRule="auto"/>
        <w:ind w:firstLine="6960" w:firstLineChars="2900"/>
        <w:rPr>
          <w:rFonts w:ascii="宋体" w:hAnsi="宋体" w:cs="宋体"/>
          <w:sz w:val="24"/>
          <w:highlight w:val="none"/>
        </w:rPr>
      </w:pPr>
      <w:r>
        <w:rPr>
          <w:rFonts w:hint="eastAsia" w:ascii="宋体" w:hAnsi="宋体" w:cs="宋体"/>
          <w:sz w:val="24"/>
          <w:highlight w:val="none"/>
        </w:rPr>
        <w:t xml:space="preserve">日期：    </w:t>
      </w:r>
    </w:p>
    <w:p w14:paraId="74C82154">
      <w:pPr>
        <w:spacing w:line="360" w:lineRule="auto"/>
        <w:ind w:firstLine="361"/>
        <w:rPr>
          <w:rFonts w:ascii="宋体" w:hAnsi="宋体" w:cs="宋体"/>
          <w:b/>
          <w:sz w:val="24"/>
          <w:highlight w:val="none"/>
        </w:rPr>
      </w:pPr>
    </w:p>
    <w:p w14:paraId="77E55F35">
      <w:pPr>
        <w:spacing w:line="360" w:lineRule="auto"/>
        <w:ind w:firstLine="361"/>
        <w:rPr>
          <w:rFonts w:ascii="宋体" w:hAnsi="宋体" w:cs="宋体"/>
          <w:b/>
          <w:sz w:val="24"/>
          <w:highlight w:val="none"/>
        </w:rPr>
      </w:pPr>
      <w:r>
        <w:rPr>
          <w:rFonts w:hint="eastAsia" w:ascii="宋体" w:hAnsi="宋体" w:cs="宋体"/>
          <w:b/>
          <w:sz w:val="24"/>
          <w:highlight w:val="none"/>
        </w:rPr>
        <w:t>投诉书制作说明：</w:t>
      </w:r>
    </w:p>
    <w:p w14:paraId="6AADCF74">
      <w:pPr>
        <w:widowControl/>
        <w:spacing w:line="360" w:lineRule="auto"/>
        <w:ind w:firstLine="420" w:firstLineChars="200"/>
        <w:rPr>
          <w:rFonts w:ascii="宋体" w:hAnsi="宋体" w:cs="宋体"/>
          <w:kern w:val="0"/>
          <w:szCs w:val="21"/>
          <w:highlight w:val="none"/>
        </w:rPr>
      </w:pPr>
      <w:r>
        <w:rPr>
          <w:rFonts w:hint="eastAsia" w:ascii="宋体" w:hAnsi="宋体" w:cs="宋体"/>
          <w:szCs w:val="21"/>
          <w:highlight w:val="none"/>
        </w:rPr>
        <w:t>1.投诉人提起投诉时，应当提交投诉书和必要的证明材料，并按照被投诉人和与投诉事项有关的供应商数量提供投诉书副本。</w:t>
      </w:r>
    </w:p>
    <w:p w14:paraId="4AD69BDE">
      <w:pPr>
        <w:widowControl/>
        <w:spacing w:line="360" w:lineRule="auto"/>
        <w:ind w:firstLine="420" w:firstLineChars="200"/>
        <w:jc w:val="left"/>
        <w:rPr>
          <w:rFonts w:ascii="宋体" w:hAnsi="宋体" w:cs="宋体"/>
          <w:kern w:val="0"/>
          <w:szCs w:val="21"/>
          <w:highlight w:val="none"/>
        </w:rPr>
      </w:pPr>
      <w:r>
        <w:rPr>
          <w:rFonts w:hint="eastAsia" w:ascii="宋体" w:hAnsi="宋体" w:cs="宋体"/>
          <w:szCs w:val="21"/>
          <w:highlight w:val="none"/>
        </w:rPr>
        <w:t>2.投诉人若委托代理人进行投诉的，投诉书应按照要求列明“授权代表”的有关内容，并在附件中提交由</w:t>
      </w:r>
      <w:r>
        <w:rPr>
          <w:rFonts w:hint="eastAsia" w:ascii="宋体" w:hAnsi="宋体" w:cs="宋体"/>
          <w:kern w:val="0"/>
          <w:szCs w:val="21"/>
          <w:highlight w:val="none"/>
        </w:rPr>
        <w:t>投诉人签署的授权委托书。授权委托书应当载明代理人的姓名或者名称、代理事项、具体权限、期限和相关事项。</w:t>
      </w:r>
    </w:p>
    <w:p w14:paraId="6164E747">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3.投诉人若对项目的某一分包进行投诉，投诉书应列明具体分包号。</w:t>
      </w:r>
    </w:p>
    <w:p w14:paraId="551382BA">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4.投诉书应简要列明质疑事项，质疑函、质疑答复等作为附件材料提供。</w:t>
      </w:r>
    </w:p>
    <w:p w14:paraId="20CADE9F">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5.投诉书的投诉事项应具体、明确，并有必要的事实依据和法律依据。</w:t>
      </w:r>
    </w:p>
    <w:p w14:paraId="13B87F64">
      <w:pPr>
        <w:widowControl/>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6.投诉书的投诉请求应与投诉事项相关。</w:t>
      </w:r>
    </w:p>
    <w:p w14:paraId="1C9D7195">
      <w:pPr>
        <w:widowControl/>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7.投诉人为自然人的，投诉书应当由本人签字。投诉人为法人或者其他组织的，投诉书应当由法定代表人、主要负责人，或者其授权代表签字或者盖章，并加盖公章。</w:t>
      </w:r>
    </w:p>
    <w:p w14:paraId="28459F4D">
      <w:pPr>
        <w:widowControl/>
        <w:spacing w:line="360" w:lineRule="auto"/>
        <w:ind w:firstLine="420" w:firstLineChars="200"/>
        <w:jc w:val="left"/>
        <w:rPr>
          <w:rFonts w:hint="eastAsia" w:ascii="宋体" w:hAnsi="宋体" w:cs="宋体"/>
          <w:szCs w:val="21"/>
          <w:highlight w:val="none"/>
        </w:rPr>
      </w:pPr>
    </w:p>
    <w:p w14:paraId="11E48E29">
      <w:pPr>
        <w:widowControl/>
        <w:spacing w:line="360" w:lineRule="auto"/>
        <w:ind w:firstLine="420" w:firstLineChars="200"/>
        <w:jc w:val="left"/>
        <w:rPr>
          <w:rFonts w:hint="eastAsia" w:ascii="宋体" w:hAnsi="宋体" w:cs="宋体"/>
          <w:szCs w:val="21"/>
          <w:highlight w:val="none"/>
        </w:rPr>
      </w:pPr>
    </w:p>
    <w:p w14:paraId="2882055C">
      <w:pPr>
        <w:widowControl/>
        <w:spacing w:line="360" w:lineRule="auto"/>
        <w:ind w:firstLine="420" w:firstLineChars="200"/>
        <w:jc w:val="left"/>
        <w:rPr>
          <w:rFonts w:hint="eastAsia" w:ascii="宋体" w:hAnsi="宋体" w:cs="宋体"/>
          <w:szCs w:val="21"/>
          <w:highlight w:val="none"/>
        </w:rPr>
      </w:pPr>
    </w:p>
    <w:p w14:paraId="78BA9BDA">
      <w:pPr>
        <w:widowControl/>
        <w:spacing w:line="360" w:lineRule="auto"/>
        <w:ind w:firstLine="420" w:firstLineChars="200"/>
        <w:jc w:val="left"/>
        <w:rPr>
          <w:rFonts w:hint="eastAsia" w:ascii="微软雅黑" w:hAnsi="微软雅黑" w:eastAsia="微软雅黑" w:cs="微软雅黑"/>
          <w:i w:val="0"/>
          <w:iCs w:val="0"/>
          <w:caps w:val="0"/>
          <w:color w:val="333333"/>
          <w:spacing w:val="0"/>
          <w:sz w:val="21"/>
          <w:szCs w:val="21"/>
          <w:shd w:val="clear" w:fill="FFFFFF"/>
        </w:rPr>
      </w:pPr>
    </w:p>
    <w:sectPr>
      <w:footerReference r:id="rId6" w:type="default"/>
      <w:pgSz w:w="11905" w:h="16838"/>
      <w:pgMar w:top="1134" w:right="1134" w:bottom="1134" w:left="1134" w:header="850" w:footer="850" w:gutter="0"/>
      <w:pgNumType w:fmt="decimal"/>
      <w:cols w:space="720" w:num="1"/>
      <w:docGrid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DBED57D-E951-4C17-8DB5-04834CEEFD45}"/>
  </w:font>
  <w:font w:name="黑体">
    <w:panose1 w:val="02010609060101010101"/>
    <w:charset w:val="86"/>
    <w:family w:val="auto"/>
    <w:pitch w:val="default"/>
    <w:sig w:usb0="800002BF" w:usb1="38CF7CFA" w:usb2="00000016" w:usb3="00000000" w:csb0="00040001" w:csb1="00000000"/>
    <w:embedRegular r:id="rId2" w:fontKey="{A7C937D3-5088-41A3-90AC-403FDF888C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Ђˎ̥">
    <w:altName w:val="Times New Roman"/>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3" w:fontKey="{832614C0-A509-4313-BAF4-2F4B336E5078}"/>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4" w:fontKey="{AB7ED5E1-DACA-4BD6-8562-5D8B07103F15}"/>
  </w:font>
  <w:font w:name="Perpetua">
    <w:panose1 w:val="02020502060401020303"/>
    <w:charset w:val="00"/>
    <w:family w:val="roman"/>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5" w:fontKey="{A9926AD0-9096-4115-A1F2-2F209921E4DE}"/>
  </w:font>
  <w:font w:name="Arial Unicode MS">
    <w:panose1 w:val="020B0604020202020204"/>
    <w:charset w:val="86"/>
    <w:family w:val="roman"/>
    <w:pitch w:val="default"/>
    <w:sig w:usb0="FFFFFFFF" w:usb1="E9FFFFFF" w:usb2="0000003F" w:usb3="00000000" w:csb0="603F01FF" w:csb1="FFFF0000"/>
    <w:embedRegular r:id="rId6" w:fontKey="{021E1E36-C751-442A-9575-291EB97CC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61DC">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0CDA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3A0CDA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593D0">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187AAF9">
                          <w:pPr>
                            <w:pStyle w:val="17"/>
                          </w:pPr>
                          <w:r>
                            <w:fldChar w:fldCharType="begin"/>
                          </w:r>
                          <w:r>
                            <w:instrText xml:space="preserve"> PAGE  \* MERGEFORMAT </w:instrText>
                          </w:r>
                          <w:r>
                            <w:fldChar w:fldCharType="separate"/>
                          </w:r>
                          <w:r>
                            <w:t>6</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grytDxgEAAJwDAAAOAAAAAAAAAAEAIAAAAB4BAABkcnMvZTJvRG9jLnht&#10;bFBLBQYAAAAABgAGAFkBAABWBQAAAAA=&#10;">
              <v:fill on="f" focussize="0,0"/>
              <v:stroke on="f"/>
              <v:imagedata o:title=""/>
              <o:lock v:ext="edit" aspectratio="f"/>
              <v:textbox inset="0mm,0mm,0mm,0mm" style="mso-fit-shape-to-text:t;">
                <w:txbxContent>
                  <w:p w14:paraId="6187AAF9">
                    <w:pPr>
                      <w:pStyle w:val="1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D0BC4">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31BD0">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BF31BD0">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0CC9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B10CC9F"/>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29FC">
    <w:pPr>
      <w:pStyle w:val="17"/>
      <w:ind w:firstLine="27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4AFE00">
                          <w:pPr>
                            <w:pStyle w:val="17"/>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y0EMcBAACcAwAADgAAAGRycy9lMm9Eb2MueG1srVPNjtMwEL4j8Q6W&#10;7zRph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ijMrDD345fu3y49fl59f2fJ1&#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CAy0EMcBAACcAwAADgAAAAAAAAABACAAAAAeAQAAZHJzL2Uyb0RvYy54&#10;bWxQSwUGAAAAAAYABgBZAQAAVwUAAAAA&#10;">
              <v:fill on="f" focussize="0,0"/>
              <v:stroke on="f"/>
              <v:imagedata o:title=""/>
              <o:lock v:ext="edit" aspectratio="f"/>
              <v:textbox inset="0mm,0mm,0mm,0mm" style="mso-fit-shape-to-text:t;">
                <w:txbxContent>
                  <w:p w14:paraId="574AFE00">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286A8"/>
    <w:multiLevelType w:val="singleLevel"/>
    <w:tmpl w:val="81D286A8"/>
    <w:lvl w:ilvl="0" w:tentative="0">
      <w:start w:val="1"/>
      <w:numFmt w:val="chineseCounting"/>
      <w:suff w:val="nothing"/>
      <w:lvlText w:val="%1、"/>
      <w:lvlJc w:val="left"/>
      <w:rPr>
        <w:rFonts w:hint="eastAsia"/>
      </w:rPr>
    </w:lvl>
  </w:abstractNum>
  <w:abstractNum w:abstractNumId="1">
    <w:nsid w:val="BE88B5EC"/>
    <w:multiLevelType w:val="singleLevel"/>
    <w:tmpl w:val="BE88B5EC"/>
    <w:lvl w:ilvl="0" w:tentative="0">
      <w:start w:val="3"/>
      <w:numFmt w:val="chineseCounting"/>
      <w:suff w:val="space"/>
      <w:lvlText w:val="第%1节"/>
      <w:lvlJc w:val="left"/>
      <w:rPr>
        <w:rFonts w:hint="eastAsia"/>
      </w:rPr>
    </w:lvl>
  </w:abstractNum>
  <w:abstractNum w:abstractNumId="2">
    <w:nsid w:val="E7995B34"/>
    <w:multiLevelType w:val="singleLevel"/>
    <w:tmpl w:val="E7995B34"/>
    <w:lvl w:ilvl="0" w:tentative="0">
      <w:start w:val="1"/>
      <w:numFmt w:val="decimal"/>
      <w:suff w:val="nothing"/>
      <w:lvlText w:val="（%1）"/>
      <w:lvlJc w:val="left"/>
    </w:lvl>
  </w:abstractNum>
  <w:abstractNum w:abstractNumId="3">
    <w:nsid w:val="F04CD6E9"/>
    <w:multiLevelType w:val="singleLevel"/>
    <w:tmpl w:val="F04CD6E9"/>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26A3FC7C"/>
    <w:multiLevelType w:val="singleLevel"/>
    <w:tmpl w:val="26A3FC7C"/>
    <w:lvl w:ilvl="0" w:tentative="0">
      <w:start w:val="1"/>
      <w:numFmt w:val="decimal"/>
      <w:lvlText w:val="%1."/>
      <w:lvlJc w:val="left"/>
      <w:pPr>
        <w:tabs>
          <w:tab w:val="left" w:pos="312"/>
        </w:tabs>
      </w:pPr>
    </w:lvl>
  </w:abstractNum>
  <w:abstractNum w:abstractNumId="6">
    <w:nsid w:val="33653A05"/>
    <w:multiLevelType w:val="singleLevel"/>
    <w:tmpl w:val="33653A05"/>
    <w:lvl w:ilvl="0" w:tentative="0">
      <w:start w:val="1"/>
      <w:numFmt w:val="chineseCounting"/>
      <w:suff w:val="nothing"/>
      <w:lvlText w:val="%1、"/>
      <w:lvlJc w:val="left"/>
      <w:rPr>
        <w:rFonts w:hint="eastAsia"/>
      </w:rPr>
    </w:lvl>
  </w:abstractNum>
  <w:abstractNum w:abstractNumId="7">
    <w:nsid w:val="390BD32B"/>
    <w:multiLevelType w:val="singleLevel"/>
    <w:tmpl w:val="390BD32B"/>
    <w:lvl w:ilvl="0" w:tentative="0">
      <w:start w:val="1"/>
      <w:numFmt w:val="decimal"/>
      <w:suff w:val="nothing"/>
      <w:lvlText w:val="（%1）"/>
      <w:lvlJc w:val="left"/>
    </w:lvl>
  </w:abstractNum>
  <w:abstractNum w:abstractNumId="8">
    <w:nsid w:val="43C6A6B8"/>
    <w:multiLevelType w:val="singleLevel"/>
    <w:tmpl w:val="43C6A6B8"/>
    <w:lvl w:ilvl="0" w:tentative="0">
      <w:start w:val="1"/>
      <w:numFmt w:val="decimal"/>
      <w:suff w:val="nothing"/>
      <w:lvlText w:val="（%1）"/>
      <w:lvlJc w:val="left"/>
    </w:lvl>
  </w:abstractNum>
  <w:abstractNum w:abstractNumId="9">
    <w:nsid w:val="7C4ADDE6"/>
    <w:multiLevelType w:val="singleLevel"/>
    <w:tmpl w:val="7C4ADDE6"/>
    <w:lvl w:ilvl="0" w:tentative="0">
      <w:start w:val="1"/>
      <w:numFmt w:val="chineseCounting"/>
      <w:suff w:val="nothing"/>
      <w:lvlText w:val="（%1）"/>
      <w:lvlJc w:val="left"/>
      <w:rPr>
        <w:rFonts w:hint="eastAsia"/>
      </w:rPr>
    </w:lvl>
  </w:abstractNum>
  <w:num w:numId="1">
    <w:abstractNumId w:val="6"/>
  </w:num>
  <w:num w:numId="2">
    <w:abstractNumId w:val="9"/>
  </w:num>
  <w:num w:numId="3">
    <w:abstractNumId w:val="5"/>
  </w:num>
  <w:num w:numId="4">
    <w:abstractNumId w:val="8"/>
  </w:num>
  <w:num w:numId="5">
    <w:abstractNumId w:val="3"/>
  </w:num>
  <w:num w:numId="6">
    <w:abstractNumId w:val="7"/>
  </w:num>
  <w:num w:numId="7">
    <w:abstractNumId w:val="0"/>
  </w:num>
  <w:num w:numId="8">
    <w:abstractNumId w:val="2"/>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yOGU1ZTI2MmFhYjllM2NkMmUwOTA3Y2ViMWFhMDEifQ=="/>
    <w:docVar w:name="KSO_WPS_MARK_KEY" w:val="cc415a39-06a3-4dc9-aacc-f90bba6054fc"/>
  </w:docVars>
  <w:rsids>
    <w:rsidRoot w:val="00092860"/>
    <w:rsid w:val="00005EFD"/>
    <w:rsid w:val="00010BF3"/>
    <w:rsid w:val="00040261"/>
    <w:rsid w:val="00040F92"/>
    <w:rsid w:val="000433C1"/>
    <w:rsid w:val="00043F31"/>
    <w:rsid w:val="00047C64"/>
    <w:rsid w:val="0005490F"/>
    <w:rsid w:val="0006056C"/>
    <w:rsid w:val="0006204B"/>
    <w:rsid w:val="00073D4E"/>
    <w:rsid w:val="00092860"/>
    <w:rsid w:val="000B5BCA"/>
    <w:rsid w:val="000B701C"/>
    <w:rsid w:val="000B7547"/>
    <w:rsid w:val="000C1984"/>
    <w:rsid w:val="000C39D5"/>
    <w:rsid w:val="000E6FB9"/>
    <w:rsid w:val="001166DB"/>
    <w:rsid w:val="00116758"/>
    <w:rsid w:val="001256A7"/>
    <w:rsid w:val="001320E9"/>
    <w:rsid w:val="001328D2"/>
    <w:rsid w:val="00144379"/>
    <w:rsid w:val="00146066"/>
    <w:rsid w:val="00160495"/>
    <w:rsid w:val="00166007"/>
    <w:rsid w:val="00192E98"/>
    <w:rsid w:val="001949E5"/>
    <w:rsid w:val="001975A0"/>
    <w:rsid w:val="001A181B"/>
    <w:rsid w:val="001B61CD"/>
    <w:rsid w:val="001C0C05"/>
    <w:rsid w:val="001E11C8"/>
    <w:rsid w:val="00206CEE"/>
    <w:rsid w:val="002208DF"/>
    <w:rsid w:val="002235CA"/>
    <w:rsid w:val="0022459A"/>
    <w:rsid w:val="002346FE"/>
    <w:rsid w:val="002567D5"/>
    <w:rsid w:val="0026013C"/>
    <w:rsid w:val="002615F8"/>
    <w:rsid w:val="0026408B"/>
    <w:rsid w:val="00273835"/>
    <w:rsid w:val="00275094"/>
    <w:rsid w:val="002A0A42"/>
    <w:rsid w:val="002D06FD"/>
    <w:rsid w:val="002D51E2"/>
    <w:rsid w:val="002E1317"/>
    <w:rsid w:val="002E1352"/>
    <w:rsid w:val="002E5D76"/>
    <w:rsid w:val="002E5E75"/>
    <w:rsid w:val="002F7FBA"/>
    <w:rsid w:val="003133C7"/>
    <w:rsid w:val="00323940"/>
    <w:rsid w:val="00332988"/>
    <w:rsid w:val="00334D42"/>
    <w:rsid w:val="00343249"/>
    <w:rsid w:val="003438A9"/>
    <w:rsid w:val="00352BD7"/>
    <w:rsid w:val="00362A7A"/>
    <w:rsid w:val="00383848"/>
    <w:rsid w:val="003A33A9"/>
    <w:rsid w:val="003B0490"/>
    <w:rsid w:val="003B3F39"/>
    <w:rsid w:val="003D2DC5"/>
    <w:rsid w:val="003F2D8B"/>
    <w:rsid w:val="003F6450"/>
    <w:rsid w:val="00404521"/>
    <w:rsid w:val="00404A75"/>
    <w:rsid w:val="0041040E"/>
    <w:rsid w:val="00410CC3"/>
    <w:rsid w:val="00410D76"/>
    <w:rsid w:val="00413E2E"/>
    <w:rsid w:val="004230D0"/>
    <w:rsid w:val="00425E61"/>
    <w:rsid w:val="0043145C"/>
    <w:rsid w:val="004322CC"/>
    <w:rsid w:val="004341BF"/>
    <w:rsid w:val="00451EC7"/>
    <w:rsid w:val="00457796"/>
    <w:rsid w:val="0047417A"/>
    <w:rsid w:val="004766C4"/>
    <w:rsid w:val="00490327"/>
    <w:rsid w:val="00490D6E"/>
    <w:rsid w:val="00492DB5"/>
    <w:rsid w:val="00497589"/>
    <w:rsid w:val="004A4DAC"/>
    <w:rsid w:val="004B7F40"/>
    <w:rsid w:val="004C57B1"/>
    <w:rsid w:val="004D2DE8"/>
    <w:rsid w:val="004D349F"/>
    <w:rsid w:val="004D7C80"/>
    <w:rsid w:val="004E0BEA"/>
    <w:rsid w:val="004E4CAE"/>
    <w:rsid w:val="004F0BE8"/>
    <w:rsid w:val="00501AF1"/>
    <w:rsid w:val="00506186"/>
    <w:rsid w:val="00521698"/>
    <w:rsid w:val="00541035"/>
    <w:rsid w:val="005425F1"/>
    <w:rsid w:val="0057493F"/>
    <w:rsid w:val="00577B6C"/>
    <w:rsid w:val="005B44CD"/>
    <w:rsid w:val="005C1A10"/>
    <w:rsid w:val="005C5EDB"/>
    <w:rsid w:val="005D39C3"/>
    <w:rsid w:val="005D4278"/>
    <w:rsid w:val="005E055C"/>
    <w:rsid w:val="005E19AB"/>
    <w:rsid w:val="005E2083"/>
    <w:rsid w:val="005F097E"/>
    <w:rsid w:val="005F2507"/>
    <w:rsid w:val="005F3021"/>
    <w:rsid w:val="005F3916"/>
    <w:rsid w:val="00604B77"/>
    <w:rsid w:val="0062026B"/>
    <w:rsid w:val="00621A42"/>
    <w:rsid w:val="00640E1C"/>
    <w:rsid w:val="00642E60"/>
    <w:rsid w:val="006469AF"/>
    <w:rsid w:val="00657C4E"/>
    <w:rsid w:val="00671656"/>
    <w:rsid w:val="006746F4"/>
    <w:rsid w:val="00682DF8"/>
    <w:rsid w:val="00684132"/>
    <w:rsid w:val="00690C83"/>
    <w:rsid w:val="0069357D"/>
    <w:rsid w:val="006944A6"/>
    <w:rsid w:val="006A2183"/>
    <w:rsid w:val="006A243D"/>
    <w:rsid w:val="006A7F25"/>
    <w:rsid w:val="006B14A1"/>
    <w:rsid w:val="006C299A"/>
    <w:rsid w:val="006C30EA"/>
    <w:rsid w:val="006D1017"/>
    <w:rsid w:val="006D1A81"/>
    <w:rsid w:val="006D315D"/>
    <w:rsid w:val="006D3425"/>
    <w:rsid w:val="006E208F"/>
    <w:rsid w:val="006F4B7F"/>
    <w:rsid w:val="006F5C1E"/>
    <w:rsid w:val="006F674C"/>
    <w:rsid w:val="006F7BDE"/>
    <w:rsid w:val="00704EE0"/>
    <w:rsid w:val="0070732A"/>
    <w:rsid w:val="00714F4A"/>
    <w:rsid w:val="007259C4"/>
    <w:rsid w:val="00731D95"/>
    <w:rsid w:val="00736635"/>
    <w:rsid w:val="0074115E"/>
    <w:rsid w:val="00745B91"/>
    <w:rsid w:val="00746AAA"/>
    <w:rsid w:val="007A5708"/>
    <w:rsid w:val="007B3E60"/>
    <w:rsid w:val="007C1F83"/>
    <w:rsid w:val="007C7266"/>
    <w:rsid w:val="007D02E4"/>
    <w:rsid w:val="007D33CA"/>
    <w:rsid w:val="007E170F"/>
    <w:rsid w:val="007E5F9C"/>
    <w:rsid w:val="007F455A"/>
    <w:rsid w:val="00800818"/>
    <w:rsid w:val="00813797"/>
    <w:rsid w:val="00857746"/>
    <w:rsid w:val="00866160"/>
    <w:rsid w:val="00866A3A"/>
    <w:rsid w:val="00872E05"/>
    <w:rsid w:val="00886F11"/>
    <w:rsid w:val="00891BE8"/>
    <w:rsid w:val="00891D19"/>
    <w:rsid w:val="00897E52"/>
    <w:rsid w:val="008A06A8"/>
    <w:rsid w:val="008A1868"/>
    <w:rsid w:val="008A7DA6"/>
    <w:rsid w:val="008B62D3"/>
    <w:rsid w:val="008D09DB"/>
    <w:rsid w:val="008D6905"/>
    <w:rsid w:val="008F08F7"/>
    <w:rsid w:val="009067C1"/>
    <w:rsid w:val="00924691"/>
    <w:rsid w:val="00927301"/>
    <w:rsid w:val="00932E35"/>
    <w:rsid w:val="009354A9"/>
    <w:rsid w:val="009370C0"/>
    <w:rsid w:val="00944E5A"/>
    <w:rsid w:val="0094544D"/>
    <w:rsid w:val="00954A17"/>
    <w:rsid w:val="00964401"/>
    <w:rsid w:val="00974C77"/>
    <w:rsid w:val="0099095F"/>
    <w:rsid w:val="00991794"/>
    <w:rsid w:val="00993EAC"/>
    <w:rsid w:val="009A0D3C"/>
    <w:rsid w:val="009A241A"/>
    <w:rsid w:val="009C1A32"/>
    <w:rsid w:val="009C643F"/>
    <w:rsid w:val="009D331B"/>
    <w:rsid w:val="009E1B7A"/>
    <w:rsid w:val="009E5340"/>
    <w:rsid w:val="00A10BE4"/>
    <w:rsid w:val="00A3709A"/>
    <w:rsid w:val="00A4717F"/>
    <w:rsid w:val="00A543B2"/>
    <w:rsid w:val="00A549DD"/>
    <w:rsid w:val="00A65789"/>
    <w:rsid w:val="00A72626"/>
    <w:rsid w:val="00A907CB"/>
    <w:rsid w:val="00A93131"/>
    <w:rsid w:val="00AA2AE0"/>
    <w:rsid w:val="00AA3904"/>
    <w:rsid w:val="00AB3CBD"/>
    <w:rsid w:val="00AB65BD"/>
    <w:rsid w:val="00AD425F"/>
    <w:rsid w:val="00AF00B1"/>
    <w:rsid w:val="00B144E7"/>
    <w:rsid w:val="00B20EA5"/>
    <w:rsid w:val="00B23A9C"/>
    <w:rsid w:val="00B243DA"/>
    <w:rsid w:val="00B27F7B"/>
    <w:rsid w:val="00B30ABD"/>
    <w:rsid w:val="00B320CD"/>
    <w:rsid w:val="00B5550B"/>
    <w:rsid w:val="00B567E9"/>
    <w:rsid w:val="00B75770"/>
    <w:rsid w:val="00B96B17"/>
    <w:rsid w:val="00BA110F"/>
    <w:rsid w:val="00BB1996"/>
    <w:rsid w:val="00BD63A3"/>
    <w:rsid w:val="00BE144F"/>
    <w:rsid w:val="00BF03CF"/>
    <w:rsid w:val="00BF2141"/>
    <w:rsid w:val="00BF6AB3"/>
    <w:rsid w:val="00C01C69"/>
    <w:rsid w:val="00C23077"/>
    <w:rsid w:val="00C51A0F"/>
    <w:rsid w:val="00C53945"/>
    <w:rsid w:val="00C7117D"/>
    <w:rsid w:val="00C761DB"/>
    <w:rsid w:val="00C77F95"/>
    <w:rsid w:val="00C80FAE"/>
    <w:rsid w:val="00C90C30"/>
    <w:rsid w:val="00C932F3"/>
    <w:rsid w:val="00CA24B8"/>
    <w:rsid w:val="00CA40DD"/>
    <w:rsid w:val="00CB1BD0"/>
    <w:rsid w:val="00CB43A4"/>
    <w:rsid w:val="00CC084B"/>
    <w:rsid w:val="00CC741B"/>
    <w:rsid w:val="00CD6EFC"/>
    <w:rsid w:val="00CE369E"/>
    <w:rsid w:val="00D01581"/>
    <w:rsid w:val="00D16330"/>
    <w:rsid w:val="00D1692A"/>
    <w:rsid w:val="00D20482"/>
    <w:rsid w:val="00D25502"/>
    <w:rsid w:val="00D27548"/>
    <w:rsid w:val="00D27864"/>
    <w:rsid w:val="00D33CB5"/>
    <w:rsid w:val="00D37BA9"/>
    <w:rsid w:val="00D424A0"/>
    <w:rsid w:val="00D4271F"/>
    <w:rsid w:val="00D43ECA"/>
    <w:rsid w:val="00D5590B"/>
    <w:rsid w:val="00D60F26"/>
    <w:rsid w:val="00D60F48"/>
    <w:rsid w:val="00D6155B"/>
    <w:rsid w:val="00D67588"/>
    <w:rsid w:val="00D75E51"/>
    <w:rsid w:val="00D8314B"/>
    <w:rsid w:val="00DA1555"/>
    <w:rsid w:val="00DB0CD8"/>
    <w:rsid w:val="00DC086B"/>
    <w:rsid w:val="00DD2A79"/>
    <w:rsid w:val="00DE6753"/>
    <w:rsid w:val="00E02572"/>
    <w:rsid w:val="00E06334"/>
    <w:rsid w:val="00E0684F"/>
    <w:rsid w:val="00E25E36"/>
    <w:rsid w:val="00E37598"/>
    <w:rsid w:val="00E52EA4"/>
    <w:rsid w:val="00E60F72"/>
    <w:rsid w:val="00E73C5C"/>
    <w:rsid w:val="00E75E67"/>
    <w:rsid w:val="00E7665F"/>
    <w:rsid w:val="00E77C6C"/>
    <w:rsid w:val="00E80839"/>
    <w:rsid w:val="00E90D51"/>
    <w:rsid w:val="00E93F6B"/>
    <w:rsid w:val="00EA6B38"/>
    <w:rsid w:val="00EA74E9"/>
    <w:rsid w:val="00EA7EFA"/>
    <w:rsid w:val="00EB20A0"/>
    <w:rsid w:val="00EC1B3B"/>
    <w:rsid w:val="00EC2F8A"/>
    <w:rsid w:val="00EC67C9"/>
    <w:rsid w:val="00ED56BD"/>
    <w:rsid w:val="00F04877"/>
    <w:rsid w:val="00F1001B"/>
    <w:rsid w:val="00F118ED"/>
    <w:rsid w:val="00F13DF3"/>
    <w:rsid w:val="00F319A0"/>
    <w:rsid w:val="00F31C39"/>
    <w:rsid w:val="00F42A56"/>
    <w:rsid w:val="00F51A7C"/>
    <w:rsid w:val="00F5789B"/>
    <w:rsid w:val="00F62E2E"/>
    <w:rsid w:val="00F7092F"/>
    <w:rsid w:val="00F8334F"/>
    <w:rsid w:val="00F90CD4"/>
    <w:rsid w:val="00F91962"/>
    <w:rsid w:val="00FA6902"/>
    <w:rsid w:val="00FB0D73"/>
    <w:rsid w:val="00FB73A5"/>
    <w:rsid w:val="00FC144D"/>
    <w:rsid w:val="00FC24C0"/>
    <w:rsid w:val="00FD094F"/>
    <w:rsid w:val="00FD1A00"/>
    <w:rsid w:val="00FF2382"/>
    <w:rsid w:val="00FF3DE7"/>
    <w:rsid w:val="00FF6C19"/>
    <w:rsid w:val="010F66F4"/>
    <w:rsid w:val="011E3158"/>
    <w:rsid w:val="01395249"/>
    <w:rsid w:val="01501A81"/>
    <w:rsid w:val="015F6672"/>
    <w:rsid w:val="0178768B"/>
    <w:rsid w:val="01A465D8"/>
    <w:rsid w:val="01AF481A"/>
    <w:rsid w:val="01C35E5B"/>
    <w:rsid w:val="01D05436"/>
    <w:rsid w:val="01D5464B"/>
    <w:rsid w:val="01E834DD"/>
    <w:rsid w:val="01FB1A92"/>
    <w:rsid w:val="01FC3C59"/>
    <w:rsid w:val="02031D61"/>
    <w:rsid w:val="02050B62"/>
    <w:rsid w:val="02210711"/>
    <w:rsid w:val="0227275A"/>
    <w:rsid w:val="02291C3C"/>
    <w:rsid w:val="02310013"/>
    <w:rsid w:val="024617F2"/>
    <w:rsid w:val="025C0116"/>
    <w:rsid w:val="025F4CFF"/>
    <w:rsid w:val="02664218"/>
    <w:rsid w:val="02682A24"/>
    <w:rsid w:val="026B50D9"/>
    <w:rsid w:val="0281282A"/>
    <w:rsid w:val="02A272AC"/>
    <w:rsid w:val="02C1356F"/>
    <w:rsid w:val="02E31FD2"/>
    <w:rsid w:val="02F06E79"/>
    <w:rsid w:val="0306222B"/>
    <w:rsid w:val="0306705D"/>
    <w:rsid w:val="030D5636"/>
    <w:rsid w:val="031C07A5"/>
    <w:rsid w:val="03255414"/>
    <w:rsid w:val="034A5312"/>
    <w:rsid w:val="03597213"/>
    <w:rsid w:val="036050B1"/>
    <w:rsid w:val="03605F71"/>
    <w:rsid w:val="036B2DF9"/>
    <w:rsid w:val="03770D13"/>
    <w:rsid w:val="03771E7F"/>
    <w:rsid w:val="03AE795E"/>
    <w:rsid w:val="03C03826"/>
    <w:rsid w:val="03C37AEA"/>
    <w:rsid w:val="03EE57A7"/>
    <w:rsid w:val="03FA155C"/>
    <w:rsid w:val="040C4BE3"/>
    <w:rsid w:val="04273B9C"/>
    <w:rsid w:val="043E4F7B"/>
    <w:rsid w:val="044A3F41"/>
    <w:rsid w:val="044B1342"/>
    <w:rsid w:val="044C5900"/>
    <w:rsid w:val="045C19CE"/>
    <w:rsid w:val="04612AD6"/>
    <w:rsid w:val="04631C14"/>
    <w:rsid w:val="046B3DBE"/>
    <w:rsid w:val="048A426A"/>
    <w:rsid w:val="048C6987"/>
    <w:rsid w:val="048D2882"/>
    <w:rsid w:val="04CD4BA2"/>
    <w:rsid w:val="04E470A0"/>
    <w:rsid w:val="04E5492A"/>
    <w:rsid w:val="04E95DFE"/>
    <w:rsid w:val="04EB5E13"/>
    <w:rsid w:val="050713FA"/>
    <w:rsid w:val="05233B0B"/>
    <w:rsid w:val="05240B21"/>
    <w:rsid w:val="0534786B"/>
    <w:rsid w:val="05381E09"/>
    <w:rsid w:val="05420BC4"/>
    <w:rsid w:val="05544226"/>
    <w:rsid w:val="0560691E"/>
    <w:rsid w:val="05622C5A"/>
    <w:rsid w:val="0590302E"/>
    <w:rsid w:val="05961E8B"/>
    <w:rsid w:val="05B80C59"/>
    <w:rsid w:val="05B9052D"/>
    <w:rsid w:val="05C1044E"/>
    <w:rsid w:val="05D10BE5"/>
    <w:rsid w:val="05D40B8B"/>
    <w:rsid w:val="05DC336A"/>
    <w:rsid w:val="05E17F94"/>
    <w:rsid w:val="05E477F8"/>
    <w:rsid w:val="05EF5161"/>
    <w:rsid w:val="05F63235"/>
    <w:rsid w:val="060D53F2"/>
    <w:rsid w:val="061D52B0"/>
    <w:rsid w:val="0639341C"/>
    <w:rsid w:val="068059CA"/>
    <w:rsid w:val="06A616F4"/>
    <w:rsid w:val="06C615A2"/>
    <w:rsid w:val="06C75A8A"/>
    <w:rsid w:val="06D4416C"/>
    <w:rsid w:val="06E45CC9"/>
    <w:rsid w:val="06F06595"/>
    <w:rsid w:val="06F278E4"/>
    <w:rsid w:val="070D5F42"/>
    <w:rsid w:val="073C1416"/>
    <w:rsid w:val="074A5B49"/>
    <w:rsid w:val="075C478E"/>
    <w:rsid w:val="07886409"/>
    <w:rsid w:val="07921036"/>
    <w:rsid w:val="079A4A26"/>
    <w:rsid w:val="07A86AAB"/>
    <w:rsid w:val="07B376E6"/>
    <w:rsid w:val="07B76CEE"/>
    <w:rsid w:val="07CD098C"/>
    <w:rsid w:val="07D6030C"/>
    <w:rsid w:val="07F67816"/>
    <w:rsid w:val="07FC379F"/>
    <w:rsid w:val="08265711"/>
    <w:rsid w:val="082E2B4C"/>
    <w:rsid w:val="084D5698"/>
    <w:rsid w:val="087E1C14"/>
    <w:rsid w:val="0881106A"/>
    <w:rsid w:val="089C7BA1"/>
    <w:rsid w:val="089F5020"/>
    <w:rsid w:val="08A1785D"/>
    <w:rsid w:val="08BD66F4"/>
    <w:rsid w:val="08D819CB"/>
    <w:rsid w:val="08E37B9C"/>
    <w:rsid w:val="0900512E"/>
    <w:rsid w:val="092C2D7B"/>
    <w:rsid w:val="09495EE2"/>
    <w:rsid w:val="09617865"/>
    <w:rsid w:val="09667139"/>
    <w:rsid w:val="096B114E"/>
    <w:rsid w:val="096B707E"/>
    <w:rsid w:val="09755E6F"/>
    <w:rsid w:val="09811671"/>
    <w:rsid w:val="098923DA"/>
    <w:rsid w:val="0995305F"/>
    <w:rsid w:val="09CB08A8"/>
    <w:rsid w:val="09CD0A4B"/>
    <w:rsid w:val="09D4375A"/>
    <w:rsid w:val="09DC01FC"/>
    <w:rsid w:val="09FA01B7"/>
    <w:rsid w:val="0A1E54BE"/>
    <w:rsid w:val="0A207B6A"/>
    <w:rsid w:val="0A297634"/>
    <w:rsid w:val="0A321B2F"/>
    <w:rsid w:val="0A391F9C"/>
    <w:rsid w:val="0A3D48EC"/>
    <w:rsid w:val="0A440EE2"/>
    <w:rsid w:val="0A442FC6"/>
    <w:rsid w:val="0A5239AD"/>
    <w:rsid w:val="0A6961D7"/>
    <w:rsid w:val="0A6E76F5"/>
    <w:rsid w:val="0A6E77AA"/>
    <w:rsid w:val="0A7575A6"/>
    <w:rsid w:val="0A7C6B3F"/>
    <w:rsid w:val="0A8050FD"/>
    <w:rsid w:val="0AA84A7A"/>
    <w:rsid w:val="0ABF2050"/>
    <w:rsid w:val="0AC02B81"/>
    <w:rsid w:val="0AC917B7"/>
    <w:rsid w:val="0ACE2BAA"/>
    <w:rsid w:val="0AE54372"/>
    <w:rsid w:val="0B1247E5"/>
    <w:rsid w:val="0B1518C9"/>
    <w:rsid w:val="0B1D0203"/>
    <w:rsid w:val="0B3072B3"/>
    <w:rsid w:val="0B3B24B4"/>
    <w:rsid w:val="0B3C4E9E"/>
    <w:rsid w:val="0B445C63"/>
    <w:rsid w:val="0B460BF8"/>
    <w:rsid w:val="0B4877C7"/>
    <w:rsid w:val="0B4C6367"/>
    <w:rsid w:val="0B514107"/>
    <w:rsid w:val="0B6A45AB"/>
    <w:rsid w:val="0B6E3C03"/>
    <w:rsid w:val="0B8B6D44"/>
    <w:rsid w:val="0BA34615"/>
    <w:rsid w:val="0BAC1C8B"/>
    <w:rsid w:val="0BB67A76"/>
    <w:rsid w:val="0BC578BF"/>
    <w:rsid w:val="0BEF2F28"/>
    <w:rsid w:val="0BF12E98"/>
    <w:rsid w:val="0C0F1C38"/>
    <w:rsid w:val="0C130A20"/>
    <w:rsid w:val="0C2C3397"/>
    <w:rsid w:val="0C416373"/>
    <w:rsid w:val="0C6336FA"/>
    <w:rsid w:val="0C68698A"/>
    <w:rsid w:val="0C6E6138"/>
    <w:rsid w:val="0C8B04F4"/>
    <w:rsid w:val="0C923886"/>
    <w:rsid w:val="0C9E2876"/>
    <w:rsid w:val="0CA03088"/>
    <w:rsid w:val="0CA569E8"/>
    <w:rsid w:val="0CC26F2D"/>
    <w:rsid w:val="0CC56899"/>
    <w:rsid w:val="0CCB090C"/>
    <w:rsid w:val="0CD86312"/>
    <w:rsid w:val="0CDA0A92"/>
    <w:rsid w:val="0CE07FC0"/>
    <w:rsid w:val="0CE7664A"/>
    <w:rsid w:val="0CF213D5"/>
    <w:rsid w:val="0CFF2150"/>
    <w:rsid w:val="0D330BC5"/>
    <w:rsid w:val="0D340ECF"/>
    <w:rsid w:val="0D48462F"/>
    <w:rsid w:val="0D525347"/>
    <w:rsid w:val="0D6D238D"/>
    <w:rsid w:val="0D8F75D2"/>
    <w:rsid w:val="0DA14F4D"/>
    <w:rsid w:val="0DB56F4F"/>
    <w:rsid w:val="0DC84865"/>
    <w:rsid w:val="0DC926D5"/>
    <w:rsid w:val="0DD20498"/>
    <w:rsid w:val="0DD75714"/>
    <w:rsid w:val="0DE47945"/>
    <w:rsid w:val="0DF75B9A"/>
    <w:rsid w:val="0DF82F6C"/>
    <w:rsid w:val="0DFE34F8"/>
    <w:rsid w:val="0E003674"/>
    <w:rsid w:val="0E220612"/>
    <w:rsid w:val="0E335B97"/>
    <w:rsid w:val="0E4C6A52"/>
    <w:rsid w:val="0E725B97"/>
    <w:rsid w:val="0E75110F"/>
    <w:rsid w:val="0E7556DE"/>
    <w:rsid w:val="0E8B67DF"/>
    <w:rsid w:val="0E8E68FD"/>
    <w:rsid w:val="0E9A6F2A"/>
    <w:rsid w:val="0EA659C4"/>
    <w:rsid w:val="0EF01944"/>
    <w:rsid w:val="0EF63231"/>
    <w:rsid w:val="0EF90D99"/>
    <w:rsid w:val="0F00618D"/>
    <w:rsid w:val="0F1737C0"/>
    <w:rsid w:val="0F2949AA"/>
    <w:rsid w:val="0F4D74A9"/>
    <w:rsid w:val="0F731279"/>
    <w:rsid w:val="0F77651E"/>
    <w:rsid w:val="0F9241F6"/>
    <w:rsid w:val="0F947250"/>
    <w:rsid w:val="0F9C40C8"/>
    <w:rsid w:val="0FB42576"/>
    <w:rsid w:val="0FC73841"/>
    <w:rsid w:val="0FCC660D"/>
    <w:rsid w:val="0FCF7645"/>
    <w:rsid w:val="0FD35D97"/>
    <w:rsid w:val="0FEE7837"/>
    <w:rsid w:val="100A11F9"/>
    <w:rsid w:val="1019154D"/>
    <w:rsid w:val="1027367B"/>
    <w:rsid w:val="104A5ED2"/>
    <w:rsid w:val="104D6255"/>
    <w:rsid w:val="10541BDE"/>
    <w:rsid w:val="10557F85"/>
    <w:rsid w:val="10584BCC"/>
    <w:rsid w:val="106729EA"/>
    <w:rsid w:val="106A24C3"/>
    <w:rsid w:val="107A63E2"/>
    <w:rsid w:val="10944FD2"/>
    <w:rsid w:val="109945F0"/>
    <w:rsid w:val="10A24A5C"/>
    <w:rsid w:val="10AB5276"/>
    <w:rsid w:val="10B90CC1"/>
    <w:rsid w:val="10DD5602"/>
    <w:rsid w:val="10E127DA"/>
    <w:rsid w:val="10E220ED"/>
    <w:rsid w:val="10EE3E65"/>
    <w:rsid w:val="11024438"/>
    <w:rsid w:val="11097A4C"/>
    <w:rsid w:val="111F5232"/>
    <w:rsid w:val="11241962"/>
    <w:rsid w:val="112A5C06"/>
    <w:rsid w:val="1136674A"/>
    <w:rsid w:val="11386BDA"/>
    <w:rsid w:val="11457119"/>
    <w:rsid w:val="114C374F"/>
    <w:rsid w:val="114F14E4"/>
    <w:rsid w:val="11587AB6"/>
    <w:rsid w:val="115A7AB4"/>
    <w:rsid w:val="116511AC"/>
    <w:rsid w:val="11910467"/>
    <w:rsid w:val="11A5685A"/>
    <w:rsid w:val="11AD135C"/>
    <w:rsid w:val="11C3225E"/>
    <w:rsid w:val="11C813B5"/>
    <w:rsid w:val="11D04827"/>
    <w:rsid w:val="11D277B2"/>
    <w:rsid w:val="11EB1415"/>
    <w:rsid w:val="11F336ED"/>
    <w:rsid w:val="120255E6"/>
    <w:rsid w:val="12047890"/>
    <w:rsid w:val="120E3BC4"/>
    <w:rsid w:val="12375093"/>
    <w:rsid w:val="123A1002"/>
    <w:rsid w:val="124B46DF"/>
    <w:rsid w:val="1260352A"/>
    <w:rsid w:val="1265721A"/>
    <w:rsid w:val="126B1E04"/>
    <w:rsid w:val="128F202C"/>
    <w:rsid w:val="128F3AA7"/>
    <w:rsid w:val="12991A5D"/>
    <w:rsid w:val="129E3422"/>
    <w:rsid w:val="12D44BF8"/>
    <w:rsid w:val="12D869DF"/>
    <w:rsid w:val="12E21004"/>
    <w:rsid w:val="12E37F42"/>
    <w:rsid w:val="13076D7C"/>
    <w:rsid w:val="130E7ECE"/>
    <w:rsid w:val="131A4D73"/>
    <w:rsid w:val="1326677E"/>
    <w:rsid w:val="133D0538"/>
    <w:rsid w:val="1357071E"/>
    <w:rsid w:val="136C7FD9"/>
    <w:rsid w:val="13902C50"/>
    <w:rsid w:val="13934519"/>
    <w:rsid w:val="13B86A7D"/>
    <w:rsid w:val="13D047EB"/>
    <w:rsid w:val="13DB3F83"/>
    <w:rsid w:val="13E54EC3"/>
    <w:rsid w:val="13F3374D"/>
    <w:rsid w:val="13FC47AB"/>
    <w:rsid w:val="13FE54A6"/>
    <w:rsid w:val="140E01AF"/>
    <w:rsid w:val="142C06BC"/>
    <w:rsid w:val="142D2604"/>
    <w:rsid w:val="142F28B9"/>
    <w:rsid w:val="14484E8D"/>
    <w:rsid w:val="1450092C"/>
    <w:rsid w:val="14795A57"/>
    <w:rsid w:val="14AB460B"/>
    <w:rsid w:val="14C03BE3"/>
    <w:rsid w:val="14C82DE2"/>
    <w:rsid w:val="14E83491"/>
    <w:rsid w:val="14F0250E"/>
    <w:rsid w:val="14F21311"/>
    <w:rsid w:val="14F876A6"/>
    <w:rsid w:val="150A4901"/>
    <w:rsid w:val="1517646B"/>
    <w:rsid w:val="15214A13"/>
    <w:rsid w:val="15235BEC"/>
    <w:rsid w:val="152D417A"/>
    <w:rsid w:val="153951E6"/>
    <w:rsid w:val="1555339C"/>
    <w:rsid w:val="15643BA8"/>
    <w:rsid w:val="15665BE5"/>
    <w:rsid w:val="156E38EE"/>
    <w:rsid w:val="15740080"/>
    <w:rsid w:val="15836462"/>
    <w:rsid w:val="15855917"/>
    <w:rsid w:val="158D7389"/>
    <w:rsid w:val="159F0E90"/>
    <w:rsid w:val="15AA5213"/>
    <w:rsid w:val="15DD358D"/>
    <w:rsid w:val="15DE2BEC"/>
    <w:rsid w:val="15ED1007"/>
    <w:rsid w:val="15F07B65"/>
    <w:rsid w:val="15FD5FF7"/>
    <w:rsid w:val="15FF01DE"/>
    <w:rsid w:val="160A1F61"/>
    <w:rsid w:val="16120462"/>
    <w:rsid w:val="1644187B"/>
    <w:rsid w:val="16580EF6"/>
    <w:rsid w:val="165E63ED"/>
    <w:rsid w:val="167B6C0E"/>
    <w:rsid w:val="168373DC"/>
    <w:rsid w:val="168626AD"/>
    <w:rsid w:val="168E0ABB"/>
    <w:rsid w:val="16B424D3"/>
    <w:rsid w:val="16D84525"/>
    <w:rsid w:val="16DE7B91"/>
    <w:rsid w:val="16F639D7"/>
    <w:rsid w:val="16FA5577"/>
    <w:rsid w:val="1700759A"/>
    <w:rsid w:val="170B5DEB"/>
    <w:rsid w:val="17231CAA"/>
    <w:rsid w:val="172408E1"/>
    <w:rsid w:val="173C740E"/>
    <w:rsid w:val="17445A24"/>
    <w:rsid w:val="17715B9E"/>
    <w:rsid w:val="17730677"/>
    <w:rsid w:val="177A4014"/>
    <w:rsid w:val="177C52AB"/>
    <w:rsid w:val="178C1678"/>
    <w:rsid w:val="179B7A41"/>
    <w:rsid w:val="17C112A1"/>
    <w:rsid w:val="17DB2585"/>
    <w:rsid w:val="17DE14ED"/>
    <w:rsid w:val="17F12716"/>
    <w:rsid w:val="180E567F"/>
    <w:rsid w:val="180E5F8F"/>
    <w:rsid w:val="18194E5B"/>
    <w:rsid w:val="181A2107"/>
    <w:rsid w:val="18360182"/>
    <w:rsid w:val="183B1AC3"/>
    <w:rsid w:val="183C0F38"/>
    <w:rsid w:val="184030B8"/>
    <w:rsid w:val="18475A4E"/>
    <w:rsid w:val="18757EE5"/>
    <w:rsid w:val="18790B51"/>
    <w:rsid w:val="187C12F9"/>
    <w:rsid w:val="18847238"/>
    <w:rsid w:val="188925D5"/>
    <w:rsid w:val="188A479A"/>
    <w:rsid w:val="188E75F7"/>
    <w:rsid w:val="189F21ED"/>
    <w:rsid w:val="18B232E6"/>
    <w:rsid w:val="18C06CCE"/>
    <w:rsid w:val="18C7778D"/>
    <w:rsid w:val="18D84350"/>
    <w:rsid w:val="18FC3F1D"/>
    <w:rsid w:val="191C1906"/>
    <w:rsid w:val="195D708F"/>
    <w:rsid w:val="196D1903"/>
    <w:rsid w:val="196D233A"/>
    <w:rsid w:val="198C3906"/>
    <w:rsid w:val="199302C7"/>
    <w:rsid w:val="199413A3"/>
    <w:rsid w:val="199C70B5"/>
    <w:rsid w:val="19A82E33"/>
    <w:rsid w:val="19B0616D"/>
    <w:rsid w:val="19B539B2"/>
    <w:rsid w:val="19D76353"/>
    <w:rsid w:val="19DA7E6E"/>
    <w:rsid w:val="19EF0395"/>
    <w:rsid w:val="19F7593C"/>
    <w:rsid w:val="19FF62E5"/>
    <w:rsid w:val="19FF7C9C"/>
    <w:rsid w:val="1A00283B"/>
    <w:rsid w:val="1A135034"/>
    <w:rsid w:val="1A146B50"/>
    <w:rsid w:val="1A174B1D"/>
    <w:rsid w:val="1A27385F"/>
    <w:rsid w:val="1A387E91"/>
    <w:rsid w:val="1A3A40FB"/>
    <w:rsid w:val="1A4C19F4"/>
    <w:rsid w:val="1A6608F0"/>
    <w:rsid w:val="1A6B5E42"/>
    <w:rsid w:val="1A851F47"/>
    <w:rsid w:val="1A864037"/>
    <w:rsid w:val="1AA33D5D"/>
    <w:rsid w:val="1AA710FE"/>
    <w:rsid w:val="1AAD4CCF"/>
    <w:rsid w:val="1AAE1CBA"/>
    <w:rsid w:val="1AB0206A"/>
    <w:rsid w:val="1ABB35F7"/>
    <w:rsid w:val="1AC45755"/>
    <w:rsid w:val="1ACB4B33"/>
    <w:rsid w:val="1AD31C97"/>
    <w:rsid w:val="1AFE120E"/>
    <w:rsid w:val="1B092502"/>
    <w:rsid w:val="1B1C3714"/>
    <w:rsid w:val="1B2905E9"/>
    <w:rsid w:val="1B402D0B"/>
    <w:rsid w:val="1B4924A4"/>
    <w:rsid w:val="1B4A3CA9"/>
    <w:rsid w:val="1B56062E"/>
    <w:rsid w:val="1B583F18"/>
    <w:rsid w:val="1B5C46A7"/>
    <w:rsid w:val="1B5E564F"/>
    <w:rsid w:val="1B5F2182"/>
    <w:rsid w:val="1B6A31E8"/>
    <w:rsid w:val="1B842574"/>
    <w:rsid w:val="1BA065DA"/>
    <w:rsid w:val="1BA22711"/>
    <w:rsid w:val="1BDB1359"/>
    <w:rsid w:val="1BDF4030"/>
    <w:rsid w:val="1BF3529E"/>
    <w:rsid w:val="1BF806F8"/>
    <w:rsid w:val="1BFC4AC7"/>
    <w:rsid w:val="1C084A7D"/>
    <w:rsid w:val="1C185534"/>
    <w:rsid w:val="1C2B32A2"/>
    <w:rsid w:val="1C3F526D"/>
    <w:rsid w:val="1C46007A"/>
    <w:rsid w:val="1C5D2335"/>
    <w:rsid w:val="1C5D582C"/>
    <w:rsid w:val="1C622307"/>
    <w:rsid w:val="1C665C29"/>
    <w:rsid w:val="1C744D56"/>
    <w:rsid w:val="1C786E29"/>
    <w:rsid w:val="1C805A94"/>
    <w:rsid w:val="1C877DEB"/>
    <w:rsid w:val="1C925F1F"/>
    <w:rsid w:val="1C9E14BD"/>
    <w:rsid w:val="1CAC6DB0"/>
    <w:rsid w:val="1CAD636B"/>
    <w:rsid w:val="1CB6222B"/>
    <w:rsid w:val="1CBD440D"/>
    <w:rsid w:val="1CBE5341"/>
    <w:rsid w:val="1CC21590"/>
    <w:rsid w:val="1CCB3614"/>
    <w:rsid w:val="1CDD7D6D"/>
    <w:rsid w:val="1CF71A94"/>
    <w:rsid w:val="1D012A8E"/>
    <w:rsid w:val="1D06060B"/>
    <w:rsid w:val="1D253EFC"/>
    <w:rsid w:val="1D2A47E8"/>
    <w:rsid w:val="1D393A52"/>
    <w:rsid w:val="1D6A5FF8"/>
    <w:rsid w:val="1D750703"/>
    <w:rsid w:val="1D7A1894"/>
    <w:rsid w:val="1DB878B6"/>
    <w:rsid w:val="1DCE20EE"/>
    <w:rsid w:val="1DDB508D"/>
    <w:rsid w:val="1DE226E0"/>
    <w:rsid w:val="1DE627B1"/>
    <w:rsid w:val="1DF632FD"/>
    <w:rsid w:val="1DFE7AF7"/>
    <w:rsid w:val="1E11113D"/>
    <w:rsid w:val="1E271599"/>
    <w:rsid w:val="1E2B1BA1"/>
    <w:rsid w:val="1E2D0A51"/>
    <w:rsid w:val="1E2E1439"/>
    <w:rsid w:val="1E30165C"/>
    <w:rsid w:val="1E30247B"/>
    <w:rsid w:val="1E380731"/>
    <w:rsid w:val="1E3A4B95"/>
    <w:rsid w:val="1E6E7D5B"/>
    <w:rsid w:val="1E7F2573"/>
    <w:rsid w:val="1E897206"/>
    <w:rsid w:val="1E9B4FE9"/>
    <w:rsid w:val="1EA34647"/>
    <w:rsid w:val="1EBD2C19"/>
    <w:rsid w:val="1EC43D00"/>
    <w:rsid w:val="1ED97035"/>
    <w:rsid w:val="1EDC02F8"/>
    <w:rsid w:val="1EE60593"/>
    <w:rsid w:val="1EEB19BE"/>
    <w:rsid w:val="1EF51055"/>
    <w:rsid w:val="1EFE5426"/>
    <w:rsid w:val="1F0900D7"/>
    <w:rsid w:val="1F183CCC"/>
    <w:rsid w:val="1F313114"/>
    <w:rsid w:val="1F51174B"/>
    <w:rsid w:val="1F5D2DC6"/>
    <w:rsid w:val="1F5F7CA0"/>
    <w:rsid w:val="1F6462FD"/>
    <w:rsid w:val="1FB16E1F"/>
    <w:rsid w:val="1FC22195"/>
    <w:rsid w:val="202D76F6"/>
    <w:rsid w:val="203D65D3"/>
    <w:rsid w:val="204C2871"/>
    <w:rsid w:val="20562900"/>
    <w:rsid w:val="205F1D91"/>
    <w:rsid w:val="206343C7"/>
    <w:rsid w:val="207115C6"/>
    <w:rsid w:val="2086299A"/>
    <w:rsid w:val="20936695"/>
    <w:rsid w:val="20AA6F98"/>
    <w:rsid w:val="20D41501"/>
    <w:rsid w:val="20D96253"/>
    <w:rsid w:val="20E57500"/>
    <w:rsid w:val="20FE0563"/>
    <w:rsid w:val="210F1FED"/>
    <w:rsid w:val="21172449"/>
    <w:rsid w:val="21181C91"/>
    <w:rsid w:val="211C688E"/>
    <w:rsid w:val="211E071F"/>
    <w:rsid w:val="21233C69"/>
    <w:rsid w:val="21235044"/>
    <w:rsid w:val="21250ADE"/>
    <w:rsid w:val="212A43D4"/>
    <w:rsid w:val="213760C2"/>
    <w:rsid w:val="215F7CC0"/>
    <w:rsid w:val="2174123C"/>
    <w:rsid w:val="21843D65"/>
    <w:rsid w:val="218B5F26"/>
    <w:rsid w:val="21A31CED"/>
    <w:rsid w:val="21A46BEE"/>
    <w:rsid w:val="21B1594D"/>
    <w:rsid w:val="21C22773"/>
    <w:rsid w:val="21D83489"/>
    <w:rsid w:val="21DC73B6"/>
    <w:rsid w:val="21EB11BF"/>
    <w:rsid w:val="21F64917"/>
    <w:rsid w:val="22090939"/>
    <w:rsid w:val="22571B51"/>
    <w:rsid w:val="22584151"/>
    <w:rsid w:val="22636561"/>
    <w:rsid w:val="22764103"/>
    <w:rsid w:val="227D2267"/>
    <w:rsid w:val="22857CBD"/>
    <w:rsid w:val="22981F9C"/>
    <w:rsid w:val="22B12860"/>
    <w:rsid w:val="22B83BB3"/>
    <w:rsid w:val="22BD15A2"/>
    <w:rsid w:val="22C11246"/>
    <w:rsid w:val="22C213F6"/>
    <w:rsid w:val="22C65A35"/>
    <w:rsid w:val="22C67910"/>
    <w:rsid w:val="22CF36C0"/>
    <w:rsid w:val="22DA2ABA"/>
    <w:rsid w:val="22DB0A7C"/>
    <w:rsid w:val="22DD12A0"/>
    <w:rsid w:val="22E83BB5"/>
    <w:rsid w:val="22FA4207"/>
    <w:rsid w:val="231B3691"/>
    <w:rsid w:val="231B417D"/>
    <w:rsid w:val="232E1824"/>
    <w:rsid w:val="23363127"/>
    <w:rsid w:val="235D268C"/>
    <w:rsid w:val="2361787B"/>
    <w:rsid w:val="23720081"/>
    <w:rsid w:val="23790C1F"/>
    <w:rsid w:val="238702C2"/>
    <w:rsid w:val="23916F72"/>
    <w:rsid w:val="23AC621F"/>
    <w:rsid w:val="23B1019C"/>
    <w:rsid w:val="23F9568A"/>
    <w:rsid w:val="240B21EF"/>
    <w:rsid w:val="24236C43"/>
    <w:rsid w:val="242C3DBC"/>
    <w:rsid w:val="24355DF3"/>
    <w:rsid w:val="24367605"/>
    <w:rsid w:val="24443DC5"/>
    <w:rsid w:val="244761E2"/>
    <w:rsid w:val="2452597D"/>
    <w:rsid w:val="246B4C91"/>
    <w:rsid w:val="246D0A09"/>
    <w:rsid w:val="247535C1"/>
    <w:rsid w:val="248156CC"/>
    <w:rsid w:val="24873565"/>
    <w:rsid w:val="24A7216D"/>
    <w:rsid w:val="24C034CB"/>
    <w:rsid w:val="24EF7A0D"/>
    <w:rsid w:val="24F114D3"/>
    <w:rsid w:val="24F34D4B"/>
    <w:rsid w:val="2506065B"/>
    <w:rsid w:val="25183210"/>
    <w:rsid w:val="252C6B6B"/>
    <w:rsid w:val="252E0845"/>
    <w:rsid w:val="2532716E"/>
    <w:rsid w:val="253378E2"/>
    <w:rsid w:val="253A47ED"/>
    <w:rsid w:val="25420D70"/>
    <w:rsid w:val="25485291"/>
    <w:rsid w:val="256007B2"/>
    <w:rsid w:val="256447BA"/>
    <w:rsid w:val="256471D1"/>
    <w:rsid w:val="2586094A"/>
    <w:rsid w:val="25975B6C"/>
    <w:rsid w:val="25A30060"/>
    <w:rsid w:val="25A445B6"/>
    <w:rsid w:val="25AF5431"/>
    <w:rsid w:val="25BD2178"/>
    <w:rsid w:val="25D20619"/>
    <w:rsid w:val="25D30D3F"/>
    <w:rsid w:val="25E17ECF"/>
    <w:rsid w:val="26030548"/>
    <w:rsid w:val="260A4F6A"/>
    <w:rsid w:val="26123616"/>
    <w:rsid w:val="26307F40"/>
    <w:rsid w:val="2637724E"/>
    <w:rsid w:val="26585DBB"/>
    <w:rsid w:val="265912DF"/>
    <w:rsid w:val="26673500"/>
    <w:rsid w:val="267E14C1"/>
    <w:rsid w:val="26933183"/>
    <w:rsid w:val="26963FCB"/>
    <w:rsid w:val="269D4696"/>
    <w:rsid w:val="269D5C08"/>
    <w:rsid w:val="26AF41D9"/>
    <w:rsid w:val="26AF46AA"/>
    <w:rsid w:val="26B923C6"/>
    <w:rsid w:val="26C076C9"/>
    <w:rsid w:val="26C44A92"/>
    <w:rsid w:val="26C82234"/>
    <w:rsid w:val="26ED60F4"/>
    <w:rsid w:val="26EF40E8"/>
    <w:rsid w:val="26F02336"/>
    <w:rsid w:val="26F8053B"/>
    <w:rsid w:val="26FC3E21"/>
    <w:rsid w:val="271214F2"/>
    <w:rsid w:val="27217B94"/>
    <w:rsid w:val="27310BFB"/>
    <w:rsid w:val="2750640D"/>
    <w:rsid w:val="275335A0"/>
    <w:rsid w:val="27595504"/>
    <w:rsid w:val="276D6179"/>
    <w:rsid w:val="276F1C0A"/>
    <w:rsid w:val="277A3E04"/>
    <w:rsid w:val="27912C60"/>
    <w:rsid w:val="27A120BD"/>
    <w:rsid w:val="27A24025"/>
    <w:rsid w:val="27B65DA8"/>
    <w:rsid w:val="27D029C5"/>
    <w:rsid w:val="27D61CCF"/>
    <w:rsid w:val="27FD32DC"/>
    <w:rsid w:val="28075FC6"/>
    <w:rsid w:val="282D64B7"/>
    <w:rsid w:val="283B5FDF"/>
    <w:rsid w:val="28444B01"/>
    <w:rsid w:val="284E4D40"/>
    <w:rsid w:val="284F6DA3"/>
    <w:rsid w:val="28525824"/>
    <w:rsid w:val="28575A54"/>
    <w:rsid w:val="285C301A"/>
    <w:rsid w:val="287A4744"/>
    <w:rsid w:val="287D7A19"/>
    <w:rsid w:val="288B11F3"/>
    <w:rsid w:val="28912087"/>
    <w:rsid w:val="28956565"/>
    <w:rsid w:val="28991214"/>
    <w:rsid w:val="28B53785"/>
    <w:rsid w:val="28B77537"/>
    <w:rsid w:val="28B96069"/>
    <w:rsid w:val="28C80F21"/>
    <w:rsid w:val="28DE12D6"/>
    <w:rsid w:val="28E02ADB"/>
    <w:rsid w:val="28F1279C"/>
    <w:rsid w:val="29086F52"/>
    <w:rsid w:val="290A5ABC"/>
    <w:rsid w:val="290B2CB8"/>
    <w:rsid w:val="291A3A54"/>
    <w:rsid w:val="292D4C11"/>
    <w:rsid w:val="29304070"/>
    <w:rsid w:val="29347D47"/>
    <w:rsid w:val="29496622"/>
    <w:rsid w:val="294A57BC"/>
    <w:rsid w:val="29751076"/>
    <w:rsid w:val="29873689"/>
    <w:rsid w:val="29882031"/>
    <w:rsid w:val="298E088F"/>
    <w:rsid w:val="299C4E7C"/>
    <w:rsid w:val="29A042F6"/>
    <w:rsid w:val="29A32B13"/>
    <w:rsid w:val="29DA0519"/>
    <w:rsid w:val="29DF0BF3"/>
    <w:rsid w:val="2A3E2071"/>
    <w:rsid w:val="2A4D29A2"/>
    <w:rsid w:val="2A514DFD"/>
    <w:rsid w:val="2A533306"/>
    <w:rsid w:val="2A547601"/>
    <w:rsid w:val="2A551074"/>
    <w:rsid w:val="2A836DE7"/>
    <w:rsid w:val="2A9071FF"/>
    <w:rsid w:val="2AA909A7"/>
    <w:rsid w:val="2AAD001C"/>
    <w:rsid w:val="2AB23A66"/>
    <w:rsid w:val="2AB467A5"/>
    <w:rsid w:val="2AC82313"/>
    <w:rsid w:val="2AEC7648"/>
    <w:rsid w:val="2AF633B8"/>
    <w:rsid w:val="2B0B4625"/>
    <w:rsid w:val="2B1C2A55"/>
    <w:rsid w:val="2B28102B"/>
    <w:rsid w:val="2B294AB2"/>
    <w:rsid w:val="2B3A36BA"/>
    <w:rsid w:val="2B3B52BF"/>
    <w:rsid w:val="2B441827"/>
    <w:rsid w:val="2B8102D9"/>
    <w:rsid w:val="2B8E237F"/>
    <w:rsid w:val="2B9C499C"/>
    <w:rsid w:val="2B9C596C"/>
    <w:rsid w:val="2BA054AC"/>
    <w:rsid w:val="2BA107C5"/>
    <w:rsid w:val="2BA5117D"/>
    <w:rsid w:val="2BA660F3"/>
    <w:rsid w:val="2BBC3AB5"/>
    <w:rsid w:val="2BC07A83"/>
    <w:rsid w:val="2BC2145B"/>
    <w:rsid w:val="2BCF61A2"/>
    <w:rsid w:val="2BDF216D"/>
    <w:rsid w:val="2BEB387C"/>
    <w:rsid w:val="2BEB6DE3"/>
    <w:rsid w:val="2BF04FEE"/>
    <w:rsid w:val="2C0F477D"/>
    <w:rsid w:val="2C114EFC"/>
    <w:rsid w:val="2C126E14"/>
    <w:rsid w:val="2C3D2F50"/>
    <w:rsid w:val="2C43445B"/>
    <w:rsid w:val="2C522220"/>
    <w:rsid w:val="2C5C5E88"/>
    <w:rsid w:val="2C5E1A1C"/>
    <w:rsid w:val="2C63798B"/>
    <w:rsid w:val="2C752395"/>
    <w:rsid w:val="2C784EAD"/>
    <w:rsid w:val="2C8C74BC"/>
    <w:rsid w:val="2C9C632F"/>
    <w:rsid w:val="2CC226F3"/>
    <w:rsid w:val="2CC65AEC"/>
    <w:rsid w:val="2CCA4130"/>
    <w:rsid w:val="2CD26DA1"/>
    <w:rsid w:val="2CDE3600"/>
    <w:rsid w:val="2CEB2BB0"/>
    <w:rsid w:val="2CFB1FBE"/>
    <w:rsid w:val="2D1A5245"/>
    <w:rsid w:val="2D1B1014"/>
    <w:rsid w:val="2D2F6D65"/>
    <w:rsid w:val="2D4A35A6"/>
    <w:rsid w:val="2D4F3EFB"/>
    <w:rsid w:val="2D5979AF"/>
    <w:rsid w:val="2D5E5C4E"/>
    <w:rsid w:val="2D720219"/>
    <w:rsid w:val="2D7F67F7"/>
    <w:rsid w:val="2D8D0BF1"/>
    <w:rsid w:val="2D9237DB"/>
    <w:rsid w:val="2DA318B3"/>
    <w:rsid w:val="2DA4527D"/>
    <w:rsid w:val="2DA73053"/>
    <w:rsid w:val="2DAE4E29"/>
    <w:rsid w:val="2DC81391"/>
    <w:rsid w:val="2DCF1D53"/>
    <w:rsid w:val="2DF55124"/>
    <w:rsid w:val="2E1F0FC6"/>
    <w:rsid w:val="2E1F73FD"/>
    <w:rsid w:val="2E23315A"/>
    <w:rsid w:val="2E2E5D1F"/>
    <w:rsid w:val="2E4C5B33"/>
    <w:rsid w:val="2E4E3659"/>
    <w:rsid w:val="2E6469D8"/>
    <w:rsid w:val="2E7A4BDE"/>
    <w:rsid w:val="2E8125F6"/>
    <w:rsid w:val="2EAD3047"/>
    <w:rsid w:val="2EC11995"/>
    <w:rsid w:val="2ECC3F84"/>
    <w:rsid w:val="2EEB67FF"/>
    <w:rsid w:val="2EF02962"/>
    <w:rsid w:val="2F032695"/>
    <w:rsid w:val="2F0C1856"/>
    <w:rsid w:val="2F19594C"/>
    <w:rsid w:val="2F2465CF"/>
    <w:rsid w:val="2F3E46EF"/>
    <w:rsid w:val="2F40430A"/>
    <w:rsid w:val="2F533BAE"/>
    <w:rsid w:val="2F7F4524"/>
    <w:rsid w:val="2F825507"/>
    <w:rsid w:val="2FD35801"/>
    <w:rsid w:val="2FDE3A6E"/>
    <w:rsid w:val="2FE34799"/>
    <w:rsid w:val="2FF0726B"/>
    <w:rsid w:val="301434E7"/>
    <w:rsid w:val="301A61B0"/>
    <w:rsid w:val="30422D49"/>
    <w:rsid w:val="30535376"/>
    <w:rsid w:val="30536D05"/>
    <w:rsid w:val="30696528"/>
    <w:rsid w:val="306B309F"/>
    <w:rsid w:val="306F381A"/>
    <w:rsid w:val="3077629F"/>
    <w:rsid w:val="30835D5B"/>
    <w:rsid w:val="30847806"/>
    <w:rsid w:val="308B7312"/>
    <w:rsid w:val="308C7CB0"/>
    <w:rsid w:val="30A97210"/>
    <w:rsid w:val="30AF621C"/>
    <w:rsid w:val="30C90309"/>
    <w:rsid w:val="30CB3E03"/>
    <w:rsid w:val="30EE4C7F"/>
    <w:rsid w:val="312F460F"/>
    <w:rsid w:val="313509A7"/>
    <w:rsid w:val="313B1DF4"/>
    <w:rsid w:val="31424616"/>
    <w:rsid w:val="314357CE"/>
    <w:rsid w:val="31554CFE"/>
    <w:rsid w:val="31564310"/>
    <w:rsid w:val="315A12DA"/>
    <w:rsid w:val="316D2E95"/>
    <w:rsid w:val="317621BF"/>
    <w:rsid w:val="317E1A26"/>
    <w:rsid w:val="31815BF7"/>
    <w:rsid w:val="3182167E"/>
    <w:rsid w:val="31842302"/>
    <w:rsid w:val="318B0B72"/>
    <w:rsid w:val="318B746D"/>
    <w:rsid w:val="31927902"/>
    <w:rsid w:val="31A4385D"/>
    <w:rsid w:val="31EC5C7C"/>
    <w:rsid w:val="32013E16"/>
    <w:rsid w:val="320317D2"/>
    <w:rsid w:val="320E61BF"/>
    <w:rsid w:val="3218038D"/>
    <w:rsid w:val="323375A9"/>
    <w:rsid w:val="324C5B40"/>
    <w:rsid w:val="326B5F1F"/>
    <w:rsid w:val="32984499"/>
    <w:rsid w:val="32A53E13"/>
    <w:rsid w:val="32AB107A"/>
    <w:rsid w:val="32B729F1"/>
    <w:rsid w:val="32BB6DE3"/>
    <w:rsid w:val="32CD0B24"/>
    <w:rsid w:val="32CD5FFE"/>
    <w:rsid w:val="32D8566D"/>
    <w:rsid w:val="32DC54F1"/>
    <w:rsid w:val="32ED1692"/>
    <w:rsid w:val="330A4F4E"/>
    <w:rsid w:val="33266D1D"/>
    <w:rsid w:val="334761B1"/>
    <w:rsid w:val="33543A27"/>
    <w:rsid w:val="336A1A14"/>
    <w:rsid w:val="337C5C82"/>
    <w:rsid w:val="33913619"/>
    <w:rsid w:val="33CC7436"/>
    <w:rsid w:val="33D956B7"/>
    <w:rsid w:val="34007CCC"/>
    <w:rsid w:val="34095C7C"/>
    <w:rsid w:val="34246A76"/>
    <w:rsid w:val="34277FD4"/>
    <w:rsid w:val="345E3486"/>
    <w:rsid w:val="3479242B"/>
    <w:rsid w:val="348002E4"/>
    <w:rsid w:val="348409EA"/>
    <w:rsid w:val="348E0237"/>
    <w:rsid w:val="348E2DDB"/>
    <w:rsid w:val="349A22D7"/>
    <w:rsid w:val="349A75F8"/>
    <w:rsid w:val="34A306BD"/>
    <w:rsid w:val="34A50F54"/>
    <w:rsid w:val="34B61F58"/>
    <w:rsid w:val="34C6455E"/>
    <w:rsid w:val="350E51B1"/>
    <w:rsid w:val="35212EA4"/>
    <w:rsid w:val="353177BD"/>
    <w:rsid w:val="355552CD"/>
    <w:rsid w:val="3563644D"/>
    <w:rsid w:val="35637F9E"/>
    <w:rsid w:val="356601D1"/>
    <w:rsid w:val="35692105"/>
    <w:rsid w:val="356F06AA"/>
    <w:rsid w:val="35735382"/>
    <w:rsid w:val="35782FF5"/>
    <w:rsid w:val="357C6BE3"/>
    <w:rsid w:val="35817149"/>
    <w:rsid w:val="35845539"/>
    <w:rsid w:val="359B7B1C"/>
    <w:rsid w:val="35C91BB8"/>
    <w:rsid w:val="35DE7D7F"/>
    <w:rsid w:val="35E0477D"/>
    <w:rsid w:val="35FD1252"/>
    <w:rsid w:val="363D4CA5"/>
    <w:rsid w:val="3646710F"/>
    <w:rsid w:val="364855D2"/>
    <w:rsid w:val="36524514"/>
    <w:rsid w:val="365246A6"/>
    <w:rsid w:val="36537489"/>
    <w:rsid w:val="367227F7"/>
    <w:rsid w:val="3679323D"/>
    <w:rsid w:val="36805EF0"/>
    <w:rsid w:val="36940904"/>
    <w:rsid w:val="36AA6330"/>
    <w:rsid w:val="36AD61B6"/>
    <w:rsid w:val="36AF3103"/>
    <w:rsid w:val="36D8791B"/>
    <w:rsid w:val="3715771D"/>
    <w:rsid w:val="37413947"/>
    <w:rsid w:val="375B2A83"/>
    <w:rsid w:val="37607DE1"/>
    <w:rsid w:val="3763586F"/>
    <w:rsid w:val="377957B0"/>
    <w:rsid w:val="377A4097"/>
    <w:rsid w:val="37897CF5"/>
    <w:rsid w:val="379F3789"/>
    <w:rsid w:val="37A74027"/>
    <w:rsid w:val="37C16C4A"/>
    <w:rsid w:val="37C3396C"/>
    <w:rsid w:val="37C83914"/>
    <w:rsid w:val="37DE3EDF"/>
    <w:rsid w:val="37DF256A"/>
    <w:rsid w:val="37EF0D06"/>
    <w:rsid w:val="37F60F9E"/>
    <w:rsid w:val="380A746A"/>
    <w:rsid w:val="38173F9E"/>
    <w:rsid w:val="384C4558"/>
    <w:rsid w:val="38525CFB"/>
    <w:rsid w:val="385E4095"/>
    <w:rsid w:val="38A9745A"/>
    <w:rsid w:val="38C00076"/>
    <w:rsid w:val="38D1499A"/>
    <w:rsid w:val="38DB2AC2"/>
    <w:rsid w:val="38DD23A1"/>
    <w:rsid w:val="38EC3078"/>
    <w:rsid w:val="38FE5C7B"/>
    <w:rsid w:val="39083A02"/>
    <w:rsid w:val="393F1E98"/>
    <w:rsid w:val="393F3623"/>
    <w:rsid w:val="39551659"/>
    <w:rsid w:val="396211FC"/>
    <w:rsid w:val="396C5D31"/>
    <w:rsid w:val="397638FE"/>
    <w:rsid w:val="397F40BE"/>
    <w:rsid w:val="3981136D"/>
    <w:rsid w:val="398A0125"/>
    <w:rsid w:val="399A318C"/>
    <w:rsid w:val="39A51A82"/>
    <w:rsid w:val="39A549E1"/>
    <w:rsid w:val="39AD62B5"/>
    <w:rsid w:val="39C16EF4"/>
    <w:rsid w:val="39D777AE"/>
    <w:rsid w:val="39D93862"/>
    <w:rsid w:val="39DC3DFF"/>
    <w:rsid w:val="39E855C0"/>
    <w:rsid w:val="39EE3059"/>
    <w:rsid w:val="39FA4695"/>
    <w:rsid w:val="3A1A77B0"/>
    <w:rsid w:val="3A2428FE"/>
    <w:rsid w:val="3A255BB6"/>
    <w:rsid w:val="3A326AE9"/>
    <w:rsid w:val="3A3F42AC"/>
    <w:rsid w:val="3A461B40"/>
    <w:rsid w:val="3A7B0598"/>
    <w:rsid w:val="3A7E19E0"/>
    <w:rsid w:val="3A8148E3"/>
    <w:rsid w:val="3A8613E7"/>
    <w:rsid w:val="3AA02F76"/>
    <w:rsid w:val="3AB116BB"/>
    <w:rsid w:val="3AC56A51"/>
    <w:rsid w:val="3AD259A1"/>
    <w:rsid w:val="3AD31550"/>
    <w:rsid w:val="3B080AEA"/>
    <w:rsid w:val="3B102C79"/>
    <w:rsid w:val="3B160EF5"/>
    <w:rsid w:val="3B163570"/>
    <w:rsid w:val="3B2C3654"/>
    <w:rsid w:val="3B4E15CE"/>
    <w:rsid w:val="3B607DD8"/>
    <w:rsid w:val="3B627439"/>
    <w:rsid w:val="3B6F6E58"/>
    <w:rsid w:val="3B7732BF"/>
    <w:rsid w:val="3B856C9C"/>
    <w:rsid w:val="3B9B6E62"/>
    <w:rsid w:val="3BD677BA"/>
    <w:rsid w:val="3BD71548"/>
    <w:rsid w:val="3BDF7FE6"/>
    <w:rsid w:val="3BEC7F04"/>
    <w:rsid w:val="3BF410C6"/>
    <w:rsid w:val="3BF63A35"/>
    <w:rsid w:val="3C01043E"/>
    <w:rsid w:val="3C0637C5"/>
    <w:rsid w:val="3C0A20E8"/>
    <w:rsid w:val="3C116F0F"/>
    <w:rsid w:val="3C143771"/>
    <w:rsid w:val="3C1B372E"/>
    <w:rsid w:val="3C3178FE"/>
    <w:rsid w:val="3C6B29AE"/>
    <w:rsid w:val="3C87761C"/>
    <w:rsid w:val="3CAD1E92"/>
    <w:rsid w:val="3CB322FE"/>
    <w:rsid w:val="3CBA38CF"/>
    <w:rsid w:val="3CD65A21"/>
    <w:rsid w:val="3CDA605D"/>
    <w:rsid w:val="3CE24225"/>
    <w:rsid w:val="3CE53EEB"/>
    <w:rsid w:val="3CED6D57"/>
    <w:rsid w:val="3D046A03"/>
    <w:rsid w:val="3D2F28A7"/>
    <w:rsid w:val="3D362BD2"/>
    <w:rsid w:val="3D4527F4"/>
    <w:rsid w:val="3D4A58EF"/>
    <w:rsid w:val="3D531B62"/>
    <w:rsid w:val="3D6C00EB"/>
    <w:rsid w:val="3D7F5B7C"/>
    <w:rsid w:val="3D7F614C"/>
    <w:rsid w:val="3D982B1C"/>
    <w:rsid w:val="3DA3607C"/>
    <w:rsid w:val="3DA62AE3"/>
    <w:rsid w:val="3DB039E8"/>
    <w:rsid w:val="3DBB1392"/>
    <w:rsid w:val="3DDA30F7"/>
    <w:rsid w:val="3DE94630"/>
    <w:rsid w:val="3DE96E40"/>
    <w:rsid w:val="3DF53DC1"/>
    <w:rsid w:val="3E097590"/>
    <w:rsid w:val="3E167319"/>
    <w:rsid w:val="3E17301D"/>
    <w:rsid w:val="3E1932D9"/>
    <w:rsid w:val="3E1F5C45"/>
    <w:rsid w:val="3E334074"/>
    <w:rsid w:val="3E412892"/>
    <w:rsid w:val="3E476B1C"/>
    <w:rsid w:val="3E4B51D7"/>
    <w:rsid w:val="3E5A6F43"/>
    <w:rsid w:val="3E6C67AA"/>
    <w:rsid w:val="3E6D5506"/>
    <w:rsid w:val="3EB8671E"/>
    <w:rsid w:val="3EE212C3"/>
    <w:rsid w:val="3EF26A86"/>
    <w:rsid w:val="3F0D17FC"/>
    <w:rsid w:val="3F1E2E26"/>
    <w:rsid w:val="3F231BA4"/>
    <w:rsid w:val="3F3B4506"/>
    <w:rsid w:val="3F444158"/>
    <w:rsid w:val="3F536D21"/>
    <w:rsid w:val="3FAB2A66"/>
    <w:rsid w:val="3FDD245A"/>
    <w:rsid w:val="3FF302A3"/>
    <w:rsid w:val="401458C1"/>
    <w:rsid w:val="40254A9D"/>
    <w:rsid w:val="402F4E97"/>
    <w:rsid w:val="402F6255"/>
    <w:rsid w:val="404D3F07"/>
    <w:rsid w:val="40701293"/>
    <w:rsid w:val="40853C31"/>
    <w:rsid w:val="40AA07A9"/>
    <w:rsid w:val="40C26D6E"/>
    <w:rsid w:val="40D36688"/>
    <w:rsid w:val="40E829D4"/>
    <w:rsid w:val="41044302"/>
    <w:rsid w:val="41084141"/>
    <w:rsid w:val="410E722C"/>
    <w:rsid w:val="411C4354"/>
    <w:rsid w:val="411E6C03"/>
    <w:rsid w:val="413A1661"/>
    <w:rsid w:val="414A70F3"/>
    <w:rsid w:val="417906E9"/>
    <w:rsid w:val="4183075F"/>
    <w:rsid w:val="41917B60"/>
    <w:rsid w:val="41987C6E"/>
    <w:rsid w:val="41E371DD"/>
    <w:rsid w:val="41E658BD"/>
    <w:rsid w:val="41EB37AC"/>
    <w:rsid w:val="41F6765C"/>
    <w:rsid w:val="41F7233C"/>
    <w:rsid w:val="421A17F2"/>
    <w:rsid w:val="4226593D"/>
    <w:rsid w:val="423C28F8"/>
    <w:rsid w:val="423F1A36"/>
    <w:rsid w:val="42546990"/>
    <w:rsid w:val="425A6618"/>
    <w:rsid w:val="425D1C65"/>
    <w:rsid w:val="426976B5"/>
    <w:rsid w:val="42710AB4"/>
    <w:rsid w:val="42722BCF"/>
    <w:rsid w:val="427576B8"/>
    <w:rsid w:val="427D578B"/>
    <w:rsid w:val="428760F1"/>
    <w:rsid w:val="42944A2F"/>
    <w:rsid w:val="42A5007F"/>
    <w:rsid w:val="42AB5699"/>
    <w:rsid w:val="42AF2239"/>
    <w:rsid w:val="42BA0A8F"/>
    <w:rsid w:val="42C376FE"/>
    <w:rsid w:val="42C74678"/>
    <w:rsid w:val="42CC74D0"/>
    <w:rsid w:val="42D5354C"/>
    <w:rsid w:val="42D93FD0"/>
    <w:rsid w:val="42DA32B5"/>
    <w:rsid w:val="42EF3C6F"/>
    <w:rsid w:val="430A310A"/>
    <w:rsid w:val="4325415A"/>
    <w:rsid w:val="433169DA"/>
    <w:rsid w:val="43365456"/>
    <w:rsid w:val="43446933"/>
    <w:rsid w:val="434C3A5B"/>
    <w:rsid w:val="4360054D"/>
    <w:rsid w:val="436942D4"/>
    <w:rsid w:val="43955308"/>
    <w:rsid w:val="43992BE7"/>
    <w:rsid w:val="43A460B5"/>
    <w:rsid w:val="43AA237A"/>
    <w:rsid w:val="43B864F2"/>
    <w:rsid w:val="43C653C7"/>
    <w:rsid w:val="43C96710"/>
    <w:rsid w:val="43CC7AED"/>
    <w:rsid w:val="43D91F6F"/>
    <w:rsid w:val="43FC61F4"/>
    <w:rsid w:val="440305EA"/>
    <w:rsid w:val="44123B2B"/>
    <w:rsid w:val="44132AE2"/>
    <w:rsid w:val="441B66A3"/>
    <w:rsid w:val="44242A3A"/>
    <w:rsid w:val="442A4C48"/>
    <w:rsid w:val="443D2366"/>
    <w:rsid w:val="44445A2C"/>
    <w:rsid w:val="44507A88"/>
    <w:rsid w:val="44786B45"/>
    <w:rsid w:val="448355E4"/>
    <w:rsid w:val="44865978"/>
    <w:rsid w:val="448A62F2"/>
    <w:rsid w:val="449053BE"/>
    <w:rsid w:val="44A358F9"/>
    <w:rsid w:val="44BC6E13"/>
    <w:rsid w:val="44D73878"/>
    <w:rsid w:val="44EB382A"/>
    <w:rsid w:val="4512648B"/>
    <w:rsid w:val="45262197"/>
    <w:rsid w:val="453D1D4A"/>
    <w:rsid w:val="45455340"/>
    <w:rsid w:val="455255ED"/>
    <w:rsid w:val="45577096"/>
    <w:rsid w:val="45696229"/>
    <w:rsid w:val="457A00E6"/>
    <w:rsid w:val="45903F48"/>
    <w:rsid w:val="45B95404"/>
    <w:rsid w:val="45D01C84"/>
    <w:rsid w:val="45E00D08"/>
    <w:rsid w:val="45E84276"/>
    <w:rsid w:val="461865CE"/>
    <w:rsid w:val="46407F04"/>
    <w:rsid w:val="46515AE5"/>
    <w:rsid w:val="46792157"/>
    <w:rsid w:val="468872F7"/>
    <w:rsid w:val="46B91B8C"/>
    <w:rsid w:val="46BD7176"/>
    <w:rsid w:val="46D16F6D"/>
    <w:rsid w:val="46EB41EB"/>
    <w:rsid w:val="46F25987"/>
    <w:rsid w:val="46F856A4"/>
    <w:rsid w:val="47001DE8"/>
    <w:rsid w:val="47087C9A"/>
    <w:rsid w:val="47090B24"/>
    <w:rsid w:val="471072A6"/>
    <w:rsid w:val="472A0F4D"/>
    <w:rsid w:val="47356D0C"/>
    <w:rsid w:val="4751520E"/>
    <w:rsid w:val="47544D23"/>
    <w:rsid w:val="47554B64"/>
    <w:rsid w:val="476669C6"/>
    <w:rsid w:val="476A2E5A"/>
    <w:rsid w:val="477517FF"/>
    <w:rsid w:val="477F1D6D"/>
    <w:rsid w:val="4793669A"/>
    <w:rsid w:val="479E2B56"/>
    <w:rsid w:val="47B440D5"/>
    <w:rsid w:val="47B6420E"/>
    <w:rsid w:val="47DB78B4"/>
    <w:rsid w:val="47F43FCB"/>
    <w:rsid w:val="47F711E9"/>
    <w:rsid w:val="47FE6991"/>
    <w:rsid w:val="48055032"/>
    <w:rsid w:val="480D021F"/>
    <w:rsid w:val="481539A3"/>
    <w:rsid w:val="482051F9"/>
    <w:rsid w:val="482864A2"/>
    <w:rsid w:val="484C3986"/>
    <w:rsid w:val="484E328B"/>
    <w:rsid w:val="485460B3"/>
    <w:rsid w:val="48774BBF"/>
    <w:rsid w:val="487B57FD"/>
    <w:rsid w:val="487D485E"/>
    <w:rsid w:val="4881622C"/>
    <w:rsid w:val="48AB55FB"/>
    <w:rsid w:val="48AC0690"/>
    <w:rsid w:val="48AD113E"/>
    <w:rsid w:val="48B350B4"/>
    <w:rsid w:val="48C37200"/>
    <w:rsid w:val="48DA500C"/>
    <w:rsid w:val="48E852E0"/>
    <w:rsid w:val="48E97999"/>
    <w:rsid w:val="48F338F7"/>
    <w:rsid w:val="48F84495"/>
    <w:rsid w:val="48F86243"/>
    <w:rsid w:val="490878C6"/>
    <w:rsid w:val="4911426B"/>
    <w:rsid w:val="491744FA"/>
    <w:rsid w:val="49202EED"/>
    <w:rsid w:val="49450F20"/>
    <w:rsid w:val="49726EB9"/>
    <w:rsid w:val="49774939"/>
    <w:rsid w:val="497A1012"/>
    <w:rsid w:val="497B2B06"/>
    <w:rsid w:val="499E6DEB"/>
    <w:rsid w:val="49B72A9C"/>
    <w:rsid w:val="49CD051B"/>
    <w:rsid w:val="49CD0ECC"/>
    <w:rsid w:val="49D51486"/>
    <w:rsid w:val="49E328B0"/>
    <w:rsid w:val="49F20EE5"/>
    <w:rsid w:val="49FD772E"/>
    <w:rsid w:val="4A003FE9"/>
    <w:rsid w:val="4A14434A"/>
    <w:rsid w:val="4A363525"/>
    <w:rsid w:val="4A392BEC"/>
    <w:rsid w:val="4A3E37CF"/>
    <w:rsid w:val="4A4F2914"/>
    <w:rsid w:val="4A522E15"/>
    <w:rsid w:val="4A550BDA"/>
    <w:rsid w:val="4A63300C"/>
    <w:rsid w:val="4A90381C"/>
    <w:rsid w:val="4A914BA1"/>
    <w:rsid w:val="4AA56CAA"/>
    <w:rsid w:val="4AAE6DC8"/>
    <w:rsid w:val="4AAF4334"/>
    <w:rsid w:val="4AC35772"/>
    <w:rsid w:val="4AC65027"/>
    <w:rsid w:val="4AF54207"/>
    <w:rsid w:val="4B0A6930"/>
    <w:rsid w:val="4B150627"/>
    <w:rsid w:val="4B28025D"/>
    <w:rsid w:val="4B2B6F13"/>
    <w:rsid w:val="4B3B666B"/>
    <w:rsid w:val="4B55797D"/>
    <w:rsid w:val="4B5F25AA"/>
    <w:rsid w:val="4B695E19"/>
    <w:rsid w:val="4B74553E"/>
    <w:rsid w:val="4B943D60"/>
    <w:rsid w:val="4B990106"/>
    <w:rsid w:val="4BCD55DC"/>
    <w:rsid w:val="4C203779"/>
    <w:rsid w:val="4C2D72F8"/>
    <w:rsid w:val="4C3432B4"/>
    <w:rsid w:val="4C351555"/>
    <w:rsid w:val="4C475409"/>
    <w:rsid w:val="4C4F1E39"/>
    <w:rsid w:val="4C502F9B"/>
    <w:rsid w:val="4C583BC9"/>
    <w:rsid w:val="4C5B0F68"/>
    <w:rsid w:val="4C781120"/>
    <w:rsid w:val="4C787E88"/>
    <w:rsid w:val="4C7D6434"/>
    <w:rsid w:val="4C831317"/>
    <w:rsid w:val="4C9A2375"/>
    <w:rsid w:val="4CC219A1"/>
    <w:rsid w:val="4CD104FC"/>
    <w:rsid w:val="4CD3309A"/>
    <w:rsid w:val="4CD56832"/>
    <w:rsid w:val="4CE10AA6"/>
    <w:rsid w:val="4CE730E0"/>
    <w:rsid w:val="4CF117C2"/>
    <w:rsid w:val="4CFF4044"/>
    <w:rsid w:val="4D186F1E"/>
    <w:rsid w:val="4D1C2677"/>
    <w:rsid w:val="4D214CC1"/>
    <w:rsid w:val="4D357576"/>
    <w:rsid w:val="4D382F3D"/>
    <w:rsid w:val="4D4203D5"/>
    <w:rsid w:val="4D6F29BB"/>
    <w:rsid w:val="4D8637D0"/>
    <w:rsid w:val="4D9725D8"/>
    <w:rsid w:val="4D9D459A"/>
    <w:rsid w:val="4DB7190B"/>
    <w:rsid w:val="4DB95832"/>
    <w:rsid w:val="4DC64783"/>
    <w:rsid w:val="4DC92CAF"/>
    <w:rsid w:val="4DD931AD"/>
    <w:rsid w:val="4DFD14CB"/>
    <w:rsid w:val="4E3A1A62"/>
    <w:rsid w:val="4E3D5780"/>
    <w:rsid w:val="4E6A4F7D"/>
    <w:rsid w:val="4E7255AE"/>
    <w:rsid w:val="4E892DDF"/>
    <w:rsid w:val="4E912D1A"/>
    <w:rsid w:val="4E9702AC"/>
    <w:rsid w:val="4E991A77"/>
    <w:rsid w:val="4EA22E67"/>
    <w:rsid w:val="4EA474EE"/>
    <w:rsid w:val="4EAB5F49"/>
    <w:rsid w:val="4EB64A0E"/>
    <w:rsid w:val="4EC12668"/>
    <w:rsid w:val="4ED630ED"/>
    <w:rsid w:val="4EDD6366"/>
    <w:rsid w:val="4EE26067"/>
    <w:rsid w:val="4EE47996"/>
    <w:rsid w:val="4EE97817"/>
    <w:rsid w:val="4EEF746A"/>
    <w:rsid w:val="4F136752"/>
    <w:rsid w:val="4F275C0C"/>
    <w:rsid w:val="4F346169"/>
    <w:rsid w:val="4F3519C9"/>
    <w:rsid w:val="4F4617CE"/>
    <w:rsid w:val="4F600861"/>
    <w:rsid w:val="4F622397"/>
    <w:rsid w:val="4F724377"/>
    <w:rsid w:val="4F7C0D5D"/>
    <w:rsid w:val="4F871419"/>
    <w:rsid w:val="4F8B7E11"/>
    <w:rsid w:val="4F936F62"/>
    <w:rsid w:val="4F9A59CD"/>
    <w:rsid w:val="4FA8123B"/>
    <w:rsid w:val="4FB3477D"/>
    <w:rsid w:val="4FC43758"/>
    <w:rsid w:val="4FC70B10"/>
    <w:rsid w:val="4FD5018E"/>
    <w:rsid w:val="4FDA1A9F"/>
    <w:rsid w:val="4FDF5CAB"/>
    <w:rsid w:val="4FEB0122"/>
    <w:rsid w:val="4FED287A"/>
    <w:rsid w:val="4FEF1931"/>
    <w:rsid w:val="500E557E"/>
    <w:rsid w:val="501D0414"/>
    <w:rsid w:val="502445CE"/>
    <w:rsid w:val="502B6CBA"/>
    <w:rsid w:val="503016DC"/>
    <w:rsid w:val="504D23D4"/>
    <w:rsid w:val="505518B5"/>
    <w:rsid w:val="506762CA"/>
    <w:rsid w:val="508828B2"/>
    <w:rsid w:val="50891EC9"/>
    <w:rsid w:val="508D365F"/>
    <w:rsid w:val="509A37E3"/>
    <w:rsid w:val="509E1DC6"/>
    <w:rsid w:val="50A33B05"/>
    <w:rsid w:val="50AC17BB"/>
    <w:rsid w:val="50B34D82"/>
    <w:rsid w:val="50B53083"/>
    <w:rsid w:val="50B73CE2"/>
    <w:rsid w:val="50B8238B"/>
    <w:rsid w:val="50CF4741"/>
    <w:rsid w:val="51160693"/>
    <w:rsid w:val="51192CAF"/>
    <w:rsid w:val="512D795D"/>
    <w:rsid w:val="512F5B8D"/>
    <w:rsid w:val="51495E88"/>
    <w:rsid w:val="514E6A22"/>
    <w:rsid w:val="51541348"/>
    <w:rsid w:val="516B6686"/>
    <w:rsid w:val="516B74D5"/>
    <w:rsid w:val="518A329F"/>
    <w:rsid w:val="51B15182"/>
    <w:rsid w:val="51B234F8"/>
    <w:rsid w:val="51B63682"/>
    <w:rsid w:val="51CE1F40"/>
    <w:rsid w:val="51D053AA"/>
    <w:rsid w:val="51D06C18"/>
    <w:rsid w:val="51D91EE8"/>
    <w:rsid w:val="5201104D"/>
    <w:rsid w:val="521555D1"/>
    <w:rsid w:val="521913BA"/>
    <w:rsid w:val="521F160C"/>
    <w:rsid w:val="522A70ED"/>
    <w:rsid w:val="523F1387"/>
    <w:rsid w:val="52493F12"/>
    <w:rsid w:val="5255558D"/>
    <w:rsid w:val="52635075"/>
    <w:rsid w:val="52692721"/>
    <w:rsid w:val="526D025F"/>
    <w:rsid w:val="52955D9C"/>
    <w:rsid w:val="52A70A18"/>
    <w:rsid w:val="52B41D71"/>
    <w:rsid w:val="52BB2A93"/>
    <w:rsid w:val="52DD20EB"/>
    <w:rsid w:val="52E33BCD"/>
    <w:rsid w:val="52E8717A"/>
    <w:rsid w:val="52EC1BD1"/>
    <w:rsid w:val="531B0DBD"/>
    <w:rsid w:val="5347346F"/>
    <w:rsid w:val="5349411C"/>
    <w:rsid w:val="534E733E"/>
    <w:rsid w:val="535168EB"/>
    <w:rsid w:val="535778B4"/>
    <w:rsid w:val="53723F4D"/>
    <w:rsid w:val="5374447A"/>
    <w:rsid w:val="539F5E24"/>
    <w:rsid w:val="53B34101"/>
    <w:rsid w:val="53BE3A4C"/>
    <w:rsid w:val="53C06406"/>
    <w:rsid w:val="53D25373"/>
    <w:rsid w:val="53D65E65"/>
    <w:rsid w:val="53F24D97"/>
    <w:rsid w:val="53F97A4A"/>
    <w:rsid w:val="54051227"/>
    <w:rsid w:val="541331EB"/>
    <w:rsid w:val="541A7413"/>
    <w:rsid w:val="541B17A9"/>
    <w:rsid w:val="54435B43"/>
    <w:rsid w:val="544C0BBA"/>
    <w:rsid w:val="544F7290"/>
    <w:rsid w:val="54515984"/>
    <w:rsid w:val="545D75A4"/>
    <w:rsid w:val="546A41FA"/>
    <w:rsid w:val="5471253B"/>
    <w:rsid w:val="54745318"/>
    <w:rsid w:val="54817D48"/>
    <w:rsid w:val="548F7D73"/>
    <w:rsid w:val="54A0038E"/>
    <w:rsid w:val="54A1691F"/>
    <w:rsid w:val="54A2695B"/>
    <w:rsid w:val="54B4724C"/>
    <w:rsid w:val="54BE4FA1"/>
    <w:rsid w:val="54C87E9C"/>
    <w:rsid w:val="54CB5214"/>
    <w:rsid w:val="54E2413E"/>
    <w:rsid w:val="54E90156"/>
    <w:rsid w:val="54F00716"/>
    <w:rsid w:val="550603CC"/>
    <w:rsid w:val="5516017D"/>
    <w:rsid w:val="551A61C1"/>
    <w:rsid w:val="552E1437"/>
    <w:rsid w:val="55325CA9"/>
    <w:rsid w:val="556067CE"/>
    <w:rsid w:val="556B7A9B"/>
    <w:rsid w:val="557B441B"/>
    <w:rsid w:val="55947B94"/>
    <w:rsid w:val="55A5143F"/>
    <w:rsid w:val="55B456F3"/>
    <w:rsid w:val="55C049DC"/>
    <w:rsid w:val="55C72FB5"/>
    <w:rsid w:val="55E353FE"/>
    <w:rsid w:val="55ED0D1A"/>
    <w:rsid w:val="55FE4202"/>
    <w:rsid w:val="560C5695"/>
    <w:rsid w:val="56335103"/>
    <w:rsid w:val="5637740B"/>
    <w:rsid w:val="56387080"/>
    <w:rsid w:val="56593530"/>
    <w:rsid w:val="568D53FB"/>
    <w:rsid w:val="56926383"/>
    <w:rsid w:val="569B4A27"/>
    <w:rsid w:val="56A42364"/>
    <w:rsid w:val="56A86526"/>
    <w:rsid w:val="56AA4B5B"/>
    <w:rsid w:val="56AC1389"/>
    <w:rsid w:val="56AE4583"/>
    <w:rsid w:val="56CF3435"/>
    <w:rsid w:val="56E20DC9"/>
    <w:rsid w:val="56F429AE"/>
    <w:rsid w:val="571548F1"/>
    <w:rsid w:val="572F0E3A"/>
    <w:rsid w:val="572F1D7A"/>
    <w:rsid w:val="57305663"/>
    <w:rsid w:val="57351CDC"/>
    <w:rsid w:val="57432E14"/>
    <w:rsid w:val="57547876"/>
    <w:rsid w:val="5767551A"/>
    <w:rsid w:val="57680227"/>
    <w:rsid w:val="576B2687"/>
    <w:rsid w:val="577E684A"/>
    <w:rsid w:val="578B5F50"/>
    <w:rsid w:val="578E6BE2"/>
    <w:rsid w:val="57D21938"/>
    <w:rsid w:val="57DF5099"/>
    <w:rsid w:val="57EE3633"/>
    <w:rsid w:val="58032313"/>
    <w:rsid w:val="582D4E7E"/>
    <w:rsid w:val="58502009"/>
    <w:rsid w:val="58506E64"/>
    <w:rsid w:val="58C549B8"/>
    <w:rsid w:val="58C93758"/>
    <w:rsid w:val="58CD149A"/>
    <w:rsid w:val="58D0757D"/>
    <w:rsid w:val="58F02B16"/>
    <w:rsid w:val="59186E56"/>
    <w:rsid w:val="59243130"/>
    <w:rsid w:val="59625CD5"/>
    <w:rsid w:val="5967123C"/>
    <w:rsid w:val="59821298"/>
    <w:rsid w:val="598259D7"/>
    <w:rsid w:val="598E7A6B"/>
    <w:rsid w:val="5998623D"/>
    <w:rsid w:val="59B24CDC"/>
    <w:rsid w:val="59B862D1"/>
    <w:rsid w:val="59BA3933"/>
    <w:rsid w:val="59BF227F"/>
    <w:rsid w:val="59C11035"/>
    <w:rsid w:val="59C15552"/>
    <w:rsid w:val="59D2396D"/>
    <w:rsid w:val="59D93E6F"/>
    <w:rsid w:val="59E94C01"/>
    <w:rsid w:val="59F76576"/>
    <w:rsid w:val="59F91B3E"/>
    <w:rsid w:val="5A252C10"/>
    <w:rsid w:val="5A4920A9"/>
    <w:rsid w:val="5A740BE3"/>
    <w:rsid w:val="5A9265B8"/>
    <w:rsid w:val="5A9409E7"/>
    <w:rsid w:val="5A9F6E0C"/>
    <w:rsid w:val="5AB17215"/>
    <w:rsid w:val="5AB628C1"/>
    <w:rsid w:val="5AB864A8"/>
    <w:rsid w:val="5ABD446A"/>
    <w:rsid w:val="5AC80C0B"/>
    <w:rsid w:val="5AC84955"/>
    <w:rsid w:val="5ACA1DE0"/>
    <w:rsid w:val="5ACB3CC7"/>
    <w:rsid w:val="5AD648F7"/>
    <w:rsid w:val="5AEF7A42"/>
    <w:rsid w:val="5B370563"/>
    <w:rsid w:val="5B3F588B"/>
    <w:rsid w:val="5B4919F0"/>
    <w:rsid w:val="5B53063D"/>
    <w:rsid w:val="5B6360E6"/>
    <w:rsid w:val="5B7855EF"/>
    <w:rsid w:val="5B93114D"/>
    <w:rsid w:val="5BA23B41"/>
    <w:rsid w:val="5BA80476"/>
    <w:rsid w:val="5BAD3972"/>
    <w:rsid w:val="5BBB2C8C"/>
    <w:rsid w:val="5BBF103E"/>
    <w:rsid w:val="5BC26D22"/>
    <w:rsid w:val="5BD538CD"/>
    <w:rsid w:val="5BE94C56"/>
    <w:rsid w:val="5BEE41EF"/>
    <w:rsid w:val="5BFC35B7"/>
    <w:rsid w:val="5C0C3C2E"/>
    <w:rsid w:val="5C0E5AC7"/>
    <w:rsid w:val="5C2B5E60"/>
    <w:rsid w:val="5C2F2869"/>
    <w:rsid w:val="5C717A62"/>
    <w:rsid w:val="5CBE31F8"/>
    <w:rsid w:val="5CE56107"/>
    <w:rsid w:val="5D063660"/>
    <w:rsid w:val="5D085705"/>
    <w:rsid w:val="5D0E56B3"/>
    <w:rsid w:val="5D206B1C"/>
    <w:rsid w:val="5D264558"/>
    <w:rsid w:val="5D3648D2"/>
    <w:rsid w:val="5D427BD3"/>
    <w:rsid w:val="5D520BBA"/>
    <w:rsid w:val="5D530520"/>
    <w:rsid w:val="5D6A7812"/>
    <w:rsid w:val="5D7C523D"/>
    <w:rsid w:val="5D866A48"/>
    <w:rsid w:val="5D8E5BCA"/>
    <w:rsid w:val="5D8F6EFE"/>
    <w:rsid w:val="5D9545B9"/>
    <w:rsid w:val="5DAB659C"/>
    <w:rsid w:val="5DBB7FBF"/>
    <w:rsid w:val="5DF44155"/>
    <w:rsid w:val="5DFA387C"/>
    <w:rsid w:val="5E317731"/>
    <w:rsid w:val="5E567AD3"/>
    <w:rsid w:val="5E5F37E5"/>
    <w:rsid w:val="5E63574A"/>
    <w:rsid w:val="5E727EF9"/>
    <w:rsid w:val="5E7856ED"/>
    <w:rsid w:val="5E824AEF"/>
    <w:rsid w:val="5E831EED"/>
    <w:rsid w:val="5E976B50"/>
    <w:rsid w:val="5EA3463D"/>
    <w:rsid w:val="5EA40191"/>
    <w:rsid w:val="5EA507C4"/>
    <w:rsid w:val="5ECF79DA"/>
    <w:rsid w:val="5ED33EAA"/>
    <w:rsid w:val="5F0A5B7B"/>
    <w:rsid w:val="5F275D50"/>
    <w:rsid w:val="5F315E14"/>
    <w:rsid w:val="5F41056E"/>
    <w:rsid w:val="5F5E7196"/>
    <w:rsid w:val="5F6441DB"/>
    <w:rsid w:val="5F9B2D2A"/>
    <w:rsid w:val="5FA01A2A"/>
    <w:rsid w:val="5FAB74A6"/>
    <w:rsid w:val="5FB57A68"/>
    <w:rsid w:val="5FB97DE1"/>
    <w:rsid w:val="5FDE3F8D"/>
    <w:rsid w:val="5FEE6054"/>
    <w:rsid w:val="5FF41797"/>
    <w:rsid w:val="601B5BA5"/>
    <w:rsid w:val="60254888"/>
    <w:rsid w:val="603172AE"/>
    <w:rsid w:val="60381469"/>
    <w:rsid w:val="6066176E"/>
    <w:rsid w:val="607050C2"/>
    <w:rsid w:val="60962B30"/>
    <w:rsid w:val="60A46F85"/>
    <w:rsid w:val="60D01B21"/>
    <w:rsid w:val="61136D51"/>
    <w:rsid w:val="61173FC7"/>
    <w:rsid w:val="613245A4"/>
    <w:rsid w:val="613942EB"/>
    <w:rsid w:val="614076FE"/>
    <w:rsid w:val="61437D16"/>
    <w:rsid w:val="614C390D"/>
    <w:rsid w:val="615D7BFF"/>
    <w:rsid w:val="61667D19"/>
    <w:rsid w:val="616E43DB"/>
    <w:rsid w:val="6193597B"/>
    <w:rsid w:val="619E61FD"/>
    <w:rsid w:val="61C1200D"/>
    <w:rsid w:val="61C1318E"/>
    <w:rsid w:val="61C1570C"/>
    <w:rsid w:val="61D27EB7"/>
    <w:rsid w:val="61EB72DC"/>
    <w:rsid w:val="61EC370B"/>
    <w:rsid w:val="61EF6BBC"/>
    <w:rsid w:val="61F155FB"/>
    <w:rsid w:val="61F3554E"/>
    <w:rsid w:val="62164104"/>
    <w:rsid w:val="62171AFF"/>
    <w:rsid w:val="621F2D3C"/>
    <w:rsid w:val="6258410D"/>
    <w:rsid w:val="626649C6"/>
    <w:rsid w:val="627632CC"/>
    <w:rsid w:val="62805AE5"/>
    <w:rsid w:val="62895F5C"/>
    <w:rsid w:val="62962BDD"/>
    <w:rsid w:val="629C0DE1"/>
    <w:rsid w:val="62A43808"/>
    <w:rsid w:val="62A90295"/>
    <w:rsid w:val="62B52A1E"/>
    <w:rsid w:val="62C36C0B"/>
    <w:rsid w:val="62C45F51"/>
    <w:rsid w:val="62D831CE"/>
    <w:rsid w:val="62E269C1"/>
    <w:rsid w:val="62F10032"/>
    <w:rsid w:val="630730FD"/>
    <w:rsid w:val="63182B98"/>
    <w:rsid w:val="6322220C"/>
    <w:rsid w:val="6327242C"/>
    <w:rsid w:val="632F68AE"/>
    <w:rsid w:val="633F699C"/>
    <w:rsid w:val="634F13C9"/>
    <w:rsid w:val="63534C92"/>
    <w:rsid w:val="636B63CC"/>
    <w:rsid w:val="63711163"/>
    <w:rsid w:val="637D77F6"/>
    <w:rsid w:val="637F59A6"/>
    <w:rsid w:val="638030B4"/>
    <w:rsid w:val="638A7D46"/>
    <w:rsid w:val="638C77B8"/>
    <w:rsid w:val="639D7154"/>
    <w:rsid w:val="63A50CFB"/>
    <w:rsid w:val="63A764BF"/>
    <w:rsid w:val="63CD1390"/>
    <w:rsid w:val="63CF02CC"/>
    <w:rsid w:val="63CF77E6"/>
    <w:rsid w:val="63DC0D46"/>
    <w:rsid w:val="63E61662"/>
    <w:rsid w:val="63E67F4B"/>
    <w:rsid w:val="63F73764"/>
    <w:rsid w:val="63FA1E1E"/>
    <w:rsid w:val="63FC1162"/>
    <w:rsid w:val="640A3556"/>
    <w:rsid w:val="643B22DF"/>
    <w:rsid w:val="643E324C"/>
    <w:rsid w:val="6458100E"/>
    <w:rsid w:val="645E06F7"/>
    <w:rsid w:val="64680E0B"/>
    <w:rsid w:val="646F75EA"/>
    <w:rsid w:val="64793261"/>
    <w:rsid w:val="64821505"/>
    <w:rsid w:val="648B41DA"/>
    <w:rsid w:val="649C7F73"/>
    <w:rsid w:val="64A157BE"/>
    <w:rsid w:val="64A15950"/>
    <w:rsid w:val="64BF1228"/>
    <w:rsid w:val="64D647E3"/>
    <w:rsid w:val="6509385A"/>
    <w:rsid w:val="65146547"/>
    <w:rsid w:val="651E4D27"/>
    <w:rsid w:val="652F3813"/>
    <w:rsid w:val="65371B1F"/>
    <w:rsid w:val="653F3FA1"/>
    <w:rsid w:val="654232DD"/>
    <w:rsid w:val="6549378C"/>
    <w:rsid w:val="6550759A"/>
    <w:rsid w:val="65637AA1"/>
    <w:rsid w:val="65646421"/>
    <w:rsid w:val="65682877"/>
    <w:rsid w:val="657726BA"/>
    <w:rsid w:val="65817A23"/>
    <w:rsid w:val="65C36AC7"/>
    <w:rsid w:val="65D009D0"/>
    <w:rsid w:val="65D92236"/>
    <w:rsid w:val="65DB7F6A"/>
    <w:rsid w:val="65E73470"/>
    <w:rsid w:val="65EE4FF2"/>
    <w:rsid w:val="65F51D11"/>
    <w:rsid w:val="66041355"/>
    <w:rsid w:val="661B7AB4"/>
    <w:rsid w:val="66233DC3"/>
    <w:rsid w:val="662F4420"/>
    <w:rsid w:val="663C553A"/>
    <w:rsid w:val="66435F91"/>
    <w:rsid w:val="66466EBB"/>
    <w:rsid w:val="668C3E96"/>
    <w:rsid w:val="66A2184D"/>
    <w:rsid w:val="66A72100"/>
    <w:rsid w:val="66B079FD"/>
    <w:rsid w:val="66B67037"/>
    <w:rsid w:val="66E96C4B"/>
    <w:rsid w:val="66F57EC6"/>
    <w:rsid w:val="673408B7"/>
    <w:rsid w:val="67444946"/>
    <w:rsid w:val="674C0926"/>
    <w:rsid w:val="675E09C4"/>
    <w:rsid w:val="677A2258"/>
    <w:rsid w:val="678B49CA"/>
    <w:rsid w:val="679D2B01"/>
    <w:rsid w:val="679F7FA8"/>
    <w:rsid w:val="67BF24B9"/>
    <w:rsid w:val="67BF71F0"/>
    <w:rsid w:val="67C723DB"/>
    <w:rsid w:val="67CC0B6F"/>
    <w:rsid w:val="67DB474B"/>
    <w:rsid w:val="67DD57E7"/>
    <w:rsid w:val="67E87395"/>
    <w:rsid w:val="67E94FB7"/>
    <w:rsid w:val="67EF5A6D"/>
    <w:rsid w:val="67F17444"/>
    <w:rsid w:val="67F854FE"/>
    <w:rsid w:val="68261404"/>
    <w:rsid w:val="6829791C"/>
    <w:rsid w:val="68354A1C"/>
    <w:rsid w:val="683A437C"/>
    <w:rsid w:val="6860799A"/>
    <w:rsid w:val="6870599E"/>
    <w:rsid w:val="68AF583C"/>
    <w:rsid w:val="68B8353A"/>
    <w:rsid w:val="68C42C55"/>
    <w:rsid w:val="68C82D6C"/>
    <w:rsid w:val="68C842E3"/>
    <w:rsid w:val="68DE7D57"/>
    <w:rsid w:val="68E30937"/>
    <w:rsid w:val="68FD5F3D"/>
    <w:rsid w:val="69041F26"/>
    <w:rsid w:val="69085BD7"/>
    <w:rsid w:val="69130179"/>
    <w:rsid w:val="69337B02"/>
    <w:rsid w:val="69411A5A"/>
    <w:rsid w:val="69797874"/>
    <w:rsid w:val="698305D1"/>
    <w:rsid w:val="699E5E58"/>
    <w:rsid w:val="69A16C2A"/>
    <w:rsid w:val="69A73FEE"/>
    <w:rsid w:val="69E12C6F"/>
    <w:rsid w:val="69ED257A"/>
    <w:rsid w:val="69FE23BF"/>
    <w:rsid w:val="6A02676B"/>
    <w:rsid w:val="6A1E74AE"/>
    <w:rsid w:val="6A252505"/>
    <w:rsid w:val="6A3749C6"/>
    <w:rsid w:val="6A393F80"/>
    <w:rsid w:val="6A4675D7"/>
    <w:rsid w:val="6A4B3D36"/>
    <w:rsid w:val="6A5D1F52"/>
    <w:rsid w:val="6A616D6F"/>
    <w:rsid w:val="6A660125"/>
    <w:rsid w:val="6A6703AA"/>
    <w:rsid w:val="6A6A1A6D"/>
    <w:rsid w:val="6A6A777B"/>
    <w:rsid w:val="6A735507"/>
    <w:rsid w:val="6A8373E5"/>
    <w:rsid w:val="6A981362"/>
    <w:rsid w:val="6AA051A9"/>
    <w:rsid w:val="6AAC38DA"/>
    <w:rsid w:val="6ABC311D"/>
    <w:rsid w:val="6ACD4F29"/>
    <w:rsid w:val="6B0E3EE4"/>
    <w:rsid w:val="6B10503D"/>
    <w:rsid w:val="6B142F59"/>
    <w:rsid w:val="6B254CAF"/>
    <w:rsid w:val="6B3611FB"/>
    <w:rsid w:val="6B402284"/>
    <w:rsid w:val="6B511079"/>
    <w:rsid w:val="6B671AE1"/>
    <w:rsid w:val="6B81241F"/>
    <w:rsid w:val="6B8E7DA4"/>
    <w:rsid w:val="6BA37D93"/>
    <w:rsid w:val="6BB12300"/>
    <w:rsid w:val="6BBF3C4F"/>
    <w:rsid w:val="6BCE4EB6"/>
    <w:rsid w:val="6BD63D71"/>
    <w:rsid w:val="6BD65937"/>
    <w:rsid w:val="6BD72D2C"/>
    <w:rsid w:val="6BD76C77"/>
    <w:rsid w:val="6BDC1722"/>
    <w:rsid w:val="6BE16884"/>
    <w:rsid w:val="6BE46AA6"/>
    <w:rsid w:val="6BE46B15"/>
    <w:rsid w:val="6BED4F5E"/>
    <w:rsid w:val="6C246437"/>
    <w:rsid w:val="6C496181"/>
    <w:rsid w:val="6C574393"/>
    <w:rsid w:val="6C5925AB"/>
    <w:rsid w:val="6C60408A"/>
    <w:rsid w:val="6C783084"/>
    <w:rsid w:val="6C952436"/>
    <w:rsid w:val="6C9E4649"/>
    <w:rsid w:val="6CAB6174"/>
    <w:rsid w:val="6CCD0E25"/>
    <w:rsid w:val="6CCF526B"/>
    <w:rsid w:val="6CD52274"/>
    <w:rsid w:val="6D017311"/>
    <w:rsid w:val="6D022B5D"/>
    <w:rsid w:val="6D154D50"/>
    <w:rsid w:val="6D317DF2"/>
    <w:rsid w:val="6D3B0FF6"/>
    <w:rsid w:val="6D3D6A20"/>
    <w:rsid w:val="6D486CF3"/>
    <w:rsid w:val="6D516C33"/>
    <w:rsid w:val="6D5E513B"/>
    <w:rsid w:val="6D636FB4"/>
    <w:rsid w:val="6D8968A8"/>
    <w:rsid w:val="6D926EB4"/>
    <w:rsid w:val="6D9E2FAE"/>
    <w:rsid w:val="6DA10849"/>
    <w:rsid w:val="6DA742C4"/>
    <w:rsid w:val="6DA7761A"/>
    <w:rsid w:val="6DAA2FD1"/>
    <w:rsid w:val="6DBE7EA9"/>
    <w:rsid w:val="6DD474F8"/>
    <w:rsid w:val="6DD570F2"/>
    <w:rsid w:val="6DDC674B"/>
    <w:rsid w:val="6DE56B86"/>
    <w:rsid w:val="6DFA4A6F"/>
    <w:rsid w:val="6E012557"/>
    <w:rsid w:val="6E164CCF"/>
    <w:rsid w:val="6E274D51"/>
    <w:rsid w:val="6E2F6877"/>
    <w:rsid w:val="6E344540"/>
    <w:rsid w:val="6E410AA3"/>
    <w:rsid w:val="6E4C33CE"/>
    <w:rsid w:val="6E521293"/>
    <w:rsid w:val="6E64413A"/>
    <w:rsid w:val="6E6521E0"/>
    <w:rsid w:val="6E6704AC"/>
    <w:rsid w:val="6E705849"/>
    <w:rsid w:val="6E7B334B"/>
    <w:rsid w:val="6E7F1B73"/>
    <w:rsid w:val="6E852A85"/>
    <w:rsid w:val="6E9B7B2A"/>
    <w:rsid w:val="6EAF69A4"/>
    <w:rsid w:val="6EB676AA"/>
    <w:rsid w:val="6EB73D35"/>
    <w:rsid w:val="6EB96DBC"/>
    <w:rsid w:val="6EC235A3"/>
    <w:rsid w:val="6EC47379"/>
    <w:rsid w:val="6EF105B8"/>
    <w:rsid w:val="6F1503F3"/>
    <w:rsid w:val="6F1A1D95"/>
    <w:rsid w:val="6F3C71ED"/>
    <w:rsid w:val="6F3F0578"/>
    <w:rsid w:val="6F4D6A39"/>
    <w:rsid w:val="6F510285"/>
    <w:rsid w:val="6F597DD6"/>
    <w:rsid w:val="6F604256"/>
    <w:rsid w:val="6F7C4544"/>
    <w:rsid w:val="6F9140A8"/>
    <w:rsid w:val="6F9615F0"/>
    <w:rsid w:val="6F986E61"/>
    <w:rsid w:val="6FA764A5"/>
    <w:rsid w:val="6FE2030A"/>
    <w:rsid w:val="6FE514DB"/>
    <w:rsid w:val="6FF730A4"/>
    <w:rsid w:val="701A7C85"/>
    <w:rsid w:val="70347659"/>
    <w:rsid w:val="703E77DB"/>
    <w:rsid w:val="70776C11"/>
    <w:rsid w:val="707C596B"/>
    <w:rsid w:val="70853245"/>
    <w:rsid w:val="70A405A0"/>
    <w:rsid w:val="70AF15FF"/>
    <w:rsid w:val="70D1292A"/>
    <w:rsid w:val="70E87DC5"/>
    <w:rsid w:val="70E974F5"/>
    <w:rsid w:val="70F116CB"/>
    <w:rsid w:val="70F151B8"/>
    <w:rsid w:val="70FB519D"/>
    <w:rsid w:val="71095B4B"/>
    <w:rsid w:val="710A441D"/>
    <w:rsid w:val="71117D2D"/>
    <w:rsid w:val="71186EFC"/>
    <w:rsid w:val="7151733E"/>
    <w:rsid w:val="718D28BF"/>
    <w:rsid w:val="71962116"/>
    <w:rsid w:val="71CF1396"/>
    <w:rsid w:val="71D61D26"/>
    <w:rsid w:val="71D62A2F"/>
    <w:rsid w:val="71DE3F1E"/>
    <w:rsid w:val="71DF3072"/>
    <w:rsid w:val="71E126E7"/>
    <w:rsid w:val="71E17D1E"/>
    <w:rsid w:val="71F87B40"/>
    <w:rsid w:val="71FF4FFF"/>
    <w:rsid w:val="72041416"/>
    <w:rsid w:val="72073CDB"/>
    <w:rsid w:val="721075A7"/>
    <w:rsid w:val="725351D9"/>
    <w:rsid w:val="72576A1F"/>
    <w:rsid w:val="7273017D"/>
    <w:rsid w:val="72784480"/>
    <w:rsid w:val="728D4B33"/>
    <w:rsid w:val="729A6862"/>
    <w:rsid w:val="729C3858"/>
    <w:rsid w:val="72A76976"/>
    <w:rsid w:val="72B132EC"/>
    <w:rsid w:val="72D40BA6"/>
    <w:rsid w:val="72DA3447"/>
    <w:rsid w:val="72DE60D9"/>
    <w:rsid w:val="72F62F44"/>
    <w:rsid w:val="73216B98"/>
    <w:rsid w:val="732C01B5"/>
    <w:rsid w:val="732C477D"/>
    <w:rsid w:val="732C5D20"/>
    <w:rsid w:val="73487C44"/>
    <w:rsid w:val="734C0DB6"/>
    <w:rsid w:val="73543548"/>
    <w:rsid w:val="735A49C5"/>
    <w:rsid w:val="7362750D"/>
    <w:rsid w:val="73633B35"/>
    <w:rsid w:val="73733C9A"/>
    <w:rsid w:val="737A4866"/>
    <w:rsid w:val="737E74D1"/>
    <w:rsid w:val="738E13CF"/>
    <w:rsid w:val="73A56913"/>
    <w:rsid w:val="73AC1537"/>
    <w:rsid w:val="73BD732A"/>
    <w:rsid w:val="73D33DFB"/>
    <w:rsid w:val="73DC5565"/>
    <w:rsid w:val="73E774EB"/>
    <w:rsid w:val="73E97C91"/>
    <w:rsid w:val="73FF7E8C"/>
    <w:rsid w:val="740B3A5C"/>
    <w:rsid w:val="7418018A"/>
    <w:rsid w:val="741A521A"/>
    <w:rsid w:val="74223F7C"/>
    <w:rsid w:val="743401C8"/>
    <w:rsid w:val="744A2B6B"/>
    <w:rsid w:val="744E3383"/>
    <w:rsid w:val="74595238"/>
    <w:rsid w:val="746A214D"/>
    <w:rsid w:val="748D1686"/>
    <w:rsid w:val="74B60B36"/>
    <w:rsid w:val="74BD796F"/>
    <w:rsid w:val="74CE60A3"/>
    <w:rsid w:val="74D26794"/>
    <w:rsid w:val="74D31292"/>
    <w:rsid w:val="74EA4E31"/>
    <w:rsid w:val="74F47A21"/>
    <w:rsid w:val="7511518E"/>
    <w:rsid w:val="7540614A"/>
    <w:rsid w:val="75473BC0"/>
    <w:rsid w:val="75482DB9"/>
    <w:rsid w:val="754A70F1"/>
    <w:rsid w:val="754D7793"/>
    <w:rsid w:val="755C3532"/>
    <w:rsid w:val="75692310"/>
    <w:rsid w:val="75B522AF"/>
    <w:rsid w:val="75B86E38"/>
    <w:rsid w:val="75BA148E"/>
    <w:rsid w:val="75C24164"/>
    <w:rsid w:val="75C716AF"/>
    <w:rsid w:val="75E41779"/>
    <w:rsid w:val="75E47945"/>
    <w:rsid w:val="75E666D0"/>
    <w:rsid w:val="760547CF"/>
    <w:rsid w:val="76204F57"/>
    <w:rsid w:val="76216D15"/>
    <w:rsid w:val="7626390E"/>
    <w:rsid w:val="7633475B"/>
    <w:rsid w:val="76351098"/>
    <w:rsid w:val="7648198F"/>
    <w:rsid w:val="764959E1"/>
    <w:rsid w:val="76825E2E"/>
    <w:rsid w:val="768825B8"/>
    <w:rsid w:val="768A1ED3"/>
    <w:rsid w:val="768D2C9B"/>
    <w:rsid w:val="768E20BA"/>
    <w:rsid w:val="76BD56C3"/>
    <w:rsid w:val="76C8243D"/>
    <w:rsid w:val="76DD1CA4"/>
    <w:rsid w:val="77103714"/>
    <w:rsid w:val="771E2069"/>
    <w:rsid w:val="771E53BA"/>
    <w:rsid w:val="77442F62"/>
    <w:rsid w:val="774552CC"/>
    <w:rsid w:val="77516B93"/>
    <w:rsid w:val="776D5ECB"/>
    <w:rsid w:val="778E200B"/>
    <w:rsid w:val="778E413F"/>
    <w:rsid w:val="77BD52AE"/>
    <w:rsid w:val="77C97B2F"/>
    <w:rsid w:val="77E13575"/>
    <w:rsid w:val="77E656B0"/>
    <w:rsid w:val="77FB68EA"/>
    <w:rsid w:val="78107BEA"/>
    <w:rsid w:val="7813104D"/>
    <w:rsid w:val="781C169F"/>
    <w:rsid w:val="782B0C40"/>
    <w:rsid w:val="782B0EDC"/>
    <w:rsid w:val="784067D9"/>
    <w:rsid w:val="784455A5"/>
    <w:rsid w:val="784663E7"/>
    <w:rsid w:val="784B6E7F"/>
    <w:rsid w:val="785B5CA8"/>
    <w:rsid w:val="786B5B34"/>
    <w:rsid w:val="7878412D"/>
    <w:rsid w:val="789500E4"/>
    <w:rsid w:val="78A73C79"/>
    <w:rsid w:val="78A943F7"/>
    <w:rsid w:val="78B67BB8"/>
    <w:rsid w:val="78C12A3A"/>
    <w:rsid w:val="78C53BF6"/>
    <w:rsid w:val="78C74263"/>
    <w:rsid w:val="78CC6C21"/>
    <w:rsid w:val="79072288"/>
    <w:rsid w:val="79287471"/>
    <w:rsid w:val="79497412"/>
    <w:rsid w:val="79552B2F"/>
    <w:rsid w:val="79574BDF"/>
    <w:rsid w:val="797C1945"/>
    <w:rsid w:val="799E2576"/>
    <w:rsid w:val="79D57D57"/>
    <w:rsid w:val="79E6008A"/>
    <w:rsid w:val="79EE2BC7"/>
    <w:rsid w:val="79F0693F"/>
    <w:rsid w:val="7A2327D0"/>
    <w:rsid w:val="7A276D0A"/>
    <w:rsid w:val="7A286A8A"/>
    <w:rsid w:val="7A2D67A8"/>
    <w:rsid w:val="7A3102BB"/>
    <w:rsid w:val="7A38220D"/>
    <w:rsid w:val="7A4A24F3"/>
    <w:rsid w:val="7A510AAB"/>
    <w:rsid w:val="7A7C6425"/>
    <w:rsid w:val="7A801199"/>
    <w:rsid w:val="7AA234D5"/>
    <w:rsid w:val="7AA7373E"/>
    <w:rsid w:val="7AB756AF"/>
    <w:rsid w:val="7ADC57FF"/>
    <w:rsid w:val="7AE446F6"/>
    <w:rsid w:val="7AE95601"/>
    <w:rsid w:val="7AFC55C7"/>
    <w:rsid w:val="7B025333"/>
    <w:rsid w:val="7B0377A0"/>
    <w:rsid w:val="7B193B8C"/>
    <w:rsid w:val="7B3379EA"/>
    <w:rsid w:val="7B511B08"/>
    <w:rsid w:val="7B6668F3"/>
    <w:rsid w:val="7B704394"/>
    <w:rsid w:val="7B8116F9"/>
    <w:rsid w:val="7B845E1A"/>
    <w:rsid w:val="7B892C43"/>
    <w:rsid w:val="7B99644A"/>
    <w:rsid w:val="7B9C4FB3"/>
    <w:rsid w:val="7BA758E6"/>
    <w:rsid w:val="7BC811D9"/>
    <w:rsid w:val="7BCD1CE5"/>
    <w:rsid w:val="7BCE4803"/>
    <w:rsid w:val="7BD824F3"/>
    <w:rsid w:val="7BE34610"/>
    <w:rsid w:val="7BF4681D"/>
    <w:rsid w:val="7C1371C9"/>
    <w:rsid w:val="7C1A138F"/>
    <w:rsid w:val="7C4D5BFF"/>
    <w:rsid w:val="7C6C6790"/>
    <w:rsid w:val="7C76530D"/>
    <w:rsid w:val="7C816402"/>
    <w:rsid w:val="7C8D4370"/>
    <w:rsid w:val="7C8E5CA7"/>
    <w:rsid w:val="7C911938"/>
    <w:rsid w:val="7C933F61"/>
    <w:rsid w:val="7CAE6EDF"/>
    <w:rsid w:val="7CB06D1F"/>
    <w:rsid w:val="7CB13389"/>
    <w:rsid w:val="7CE42778"/>
    <w:rsid w:val="7CF82DF2"/>
    <w:rsid w:val="7D2963E1"/>
    <w:rsid w:val="7D2F174F"/>
    <w:rsid w:val="7D3A2761"/>
    <w:rsid w:val="7D571A38"/>
    <w:rsid w:val="7D64286E"/>
    <w:rsid w:val="7D6A07B6"/>
    <w:rsid w:val="7D8C77F5"/>
    <w:rsid w:val="7D930A39"/>
    <w:rsid w:val="7DA0242A"/>
    <w:rsid w:val="7DAB3AC9"/>
    <w:rsid w:val="7DB06938"/>
    <w:rsid w:val="7DB27AD5"/>
    <w:rsid w:val="7DC429E5"/>
    <w:rsid w:val="7DE078D4"/>
    <w:rsid w:val="7DE762AB"/>
    <w:rsid w:val="7DFC3C56"/>
    <w:rsid w:val="7E0714D7"/>
    <w:rsid w:val="7E123CE8"/>
    <w:rsid w:val="7E141C0C"/>
    <w:rsid w:val="7E3A5A07"/>
    <w:rsid w:val="7E48158B"/>
    <w:rsid w:val="7E5F1C7A"/>
    <w:rsid w:val="7E630C6D"/>
    <w:rsid w:val="7E633922"/>
    <w:rsid w:val="7E6F03E0"/>
    <w:rsid w:val="7E7B5986"/>
    <w:rsid w:val="7E7F192D"/>
    <w:rsid w:val="7EA16752"/>
    <w:rsid w:val="7EA2423C"/>
    <w:rsid w:val="7EA837BC"/>
    <w:rsid w:val="7EC56ACC"/>
    <w:rsid w:val="7EDA0CF9"/>
    <w:rsid w:val="7EE25F90"/>
    <w:rsid w:val="7EE527EB"/>
    <w:rsid w:val="7EF679BC"/>
    <w:rsid w:val="7F1709A4"/>
    <w:rsid w:val="7F194FF9"/>
    <w:rsid w:val="7F350F48"/>
    <w:rsid w:val="7F394685"/>
    <w:rsid w:val="7F582E59"/>
    <w:rsid w:val="7F69574C"/>
    <w:rsid w:val="7F6B6EE8"/>
    <w:rsid w:val="7F6D6ECF"/>
    <w:rsid w:val="7F712A0F"/>
    <w:rsid w:val="7F71407E"/>
    <w:rsid w:val="7F7C2186"/>
    <w:rsid w:val="7F7F7818"/>
    <w:rsid w:val="7F870DB0"/>
    <w:rsid w:val="7F874E30"/>
    <w:rsid w:val="7F8A6FB9"/>
    <w:rsid w:val="7F8F2756"/>
    <w:rsid w:val="7F915899"/>
    <w:rsid w:val="7F973C10"/>
    <w:rsid w:val="7FB22D07"/>
    <w:rsid w:val="7FBF4563"/>
    <w:rsid w:val="7FC14BAA"/>
    <w:rsid w:val="7FD70896"/>
    <w:rsid w:val="7FD72FA6"/>
    <w:rsid w:val="7FDF53F2"/>
    <w:rsid w:val="7FDF6EB8"/>
    <w:rsid w:val="7FE05B47"/>
    <w:rsid w:val="7FE61D45"/>
    <w:rsid w:val="7FFC5A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autoRedefine/>
    <w:qFormat/>
    <w:uiPriority w:val="0"/>
    <w:pPr>
      <w:keepNext/>
      <w:keepLines/>
      <w:widowControl w:val="0"/>
      <w:spacing w:before="240" w:after="120" w:line="360" w:lineRule="auto"/>
      <w:jc w:val="both"/>
      <w:outlineLvl w:val="0"/>
    </w:pPr>
    <w:rPr>
      <w:rFonts w:ascii="Times New Roman" w:hAnsi="Times New Roman" w:eastAsia="宋体" w:cs="Times New Roman"/>
      <w:b/>
      <w:bCs/>
      <w:kern w:val="44"/>
      <w:sz w:val="32"/>
      <w:szCs w:val="44"/>
      <w:lang w:val="en-US" w:eastAsia="zh-CN" w:bidi="ar-SA"/>
    </w:rPr>
  </w:style>
  <w:style w:type="paragraph" w:styleId="3">
    <w:name w:val="heading 2"/>
    <w:basedOn w:val="1"/>
    <w:next w:val="1"/>
    <w:autoRedefine/>
    <w:qFormat/>
    <w:uiPriority w:val="9"/>
    <w:pPr>
      <w:keepNext/>
      <w:keepLines/>
      <w:spacing w:line="413" w:lineRule="auto"/>
      <w:outlineLvl w:val="1"/>
    </w:pPr>
    <w:rPr>
      <w:rFonts w:ascii="Arial" w:hAnsi="Arial" w:eastAsia="黑体"/>
      <w:b/>
      <w:bCs/>
      <w:sz w:val="32"/>
      <w:szCs w:val="32"/>
    </w:rPr>
  </w:style>
  <w:style w:type="paragraph" w:styleId="4">
    <w:name w:val="heading 3"/>
    <w:basedOn w:val="1"/>
    <w:next w:val="1"/>
    <w:autoRedefine/>
    <w:qFormat/>
    <w:uiPriority w:val="9"/>
    <w:pPr>
      <w:keepNext/>
      <w:keepLines/>
      <w:spacing w:line="600" w:lineRule="exact"/>
      <w:ind w:firstLine="643" w:firstLineChars="200"/>
      <w:outlineLvl w:val="2"/>
    </w:pPr>
    <w:rPr>
      <w:b/>
      <w:bCs/>
      <w:sz w:val="32"/>
      <w:szCs w:val="32"/>
    </w:rPr>
  </w:style>
  <w:style w:type="paragraph" w:styleId="5">
    <w:name w:val="heading 4"/>
    <w:basedOn w:val="1"/>
    <w:next w:val="1"/>
    <w:autoRedefine/>
    <w:qFormat/>
    <w:uiPriority w:val="0"/>
    <w:pPr>
      <w:keepNext/>
      <w:keepLines/>
      <w:spacing w:before="120" w:after="120" w:line="360" w:lineRule="auto"/>
      <w:jc w:val="center"/>
      <w:outlineLvl w:val="3"/>
    </w:pPr>
    <w:rPr>
      <w:rFonts w:eastAsia="Ђˎ̥"/>
      <w:sz w:val="28"/>
    </w:rPr>
  </w:style>
  <w:style w:type="paragraph" w:styleId="6">
    <w:name w:val="heading 5"/>
    <w:basedOn w:val="1"/>
    <w:next w:val="1"/>
    <w:autoRedefine/>
    <w:qFormat/>
    <w:uiPriority w:val="9"/>
    <w:pPr>
      <w:keepNext/>
      <w:keepLines/>
      <w:spacing w:before="280" w:after="290" w:line="376" w:lineRule="auto"/>
      <w:outlineLvl w:val="4"/>
    </w:pPr>
    <w:rPr>
      <w:b/>
      <w:bCs/>
      <w:sz w:val="28"/>
      <w:szCs w:val="28"/>
    </w:rPr>
  </w:style>
  <w:style w:type="paragraph" w:styleId="7">
    <w:name w:val="heading 6"/>
    <w:next w:val="1"/>
    <w:autoRedefine/>
    <w:qFormat/>
    <w:uiPriority w:val="0"/>
    <w:pPr>
      <w:keepNext/>
      <w:keepLines/>
      <w:widowControl w:val="0"/>
      <w:spacing w:before="120" w:after="120"/>
      <w:jc w:val="both"/>
      <w:outlineLvl w:val="5"/>
    </w:pPr>
    <w:rPr>
      <w:rFonts w:ascii="Times New Roman" w:hAnsi="等线 Light" w:eastAsia="宋体" w:cs="Times New Roman"/>
      <w:b/>
      <w:bCs/>
      <w:kern w:val="2"/>
      <w:sz w:val="21"/>
      <w:szCs w:val="24"/>
      <w:lang w:val="en-US" w:eastAsia="zh-CN" w:bidi="ar-SA"/>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8">
    <w:name w:val="index 8"/>
    <w:basedOn w:val="1"/>
    <w:next w:val="1"/>
    <w:autoRedefine/>
    <w:qFormat/>
    <w:uiPriority w:val="0"/>
    <w:pPr>
      <w:ind w:left="2940"/>
    </w:pPr>
  </w:style>
  <w:style w:type="paragraph" w:styleId="9">
    <w:name w:val="Normal Indent"/>
    <w:basedOn w:val="1"/>
    <w:autoRedefine/>
    <w:unhideWhenUsed/>
    <w:qFormat/>
    <w:uiPriority w:val="99"/>
    <w:pPr>
      <w:ind w:firstLine="420"/>
    </w:pPr>
    <w:rPr>
      <w:szCs w:val="20"/>
    </w:rPr>
  </w:style>
  <w:style w:type="paragraph" w:styleId="10">
    <w:name w:val="annotation text"/>
    <w:basedOn w:val="1"/>
    <w:link w:val="54"/>
    <w:autoRedefine/>
    <w:unhideWhenUsed/>
    <w:qFormat/>
    <w:uiPriority w:val="0"/>
    <w:pPr>
      <w:jc w:val="left"/>
    </w:pPr>
  </w:style>
  <w:style w:type="paragraph" w:styleId="11">
    <w:name w:val="Body Text"/>
    <w:basedOn w:val="1"/>
    <w:next w:val="1"/>
    <w:autoRedefine/>
    <w:unhideWhenUsed/>
    <w:qFormat/>
    <w:uiPriority w:val="0"/>
    <w:pPr>
      <w:spacing w:after="120"/>
    </w:pPr>
  </w:style>
  <w:style w:type="paragraph" w:styleId="12">
    <w:name w:val="Body Text Indent"/>
    <w:basedOn w:val="1"/>
    <w:autoRedefine/>
    <w:unhideWhenUsed/>
    <w:qFormat/>
    <w:uiPriority w:val="99"/>
    <w:pPr>
      <w:spacing w:line="200" w:lineRule="exact"/>
      <w:ind w:firstLine="301"/>
    </w:pPr>
    <w:rPr>
      <w:rFonts w:ascii="宋体" w:hAnsi="Courier New"/>
      <w:spacing w:val="-4"/>
      <w:sz w:val="18"/>
      <w:szCs w:val="20"/>
    </w:rPr>
  </w:style>
  <w:style w:type="paragraph" w:styleId="13">
    <w:name w:val="toc 3"/>
    <w:basedOn w:val="1"/>
    <w:next w:val="1"/>
    <w:autoRedefine/>
    <w:unhideWhenUsed/>
    <w:qFormat/>
    <w:uiPriority w:val="39"/>
    <w:pPr>
      <w:jc w:val="left"/>
    </w:pPr>
    <w:rPr>
      <w:rFonts w:ascii="Calibri" w:hAnsi="Calibri"/>
      <w:smallCaps/>
      <w:sz w:val="22"/>
      <w:szCs w:val="22"/>
    </w:rPr>
  </w:style>
  <w:style w:type="paragraph" w:styleId="14">
    <w:name w:val="Plain Text"/>
    <w:basedOn w:val="1"/>
    <w:link w:val="58"/>
    <w:autoRedefine/>
    <w:unhideWhenUsed/>
    <w:qFormat/>
    <w:uiPriority w:val="99"/>
    <w:rPr>
      <w:rFonts w:ascii="宋体" w:hAnsi="Courier New"/>
      <w:szCs w:val="20"/>
    </w:rPr>
  </w:style>
  <w:style w:type="paragraph" w:styleId="15">
    <w:name w:val="Body Text Indent 2"/>
    <w:basedOn w:val="1"/>
    <w:autoRedefine/>
    <w:semiHidden/>
    <w:unhideWhenUsed/>
    <w:qFormat/>
    <w:uiPriority w:val="99"/>
    <w:pPr>
      <w:spacing w:after="120" w:line="480" w:lineRule="auto"/>
      <w:ind w:left="420" w:leftChars="200"/>
    </w:pPr>
  </w:style>
  <w:style w:type="paragraph" w:styleId="16">
    <w:name w:val="Balloon Text"/>
    <w:basedOn w:val="1"/>
    <w:link w:val="56"/>
    <w:autoRedefine/>
    <w:qFormat/>
    <w:uiPriority w:val="0"/>
    <w:rPr>
      <w:sz w:val="18"/>
      <w:szCs w:val="18"/>
    </w:rPr>
  </w:style>
  <w:style w:type="paragraph" w:styleId="17">
    <w:name w:val="footer"/>
    <w:basedOn w:val="1"/>
    <w:next w:val="1"/>
    <w:link w:val="60"/>
    <w:autoRedefine/>
    <w:unhideWhenUsed/>
    <w:qFormat/>
    <w:uiPriority w:val="99"/>
    <w:pPr>
      <w:tabs>
        <w:tab w:val="center" w:pos="4153"/>
        <w:tab w:val="right" w:pos="8306"/>
      </w:tabs>
      <w:snapToGrid w:val="0"/>
      <w:jc w:val="left"/>
    </w:pPr>
    <w:rPr>
      <w:sz w:val="18"/>
      <w:szCs w:val="18"/>
    </w:rPr>
  </w:style>
  <w:style w:type="paragraph" w:styleId="18">
    <w:name w:val="envelope return"/>
    <w:basedOn w:val="1"/>
    <w:autoRedefine/>
    <w:qFormat/>
    <w:uiPriority w:val="0"/>
    <w:pPr>
      <w:snapToGrid w:val="0"/>
    </w:pPr>
    <w:rPr>
      <w:rFonts w:ascii="Arial" w:hAnsi="Arial"/>
    </w:rPr>
  </w:style>
  <w:style w:type="paragraph" w:styleId="19">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unhideWhenUsed/>
    <w:qFormat/>
    <w:uiPriority w:val="39"/>
    <w:pPr>
      <w:spacing w:before="360" w:after="360"/>
      <w:jc w:val="left"/>
    </w:pPr>
    <w:rPr>
      <w:rFonts w:ascii="Calibri" w:hAnsi="Calibri"/>
      <w:b/>
      <w:bCs/>
      <w:caps/>
      <w:sz w:val="22"/>
      <w:szCs w:val="22"/>
      <w:u w:val="single"/>
    </w:rPr>
  </w:style>
  <w:style w:type="paragraph" w:styleId="21">
    <w:name w:val="List"/>
    <w:basedOn w:val="1"/>
    <w:autoRedefine/>
    <w:unhideWhenUsed/>
    <w:qFormat/>
    <w:uiPriority w:val="99"/>
    <w:pPr>
      <w:ind w:left="200" w:hanging="200" w:hangingChars="200"/>
    </w:pPr>
    <w:rPr>
      <w:sz w:val="28"/>
    </w:rPr>
  </w:style>
  <w:style w:type="paragraph" w:styleId="22">
    <w:name w:val="toc 2"/>
    <w:basedOn w:val="1"/>
    <w:next w:val="1"/>
    <w:autoRedefine/>
    <w:unhideWhenUsed/>
    <w:qFormat/>
    <w:uiPriority w:val="39"/>
    <w:pPr>
      <w:jc w:val="left"/>
    </w:pPr>
    <w:rPr>
      <w:rFonts w:ascii="Calibri" w:hAnsi="Calibri"/>
      <w:b/>
      <w:bCs/>
      <w:smallCaps/>
      <w:sz w:val="22"/>
      <w:szCs w:val="22"/>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autoRedefine/>
    <w:qFormat/>
    <w:uiPriority w:val="0"/>
    <w:pPr>
      <w:widowControl/>
      <w:overflowPunct w:val="0"/>
      <w:autoSpaceDE w:val="0"/>
      <w:autoSpaceDN w:val="0"/>
      <w:adjustRightInd w:val="0"/>
      <w:jc w:val="center"/>
      <w:textAlignment w:val="baseline"/>
    </w:pPr>
    <w:rPr>
      <w:rFonts w:ascii="Cambria" w:hAnsi="Cambria"/>
      <w:b/>
      <w:bCs/>
      <w:sz w:val="32"/>
      <w:szCs w:val="32"/>
    </w:rPr>
  </w:style>
  <w:style w:type="paragraph" w:styleId="25">
    <w:name w:val="annotation subject"/>
    <w:basedOn w:val="10"/>
    <w:next w:val="1"/>
    <w:link w:val="62"/>
    <w:autoRedefine/>
    <w:qFormat/>
    <w:uiPriority w:val="0"/>
    <w:rPr>
      <w:b/>
      <w:bCs/>
    </w:rPr>
  </w:style>
  <w:style w:type="paragraph" w:styleId="26">
    <w:name w:val="Body Text First Indent"/>
    <w:basedOn w:val="11"/>
    <w:autoRedefine/>
    <w:qFormat/>
    <w:uiPriority w:val="0"/>
    <w:pPr>
      <w:ind w:firstLine="420"/>
      <w:textAlignment w:val="baseline"/>
    </w:pPr>
  </w:style>
  <w:style w:type="paragraph" w:styleId="27">
    <w:name w:val="Body Text First Indent 2"/>
    <w:basedOn w:val="12"/>
    <w:autoRedefine/>
    <w:unhideWhenUsed/>
    <w:qFormat/>
    <w:uiPriority w:val="99"/>
    <w:pPr>
      <w:spacing w:after="120"/>
      <w:ind w:left="420" w:leftChars="200" w:firstLine="420" w:firstLineChars="200"/>
    </w:pPr>
    <w:rPr>
      <w:rFonts w:ascii="Times New Roman"/>
      <w:sz w:val="21"/>
      <w:szCs w:val="24"/>
    </w:rPr>
  </w:style>
  <w:style w:type="table" w:styleId="29">
    <w:name w:val="Table Grid"/>
    <w:basedOn w:val="2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autoRedefine/>
    <w:unhideWhenUsed/>
    <w:qFormat/>
    <w:uiPriority w:val="0"/>
  </w:style>
  <w:style w:type="character" w:styleId="32">
    <w:name w:val="FollowedHyperlink"/>
    <w:autoRedefine/>
    <w:qFormat/>
    <w:uiPriority w:val="0"/>
    <w:rPr>
      <w:rFonts w:hint="eastAsia" w:ascii="微软雅黑" w:hAnsi="微软雅黑" w:eastAsia="微软雅黑" w:cs="微软雅黑"/>
      <w:color w:val="02396F"/>
      <w:u w:val="single"/>
    </w:rPr>
  </w:style>
  <w:style w:type="character" w:styleId="33">
    <w:name w:val="Emphasis"/>
    <w:basedOn w:val="30"/>
    <w:autoRedefine/>
    <w:qFormat/>
    <w:uiPriority w:val="0"/>
    <w:rPr>
      <w:i/>
    </w:rPr>
  </w:style>
  <w:style w:type="character" w:styleId="34">
    <w:name w:val="HTML Definition"/>
    <w:basedOn w:val="30"/>
    <w:qFormat/>
    <w:uiPriority w:val="0"/>
  </w:style>
  <w:style w:type="character" w:styleId="35">
    <w:name w:val="HTML Typewriter"/>
    <w:basedOn w:val="30"/>
    <w:qFormat/>
    <w:uiPriority w:val="0"/>
    <w:rPr>
      <w:rFonts w:hint="default" w:ascii="monospace" w:hAnsi="monospace" w:eastAsia="monospace" w:cs="monospace"/>
      <w:sz w:val="20"/>
    </w:rPr>
  </w:style>
  <w:style w:type="character" w:styleId="36">
    <w:name w:val="HTML Acronym"/>
    <w:basedOn w:val="30"/>
    <w:qFormat/>
    <w:uiPriority w:val="0"/>
  </w:style>
  <w:style w:type="character" w:styleId="37">
    <w:name w:val="HTML Variable"/>
    <w:basedOn w:val="30"/>
    <w:semiHidden/>
    <w:unhideWhenUsed/>
    <w:qFormat/>
    <w:uiPriority w:val="0"/>
  </w:style>
  <w:style w:type="character" w:styleId="38">
    <w:name w:val="Hyperlink"/>
    <w:autoRedefine/>
    <w:unhideWhenUsed/>
    <w:qFormat/>
    <w:uiPriority w:val="99"/>
    <w:rPr>
      <w:rFonts w:hint="eastAsia" w:ascii="微软雅黑" w:hAnsi="微软雅黑" w:eastAsia="微软雅黑" w:cs="微软雅黑"/>
      <w:color w:val="02396F"/>
      <w:u w:val="single"/>
    </w:rPr>
  </w:style>
  <w:style w:type="character" w:styleId="39">
    <w:name w:val="HTML Code"/>
    <w:basedOn w:val="30"/>
    <w:qFormat/>
    <w:uiPriority w:val="0"/>
    <w:rPr>
      <w:rFonts w:hint="default" w:ascii="monospace" w:hAnsi="monospace" w:eastAsia="monospace" w:cs="monospace"/>
      <w:sz w:val="20"/>
    </w:rPr>
  </w:style>
  <w:style w:type="character" w:styleId="40">
    <w:name w:val="annotation reference"/>
    <w:autoRedefine/>
    <w:qFormat/>
    <w:uiPriority w:val="99"/>
    <w:rPr>
      <w:sz w:val="21"/>
      <w:szCs w:val="21"/>
    </w:rPr>
  </w:style>
  <w:style w:type="character" w:styleId="41">
    <w:name w:val="HTML Cite"/>
    <w:basedOn w:val="30"/>
    <w:qFormat/>
    <w:uiPriority w:val="0"/>
  </w:style>
  <w:style w:type="character" w:styleId="42">
    <w:name w:val="HTML Keyboard"/>
    <w:basedOn w:val="30"/>
    <w:qFormat/>
    <w:uiPriority w:val="0"/>
    <w:rPr>
      <w:rFonts w:hint="default" w:ascii="monospace" w:hAnsi="monospace" w:eastAsia="monospace" w:cs="monospace"/>
      <w:sz w:val="20"/>
    </w:rPr>
  </w:style>
  <w:style w:type="character" w:styleId="43">
    <w:name w:val="HTML Sample"/>
    <w:basedOn w:val="30"/>
    <w:autoRedefine/>
    <w:qFormat/>
    <w:uiPriority w:val="0"/>
    <w:rPr>
      <w:rFonts w:ascii="monospace" w:hAnsi="monospace" w:eastAsia="monospace" w:cs="monospace"/>
    </w:rPr>
  </w:style>
  <w:style w:type="paragraph" w:customStyle="1" w:styleId="44">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45">
    <w:name w:val="正文g"/>
    <w:autoRedefine/>
    <w:qFormat/>
    <w:uiPriority w:val="0"/>
    <w:pPr>
      <w:jc w:val="both"/>
    </w:pPr>
    <w:rPr>
      <w:rFonts w:ascii="仿宋_GB2312" w:hAnsi="宋体" w:eastAsia="仿宋_GB2312" w:cs="Times New Roman"/>
      <w:kern w:val="2"/>
      <w:sz w:val="21"/>
      <w:szCs w:val="24"/>
      <w:lang w:val="en-US" w:eastAsia="zh-CN" w:bidi="ar-SA"/>
    </w:rPr>
  </w:style>
  <w:style w:type="paragraph" w:customStyle="1" w:styleId="46">
    <w:name w:val="Default"/>
    <w:next w:val="1"/>
    <w:autoRedefine/>
    <w:qFormat/>
    <w:uiPriority w:val="0"/>
    <w:pPr>
      <w:widowControl w:val="0"/>
      <w:autoSpaceDE w:val="0"/>
      <w:autoSpaceDN w:val="0"/>
      <w:adjustRightInd w:val="0"/>
    </w:pPr>
    <w:rPr>
      <w:rFonts w:ascii="宋体" w:hAnsi="Perpetua" w:eastAsia="宋体" w:cs="宋体"/>
      <w:color w:val="000000"/>
      <w:sz w:val="24"/>
      <w:szCs w:val="24"/>
      <w:lang w:val="en-US" w:eastAsia="zh-CN" w:bidi="ar-SA"/>
    </w:rPr>
  </w:style>
  <w:style w:type="character" w:customStyle="1" w:styleId="47">
    <w:name w:val="批注文字 Char1"/>
    <w:autoRedefine/>
    <w:qFormat/>
    <w:uiPriority w:val="0"/>
    <w:rPr>
      <w:rFonts w:ascii="Times New Roman" w:hAnsi="Times New Roman"/>
      <w:kern w:val="2"/>
      <w:sz w:val="21"/>
      <w:szCs w:val="24"/>
    </w:rPr>
  </w:style>
  <w:style w:type="character" w:customStyle="1" w:styleId="48">
    <w:name w:val="font31"/>
    <w:basedOn w:val="30"/>
    <w:autoRedefine/>
    <w:qFormat/>
    <w:uiPriority w:val="0"/>
    <w:rPr>
      <w:rFonts w:hint="eastAsia" w:ascii="宋体" w:hAnsi="宋体" w:eastAsia="宋体" w:cs="宋体"/>
      <w:color w:val="000000"/>
      <w:sz w:val="22"/>
      <w:szCs w:val="22"/>
      <w:u w:val="none"/>
    </w:rPr>
  </w:style>
  <w:style w:type="character" w:customStyle="1" w:styleId="49">
    <w:name w:val="displayarti"/>
    <w:autoRedefine/>
    <w:qFormat/>
    <w:uiPriority w:val="0"/>
    <w:rPr>
      <w:color w:val="FFFFFF"/>
      <w:shd w:val="clear" w:color="auto" w:fill="A00000"/>
    </w:rPr>
  </w:style>
  <w:style w:type="character" w:customStyle="1" w:styleId="50">
    <w:name w:val="prev1"/>
    <w:autoRedefine/>
    <w:qFormat/>
    <w:uiPriority w:val="0"/>
    <w:rPr>
      <w:color w:val="888888"/>
    </w:rPr>
  </w:style>
  <w:style w:type="character" w:customStyle="1" w:styleId="51">
    <w:name w:val="NormalCharacter"/>
    <w:autoRedefine/>
    <w:qFormat/>
    <w:uiPriority w:val="0"/>
    <w:rPr>
      <w:rFonts w:ascii="Times New Roman" w:hAnsi="Times New Roman" w:eastAsia="宋体" w:cs="Times New Roman"/>
    </w:rPr>
  </w:style>
  <w:style w:type="character" w:customStyle="1" w:styleId="52">
    <w:name w:val="redfilenumber"/>
    <w:autoRedefine/>
    <w:qFormat/>
    <w:uiPriority w:val="0"/>
    <w:rPr>
      <w:color w:val="BA2636"/>
      <w:sz w:val="18"/>
      <w:szCs w:val="18"/>
    </w:rPr>
  </w:style>
  <w:style w:type="character" w:customStyle="1" w:styleId="53">
    <w:name w:val="qxdate"/>
    <w:autoRedefine/>
    <w:qFormat/>
    <w:uiPriority w:val="0"/>
    <w:rPr>
      <w:color w:val="333333"/>
      <w:sz w:val="18"/>
      <w:szCs w:val="18"/>
    </w:rPr>
  </w:style>
  <w:style w:type="character" w:customStyle="1" w:styleId="54">
    <w:name w:val="批注文字 Char"/>
    <w:link w:val="10"/>
    <w:autoRedefine/>
    <w:qFormat/>
    <w:uiPriority w:val="0"/>
    <w:rPr>
      <w:kern w:val="2"/>
      <w:sz w:val="21"/>
      <w:szCs w:val="24"/>
    </w:rPr>
  </w:style>
  <w:style w:type="character" w:customStyle="1" w:styleId="55">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6">
    <w:name w:val="批注框文本 Char"/>
    <w:link w:val="16"/>
    <w:autoRedefine/>
    <w:qFormat/>
    <w:uiPriority w:val="0"/>
    <w:rPr>
      <w:kern w:val="2"/>
      <w:sz w:val="18"/>
      <w:szCs w:val="18"/>
    </w:rPr>
  </w:style>
  <w:style w:type="character" w:customStyle="1" w:styleId="57">
    <w:name w:val="gjfg"/>
    <w:autoRedefine/>
    <w:qFormat/>
    <w:uiPriority w:val="0"/>
  </w:style>
  <w:style w:type="character" w:customStyle="1" w:styleId="58">
    <w:name w:val="纯文本 Char"/>
    <w:link w:val="14"/>
    <w:autoRedefine/>
    <w:qFormat/>
    <w:uiPriority w:val="99"/>
    <w:rPr>
      <w:rFonts w:ascii="宋体" w:hAnsi="Courier New"/>
      <w:kern w:val="2"/>
      <w:sz w:val="21"/>
    </w:rPr>
  </w:style>
  <w:style w:type="character" w:customStyle="1" w:styleId="59">
    <w:name w:val="next"/>
    <w:autoRedefine/>
    <w:qFormat/>
    <w:uiPriority w:val="0"/>
    <w:rPr>
      <w:rFonts w:ascii="微软雅黑" w:hAnsi="微软雅黑" w:eastAsia="微软雅黑" w:cs="微软雅黑"/>
      <w:sz w:val="21"/>
      <w:szCs w:val="21"/>
    </w:rPr>
  </w:style>
  <w:style w:type="character" w:customStyle="1" w:styleId="60">
    <w:name w:val="页脚 Char"/>
    <w:link w:val="17"/>
    <w:autoRedefine/>
    <w:qFormat/>
    <w:uiPriority w:val="99"/>
    <w:rPr>
      <w:kern w:val="2"/>
      <w:sz w:val="18"/>
      <w:szCs w:val="18"/>
    </w:rPr>
  </w:style>
  <w:style w:type="character" w:customStyle="1" w:styleId="61">
    <w:name w:val="redfilefwwh"/>
    <w:autoRedefine/>
    <w:qFormat/>
    <w:uiPriority w:val="0"/>
    <w:rPr>
      <w:color w:val="BA2636"/>
      <w:sz w:val="18"/>
      <w:szCs w:val="18"/>
    </w:rPr>
  </w:style>
  <w:style w:type="character" w:customStyle="1" w:styleId="62">
    <w:name w:val="批注主题 Char"/>
    <w:link w:val="25"/>
    <w:autoRedefine/>
    <w:qFormat/>
    <w:uiPriority w:val="0"/>
  </w:style>
  <w:style w:type="character" w:customStyle="1" w:styleId="63">
    <w:name w:val="prev"/>
    <w:autoRedefine/>
    <w:qFormat/>
    <w:uiPriority w:val="0"/>
    <w:rPr>
      <w:rFonts w:hint="eastAsia" w:ascii="微软雅黑" w:hAnsi="微软雅黑" w:eastAsia="微软雅黑" w:cs="微软雅黑"/>
      <w:sz w:val="21"/>
      <w:szCs w:val="21"/>
    </w:rPr>
  </w:style>
  <w:style w:type="character" w:customStyle="1" w:styleId="64">
    <w:name w:val="next1"/>
    <w:autoRedefine/>
    <w:qFormat/>
    <w:uiPriority w:val="0"/>
    <w:rPr>
      <w:color w:val="888888"/>
    </w:rPr>
  </w:style>
  <w:style w:type="character" w:customStyle="1" w:styleId="65">
    <w:name w:val="font21"/>
    <w:basedOn w:val="30"/>
    <w:autoRedefine/>
    <w:qFormat/>
    <w:uiPriority w:val="0"/>
    <w:rPr>
      <w:rFonts w:hint="default" w:ascii="Tahoma" w:hAnsi="Tahoma" w:eastAsia="Tahoma" w:cs="Tahoma"/>
      <w:color w:val="000000"/>
      <w:sz w:val="22"/>
      <w:szCs w:val="22"/>
      <w:u w:val="none"/>
    </w:rPr>
  </w:style>
  <w:style w:type="character" w:customStyle="1" w:styleId="66">
    <w:name w:val="15"/>
    <w:autoRedefine/>
    <w:qFormat/>
    <w:uiPriority w:val="0"/>
    <w:rPr>
      <w:rFonts w:hint="default" w:ascii="Times New Roman" w:hAnsi="Times New Roman" w:cs="Times New Roman"/>
      <w:sz w:val="21"/>
      <w:szCs w:val="21"/>
    </w:rPr>
  </w:style>
  <w:style w:type="character" w:customStyle="1" w:styleId="67">
    <w:name w:val="cfdate"/>
    <w:autoRedefine/>
    <w:qFormat/>
    <w:uiPriority w:val="0"/>
    <w:rPr>
      <w:color w:val="333333"/>
      <w:sz w:val="18"/>
      <w:szCs w:val="18"/>
    </w:rPr>
  </w:style>
  <w:style w:type="paragraph" w:customStyle="1" w:styleId="68">
    <w:name w:val="样式 标题 2 + 宋体"/>
    <w:autoRedefine/>
    <w:qFormat/>
    <w:uiPriority w:val="0"/>
    <w:pPr>
      <w:keepNext/>
      <w:keepLines/>
      <w:widowControl w:val="0"/>
      <w:spacing w:before="260" w:after="260" w:line="416" w:lineRule="auto"/>
      <w:jc w:val="both"/>
      <w:outlineLvl w:val="1"/>
    </w:pPr>
    <w:rPr>
      <w:rFonts w:ascii="宋体" w:hAnsi="宋体" w:eastAsia="宋体" w:cs="Times New Roman"/>
      <w:b/>
      <w:bCs/>
      <w:sz w:val="30"/>
      <w:szCs w:val="32"/>
      <w:lang w:val="en-US" w:eastAsia="zh-CN" w:bidi="ar-SA"/>
    </w:rPr>
  </w:style>
  <w:style w:type="paragraph" w:customStyle="1" w:styleId="69">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70">
    <w:name w:val="正文2"/>
    <w:basedOn w:val="1"/>
    <w:autoRedefine/>
    <w:qFormat/>
    <w:uiPriority w:val="0"/>
    <w:pPr>
      <w:adjustRightInd w:val="0"/>
      <w:spacing w:before="156" w:line="360" w:lineRule="auto"/>
      <w:ind w:firstLine="510" w:firstLineChars="200"/>
    </w:pPr>
    <w:rPr>
      <w:sz w:val="24"/>
      <w:szCs w:val="20"/>
    </w:rPr>
  </w:style>
  <w:style w:type="paragraph" w:customStyle="1" w:styleId="71">
    <w:name w:val="正文缩进1"/>
    <w:basedOn w:val="1"/>
    <w:next w:val="12"/>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styleId="72">
    <w:name w:val="List Paragraph"/>
    <w:basedOn w:val="1"/>
    <w:autoRedefine/>
    <w:qFormat/>
    <w:uiPriority w:val="34"/>
    <w:pPr>
      <w:ind w:firstLine="420" w:firstLineChars="200"/>
    </w:pPr>
  </w:style>
  <w:style w:type="paragraph" w:customStyle="1" w:styleId="73">
    <w:name w:val="_Style 3"/>
    <w:basedOn w:val="1"/>
    <w:autoRedefine/>
    <w:qFormat/>
    <w:uiPriority w:val="0"/>
  </w:style>
  <w:style w:type="paragraph" w:customStyle="1" w:styleId="74">
    <w:name w:val="表格文字"/>
    <w:basedOn w:val="1"/>
    <w:next w:val="11"/>
    <w:autoRedefine/>
    <w:qFormat/>
    <w:uiPriority w:val="0"/>
    <w:pPr>
      <w:adjustRightInd w:val="0"/>
      <w:spacing w:line="420" w:lineRule="atLeast"/>
      <w:jc w:val="left"/>
      <w:textAlignment w:val="baseline"/>
    </w:pPr>
    <w:rPr>
      <w:kern w:val="0"/>
    </w:rPr>
  </w:style>
  <w:style w:type="paragraph" w:customStyle="1" w:styleId="75">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76">
    <w:name w:val="font11"/>
    <w:basedOn w:val="30"/>
    <w:autoRedefine/>
    <w:qFormat/>
    <w:uiPriority w:val="0"/>
    <w:rPr>
      <w:rFonts w:hint="eastAsia" w:ascii="宋体" w:hAnsi="宋体" w:eastAsia="宋体" w:cs="宋体"/>
      <w:b/>
      <w:color w:val="000000"/>
      <w:sz w:val="20"/>
      <w:szCs w:val="20"/>
      <w:u w:val="none"/>
    </w:rPr>
  </w:style>
  <w:style w:type="paragraph" w:customStyle="1" w:styleId="77">
    <w:name w:val="0正文"/>
    <w:autoRedefine/>
    <w:qFormat/>
    <w:uiPriority w:val="99"/>
    <w:pPr>
      <w:widowControl w:val="0"/>
      <w:snapToGrid w:val="0"/>
      <w:spacing w:line="360" w:lineRule="auto"/>
      <w:jc w:val="both"/>
      <w:textAlignment w:val="baseline"/>
    </w:pPr>
    <w:rPr>
      <w:rFonts w:ascii="宋体" w:hAnsi="宋体" w:eastAsia="宋体" w:cs="Times New Roman"/>
      <w:kern w:val="2"/>
      <w:sz w:val="24"/>
      <w:szCs w:val="24"/>
      <w:lang w:val="en-US" w:eastAsia="zh-CN" w:bidi="ar-SA"/>
    </w:rPr>
  </w:style>
  <w:style w:type="paragraph" w:customStyle="1" w:styleId="78">
    <w:name w:val="!正文"/>
    <w:autoRedefine/>
    <w:qFormat/>
    <w:uiPriority w:val="0"/>
    <w:pPr>
      <w:widowControl w:val="0"/>
      <w:spacing w:line="360" w:lineRule="auto"/>
    </w:pPr>
    <w:rPr>
      <w:rFonts w:ascii="宋体" w:hAnsi="宋体" w:eastAsia="宋体" w:cs="Times New Roman"/>
      <w:sz w:val="24"/>
      <w:szCs w:val="28"/>
      <w:lang w:val="zh-CN" w:eastAsia="zh-CN" w:bidi="ar-SA"/>
    </w:rPr>
  </w:style>
  <w:style w:type="character" w:customStyle="1" w:styleId="79">
    <w:name w:val="font01"/>
    <w:basedOn w:val="30"/>
    <w:autoRedefine/>
    <w:qFormat/>
    <w:uiPriority w:val="0"/>
    <w:rPr>
      <w:rFonts w:hint="eastAsia" w:ascii="仿宋" w:hAnsi="仿宋" w:eastAsia="仿宋" w:cs="仿宋"/>
      <w:color w:val="000000"/>
      <w:sz w:val="21"/>
      <w:szCs w:val="21"/>
      <w:u w:val="none"/>
    </w:rPr>
  </w:style>
  <w:style w:type="character" w:customStyle="1" w:styleId="80">
    <w:name w:val="font91"/>
    <w:autoRedefine/>
    <w:qFormat/>
    <w:uiPriority w:val="0"/>
    <w:rPr>
      <w:rFonts w:ascii="Arial" w:hAnsi="Arial" w:cs="Arial"/>
      <w:color w:val="000000"/>
      <w:sz w:val="21"/>
      <w:szCs w:val="21"/>
      <w:u w:val="none"/>
    </w:rPr>
  </w:style>
  <w:style w:type="paragraph" w:customStyle="1" w:styleId="81">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82">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83">
    <w:name w:val="修订3"/>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84">
    <w:name w:val="修订4"/>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85">
    <w:name w:val="BodyText"/>
    <w:basedOn w:val="1"/>
    <w:autoRedefine/>
    <w:qFormat/>
    <w:uiPriority w:val="0"/>
    <w:pPr>
      <w:spacing w:line="380" w:lineRule="exact"/>
      <w:textAlignment w:val="baseline"/>
    </w:pPr>
    <w:rPr>
      <w:sz w:val="24"/>
    </w:rPr>
  </w:style>
  <w:style w:type="paragraph" w:customStyle="1" w:styleId="86">
    <w:name w:val="修订5"/>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87">
    <w:name w:val="修订6"/>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88">
    <w:name w:val="修订7"/>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font41"/>
    <w:basedOn w:val="30"/>
    <w:autoRedefine/>
    <w:qFormat/>
    <w:uiPriority w:val="0"/>
    <w:rPr>
      <w:rFonts w:ascii="Calibri" w:hAnsi="Calibri" w:cs="Calibri"/>
      <w:color w:val="000000"/>
      <w:sz w:val="22"/>
      <w:szCs w:val="22"/>
      <w:u w:val="none"/>
    </w:rPr>
  </w:style>
  <w:style w:type="paragraph" w:customStyle="1" w:styleId="90">
    <w:name w:val="修订8"/>
    <w:autoRedefine/>
    <w:hidden/>
    <w:unhideWhenUsed/>
    <w:qFormat/>
    <w:uiPriority w:val="99"/>
    <w:rPr>
      <w:rFonts w:ascii="Times New Roman" w:hAnsi="Times New Roman" w:eastAsia="宋体" w:cs="Times New Roman"/>
      <w:kern w:val="2"/>
      <w:sz w:val="21"/>
      <w:szCs w:val="24"/>
      <w:lang w:val="en-US" w:eastAsia="zh-CN" w:bidi="ar-SA"/>
    </w:rPr>
  </w:style>
  <w:style w:type="paragraph" w:styleId="91">
    <w:name w:val="No Spacing"/>
    <w:autoRedefine/>
    <w:qFormat/>
    <w:uiPriority w:val="1"/>
    <w:pPr>
      <w:widowControl w:val="0"/>
      <w:jc w:val="both"/>
    </w:pPr>
    <w:rPr>
      <w:rFonts w:ascii="Times New Roman" w:hAnsi="Times New Roman" w:eastAsia="宋体" w:cs="Times New Roman"/>
      <w:kern w:val="2"/>
      <w:sz w:val="21"/>
      <w:szCs w:val="20"/>
      <w:lang w:val="en-US" w:eastAsia="zh-CN" w:bidi="ar-SA"/>
      <w14:ligatures w14:val="standardContextual"/>
    </w:rPr>
  </w:style>
  <w:style w:type="table" w:customStyle="1" w:styleId="92">
    <w:name w:val="Table Normal"/>
    <w:semiHidden/>
    <w:unhideWhenUsed/>
    <w:qFormat/>
    <w:uiPriority w:val="0"/>
    <w:tblPr>
      <w:tblCellMar>
        <w:top w:w="0" w:type="dxa"/>
        <w:left w:w="0" w:type="dxa"/>
        <w:bottom w:w="0" w:type="dxa"/>
        <w:right w:w="0" w:type="dxa"/>
      </w:tblCellMar>
    </w:tblPr>
  </w:style>
  <w:style w:type="character" w:customStyle="1" w:styleId="93">
    <w:name w:val="layui-layer-tabnow"/>
    <w:basedOn w:val="30"/>
    <w:qFormat/>
    <w:uiPriority w:val="0"/>
    <w:rPr>
      <w:bdr w:val="single" w:color="CCCCCC" w:sz="6" w:space="0"/>
      <w:shd w:val="clear" w:fill="FFFFFF"/>
    </w:rPr>
  </w:style>
  <w:style w:type="character" w:customStyle="1" w:styleId="94">
    <w:name w:val="first-child"/>
    <w:basedOn w:val="3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162</Pages>
  <Words>12682</Words>
  <Characters>14748</Characters>
  <Lines>433</Lines>
  <Paragraphs>122</Paragraphs>
  <TotalTime>32</TotalTime>
  <ScaleCrop>false</ScaleCrop>
  <LinksUpToDate>false</LinksUpToDate>
  <CharactersWithSpaces>15642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2024-08-07T01:27:00Z</dcterms:created>
  <dc:creator>Administrator</dc:creator>
  <cp:lastModifiedBy>李柳婵</cp:lastModifiedBy>
  <cp:lastPrinted>2024-09-24T06:36:00Z</cp:lastPrinted>
  <dcterms:modified xsi:type="dcterms:W3CDTF">2024-12-06T09:51:45Z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4B40246473994A2C9659BD37C90375C8_13</vt:lpwstr>
  </property>
</Properties>
</file>